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8D008EC-3BB0-426B-81C5-A0085C450DE9" style="width:450.6pt;height:379.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360"/>
        <w:jc w:val="center"/>
        <w:rPr>
          <w:b/>
          <w:noProof/>
          <w:sz w:val="28"/>
          <w:szCs w:val="28"/>
          <w:u w:val="single"/>
          <w:lang w:val="fr-FR"/>
        </w:rPr>
      </w:pPr>
      <w:bookmarkStart w:id="1" w:name="_GoBack"/>
      <w:bookmarkEnd w:id="1"/>
      <w:r>
        <w:rPr>
          <w:b/>
          <w:noProof/>
          <w:sz w:val="28"/>
          <w:u w:val="single"/>
          <w:lang w:val="fr-FR"/>
        </w:rPr>
        <w:lastRenderedPageBreak/>
        <w:t>ANNEXE I</w:t>
      </w:r>
    </w:p>
    <w:p>
      <w:pPr>
        <w:jc w:val="center"/>
        <w:rPr>
          <w:b/>
          <w:noProof/>
          <w:sz w:val="28"/>
          <w:szCs w:val="28"/>
          <w:lang w:val="fr-FR"/>
        </w:rPr>
      </w:pPr>
      <w:r>
        <w:rPr>
          <w:b/>
          <w:noProof/>
          <w:sz w:val="28"/>
          <w:lang w:val="fr-FR"/>
        </w:rPr>
        <w:t xml:space="preserve">Liste des normes internationales de bien-être animal adoptées par l’OIE  </w:t>
      </w:r>
    </w:p>
    <w:p>
      <w:pPr>
        <w:rPr>
          <w:b/>
          <w:noProof/>
          <w:szCs w:val="24"/>
          <w:lang w:val="fr-FR"/>
        </w:rPr>
      </w:pPr>
    </w:p>
    <w:p>
      <w:pPr>
        <w:rPr>
          <w:b/>
          <w:noProof/>
          <w:szCs w:val="24"/>
          <w:lang w:val="fr-FR"/>
        </w:rPr>
      </w:pPr>
      <w:r>
        <w:rPr>
          <w:b/>
          <w:noProof/>
          <w:lang w:val="fr-FR"/>
        </w:rPr>
        <w:t>Animaux terrestres</w:t>
      </w:r>
    </w:p>
    <w:p>
      <w:pPr>
        <w:rPr>
          <w:b/>
          <w:noProof/>
          <w:szCs w:val="24"/>
          <w:lang w:val="fr-FR"/>
        </w:rPr>
      </w:pPr>
      <w:r>
        <w:rPr>
          <w:b/>
          <w:noProof/>
          <w:lang w:val="fr-FR"/>
        </w:rPr>
        <w:t>Titre 7 Bien-être animal du Code sanitaire pour les animaux terrestres de l’OIE</w:t>
      </w:r>
    </w:p>
    <w:p>
      <w:pPr>
        <w:pStyle w:val="ListParagraph"/>
        <w:numPr>
          <w:ilvl w:val="0"/>
          <w:numId w:val="3"/>
        </w:numPr>
        <w:rPr>
          <w:noProof/>
          <w:szCs w:val="24"/>
          <w:lang w:val="fr-FR"/>
        </w:rPr>
      </w:pPr>
      <w:r>
        <w:rPr>
          <w:noProof/>
          <w:lang w:val="fr-FR"/>
        </w:rPr>
        <w:t>Introduction sur les recommandations relatives au bien-être animal (définition et principes directeurs)</w:t>
      </w:r>
    </w:p>
    <w:p>
      <w:pPr>
        <w:pStyle w:val="ListParagraph"/>
        <w:numPr>
          <w:ilvl w:val="0"/>
          <w:numId w:val="3"/>
        </w:numPr>
        <w:rPr>
          <w:noProof/>
          <w:szCs w:val="24"/>
          <w:lang w:val="fr-FR"/>
        </w:rPr>
      </w:pPr>
      <w:r>
        <w:rPr>
          <w:noProof/>
          <w:lang w:val="fr-FR"/>
        </w:rPr>
        <w:t>Transport des animaux par voie maritime</w:t>
      </w:r>
    </w:p>
    <w:p>
      <w:pPr>
        <w:pStyle w:val="ListParagraph"/>
        <w:numPr>
          <w:ilvl w:val="0"/>
          <w:numId w:val="3"/>
        </w:numPr>
        <w:rPr>
          <w:noProof/>
          <w:szCs w:val="24"/>
          <w:lang w:val="fr-FR"/>
        </w:rPr>
      </w:pPr>
      <w:r>
        <w:rPr>
          <w:noProof/>
          <w:lang w:val="fr-FR"/>
        </w:rPr>
        <w:t>Transport des animaux par voie terrestre</w:t>
      </w:r>
    </w:p>
    <w:p>
      <w:pPr>
        <w:pStyle w:val="ListParagraph"/>
        <w:numPr>
          <w:ilvl w:val="0"/>
          <w:numId w:val="3"/>
        </w:numPr>
        <w:rPr>
          <w:noProof/>
          <w:szCs w:val="24"/>
          <w:lang w:val="fr-FR"/>
        </w:rPr>
      </w:pPr>
      <w:r>
        <w:rPr>
          <w:noProof/>
          <w:lang w:val="fr-FR"/>
        </w:rPr>
        <w:t>Transport des animaux par voie aérienne</w:t>
      </w:r>
    </w:p>
    <w:p>
      <w:pPr>
        <w:pStyle w:val="ListParagraph"/>
        <w:numPr>
          <w:ilvl w:val="0"/>
          <w:numId w:val="3"/>
        </w:numPr>
        <w:rPr>
          <w:noProof/>
          <w:szCs w:val="24"/>
        </w:rPr>
      </w:pPr>
      <w:r>
        <w:rPr>
          <w:noProof/>
        </w:rPr>
        <w:t>Abattage des animaux</w:t>
      </w:r>
    </w:p>
    <w:p>
      <w:pPr>
        <w:pStyle w:val="ListParagraph"/>
        <w:numPr>
          <w:ilvl w:val="0"/>
          <w:numId w:val="3"/>
        </w:numPr>
        <w:rPr>
          <w:noProof/>
          <w:szCs w:val="24"/>
          <w:lang w:val="fr-FR"/>
        </w:rPr>
      </w:pPr>
      <w:r>
        <w:rPr>
          <w:noProof/>
          <w:lang w:val="fr-FR"/>
        </w:rPr>
        <w:t>Mise à mort d’animaux à des fins de contrôle sanitaire</w:t>
      </w:r>
    </w:p>
    <w:p>
      <w:pPr>
        <w:pStyle w:val="ListParagraph"/>
        <w:numPr>
          <w:ilvl w:val="0"/>
          <w:numId w:val="3"/>
        </w:numPr>
        <w:rPr>
          <w:noProof/>
          <w:szCs w:val="24"/>
          <w:lang w:val="fr-FR"/>
        </w:rPr>
      </w:pPr>
      <w:r>
        <w:rPr>
          <w:noProof/>
          <w:lang w:val="fr-FR"/>
        </w:rPr>
        <w:t>Le contrôle des populations de chiens errants</w:t>
      </w:r>
    </w:p>
    <w:p>
      <w:pPr>
        <w:pStyle w:val="ListParagraph"/>
        <w:numPr>
          <w:ilvl w:val="0"/>
          <w:numId w:val="3"/>
        </w:numPr>
        <w:rPr>
          <w:noProof/>
          <w:szCs w:val="24"/>
          <w:lang w:val="fr-FR"/>
        </w:rPr>
      </w:pPr>
      <w:r>
        <w:rPr>
          <w:noProof/>
          <w:lang w:val="fr-FR"/>
        </w:rPr>
        <w:t>Utilisation des animaux pour la recherche et l’enseignement</w:t>
      </w:r>
    </w:p>
    <w:p>
      <w:pPr>
        <w:pStyle w:val="ListParagraph"/>
        <w:numPr>
          <w:ilvl w:val="0"/>
          <w:numId w:val="3"/>
        </w:numPr>
        <w:rPr>
          <w:noProof/>
          <w:szCs w:val="24"/>
          <w:lang w:val="fr-FR"/>
        </w:rPr>
      </w:pPr>
      <w:r>
        <w:rPr>
          <w:noProof/>
          <w:lang w:val="fr-FR"/>
        </w:rPr>
        <w:t>Bien-être animal dans les systèmes de production de bovins à viande</w:t>
      </w:r>
    </w:p>
    <w:p>
      <w:pPr>
        <w:pStyle w:val="ListParagraph"/>
        <w:numPr>
          <w:ilvl w:val="0"/>
          <w:numId w:val="3"/>
        </w:numPr>
        <w:rPr>
          <w:noProof/>
          <w:szCs w:val="24"/>
          <w:lang w:val="fr-FR"/>
        </w:rPr>
      </w:pPr>
      <w:r>
        <w:rPr>
          <w:noProof/>
          <w:lang w:val="fr-FR"/>
        </w:rPr>
        <w:t>Bien-être animal dans les systèmes de production de poulets de chair</w:t>
      </w:r>
    </w:p>
    <w:p>
      <w:pPr>
        <w:pStyle w:val="ListParagraph"/>
        <w:numPr>
          <w:ilvl w:val="0"/>
          <w:numId w:val="3"/>
        </w:numPr>
        <w:rPr>
          <w:noProof/>
          <w:szCs w:val="24"/>
          <w:lang w:val="fr-FR"/>
        </w:rPr>
      </w:pPr>
      <w:r>
        <w:rPr>
          <w:noProof/>
          <w:lang w:val="fr-FR"/>
        </w:rPr>
        <w:t>Bien-être animal dans les systèmes de production de bovins laitiers</w:t>
      </w:r>
    </w:p>
    <w:p>
      <w:pPr>
        <w:pStyle w:val="ListParagraph"/>
        <w:numPr>
          <w:ilvl w:val="0"/>
          <w:numId w:val="3"/>
        </w:numPr>
        <w:rPr>
          <w:noProof/>
          <w:szCs w:val="24"/>
          <w:lang w:val="fr-FR"/>
        </w:rPr>
      </w:pPr>
      <w:r>
        <w:rPr>
          <w:noProof/>
          <w:lang w:val="fr-FR"/>
        </w:rPr>
        <w:t>Bien-être des équidés de travail</w:t>
      </w:r>
    </w:p>
    <w:p>
      <w:pPr>
        <w:rPr>
          <w:b/>
          <w:noProof/>
          <w:szCs w:val="24"/>
          <w:lang w:val="fr-FR"/>
        </w:rPr>
      </w:pPr>
      <w:r>
        <w:rPr>
          <w:b/>
          <w:noProof/>
          <w:lang w:val="fr-FR"/>
        </w:rPr>
        <w:t>Animaux aquatiques</w:t>
      </w:r>
    </w:p>
    <w:p>
      <w:pPr>
        <w:rPr>
          <w:b/>
          <w:noProof/>
          <w:szCs w:val="24"/>
          <w:lang w:val="fr-FR"/>
        </w:rPr>
      </w:pPr>
      <w:r>
        <w:rPr>
          <w:b/>
          <w:noProof/>
          <w:lang w:val="fr-FR"/>
        </w:rPr>
        <w:t>Titre 7 Bien-être des poissons d’élevage du Code sanitaire pour les animaux aquatiques de l’OIE</w:t>
      </w:r>
    </w:p>
    <w:p>
      <w:pPr>
        <w:pStyle w:val="ListParagraph"/>
        <w:numPr>
          <w:ilvl w:val="0"/>
          <w:numId w:val="4"/>
        </w:numPr>
        <w:rPr>
          <w:noProof/>
          <w:szCs w:val="24"/>
          <w:lang w:val="fr-FR"/>
        </w:rPr>
      </w:pPr>
      <w:r>
        <w:rPr>
          <w:noProof/>
          <w:lang w:val="fr-FR"/>
        </w:rPr>
        <w:t>Introduction aux recommandations sur le bien-être des poissons d’élevage</w:t>
      </w:r>
    </w:p>
    <w:p>
      <w:pPr>
        <w:pStyle w:val="ListParagraph"/>
        <w:numPr>
          <w:ilvl w:val="0"/>
          <w:numId w:val="4"/>
        </w:numPr>
        <w:rPr>
          <w:noProof/>
          <w:szCs w:val="24"/>
          <w:lang w:val="fr-FR"/>
        </w:rPr>
      </w:pPr>
      <w:r>
        <w:rPr>
          <w:noProof/>
          <w:lang w:val="fr-FR"/>
        </w:rPr>
        <w:t>Bien-être des poissons d’élevage pendant le transport</w:t>
      </w:r>
    </w:p>
    <w:p>
      <w:pPr>
        <w:pStyle w:val="ListParagraph"/>
        <w:numPr>
          <w:ilvl w:val="0"/>
          <w:numId w:val="4"/>
        </w:numPr>
        <w:rPr>
          <w:noProof/>
          <w:szCs w:val="24"/>
          <w:lang w:val="fr-FR"/>
        </w:rPr>
      </w:pPr>
      <w:r>
        <w:rPr>
          <w:noProof/>
          <w:lang w:val="fr-FR"/>
        </w:rPr>
        <w:t>Aspects du bien-être animal liés à l’étourdissement et à l’abattage des poissons d’élevage destinés à la consommation humaine</w:t>
      </w:r>
    </w:p>
    <w:p>
      <w:pPr>
        <w:pStyle w:val="ListParagraph"/>
        <w:numPr>
          <w:ilvl w:val="0"/>
          <w:numId w:val="4"/>
        </w:numPr>
        <w:rPr>
          <w:noProof/>
          <w:szCs w:val="24"/>
          <w:lang w:val="fr-FR"/>
        </w:rPr>
      </w:pPr>
      <w:r>
        <w:rPr>
          <w:noProof/>
          <w:lang w:val="fr-FR"/>
        </w:rPr>
        <w:t>Mise à mort des poissons d’élevage à des fins de contrôle sanitaire</w:t>
      </w:r>
    </w:p>
    <w:p>
      <w:pPr>
        <w:rPr>
          <w:b/>
          <w:noProof/>
          <w:szCs w:val="24"/>
          <w:lang w:val="fr-FR"/>
        </w:rPr>
      </w:pPr>
    </w:p>
    <w:p>
      <w:pPr>
        <w:rPr>
          <w:b/>
          <w:noProof/>
          <w:szCs w:val="24"/>
        </w:rPr>
      </w:pPr>
      <w:r>
        <w:rPr>
          <w:b/>
          <w:noProof/>
        </w:rPr>
        <w:t>Autres documents de l’OIE</w:t>
      </w:r>
    </w:p>
    <w:p>
      <w:pPr>
        <w:pStyle w:val="ListParagraph"/>
        <w:numPr>
          <w:ilvl w:val="0"/>
          <w:numId w:val="5"/>
        </w:numPr>
        <w:rPr>
          <w:noProof/>
          <w:szCs w:val="24"/>
          <w:lang w:val="fr-FR"/>
        </w:rPr>
      </w:pPr>
      <w:r>
        <w:rPr>
          <w:noProof/>
          <w:lang w:val="fr-FR"/>
        </w:rPr>
        <w:t>Lignes directrices sur la gestion des catastrophes et la réduction des risques pour la santé et le bien-être des animaux et pour la santé publique vétérinaire</w:t>
      </w:r>
    </w:p>
    <w:p>
      <w:pPr>
        <w:contextualSpacing/>
        <w:rPr>
          <w:b/>
          <w:noProof/>
          <w:szCs w:val="24"/>
          <w:lang w:val="fr-FR"/>
        </w:rPr>
      </w:pPr>
    </w:p>
    <w:p>
      <w:pPr>
        <w:spacing w:after="0"/>
        <w:rPr>
          <w:rFonts w:eastAsia="Calibri"/>
          <w:noProof/>
          <w:szCs w:val="24"/>
          <w:lang w:val="fr-FR"/>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sectPr>
      </w:pPr>
    </w:p>
    <w:p>
      <w:pPr>
        <w:spacing w:before="360" w:after="360"/>
        <w:jc w:val="center"/>
        <w:rPr>
          <w:b/>
          <w:noProof/>
          <w:sz w:val="28"/>
          <w:szCs w:val="28"/>
          <w:u w:val="single"/>
          <w:lang w:val="fr-FR"/>
        </w:rPr>
      </w:pPr>
      <w:r>
        <w:rPr>
          <w:b/>
          <w:noProof/>
          <w:sz w:val="28"/>
          <w:u w:val="single"/>
          <w:lang w:val="fr-FR"/>
        </w:rPr>
        <w:lastRenderedPageBreak/>
        <w:t>ANNEXE II</w:t>
      </w:r>
    </w:p>
    <w:p>
      <w:pPr>
        <w:jc w:val="center"/>
        <w:rPr>
          <w:b/>
          <w:noProof/>
          <w:sz w:val="28"/>
          <w:szCs w:val="28"/>
          <w:lang w:val="fr-FR"/>
        </w:rPr>
      </w:pPr>
      <w:r>
        <w:rPr>
          <w:b/>
          <w:noProof/>
          <w:sz w:val="28"/>
          <w:lang w:val="fr-FR"/>
        </w:rPr>
        <w:t>Accords bilatéraux avec des pays tiers incluant le bien-être des animaux et autres formes de coopération technique relative au bien-être des animaux</w:t>
      </w:r>
    </w:p>
    <w:p>
      <w:pPr>
        <w:rPr>
          <w:b/>
          <w:noProof/>
          <w:szCs w:val="24"/>
        </w:rPr>
      </w:pPr>
      <w:r>
        <w:rPr>
          <w:b/>
          <w:noProof/>
        </w:rPr>
        <w:t>Accords commerciaux bilatéraux déjà conclus</w:t>
      </w:r>
    </w:p>
    <w:p>
      <w:pPr>
        <w:numPr>
          <w:ilvl w:val="0"/>
          <w:numId w:val="1"/>
        </w:numPr>
        <w:ind w:left="360"/>
        <w:contextualSpacing/>
        <w:rPr>
          <w:noProof/>
          <w:szCs w:val="24"/>
        </w:rPr>
      </w:pPr>
      <w:r>
        <w:rPr>
          <w:noProof/>
        </w:rPr>
        <w:t>Accord d’association (AA) UE-Chili</w:t>
      </w:r>
    </w:p>
    <w:p>
      <w:pPr>
        <w:numPr>
          <w:ilvl w:val="0"/>
          <w:numId w:val="1"/>
        </w:numPr>
        <w:ind w:left="360"/>
        <w:contextualSpacing/>
        <w:rPr>
          <w:b/>
          <w:noProof/>
          <w:lang w:val="fr-FR"/>
        </w:rPr>
      </w:pPr>
      <w:r>
        <w:rPr>
          <w:noProof/>
          <w:lang w:val="fr-FR"/>
        </w:rPr>
        <w:t>Accord économique et commercial global entre l’UE et le Canada (AECG)</w:t>
      </w:r>
      <w:r>
        <w:rPr>
          <w:noProof/>
          <w:vertAlign w:val="superscript"/>
          <w:lang w:val="fr-FR"/>
        </w:rPr>
        <w:t xml:space="preserve"> </w:t>
      </w:r>
      <w:r>
        <w:rPr>
          <w:noProof/>
          <w:vertAlign w:val="superscript"/>
        </w:rPr>
        <w:footnoteReference w:id="1"/>
      </w:r>
    </w:p>
    <w:p>
      <w:pPr>
        <w:numPr>
          <w:ilvl w:val="0"/>
          <w:numId w:val="1"/>
        </w:numPr>
        <w:ind w:left="360"/>
        <w:contextualSpacing/>
        <w:rPr>
          <w:noProof/>
          <w:szCs w:val="24"/>
          <w:lang w:val="fr-FR"/>
        </w:rPr>
      </w:pPr>
      <w:r>
        <w:rPr>
          <w:noProof/>
          <w:lang w:val="fr-FR"/>
        </w:rPr>
        <w:t>Accord entre la Communauté européenne et la Confédération suisse relatif aux échanges de produits agricoles</w:t>
      </w:r>
      <w:r>
        <w:rPr>
          <w:noProof/>
          <w:vertAlign w:val="superscript"/>
        </w:rPr>
        <w:footnoteReference w:id="2"/>
      </w:r>
      <w:r>
        <w:rPr>
          <w:noProof/>
          <w:lang w:val="fr-FR"/>
        </w:rPr>
        <w:t xml:space="preserve"> </w:t>
      </w:r>
    </w:p>
    <w:p>
      <w:pPr>
        <w:numPr>
          <w:ilvl w:val="0"/>
          <w:numId w:val="1"/>
        </w:numPr>
        <w:ind w:left="360"/>
        <w:contextualSpacing/>
        <w:rPr>
          <w:noProof/>
          <w:szCs w:val="24"/>
          <w:lang w:val="fr-FR"/>
        </w:rPr>
      </w:pPr>
      <w:r>
        <w:rPr>
          <w:noProof/>
          <w:lang w:val="fr-FR"/>
        </w:rPr>
        <w:t>Accord de libre-échange (ALE) UE-Corée du Sud</w:t>
      </w:r>
    </w:p>
    <w:p>
      <w:pPr>
        <w:numPr>
          <w:ilvl w:val="0"/>
          <w:numId w:val="1"/>
        </w:numPr>
        <w:ind w:left="360"/>
        <w:contextualSpacing/>
        <w:rPr>
          <w:noProof/>
          <w:szCs w:val="24"/>
          <w:lang w:val="fr-FR"/>
        </w:rPr>
      </w:pPr>
      <w:r>
        <w:rPr>
          <w:noProof/>
          <w:lang w:val="fr-FR"/>
        </w:rPr>
        <w:t>Accord d’association UE-Amérique centrale: discussions en cours avec l’Amérique centrale pour établir un groupe de travail régional sur le bien-être des animaux et un plan d’action en vertu de l’accord conclu</w:t>
      </w:r>
    </w:p>
    <w:p>
      <w:pPr>
        <w:numPr>
          <w:ilvl w:val="0"/>
          <w:numId w:val="1"/>
        </w:numPr>
        <w:ind w:left="360"/>
        <w:contextualSpacing/>
        <w:rPr>
          <w:noProof/>
          <w:szCs w:val="24"/>
          <w:lang w:val="fr-FR"/>
        </w:rPr>
      </w:pPr>
      <w:r>
        <w:rPr>
          <w:noProof/>
          <w:lang w:val="fr-FR"/>
        </w:rPr>
        <w:t xml:space="preserve">Accord de partenariat et de coopération UE-Kazakhstan </w:t>
      </w:r>
    </w:p>
    <w:p>
      <w:pPr>
        <w:numPr>
          <w:ilvl w:val="0"/>
          <w:numId w:val="1"/>
        </w:numPr>
        <w:ind w:left="360"/>
        <w:contextualSpacing/>
        <w:rPr>
          <w:noProof/>
          <w:szCs w:val="24"/>
        </w:rPr>
      </w:pPr>
      <w:r>
        <w:rPr>
          <w:noProof/>
        </w:rPr>
        <w:t>ALE UE-Pérou/Colombie</w:t>
      </w:r>
    </w:p>
    <w:p>
      <w:pPr>
        <w:numPr>
          <w:ilvl w:val="0"/>
          <w:numId w:val="1"/>
        </w:numPr>
        <w:ind w:left="360"/>
        <w:contextualSpacing/>
        <w:rPr>
          <w:noProof/>
          <w:szCs w:val="24"/>
        </w:rPr>
      </w:pPr>
      <w:r>
        <w:rPr>
          <w:noProof/>
        </w:rPr>
        <w:t>AA UE-Ukraine</w:t>
      </w:r>
    </w:p>
    <w:p>
      <w:pPr>
        <w:numPr>
          <w:ilvl w:val="0"/>
          <w:numId w:val="1"/>
        </w:numPr>
        <w:ind w:left="360"/>
        <w:contextualSpacing/>
        <w:rPr>
          <w:noProof/>
          <w:szCs w:val="24"/>
        </w:rPr>
      </w:pPr>
      <w:r>
        <w:rPr>
          <w:noProof/>
        </w:rPr>
        <w:t>AA UE-Géorgie</w:t>
      </w:r>
    </w:p>
    <w:p>
      <w:pPr>
        <w:numPr>
          <w:ilvl w:val="0"/>
          <w:numId w:val="1"/>
        </w:numPr>
        <w:ind w:left="360"/>
        <w:contextualSpacing/>
        <w:rPr>
          <w:noProof/>
          <w:szCs w:val="24"/>
        </w:rPr>
      </w:pPr>
      <w:r>
        <w:rPr>
          <w:noProof/>
        </w:rPr>
        <w:t>AA UE-République de Moldavie</w:t>
      </w:r>
    </w:p>
    <w:p>
      <w:pPr>
        <w:contextualSpacing/>
        <w:rPr>
          <w:b/>
          <w:noProof/>
          <w:szCs w:val="24"/>
        </w:rPr>
      </w:pPr>
    </w:p>
    <w:p>
      <w:pPr>
        <w:rPr>
          <w:b/>
          <w:noProof/>
          <w:szCs w:val="24"/>
          <w:lang w:val="fr-FR"/>
        </w:rPr>
      </w:pPr>
      <w:r>
        <w:rPr>
          <w:b/>
          <w:noProof/>
          <w:lang w:val="fr-FR"/>
        </w:rPr>
        <w:t>Autres formes de coopération technique relative au bien-être des animaux, en dehors des accords commerciaux</w:t>
      </w:r>
    </w:p>
    <w:p>
      <w:pPr>
        <w:numPr>
          <w:ilvl w:val="0"/>
          <w:numId w:val="1"/>
        </w:numPr>
        <w:ind w:left="360"/>
        <w:contextualSpacing/>
        <w:rPr>
          <w:noProof/>
          <w:szCs w:val="24"/>
          <w:lang w:val="fr-FR"/>
        </w:rPr>
      </w:pPr>
      <w:r>
        <w:rPr>
          <w:noProof/>
          <w:lang w:val="fr-FR"/>
        </w:rPr>
        <w:t>Forum de coopération sur le bien-être animal Commission européenne-Nouvelle-Zélande</w:t>
      </w:r>
    </w:p>
    <w:p>
      <w:pPr>
        <w:numPr>
          <w:ilvl w:val="0"/>
          <w:numId w:val="1"/>
        </w:numPr>
        <w:ind w:left="360"/>
        <w:contextualSpacing/>
        <w:rPr>
          <w:noProof/>
          <w:szCs w:val="24"/>
          <w:lang w:val="fr-FR"/>
        </w:rPr>
      </w:pPr>
      <w:r>
        <w:rPr>
          <w:noProof/>
          <w:lang w:val="fr-FR"/>
        </w:rPr>
        <w:t>Forum de coopération sur le bien-être animal Commission européenne-Australie</w:t>
      </w:r>
    </w:p>
    <w:p>
      <w:pPr>
        <w:numPr>
          <w:ilvl w:val="0"/>
          <w:numId w:val="1"/>
        </w:numPr>
        <w:ind w:left="360"/>
        <w:contextualSpacing/>
        <w:rPr>
          <w:noProof/>
          <w:szCs w:val="24"/>
          <w:lang w:val="fr-FR"/>
        </w:rPr>
      </w:pPr>
      <w:r>
        <w:rPr>
          <w:noProof/>
          <w:lang w:val="fr-FR"/>
        </w:rPr>
        <w:t>Protocole d’accord administratif relatif au bien-être animal Commission européenne-Brésil</w:t>
      </w:r>
    </w:p>
    <w:p>
      <w:pPr>
        <w:numPr>
          <w:ilvl w:val="0"/>
          <w:numId w:val="1"/>
        </w:numPr>
        <w:ind w:left="360"/>
        <w:contextualSpacing/>
        <w:rPr>
          <w:noProof/>
          <w:szCs w:val="24"/>
          <w:lang w:val="fr-FR"/>
        </w:rPr>
      </w:pPr>
      <w:r>
        <w:rPr>
          <w:noProof/>
          <w:lang w:val="fr-FR"/>
        </w:rPr>
        <w:t>Arrangement administratif sur la coopération technique relative au bien-être animal Commission européenne-Argentine</w:t>
      </w:r>
    </w:p>
    <w:p>
      <w:pPr>
        <w:ind w:left="360"/>
        <w:contextualSpacing/>
        <w:rPr>
          <w:noProof/>
          <w:szCs w:val="24"/>
          <w:lang w:val="fr-FR"/>
        </w:rPr>
      </w:pPr>
    </w:p>
    <w:p>
      <w:pPr>
        <w:rPr>
          <w:b/>
          <w:noProof/>
          <w:lang w:val="fr-FR"/>
        </w:rPr>
      </w:pPr>
      <w:r>
        <w:rPr>
          <w:b/>
          <w:noProof/>
          <w:lang w:val="fr-FR"/>
        </w:rPr>
        <w:t>Accords commerciaux bilatéraux en cours de signature</w:t>
      </w:r>
    </w:p>
    <w:p>
      <w:pPr>
        <w:numPr>
          <w:ilvl w:val="0"/>
          <w:numId w:val="1"/>
        </w:numPr>
        <w:ind w:left="360"/>
        <w:contextualSpacing/>
        <w:rPr>
          <w:noProof/>
          <w:szCs w:val="24"/>
        </w:rPr>
      </w:pPr>
      <w:r>
        <w:rPr>
          <w:noProof/>
        </w:rPr>
        <w:t xml:space="preserve">ALE UE-Singapour </w:t>
      </w:r>
    </w:p>
    <w:p>
      <w:pPr>
        <w:numPr>
          <w:ilvl w:val="0"/>
          <w:numId w:val="1"/>
        </w:numPr>
        <w:ind w:left="360"/>
        <w:contextualSpacing/>
        <w:rPr>
          <w:noProof/>
          <w:szCs w:val="24"/>
        </w:rPr>
      </w:pPr>
      <w:r>
        <w:rPr>
          <w:noProof/>
        </w:rPr>
        <w:t>ALE UE-Viêt Nam</w:t>
      </w:r>
    </w:p>
    <w:p>
      <w:pPr>
        <w:numPr>
          <w:ilvl w:val="0"/>
          <w:numId w:val="1"/>
        </w:numPr>
        <w:ind w:left="360"/>
        <w:contextualSpacing/>
        <w:rPr>
          <w:rFonts w:eastAsia="Calibri"/>
          <w:noProof/>
          <w:szCs w:val="24"/>
        </w:rPr>
      </w:pPr>
      <w:r>
        <w:rPr>
          <w:noProof/>
        </w:rPr>
        <w:t>ALE UE-Japon</w:t>
      </w:r>
    </w:p>
    <w:p>
      <w:pPr>
        <w:numPr>
          <w:ilvl w:val="0"/>
          <w:numId w:val="1"/>
        </w:numPr>
        <w:ind w:left="360"/>
        <w:contextualSpacing/>
        <w:rPr>
          <w:rFonts w:eastAsia="Calibri"/>
          <w:noProof/>
          <w:szCs w:val="24"/>
        </w:rPr>
      </w:pPr>
      <w:r>
        <w:rPr>
          <w:noProof/>
        </w:rPr>
        <w:t>Nouvel accord-cadre UE-Arménie</w:t>
      </w:r>
    </w:p>
    <w:p>
      <w:pPr>
        <w:ind w:left="360"/>
        <w:contextualSpacing/>
        <w:rPr>
          <w:rFonts w:eastAsia="Calibri"/>
          <w:noProof/>
          <w:szCs w:val="24"/>
        </w:rPr>
      </w:pPr>
    </w:p>
    <w:p>
      <w:pPr>
        <w:spacing w:before="360" w:after="360"/>
        <w:jc w:val="center"/>
        <w:rPr>
          <w:rFonts w:eastAsia="Calibri"/>
          <w:noProof/>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2235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8813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360" w:hanging="360"/>
        <w:rPr>
          <w:lang w:val="fr-FR"/>
        </w:rPr>
      </w:pPr>
      <w:r>
        <w:rPr>
          <w:vertAlign w:val="superscript"/>
        </w:rPr>
        <w:footnoteRef/>
      </w:r>
      <w:r>
        <w:rPr>
          <w:lang w:val="fr-FR"/>
        </w:rPr>
        <w:tab/>
        <w:t>Avant l’adoption de l’AECG, la coopération en matière de bien-être des animaux était mise en œuvre dans le cadre de l’accord vétérinaire conclu entre l’Union et le Canada. Même si le bien-être des animaux n’était pas mentionné dans cet accord, les parties avaient convenu, par correspondance officielle en 2004, d’inclure ce point dans le champ d’application de l’accord et de coopérer sous l’égide du Comité de gestion mixte.</w:t>
      </w:r>
    </w:p>
  </w:footnote>
  <w:footnote w:id="2">
    <w:p>
      <w:pPr>
        <w:pStyle w:val="FootnoteText"/>
        <w:ind w:left="360" w:hanging="360"/>
        <w:rPr>
          <w:lang w:val="fr-FR"/>
        </w:rPr>
      </w:pPr>
      <w:r>
        <w:rPr>
          <w:rStyle w:val="FootnoteReference"/>
        </w:rPr>
        <w:footnoteRef/>
      </w:r>
      <w:r>
        <w:rPr>
          <w:lang w:val="fr-FR"/>
        </w:rPr>
        <w:tab/>
        <w:t>La coopération en matière de bien-être des animaux avec la Suisse n’a pas été officialisée, mais des échanges annuels ont lieu.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9C9"/>
    <w:multiLevelType w:val="hybridMultilevel"/>
    <w:tmpl w:val="AF38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
    <w:nsid w:val="4475066B"/>
    <w:multiLevelType w:val="hybridMultilevel"/>
    <w:tmpl w:val="C8A6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50D53BC2"/>
    <w:multiLevelType w:val="hybridMultilevel"/>
    <w:tmpl w:val="70D4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
    <w:nsid w:val="70E00F15"/>
    <w:multiLevelType w:val="hybridMultilevel"/>
    <w:tmpl w:val="5A3C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E57D9B"/>
    <w:multiLevelType w:val="hybridMultilevel"/>
    <w:tmpl w:val="C990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7"/>
  </w:num>
  <w:num w:numId="3">
    <w:abstractNumId w:val="9"/>
  </w:num>
  <w:num w:numId="4">
    <w:abstractNumId w:val="7"/>
  </w:num>
  <w:num w:numId="5">
    <w:abstractNumId w:val="0"/>
  </w:num>
  <w:num w:numId="6">
    <w:abstractNumId w:val="8"/>
  </w:num>
  <w:num w:numId="7">
    <w:abstractNumId w:val="11"/>
  </w:num>
  <w:num w:numId="8">
    <w:abstractNumId w:val="12"/>
  </w:num>
  <w:num w:numId="9">
    <w:abstractNumId w:val="3"/>
  </w:num>
  <w:num w:numId="10">
    <w:abstractNumId w:val="10"/>
  </w:num>
  <w:num w:numId="11">
    <w:abstractNumId w:val="18"/>
  </w:num>
  <w:num w:numId="12">
    <w:abstractNumId w:val="14"/>
  </w:num>
  <w:num w:numId="13">
    <w:abstractNumId w:val="14"/>
  </w:num>
  <w:num w:numId="14">
    <w:abstractNumId w:val="14"/>
  </w:num>
  <w:num w:numId="15">
    <w:abstractNumId w:val="14"/>
  </w:num>
  <w:num w:numId="16">
    <w:abstractNumId w:val="2"/>
  </w:num>
  <w:num w:numId="17">
    <w:abstractNumId w:val="2"/>
  </w:num>
  <w:num w:numId="18">
    <w:abstractNumId w:val="2"/>
  </w:num>
  <w:num w:numId="19">
    <w:abstractNumId w:val="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3"/>
  </w:num>
  <w:num w:numId="30">
    <w:abstractNumId w:val="5"/>
  </w:num>
  <w:num w:numId="31">
    <w:abstractNumId w:val="15"/>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2"/>
    <w:docVar w:name="LW_ANNEX_UNIQUE" w:val="0"/>
    <w:docVar w:name="LW_CORRIGENDUM" w:val="&lt;UNUSED&gt;"/>
    <w:docVar w:name="LW_COVERPAGE_EXISTS" w:val="True"/>
    <w:docVar w:name="LW_COVERPAGE_GUID" w:val="58D008EC-3BB0-426B-81C5-A0085C450DE9"/>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sur les conséquences des activités internationales en matière de bien-être des animaux sur la compétitivité des éleveurs européens à l'ère de la mondialisation"/>
    <w:docVar w:name="LW_PART_NBR" w:val="&lt;UNUSED&gt;"/>
    <w:docVar w:name="LW_PART_NBR_TOTAL" w:val="&lt;UNUSED&gt;"/>
    <w:docVar w:name="LW_REF.INST.NEW" w:val="COM"/>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unhideWhenUsed/>
    <w:rPr>
      <w:shd w:val="clear" w:color="auto" w:fill="auto"/>
      <w:vertAlign w:val="superscript"/>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6"/>
      </w:numPr>
    </w:pPr>
  </w:style>
  <w:style w:type="paragraph" w:customStyle="1" w:styleId="Bullet1">
    <w:name w:val="Bullet 1"/>
    <w:basedOn w:val="Normal"/>
    <w:pPr>
      <w:numPr>
        <w:numId w:val="7"/>
      </w:numPr>
    </w:pPr>
  </w:style>
  <w:style w:type="paragraph" w:customStyle="1" w:styleId="Bullet2">
    <w:name w:val="Bullet 2"/>
    <w:basedOn w:val="Normal"/>
    <w:pPr>
      <w:numPr>
        <w:numId w:val="8"/>
      </w:numPr>
    </w:pPr>
  </w:style>
  <w:style w:type="paragraph" w:customStyle="1" w:styleId="Bullet3">
    <w:name w:val="Bullet 3"/>
    <w:basedOn w:val="Normal"/>
    <w:pPr>
      <w:numPr>
        <w:numId w:val="9"/>
      </w:numPr>
    </w:pPr>
  </w:style>
  <w:style w:type="paragraph" w:customStyle="1" w:styleId="Bullet4">
    <w:name w:val="Bullet 4"/>
    <w:basedOn w:val="Normal"/>
    <w:pPr>
      <w:numPr>
        <w:numId w:val="10"/>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1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paragraph" w:customStyle="1" w:styleId="Declassification">
    <w:name w:val="Declassification"/>
    <w:basedOn w:val="Normal"/>
    <w:next w:val="Normal"/>
    <w:pPr>
      <w:spacing w:before="0" w:after="0"/>
    </w:pPr>
  </w:style>
  <w:style w:type="character" w:customStyle="1" w:styleId="Deleted">
    <w:name w:val="Deleted"/>
    <w:basedOn w:val="DefaultParagraphFont"/>
    <w:rPr>
      <w:strike/>
      <w:dstrike w:val="0"/>
      <w:shd w:val="clear" w:color="auto" w:fill="auto"/>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Formuledadoption">
    <w:name w:val="Formule d'adoption"/>
    <w:basedOn w:val="Normal"/>
    <w:next w:val="Normal"/>
    <w:pPr>
      <w:keepNext/>
    </w:pPr>
  </w:style>
  <w:style w:type="paragraph" w:customStyle="1" w:styleId="HeaderLandscape">
    <w:name w:val="HeaderLandscape"/>
    <w:basedOn w:val="Normal"/>
    <w:pPr>
      <w:tabs>
        <w:tab w:val="center" w:pos="7285"/>
        <w:tab w:val="right" w:pos="14003"/>
      </w:tabs>
      <w:spacing w:before="0"/>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9"/>
      </w:numPr>
    </w:pPr>
  </w:style>
  <w:style w:type="paragraph" w:customStyle="1" w:styleId="NumPar2">
    <w:name w:val="NumPar 2"/>
    <w:basedOn w:val="Normal"/>
    <w:next w:val="Normal"/>
    <w:pPr>
      <w:numPr>
        <w:ilvl w:val="1"/>
        <w:numId w:val="19"/>
      </w:numPr>
    </w:pPr>
  </w:style>
  <w:style w:type="paragraph" w:customStyle="1" w:styleId="NumPar3">
    <w:name w:val="NumPar 3"/>
    <w:basedOn w:val="Normal"/>
    <w:next w:val="Normal"/>
    <w:pPr>
      <w:numPr>
        <w:ilvl w:val="2"/>
        <w:numId w:val="19"/>
      </w:numPr>
    </w:pPr>
  </w:style>
  <w:style w:type="paragraph" w:customStyle="1" w:styleId="NumPar4">
    <w:name w:val="NumPar 4"/>
    <w:basedOn w:val="Normal"/>
    <w:next w:val="Normal"/>
    <w:pPr>
      <w:numPr>
        <w:ilvl w:val="3"/>
        <w:numId w:val="1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8"/>
      </w:numPr>
    </w:pPr>
  </w:style>
  <w:style w:type="paragraph" w:customStyle="1" w:styleId="Point0number">
    <w:name w:val="Point 0 (number)"/>
    <w:basedOn w:val="Normal"/>
    <w:pPr>
      <w:numPr>
        <w:numId w:val="2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8"/>
      </w:numPr>
    </w:pPr>
  </w:style>
  <w:style w:type="paragraph" w:customStyle="1" w:styleId="Point1number">
    <w:name w:val="Point 1 (number)"/>
    <w:basedOn w:val="Normal"/>
    <w:pPr>
      <w:numPr>
        <w:ilvl w:val="2"/>
        <w:numId w:val="2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8"/>
      </w:numPr>
    </w:pPr>
  </w:style>
  <w:style w:type="paragraph" w:customStyle="1" w:styleId="Point2number">
    <w:name w:val="Point 2 (number)"/>
    <w:basedOn w:val="Normal"/>
    <w:pPr>
      <w:numPr>
        <w:ilvl w:val="4"/>
        <w:numId w:val="2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8"/>
      </w:numPr>
    </w:pPr>
  </w:style>
  <w:style w:type="paragraph" w:customStyle="1" w:styleId="Point3number">
    <w:name w:val="Point 3 (number)"/>
    <w:basedOn w:val="Normal"/>
    <w:pPr>
      <w:numPr>
        <w:ilvl w:val="6"/>
        <w:numId w:val="2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unhideWhenUsed/>
    <w:rPr>
      <w:shd w:val="clear" w:color="auto" w:fill="auto"/>
      <w:vertAlign w:val="superscript"/>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6"/>
      </w:numPr>
    </w:pPr>
  </w:style>
  <w:style w:type="paragraph" w:customStyle="1" w:styleId="Bullet1">
    <w:name w:val="Bullet 1"/>
    <w:basedOn w:val="Normal"/>
    <w:pPr>
      <w:numPr>
        <w:numId w:val="7"/>
      </w:numPr>
    </w:pPr>
  </w:style>
  <w:style w:type="paragraph" w:customStyle="1" w:styleId="Bullet2">
    <w:name w:val="Bullet 2"/>
    <w:basedOn w:val="Normal"/>
    <w:pPr>
      <w:numPr>
        <w:numId w:val="8"/>
      </w:numPr>
    </w:pPr>
  </w:style>
  <w:style w:type="paragraph" w:customStyle="1" w:styleId="Bullet3">
    <w:name w:val="Bullet 3"/>
    <w:basedOn w:val="Normal"/>
    <w:pPr>
      <w:numPr>
        <w:numId w:val="9"/>
      </w:numPr>
    </w:pPr>
  </w:style>
  <w:style w:type="paragraph" w:customStyle="1" w:styleId="Bullet4">
    <w:name w:val="Bullet 4"/>
    <w:basedOn w:val="Normal"/>
    <w:pPr>
      <w:numPr>
        <w:numId w:val="10"/>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1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paragraph" w:customStyle="1" w:styleId="Declassification">
    <w:name w:val="Declassification"/>
    <w:basedOn w:val="Normal"/>
    <w:next w:val="Normal"/>
    <w:pPr>
      <w:spacing w:before="0" w:after="0"/>
    </w:pPr>
  </w:style>
  <w:style w:type="character" w:customStyle="1" w:styleId="Deleted">
    <w:name w:val="Deleted"/>
    <w:basedOn w:val="DefaultParagraphFont"/>
    <w:rPr>
      <w:strike/>
      <w:dstrike w:val="0"/>
      <w:shd w:val="clear" w:color="auto" w:fill="auto"/>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Formuledadoption">
    <w:name w:val="Formule d'adoption"/>
    <w:basedOn w:val="Normal"/>
    <w:next w:val="Normal"/>
    <w:pPr>
      <w:keepNext/>
    </w:pPr>
  </w:style>
  <w:style w:type="paragraph" w:customStyle="1" w:styleId="HeaderLandscape">
    <w:name w:val="HeaderLandscape"/>
    <w:basedOn w:val="Normal"/>
    <w:pPr>
      <w:tabs>
        <w:tab w:val="center" w:pos="7285"/>
        <w:tab w:val="right" w:pos="14003"/>
      </w:tabs>
      <w:spacing w:before="0"/>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9"/>
      </w:numPr>
    </w:pPr>
  </w:style>
  <w:style w:type="paragraph" w:customStyle="1" w:styleId="NumPar2">
    <w:name w:val="NumPar 2"/>
    <w:basedOn w:val="Normal"/>
    <w:next w:val="Normal"/>
    <w:pPr>
      <w:numPr>
        <w:ilvl w:val="1"/>
        <w:numId w:val="19"/>
      </w:numPr>
    </w:pPr>
  </w:style>
  <w:style w:type="paragraph" w:customStyle="1" w:styleId="NumPar3">
    <w:name w:val="NumPar 3"/>
    <w:basedOn w:val="Normal"/>
    <w:next w:val="Normal"/>
    <w:pPr>
      <w:numPr>
        <w:ilvl w:val="2"/>
        <w:numId w:val="19"/>
      </w:numPr>
    </w:pPr>
  </w:style>
  <w:style w:type="paragraph" w:customStyle="1" w:styleId="NumPar4">
    <w:name w:val="NumPar 4"/>
    <w:basedOn w:val="Normal"/>
    <w:next w:val="Normal"/>
    <w:pPr>
      <w:numPr>
        <w:ilvl w:val="3"/>
        <w:numId w:val="1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8"/>
      </w:numPr>
    </w:pPr>
  </w:style>
  <w:style w:type="paragraph" w:customStyle="1" w:styleId="Point0number">
    <w:name w:val="Point 0 (number)"/>
    <w:basedOn w:val="Normal"/>
    <w:pPr>
      <w:numPr>
        <w:numId w:val="2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8"/>
      </w:numPr>
    </w:pPr>
  </w:style>
  <w:style w:type="paragraph" w:customStyle="1" w:styleId="Point1number">
    <w:name w:val="Point 1 (number)"/>
    <w:basedOn w:val="Normal"/>
    <w:pPr>
      <w:numPr>
        <w:ilvl w:val="2"/>
        <w:numId w:val="2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8"/>
      </w:numPr>
    </w:pPr>
  </w:style>
  <w:style w:type="paragraph" w:customStyle="1" w:styleId="Point2number">
    <w:name w:val="Point 2 (number)"/>
    <w:basedOn w:val="Normal"/>
    <w:pPr>
      <w:numPr>
        <w:ilvl w:val="4"/>
        <w:numId w:val="2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8"/>
      </w:numPr>
    </w:pPr>
  </w:style>
  <w:style w:type="paragraph" w:customStyle="1" w:styleId="Point3number">
    <w:name w:val="Point 3 (number)"/>
    <w:basedOn w:val="Normal"/>
    <w:pPr>
      <w:numPr>
        <w:ilvl w:val="6"/>
        <w:numId w:val="2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4605">
      <w:bodyDiv w:val="1"/>
      <w:marLeft w:val="0"/>
      <w:marRight w:val="0"/>
      <w:marTop w:val="0"/>
      <w:marBottom w:val="0"/>
      <w:divBdr>
        <w:top w:val="none" w:sz="0" w:space="0" w:color="auto"/>
        <w:left w:val="none" w:sz="0" w:space="0" w:color="auto"/>
        <w:bottom w:val="none" w:sz="0" w:space="0" w:color="auto"/>
        <w:right w:val="none" w:sz="0" w:space="0" w:color="auto"/>
      </w:divBdr>
      <w:divsChild>
        <w:div w:id="1300844268">
          <w:marLeft w:val="0"/>
          <w:marRight w:val="0"/>
          <w:marTop w:val="0"/>
          <w:marBottom w:val="0"/>
          <w:divBdr>
            <w:top w:val="none" w:sz="0" w:space="0" w:color="auto"/>
            <w:left w:val="none" w:sz="0" w:space="0" w:color="auto"/>
            <w:bottom w:val="none" w:sz="0" w:space="0" w:color="auto"/>
            <w:right w:val="none" w:sz="0" w:space="0" w:color="auto"/>
          </w:divBdr>
          <w:divsChild>
            <w:div w:id="1177771957">
              <w:marLeft w:val="0"/>
              <w:marRight w:val="0"/>
              <w:marTop w:val="0"/>
              <w:marBottom w:val="0"/>
              <w:divBdr>
                <w:top w:val="none" w:sz="0" w:space="0" w:color="auto"/>
                <w:left w:val="none" w:sz="0" w:space="0" w:color="auto"/>
                <w:bottom w:val="none" w:sz="0" w:space="0" w:color="auto"/>
                <w:right w:val="none" w:sz="0" w:space="0" w:color="auto"/>
              </w:divBdr>
              <w:divsChild>
                <w:div w:id="2079786226">
                  <w:marLeft w:val="0"/>
                  <w:marRight w:val="0"/>
                  <w:marTop w:val="0"/>
                  <w:marBottom w:val="0"/>
                  <w:divBdr>
                    <w:top w:val="none" w:sz="0" w:space="0" w:color="auto"/>
                    <w:left w:val="none" w:sz="0" w:space="0" w:color="auto"/>
                    <w:bottom w:val="none" w:sz="0" w:space="0" w:color="auto"/>
                    <w:right w:val="none" w:sz="0" w:space="0" w:color="auto"/>
                  </w:divBdr>
                  <w:divsChild>
                    <w:div w:id="12039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488B-D609-46E8-9038-C99BF312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397</Words>
  <Characters>2477</Characters>
  <Application>Microsoft Office Word</Application>
  <DocSecurity>0</DocSecurity>
  <Lines>66</Lines>
  <Paragraphs>53</Paragraphs>
  <ScaleCrop>false</ScaleCrop>
  <HeadingPairs>
    <vt:vector size="2" baseType="variant">
      <vt:variant>
        <vt:lpstr>Title</vt:lpstr>
      </vt:variant>
      <vt:variant>
        <vt:i4>1</vt:i4>
      </vt:variant>
    </vt:vector>
  </HeadingPairs>
  <TitlesOfParts>
    <vt:vector size="1" baseType="lpstr">
      <vt:lpstr>SANTE/7125/2017-EN ANNEX</vt:lpstr>
    </vt:vector>
  </TitlesOfParts>
  <Company>European Commission</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SANTE/7125/2017-EN ANNEX</dc:title>
  <dc:subject>Annex</dc:subject>
  <dc:creator>OLSEN Anne-Marie (SANCO)</dc:creator>
  <cp:keywords>7125</cp:keywords>
  <dc:description>OUTLOOK - 20.12.2017</dc:description>
  <cp:lastModifiedBy>DIGIT/A3</cp:lastModifiedBy>
  <cp:revision>8</cp:revision>
  <cp:lastPrinted>2017-10-31T11:47:00Z</cp:lastPrinted>
  <dcterms:created xsi:type="dcterms:W3CDTF">2018-01-17T10:27:00Z</dcterms:created>
  <dcterms:modified xsi:type="dcterms:W3CDTF">2018-01-23T08:13:00Z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