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785" w:rsidRDefault="00622139" w:rsidP="00622139">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421101A3-C240-4E76-A715-B40501BF5F54" style="width:450.75pt;height:449.25pt">
            <v:imagedata r:id="rId12" o:title=""/>
          </v:shape>
        </w:pict>
      </w:r>
    </w:p>
    <w:bookmarkEnd w:id="0"/>
    <w:p w:rsidR="00360785" w:rsidRDefault="00360785">
      <w:pPr>
        <w:pStyle w:val="Pagedecouverture"/>
        <w:rPr>
          <w:noProof/>
        </w:rPr>
        <w:sectPr w:rsidR="00360785" w:rsidSect="00622139">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rsidR="00360785" w:rsidRDefault="00360785">
      <w:pPr>
        <w:rPr>
          <w:noProof/>
        </w:rPr>
      </w:pPr>
      <w:bookmarkStart w:id="1" w:name="_GoBack"/>
      <w:bookmarkEnd w:id="1"/>
    </w:p>
    <w:tbl>
      <w:tblPr>
        <w:tblStyle w:val="TableGrid"/>
        <w:tblW w:w="10188" w:type="dxa"/>
        <w:tblLook w:val="01E0" w:firstRow="1" w:lastRow="1" w:firstColumn="1" w:lastColumn="1" w:noHBand="0" w:noVBand="0"/>
      </w:tblPr>
      <w:tblGrid>
        <w:gridCol w:w="10188"/>
      </w:tblGrid>
      <w:tr w:rsidR="00360785">
        <w:tc>
          <w:tcPr>
            <w:tcW w:w="10188" w:type="dxa"/>
            <w:tcBorders>
              <w:bottom w:val="single" w:sz="4" w:space="0" w:color="auto"/>
            </w:tcBorders>
            <w:shd w:val="clear" w:color="auto" w:fill="CCCCCC"/>
          </w:tcPr>
          <w:p w:rsidR="00360785" w:rsidRDefault="00722322">
            <w:pPr>
              <w:spacing w:before="60" w:after="60"/>
              <w:jc w:val="center"/>
              <w:rPr>
                <w:rFonts w:ascii="Tahoma" w:hAnsi="Tahoma" w:cs="Tahoma"/>
                <w:b/>
                <w:noProof/>
                <w:sz w:val="22"/>
                <w:szCs w:val="22"/>
              </w:rPr>
            </w:pPr>
            <w:r>
              <w:rPr>
                <w:rFonts w:ascii="Tahoma" w:hAnsi="Tahoma"/>
                <w:b/>
                <w:noProof/>
                <w:sz w:val="22"/>
              </w:rPr>
              <w:t>Обобщение</w:t>
            </w:r>
          </w:p>
        </w:tc>
      </w:tr>
      <w:tr w:rsidR="00360785">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rsidR="00360785" w:rsidRDefault="00722322">
            <w:pPr>
              <w:spacing w:before="120" w:after="120"/>
              <w:jc w:val="both"/>
              <w:rPr>
                <w:rFonts w:ascii="Tahoma" w:hAnsi="Tahoma" w:cs="Tahoma"/>
                <w:noProof/>
                <w:color w:val="FFFFFF" w:themeColor="background1"/>
                <w:sz w:val="20"/>
                <w:szCs w:val="20"/>
              </w:rPr>
            </w:pPr>
            <w:r>
              <w:rPr>
                <w:rFonts w:ascii="Tahoma" w:hAnsi="Tahoma"/>
                <w:noProof/>
                <w:color w:val="FFFFFF" w:themeColor="background1"/>
                <w:sz w:val="20"/>
              </w:rPr>
              <w:t>Оценка на въздействието на предложение за преработване на регламент за определяне на стандарти за емисиите на CO</w:t>
            </w:r>
            <w:r>
              <w:rPr>
                <w:rFonts w:ascii="Tahoma" w:hAnsi="Tahoma"/>
                <w:noProof/>
                <w:color w:val="FFFFFF" w:themeColor="background1"/>
                <w:sz w:val="20"/>
                <w:vertAlign w:val="subscript"/>
              </w:rPr>
              <w:t>2</w:t>
            </w:r>
            <w:r>
              <w:rPr>
                <w:rFonts w:ascii="Tahoma" w:hAnsi="Tahoma"/>
                <w:noProof/>
                <w:color w:val="FFFFFF" w:themeColor="background1"/>
                <w:sz w:val="20"/>
              </w:rPr>
              <w:t xml:space="preserve"> от нови пътнически леки автомобили и нови леки търговски превозни средства и за отмяна на регламенти (ЕО) № 443/2009 и (ЕС) № 510/2011.</w:t>
            </w:r>
          </w:p>
        </w:tc>
      </w:tr>
      <w:tr w:rsidR="00360785">
        <w:tc>
          <w:tcPr>
            <w:tcW w:w="10188" w:type="dxa"/>
            <w:tcBorders>
              <w:bottom w:val="single" w:sz="4" w:space="0" w:color="auto"/>
            </w:tcBorders>
            <w:shd w:val="clear" w:color="auto" w:fill="CCCCCC"/>
          </w:tcPr>
          <w:p w:rsidR="00360785" w:rsidRDefault="00722322">
            <w:pPr>
              <w:spacing w:before="60" w:after="60"/>
              <w:jc w:val="center"/>
              <w:rPr>
                <w:rFonts w:ascii="Tahoma" w:hAnsi="Tahoma" w:cs="Tahoma"/>
                <w:b/>
                <w:noProof/>
                <w:sz w:val="22"/>
                <w:szCs w:val="22"/>
              </w:rPr>
            </w:pPr>
            <w:r>
              <w:rPr>
                <w:rFonts w:ascii="Tahoma" w:hAnsi="Tahoma"/>
                <w:b/>
                <w:noProof/>
                <w:sz w:val="22"/>
              </w:rPr>
              <w:t>A. Необходимост от действия</w:t>
            </w:r>
          </w:p>
        </w:tc>
      </w:tr>
      <w:tr w:rsidR="00360785">
        <w:tc>
          <w:tcPr>
            <w:tcW w:w="10188" w:type="dxa"/>
            <w:tcBorders>
              <w:bottom w:val="single" w:sz="4" w:space="0" w:color="auto"/>
            </w:tcBorders>
            <w:shd w:val="clear" w:color="auto" w:fill="E0E0E0"/>
          </w:tcPr>
          <w:p w:rsidR="00360785" w:rsidRDefault="00722322">
            <w:pPr>
              <w:spacing w:before="60" w:after="60"/>
              <w:jc w:val="both"/>
              <w:rPr>
                <w:rFonts w:ascii="Tahoma" w:hAnsi="Tahoma" w:cs="Tahoma"/>
                <w:noProof/>
                <w:sz w:val="20"/>
                <w:szCs w:val="20"/>
              </w:rPr>
            </w:pPr>
            <w:r>
              <w:rPr>
                <w:rFonts w:ascii="Tahoma" w:hAnsi="Tahoma"/>
                <w:b/>
                <w:noProof/>
                <w:sz w:val="20"/>
              </w:rPr>
              <w:t xml:space="preserve">Защо? Какъв е разглежданият проблем? </w:t>
            </w:r>
          </w:p>
        </w:tc>
      </w:tr>
      <w:tr w:rsidR="00360785">
        <w:tc>
          <w:tcPr>
            <w:tcW w:w="10188" w:type="dxa"/>
            <w:tcBorders>
              <w:bottom w:val="single" w:sz="4" w:space="0" w:color="auto"/>
            </w:tcBorders>
            <w:shd w:val="clear" w:color="auto" w:fill="auto"/>
          </w:tcPr>
          <w:p w:rsidR="00360785" w:rsidRDefault="00360785">
            <w:pPr>
              <w:jc w:val="both"/>
              <w:rPr>
                <w:rFonts w:ascii="Arial" w:hAnsi="Arial" w:cs="Arial"/>
                <w:noProof/>
                <w:sz w:val="20"/>
                <w:szCs w:val="20"/>
              </w:rPr>
            </w:pPr>
          </w:p>
          <w:p w:rsidR="00360785" w:rsidRDefault="00722322">
            <w:pPr>
              <w:jc w:val="both"/>
              <w:rPr>
                <w:rFonts w:ascii="Arial" w:hAnsi="Arial" w:cs="Arial"/>
                <w:noProof/>
                <w:sz w:val="20"/>
                <w:szCs w:val="20"/>
              </w:rPr>
            </w:pPr>
            <w:r>
              <w:rPr>
                <w:rFonts w:ascii="Arial" w:hAnsi="Arial"/>
                <w:noProof/>
                <w:sz w:val="20"/>
              </w:rPr>
              <w:t>Действащите понастоящем регламенти определиха важащи за целия ЕС цели за емисиите на СО</w:t>
            </w:r>
            <w:r>
              <w:rPr>
                <w:rFonts w:ascii="Arial" w:hAnsi="Arial"/>
                <w:noProof/>
                <w:sz w:val="20"/>
                <w:vertAlign w:val="subscript"/>
              </w:rPr>
              <w:t>2</w:t>
            </w:r>
            <w:r>
              <w:rPr>
                <w:rFonts w:ascii="Arial" w:hAnsi="Arial"/>
                <w:noProof/>
                <w:sz w:val="20"/>
              </w:rPr>
              <w:t xml:space="preserve"> за нови леки автомобили и микробуси до 2020/2021 г. Стандартите бяха основен инструмент за осъществяването на иновации и инвестиции в технологии с ниски въглеродни емисии. Те помогнаха на автомобилната промишленост на ЕС да запази водещата си роля в технологиите и да намали емисиите на CO</w:t>
            </w:r>
            <w:r>
              <w:rPr>
                <w:rFonts w:ascii="Arial" w:hAnsi="Arial"/>
                <w:noProof/>
                <w:sz w:val="20"/>
                <w:vertAlign w:val="subscript"/>
              </w:rPr>
              <w:t>2</w:t>
            </w:r>
            <w:r>
              <w:rPr>
                <w:rFonts w:ascii="Arial" w:hAnsi="Arial"/>
                <w:noProof/>
                <w:sz w:val="20"/>
              </w:rPr>
              <w:t xml:space="preserve"> от нови превозни средства. Потребителите спечелиха от по-ниските разходи за гориво. </w:t>
            </w:r>
          </w:p>
          <w:p w:rsidR="00360785" w:rsidRDefault="00360785">
            <w:pPr>
              <w:jc w:val="both"/>
              <w:rPr>
                <w:rFonts w:ascii="Arial" w:hAnsi="Arial" w:cs="Arial"/>
                <w:noProof/>
                <w:sz w:val="20"/>
                <w:szCs w:val="20"/>
              </w:rPr>
            </w:pPr>
          </w:p>
          <w:p w:rsidR="00360785" w:rsidRDefault="00722322">
            <w:pPr>
              <w:jc w:val="both"/>
              <w:rPr>
                <w:rFonts w:ascii="Arial" w:hAnsi="Arial" w:cs="Arial"/>
                <w:noProof/>
                <w:sz w:val="20"/>
                <w:szCs w:val="20"/>
              </w:rPr>
            </w:pPr>
            <w:r>
              <w:rPr>
                <w:rFonts w:ascii="Arial" w:hAnsi="Arial"/>
                <w:noProof/>
                <w:sz w:val="20"/>
              </w:rPr>
              <w:t>Бяха установени обаче следните основни проблеми: 1) Разпространението на най-ефективните превозни средства, включително на превозни средства с ниски и нулеви емисии, не е достатъчно за изпълнението на ангажиментите, поети в рамките на Парижкото споразумение, и за подобряването на качеството на въздуха, по-специално в градските зони. 2) Потребителите пропускат възможни икономии на гориво. 3) Съществува риск ЕС да загуби конкурентното си предимство поради недостатъчни иновации в автомобилните технологии с ниски емисии в дългосрочен план.</w:t>
            </w:r>
          </w:p>
          <w:p w:rsidR="00360785" w:rsidRDefault="00360785">
            <w:pPr>
              <w:jc w:val="both"/>
              <w:rPr>
                <w:rFonts w:ascii="Arial" w:hAnsi="Arial" w:cs="Arial"/>
                <w:noProof/>
                <w:sz w:val="20"/>
                <w:szCs w:val="20"/>
              </w:rPr>
            </w:pPr>
          </w:p>
        </w:tc>
      </w:tr>
      <w:tr w:rsidR="00360785">
        <w:tc>
          <w:tcPr>
            <w:tcW w:w="10188" w:type="dxa"/>
            <w:tcBorders>
              <w:bottom w:val="single" w:sz="4" w:space="0" w:color="auto"/>
            </w:tcBorders>
            <w:shd w:val="clear" w:color="auto" w:fill="E6E6E6"/>
          </w:tcPr>
          <w:p w:rsidR="00360785" w:rsidRDefault="00722322">
            <w:pPr>
              <w:spacing w:before="60" w:after="60"/>
              <w:jc w:val="both"/>
              <w:rPr>
                <w:rFonts w:ascii="Tahoma" w:hAnsi="Tahoma" w:cs="Tahoma"/>
                <w:noProof/>
                <w:sz w:val="20"/>
                <w:szCs w:val="20"/>
              </w:rPr>
            </w:pPr>
            <w:r>
              <w:rPr>
                <w:rFonts w:ascii="Tahoma" w:hAnsi="Tahoma"/>
                <w:b/>
                <w:noProof/>
                <w:sz w:val="20"/>
              </w:rPr>
              <w:t xml:space="preserve">Какво се очаква да бъде постигнато с настоящата инициатива? </w:t>
            </w:r>
          </w:p>
        </w:tc>
      </w:tr>
      <w:tr w:rsidR="00360785">
        <w:tc>
          <w:tcPr>
            <w:tcW w:w="10188" w:type="dxa"/>
            <w:tcBorders>
              <w:bottom w:val="single" w:sz="4" w:space="0" w:color="auto"/>
            </w:tcBorders>
            <w:shd w:val="clear" w:color="auto" w:fill="auto"/>
          </w:tcPr>
          <w:p w:rsidR="00360785" w:rsidRDefault="00360785">
            <w:pPr>
              <w:jc w:val="both"/>
              <w:rPr>
                <w:rFonts w:ascii="Arial" w:hAnsi="Arial" w:cs="Arial"/>
                <w:noProof/>
                <w:sz w:val="20"/>
                <w:szCs w:val="20"/>
              </w:rPr>
            </w:pPr>
          </w:p>
          <w:p w:rsidR="00360785" w:rsidRDefault="00722322">
            <w:pPr>
              <w:jc w:val="both"/>
              <w:rPr>
                <w:rFonts w:ascii="Arial" w:hAnsi="Arial" w:cs="Arial"/>
                <w:noProof/>
                <w:sz w:val="20"/>
                <w:szCs w:val="20"/>
              </w:rPr>
            </w:pPr>
            <w:r>
              <w:rPr>
                <w:rFonts w:ascii="Arial" w:hAnsi="Arial"/>
                <w:noProof/>
                <w:sz w:val="20"/>
              </w:rPr>
              <w:t>Очаква се инициативата: 1) да допринесе за изпълнението на ангажиментите на ЕС в рамките на Парижкото споразумение чрез намаляване на емисиите на CO</w:t>
            </w:r>
            <w:r>
              <w:rPr>
                <w:rFonts w:ascii="Arial" w:hAnsi="Arial"/>
                <w:noProof/>
                <w:sz w:val="20"/>
                <w:vertAlign w:val="subscript"/>
              </w:rPr>
              <w:t>2</w:t>
            </w:r>
            <w:r>
              <w:rPr>
                <w:rFonts w:ascii="Arial" w:hAnsi="Arial"/>
                <w:noProof/>
                <w:sz w:val="20"/>
              </w:rPr>
              <w:t xml:space="preserve"> от леки автомобили и микробуси по икономически ефективен начин, 2) да намали разходите за консумация на гориво за потребителите, 3) да засили конкурентоспособността на автомобилната промишленост на ЕС и да стимулира заетостта.</w:t>
            </w:r>
          </w:p>
          <w:p w:rsidR="00360785" w:rsidRDefault="00360785">
            <w:pPr>
              <w:jc w:val="both"/>
              <w:rPr>
                <w:rFonts w:ascii="Arial" w:hAnsi="Arial" w:cs="Arial"/>
                <w:noProof/>
                <w:sz w:val="20"/>
                <w:szCs w:val="20"/>
              </w:rPr>
            </w:pPr>
          </w:p>
        </w:tc>
      </w:tr>
      <w:tr w:rsidR="00360785">
        <w:tc>
          <w:tcPr>
            <w:tcW w:w="10188" w:type="dxa"/>
            <w:tcBorders>
              <w:bottom w:val="single" w:sz="4" w:space="0" w:color="auto"/>
            </w:tcBorders>
            <w:shd w:val="clear" w:color="auto" w:fill="E6E6E6"/>
          </w:tcPr>
          <w:p w:rsidR="00360785" w:rsidRDefault="00722322">
            <w:pPr>
              <w:spacing w:before="60" w:after="60"/>
              <w:jc w:val="both"/>
              <w:rPr>
                <w:rFonts w:ascii="Tahoma" w:hAnsi="Tahoma" w:cs="Tahoma"/>
                <w:noProof/>
                <w:sz w:val="20"/>
                <w:szCs w:val="20"/>
              </w:rPr>
            </w:pPr>
            <w:r>
              <w:rPr>
                <w:rFonts w:ascii="Tahoma" w:hAnsi="Tahoma"/>
                <w:b/>
                <w:noProof/>
                <w:sz w:val="20"/>
              </w:rPr>
              <w:t>Каква е добавената стойност от действия на равнището на ЕС?</w:t>
            </w:r>
            <w:r>
              <w:rPr>
                <w:rFonts w:ascii="Tahoma" w:hAnsi="Tahoma"/>
                <w:noProof/>
                <w:sz w:val="20"/>
              </w:rPr>
              <w:t xml:space="preserve"> </w:t>
            </w:r>
          </w:p>
        </w:tc>
      </w:tr>
      <w:tr w:rsidR="00360785">
        <w:tc>
          <w:tcPr>
            <w:tcW w:w="10188" w:type="dxa"/>
            <w:tcBorders>
              <w:bottom w:val="single" w:sz="4" w:space="0" w:color="auto"/>
            </w:tcBorders>
            <w:shd w:val="clear" w:color="auto" w:fill="auto"/>
          </w:tcPr>
          <w:p w:rsidR="00360785" w:rsidRDefault="00360785">
            <w:pPr>
              <w:jc w:val="both"/>
              <w:rPr>
                <w:rFonts w:ascii="Arial" w:hAnsi="Arial" w:cs="Arial"/>
                <w:noProof/>
                <w:sz w:val="20"/>
                <w:szCs w:val="20"/>
              </w:rPr>
            </w:pPr>
          </w:p>
          <w:p w:rsidR="00360785" w:rsidRDefault="00722322">
            <w:pPr>
              <w:jc w:val="both"/>
              <w:rPr>
                <w:rFonts w:ascii="Arial" w:hAnsi="Arial" w:cs="Arial"/>
                <w:noProof/>
                <w:sz w:val="20"/>
                <w:szCs w:val="20"/>
              </w:rPr>
            </w:pPr>
            <w:r>
              <w:rPr>
                <w:rFonts w:ascii="Arial" w:hAnsi="Arial"/>
                <w:noProof/>
                <w:sz w:val="20"/>
              </w:rPr>
              <w:t>Без допълнителни действия от страна на ЕС допълнителното намаляване на емисиите на CO</w:t>
            </w:r>
            <w:r>
              <w:rPr>
                <w:rFonts w:ascii="Arial" w:hAnsi="Arial"/>
                <w:noProof/>
                <w:sz w:val="20"/>
                <w:vertAlign w:val="subscript"/>
              </w:rPr>
              <w:t>2</w:t>
            </w:r>
            <w:r>
              <w:rPr>
                <w:rFonts w:ascii="Arial" w:hAnsi="Arial"/>
                <w:noProof/>
                <w:sz w:val="20"/>
              </w:rPr>
              <w:t xml:space="preserve"> от нови леки автомобили и микробуси вероятно ще бъде незначително. Определянето на стандарти за емисиите на CO</w:t>
            </w:r>
            <w:r>
              <w:rPr>
                <w:rFonts w:ascii="Arial" w:hAnsi="Arial"/>
                <w:noProof/>
                <w:sz w:val="20"/>
                <w:vertAlign w:val="subscript"/>
              </w:rPr>
              <w:t>2</w:t>
            </w:r>
            <w:r>
              <w:rPr>
                <w:rFonts w:ascii="Arial" w:hAnsi="Arial"/>
                <w:noProof/>
                <w:sz w:val="20"/>
              </w:rPr>
              <w:t xml:space="preserve"> след 2020 г. ще помогне на държавите членки да постигнат своите цели за намаляване на емисиите до 2030 г., предложени в рамките на Регламента за разпределяне на усилията. Вероятно е използването само на национални и местни инициативи да е по-малко ефективно, тъй като съществува риск те да не са съгласувани и поради това да доведат до разпокъсване на вътрешния пазар. </w:t>
            </w:r>
          </w:p>
          <w:p w:rsidR="00360785" w:rsidRDefault="00360785">
            <w:pPr>
              <w:spacing w:before="60"/>
              <w:jc w:val="both"/>
              <w:rPr>
                <w:rFonts w:ascii="Arial" w:hAnsi="Arial" w:cs="Arial"/>
                <w:noProof/>
                <w:sz w:val="20"/>
                <w:szCs w:val="20"/>
              </w:rPr>
            </w:pPr>
          </w:p>
        </w:tc>
      </w:tr>
    </w:tbl>
    <w:p w:rsidR="00360785" w:rsidRDefault="00360785">
      <w:pPr>
        <w:rPr>
          <w:noProof/>
        </w:rPr>
      </w:pPr>
    </w:p>
    <w:tbl>
      <w:tblPr>
        <w:tblStyle w:val="TableGrid"/>
        <w:tblW w:w="10188" w:type="dxa"/>
        <w:tblLook w:val="01E0" w:firstRow="1" w:lastRow="1" w:firstColumn="1" w:lastColumn="1" w:noHBand="0" w:noVBand="0"/>
      </w:tblPr>
      <w:tblGrid>
        <w:gridCol w:w="10188"/>
      </w:tblGrid>
      <w:tr w:rsidR="00360785">
        <w:tc>
          <w:tcPr>
            <w:tcW w:w="10188" w:type="dxa"/>
            <w:tcBorders>
              <w:bottom w:val="single" w:sz="4" w:space="0" w:color="auto"/>
            </w:tcBorders>
            <w:shd w:val="clear" w:color="auto" w:fill="CCCCCC"/>
          </w:tcPr>
          <w:p w:rsidR="00360785" w:rsidRDefault="00722322">
            <w:pPr>
              <w:spacing w:before="60" w:after="60"/>
              <w:jc w:val="center"/>
              <w:rPr>
                <w:rFonts w:ascii="Tahoma" w:hAnsi="Tahoma" w:cs="Tahoma"/>
                <w:b/>
                <w:noProof/>
                <w:sz w:val="22"/>
                <w:szCs w:val="22"/>
              </w:rPr>
            </w:pPr>
            <w:r>
              <w:rPr>
                <w:rFonts w:ascii="Tahoma" w:hAnsi="Tahoma"/>
                <w:b/>
                <w:noProof/>
                <w:sz w:val="22"/>
              </w:rPr>
              <w:t>Б. Решения</w:t>
            </w:r>
          </w:p>
        </w:tc>
      </w:tr>
      <w:tr w:rsidR="00360785">
        <w:tc>
          <w:tcPr>
            <w:tcW w:w="10188" w:type="dxa"/>
            <w:tcBorders>
              <w:bottom w:val="single" w:sz="4" w:space="0" w:color="auto"/>
            </w:tcBorders>
            <w:shd w:val="clear" w:color="auto" w:fill="E6E6E6"/>
          </w:tcPr>
          <w:p w:rsidR="00360785" w:rsidRDefault="00722322">
            <w:pPr>
              <w:spacing w:before="60"/>
              <w:jc w:val="both"/>
              <w:rPr>
                <w:rFonts w:ascii="Tahoma" w:hAnsi="Tahoma" w:cs="Tahoma"/>
                <w:noProof/>
                <w:sz w:val="20"/>
                <w:szCs w:val="20"/>
              </w:rPr>
            </w:pPr>
            <w:r>
              <w:rPr>
                <w:rFonts w:ascii="Tahoma" w:hAnsi="Tahoma"/>
                <w:b/>
                <w:noProof/>
                <w:sz w:val="20"/>
              </w:rPr>
              <w:t>Какви законодателни и незаконодателни варианти на политиката са разгледани? Има ли предпочитан вариант? Защо?</w:t>
            </w:r>
            <w:r>
              <w:rPr>
                <w:rFonts w:ascii="Tahoma" w:hAnsi="Tahoma"/>
                <w:noProof/>
                <w:sz w:val="20"/>
              </w:rPr>
              <w:t xml:space="preserve"> </w:t>
            </w:r>
          </w:p>
        </w:tc>
      </w:tr>
      <w:tr w:rsidR="00360785">
        <w:tc>
          <w:tcPr>
            <w:tcW w:w="10188" w:type="dxa"/>
            <w:tcBorders>
              <w:bottom w:val="single" w:sz="4" w:space="0" w:color="auto"/>
            </w:tcBorders>
            <w:shd w:val="clear" w:color="auto" w:fill="auto"/>
          </w:tcPr>
          <w:p w:rsidR="00360785" w:rsidRDefault="00360785">
            <w:pPr>
              <w:jc w:val="both"/>
              <w:rPr>
                <w:rFonts w:ascii="Arial" w:hAnsi="Arial" w:cs="Arial"/>
                <w:noProof/>
                <w:sz w:val="20"/>
                <w:szCs w:val="20"/>
              </w:rPr>
            </w:pPr>
          </w:p>
          <w:p w:rsidR="00360785" w:rsidRDefault="00722322">
            <w:pPr>
              <w:jc w:val="both"/>
              <w:rPr>
                <w:rFonts w:ascii="Arial" w:hAnsi="Arial" w:cs="Arial"/>
                <w:noProof/>
                <w:sz w:val="20"/>
                <w:szCs w:val="20"/>
              </w:rPr>
            </w:pPr>
            <w:r>
              <w:rPr>
                <w:rFonts w:ascii="Arial" w:hAnsi="Arial"/>
                <w:noProof/>
                <w:sz w:val="20"/>
              </w:rPr>
              <w:t>Бяха разгледани различни варианти на политика по следните въпроси:</w:t>
            </w:r>
          </w:p>
          <w:p w:rsidR="00360785" w:rsidRDefault="00722322">
            <w:pPr>
              <w:pStyle w:val="ListParagraph"/>
              <w:numPr>
                <w:ilvl w:val="0"/>
                <w:numId w:val="6"/>
              </w:numPr>
              <w:jc w:val="both"/>
              <w:rPr>
                <w:rFonts w:ascii="Arial" w:hAnsi="Arial" w:cs="Arial"/>
                <w:noProof/>
                <w:sz w:val="20"/>
                <w:szCs w:val="20"/>
              </w:rPr>
            </w:pPr>
            <w:r>
              <w:rPr>
                <w:rFonts w:ascii="Arial" w:hAnsi="Arial"/>
                <w:noProof/>
                <w:sz w:val="20"/>
              </w:rPr>
              <w:t>цели за емисиите на CO</w:t>
            </w:r>
            <w:r>
              <w:rPr>
                <w:rFonts w:ascii="Arial" w:hAnsi="Arial"/>
                <w:noProof/>
                <w:sz w:val="20"/>
                <w:vertAlign w:val="subscript"/>
              </w:rPr>
              <w:t>2</w:t>
            </w:r>
            <w:r>
              <w:rPr>
                <w:rFonts w:ascii="Arial" w:hAnsi="Arial"/>
                <w:noProof/>
                <w:sz w:val="20"/>
              </w:rPr>
              <w:t xml:space="preserve"> </w:t>
            </w:r>
          </w:p>
          <w:p w:rsidR="00360785" w:rsidRDefault="00722322">
            <w:pPr>
              <w:pStyle w:val="ListParagraph"/>
              <w:numPr>
                <w:ilvl w:val="0"/>
                <w:numId w:val="6"/>
              </w:numPr>
              <w:jc w:val="both"/>
              <w:rPr>
                <w:rFonts w:ascii="Arial" w:hAnsi="Arial" w:cs="Arial"/>
                <w:noProof/>
                <w:sz w:val="20"/>
                <w:szCs w:val="20"/>
              </w:rPr>
            </w:pPr>
            <w:r>
              <w:rPr>
                <w:rFonts w:ascii="Arial" w:hAnsi="Arial"/>
                <w:noProof/>
                <w:sz w:val="20"/>
              </w:rPr>
              <w:t xml:space="preserve">разпределяне на усилието между производителите </w:t>
            </w:r>
          </w:p>
          <w:p w:rsidR="00360785" w:rsidRDefault="00722322">
            <w:pPr>
              <w:pStyle w:val="ListParagraph"/>
              <w:numPr>
                <w:ilvl w:val="0"/>
                <w:numId w:val="6"/>
              </w:numPr>
              <w:jc w:val="both"/>
              <w:rPr>
                <w:rFonts w:ascii="Arial" w:hAnsi="Arial" w:cs="Arial"/>
                <w:noProof/>
                <w:sz w:val="20"/>
                <w:szCs w:val="20"/>
              </w:rPr>
            </w:pPr>
            <w:r>
              <w:rPr>
                <w:rFonts w:ascii="Arial" w:hAnsi="Arial"/>
                <w:noProof/>
                <w:sz w:val="20"/>
              </w:rPr>
              <w:t>стимули за използване на превозни средства с ниски и нулеви емисии (LEV/ZEV)</w:t>
            </w:r>
          </w:p>
          <w:p w:rsidR="00360785" w:rsidRDefault="00722322">
            <w:pPr>
              <w:pStyle w:val="ListParagraph"/>
              <w:numPr>
                <w:ilvl w:val="0"/>
                <w:numId w:val="6"/>
              </w:numPr>
              <w:jc w:val="both"/>
              <w:rPr>
                <w:rFonts w:ascii="Arial" w:hAnsi="Arial" w:cs="Arial"/>
                <w:noProof/>
                <w:sz w:val="20"/>
                <w:szCs w:val="20"/>
              </w:rPr>
            </w:pPr>
            <w:r>
              <w:rPr>
                <w:rFonts w:ascii="Arial" w:hAnsi="Arial"/>
                <w:noProof/>
                <w:sz w:val="20"/>
              </w:rPr>
              <w:t>елементи за икономически ефективно изпълнение</w:t>
            </w:r>
          </w:p>
          <w:p w:rsidR="00360785" w:rsidRDefault="00722322">
            <w:pPr>
              <w:pStyle w:val="ListParagraph"/>
              <w:numPr>
                <w:ilvl w:val="0"/>
                <w:numId w:val="6"/>
              </w:numPr>
              <w:jc w:val="both"/>
              <w:rPr>
                <w:rFonts w:ascii="Arial" w:hAnsi="Arial" w:cs="Arial"/>
                <w:noProof/>
                <w:sz w:val="20"/>
                <w:szCs w:val="20"/>
              </w:rPr>
            </w:pPr>
            <w:r>
              <w:rPr>
                <w:rFonts w:ascii="Arial" w:hAnsi="Arial"/>
                <w:noProof/>
                <w:sz w:val="20"/>
              </w:rPr>
              <w:t xml:space="preserve">укрепване на управлението </w:t>
            </w:r>
          </w:p>
          <w:p w:rsidR="00360785" w:rsidRDefault="00360785">
            <w:pPr>
              <w:spacing w:before="60"/>
              <w:jc w:val="both"/>
              <w:rPr>
                <w:rFonts w:ascii="Arial" w:hAnsi="Arial" w:cs="Arial"/>
                <w:noProof/>
                <w:sz w:val="20"/>
                <w:szCs w:val="20"/>
              </w:rPr>
            </w:pPr>
          </w:p>
        </w:tc>
      </w:tr>
      <w:tr w:rsidR="00360785">
        <w:tc>
          <w:tcPr>
            <w:tcW w:w="10188" w:type="dxa"/>
            <w:shd w:val="clear" w:color="auto" w:fill="CCCCCC"/>
          </w:tcPr>
          <w:p w:rsidR="00360785" w:rsidRDefault="00722322">
            <w:pPr>
              <w:spacing w:before="60"/>
              <w:jc w:val="both"/>
              <w:rPr>
                <w:rFonts w:ascii="Tahoma" w:hAnsi="Tahoma" w:cs="Tahoma"/>
                <w:noProof/>
                <w:sz w:val="20"/>
                <w:szCs w:val="20"/>
              </w:rPr>
            </w:pPr>
            <w:r>
              <w:rPr>
                <w:rFonts w:ascii="Tahoma" w:hAnsi="Tahoma"/>
                <w:b/>
                <w:noProof/>
                <w:sz w:val="20"/>
              </w:rPr>
              <w:t>Кой подкрепя отделните варианти?</w:t>
            </w:r>
            <w:r>
              <w:rPr>
                <w:rFonts w:ascii="Tahoma" w:hAnsi="Tahoma"/>
                <w:noProof/>
                <w:sz w:val="20"/>
              </w:rPr>
              <w:t xml:space="preserve"> </w:t>
            </w:r>
          </w:p>
        </w:tc>
      </w:tr>
      <w:tr w:rsidR="00360785">
        <w:tc>
          <w:tcPr>
            <w:tcW w:w="10188" w:type="dxa"/>
            <w:shd w:val="clear" w:color="auto" w:fill="auto"/>
          </w:tcPr>
          <w:p w:rsidR="00360785" w:rsidRDefault="00722322">
            <w:pPr>
              <w:spacing w:before="120" w:after="120"/>
              <w:jc w:val="both"/>
              <w:rPr>
                <w:rFonts w:ascii="Arial" w:hAnsi="Arial" w:cs="Arial"/>
                <w:noProof/>
                <w:sz w:val="20"/>
                <w:szCs w:val="20"/>
              </w:rPr>
            </w:pPr>
            <w:r>
              <w:rPr>
                <w:rFonts w:ascii="Arial" w:hAnsi="Arial"/>
                <w:noProof/>
                <w:sz w:val="20"/>
              </w:rPr>
              <w:t xml:space="preserve">По отношение на целевите нива, като цяло производителите подкрепят по-малко амбициозни цели за 2030 г. в сравнение с екологичните и потребителските неправителствени организации, които предпочитат по-амбициозни цели както за 2025 г., така и за 2030 г. По отношение на разпределянето на усилията, </w:t>
            </w:r>
            <w:r>
              <w:rPr>
                <w:rFonts w:ascii="Arial" w:hAnsi="Arial"/>
                <w:noProof/>
                <w:sz w:val="20"/>
              </w:rPr>
              <w:lastRenderedPageBreak/>
              <w:t>производителите подкрепят използването на крива на граничните стойности, основаваща се на масата, докато НПО предпочитат въглеродния отпечатък като показател за полезността. Автомобилната промишленост е предимно против въвеждането на задължение относно LEV/ZEV, но производителите на акумулатори и електроенергия, инвеститорите в инфраструктурни обекти, европейските градове, срещащи проблеми с качеството на въздуха, както и повечето НПО в областта на околната среда и транспорта призовават за такъв подход. Позицията на потребителските организации по този въпрос е неутрална.</w:t>
            </w:r>
          </w:p>
        </w:tc>
      </w:tr>
      <w:tr w:rsidR="00360785">
        <w:tc>
          <w:tcPr>
            <w:tcW w:w="10188" w:type="dxa"/>
            <w:tcBorders>
              <w:bottom w:val="single" w:sz="4" w:space="0" w:color="auto"/>
            </w:tcBorders>
            <w:shd w:val="clear" w:color="auto" w:fill="CCCCCC"/>
          </w:tcPr>
          <w:p w:rsidR="00360785" w:rsidRDefault="00722322">
            <w:pPr>
              <w:spacing w:before="60" w:after="60"/>
              <w:jc w:val="center"/>
              <w:rPr>
                <w:rFonts w:ascii="Tahoma" w:hAnsi="Tahoma" w:cs="Tahoma"/>
                <w:b/>
                <w:noProof/>
                <w:sz w:val="22"/>
                <w:szCs w:val="22"/>
              </w:rPr>
            </w:pPr>
            <w:r>
              <w:rPr>
                <w:rFonts w:ascii="Tahoma" w:hAnsi="Tahoma"/>
                <w:b/>
                <w:noProof/>
                <w:sz w:val="22"/>
              </w:rPr>
              <w:lastRenderedPageBreak/>
              <w:t>В. Въздействие на предпочитания вариант</w:t>
            </w:r>
          </w:p>
        </w:tc>
      </w:tr>
      <w:tr w:rsidR="00360785">
        <w:tc>
          <w:tcPr>
            <w:tcW w:w="10188" w:type="dxa"/>
            <w:tcBorders>
              <w:bottom w:val="single" w:sz="4" w:space="0" w:color="auto"/>
            </w:tcBorders>
            <w:shd w:val="clear" w:color="auto" w:fill="E6E6E6"/>
          </w:tcPr>
          <w:p w:rsidR="00360785" w:rsidRDefault="00722322">
            <w:pPr>
              <w:spacing w:before="60" w:after="60"/>
              <w:jc w:val="both"/>
              <w:rPr>
                <w:rFonts w:ascii="Tahoma" w:hAnsi="Tahoma" w:cs="Tahoma"/>
                <w:noProof/>
                <w:sz w:val="20"/>
                <w:szCs w:val="20"/>
              </w:rPr>
            </w:pPr>
            <w:r>
              <w:rPr>
                <w:rFonts w:ascii="Tahoma" w:hAnsi="Tahoma"/>
                <w:b/>
                <w:noProof/>
                <w:sz w:val="20"/>
              </w:rPr>
              <w:t>Какви са ползите от предпочитания вариант (ако има такъв; в противен случай — от основните варианти)?</w:t>
            </w:r>
            <w:r>
              <w:rPr>
                <w:rFonts w:ascii="Tahoma" w:hAnsi="Tahoma"/>
                <w:noProof/>
                <w:sz w:val="20"/>
              </w:rPr>
              <w:t xml:space="preserve"> </w:t>
            </w:r>
          </w:p>
        </w:tc>
      </w:tr>
      <w:tr w:rsidR="00360785">
        <w:tc>
          <w:tcPr>
            <w:tcW w:w="10188" w:type="dxa"/>
            <w:tcBorders>
              <w:bottom w:val="single" w:sz="4" w:space="0" w:color="auto"/>
            </w:tcBorders>
            <w:shd w:val="clear" w:color="auto" w:fill="auto"/>
          </w:tcPr>
          <w:p w:rsidR="00360785" w:rsidRDefault="00722322">
            <w:pPr>
              <w:spacing w:before="120"/>
              <w:jc w:val="both"/>
              <w:rPr>
                <w:rFonts w:ascii="Arial" w:hAnsi="Arial" w:cs="Arial"/>
                <w:noProof/>
                <w:sz w:val="20"/>
                <w:szCs w:val="20"/>
              </w:rPr>
            </w:pPr>
            <w:r>
              <w:rPr>
                <w:rFonts w:ascii="Arial" w:hAnsi="Arial"/>
                <w:noProof/>
                <w:sz w:val="20"/>
              </w:rPr>
              <w:t>Допълнителното намаляване на емисиите на CO</w:t>
            </w:r>
            <w:r>
              <w:rPr>
                <w:rFonts w:ascii="Arial" w:hAnsi="Arial"/>
                <w:noProof/>
                <w:sz w:val="20"/>
                <w:vertAlign w:val="subscript"/>
              </w:rPr>
              <w:t>2</w:t>
            </w:r>
            <w:r>
              <w:rPr>
                <w:rFonts w:ascii="Arial" w:hAnsi="Arial"/>
                <w:noProof/>
                <w:sz w:val="20"/>
              </w:rPr>
              <w:t xml:space="preserve"> от леки автомобили между 2005 г. и 2030 г. спрямо стойностите от базовия сценарий е между 4 и 11,4 процентни пункта. Между 2020 г. и 2030 г. емисиите на замърсители на въздуха ще намалеят с 2—8 процентни пункта за NO</w:t>
            </w:r>
            <w:r>
              <w:rPr>
                <w:rFonts w:ascii="Arial" w:hAnsi="Arial"/>
                <w:noProof/>
                <w:sz w:val="20"/>
                <w:vertAlign w:val="subscript"/>
              </w:rPr>
              <w:t>x</w:t>
            </w:r>
            <w:r>
              <w:rPr>
                <w:rFonts w:ascii="Arial" w:hAnsi="Arial"/>
                <w:noProof/>
                <w:sz w:val="20"/>
              </w:rPr>
              <w:t xml:space="preserve"> и с до 10 процентни пункта за ПЧ</w:t>
            </w:r>
            <w:r>
              <w:rPr>
                <w:rFonts w:ascii="Arial" w:hAnsi="Arial"/>
                <w:noProof/>
                <w:sz w:val="20"/>
                <w:vertAlign w:val="subscript"/>
              </w:rPr>
              <w:t>2,5</w:t>
            </w:r>
            <w:r>
              <w:rPr>
                <w:rFonts w:ascii="Arial" w:hAnsi="Arial"/>
                <w:noProof/>
                <w:sz w:val="20"/>
              </w:rPr>
              <w:t>. Допълнителното намаляване на емисиите на CO</w:t>
            </w:r>
            <w:r>
              <w:rPr>
                <w:rFonts w:ascii="Arial" w:hAnsi="Arial"/>
                <w:noProof/>
                <w:sz w:val="20"/>
                <w:vertAlign w:val="subscript"/>
              </w:rPr>
              <w:t>2</w:t>
            </w:r>
            <w:r>
              <w:rPr>
                <w:rFonts w:ascii="Arial" w:hAnsi="Arial"/>
                <w:noProof/>
                <w:sz w:val="20"/>
              </w:rPr>
              <w:t xml:space="preserve"> от микробуси между 2005 г. и 2030 г. спрямо стойностите от базовия сценарий е между 4,8 и 14,1 процентни пункта. Емисиите на замърсители на въздуха от микробуси ще намалеят с до 9 процентни пункта (за NO</w:t>
            </w:r>
            <w:r>
              <w:rPr>
                <w:rFonts w:ascii="Arial" w:hAnsi="Arial"/>
                <w:noProof/>
                <w:sz w:val="20"/>
                <w:vertAlign w:val="subscript"/>
              </w:rPr>
              <w:t>x</w:t>
            </w:r>
            <w:r>
              <w:rPr>
                <w:rFonts w:ascii="Arial" w:hAnsi="Arial"/>
                <w:noProof/>
                <w:sz w:val="20"/>
              </w:rPr>
              <w:t>) или 10 процентни пункта (ПЧ</w:t>
            </w:r>
            <w:r>
              <w:rPr>
                <w:rFonts w:ascii="Arial" w:hAnsi="Arial"/>
                <w:noProof/>
                <w:sz w:val="20"/>
                <w:vertAlign w:val="subscript"/>
              </w:rPr>
              <w:t>2.5</w:t>
            </w:r>
            <w:r>
              <w:rPr>
                <w:rFonts w:ascii="Arial" w:hAnsi="Arial"/>
                <w:noProof/>
                <w:sz w:val="20"/>
              </w:rPr>
              <w:t xml:space="preserve">) между 2020 г. и 2030 г. </w:t>
            </w:r>
          </w:p>
          <w:p w:rsidR="00360785" w:rsidRDefault="00722322">
            <w:pPr>
              <w:spacing w:before="120"/>
              <w:jc w:val="both"/>
              <w:rPr>
                <w:rFonts w:ascii="Arial" w:hAnsi="Arial" w:cs="Arial"/>
                <w:noProof/>
                <w:sz w:val="20"/>
                <w:szCs w:val="20"/>
              </w:rPr>
            </w:pPr>
            <w:r>
              <w:rPr>
                <w:rFonts w:ascii="Arial" w:hAnsi="Arial"/>
                <w:noProof/>
                <w:sz w:val="20"/>
              </w:rPr>
              <w:t xml:space="preserve">Ползите за потребителите при „общите разходи за собствеността“ за  „средностатистически нов лек автомобил“ с жизнен цикъл от 15 години през 2030 г. ще са между 1000 и 2000 EUR. За „средностатистически нов микробус“ през 2030 г. тези икономии ще са между 3800 и 4400 EUR.  Нетни икономии ще се наблюдават както при първите, така и при вторите потребители, като по този начин ще се облагодетелстват и групите потребители с по-ниски доходи. </w:t>
            </w:r>
          </w:p>
          <w:p w:rsidR="00360785" w:rsidRDefault="00360785">
            <w:pPr>
              <w:spacing w:before="120"/>
              <w:jc w:val="both"/>
              <w:rPr>
                <w:rFonts w:ascii="Arial" w:hAnsi="Arial" w:cs="Arial"/>
                <w:i/>
                <w:noProof/>
                <w:sz w:val="20"/>
                <w:szCs w:val="20"/>
              </w:rPr>
            </w:pPr>
          </w:p>
        </w:tc>
      </w:tr>
    </w:tbl>
    <w:p w:rsidR="00360785" w:rsidRDefault="00360785">
      <w:pPr>
        <w:widowControl w:val="0"/>
        <w:rPr>
          <w:noProof/>
        </w:rPr>
      </w:pPr>
    </w:p>
    <w:tbl>
      <w:tblPr>
        <w:tblStyle w:val="TableGrid"/>
        <w:tblW w:w="10188" w:type="dxa"/>
        <w:tblLook w:val="01E0" w:firstRow="1" w:lastRow="1" w:firstColumn="1" w:lastColumn="1" w:noHBand="0" w:noVBand="0"/>
      </w:tblPr>
      <w:tblGrid>
        <w:gridCol w:w="10188"/>
      </w:tblGrid>
      <w:tr w:rsidR="00360785">
        <w:tc>
          <w:tcPr>
            <w:tcW w:w="10188" w:type="dxa"/>
            <w:tcBorders>
              <w:bottom w:val="single" w:sz="4" w:space="0" w:color="auto"/>
            </w:tcBorders>
            <w:shd w:val="clear" w:color="auto" w:fill="E6E6E6"/>
          </w:tcPr>
          <w:p w:rsidR="00360785" w:rsidRDefault="00722322">
            <w:pPr>
              <w:spacing w:before="60" w:after="60"/>
              <w:jc w:val="both"/>
              <w:rPr>
                <w:rFonts w:ascii="Tahoma" w:hAnsi="Tahoma" w:cs="Tahoma"/>
                <w:noProof/>
                <w:sz w:val="20"/>
                <w:szCs w:val="20"/>
              </w:rPr>
            </w:pPr>
            <w:r>
              <w:rPr>
                <w:rFonts w:ascii="Tahoma" w:hAnsi="Tahoma"/>
                <w:b/>
                <w:noProof/>
                <w:sz w:val="20"/>
              </w:rPr>
              <w:t>Какви са разходите за предпочитания вариант (ако има такъв, в противен случай — за основните варианти)?</w:t>
            </w:r>
            <w:r>
              <w:rPr>
                <w:rFonts w:ascii="Tahoma" w:hAnsi="Tahoma"/>
                <w:noProof/>
                <w:sz w:val="20"/>
              </w:rPr>
              <w:t xml:space="preserve"> </w:t>
            </w:r>
          </w:p>
        </w:tc>
      </w:tr>
      <w:tr w:rsidR="00360785">
        <w:tc>
          <w:tcPr>
            <w:tcW w:w="10188" w:type="dxa"/>
            <w:tcBorders>
              <w:bottom w:val="single" w:sz="4" w:space="0" w:color="auto"/>
            </w:tcBorders>
            <w:shd w:val="clear" w:color="auto" w:fill="auto"/>
          </w:tcPr>
          <w:p w:rsidR="00360785" w:rsidRDefault="00722322">
            <w:pPr>
              <w:jc w:val="both"/>
              <w:rPr>
                <w:rFonts w:ascii="Arial" w:hAnsi="Arial" w:cs="Arial"/>
                <w:noProof/>
                <w:sz w:val="20"/>
                <w:szCs w:val="20"/>
              </w:rPr>
            </w:pPr>
            <w:r>
              <w:rPr>
                <w:rFonts w:ascii="Arial" w:hAnsi="Arial"/>
                <w:noProof/>
                <w:sz w:val="20"/>
              </w:rPr>
              <w:t>Производствените разходи ще нараснат и това ще се отрази на цената на превозното средство, поради което потребителите/предприятията ще имат по-високи първоначални разходи за ново превозно средство. Тези разходи се увеличават с въвеждането на по-строги целеви нива на CO</w:t>
            </w:r>
            <w:r>
              <w:rPr>
                <w:rFonts w:ascii="Arial" w:hAnsi="Arial"/>
                <w:noProof/>
                <w:sz w:val="20"/>
                <w:vertAlign w:val="subscript"/>
              </w:rPr>
              <w:t>2</w:t>
            </w:r>
            <w:r>
              <w:rPr>
                <w:rFonts w:ascii="Arial" w:hAnsi="Arial"/>
                <w:noProof/>
                <w:sz w:val="20"/>
              </w:rPr>
              <w:t xml:space="preserve"> за целия автомобилен парк. За „средностатистически нов лек автомобил“, регистриран през 2030 г., те варират от 400 до 2700 EUR.  За „средностатистически микробус“ през 2030 г. те варират от 400 до 2400 EUR. </w:t>
            </w:r>
          </w:p>
        </w:tc>
      </w:tr>
      <w:tr w:rsidR="00360785">
        <w:tc>
          <w:tcPr>
            <w:tcW w:w="10188" w:type="dxa"/>
            <w:tcBorders>
              <w:bottom w:val="single" w:sz="4" w:space="0" w:color="auto"/>
            </w:tcBorders>
            <w:shd w:val="clear" w:color="auto" w:fill="E6E6E6"/>
          </w:tcPr>
          <w:p w:rsidR="00360785" w:rsidRDefault="00722322">
            <w:pPr>
              <w:spacing w:before="60" w:after="60"/>
              <w:jc w:val="both"/>
              <w:rPr>
                <w:rFonts w:ascii="Tahoma" w:hAnsi="Tahoma" w:cs="Tahoma"/>
                <w:noProof/>
                <w:sz w:val="20"/>
                <w:szCs w:val="20"/>
              </w:rPr>
            </w:pPr>
            <w:r>
              <w:rPr>
                <w:rFonts w:ascii="Tahoma" w:hAnsi="Tahoma"/>
                <w:b/>
                <w:noProof/>
                <w:sz w:val="20"/>
              </w:rPr>
              <w:t xml:space="preserve">Какви ще са последиците за предприятията, МСП и микропредприятията? </w:t>
            </w:r>
          </w:p>
        </w:tc>
      </w:tr>
      <w:tr w:rsidR="00360785">
        <w:tc>
          <w:tcPr>
            <w:tcW w:w="10188" w:type="dxa"/>
            <w:tcBorders>
              <w:bottom w:val="single" w:sz="4" w:space="0" w:color="auto"/>
            </w:tcBorders>
            <w:shd w:val="clear" w:color="auto" w:fill="auto"/>
          </w:tcPr>
          <w:p w:rsidR="00360785" w:rsidRDefault="00722322">
            <w:pPr>
              <w:spacing w:before="60" w:after="60"/>
              <w:jc w:val="both"/>
              <w:rPr>
                <w:rFonts w:ascii="Arial" w:hAnsi="Arial" w:cs="Arial"/>
                <w:i/>
                <w:noProof/>
                <w:sz w:val="20"/>
                <w:szCs w:val="20"/>
              </w:rPr>
            </w:pPr>
            <w:r>
              <w:rPr>
                <w:rFonts w:ascii="Arial" w:hAnsi="Arial"/>
                <w:noProof/>
                <w:sz w:val="20"/>
              </w:rPr>
              <w:t>Анализът показва положителни икономически въздействия, включително за МСП. Малките производители на автомобили с по-малко от 1000 регистрации на нови превозни средства в ЕС годишно се освобождават от спазване на стандартите за емисиите на CO</w:t>
            </w:r>
            <w:r>
              <w:rPr>
                <w:rFonts w:ascii="Arial" w:hAnsi="Arial"/>
                <w:noProof/>
                <w:sz w:val="20"/>
                <w:vertAlign w:val="subscript"/>
              </w:rPr>
              <w:t>2</w:t>
            </w:r>
            <w:r>
              <w:rPr>
                <w:rFonts w:ascii="Arial" w:hAnsi="Arial"/>
                <w:noProof/>
                <w:sz w:val="20"/>
              </w:rPr>
              <w:t xml:space="preserve">. Като потребители на по-ефикасни микробуси МСП ще извлекат голяма полза от икономиите на гориво. Възможно е на МСП, произвеждащи традиционни технологии и участващи във веригата за създаване на стойност в автомобилната промишленост, да се наложи да предприемат корекции, но те ще могат също да се възползват от допълнителното търсене на нови и по-ефективни технологии. </w:t>
            </w:r>
          </w:p>
        </w:tc>
      </w:tr>
      <w:tr w:rsidR="00360785">
        <w:tc>
          <w:tcPr>
            <w:tcW w:w="10188" w:type="dxa"/>
            <w:tcBorders>
              <w:bottom w:val="single" w:sz="4" w:space="0" w:color="auto"/>
            </w:tcBorders>
            <w:shd w:val="clear" w:color="auto" w:fill="E6E6E6"/>
          </w:tcPr>
          <w:p w:rsidR="00360785" w:rsidRDefault="00722322">
            <w:pPr>
              <w:spacing w:before="60"/>
              <w:jc w:val="both"/>
              <w:rPr>
                <w:rFonts w:ascii="Tahoma" w:hAnsi="Tahoma" w:cs="Tahoma"/>
                <w:b/>
                <w:i/>
                <w:noProof/>
                <w:sz w:val="20"/>
                <w:szCs w:val="20"/>
              </w:rPr>
            </w:pPr>
            <w:r>
              <w:rPr>
                <w:rFonts w:ascii="Tahoma" w:hAnsi="Tahoma"/>
                <w:b/>
                <w:noProof/>
                <w:sz w:val="20"/>
              </w:rPr>
              <w:t>Ще има ли значително въздействие</w:t>
            </w:r>
            <w:r>
              <w:rPr>
                <w:rFonts w:ascii="Tahoma" w:hAnsi="Tahoma"/>
                <w:noProof/>
                <w:sz w:val="20"/>
              </w:rPr>
              <w:t xml:space="preserve"> </w:t>
            </w:r>
            <w:r>
              <w:rPr>
                <w:rFonts w:ascii="Tahoma" w:hAnsi="Tahoma"/>
                <w:b/>
                <w:noProof/>
                <w:sz w:val="20"/>
              </w:rPr>
              <w:t>върху националните бюджети и администрации?</w:t>
            </w:r>
          </w:p>
        </w:tc>
      </w:tr>
      <w:tr w:rsidR="00360785">
        <w:tc>
          <w:tcPr>
            <w:tcW w:w="10188" w:type="dxa"/>
            <w:shd w:val="clear" w:color="auto" w:fill="auto"/>
          </w:tcPr>
          <w:p w:rsidR="00360785" w:rsidRDefault="00722322">
            <w:pPr>
              <w:jc w:val="both"/>
              <w:rPr>
                <w:rFonts w:ascii="Arial" w:hAnsi="Arial" w:cs="Arial"/>
                <w:noProof/>
                <w:sz w:val="20"/>
                <w:szCs w:val="20"/>
              </w:rPr>
            </w:pPr>
            <w:r>
              <w:rPr>
                <w:rFonts w:ascii="Arial" w:hAnsi="Arial"/>
                <w:noProof/>
                <w:sz w:val="20"/>
              </w:rPr>
              <w:t>Загубата на приходи от акциза върху горивата през 2030 г. се оценява на около 0,04 % от БВП на ЕС-28. Във всички оценени сценарии се предполага, че това се компенсира от увеличаване на косвеното данъчно облагане.</w:t>
            </w:r>
          </w:p>
        </w:tc>
      </w:tr>
      <w:tr w:rsidR="00360785">
        <w:tc>
          <w:tcPr>
            <w:tcW w:w="10188" w:type="dxa"/>
            <w:tcBorders>
              <w:bottom w:val="single" w:sz="4" w:space="0" w:color="auto"/>
            </w:tcBorders>
            <w:shd w:val="clear" w:color="auto" w:fill="E6E6E6"/>
          </w:tcPr>
          <w:p w:rsidR="00360785" w:rsidRDefault="00722322">
            <w:pPr>
              <w:spacing w:before="60"/>
              <w:jc w:val="both"/>
              <w:rPr>
                <w:rFonts w:ascii="Tahoma" w:hAnsi="Tahoma" w:cs="Tahoma"/>
                <w:noProof/>
                <w:sz w:val="20"/>
                <w:szCs w:val="20"/>
              </w:rPr>
            </w:pPr>
            <w:r>
              <w:rPr>
                <w:rFonts w:ascii="Tahoma" w:hAnsi="Tahoma"/>
                <w:b/>
                <w:noProof/>
                <w:sz w:val="20"/>
              </w:rPr>
              <w:t>Ще има ли друго значително въздействие?</w:t>
            </w:r>
            <w:r>
              <w:rPr>
                <w:rFonts w:ascii="Tahoma" w:hAnsi="Tahoma"/>
                <w:noProof/>
                <w:sz w:val="20"/>
              </w:rPr>
              <w:t xml:space="preserve"> </w:t>
            </w:r>
          </w:p>
        </w:tc>
      </w:tr>
      <w:tr w:rsidR="00360785">
        <w:tc>
          <w:tcPr>
            <w:tcW w:w="10188" w:type="dxa"/>
            <w:tcBorders>
              <w:bottom w:val="single" w:sz="4" w:space="0" w:color="auto"/>
            </w:tcBorders>
            <w:shd w:val="clear" w:color="auto" w:fill="auto"/>
          </w:tcPr>
          <w:p w:rsidR="00360785" w:rsidRDefault="00722322">
            <w:pPr>
              <w:jc w:val="both"/>
              <w:rPr>
                <w:rFonts w:ascii="Arial" w:hAnsi="Arial" w:cs="Arial"/>
                <w:noProof/>
                <w:sz w:val="20"/>
                <w:szCs w:val="20"/>
              </w:rPr>
            </w:pPr>
            <w:r>
              <w:rPr>
                <w:rFonts w:ascii="Arial" w:hAnsi="Arial"/>
                <w:noProof/>
                <w:sz w:val="20"/>
              </w:rPr>
              <w:t>Една амбициозна, но реалистична и икономически ефективна регулаторна рамка за леки автомобили и микробуси ще помогне да се запази конкурентоспособността и достъпът до пазари на световно равнище на автомобилната промишленост на ЕС. Поради намаляването на нуждите от изкопаеми горива положението с енергийната сигурност на ЕС ще се подобри, като най-сериозните подобрения ще настъпят в средносрочен план.</w:t>
            </w:r>
          </w:p>
        </w:tc>
      </w:tr>
      <w:tr w:rsidR="00360785">
        <w:tc>
          <w:tcPr>
            <w:tcW w:w="10188" w:type="dxa"/>
            <w:tcBorders>
              <w:bottom w:val="single" w:sz="4" w:space="0" w:color="auto"/>
            </w:tcBorders>
            <w:shd w:val="clear" w:color="auto" w:fill="C0C0C0"/>
          </w:tcPr>
          <w:p w:rsidR="00360785" w:rsidRDefault="00722322">
            <w:pPr>
              <w:spacing w:before="60" w:after="60"/>
              <w:jc w:val="center"/>
              <w:rPr>
                <w:rFonts w:ascii="Tahoma" w:hAnsi="Tahoma" w:cs="Tahoma"/>
                <w:b/>
                <w:noProof/>
                <w:sz w:val="22"/>
                <w:szCs w:val="22"/>
              </w:rPr>
            </w:pPr>
            <w:r>
              <w:rPr>
                <w:rFonts w:ascii="Tahoma" w:hAnsi="Tahoma"/>
                <w:b/>
                <w:noProof/>
                <w:sz w:val="22"/>
              </w:rPr>
              <w:t>Г. Последващи действия</w:t>
            </w:r>
          </w:p>
        </w:tc>
      </w:tr>
      <w:tr w:rsidR="00360785">
        <w:tc>
          <w:tcPr>
            <w:tcW w:w="10188" w:type="dxa"/>
            <w:tcBorders>
              <w:bottom w:val="single" w:sz="4" w:space="0" w:color="auto"/>
            </w:tcBorders>
            <w:shd w:val="clear" w:color="auto" w:fill="E6E6E6"/>
          </w:tcPr>
          <w:p w:rsidR="00360785" w:rsidRDefault="00722322">
            <w:pPr>
              <w:spacing w:before="60"/>
              <w:jc w:val="both"/>
              <w:rPr>
                <w:rFonts w:ascii="Tahoma" w:hAnsi="Tahoma" w:cs="Tahoma"/>
                <w:noProof/>
                <w:sz w:val="20"/>
                <w:szCs w:val="20"/>
              </w:rPr>
            </w:pPr>
            <w:r>
              <w:rPr>
                <w:rFonts w:ascii="Tahoma" w:hAnsi="Tahoma"/>
                <w:b/>
                <w:noProof/>
                <w:sz w:val="20"/>
              </w:rPr>
              <w:t xml:space="preserve">Кога ще се извърши преглед на политиката? </w:t>
            </w:r>
          </w:p>
        </w:tc>
      </w:tr>
      <w:tr w:rsidR="00360785">
        <w:tc>
          <w:tcPr>
            <w:tcW w:w="10188" w:type="dxa"/>
            <w:tcBorders>
              <w:bottom w:val="single" w:sz="4" w:space="0" w:color="auto"/>
            </w:tcBorders>
            <w:shd w:val="clear" w:color="auto" w:fill="auto"/>
          </w:tcPr>
          <w:p w:rsidR="00360785" w:rsidRDefault="00722322">
            <w:pPr>
              <w:jc w:val="both"/>
              <w:rPr>
                <w:rFonts w:ascii="Tahoma" w:hAnsi="Tahoma" w:cs="Tahoma"/>
                <w:noProof/>
                <w:sz w:val="20"/>
                <w:szCs w:val="20"/>
              </w:rPr>
            </w:pPr>
            <w:r>
              <w:rPr>
                <w:rFonts w:ascii="Tahoma" w:hAnsi="Tahoma"/>
                <w:noProof/>
                <w:sz w:val="20"/>
              </w:rPr>
              <w:t xml:space="preserve">Преглед на ефективността на новото законодателство може да се проведе през 2024 г. успоредно на прегледа на друго законодателство, например на предложението за СТЕ и Регламента за споделяне на </w:t>
            </w:r>
            <w:r>
              <w:rPr>
                <w:rFonts w:ascii="Tahoma" w:hAnsi="Tahoma"/>
                <w:noProof/>
                <w:sz w:val="20"/>
              </w:rPr>
              <w:lastRenderedPageBreak/>
              <w:t>усилията.</w:t>
            </w:r>
          </w:p>
        </w:tc>
      </w:tr>
    </w:tbl>
    <w:p w:rsidR="00360785" w:rsidRDefault="00360785">
      <w:pPr>
        <w:rPr>
          <w:noProof/>
        </w:rPr>
      </w:pPr>
    </w:p>
    <w:sectPr w:rsidR="00360785">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785" w:rsidRDefault="00722322">
      <w:r>
        <w:separator/>
      </w:r>
    </w:p>
  </w:endnote>
  <w:endnote w:type="continuationSeparator" w:id="0">
    <w:p w:rsidR="00360785" w:rsidRDefault="0072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139" w:rsidRPr="00622139" w:rsidRDefault="00622139" w:rsidP="006221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139" w:rsidRPr="00622139" w:rsidRDefault="00622139" w:rsidP="00622139">
    <w:pPr>
      <w:pStyle w:val="FooterCoverPage"/>
      <w:rPr>
        <w:rFonts w:ascii="Arial" w:hAnsi="Arial" w:cs="Arial"/>
        <w:b/>
        <w:sz w:val="48"/>
      </w:rPr>
    </w:pPr>
    <w:r w:rsidRPr="00622139">
      <w:rPr>
        <w:rFonts w:ascii="Arial" w:hAnsi="Arial" w:cs="Arial"/>
        <w:b/>
        <w:sz w:val="48"/>
      </w:rPr>
      <w:t>BG</w:t>
    </w:r>
    <w:r w:rsidRPr="00622139">
      <w:rPr>
        <w:rFonts w:ascii="Arial" w:hAnsi="Arial" w:cs="Arial"/>
        <w:b/>
        <w:sz w:val="48"/>
      </w:rPr>
      <w:tab/>
    </w:r>
    <w:r w:rsidRPr="00622139">
      <w:rPr>
        <w:rFonts w:ascii="Arial" w:hAnsi="Arial" w:cs="Arial"/>
        <w:b/>
        <w:sz w:val="48"/>
      </w:rPr>
      <w:tab/>
    </w:r>
    <w:r w:rsidRPr="00622139">
      <w:tab/>
    </w:r>
    <w:r w:rsidRPr="00622139">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139" w:rsidRPr="00622139" w:rsidRDefault="00622139" w:rsidP="00622139">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85" w:rsidRDefault="0036078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rsidR="00360785" w:rsidRDefault="00722322">
        <w:pPr>
          <w:pStyle w:val="Footer"/>
          <w:jc w:val="center"/>
        </w:pPr>
        <w:r>
          <w:fldChar w:fldCharType="begin"/>
        </w:r>
        <w:r>
          <w:instrText xml:space="preserve"> PAGE   \* MERGEFORMAT </w:instrText>
        </w:r>
        <w:r>
          <w:fldChar w:fldCharType="separate"/>
        </w:r>
        <w:r w:rsidR="00622139">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85" w:rsidRDefault="00360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785" w:rsidRDefault="00722322">
      <w:r>
        <w:separator/>
      </w:r>
    </w:p>
  </w:footnote>
  <w:footnote w:type="continuationSeparator" w:id="0">
    <w:p w:rsidR="00360785" w:rsidRDefault="00722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139" w:rsidRPr="00622139" w:rsidRDefault="00622139" w:rsidP="00622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139" w:rsidRPr="00622139" w:rsidRDefault="00622139" w:rsidP="00622139">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139" w:rsidRPr="00622139" w:rsidRDefault="00622139" w:rsidP="00622139">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85" w:rsidRDefault="0036078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85" w:rsidRDefault="0036078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85" w:rsidRDefault="003607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15AF4"/>
    <w:multiLevelType w:val="hybridMultilevel"/>
    <w:tmpl w:val="24A6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DA74B2"/>
    <w:multiLevelType w:val="hybridMultilevel"/>
    <w:tmpl w:val="6118636A"/>
    <w:lvl w:ilvl="0" w:tplc="926CD5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E545A7"/>
    <w:multiLevelType w:val="hybridMultilevel"/>
    <w:tmpl w:val="9312AF7A"/>
    <w:lvl w:ilvl="0" w:tplc="926CD5E6">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4B102D"/>
    <w:multiLevelType w:val="hybridMultilevel"/>
    <w:tmpl w:val="872C29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62940A1F"/>
    <w:multiLevelType w:val="hybridMultilevel"/>
    <w:tmpl w:val="F9A25828"/>
    <w:lvl w:ilvl="0" w:tplc="4B2662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75A43AF"/>
    <w:multiLevelType w:val="hybridMultilevel"/>
    <w:tmpl w:val="8EEC8CBE"/>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u1087?\u1088?\u1080?\u1076?\u1088?\u1091?\u1078?\u1072?\u1074?\u1072?\u1097?"/>
    <w:docVar w:name="LW_CORRIGENDUM" w:val="&lt;UNUSED&gt;"/>
    <w:docVar w:name="LW_COVERPAGE_EXISTS" w:val="True"/>
    <w:docVar w:name="LW_COVERPAGE_GUID" w:val="421101A3-C240-4E76-A715-B40501BF5F54"/>
    <w:docVar w:name="LW_COVERPAGE_TYPE" w:val="1"/>
    <w:docVar w:name="LW_CROSSREFERENCE" w:val="{COM(2017) 676 final}_x000d__x000a_{SWD(2017) 650 final}"/>
    <w:docVar w:name="LW_DocType" w:val="NORMAL"/>
    <w:docVar w:name="LW_EMISSION" w:val="8.11.2017"/>
    <w:docVar w:name="LW_EMISSION_ISODATE" w:val="2017-11-08"/>
    <w:docVar w:name="LW_EMISSION_LOCATION" w:val="BRX"/>
    <w:docVar w:name="LW_EMISSION_PREFIX" w:val="\u1041?\u1088?\u1102?\u1082?\u1089?\u1077?\u1083?,"/>
    <w:docVar w:name="LW_EMISSION_SUFFIX" w:val="\u1075?."/>
    <w:docVar w:name="LW_ID_DOCTYPE_NONLW" w:val="CP-02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u8230?]"/>
    <w:docVar w:name="LW_PART_NBR" w:val="1"/>
    <w:docVar w:name="LW_PART_NBR_TOTAL" w:val="1"/>
    <w:docVar w:name="LW_REF.INST.NEW" w:val="SWD"/>
    <w:docVar w:name="LW_REF.INST.NEW_ADOPTED" w:val="final"/>
    <w:docVar w:name="LW_REF.INST.NEW_TEXT" w:val="(2017) 6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u1056?\u1040?\u1041?\u1054?\u1058?\u1045?\u1053? \u1044?\u1054?\u1050?\u1059?\u1052?\u1045?\u1053?\u1058? \u1053?\u1040? \u1057?\u1051?\u1059?\u1046?\u1041?\u1048?\u1058?\u1045? \u1053?\u1040? \u1050?\u1054?\u1052?\u1048?\u1057?\u1048?\u1071?\u1058?\u1040?_x000b__x000b_\u1054?\u1041?\u1054?\u1041?\u1065?\u1045?\u1053?\u1040? \u1054?\u1062?\u1045?\u1053?\u1050?\u1040? \u1053?\u1040? \u1042?\u1066?\u1047?\u1044?\u1045?\u1049?\u1057?\u1058?\u1042?\u1048?\u1045?\u1058?\u1054?_x000b_"/>
    <w:docVar w:name="LW_TYPEACTEPRINCIPAL.CP" w:val="\u1086?\u1094?\u1077?\u1085?\u1082?\u1072? \u1085?\u1072? \u1074?\u1098?\u1079?\u1076?\u1077?\u1081?\u1089?\u1090?\u1074?\u1080?\u1077?\u1090?\u1086? \u1085?\u1072? \u1087?\u1088?\u1077?\u1076?\u1083?\u1086?\u1078?\u1077?\u1085?\u1080?\u1077? \u1079?\u1072? \u1056?\u1077?\u1075?\u1083?\u1072?\u1084?\u1077?\u1085?\u1090? \u1085?\u1072? \u1045?\u1074?\u1088?\u1086?\u1087?\u1077?\u1081?\u1089?\u1082?\u1080?\u1103? \u1087?\u1072?\u1088?\u1083?\u1072?\u1084?\u1077?\u1085?\u1090? \u1080? \u1085?\u1072? \u1057?\u1098?\u1074?\u1077?\u1090?\u1072? \u1079?\u1072? \u1086?\u1087?\u1088?\u1077?\u1076?\u1077?\u1083?\u1103?\u1085?\u1077? \u1085?\u1072? \u1089?\u1090?\u1072?\u1085?\u1076?\u1072?\u1088?\u1090?\u1080? \u1079?\u1072? \u1077?\u1084?\u1080?\u1089?\u1080?\u1080?\u1090?\u1077? \u1086?\u1090? \u1085?\u1086?\u1074?\u1080? \u1083?\u1077?\u1082?\u1080? \u1087?\u1098?\u1090?\u1085?\u1080?\u1095?\u1077?\u1089?\u1082?\u1080? \u1072?\u1074?\u1090?\u1086?\u1084?\u1086?\u1073?\u1080?\u1083?\u1080? \u1080? \u1086?\u1090? \u1085?\u1086?\u1074?\u1080? \u1083?\u1077?\u1082?\u1080? \u1090?\u1098?\u1088?\u1075?\u1086?\u1074?\u1089?\u1082?\u1080? \u1087?\u1088?\u1077?\u1074?\u1086?\u1079?\u1085?\u1080? \u1089?\u1088?\u1077?\u1076?\u1089?\u1090?\u1074?\u1072? \u1082?\u1072?\u1090?\u1086? \u1095?\u1072?\u1089?\u1090? \u1086?\u1090? \u1094?\u1103?\u1083?\u1086?\u1089?\u1090?\u1085?\u1080?\u1103? \u1087?\u1086?\u1076?\u1093?\u1086?\u1076? \u1085?\u1072? \u1057?\u1098?\u1102?\u1079?\u1072? \u1079?\u1072? \u1085?\u1072?\u1084?\u1072?\u1083?\u1103?\u1074?\u1072?\u1085?\u1077? \u1085?\u1072? \u1077?\u1084?\u1080?\u1089?\u1080?\u1080?\u1090?\u1077? \u1085?\u1072? CO2 \u1086?\u1090? \u1083?\u1077?\u1082?\u1080?\u1090?\u1077? \u1087?\u1088?\u1077?\u1074?\u1086?\u1079?\u1085?\u1080? \u1089?\u1088?\u1077?\u1076?\u1089?\u1090?\u1074?\u1072? \u1080? \u1079?\u1072? \u1080?\u1079?\u1084?\u1077?\u1085?\u1077?\u1085?\u1080?\u1077? \u1085?\u1072? \u1056?\u1077?\u1075?\u1083?\u1072?\u1084?\u1077?\u1085?\u1090? (E\u1054?) \u8470? 715/2007 (\u1087?\u1088?\u1077?\u1088?\u1072?\u1073?\u1086?\u1090?\u1077?\u1085?)_x000b_"/>
  </w:docVars>
  <w:rsids>
    <w:rsidRoot w:val="00360785"/>
    <w:rsid w:val="00360785"/>
    <w:rsid w:val="00622139"/>
    <w:rsid w:val="00722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bg-BG"/>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bg-BG"/>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bg-BG"/>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bg-BG"/>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95531">
      <w:bodyDiv w:val="1"/>
      <w:marLeft w:val="0"/>
      <w:marRight w:val="0"/>
      <w:marTop w:val="0"/>
      <w:marBottom w:val="0"/>
      <w:divBdr>
        <w:top w:val="none" w:sz="0" w:space="0" w:color="auto"/>
        <w:left w:val="none" w:sz="0" w:space="0" w:color="auto"/>
        <w:bottom w:val="none" w:sz="0" w:space="0" w:color="auto"/>
        <w:right w:val="none" w:sz="0" w:space="0" w:color="auto"/>
      </w:divBdr>
    </w:div>
    <w:div w:id="94866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6DCF41F10D214DBDDF7E1F5EB8F7C1" ma:contentTypeVersion="1" ma:contentTypeDescription="Create a new document." ma:contentTypeScope="" ma:versionID="4d11a2104eb79e191fab213970d36f0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228E3-FEEC-429F-8C93-CFCC37DE565D}">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E1588CBB-D78F-412D-9B35-4671E1A4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4.xml><?xml version="1.0" encoding="utf-8"?>
<ds:datastoreItem xmlns:ds="http://schemas.openxmlformats.org/officeDocument/2006/customXml" ds:itemID="{78B43556-DC9D-45D7-A96C-21FC8DD9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1065</Words>
  <Characters>6105</Characters>
  <Application>Microsoft Office Word</Application>
  <DocSecurity>0</DocSecurity>
  <Lines>109</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PAREDES ECHAURI Cristina (CAB-ALMUNIA)</cp:lastModifiedBy>
  <cp:revision>25</cp:revision>
  <cp:lastPrinted>2017-10-25T12:55:00Z</cp:lastPrinted>
  <dcterms:created xsi:type="dcterms:W3CDTF">2017-10-27T10:52:00Z</dcterms:created>
  <dcterms:modified xsi:type="dcterms:W3CDTF">2018-01-26T15:42:00Z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0x010100AB6DCF41F10D214DBDDF7E1F5EB8F7C1</vt:lpwstr>
  </property>
  <property fmtid="{D5CDD505-2E9C-101B-9397-08002B2CF9AE}" pid="10" name="TemplateUrl">
    <vt:lpwstr/>
  </property>
  <property fmtid="{D5CDD505-2E9C-101B-9397-08002B2CF9AE}" pid="11" name="Level of sensitivity">
    <vt:lpwstr>Standard treatment</vt:lpwstr>
  </property>
</Properties>
</file>