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186" w:rsidRDefault="007A0061" w:rsidP="007A0061">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1F3BA40-2682-4FC9-9432-C7B9ADFB7ADF" style="width:450.75pt;height:488.6pt">
            <v:imagedata r:id="rId11" o:title=""/>
          </v:shape>
        </w:pict>
      </w:r>
    </w:p>
    <w:bookmarkEnd w:id="0"/>
    <w:p w:rsidR="005F6186" w:rsidRDefault="005F6186">
      <w:pPr>
        <w:pStyle w:val="Pagedecouverture"/>
        <w:rPr>
          <w:rFonts w:ascii="Tahoma" w:hAnsi="Tahoma" w:cs="Tahoma"/>
          <w:noProof/>
          <w:sz w:val="20"/>
          <w:szCs w:val="20"/>
          <w:lang w:val="fr-BE"/>
        </w:rPr>
        <w:sectPr w:rsidR="005F6186" w:rsidSect="007A0061">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9747" w:type="dxa"/>
        <w:tblLook w:val="01E0" w:firstRow="1" w:lastRow="1" w:firstColumn="1" w:lastColumn="1" w:noHBand="0" w:noVBand="0"/>
      </w:tblPr>
      <w:tblGrid>
        <w:gridCol w:w="9747"/>
      </w:tblGrid>
      <w:tr w:rsidR="005F6186">
        <w:tc>
          <w:tcPr>
            <w:tcW w:w="9747" w:type="dxa"/>
            <w:tcBorders>
              <w:bottom w:val="single" w:sz="4" w:space="0" w:color="auto"/>
            </w:tcBorders>
            <w:shd w:val="clear" w:color="auto" w:fill="CCCCCC"/>
          </w:tcPr>
          <w:p w:rsidR="005F6186" w:rsidRDefault="009F7CC0">
            <w:pPr>
              <w:spacing w:after="60"/>
              <w:jc w:val="center"/>
              <w:rPr>
                <w:rFonts w:ascii="Tahoma" w:hAnsi="Tahoma" w:cs="Tahoma"/>
                <w:b/>
                <w:noProof/>
                <w:sz w:val="22"/>
                <w:szCs w:val="22"/>
              </w:rPr>
            </w:pPr>
            <w:bookmarkStart w:id="1" w:name="_GoBack"/>
            <w:bookmarkEnd w:id="1"/>
            <w:r>
              <w:rPr>
                <w:rFonts w:ascii="Tahoma" w:hAnsi="Tahoma"/>
                <w:b/>
                <w:noProof/>
                <w:sz w:val="22"/>
              </w:rPr>
              <w:lastRenderedPageBreak/>
              <w:t>Résumé de l’analyse d’impact</w:t>
            </w:r>
          </w:p>
        </w:tc>
      </w:tr>
      <w:tr w:rsidR="005F6186" w:rsidRPr="007A0061">
        <w:tc>
          <w:tcPr>
            <w:tcW w:w="9747" w:type="dxa"/>
            <w:tcBorders>
              <w:top w:val="single" w:sz="4" w:space="0" w:color="auto"/>
              <w:left w:val="single" w:sz="4" w:space="0" w:color="auto"/>
              <w:bottom w:val="single" w:sz="4" w:space="0" w:color="auto"/>
              <w:right w:val="single" w:sz="4" w:space="0" w:color="auto"/>
            </w:tcBorders>
            <w:shd w:val="clear" w:color="auto" w:fill="4F81BD" w:themeFill="accent1"/>
          </w:tcPr>
          <w:p w:rsidR="005F6186" w:rsidRDefault="009F7CC0">
            <w:pPr>
              <w:spacing w:after="60"/>
              <w:jc w:val="both"/>
              <w:rPr>
                <w:rFonts w:ascii="Tahoma" w:hAnsi="Tahoma" w:cs="Tahoma"/>
                <w:b/>
                <w:noProof/>
                <w:sz w:val="20"/>
                <w:szCs w:val="20"/>
                <w:lang w:val="fr-FR"/>
              </w:rPr>
            </w:pPr>
            <w:r>
              <w:rPr>
                <w:rFonts w:ascii="Tahoma" w:hAnsi="Tahoma"/>
                <w:noProof/>
                <w:color w:val="FFFFFF" w:themeColor="background1"/>
                <w:sz w:val="20"/>
                <w:lang w:val="fr-FR"/>
              </w:rPr>
              <w:t>Analyse d’impact concernant la proposition de règlement du Parlement européen et du Conseil relatif à la reconnaissance mutuelle des biens</w:t>
            </w:r>
          </w:p>
        </w:tc>
      </w:tr>
      <w:tr w:rsidR="005F6186">
        <w:tc>
          <w:tcPr>
            <w:tcW w:w="9747" w:type="dxa"/>
            <w:tcBorders>
              <w:bottom w:val="single" w:sz="4" w:space="0" w:color="auto"/>
            </w:tcBorders>
            <w:shd w:val="clear" w:color="auto" w:fill="CCCCCC"/>
          </w:tcPr>
          <w:p w:rsidR="005F6186" w:rsidRDefault="009F7CC0">
            <w:pPr>
              <w:spacing w:after="60"/>
              <w:jc w:val="center"/>
              <w:rPr>
                <w:rFonts w:ascii="Tahoma" w:hAnsi="Tahoma" w:cs="Tahoma"/>
                <w:b/>
                <w:noProof/>
                <w:sz w:val="20"/>
                <w:szCs w:val="20"/>
              </w:rPr>
            </w:pPr>
            <w:r>
              <w:rPr>
                <w:rFonts w:ascii="Tahoma" w:hAnsi="Tahoma"/>
                <w:b/>
                <w:noProof/>
                <w:sz w:val="20"/>
              </w:rPr>
              <w:t>A. Nécessité d’une action</w:t>
            </w:r>
          </w:p>
        </w:tc>
      </w:tr>
      <w:tr w:rsidR="005F6186" w:rsidRPr="007A0061">
        <w:tc>
          <w:tcPr>
            <w:tcW w:w="9747" w:type="dxa"/>
            <w:tcBorders>
              <w:bottom w:val="single" w:sz="4" w:space="0" w:color="auto"/>
            </w:tcBorders>
            <w:shd w:val="clear" w:color="auto" w:fill="E0E0E0"/>
          </w:tcPr>
          <w:p w:rsidR="005F6186" w:rsidRDefault="009F7CC0">
            <w:pPr>
              <w:spacing w:after="60"/>
              <w:jc w:val="both"/>
              <w:rPr>
                <w:rFonts w:ascii="Tahoma" w:hAnsi="Tahoma" w:cs="Tahoma"/>
                <w:noProof/>
                <w:sz w:val="20"/>
                <w:szCs w:val="20"/>
                <w:lang w:val="fr-FR"/>
              </w:rPr>
            </w:pPr>
            <w:r>
              <w:rPr>
                <w:rFonts w:ascii="Tahoma" w:hAnsi="Tahoma"/>
                <w:b/>
                <w:noProof/>
                <w:sz w:val="20"/>
                <w:lang w:val="fr-FR"/>
              </w:rPr>
              <w:t xml:space="preserve">Pourquoi? Quel est le problème abordé? </w:t>
            </w:r>
          </w:p>
        </w:tc>
      </w:tr>
      <w:tr w:rsidR="005F6186" w:rsidRPr="007A0061">
        <w:tc>
          <w:tcPr>
            <w:tcW w:w="9747" w:type="dxa"/>
            <w:tcBorders>
              <w:bottom w:val="single" w:sz="4" w:space="0" w:color="auto"/>
            </w:tcBorders>
            <w:shd w:val="clear" w:color="auto" w:fill="auto"/>
          </w:tcPr>
          <w:p w:rsidR="005F6186" w:rsidRDefault="009F7CC0">
            <w:pPr>
              <w:spacing w:after="60"/>
              <w:jc w:val="both"/>
              <w:rPr>
                <w:rFonts w:ascii="Tahoma" w:hAnsi="Tahoma" w:cs="Tahoma"/>
                <w:noProof/>
                <w:sz w:val="20"/>
                <w:szCs w:val="20"/>
                <w:lang w:val="fr-FR"/>
              </w:rPr>
            </w:pPr>
            <w:r>
              <w:rPr>
                <w:rFonts w:ascii="Tahoma" w:hAnsi="Tahoma"/>
                <w:noProof/>
                <w:sz w:val="20"/>
                <w:lang w:val="fr-FR"/>
              </w:rPr>
              <w:t>L’évaluation a conclu que la reconnaissance mutuelle ne fonctionne pas comme elle le devrait, en raison du manque de sensibilisation, de l’incertitude juridique et du manque d’efficacité dans la communication et la coopération entre les parties prenantes. Les opérateurs économiques ne tirent pas pleinement avantage de leurs droits existants. Les autorités nationales perdent du temps et des ressources. Les consommateurs sont confrontés à des prix plus élevés et à un choix plus limité. En l’absence d’action au niveau de l’UE, le problème devrait persister.</w:t>
            </w:r>
          </w:p>
        </w:tc>
      </w:tr>
      <w:tr w:rsidR="005F6186" w:rsidRPr="007A0061">
        <w:tc>
          <w:tcPr>
            <w:tcW w:w="9747" w:type="dxa"/>
            <w:tcBorders>
              <w:bottom w:val="single" w:sz="4" w:space="0" w:color="auto"/>
            </w:tcBorders>
            <w:shd w:val="clear" w:color="auto" w:fill="E6E6E6"/>
          </w:tcPr>
          <w:p w:rsidR="005F6186" w:rsidRDefault="009F7CC0">
            <w:pPr>
              <w:spacing w:after="60"/>
              <w:jc w:val="both"/>
              <w:rPr>
                <w:rFonts w:ascii="Tahoma" w:hAnsi="Tahoma" w:cs="Tahoma"/>
                <w:noProof/>
                <w:sz w:val="20"/>
                <w:szCs w:val="20"/>
                <w:lang w:val="fr-FR"/>
              </w:rPr>
            </w:pPr>
            <w:r>
              <w:rPr>
                <w:rFonts w:ascii="Tahoma" w:hAnsi="Tahoma"/>
                <w:b/>
                <w:noProof/>
                <w:sz w:val="20"/>
                <w:lang w:val="fr-FR"/>
              </w:rPr>
              <w:t xml:space="preserve">Quel objectif cette initiative devrait-elle atteindre? </w:t>
            </w:r>
          </w:p>
        </w:tc>
      </w:tr>
      <w:tr w:rsidR="005F6186" w:rsidRPr="007A0061">
        <w:tc>
          <w:tcPr>
            <w:tcW w:w="9747" w:type="dxa"/>
            <w:tcBorders>
              <w:bottom w:val="single" w:sz="4" w:space="0" w:color="auto"/>
            </w:tcBorders>
            <w:shd w:val="clear" w:color="auto" w:fill="auto"/>
          </w:tcPr>
          <w:p w:rsidR="005F6186" w:rsidRDefault="009F7CC0">
            <w:pPr>
              <w:spacing w:after="60"/>
              <w:jc w:val="both"/>
              <w:rPr>
                <w:rFonts w:ascii="Tahoma" w:hAnsi="Tahoma" w:cs="Tahoma"/>
                <w:noProof/>
                <w:sz w:val="20"/>
                <w:szCs w:val="20"/>
                <w:lang w:val="fr-FR"/>
              </w:rPr>
            </w:pPr>
            <w:r>
              <w:rPr>
                <w:rFonts w:ascii="Tahoma" w:hAnsi="Tahoma"/>
                <w:noProof/>
                <w:sz w:val="20"/>
                <w:lang w:val="fr-FR"/>
              </w:rPr>
              <w:t xml:space="preserve">Si les avantages attendus ne peuvent être estimés avec précision, il ressort cependant d’une étude récente intitulée «The Costs of Non-Europe in the Single Market» (Le coût de la non-Europe dans le marché unique) qu’une réduction des barrières commerciales pourrait conduire à une augmentation des échanges commerciaux intra-UE de plus de 100 milliards d’EUR par an. Le concept de barrières commerciales dans cette étude va au-delà du seul problème de la reconnaissance mutuelle, mais l’étude donne néanmoins une estimation des avantages escomptés. </w:t>
            </w:r>
          </w:p>
        </w:tc>
      </w:tr>
      <w:tr w:rsidR="005F6186" w:rsidRPr="007A0061">
        <w:tc>
          <w:tcPr>
            <w:tcW w:w="9747" w:type="dxa"/>
            <w:tcBorders>
              <w:bottom w:val="single" w:sz="4" w:space="0" w:color="auto"/>
            </w:tcBorders>
            <w:shd w:val="clear" w:color="auto" w:fill="E6E6E6"/>
          </w:tcPr>
          <w:p w:rsidR="005F6186" w:rsidRDefault="009F7CC0">
            <w:pPr>
              <w:spacing w:after="60"/>
              <w:jc w:val="both"/>
              <w:rPr>
                <w:rFonts w:ascii="Tahoma" w:hAnsi="Tahoma" w:cs="Tahoma"/>
                <w:noProof/>
                <w:sz w:val="20"/>
                <w:szCs w:val="20"/>
                <w:lang w:val="fr-FR"/>
              </w:rPr>
            </w:pPr>
            <w:r>
              <w:rPr>
                <w:rFonts w:ascii="Tahoma" w:hAnsi="Tahoma"/>
                <w:b/>
                <w:noProof/>
                <w:sz w:val="20"/>
                <w:lang w:val="fr-FR"/>
              </w:rPr>
              <w:t>Quelle est la valeur ajoutée d’une action à l’échelle de l’Union?</w:t>
            </w:r>
            <w:r>
              <w:rPr>
                <w:rFonts w:ascii="Tahoma" w:hAnsi="Tahoma"/>
                <w:noProof/>
                <w:sz w:val="20"/>
                <w:lang w:val="fr-FR"/>
              </w:rPr>
              <w:t xml:space="preserve"> </w:t>
            </w:r>
          </w:p>
        </w:tc>
      </w:tr>
      <w:tr w:rsidR="005F6186" w:rsidRPr="007A0061">
        <w:tc>
          <w:tcPr>
            <w:tcW w:w="9747" w:type="dxa"/>
            <w:tcBorders>
              <w:bottom w:val="single" w:sz="4" w:space="0" w:color="auto"/>
            </w:tcBorders>
            <w:shd w:val="clear" w:color="auto" w:fill="auto"/>
          </w:tcPr>
          <w:p w:rsidR="005F6186" w:rsidRDefault="009F7CC0">
            <w:pPr>
              <w:spacing w:after="60"/>
              <w:jc w:val="both"/>
              <w:rPr>
                <w:rFonts w:ascii="Tahoma" w:hAnsi="Tahoma" w:cs="Tahoma"/>
                <w:noProof/>
                <w:sz w:val="20"/>
                <w:szCs w:val="20"/>
                <w:lang w:val="fr-FR"/>
              </w:rPr>
            </w:pPr>
            <w:r>
              <w:rPr>
                <w:rFonts w:ascii="Tahoma" w:hAnsi="Tahoma"/>
                <w:noProof/>
                <w:sz w:val="20"/>
                <w:lang w:val="fr-FR"/>
              </w:rPr>
              <w:t xml:space="preserve">Le fait de disposer d’un ensemble de règles communes garantit l’égalité de traitement et permet une application cohérente du principe de reconnaissance mutuelle. Une action des seuls États membres constituerait une déclinaison de ce principe en 28 procédures nationales différentes et potentiellement contradictoires.  </w:t>
            </w:r>
          </w:p>
        </w:tc>
      </w:tr>
      <w:tr w:rsidR="005F6186">
        <w:tc>
          <w:tcPr>
            <w:tcW w:w="9747" w:type="dxa"/>
            <w:tcBorders>
              <w:bottom w:val="single" w:sz="4" w:space="0" w:color="auto"/>
            </w:tcBorders>
            <w:shd w:val="clear" w:color="auto" w:fill="CCCCCC"/>
          </w:tcPr>
          <w:p w:rsidR="005F6186" w:rsidRDefault="009F7CC0">
            <w:pPr>
              <w:spacing w:after="60"/>
              <w:jc w:val="center"/>
              <w:rPr>
                <w:rFonts w:ascii="Tahoma" w:hAnsi="Tahoma" w:cs="Tahoma"/>
                <w:b/>
                <w:noProof/>
                <w:sz w:val="20"/>
                <w:szCs w:val="20"/>
              </w:rPr>
            </w:pPr>
            <w:r>
              <w:rPr>
                <w:rFonts w:ascii="Tahoma" w:hAnsi="Tahoma"/>
                <w:b/>
                <w:noProof/>
                <w:sz w:val="20"/>
              </w:rPr>
              <w:t>B. Les solutions</w:t>
            </w:r>
          </w:p>
        </w:tc>
      </w:tr>
      <w:tr w:rsidR="005F6186">
        <w:tc>
          <w:tcPr>
            <w:tcW w:w="9747" w:type="dxa"/>
            <w:tcBorders>
              <w:bottom w:val="single" w:sz="4" w:space="0" w:color="auto"/>
            </w:tcBorders>
            <w:shd w:val="clear" w:color="auto" w:fill="E6E6E6"/>
          </w:tcPr>
          <w:p w:rsidR="005F6186" w:rsidRDefault="009F7CC0">
            <w:pPr>
              <w:spacing w:after="60"/>
              <w:jc w:val="both"/>
              <w:rPr>
                <w:rFonts w:ascii="Tahoma" w:hAnsi="Tahoma" w:cs="Tahoma"/>
                <w:noProof/>
                <w:sz w:val="20"/>
                <w:szCs w:val="20"/>
              </w:rPr>
            </w:pPr>
            <w:r>
              <w:rPr>
                <w:rFonts w:ascii="Tahoma" w:hAnsi="Tahoma"/>
                <w:b/>
                <w:noProof/>
                <w:sz w:val="20"/>
                <w:lang w:val="fr-FR"/>
              </w:rPr>
              <w:t xml:space="preserve">Quelles sont les options législatives et non législatives qui ont été envisagées? </w:t>
            </w:r>
            <w:r>
              <w:rPr>
                <w:rFonts w:ascii="Tahoma" w:hAnsi="Tahoma"/>
                <w:b/>
                <w:noProof/>
                <w:sz w:val="20"/>
              </w:rPr>
              <w:t>Y a-t-il une option privilégiée? Pourquoi?</w:t>
            </w:r>
            <w:r>
              <w:rPr>
                <w:rFonts w:ascii="Tahoma" w:hAnsi="Tahoma"/>
                <w:noProof/>
                <w:sz w:val="20"/>
              </w:rPr>
              <w:t xml:space="preserve"> </w:t>
            </w:r>
          </w:p>
        </w:tc>
      </w:tr>
      <w:tr w:rsidR="005F6186" w:rsidRPr="007A0061">
        <w:tc>
          <w:tcPr>
            <w:tcW w:w="9747" w:type="dxa"/>
            <w:tcBorders>
              <w:bottom w:val="single" w:sz="4" w:space="0" w:color="auto"/>
            </w:tcBorders>
            <w:shd w:val="clear" w:color="auto" w:fill="auto"/>
          </w:tcPr>
          <w:p w:rsidR="005F6186" w:rsidRDefault="009F7CC0">
            <w:pPr>
              <w:spacing w:after="60"/>
              <w:jc w:val="both"/>
              <w:rPr>
                <w:rFonts w:ascii="Tahoma" w:hAnsi="Tahoma" w:cs="Tahoma"/>
                <w:noProof/>
                <w:sz w:val="20"/>
                <w:szCs w:val="20"/>
                <w:lang w:val="fr-FR"/>
              </w:rPr>
            </w:pPr>
            <w:r>
              <w:rPr>
                <w:rFonts w:ascii="Tahoma" w:hAnsi="Tahoma"/>
                <w:noProof/>
                <w:sz w:val="20"/>
                <w:lang w:val="fr-FR"/>
              </w:rPr>
              <w:t>Les options ayant fait l’objet d’une évaluation sont les suivantes:</w:t>
            </w:r>
          </w:p>
          <w:p w:rsidR="005F6186" w:rsidRDefault="009F7CC0">
            <w:pPr>
              <w:pStyle w:val="ListParagraph"/>
              <w:numPr>
                <w:ilvl w:val="0"/>
                <w:numId w:val="1"/>
              </w:numPr>
              <w:spacing w:after="60"/>
              <w:ind w:left="284" w:hanging="284"/>
              <w:contextualSpacing w:val="0"/>
              <w:jc w:val="both"/>
              <w:rPr>
                <w:rFonts w:ascii="Tahoma" w:hAnsi="Tahoma" w:cs="Tahoma"/>
                <w:noProof/>
                <w:sz w:val="20"/>
                <w:szCs w:val="20"/>
              </w:rPr>
            </w:pPr>
            <w:r>
              <w:rPr>
                <w:rFonts w:ascii="Tahoma" w:hAnsi="Tahoma"/>
                <w:noProof/>
                <w:sz w:val="20"/>
              </w:rPr>
              <w:t xml:space="preserve">Option 2 — Mesures non contraignantes </w:t>
            </w:r>
          </w:p>
          <w:p w:rsidR="005F6186" w:rsidRDefault="009F7CC0">
            <w:pPr>
              <w:pStyle w:val="ListParagraph"/>
              <w:numPr>
                <w:ilvl w:val="0"/>
                <w:numId w:val="1"/>
              </w:numPr>
              <w:spacing w:after="60"/>
              <w:ind w:left="284" w:hanging="284"/>
              <w:contextualSpacing w:val="0"/>
              <w:jc w:val="both"/>
              <w:rPr>
                <w:rFonts w:ascii="Tahoma" w:hAnsi="Tahoma" w:cs="Tahoma"/>
                <w:noProof/>
                <w:sz w:val="20"/>
                <w:szCs w:val="20"/>
              </w:rPr>
            </w:pPr>
            <w:r>
              <w:rPr>
                <w:rFonts w:ascii="Tahoma" w:hAnsi="Tahoma"/>
                <w:noProof/>
                <w:sz w:val="20"/>
              </w:rPr>
              <w:t xml:space="preserve">Option 3 — Modifications législatives minimales </w:t>
            </w:r>
          </w:p>
          <w:p w:rsidR="005F6186" w:rsidRDefault="009F7CC0">
            <w:pPr>
              <w:pStyle w:val="ListParagraph"/>
              <w:numPr>
                <w:ilvl w:val="0"/>
                <w:numId w:val="1"/>
              </w:numPr>
              <w:spacing w:after="60"/>
              <w:ind w:left="284" w:hanging="284"/>
              <w:contextualSpacing w:val="0"/>
              <w:jc w:val="both"/>
              <w:rPr>
                <w:rFonts w:ascii="Tahoma" w:hAnsi="Tahoma" w:cs="Tahoma"/>
                <w:noProof/>
                <w:sz w:val="20"/>
                <w:szCs w:val="20"/>
              </w:rPr>
            </w:pPr>
            <w:r>
              <w:rPr>
                <w:rFonts w:ascii="Tahoma" w:hAnsi="Tahoma"/>
                <w:noProof/>
                <w:sz w:val="20"/>
              </w:rPr>
              <w:t xml:space="preserve">Option 4 — Modifications législatives importantes </w:t>
            </w:r>
          </w:p>
          <w:p w:rsidR="005F6186" w:rsidRDefault="009F7CC0">
            <w:pPr>
              <w:pStyle w:val="ListParagraph"/>
              <w:numPr>
                <w:ilvl w:val="0"/>
                <w:numId w:val="1"/>
              </w:numPr>
              <w:spacing w:after="60"/>
              <w:ind w:left="284" w:hanging="284"/>
              <w:contextualSpacing w:val="0"/>
              <w:jc w:val="both"/>
              <w:rPr>
                <w:rFonts w:ascii="Tahoma" w:hAnsi="Tahoma" w:cs="Tahoma"/>
                <w:noProof/>
                <w:sz w:val="20"/>
                <w:szCs w:val="20"/>
                <w:lang w:val="fr-FR"/>
              </w:rPr>
            </w:pPr>
            <w:r>
              <w:rPr>
                <w:rFonts w:ascii="Tahoma" w:hAnsi="Tahoma"/>
                <w:noProof/>
                <w:sz w:val="20"/>
                <w:lang w:val="fr-FR"/>
              </w:rPr>
              <w:t>Option 5 — Autorisation volontaire préalable à la mise sur le marché</w:t>
            </w:r>
          </w:p>
          <w:p w:rsidR="005F6186" w:rsidRDefault="009F7CC0">
            <w:pPr>
              <w:spacing w:after="60"/>
              <w:jc w:val="both"/>
              <w:rPr>
                <w:rFonts w:ascii="Tahoma" w:hAnsi="Tahoma" w:cs="Tahoma"/>
                <w:noProof/>
                <w:sz w:val="20"/>
                <w:szCs w:val="20"/>
                <w:lang w:val="fr-FR"/>
              </w:rPr>
            </w:pPr>
            <w:r>
              <w:rPr>
                <w:rFonts w:ascii="Tahoma" w:hAnsi="Tahoma"/>
                <w:noProof/>
                <w:sz w:val="20"/>
                <w:lang w:val="fr-FR"/>
              </w:rPr>
              <w:t>L’option privilégiée est l’option 4, complétée par l’option 2.</w:t>
            </w:r>
          </w:p>
        </w:tc>
      </w:tr>
      <w:tr w:rsidR="005F6186">
        <w:tc>
          <w:tcPr>
            <w:tcW w:w="9747" w:type="dxa"/>
            <w:shd w:val="clear" w:color="auto" w:fill="CCCCCC"/>
          </w:tcPr>
          <w:p w:rsidR="005F6186" w:rsidRDefault="009F7CC0">
            <w:pPr>
              <w:spacing w:after="60"/>
              <w:jc w:val="both"/>
              <w:rPr>
                <w:rFonts w:ascii="Tahoma" w:hAnsi="Tahoma" w:cs="Tahoma"/>
                <w:noProof/>
                <w:sz w:val="20"/>
                <w:szCs w:val="20"/>
              </w:rPr>
            </w:pPr>
            <w:r>
              <w:rPr>
                <w:rFonts w:ascii="Tahoma" w:hAnsi="Tahoma"/>
                <w:b/>
                <w:noProof/>
                <w:sz w:val="20"/>
              </w:rPr>
              <w:t>Qui soutient quelle option?</w:t>
            </w:r>
            <w:r>
              <w:rPr>
                <w:rFonts w:ascii="Tahoma" w:hAnsi="Tahoma"/>
                <w:noProof/>
                <w:sz w:val="20"/>
              </w:rPr>
              <w:t xml:space="preserve"> </w:t>
            </w:r>
          </w:p>
        </w:tc>
      </w:tr>
      <w:tr w:rsidR="005F6186" w:rsidRPr="007A0061">
        <w:tc>
          <w:tcPr>
            <w:tcW w:w="9747" w:type="dxa"/>
            <w:shd w:val="clear" w:color="auto" w:fill="auto"/>
          </w:tcPr>
          <w:p w:rsidR="005F6186" w:rsidRDefault="009F7CC0">
            <w:pPr>
              <w:spacing w:after="60"/>
              <w:jc w:val="both"/>
              <w:rPr>
                <w:rFonts w:ascii="Tahoma" w:hAnsi="Tahoma" w:cs="Tahoma"/>
                <w:noProof/>
                <w:sz w:val="20"/>
                <w:szCs w:val="20"/>
                <w:lang w:val="fr-FR"/>
              </w:rPr>
            </w:pPr>
            <w:r>
              <w:rPr>
                <w:rFonts w:ascii="Tahoma" w:hAnsi="Tahoma"/>
                <w:noProof/>
                <w:sz w:val="20"/>
                <w:lang w:val="fr-FR"/>
              </w:rPr>
              <w:t xml:space="preserve">Toutes les parties se sont déclarées favorables à l’option 2, à condition qu’elle soit complétée par d’autres outils. </w:t>
            </w:r>
          </w:p>
          <w:p w:rsidR="005F6186" w:rsidRDefault="009F7CC0">
            <w:pPr>
              <w:spacing w:after="60"/>
              <w:jc w:val="both"/>
              <w:rPr>
                <w:rFonts w:ascii="Tahoma" w:hAnsi="Tahoma" w:cs="Tahoma"/>
                <w:noProof/>
                <w:sz w:val="20"/>
                <w:szCs w:val="20"/>
                <w:lang w:val="fr-FR"/>
              </w:rPr>
            </w:pPr>
            <w:r>
              <w:rPr>
                <w:rFonts w:ascii="Tahoma" w:hAnsi="Tahoma"/>
                <w:noProof/>
                <w:sz w:val="20"/>
                <w:lang w:val="fr-FR"/>
              </w:rPr>
              <w:t xml:space="preserve">L’option 3 a été jugée potentiellement efficace par tous, mais dans une mesure moindre que les autres options. </w:t>
            </w:r>
          </w:p>
          <w:p w:rsidR="005F6186" w:rsidRDefault="009F7CC0">
            <w:pPr>
              <w:spacing w:after="60"/>
              <w:jc w:val="both"/>
              <w:rPr>
                <w:rFonts w:ascii="Tahoma" w:hAnsi="Tahoma" w:cs="Tahoma"/>
                <w:noProof/>
                <w:sz w:val="20"/>
                <w:szCs w:val="20"/>
                <w:lang w:val="fr-FR"/>
              </w:rPr>
            </w:pPr>
            <w:r>
              <w:rPr>
                <w:rFonts w:ascii="Tahoma" w:hAnsi="Tahoma"/>
                <w:noProof/>
                <w:sz w:val="20"/>
                <w:lang w:val="fr-FR"/>
              </w:rPr>
              <w:t xml:space="preserve">L’option 4 a été unanimement jugée la plus efficace. </w:t>
            </w:r>
          </w:p>
          <w:p w:rsidR="005F6186" w:rsidRDefault="009F7CC0">
            <w:pPr>
              <w:spacing w:after="60"/>
              <w:jc w:val="both"/>
              <w:rPr>
                <w:rFonts w:ascii="Tahoma" w:hAnsi="Tahoma" w:cs="Tahoma"/>
                <w:noProof/>
                <w:sz w:val="20"/>
                <w:szCs w:val="20"/>
                <w:lang w:val="fr-FR"/>
              </w:rPr>
            </w:pPr>
            <w:r>
              <w:rPr>
                <w:rFonts w:ascii="Tahoma" w:hAnsi="Tahoma"/>
                <w:noProof/>
                <w:sz w:val="20"/>
                <w:lang w:val="fr-FR"/>
              </w:rPr>
              <w:t>L’option 5 a fait l’unanimité contre elle.</w:t>
            </w:r>
          </w:p>
        </w:tc>
      </w:tr>
      <w:tr w:rsidR="005F6186" w:rsidRPr="007A0061">
        <w:tc>
          <w:tcPr>
            <w:tcW w:w="9747" w:type="dxa"/>
            <w:tcBorders>
              <w:bottom w:val="single" w:sz="4" w:space="0" w:color="auto"/>
            </w:tcBorders>
            <w:shd w:val="clear" w:color="auto" w:fill="CCCCCC"/>
          </w:tcPr>
          <w:p w:rsidR="005F6186" w:rsidRDefault="009F7CC0">
            <w:pPr>
              <w:spacing w:after="60"/>
              <w:jc w:val="center"/>
              <w:rPr>
                <w:rFonts w:ascii="Tahoma" w:hAnsi="Tahoma" w:cs="Tahoma"/>
                <w:b/>
                <w:noProof/>
                <w:sz w:val="20"/>
                <w:szCs w:val="20"/>
                <w:lang w:val="fr-FR"/>
              </w:rPr>
            </w:pPr>
            <w:r>
              <w:rPr>
                <w:rFonts w:ascii="Tahoma" w:hAnsi="Tahoma"/>
                <w:b/>
                <w:noProof/>
                <w:sz w:val="20"/>
                <w:lang w:val="fr-FR"/>
              </w:rPr>
              <w:t>C. Incidences de l'option privilégiée</w:t>
            </w:r>
          </w:p>
        </w:tc>
      </w:tr>
      <w:tr w:rsidR="005F6186" w:rsidRPr="007A0061">
        <w:tc>
          <w:tcPr>
            <w:tcW w:w="9747" w:type="dxa"/>
            <w:tcBorders>
              <w:bottom w:val="single" w:sz="4" w:space="0" w:color="auto"/>
            </w:tcBorders>
            <w:shd w:val="clear" w:color="auto" w:fill="E6E6E6"/>
          </w:tcPr>
          <w:p w:rsidR="005F6186" w:rsidRDefault="009F7CC0">
            <w:pPr>
              <w:spacing w:after="60"/>
              <w:jc w:val="both"/>
              <w:rPr>
                <w:rFonts w:ascii="Tahoma" w:hAnsi="Tahoma" w:cs="Tahoma"/>
                <w:noProof/>
                <w:sz w:val="20"/>
                <w:szCs w:val="20"/>
                <w:lang w:val="fr-FR"/>
              </w:rPr>
            </w:pPr>
            <w:r>
              <w:rPr>
                <w:rFonts w:ascii="Tahoma" w:hAnsi="Tahoma"/>
                <w:b/>
                <w:noProof/>
                <w:sz w:val="20"/>
                <w:lang w:val="fr-FR"/>
              </w:rPr>
              <w:t>Quels sont les avantages de l’option privilégiée (ou, à défaut, des options principales)?</w:t>
            </w:r>
            <w:r>
              <w:rPr>
                <w:rFonts w:ascii="Tahoma" w:hAnsi="Tahoma"/>
                <w:noProof/>
                <w:sz w:val="20"/>
                <w:lang w:val="fr-FR"/>
              </w:rPr>
              <w:t xml:space="preserve"> </w:t>
            </w:r>
          </w:p>
        </w:tc>
      </w:tr>
      <w:tr w:rsidR="005F6186" w:rsidRPr="007A0061">
        <w:tc>
          <w:tcPr>
            <w:tcW w:w="9747" w:type="dxa"/>
            <w:tcBorders>
              <w:bottom w:val="single" w:sz="4" w:space="0" w:color="auto"/>
            </w:tcBorders>
            <w:shd w:val="clear" w:color="auto" w:fill="auto"/>
          </w:tcPr>
          <w:p w:rsidR="005F6186" w:rsidRDefault="009F7CC0">
            <w:pPr>
              <w:spacing w:after="60"/>
              <w:jc w:val="both"/>
              <w:rPr>
                <w:rFonts w:ascii="Tahoma" w:hAnsi="Tahoma" w:cs="Tahoma"/>
                <w:noProof/>
                <w:sz w:val="20"/>
                <w:szCs w:val="20"/>
                <w:lang w:val="fr-FR"/>
              </w:rPr>
            </w:pPr>
            <w:r>
              <w:rPr>
                <w:rFonts w:ascii="Tahoma" w:hAnsi="Tahoma"/>
                <w:noProof/>
                <w:sz w:val="20"/>
                <w:lang w:val="fr-FR"/>
              </w:rPr>
              <w:t xml:space="preserve">L’option 4, combinée avec l’option 2, améliorera la sensibilisation au principe de la reconnaissance mutuelle et les connaissances en la matière, tout en apportant la sécurité juridique dans l’application du principe et en renforçant la coopération administrative entre les États membres. </w:t>
            </w:r>
          </w:p>
        </w:tc>
      </w:tr>
      <w:tr w:rsidR="005F6186" w:rsidRPr="007A0061">
        <w:tc>
          <w:tcPr>
            <w:tcW w:w="9747" w:type="dxa"/>
            <w:tcBorders>
              <w:bottom w:val="single" w:sz="4" w:space="0" w:color="auto"/>
            </w:tcBorders>
            <w:shd w:val="clear" w:color="auto" w:fill="E6E6E6"/>
          </w:tcPr>
          <w:p w:rsidR="005F6186" w:rsidRDefault="009F7CC0">
            <w:pPr>
              <w:spacing w:after="60"/>
              <w:jc w:val="both"/>
              <w:rPr>
                <w:rFonts w:ascii="Tahoma" w:hAnsi="Tahoma" w:cs="Tahoma"/>
                <w:noProof/>
                <w:sz w:val="20"/>
                <w:szCs w:val="20"/>
                <w:lang w:val="fr-FR"/>
              </w:rPr>
            </w:pPr>
            <w:r>
              <w:rPr>
                <w:rFonts w:ascii="Tahoma" w:hAnsi="Tahoma"/>
                <w:b/>
                <w:noProof/>
                <w:sz w:val="20"/>
                <w:lang w:val="fr-FR"/>
              </w:rPr>
              <w:t>Quels sont les coûts de l’option privilégiée (ou, à défaut, des options principales)?</w:t>
            </w:r>
            <w:r>
              <w:rPr>
                <w:rFonts w:ascii="Tahoma" w:hAnsi="Tahoma"/>
                <w:noProof/>
                <w:sz w:val="20"/>
                <w:lang w:val="fr-FR"/>
              </w:rPr>
              <w:t xml:space="preserve"> </w:t>
            </w:r>
          </w:p>
        </w:tc>
      </w:tr>
      <w:tr w:rsidR="005F6186" w:rsidRPr="007A0061">
        <w:tc>
          <w:tcPr>
            <w:tcW w:w="9747" w:type="dxa"/>
            <w:tcBorders>
              <w:bottom w:val="single" w:sz="4" w:space="0" w:color="auto"/>
            </w:tcBorders>
            <w:shd w:val="clear" w:color="auto" w:fill="auto"/>
          </w:tcPr>
          <w:p w:rsidR="005F6186" w:rsidRDefault="009F7CC0">
            <w:pPr>
              <w:spacing w:after="60"/>
              <w:jc w:val="both"/>
              <w:rPr>
                <w:rFonts w:ascii="Tahoma" w:hAnsi="Tahoma" w:cs="Tahoma"/>
                <w:noProof/>
                <w:sz w:val="20"/>
                <w:szCs w:val="20"/>
                <w:lang w:val="fr-FR"/>
              </w:rPr>
            </w:pPr>
            <w:r>
              <w:rPr>
                <w:rFonts w:ascii="Tahoma" w:hAnsi="Tahoma"/>
                <w:noProof/>
                <w:sz w:val="20"/>
                <w:lang w:val="fr-FR"/>
              </w:rPr>
              <w:t xml:space="preserve">Les coûts pour les entreprises sont minimes. Les États membres et la Commission supporteront certains coûts nécessaires, estimés comme suit: organisation et coordination d’activités de sensibilisation et de formation (500 000 EUR), programme d’échange de fonctionnaires (170 000 EUR par an), procédure de recours accélérée (3 à 4 ETP pour la Commission, soit 225 000-300 000 EUR par an), renforcement de la coopération administrative (1 200 000 EUR par an). </w:t>
            </w:r>
          </w:p>
        </w:tc>
      </w:tr>
      <w:tr w:rsidR="005F6186" w:rsidRPr="007A0061">
        <w:tc>
          <w:tcPr>
            <w:tcW w:w="9747" w:type="dxa"/>
            <w:tcBorders>
              <w:bottom w:val="single" w:sz="4" w:space="0" w:color="auto"/>
            </w:tcBorders>
            <w:shd w:val="clear" w:color="auto" w:fill="E6E6E6"/>
          </w:tcPr>
          <w:p w:rsidR="005F6186" w:rsidRDefault="009F7CC0">
            <w:pPr>
              <w:spacing w:after="60"/>
              <w:jc w:val="both"/>
              <w:rPr>
                <w:rFonts w:ascii="Tahoma" w:hAnsi="Tahoma" w:cs="Tahoma"/>
                <w:noProof/>
                <w:sz w:val="20"/>
                <w:szCs w:val="20"/>
                <w:lang w:val="fr-FR"/>
              </w:rPr>
            </w:pPr>
            <w:r>
              <w:rPr>
                <w:rFonts w:ascii="Tahoma" w:hAnsi="Tahoma"/>
                <w:b/>
                <w:noProof/>
                <w:sz w:val="20"/>
                <w:lang w:val="fr-FR"/>
              </w:rPr>
              <w:t xml:space="preserve">Quelle sera l'incidence sur les entreprises, les PME et les microentreprises? </w:t>
            </w:r>
          </w:p>
        </w:tc>
      </w:tr>
      <w:tr w:rsidR="005F6186" w:rsidRPr="007A0061">
        <w:tc>
          <w:tcPr>
            <w:tcW w:w="9747" w:type="dxa"/>
            <w:tcBorders>
              <w:bottom w:val="single" w:sz="4" w:space="0" w:color="auto"/>
            </w:tcBorders>
            <w:shd w:val="clear" w:color="auto" w:fill="auto"/>
          </w:tcPr>
          <w:p w:rsidR="005F6186" w:rsidRDefault="009F7CC0">
            <w:pPr>
              <w:spacing w:after="60"/>
              <w:jc w:val="both"/>
              <w:rPr>
                <w:rFonts w:ascii="Tahoma" w:hAnsi="Tahoma" w:cs="Tahoma"/>
                <w:noProof/>
                <w:sz w:val="20"/>
                <w:szCs w:val="20"/>
                <w:lang w:val="fr-FR"/>
              </w:rPr>
            </w:pPr>
            <w:r>
              <w:rPr>
                <w:rFonts w:ascii="Tahoma" w:hAnsi="Tahoma"/>
                <w:noProof/>
                <w:sz w:val="20"/>
                <w:lang w:val="fr-FR"/>
              </w:rPr>
              <w:lastRenderedPageBreak/>
              <w:t xml:space="preserve">L’initiative aura une incidence positive sur les microentreprises et les PME, sans que celles-ci encourent des frais supplémentaires. </w:t>
            </w:r>
          </w:p>
        </w:tc>
      </w:tr>
      <w:tr w:rsidR="005F6186" w:rsidRPr="007A0061">
        <w:tc>
          <w:tcPr>
            <w:tcW w:w="9747" w:type="dxa"/>
            <w:tcBorders>
              <w:bottom w:val="single" w:sz="4" w:space="0" w:color="auto"/>
            </w:tcBorders>
            <w:shd w:val="clear" w:color="auto" w:fill="E6E6E6"/>
          </w:tcPr>
          <w:p w:rsidR="005F6186" w:rsidRDefault="009F7CC0">
            <w:pPr>
              <w:spacing w:after="60"/>
              <w:jc w:val="both"/>
              <w:rPr>
                <w:rFonts w:ascii="Tahoma" w:hAnsi="Tahoma" w:cs="Tahoma"/>
                <w:b/>
                <w:i/>
                <w:noProof/>
                <w:sz w:val="20"/>
                <w:szCs w:val="20"/>
                <w:lang w:val="fr-FR"/>
              </w:rPr>
            </w:pPr>
            <w:r>
              <w:rPr>
                <w:rFonts w:ascii="Tahoma" w:hAnsi="Tahoma" w:cs="Tahoma"/>
                <w:b/>
                <w:noProof/>
                <w:sz w:val="20"/>
                <w:szCs w:val="20"/>
                <w:lang w:val="fr-FR"/>
              </w:rPr>
              <w:t>Y aura-t-il une incidence notable sur les budgets nationaux et les administrations nationales?</w:t>
            </w:r>
          </w:p>
        </w:tc>
      </w:tr>
      <w:tr w:rsidR="005F6186" w:rsidRPr="007A0061">
        <w:tc>
          <w:tcPr>
            <w:tcW w:w="9747" w:type="dxa"/>
            <w:shd w:val="clear" w:color="auto" w:fill="auto"/>
          </w:tcPr>
          <w:p w:rsidR="005F6186" w:rsidRDefault="009F7CC0">
            <w:pPr>
              <w:spacing w:after="60"/>
              <w:jc w:val="both"/>
              <w:rPr>
                <w:rFonts w:ascii="Tahoma" w:hAnsi="Tahoma" w:cs="Tahoma"/>
                <w:noProof/>
                <w:sz w:val="20"/>
                <w:szCs w:val="20"/>
                <w:lang w:val="fr-FR"/>
              </w:rPr>
            </w:pPr>
            <w:r>
              <w:rPr>
                <w:rFonts w:ascii="Tahoma" w:hAnsi="Tahoma"/>
                <w:noProof/>
                <w:sz w:val="20"/>
                <w:lang w:val="fr-FR"/>
              </w:rPr>
              <w:t xml:space="preserve">Les points de contact produit pourraient être concernés, car des ressources appropriées seront nécessaires pour mener à bien les tâches confiées. </w:t>
            </w:r>
          </w:p>
        </w:tc>
      </w:tr>
      <w:tr w:rsidR="005F6186" w:rsidRPr="007A0061">
        <w:tc>
          <w:tcPr>
            <w:tcW w:w="9747" w:type="dxa"/>
            <w:tcBorders>
              <w:bottom w:val="single" w:sz="4" w:space="0" w:color="auto"/>
            </w:tcBorders>
            <w:shd w:val="clear" w:color="auto" w:fill="E6E6E6"/>
          </w:tcPr>
          <w:p w:rsidR="005F6186" w:rsidRDefault="009F7CC0">
            <w:pPr>
              <w:spacing w:after="60"/>
              <w:jc w:val="both"/>
              <w:rPr>
                <w:rFonts w:ascii="Tahoma" w:hAnsi="Tahoma" w:cs="Tahoma"/>
                <w:noProof/>
                <w:sz w:val="20"/>
                <w:szCs w:val="20"/>
                <w:lang w:val="fr-FR"/>
              </w:rPr>
            </w:pPr>
            <w:r>
              <w:rPr>
                <w:rFonts w:ascii="Tahoma" w:hAnsi="Tahoma"/>
                <w:b/>
                <w:noProof/>
                <w:sz w:val="20"/>
                <w:lang w:val="fr-FR"/>
              </w:rPr>
              <w:t>Y aura-t-il d’autres incidences notables?</w:t>
            </w:r>
            <w:r>
              <w:rPr>
                <w:rFonts w:ascii="Tahoma" w:hAnsi="Tahoma"/>
                <w:noProof/>
                <w:sz w:val="20"/>
                <w:lang w:val="fr-FR"/>
              </w:rPr>
              <w:t xml:space="preserve"> </w:t>
            </w:r>
          </w:p>
        </w:tc>
      </w:tr>
      <w:tr w:rsidR="005F6186" w:rsidRPr="007A0061">
        <w:tc>
          <w:tcPr>
            <w:tcW w:w="9747" w:type="dxa"/>
            <w:tcBorders>
              <w:bottom w:val="single" w:sz="4" w:space="0" w:color="auto"/>
            </w:tcBorders>
            <w:shd w:val="clear" w:color="auto" w:fill="auto"/>
          </w:tcPr>
          <w:p w:rsidR="005F6186" w:rsidRDefault="009F7CC0">
            <w:pPr>
              <w:spacing w:after="60"/>
              <w:jc w:val="both"/>
              <w:rPr>
                <w:rFonts w:ascii="Tahoma" w:hAnsi="Tahoma" w:cs="Tahoma"/>
                <w:noProof/>
                <w:sz w:val="20"/>
                <w:szCs w:val="20"/>
                <w:lang w:val="fr-FR"/>
              </w:rPr>
            </w:pPr>
            <w:r>
              <w:rPr>
                <w:rFonts w:ascii="Tahoma" w:hAnsi="Tahoma"/>
                <w:noProof/>
                <w:sz w:val="20"/>
                <w:lang w:val="fr-FR"/>
              </w:rPr>
              <w:t xml:space="preserve">Les débouchés commerciaux seront plus importants pour les entreprises, en particulier pour les entreprises innovantes.  </w:t>
            </w:r>
          </w:p>
        </w:tc>
      </w:tr>
      <w:tr w:rsidR="005F6186">
        <w:tc>
          <w:tcPr>
            <w:tcW w:w="9747" w:type="dxa"/>
            <w:tcBorders>
              <w:bottom w:val="single" w:sz="4" w:space="0" w:color="auto"/>
            </w:tcBorders>
            <w:shd w:val="clear" w:color="auto" w:fill="C0C0C0"/>
          </w:tcPr>
          <w:p w:rsidR="005F6186" w:rsidRDefault="009F7CC0">
            <w:pPr>
              <w:spacing w:after="60"/>
              <w:jc w:val="center"/>
              <w:rPr>
                <w:rFonts w:ascii="Tahoma" w:hAnsi="Tahoma" w:cs="Tahoma"/>
                <w:b/>
                <w:noProof/>
                <w:sz w:val="20"/>
                <w:szCs w:val="20"/>
              </w:rPr>
            </w:pPr>
            <w:r>
              <w:rPr>
                <w:rFonts w:ascii="Tahoma" w:hAnsi="Tahoma"/>
                <w:b/>
                <w:noProof/>
                <w:sz w:val="20"/>
              </w:rPr>
              <w:t>D. Suivi</w:t>
            </w:r>
          </w:p>
        </w:tc>
      </w:tr>
      <w:tr w:rsidR="005F6186" w:rsidRPr="007A0061">
        <w:tc>
          <w:tcPr>
            <w:tcW w:w="9747" w:type="dxa"/>
            <w:tcBorders>
              <w:bottom w:val="single" w:sz="4" w:space="0" w:color="auto"/>
            </w:tcBorders>
            <w:shd w:val="clear" w:color="auto" w:fill="E6E6E6"/>
          </w:tcPr>
          <w:p w:rsidR="005F6186" w:rsidRDefault="009F7CC0">
            <w:pPr>
              <w:spacing w:after="60"/>
              <w:jc w:val="both"/>
              <w:rPr>
                <w:rFonts w:ascii="Tahoma" w:hAnsi="Tahoma" w:cs="Tahoma"/>
                <w:noProof/>
                <w:sz w:val="20"/>
                <w:szCs w:val="20"/>
                <w:lang w:val="fr-FR"/>
              </w:rPr>
            </w:pPr>
            <w:r>
              <w:rPr>
                <w:rFonts w:ascii="Tahoma" w:hAnsi="Tahoma"/>
                <w:b/>
                <w:noProof/>
                <w:sz w:val="20"/>
                <w:lang w:val="fr-FR"/>
              </w:rPr>
              <w:t xml:space="preserve">Quand la législation sera-t-elle réexaminée? </w:t>
            </w:r>
          </w:p>
        </w:tc>
      </w:tr>
      <w:tr w:rsidR="005F6186" w:rsidRPr="007A0061">
        <w:tc>
          <w:tcPr>
            <w:tcW w:w="9747" w:type="dxa"/>
            <w:tcBorders>
              <w:bottom w:val="single" w:sz="4" w:space="0" w:color="auto"/>
            </w:tcBorders>
            <w:shd w:val="clear" w:color="auto" w:fill="auto"/>
          </w:tcPr>
          <w:p w:rsidR="005F6186" w:rsidRDefault="009F7CC0">
            <w:pPr>
              <w:spacing w:after="60"/>
              <w:jc w:val="both"/>
              <w:rPr>
                <w:rFonts w:ascii="Tahoma" w:hAnsi="Tahoma" w:cs="Tahoma"/>
                <w:noProof/>
                <w:sz w:val="20"/>
                <w:szCs w:val="20"/>
                <w:lang w:val="fr-FR"/>
              </w:rPr>
            </w:pPr>
            <w:r>
              <w:rPr>
                <w:rFonts w:ascii="Tahoma" w:hAnsi="Tahoma"/>
                <w:noProof/>
                <w:sz w:val="20"/>
                <w:lang w:val="fr-FR"/>
              </w:rPr>
              <w:t>La Commission rendra compte au Parlement européen et au Conseil cinq ans après l’entrée en vigueur du nouveau règlement, et tous les cinq ans par la suite.</w:t>
            </w:r>
          </w:p>
        </w:tc>
      </w:tr>
    </w:tbl>
    <w:p w:rsidR="005F6186" w:rsidRDefault="005F6186">
      <w:pPr>
        <w:rPr>
          <w:rFonts w:ascii="Tahoma" w:hAnsi="Tahoma" w:cs="Tahoma"/>
          <w:noProof/>
          <w:sz w:val="20"/>
          <w:szCs w:val="20"/>
          <w:lang w:val="fr-FR"/>
        </w:rPr>
      </w:pPr>
    </w:p>
    <w:p w:rsidR="005F6186" w:rsidRDefault="005F6186">
      <w:pPr>
        <w:rPr>
          <w:rFonts w:ascii="Tahoma" w:hAnsi="Tahoma" w:cs="Tahoma"/>
          <w:noProof/>
          <w:sz w:val="20"/>
          <w:szCs w:val="20"/>
          <w:lang w:val="fr-FR"/>
        </w:rPr>
      </w:pPr>
    </w:p>
    <w:sectPr w:rsidR="005F6186">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186" w:rsidRDefault="009F7CC0">
      <w:r>
        <w:separator/>
      </w:r>
    </w:p>
  </w:endnote>
  <w:endnote w:type="continuationSeparator" w:id="0">
    <w:p w:rsidR="005F6186" w:rsidRDefault="009F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61" w:rsidRPr="007A0061" w:rsidRDefault="007A0061" w:rsidP="007A00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61" w:rsidRPr="007A0061" w:rsidRDefault="007A0061" w:rsidP="007A0061">
    <w:pPr>
      <w:pStyle w:val="FooterCoverPage"/>
      <w:rPr>
        <w:rFonts w:ascii="Arial" w:hAnsi="Arial" w:cs="Arial"/>
        <w:b/>
        <w:sz w:val="48"/>
      </w:rPr>
    </w:pPr>
    <w:r w:rsidRPr="007A0061">
      <w:rPr>
        <w:rFonts w:ascii="Arial" w:hAnsi="Arial" w:cs="Arial"/>
        <w:b/>
        <w:sz w:val="48"/>
      </w:rPr>
      <w:t>FR</w:t>
    </w:r>
    <w:r w:rsidRPr="007A0061">
      <w:rPr>
        <w:rFonts w:ascii="Arial" w:hAnsi="Arial" w:cs="Arial"/>
        <w:b/>
        <w:sz w:val="48"/>
      </w:rPr>
      <w:tab/>
    </w:r>
    <w:r w:rsidRPr="007A0061">
      <w:rPr>
        <w:rFonts w:ascii="Arial" w:hAnsi="Arial" w:cs="Arial"/>
        <w:b/>
        <w:sz w:val="48"/>
      </w:rPr>
      <w:tab/>
    </w:r>
    <w:r w:rsidRPr="007A0061">
      <w:tab/>
    </w:r>
    <w:r w:rsidRPr="007A0061">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61" w:rsidRPr="007A0061" w:rsidRDefault="007A0061" w:rsidP="007A006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86" w:rsidRDefault="005F61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21775996"/>
      <w:docPartObj>
        <w:docPartGallery w:val="Page Numbers (Bottom of Page)"/>
        <w:docPartUnique/>
      </w:docPartObj>
    </w:sdtPr>
    <w:sdtEndPr>
      <w:rPr>
        <w:noProof/>
      </w:rPr>
    </w:sdtEndPr>
    <w:sdtContent>
      <w:p w:rsidR="005F6186" w:rsidRDefault="009F7CC0">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7A0061">
          <w:rPr>
            <w:rFonts w:ascii="Arial" w:hAnsi="Arial" w:cs="Arial"/>
            <w:noProof/>
            <w:sz w:val="16"/>
            <w:szCs w:val="16"/>
          </w:rPr>
          <w:t>2</w:t>
        </w:r>
        <w:r>
          <w:rPr>
            <w:rFonts w:ascii="Arial" w:hAnsi="Arial" w:cs="Arial"/>
            <w:noProof/>
            <w:sz w:val="16"/>
            <w:szCs w:val="16"/>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86" w:rsidRDefault="005F6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186" w:rsidRDefault="009F7CC0">
      <w:r>
        <w:separator/>
      </w:r>
    </w:p>
  </w:footnote>
  <w:footnote w:type="continuationSeparator" w:id="0">
    <w:p w:rsidR="005F6186" w:rsidRDefault="009F7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61" w:rsidRPr="007A0061" w:rsidRDefault="007A0061" w:rsidP="007A00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61" w:rsidRPr="007A0061" w:rsidRDefault="007A0061" w:rsidP="007A006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61" w:rsidRPr="007A0061" w:rsidRDefault="007A0061" w:rsidP="007A006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86" w:rsidRDefault="005F61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86" w:rsidRDefault="005F61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86" w:rsidRDefault="005F61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216"/>
    <w:multiLevelType w:val="hybridMultilevel"/>
    <w:tmpl w:val="2A961AD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hideSpellingErrors/>
  <w:hideGrammaticalError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CORRIGENDUM :_x000b_Document SWD(2017) 472 final of 19.12.2017 is corrected in all language versions except EN._x000b_The words &quot;lawfully marketed in another Member State&quot; were missing in the title._x000b_The text shall read as follows:"/>
    <w:docVar w:name="LW_COVERPAGE_EXISTS" w:val="True"/>
    <w:docVar w:name="LW_COVERPAGE_GUID" w:val="41F3BA40-2682-4FC9-9432-C7B9ADFB7ADF"/>
    <w:docVar w:name="LW_COVERPAGE_TYPE" w:val="1"/>
    <w:docVar w:name="LW_CROSSREFERENCE" w:val="{COM(2017) 796 final}_x000d__x000a_{SWD(2017) 471 final}_x000d__x000a_{SWD(2017) 475 final}_x000d__x000a_{SWD(2017) 476 final}_x000d__x000a_{SWD(2017) 477 final}"/>
    <w:docVar w:name="LW_DocType" w:val="NORMAL"/>
    <w:docVar w:name="LW_EMISSION" w:val="30.1.2018"/>
    <w:docVar w:name="LW_EMISSION_ISODATE" w:val="2018-01-30"/>
    <w:docVar w:name="LW_EMISSION_LOCATION" w:val="BRX"/>
    <w:docVar w:name="LW_EMISSION_PREFIX" w:val="Bruxelles, le"/>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relatif à la reconnaissance mutuelle des biens commercialisés légalement dans un autre État membre"/>
    <w:docVar w:name="LW_PART_NBR" w:val="1"/>
    <w:docVar w:name="LW_PART_NBR_TOTAL" w:val="1"/>
    <w:docVar w:name="LW_REF.INST.NEW" w:val="SWD"/>
    <w:docVar w:name="LW_REF.INST.NEW_ADOPTED" w:val="final/2"/>
    <w:docVar w:name="LW_REF.INST.NEW_TEXT" w:val="(2017) 4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
  </w:docVars>
  <w:rsids>
    <w:rsidRoot w:val="005F6186"/>
    <w:rsid w:val="005F6186"/>
    <w:rsid w:val="007A0061"/>
    <w:rsid w:val="009F7C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customStyle="1" w:styleId="Text3">
    <w:name w:val="Text 3"/>
    <w:basedOn w:val="Normal"/>
    <w:pPr>
      <w:tabs>
        <w:tab w:val="left" w:pos="2302"/>
      </w:tabs>
      <w:spacing w:after="240"/>
      <w:ind w:left="1202"/>
      <w:jc w:val="both"/>
    </w:pPr>
    <w:rPr>
      <w:szCs w:val="20"/>
      <w:lang w:eastAsia="en-US"/>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customStyle="1" w:styleId="Text3">
    <w:name w:val="Text 3"/>
    <w:basedOn w:val="Normal"/>
    <w:pPr>
      <w:tabs>
        <w:tab w:val="left" w:pos="2302"/>
      </w:tabs>
      <w:spacing w:after="240"/>
      <w:ind w:left="1202"/>
      <w:jc w:val="both"/>
    </w:pPr>
    <w:rPr>
      <w:szCs w:val="20"/>
      <w:lang w:eastAsia="en-US"/>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7EFD9B919FF4BA61E610B5F3FFB70" ma:contentTypeVersion="1" ma:contentTypeDescription="Create a new document." ma:contentTypeScope="" ma:versionID="aa558f749e9fe6460ed6440df957c349">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7B228E3-FEEC-429F-8C93-CFCC37DE565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E2D33F7-210E-460D-B1EA-C6B5F2306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641</Words>
  <Characters>3757</Characters>
  <Application>Microsoft Office Word</Application>
  <DocSecurity>0</DocSecurity>
  <Lines>66</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36</cp:revision>
  <cp:lastPrinted>2018-01-26T15:58:00Z</cp:lastPrinted>
  <dcterms:created xsi:type="dcterms:W3CDTF">2017-12-11T15:37:00Z</dcterms:created>
  <dcterms:modified xsi:type="dcterms:W3CDTF">2018-01-30T16:19:00Z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0x0101007527EFD9B919FF4BA61E610B5F3FFB70</vt:lpwstr>
  </property>
  <property fmtid="{D5CDD505-2E9C-101B-9397-08002B2CF9AE}" pid="10" name="TemplateUrl">
    <vt:lpwstr/>
  </property>
  <property fmtid="{D5CDD505-2E9C-101B-9397-08002B2CF9AE}" pid="11" name="Level of sensitivity">
    <vt:lpwstr>Standard treatment</vt:lpwstr>
  </property>
</Properties>
</file>