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8EC61BE-E27A-4395-89D2-BEC6BFEB161B"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Cs/>
          <w:noProof/>
          <w:sz w:val="24"/>
          <w:szCs w:val="24"/>
        </w:rPr>
      </w:pPr>
      <w:bookmarkStart w:id="1" w:name="_GoBack"/>
      <w:bookmarkEnd w:id="1"/>
      <w:r>
        <w:rPr>
          <w:rFonts w:ascii="Times New Roman" w:hAnsi="Times New Roman" w:cs="Times New Roman"/>
          <w:b/>
          <w:bCs/>
          <w:noProof/>
          <w:sz w:val="24"/>
          <w:szCs w:val="24"/>
        </w:rPr>
        <w:lastRenderedPageBreak/>
        <w:t>Erasmus+</w:t>
      </w:r>
      <w:r>
        <w:rPr>
          <w:rFonts w:ascii="Times New Roman" w:hAnsi="Times New Roman" w:cs="Times New Roman"/>
          <w:bCs/>
          <w:noProof/>
          <w:sz w:val="24"/>
          <w:szCs w:val="24"/>
        </w:rPr>
        <w:t xml:space="preserve"> is the Union programme supporting actions in the fields of education and training, youth and sport. With a budget of </w:t>
      </w:r>
      <w:r>
        <w:rPr>
          <w:rFonts w:ascii="Times New Roman" w:hAnsi="Times New Roman" w:cs="Times New Roman"/>
          <w:b/>
          <w:bCs/>
          <w:noProof/>
          <w:sz w:val="24"/>
          <w:szCs w:val="24"/>
        </w:rPr>
        <w:t>EUR 16.45 billion for the period 2014-2020</w:t>
      </w:r>
      <w:r>
        <w:rPr>
          <w:rFonts w:ascii="Times New Roman" w:hAnsi="Times New Roman" w:cs="Times New Roman"/>
          <w:b/>
          <w:bCs/>
          <w:noProof/>
          <w:sz w:val="24"/>
          <w:szCs w:val="24"/>
          <w:vertAlign w:val="superscript"/>
        </w:rPr>
        <w:footnoteReference w:id="1"/>
      </w:r>
      <w:r>
        <w:rPr>
          <w:rFonts w:ascii="Times New Roman" w:hAnsi="Times New Roman" w:cs="Times New Roman"/>
          <w:b/>
          <w:bCs/>
          <w:noProof/>
          <w:sz w:val="24"/>
          <w:szCs w:val="24"/>
        </w:rPr>
        <w:t>.</w:t>
      </w:r>
      <w:r>
        <w:rPr>
          <w:rFonts w:ascii="Times New Roman" w:hAnsi="Times New Roman" w:cs="Times New Roman"/>
          <w:bCs/>
          <w:noProof/>
          <w:sz w:val="24"/>
          <w:szCs w:val="24"/>
        </w:rPr>
        <w:t xml:space="preserve"> the programme aims to provide to over </w:t>
      </w:r>
      <w:r>
        <w:rPr>
          <w:rFonts w:ascii="Times New Roman" w:hAnsi="Times New Roman" w:cs="Times New Roman"/>
          <w:b/>
          <w:bCs/>
          <w:noProof/>
          <w:sz w:val="24"/>
          <w:szCs w:val="24"/>
        </w:rPr>
        <w:t>4 million persons</w:t>
      </w:r>
      <w:r>
        <w:rPr>
          <w:rFonts w:ascii="Times New Roman" w:hAnsi="Times New Roman" w:cs="Times New Roman"/>
          <w:bCs/>
          <w:noProof/>
          <w:sz w:val="24"/>
          <w:szCs w:val="24"/>
        </w:rPr>
        <w:t xml:space="preserve"> the opportunity to gain competences and have a personal, socio-educational and professional development through studies, training, work experiences or volunteering abroad worldwide. It aims to foster quality improvements, innovation, excellence and internationalisation of </w:t>
      </w:r>
      <w:r>
        <w:rPr>
          <w:rFonts w:ascii="Times New Roman" w:hAnsi="Times New Roman" w:cs="Times New Roman"/>
          <w:b/>
          <w:bCs/>
          <w:noProof/>
          <w:sz w:val="24"/>
          <w:szCs w:val="24"/>
        </w:rPr>
        <w:t>organisations</w:t>
      </w:r>
      <w:r>
        <w:rPr>
          <w:rFonts w:ascii="Times New Roman" w:hAnsi="Times New Roman" w:cs="Times New Roman"/>
          <w:bCs/>
          <w:noProof/>
          <w:sz w:val="24"/>
          <w:szCs w:val="24"/>
        </w:rPr>
        <w:t xml:space="preserve"> active in education and training, youth and sport. Erasmus+ also helps European countries to modernise and improve their education and training </w:t>
      </w:r>
      <w:r>
        <w:rPr>
          <w:rFonts w:ascii="Times New Roman" w:hAnsi="Times New Roman" w:cs="Times New Roman"/>
          <w:b/>
          <w:bCs/>
          <w:noProof/>
          <w:sz w:val="24"/>
          <w:szCs w:val="24"/>
        </w:rPr>
        <w:t>systems</w:t>
      </w:r>
      <w:r>
        <w:rPr>
          <w:rFonts w:ascii="Times New Roman" w:hAnsi="Times New Roman" w:cs="Times New Roman"/>
          <w:bCs/>
          <w:noProof/>
          <w:sz w:val="24"/>
          <w:szCs w:val="24"/>
        </w:rPr>
        <w:t xml:space="preserve"> as well as their youth and sport </w:t>
      </w:r>
      <w:r>
        <w:rPr>
          <w:rFonts w:ascii="Times New Roman" w:hAnsi="Times New Roman" w:cs="Times New Roman"/>
          <w:b/>
          <w:bCs/>
          <w:noProof/>
          <w:sz w:val="24"/>
          <w:szCs w:val="24"/>
        </w:rPr>
        <w:t>policies</w:t>
      </w:r>
      <w:r>
        <w:rPr>
          <w:rFonts w:ascii="Times New Roman" w:hAnsi="Times New Roman" w:cs="Times New Roman"/>
          <w:bCs/>
          <w:noProof/>
          <w:sz w:val="24"/>
          <w:szCs w:val="24"/>
        </w:rPr>
        <w:t>, reinforcing their role as drivers for growth, employment, competitiveness, innovation and social cohesion.</w:t>
      </w:r>
    </w:p>
    <w:p>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This </w:t>
      </w:r>
      <w:r>
        <w:rPr>
          <w:rFonts w:ascii="Times New Roman" w:hAnsi="Times New Roman" w:cs="Times New Roman"/>
          <w:b/>
          <w:bCs/>
          <w:noProof/>
          <w:sz w:val="24"/>
          <w:szCs w:val="24"/>
        </w:rPr>
        <w:t>mid-term evaluation</w:t>
      </w:r>
      <w:r>
        <w:rPr>
          <w:rFonts w:ascii="Times New Roman" w:hAnsi="Times New Roman" w:cs="Times New Roman"/>
          <w:bCs/>
          <w:noProof/>
          <w:sz w:val="24"/>
          <w:szCs w:val="24"/>
        </w:rPr>
        <w:t xml:space="preserve"> report on the Erasmus+ programme, including the evaluation of the long-term impact of its predecessor programmes, is submitted pursuant to Article 21 of Regulation (EU) No 1288/2013 of the European Parliament and of the Council</w:t>
      </w:r>
      <w:r>
        <w:rPr>
          <w:rStyle w:val="FootnoteReference"/>
          <w:noProof/>
        </w:rPr>
        <w:footnoteReference w:id="2"/>
      </w:r>
      <w:r>
        <w:rPr>
          <w:rFonts w:ascii="Times New Roman" w:hAnsi="Times New Roman" w:cs="Times New Roman"/>
          <w:bCs/>
          <w:noProof/>
          <w:sz w:val="24"/>
          <w:szCs w:val="24"/>
        </w:rPr>
        <w:t xml:space="preserve"> and is accompanied by a staff working document (SWD) presenting all evidence. It builds on national reports submitted by the programme countries, an evaluation report by an external independent contractor, other reviewed studies, experience in managing the programme, and </w:t>
      </w:r>
      <w:r>
        <w:rPr>
          <w:rFonts w:ascii="Times New Roman" w:hAnsi="Times New Roman" w:cs="Times New Roman"/>
          <w:b/>
          <w:bCs/>
          <w:noProof/>
          <w:sz w:val="24"/>
          <w:szCs w:val="24"/>
        </w:rPr>
        <w:t>over a million responses from all interested parties</w:t>
      </w:r>
      <w:r>
        <w:rPr>
          <w:rFonts w:ascii="Times New Roman" w:hAnsi="Times New Roman" w:cs="Times New Roman"/>
          <w:bCs/>
          <w:noProof/>
          <w:sz w:val="24"/>
          <w:szCs w:val="24"/>
        </w:rPr>
        <w:t>. It assesses progress in implementing Erasmus+ in the period 2014-2016 in all participating countries</w:t>
      </w:r>
      <w:r>
        <w:rPr>
          <w:rStyle w:val="FootnoteReference"/>
          <w:rFonts w:ascii="Times New Roman" w:hAnsi="Times New Roman" w:cs="Times New Roman"/>
          <w:bCs/>
          <w:noProof/>
          <w:sz w:val="24"/>
          <w:szCs w:val="24"/>
        </w:rPr>
        <w:footnoteReference w:id="3"/>
      </w:r>
      <w:r>
        <w:rPr>
          <w:rFonts w:ascii="Times New Roman" w:hAnsi="Times New Roman" w:cs="Times New Roman"/>
          <w:bCs/>
          <w:noProof/>
          <w:sz w:val="24"/>
          <w:szCs w:val="24"/>
        </w:rPr>
        <w:t xml:space="preserve">, prior to the full budget increase. It also examines the long-term impact of seven predecessor programmes from the period </w:t>
      </w:r>
      <w:r>
        <w:rPr>
          <w:rFonts w:ascii="Times New Roman" w:hAnsi="Times New Roman" w:cs="Times New Roman"/>
          <w:b/>
          <w:bCs/>
          <w:noProof/>
          <w:sz w:val="24"/>
          <w:szCs w:val="24"/>
        </w:rPr>
        <w:t>2007-2013</w:t>
      </w:r>
      <w:r>
        <w:rPr>
          <w:rFonts w:ascii="Times New Roman" w:hAnsi="Times New Roman" w:cs="Times New Roman"/>
          <w:bCs/>
          <w:noProof/>
          <w:sz w:val="24"/>
          <w:szCs w:val="24"/>
        </w:rPr>
        <w:t xml:space="preserve"> (</w:t>
      </w:r>
      <w:r>
        <w:rPr>
          <w:rFonts w:ascii="Times New Roman" w:hAnsi="Times New Roman" w:cs="Times New Roman"/>
          <w:bCs/>
          <w:i/>
          <w:noProof/>
          <w:sz w:val="24"/>
          <w:szCs w:val="24"/>
        </w:rPr>
        <w:t>ex post</w:t>
      </w:r>
      <w:r>
        <w:rPr>
          <w:rFonts w:ascii="Times New Roman" w:hAnsi="Times New Roman" w:cs="Times New Roman"/>
          <w:bCs/>
          <w:noProof/>
          <w:sz w:val="24"/>
          <w:szCs w:val="24"/>
        </w:rPr>
        <w:t xml:space="preserve"> evaluation), including in partner countries.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Erasmus+ is well on track to </w:t>
      </w:r>
      <w:r>
        <w:rPr>
          <w:rFonts w:ascii="Times New Roman" w:hAnsi="Times New Roman" w:cs="Times New Roman"/>
          <w:b/>
          <w:noProof/>
          <w:sz w:val="24"/>
          <w:szCs w:val="24"/>
        </w:rPr>
        <w:t>achieve its performance indicators,</w:t>
      </w:r>
      <w:r>
        <w:rPr>
          <w:rFonts w:ascii="Times New Roman" w:hAnsi="Times New Roman" w:cs="Times New Roman"/>
          <w:noProof/>
          <w:sz w:val="24"/>
          <w:szCs w:val="24"/>
        </w:rPr>
        <w:t xml:space="preserve"> as set in the legal basis, with notably over less than three years, </w:t>
      </w:r>
      <w:r>
        <w:rPr>
          <w:rFonts w:ascii="Times New Roman" w:hAnsi="Times New Roman" w:cs="Times New Roman"/>
          <w:b/>
          <w:noProof/>
          <w:sz w:val="24"/>
          <w:szCs w:val="24"/>
        </w:rPr>
        <w:t xml:space="preserve">1.8 million individuals </w:t>
      </w:r>
      <w:r>
        <w:rPr>
          <w:rFonts w:ascii="Times New Roman" w:hAnsi="Times New Roman" w:cs="Times New Roman"/>
          <w:noProof/>
          <w:sz w:val="24"/>
          <w:szCs w:val="24"/>
        </w:rPr>
        <w:t xml:space="preserve">taking part in mobility activities, and </w:t>
      </w:r>
      <w:r>
        <w:rPr>
          <w:rFonts w:ascii="Times New Roman" w:hAnsi="Times New Roman" w:cs="Times New Roman"/>
          <w:b/>
          <w:noProof/>
          <w:sz w:val="24"/>
          <w:szCs w:val="24"/>
        </w:rPr>
        <w:t xml:space="preserve">more than 240 000 organisations </w:t>
      </w:r>
      <w:r>
        <w:rPr>
          <w:rFonts w:ascii="Times New Roman" w:hAnsi="Times New Roman" w:cs="Times New Roman"/>
          <w:noProof/>
          <w:sz w:val="24"/>
          <w:szCs w:val="24"/>
        </w:rPr>
        <w:t>involved in cooperation projects</w:t>
      </w:r>
      <w:r>
        <w:rPr>
          <w:rFonts w:ascii="Times New Roman" w:hAnsi="Times New Roman" w:cs="Times New Roman"/>
          <w:b/>
          <w:noProof/>
          <w:sz w:val="24"/>
          <w:szCs w:val="24"/>
        </w:rPr>
        <w:t>.</w:t>
      </w:r>
      <w:r>
        <w:rPr>
          <w:rFonts w:ascii="Times New Roman" w:hAnsi="Times New Roman" w:cs="Times New Roman"/>
          <w:noProof/>
          <w:sz w:val="24"/>
          <w:szCs w:val="24"/>
        </w:rPr>
        <w:t xml:space="preserve"> Considering the baseline of the evaluation, between 2007 and 2016, the programmes under review funded learning mobility for more than </w:t>
      </w:r>
      <w:r>
        <w:rPr>
          <w:rFonts w:ascii="Times New Roman" w:hAnsi="Times New Roman" w:cs="Times New Roman"/>
          <w:b/>
          <w:noProof/>
          <w:sz w:val="24"/>
          <w:szCs w:val="24"/>
        </w:rPr>
        <w:t>4.3 million young people and more than 880 000 practitioners</w:t>
      </w:r>
      <w:r>
        <w:rPr>
          <w:rFonts w:ascii="Times New Roman" w:hAnsi="Times New Roman" w:cs="Times New Roman"/>
          <w:noProof/>
          <w:sz w:val="24"/>
          <w:szCs w:val="24"/>
        </w:rPr>
        <w:t xml:space="preserve">. In addition, many more people benefited from cooperation projects involving </w:t>
      </w:r>
      <w:r>
        <w:rPr>
          <w:rFonts w:ascii="Times New Roman" w:hAnsi="Times New Roman" w:cs="Times New Roman"/>
          <w:b/>
          <w:noProof/>
          <w:sz w:val="24"/>
          <w:szCs w:val="24"/>
        </w:rPr>
        <w:t>940 000 participating organisations</w:t>
      </w:r>
      <w:r>
        <w:rPr>
          <w:rFonts w:ascii="Times New Roman" w:hAnsi="Times New Roman" w:cs="Times New Roman"/>
          <w:noProof/>
          <w:sz w:val="24"/>
          <w:szCs w:val="24"/>
        </w:rPr>
        <w:t>.</w:t>
      </w:r>
    </w:p>
    <w:p>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Overall, the evaluation shows that </w:t>
      </w:r>
      <w:r>
        <w:rPr>
          <w:rFonts w:ascii="Times New Roman" w:hAnsi="Times New Roman" w:cs="Times New Roman"/>
          <w:b/>
          <w:bCs/>
          <w:noProof/>
          <w:sz w:val="24"/>
          <w:szCs w:val="24"/>
        </w:rPr>
        <w:t>Erasmus+ is highly valued by stakeholders and the public</w:t>
      </w:r>
      <w:r>
        <w:rPr>
          <w:rFonts w:ascii="Times New Roman" w:hAnsi="Times New Roman" w:cs="Times New Roman"/>
          <w:bCs/>
          <w:noProof/>
          <w:sz w:val="24"/>
          <w:szCs w:val="24"/>
        </w:rPr>
        <w:t>.</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 xml:space="preserve">The findings of this evaluation, as detailed in the SWD, show that all the programmes evaluated proved to be </w:t>
      </w:r>
      <w:r>
        <w:rPr>
          <w:rFonts w:ascii="Times New Roman" w:hAnsi="Times New Roman" w:cs="Times New Roman"/>
          <w:b/>
          <w:bCs/>
          <w:noProof/>
          <w:sz w:val="24"/>
          <w:szCs w:val="24"/>
        </w:rPr>
        <w:t>highly effective</w:t>
      </w:r>
      <w:r>
        <w:rPr>
          <w:rFonts w:ascii="Times New Roman" w:hAnsi="Times New Roman" w:cs="Times New Roman"/>
          <w:bCs/>
          <w:noProof/>
          <w:sz w:val="24"/>
          <w:szCs w:val="24"/>
        </w:rPr>
        <w:t xml:space="preserve">. Their European added value is undisputed. In addition, Erasmus+ is seen as being </w:t>
      </w:r>
      <w:r>
        <w:rPr>
          <w:rFonts w:ascii="Times New Roman" w:hAnsi="Times New Roman" w:cs="Times New Roman"/>
          <w:b/>
          <w:bCs/>
          <w:noProof/>
          <w:sz w:val="24"/>
          <w:szCs w:val="24"/>
        </w:rPr>
        <w:t>more coherent, relevant</w:t>
      </w:r>
      <w:r>
        <w:rPr>
          <w:rFonts w:ascii="Times New Roman" w:hAnsi="Times New Roman" w:cs="Times New Roman"/>
          <w:bCs/>
          <w:noProof/>
          <w:sz w:val="24"/>
          <w:szCs w:val="24"/>
        </w:rPr>
        <w:t xml:space="preserve"> and only partly </w:t>
      </w:r>
      <w:r>
        <w:rPr>
          <w:rFonts w:ascii="Times New Roman" w:hAnsi="Times New Roman" w:cs="Times New Roman"/>
          <w:b/>
          <w:bCs/>
          <w:noProof/>
          <w:sz w:val="24"/>
          <w:szCs w:val="24"/>
        </w:rPr>
        <w:t>more efficient</w:t>
      </w:r>
      <w:r>
        <w:rPr>
          <w:rFonts w:ascii="Times New Roman" w:hAnsi="Times New Roman" w:cs="Times New Roman"/>
          <w:bCs/>
          <w:noProof/>
          <w:sz w:val="24"/>
          <w:szCs w:val="24"/>
        </w:rPr>
        <w:t xml:space="preserve"> than its predecessors. Building on suggestions in the national reports and taking into account recommendations made by the external evaluator, it makes proposals to adjust the implementation of the current programme to help reach its full potential by 2020, and considers suggestions for improvements with a view to a successor programme.</w:t>
      </w:r>
    </w:p>
    <w:p>
      <w:pPr>
        <w:keepNext/>
        <w:spacing w:before="480" w:after="240"/>
        <w:rPr>
          <w:rFonts w:ascii="Times New Roman" w:hAnsi="Times New Roman" w:cs="Times New Roman"/>
          <w:i/>
          <w:noProof/>
          <w:sz w:val="24"/>
          <w:szCs w:val="24"/>
          <w:u w:val="single"/>
        </w:rPr>
      </w:pPr>
      <w:r>
        <w:rPr>
          <w:rFonts w:ascii="Times New Roman" w:hAnsi="Times New Roman" w:cs="Times New Roman"/>
          <w:i/>
          <w:noProof/>
          <w:sz w:val="24"/>
          <w:szCs w:val="24"/>
          <w:u w:val="single"/>
        </w:rPr>
        <w:lastRenderedPageBreak/>
        <w:t>Effectiveness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found that </w:t>
      </w:r>
      <w:r>
        <w:rPr>
          <w:rFonts w:ascii="Times New Roman" w:hAnsi="Times New Roman" w:cs="Times New Roman"/>
          <w:b/>
          <w:noProof/>
          <w:sz w:val="24"/>
          <w:szCs w:val="24"/>
        </w:rPr>
        <w:t>Erasmus+ is highly valued</w:t>
      </w:r>
      <w:r>
        <w:rPr>
          <w:rFonts w:ascii="Times New Roman" w:hAnsi="Times New Roman" w:cs="Times New Roman"/>
          <w:noProof/>
          <w:sz w:val="24"/>
          <w:szCs w:val="24"/>
        </w:rPr>
        <w:t xml:space="preserve"> by its stakeholders as well as the general public, which identifies the programme as </w:t>
      </w:r>
      <w:r>
        <w:rPr>
          <w:rFonts w:ascii="Times New Roman" w:hAnsi="Times New Roman" w:cs="Times New Roman"/>
          <w:b/>
          <w:noProof/>
          <w:sz w:val="24"/>
          <w:szCs w:val="24"/>
        </w:rPr>
        <w:t>the third most positive results of the EU</w:t>
      </w:r>
      <w:r>
        <w:rPr>
          <w:rFonts w:ascii="Times New Roman" w:hAnsi="Times New Roman" w:cs="Times New Roman"/>
          <w:noProof/>
          <w:sz w:val="24"/>
          <w:szCs w:val="24"/>
        </w:rPr>
        <w:t>. Programme beneficiaries report satisfaction rates above 90 %.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w:t>
      </w:r>
      <w:r>
        <w:rPr>
          <w:rFonts w:ascii="Times New Roman" w:hAnsi="Times New Roman" w:cs="Times New Roman"/>
          <w:b/>
          <w:noProof/>
          <w:sz w:val="24"/>
          <w:szCs w:val="24"/>
        </w:rPr>
        <w:t>learners</w:t>
      </w:r>
      <w:r>
        <w:rPr>
          <w:rFonts w:ascii="Times New Roman" w:hAnsi="Times New Roman" w:cs="Times New Roman"/>
          <w:noProof/>
          <w:sz w:val="24"/>
          <w:szCs w:val="24"/>
        </w:rPr>
        <w:t xml:space="preserve"> (students, apprentices, volunteers, young people, etc.), the evaluated programmes had, and continue to have, a positive effect on the </w:t>
      </w:r>
      <w:r>
        <w:rPr>
          <w:rFonts w:ascii="Times New Roman" w:hAnsi="Times New Roman" w:cs="Times New Roman"/>
          <w:b/>
          <w:noProof/>
          <w:sz w:val="24"/>
          <w:szCs w:val="24"/>
        </w:rPr>
        <w:t>acquisition of skills and competences</w:t>
      </w:r>
      <w:r>
        <w:rPr>
          <w:rFonts w:ascii="Times New Roman" w:hAnsi="Times New Roman" w:cs="Times New Roman"/>
          <w:noProof/>
          <w:sz w:val="24"/>
          <w:szCs w:val="24"/>
        </w:rPr>
        <w:t xml:space="preserve">, thereby increasing </w:t>
      </w:r>
      <w:r>
        <w:rPr>
          <w:rFonts w:ascii="Times New Roman" w:hAnsi="Times New Roman" w:cs="Times New Roman"/>
          <w:b/>
          <w:noProof/>
          <w:sz w:val="24"/>
          <w:szCs w:val="24"/>
        </w:rPr>
        <w:t>employability</w:t>
      </w:r>
      <w:r>
        <w:rPr>
          <w:rFonts w:ascii="Times New Roman" w:hAnsi="Times New Roman" w:cs="Times New Roman"/>
          <w:noProof/>
          <w:sz w:val="24"/>
          <w:szCs w:val="24"/>
        </w:rPr>
        <w:t xml:space="preserve"> and entrepreneurship and shortening the transition from education to employment (13% higher, compared to individuals who did not take part in Erasmus+ or its predecessor programmes). The evaluation indicates that the Erasmus+ programme fosters willingness to work or study abroad (+31%) and the development of foreign language skills (7% higher in tested proficiency); that it influences individuals’ positive perception of the value of learning for their professional and </w:t>
      </w:r>
      <w:r>
        <w:rPr>
          <w:rFonts w:ascii="Times New Roman" w:hAnsi="Times New Roman" w:cs="Times New Roman"/>
          <w:b/>
          <w:noProof/>
          <w:sz w:val="24"/>
          <w:szCs w:val="24"/>
        </w:rPr>
        <w:t xml:space="preserve">personal development </w:t>
      </w:r>
      <w:r>
        <w:rPr>
          <w:rFonts w:ascii="Times New Roman" w:hAnsi="Times New Roman" w:cs="Times New Roman"/>
          <w:noProof/>
          <w:sz w:val="24"/>
          <w:szCs w:val="24"/>
        </w:rPr>
        <w:t xml:space="preserve">(+8%); and that it improves even students’ completion rates (+2%)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is also evidence of a </w:t>
      </w:r>
      <w:r>
        <w:rPr>
          <w:rFonts w:ascii="Times New Roman" w:hAnsi="Times New Roman" w:cs="Times New Roman"/>
          <w:b/>
          <w:noProof/>
          <w:sz w:val="24"/>
          <w:szCs w:val="24"/>
        </w:rPr>
        <w:t>contribution to a more cohesive Union</w:t>
      </w:r>
      <w:r>
        <w:rPr>
          <w:rFonts w:ascii="Times New Roman" w:hAnsi="Times New Roman" w:cs="Times New Roman"/>
          <w:noProof/>
          <w:sz w:val="24"/>
          <w:szCs w:val="24"/>
        </w:rPr>
        <w:t xml:space="preserve">. The Erasmus+ programme fosters positive social/civic behaviour and a </w:t>
      </w:r>
      <w:r>
        <w:rPr>
          <w:rFonts w:ascii="Times New Roman" w:hAnsi="Times New Roman" w:cs="Times New Roman"/>
          <w:b/>
          <w:noProof/>
          <w:sz w:val="24"/>
          <w:szCs w:val="24"/>
        </w:rPr>
        <w:t>sense of feeling ‘European’</w:t>
      </w:r>
      <w:r>
        <w:rPr>
          <w:rFonts w:ascii="Times New Roman" w:hAnsi="Times New Roman" w:cs="Times New Roman"/>
          <w:noProof/>
          <w:sz w:val="24"/>
          <w:szCs w:val="24"/>
        </w:rPr>
        <w:t xml:space="preserve"> (+19% compared to non-participants). It reaches out to disadvantaged young people (11.5% of the total number of participants in Erasmus+) more than its predecessors or comparable national schemes. Yet the evaluation points to the need to do more to reach out to the more vulnerable in society and to facilitate the participation of smaller-size organisations.</w:t>
      </w:r>
    </w:p>
    <w:p>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Within the current programme architecture to 2020, the Commission will step up its efforts to </w:t>
      </w:r>
      <w:r>
        <w:rPr>
          <w:rFonts w:ascii="Times New Roman" w:hAnsi="Times New Roman" w:cs="Times New Roman"/>
          <w:b/>
          <w:noProof/>
          <w:sz w:val="24"/>
          <w:szCs w:val="24"/>
        </w:rPr>
        <w:t>make Erasmus+ more accessible</w:t>
      </w:r>
      <w:r>
        <w:rPr>
          <w:rFonts w:ascii="Times New Roman" w:hAnsi="Times New Roman" w:cs="Times New Roman"/>
          <w:noProof/>
          <w:sz w:val="24"/>
          <w:szCs w:val="24"/>
        </w:rPr>
        <w:t xml:space="preserve"> to individuals from disadvantaged backgrounds or with special needs. It will take steps to </w:t>
      </w:r>
      <w:r>
        <w:rPr>
          <w:rFonts w:ascii="Times New Roman" w:hAnsi="Times New Roman" w:cs="Times New Roman"/>
          <w:b/>
          <w:noProof/>
          <w:sz w:val="24"/>
          <w:szCs w:val="24"/>
        </w:rPr>
        <w:t>facilitate the participation of schools and other small-scale actors</w:t>
      </w:r>
      <w:r>
        <w:rPr>
          <w:rFonts w:ascii="Times New Roman" w:hAnsi="Times New Roman" w:cs="Times New Roman"/>
          <w:noProof/>
          <w:sz w:val="24"/>
          <w:szCs w:val="24"/>
        </w:rPr>
        <w:t xml:space="preserve"> in the programme.</w:t>
      </w:r>
    </w:p>
    <w:p>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After 2020, the Commission will consider how to further </w:t>
      </w:r>
      <w:r>
        <w:rPr>
          <w:rFonts w:ascii="Times New Roman" w:hAnsi="Times New Roman" w:cs="Times New Roman"/>
          <w:b/>
          <w:noProof/>
          <w:sz w:val="24"/>
          <w:szCs w:val="24"/>
        </w:rPr>
        <w:t>boost the inclusion dimension</w:t>
      </w:r>
      <w:r>
        <w:rPr>
          <w:rFonts w:ascii="Times New Roman" w:hAnsi="Times New Roman" w:cs="Times New Roman"/>
          <w:noProof/>
          <w:sz w:val="24"/>
          <w:szCs w:val="24"/>
        </w:rPr>
        <w:t xml:space="preserve"> of any future programme, through increased integration of disadvantaged and vulnerable groups in education and training, youth and sport activities.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w:t>
      </w:r>
      <w:r>
        <w:rPr>
          <w:rFonts w:ascii="Times New Roman" w:hAnsi="Times New Roman" w:cs="Times New Roman"/>
          <w:b/>
          <w:noProof/>
          <w:sz w:val="24"/>
          <w:szCs w:val="24"/>
        </w:rPr>
        <w:t>practitioners</w:t>
      </w:r>
      <w:r>
        <w:rPr>
          <w:rFonts w:ascii="Times New Roman" w:hAnsi="Times New Roman" w:cs="Times New Roman"/>
          <w:noProof/>
          <w:sz w:val="24"/>
          <w:szCs w:val="24"/>
        </w:rPr>
        <w:t xml:space="preserve"> (teachers, trainers, youth workers, staff, etc.), participation translates into professional development — notably in terms of </w:t>
      </w:r>
      <w:r>
        <w:rPr>
          <w:rFonts w:ascii="Times New Roman" w:hAnsi="Times New Roman" w:cs="Times New Roman"/>
          <w:b/>
          <w:noProof/>
          <w:sz w:val="24"/>
          <w:szCs w:val="24"/>
        </w:rPr>
        <w:t>wider networking</w:t>
      </w:r>
      <w:r>
        <w:rPr>
          <w:rFonts w:ascii="Times New Roman" w:hAnsi="Times New Roman" w:cs="Times New Roman"/>
          <w:noProof/>
          <w:sz w:val="24"/>
          <w:szCs w:val="24"/>
        </w:rPr>
        <w:t xml:space="preserve"> options (+22 percentage points) and greater use of </w:t>
      </w:r>
      <w:r>
        <w:rPr>
          <w:rFonts w:ascii="Times New Roman" w:hAnsi="Times New Roman" w:cs="Times New Roman"/>
          <w:b/>
          <w:noProof/>
          <w:sz w:val="24"/>
          <w:szCs w:val="24"/>
        </w:rPr>
        <w:t xml:space="preserve">digital resources </w:t>
      </w:r>
      <w:r>
        <w:rPr>
          <w:rFonts w:ascii="Times New Roman" w:hAnsi="Times New Roman" w:cs="Times New Roman"/>
          <w:noProof/>
          <w:sz w:val="24"/>
          <w:szCs w:val="24"/>
        </w:rPr>
        <w:t>(+5 points) — coupled with stronger attachment to Europe (+6 points).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w:t>
      </w:r>
      <w:r>
        <w:rPr>
          <w:rFonts w:ascii="Times New Roman" w:hAnsi="Times New Roman" w:cs="Times New Roman"/>
          <w:b/>
          <w:noProof/>
          <w:sz w:val="24"/>
          <w:szCs w:val="24"/>
        </w:rPr>
        <w:t>participating organisations</w:t>
      </w:r>
      <w:r>
        <w:rPr>
          <w:rFonts w:ascii="Times New Roman" w:hAnsi="Times New Roman" w:cs="Times New Roman"/>
          <w:noProof/>
          <w:sz w:val="24"/>
          <w:szCs w:val="24"/>
        </w:rPr>
        <w:t xml:space="preserve"> (schools, universities, vocational education and training and adult education providers, youth and sport organisations, etc.) the expected changes are gradual and differ in intensity across the sectors of the programme. Continued participation is needed for deeper transformation. But the evaluation shows the programme has a </w:t>
      </w:r>
      <w:r>
        <w:rPr>
          <w:rFonts w:ascii="Times New Roman" w:hAnsi="Times New Roman" w:cs="Times New Roman"/>
          <w:b/>
          <w:noProof/>
          <w:sz w:val="24"/>
          <w:szCs w:val="24"/>
        </w:rPr>
        <w:t>clear ‘Europeanisation’ effect</w:t>
      </w:r>
      <w:r>
        <w:rPr>
          <w:rStyle w:val="FootnoteReference"/>
          <w:noProof/>
        </w:rPr>
        <w:footnoteReference w:id="4"/>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Though less visible, the evaluation also confirmed that the </w:t>
      </w:r>
      <w:r>
        <w:rPr>
          <w:rFonts w:ascii="Times New Roman" w:hAnsi="Times New Roman" w:cs="Times New Roman"/>
          <w:b/>
          <w:noProof/>
          <w:sz w:val="24"/>
          <w:szCs w:val="24"/>
        </w:rPr>
        <w:t xml:space="preserve">programmes reviewed had an  impact on the formulation and implementation of education, training, youth and sport </w:t>
      </w:r>
      <w:r>
        <w:rPr>
          <w:rFonts w:ascii="Times New Roman" w:hAnsi="Times New Roman" w:cs="Times New Roman"/>
          <w:b/>
          <w:noProof/>
          <w:sz w:val="24"/>
          <w:szCs w:val="24"/>
        </w:rPr>
        <w:lastRenderedPageBreak/>
        <w:t>policies</w:t>
      </w:r>
      <w:r>
        <w:rPr>
          <w:rStyle w:val="FootnoteReference"/>
          <w:noProof/>
        </w:rPr>
        <w:footnoteReference w:id="5"/>
      </w:r>
      <w:r>
        <w:rPr>
          <w:rFonts w:ascii="Times New Roman" w:hAnsi="Times New Roman" w:cs="Times New Roman"/>
          <w:noProof/>
          <w:sz w:val="24"/>
          <w:szCs w:val="24"/>
        </w:rPr>
        <w:t xml:space="preserve">, especially in the case of higher education where the relevant budget was large enough, or had an indirect effect by funding policy cooperation between authorities. In the long run, the programmes have instilled in Europe the perception that </w:t>
      </w:r>
      <w:r>
        <w:rPr>
          <w:rFonts w:ascii="Times New Roman" w:hAnsi="Times New Roman" w:cs="Times New Roman"/>
          <w:b/>
          <w:noProof/>
          <w:sz w:val="24"/>
          <w:szCs w:val="24"/>
        </w:rPr>
        <w:t xml:space="preserve">learning mobility brings benefits to individuals </w:t>
      </w:r>
      <w:r>
        <w:rPr>
          <w:rFonts w:ascii="Times New Roman" w:hAnsi="Times New Roman" w:cs="Times New Roman"/>
          <w:noProof/>
          <w:sz w:val="24"/>
          <w:szCs w:val="24"/>
        </w:rPr>
        <w:t>and that</w:t>
      </w:r>
      <w:r>
        <w:rPr>
          <w:rFonts w:ascii="Times New Roman" w:hAnsi="Times New Roman" w:cs="Times New Roman"/>
          <w:b/>
          <w:noProof/>
          <w:sz w:val="24"/>
          <w:szCs w:val="24"/>
        </w:rPr>
        <w:t xml:space="preserve"> its learning outcomes are to be commonly validated and recognised</w:t>
      </w:r>
      <w:r>
        <w:rPr>
          <w:rFonts w:ascii="Times New Roman" w:hAnsi="Times New Roman" w:cs="Times New Roman"/>
          <w:noProof/>
          <w:sz w:val="24"/>
          <w:szCs w:val="24"/>
        </w:rPr>
        <w:t xml:space="preserve">. The programmes evaluated have also been </w:t>
      </w:r>
      <w:r>
        <w:rPr>
          <w:rFonts w:ascii="Times New Roman" w:hAnsi="Times New Roman" w:cs="Times New Roman"/>
          <w:b/>
          <w:noProof/>
          <w:sz w:val="24"/>
          <w:szCs w:val="24"/>
        </w:rPr>
        <w:t>important for the EU’s global outreach</w:t>
      </w:r>
      <w:r>
        <w:rPr>
          <w:rFonts w:ascii="Times New Roman" w:hAnsi="Times New Roman" w:cs="Times New Roman"/>
          <w:noProof/>
          <w:sz w:val="24"/>
          <w:szCs w:val="24"/>
        </w:rPr>
        <w:t>, notably in facilitating the recognition of qualifications between Europe and partner countries.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systemic effects are matched by </w:t>
      </w:r>
      <w:r>
        <w:rPr>
          <w:rFonts w:ascii="Times New Roman" w:hAnsi="Times New Roman" w:cs="Times New Roman"/>
          <w:b/>
          <w:noProof/>
          <w:sz w:val="24"/>
          <w:szCs w:val="24"/>
        </w:rPr>
        <w:t>progress in disseminating</w:t>
      </w:r>
      <w:r>
        <w:rPr>
          <w:rFonts w:ascii="Times New Roman" w:hAnsi="Times New Roman" w:cs="Times New Roman"/>
          <w:noProof/>
          <w:sz w:val="24"/>
          <w:szCs w:val="24"/>
        </w:rPr>
        <w:t xml:space="preserve"> the results of the projects funded thanks to a </w:t>
      </w:r>
      <w:r>
        <w:rPr>
          <w:noProof/>
        </w:rPr>
        <w:t>single dedicated platform</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However, the </w:t>
      </w:r>
      <w:r>
        <w:rPr>
          <w:rFonts w:ascii="Times New Roman" w:hAnsi="Times New Roman" w:cs="Times New Roman"/>
          <w:b/>
          <w:noProof/>
          <w:sz w:val="24"/>
          <w:szCs w:val="24"/>
        </w:rPr>
        <w:t xml:space="preserve">evidence that the </w:t>
      </w:r>
      <w:r>
        <w:rPr>
          <w:rFonts w:ascii="Times New Roman" w:hAnsi="Times New Roman" w:cs="Times New Roman"/>
          <w:b/>
          <w:bCs/>
          <w:noProof/>
          <w:sz w:val="24"/>
          <w:szCs w:val="24"/>
        </w:rPr>
        <w:t>project results are used by policy makers</w:t>
      </w:r>
      <w:r>
        <w:rPr>
          <w:rFonts w:ascii="Times New Roman" w:hAnsi="Times New Roman" w:cs="Times New Roman"/>
          <w:b/>
          <w:noProof/>
          <w:sz w:val="24"/>
          <w:szCs w:val="24"/>
        </w:rPr>
        <w:t xml:space="preserve"> is not always clear</w:t>
      </w:r>
      <w:r>
        <w:rPr>
          <w:rFonts w:ascii="Times New Roman" w:hAnsi="Times New Roman" w:cs="Times New Roman"/>
          <w:bCs/>
          <w:noProof/>
          <w:sz w:val="24"/>
          <w:szCs w:val="24"/>
        </w:rPr>
        <w:t>, especially if</w:t>
      </w:r>
      <w:r>
        <w:rPr>
          <w:rFonts w:ascii="Times New Roman" w:hAnsi="Times New Roman" w:cs="Times New Roman"/>
          <w:noProof/>
          <w:sz w:val="24"/>
          <w:szCs w:val="24"/>
        </w:rPr>
        <w:t xml:space="preserve"> the latter are not engaged in the project from the beginning.</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rPr>
        <w:t>To boost the impact on policy</w:t>
      </w:r>
      <w:r>
        <w:rPr>
          <w:rFonts w:ascii="Times New Roman" w:hAnsi="Times New Roman" w:cs="Times New Roman"/>
          <w:noProof/>
          <w:sz w:val="24"/>
          <w:szCs w:val="24"/>
        </w:rPr>
        <w:t>, the Commission will consider additional ways of fostering system-level effects and to mainstream successful project results at national level more effectively.</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In preparing future programmes, it will explore options for developing and financing </w:t>
      </w:r>
      <w:r>
        <w:rPr>
          <w:rFonts w:ascii="Times New Roman" w:hAnsi="Times New Roman" w:cs="Times New Roman"/>
          <w:b/>
          <w:noProof/>
          <w:sz w:val="24"/>
          <w:szCs w:val="24"/>
        </w:rPr>
        <w:t>at larger scale</w:t>
      </w:r>
      <w:r>
        <w:rPr>
          <w:rFonts w:ascii="Times New Roman" w:hAnsi="Times New Roman" w:cs="Times New Roman"/>
          <w:noProof/>
          <w:sz w:val="24"/>
          <w:szCs w:val="24"/>
        </w:rPr>
        <w:t xml:space="preserve"> (notably with the support of the European Structural and Investment Funds) those successful Erasmus+ projects that have the potential to trigger structural reforms at national level.</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evaluation showed that, at mid-term, Erasmus+ has </w:t>
      </w:r>
      <w:r>
        <w:rPr>
          <w:rFonts w:ascii="Times New Roman" w:hAnsi="Times New Roman" w:cs="Times New Roman"/>
          <w:b/>
          <w:noProof/>
          <w:sz w:val="24"/>
          <w:szCs w:val="24"/>
        </w:rPr>
        <w:t xml:space="preserve">achieved or exceeded most of the indicators </w:t>
      </w:r>
      <w:r>
        <w:rPr>
          <w:rFonts w:ascii="Times New Roman" w:hAnsi="Times New Roman" w:cs="Times New Roman"/>
          <w:noProof/>
          <w:sz w:val="24"/>
          <w:szCs w:val="24"/>
        </w:rPr>
        <w:t xml:space="preserve">set in the legal basis for it. Demand greatly exceeds the funding available. For the future, without prejudice to the next Multi Financial Framework, the evaluation confirmed the programme’s </w:t>
      </w:r>
      <w:r>
        <w:rPr>
          <w:rFonts w:ascii="Times New Roman" w:hAnsi="Times New Roman" w:cs="Times New Roman"/>
          <w:b/>
          <w:noProof/>
          <w:sz w:val="24"/>
          <w:szCs w:val="24"/>
        </w:rPr>
        <w:t xml:space="preserve">capacity to absorb an overall budget increase. </w:t>
      </w:r>
      <w:r>
        <w:rPr>
          <w:rFonts w:ascii="Times New Roman" w:hAnsi="Times New Roman" w:cs="Times New Roman"/>
          <w:noProof/>
          <w:sz w:val="24"/>
          <w:szCs w:val="24"/>
        </w:rPr>
        <w:t xml:space="preserve">If that was the case, it suggested that the current </w:t>
      </w:r>
      <w:r>
        <w:rPr>
          <w:rFonts w:ascii="Times New Roman" w:hAnsi="Times New Roman" w:cs="Times New Roman"/>
          <w:b/>
          <w:noProof/>
          <w:sz w:val="24"/>
          <w:szCs w:val="24"/>
        </w:rPr>
        <w:t>share-out between the sectors of the programme could be modified</w:t>
      </w:r>
      <w:r>
        <w:rPr>
          <w:rFonts w:ascii="Times New Roman" w:hAnsi="Times New Roman" w:cs="Times New Roman"/>
          <w:noProof/>
          <w:sz w:val="24"/>
          <w:szCs w:val="24"/>
        </w:rPr>
        <w:t xml:space="preserve"> to reinforce those sectors for which a budget increase would determine the most efficient gains in terms of impact. </w:t>
      </w:r>
      <w:r>
        <w:rPr>
          <w:rFonts w:ascii="Times New Roman" w:hAnsi="Times New Roman" w:cs="Times New Roman"/>
          <w:b/>
          <w:noProof/>
          <w:sz w:val="24"/>
          <w:szCs w:val="24"/>
        </w:rPr>
        <w:t>School education, vocational education and training</w:t>
      </w:r>
      <w:r>
        <w:rPr>
          <w:rFonts w:ascii="Times New Roman" w:hAnsi="Times New Roman" w:cs="Times New Roman"/>
          <w:noProof/>
          <w:sz w:val="24"/>
          <w:szCs w:val="24"/>
        </w:rPr>
        <w:t xml:space="preserve"> (VET) and youth activities, where the impact of the programmes was proven albeit not yet as widespread as in higher education due to smaller budget allocations, were identified as </w:t>
      </w:r>
      <w:r>
        <w:rPr>
          <w:rFonts w:ascii="Times New Roman" w:hAnsi="Times New Roman" w:cs="Times New Roman"/>
          <w:b/>
          <w:noProof/>
          <w:sz w:val="24"/>
          <w:szCs w:val="24"/>
        </w:rPr>
        <w:t>having high potential</w:t>
      </w:r>
      <w:r>
        <w:rPr>
          <w:rFonts w:ascii="Times New Roman" w:hAnsi="Times New Roman" w:cs="Times New Roman"/>
          <w:noProof/>
          <w:sz w:val="24"/>
          <w:szCs w:val="24"/>
        </w:rPr>
        <w:t xml:space="preserve"> for expanded participation in Erasmus+ activities in the coming years.</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As of 2018, new actions and activities will be launched under Erasmus+ with a view to </w:t>
      </w:r>
      <w:r>
        <w:rPr>
          <w:rFonts w:ascii="Times New Roman" w:hAnsi="Times New Roman" w:cs="Times New Roman"/>
          <w:b/>
          <w:noProof/>
          <w:sz w:val="24"/>
          <w:szCs w:val="24"/>
        </w:rPr>
        <w:t>increasing the number of mobility opportunities</w:t>
      </w:r>
      <w:r>
        <w:rPr>
          <w:rFonts w:ascii="Times New Roman" w:hAnsi="Times New Roman" w:cs="Times New Roman"/>
          <w:noProof/>
          <w:sz w:val="24"/>
          <w:szCs w:val="24"/>
        </w:rPr>
        <w:t xml:space="preserve"> for school pupils, VET learners and apprentices.</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cs="Times New Roman"/>
          <w:noProof/>
          <w:sz w:val="24"/>
          <w:szCs w:val="24"/>
        </w:rPr>
        <w:t>In its communication</w:t>
      </w:r>
      <w:r>
        <w:rPr>
          <w:rFonts w:ascii="Times New Roman" w:hAnsi="Times New Roman" w:cs="Times New Roman"/>
          <w:b/>
          <w:noProof/>
          <w:sz w:val="24"/>
          <w:szCs w:val="24"/>
        </w:rPr>
        <w:t xml:space="preserve"> </w:t>
      </w:r>
      <w:r>
        <w:rPr>
          <w:rFonts w:ascii="Times New Roman" w:hAnsi="Times New Roman" w:cs="Times New Roman"/>
          <w:b/>
          <w:i/>
          <w:noProof/>
          <w:sz w:val="24"/>
          <w:szCs w:val="24"/>
        </w:rPr>
        <w:t>Strengthening European identity through education and culture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the Commission sets out a vision for boosting the future Erasmus+ in all categories of learners (including pupils, students, trainees and apprentices) and teachers, with the aim of </w:t>
      </w:r>
      <w:r>
        <w:rPr>
          <w:rFonts w:ascii="Times New Roman" w:hAnsi="Times New Roman" w:cs="Times New Roman"/>
          <w:b/>
          <w:noProof/>
          <w:sz w:val="24"/>
          <w:szCs w:val="24"/>
        </w:rPr>
        <w:t xml:space="preserve">doubling the number of participants </w:t>
      </w:r>
      <w:r>
        <w:rPr>
          <w:rFonts w:ascii="Times New Roman" w:hAnsi="Times New Roman" w:cs="Times New Roman"/>
          <w:noProof/>
          <w:sz w:val="24"/>
          <w:szCs w:val="24"/>
        </w:rPr>
        <w:t>and reaching out to learners from disadvantaged backgrounds by 2025</w:t>
      </w:r>
      <w:r>
        <w:rPr>
          <w:rStyle w:val="FootnoteReference"/>
          <w:noProof/>
        </w:rPr>
        <w:footnoteReference w:id="8"/>
      </w:r>
      <w:r>
        <w:rPr>
          <w:rFonts w:ascii="Times New Roman" w:hAnsi="Times New Roman" w:cs="Times New Roman"/>
          <w:noProof/>
          <w:sz w:val="24"/>
          <w:szCs w:val="24"/>
        </w:rPr>
        <w:t>.</w:t>
      </w:r>
    </w:p>
    <w:p>
      <w:pPr>
        <w:jc w:val="both"/>
        <w:rPr>
          <w:noProof/>
          <w:sz w:val="23"/>
          <w:szCs w:val="23"/>
        </w:rPr>
      </w:pPr>
      <w:r>
        <w:rPr>
          <w:rFonts w:ascii="Times New Roman" w:hAnsi="Times New Roman" w:cs="Times New Roman"/>
          <w:noProof/>
          <w:sz w:val="24"/>
          <w:szCs w:val="24"/>
        </w:rPr>
        <w:lastRenderedPageBreak/>
        <w:t xml:space="preserve">The </w:t>
      </w:r>
      <w:r>
        <w:rPr>
          <w:rFonts w:ascii="Times New Roman" w:hAnsi="Times New Roman" w:cs="Times New Roman"/>
          <w:b/>
          <w:noProof/>
          <w:sz w:val="24"/>
          <w:szCs w:val="24"/>
        </w:rPr>
        <w:t xml:space="preserve">Master Loan Guarantee Facility </w:t>
      </w:r>
      <w:r>
        <w:rPr>
          <w:rFonts w:ascii="Times New Roman" w:hAnsi="Times New Roman" w:cs="Times New Roman"/>
          <w:noProof/>
          <w:sz w:val="24"/>
          <w:szCs w:val="24"/>
        </w:rPr>
        <w:t>has only recently started up.</w:t>
      </w:r>
      <w:r>
        <w:rPr>
          <w:rFonts w:ascii="Times New Roman" w:hAnsi="Times New Roman" w:cs="Times New Roman"/>
          <w:b/>
          <w:noProof/>
          <w:sz w:val="24"/>
          <w:szCs w:val="24"/>
        </w:rPr>
        <w:t xml:space="preserve"> </w:t>
      </w:r>
      <w:r>
        <w:rPr>
          <w:rFonts w:ascii="Times New Roman" w:hAnsi="Times New Roman" w:cs="Times New Roman"/>
          <w:noProof/>
          <w:sz w:val="24"/>
          <w:szCs w:val="24"/>
        </w:rPr>
        <w:t>The first beneficiaries gave positive feedback. So far however, it has</w:t>
      </w:r>
      <w:r>
        <w:rPr>
          <w:rFonts w:ascii="Times New Roman" w:hAnsi="Times New Roman" w:cs="Times New Roman"/>
          <w:b/>
          <w:noProof/>
          <w:sz w:val="24"/>
          <w:szCs w:val="24"/>
        </w:rPr>
        <w:t xml:space="preserve"> not yet lived up to volume expectations</w:t>
      </w:r>
      <w:r>
        <w:rPr>
          <w:rFonts w:ascii="Times New Roman" w:hAnsi="Times New Roman" w:cs="Times New Roman"/>
          <w:noProof/>
          <w:sz w:val="24"/>
          <w:szCs w:val="24"/>
        </w:rPr>
        <w:t xml:space="preserve"> due to delays to its launch, low take-up among financial institutions and a lack of awareness among students.</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Until 2020, the Commission intends to </w:t>
      </w:r>
      <w:r>
        <w:rPr>
          <w:rFonts w:ascii="Times New Roman" w:eastAsia="Calibri" w:hAnsi="Times New Roman" w:cs="Times New Roman"/>
          <w:b/>
          <w:noProof/>
          <w:sz w:val="24"/>
          <w:szCs w:val="24"/>
        </w:rPr>
        <w:t>reduce the yearly budget allocations to the Master Loan Guarantee Facility</w:t>
      </w:r>
      <w:r>
        <w:rPr>
          <w:rFonts w:ascii="Times New Roman" w:eastAsia="Calibri" w:hAnsi="Times New Roman" w:cs="Times New Roman"/>
          <w:noProof/>
          <w:sz w:val="24"/>
          <w:szCs w:val="24"/>
        </w:rPr>
        <w:t>, without altering the overall allocation set for other higher education activities.</w:t>
      </w:r>
    </w:p>
    <w:p>
      <w:pPr>
        <w:spacing w:before="480" w:after="240"/>
        <w:jc w:val="both"/>
        <w:outlineLvl w:val="0"/>
        <w:rPr>
          <w:rFonts w:ascii="Times New Roman" w:hAnsi="Times New Roman" w:cs="Times New Roman"/>
          <w:i/>
          <w:noProof/>
          <w:sz w:val="24"/>
          <w:szCs w:val="24"/>
          <w:u w:val="single"/>
        </w:rPr>
      </w:pPr>
      <w:r>
        <w:rPr>
          <w:rFonts w:ascii="Times New Roman" w:hAnsi="Times New Roman" w:cs="Times New Roman"/>
          <w:i/>
          <w:noProof/>
          <w:sz w:val="24"/>
          <w:szCs w:val="24"/>
          <w:u w:val="single"/>
        </w:rPr>
        <w:t>EU added value and relevance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light of the outcomes delivered, the evaluation highlights the </w:t>
      </w:r>
      <w:r>
        <w:rPr>
          <w:rFonts w:ascii="Times New Roman" w:hAnsi="Times New Roman" w:cs="Times New Roman"/>
          <w:b/>
          <w:noProof/>
          <w:sz w:val="24"/>
          <w:szCs w:val="24"/>
        </w:rPr>
        <w:t xml:space="preserve">undisputable European added value </w:t>
      </w:r>
      <w:r>
        <w:rPr>
          <w:rFonts w:ascii="Times New Roman" w:hAnsi="Times New Roman" w:cs="Times New Roman"/>
          <w:noProof/>
          <w:sz w:val="24"/>
          <w:szCs w:val="24"/>
        </w:rPr>
        <w:t>of the programmes evaluated</w:t>
      </w:r>
      <w:r>
        <w:rPr>
          <w:rStyle w:val="FootnoteReference"/>
          <w:noProof/>
        </w:rPr>
        <w:footnoteReference w:id="9"/>
      </w:r>
      <w:r>
        <w:rPr>
          <w:rFonts w:ascii="Times New Roman" w:hAnsi="Times New Roman" w:cs="Times New Roman"/>
          <w:noProof/>
          <w:sz w:val="24"/>
          <w:szCs w:val="24"/>
        </w:rPr>
        <w:t xml:space="preserve">. This </w:t>
      </w:r>
      <w:r>
        <w:rPr>
          <w:rFonts w:ascii="Times New Roman" w:eastAsia="Calibri" w:hAnsi="Times New Roman" w:cs="Times New Roman"/>
          <w:noProof/>
          <w:sz w:val="24"/>
          <w:szCs w:val="24"/>
        </w:rPr>
        <w:t>stems from the high volume and broad scope of the activities funded, together with</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fairer access to learning mobility, mainstreamed best practices, deeper EU integration and a clear international dimension. Other schemes funding comparable action at national level remain significantly smaller both in volume and scope. They are most unlikely to be able to substitute for Erasmus+ funding.</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showed that Erasmus+ is </w:t>
      </w:r>
      <w:r>
        <w:rPr>
          <w:rFonts w:ascii="Times New Roman" w:hAnsi="Times New Roman" w:cs="Times New Roman"/>
          <w:b/>
          <w:noProof/>
          <w:sz w:val="24"/>
          <w:szCs w:val="24"/>
        </w:rPr>
        <w:t xml:space="preserve">better aligned with EU policies </w:t>
      </w:r>
      <w:r>
        <w:rPr>
          <w:rFonts w:ascii="Times New Roman" w:hAnsi="Times New Roman" w:cs="Times New Roman"/>
          <w:noProof/>
          <w:sz w:val="24"/>
          <w:szCs w:val="24"/>
        </w:rPr>
        <w:t>than its predecessors and is flexible enough to adapt to emerging EU-level needs such as increasing social inclusion and preventing violent radicalisation</w:t>
      </w:r>
      <w:r>
        <w:rPr>
          <w:rStyle w:val="FootnoteReference"/>
          <w:noProof/>
        </w:rPr>
        <w:footnoteReference w:id="10"/>
      </w:r>
      <w:r>
        <w:rPr>
          <w:rFonts w:ascii="Times New Roman" w:hAnsi="Times New Roman" w:cs="Times New Roman"/>
          <w:noProof/>
          <w:sz w:val="24"/>
          <w:szCs w:val="24"/>
        </w:rPr>
        <w:t xml:space="preserve">. To maximise the programme’s impact, the evaluation recommends that </w:t>
      </w:r>
      <w:r>
        <w:rPr>
          <w:rFonts w:ascii="Times New Roman" w:hAnsi="Times New Roman" w:cs="Times New Roman"/>
          <w:b/>
          <w:noProof/>
          <w:sz w:val="24"/>
          <w:szCs w:val="24"/>
        </w:rPr>
        <w:t>priorities be reduced in number and better focused</w:t>
      </w:r>
      <w:r>
        <w:rPr>
          <w:rFonts w:ascii="Times New Roman" w:hAnsi="Times New Roman" w:cs="Times New Roman"/>
          <w:noProof/>
          <w:sz w:val="24"/>
          <w:szCs w:val="24"/>
        </w:rPr>
        <w:t>.</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In the current programme, greater emphasis was placed on action that contributes to </w:t>
      </w:r>
      <w:r>
        <w:rPr>
          <w:rFonts w:ascii="Times New Roman" w:hAnsi="Times New Roman" w:cs="Times New Roman"/>
          <w:b/>
          <w:noProof/>
          <w:sz w:val="24"/>
          <w:szCs w:val="24"/>
        </w:rPr>
        <w:t>social inclusion</w:t>
      </w:r>
      <w:r>
        <w:rPr>
          <w:rFonts w:ascii="Times New Roman" w:hAnsi="Times New Roman" w:cs="Times New Roman"/>
          <w:noProof/>
          <w:sz w:val="24"/>
          <w:szCs w:val="24"/>
        </w:rPr>
        <w:t xml:space="preserve"> following the </w:t>
      </w:r>
      <w:hyperlink r:id="rId16" w:history="1">
        <w:r>
          <w:rPr>
            <w:rStyle w:val="Hyperlink"/>
            <w:rFonts w:ascii="Times New Roman" w:hAnsi="Times New Roman" w:cs="Times New Roman"/>
            <w:b/>
            <w:noProof/>
            <w:sz w:val="24"/>
            <w:szCs w:val="24"/>
          </w:rPr>
          <w:t>Paris Declaration</w:t>
        </w:r>
      </w:hyperlink>
      <w:r>
        <w:rPr>
          <w:rStyle w:val="FootnoteReference"/>
          <w:rFonts w:ascii="Times New Roman" w:hAnsi="Times New Roman" w:cs="Times New Roman"/>
          <w:b/>
          <w:noProof/>
          <w:sz w:val="24"/>
          <w:szCs w:val="24"/>
        </w:rPr>
        <w:footnoteReference w:id="11"/>
      </w:r>
      <w:r>
        <w:rPr>
          <w:rStyle w:val="Hyperlink"/>
          <w:rFonts w:ascii="Times New Roman" w:hAnsi="Times New Roman" w:cs="Times New Roman"/>
          <w:b/>
          <w:noProof/>
          <w:sz w:val="24"/>
          <w:szCs w:val="24"/>
        </w:rPr>
        <w:t>,</w:t>
      </w:r>
      <w:r>
        <w:rPr>
          <w:rFonts w:ascii="Times New Roman" w:hAnsi="Times New Roman" w:cs="Times New Roman"/>
          <w:noProof/>
          <w:sz w:val="24"/>
          <w:szCs w:val="24"/>
        </w:rPr>
        <w:t xml:space="preserve"> the new priority areas under </w:t>
      </w:r>
      <w:r>
        <w:rPr>
          <w:rFonts w:ascii="Times New Roman" w:hAnsi="Times New Roman" w:cs="Times New Roman"/>
          <w:b/>
          <w:noProof/>
          <w:sz w:val="24"/>
          <w:szCs w:val="24"/>
        </w:rPr>
        <w:t xml:space="preserve">ET 2020 </w:t>
      </w:r>
      <w:r>
        <w:rPr>
          <w:rFonts w:ascii="Times New Roman" w:hAnsi="Times New Roman" w:cs="Times New Roman"/>
          <w:noProof/>
          <w:sz w:val="24"/>
          <w:szCs w:val="24"/>
        </w:rPr>
        <w:t xml:space="preserve">and the </w:t>
      </w:r>
      <w:r>
        <w:rPr>
          <w:rFonts w:ascii="Times New Roman" w:hAnsi="Times New Roman" w:cs="Times New Roman"/>
          <w:b/>
          <w:noProof/>
          <w:sz w:val="24"/>
          <w:szCs w:val="24"/>
        </w:rPr>
        <w:t>Youth Strategy</w:t>
      </w:r>
      <w:r>
        <w:rPr>
          <w:rStyle w:val="FootnoteReference"/>
          <w:rFonts w:ascii="Times New Roman" w:hAnsi="Times New Roman" w:cs="Times New Roman"/>
          <w:noProof/>
          <w:sz w:val="24"/>
          <w:szCs w:val="24"/>
        </w:rPr>
        <w:footnoteReference w:id="12"/>
      </w:r>
      <w:r>
        <w:rPr>
          <w:rFonts w:ascii="Times New Roman" w:hAnsi="Times New Roman" w:cs="Times New Roman"/>
          <w:b/>
          <w:noProof/>
          <w:sz w:val="24"/>
          <w:szCs w:val="24"/>
        </w:rPr>
        <w:t xml:space="preserve"> </w:t>
      </w:r>
      <w:r>
        <w:rPr>
          <w:rFonts w:ascii="Times New Roman" w:hAnsi="Times New Roman" w:cs="Times New Roman"/>
          <w:noProof/>
          <w:sz w:val="24"/>
          <w:szCs w:val="24"/>
        </w:rPr>
        <w:t>or the</w:t>
      </w:r>
      <w:r>
        <w:rPr>
          <w:rFonts w:ascii="Times New Roman" w:hAnsi="Times New Roman" w:cs="Times New Roman"/>
          <w:b/>
          <w:noProof/>
          <w:sz w:val="24"/>
          <w:szCs w:val="24"/>
        </w:rPr>
        <w:t xml:space="preserve"> New Skills Agenda for Europe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The future programme should continue </w:t>
      </w:r>
      <w:r>
        <w:rPr>
          <w:rFonts w:ascii="Times New Roman" w:hAnsi="Times New Roman" w:cs="Times New Roman"/>
          <w:b/>
          <w:noProof/>
          <w:sz w:val="24"/>
          <w:szCs w:val="24"/>
        </w:rPr>
        <w:t>to help implement the EU’s political priorities</w:t>
      </w:r>
      <w:r>
        <w:rPr>
          <w:rFonts w:ascii="Times New Roman" w:hAnsi="Times New Roman" w:cs="Times New Roman"/>
          <w:noProof/>
          <w:sz w:val="24"/>
          <w:szCs w:val="24"/>
        </w:rPr>
        <w:t xml:space="preserve">, while keeping the flexibility to adjust as needed and being highly relevant to participating countries. Some actions, notably those supporting partnerships, could be </w:t>
      </w:r>
      <w:r>
        <w:rPr>
          <w:rFonts w:ascii="Times New Roman" w:hAnsi="Times New Roman" w:cs="Times New Roman"/>
          <w:b/>
          <w:noProof/>
          <w:sz w:val="24"/>
          <w:szCs w:val="24"/>
        </w:rPr>
        <w:t>focused on fewer priorities</w:t>
      </w:r>
      <w:r>
        <w:rPr>
          <w:rFonts w:ascii="Times New Roman" w:hAnsi="Times New Roman" w:cs="Times New Roman"/>
          <w:noProof/>
          <w:sz w:val="24"/>
          <w:szCs w:val="24"/>
        </w:rPr>
        <w:t>.</w:t>
      </w:r>
    </w:p>
    <w:p>
      <w:pPr>
        <w:spacing w:before="240"/>
        <w:jc w:val="both"/>
        <w:rPr>
          <w:rFonts w:ascii="Times New Roman" w:hAnsi="Times New Roman" w:cs="Times New Roman"/>
          <w:noProof/>
          <w:sz w:val="24"/>
          <w:szCs w:val="24"/>
        </w:rPr>
      </w:pPr>
      <w:r>
        <w:rPr>
          <w:rFonts w:ascii="Times New Roman" w:hAnsi="Times New Roman" w:cs="Times New Roman"/>
          <w:noProof/>
          <w:sz w:val="24"/>
          <w:szCs w:val="24"/>
        </w:rPr>
        <w:t>The final evaluation of the programme will also assess the outcomes of the large-scale Knowledge Alliances and Sector Skills Alliances introduced within Erasmus+ for the purpose of</w:t>
      </w:r>
      <w:r>
        <w:rPr>
          <w:rFonts w:ascii="Times New Roman" w:hAnsi="Times New Roman" w:cs="Times New Roman"/>
          <w:b/>
          <w:noProof/>
          <w:sz w:val="24"/>
          <w:szCs w:val="24"/>
        </w:rPr>
        <w:t xml:space="preserve"> boosting innovation</w:t>
      </w:r>
      <w:r>
        <w:rPr>
          <w:rFonts w:ascii="Times New Roman" w:hAnsi="Times New Roman" w:cs="Times New Roman"/>
          <w:noProof/>
          <w:sz w:val="24"/>
          <w:szCs w:val="24"/>
        </w:rPr>
        <w:t xml:space="preserve"> in higher education and VET. These actions were not sufficiently complete to be evaluated at mid-term.</w:t>
      </w:r>
    </w:p>
    <w:p>
      <w:pPr>
        <w:pStyle w:val="ListParagraph"/>
        <w:numPr>
          <w:ilvl w:val="0"/>
          <w:numId w:val="5"/>
        </w:numPr>
        <w:pBdr>
          <w:top w:val="single" w:sz="4" w:space="1" w:color="auto"/>
          <w:left w:val="single" w:sz="4" w:space="1" w:color="auto"/>
          <w:bottom w:val="single" w:sz="4" w:space="1" w:color="auto"/>
          <w:right w:val="single" w:sz="4" w:space="1"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Up to 2020, the Commission will further consolidate the </w:t>
      </w:r>
      <w:r>
        <w:rPr>
          <w:rFonts w:ascii="Times New Roman" w:hAnsi="Times New Roman" w:cs="Times New Roman"/>
          <w:b/>
          <w:noProof/>
          <w:sz w:val="24"/>
          <w:szCs w:val="24"/>
        </w:rPr>
        <w:t>different ways of handling projects</w:t>
      </w:r>
      <w:r>
        <w:rPr>
          <w:rFonts w:ascii="Times New Roman" w:hAnsi="Times New Roman" w:cs="Times New Roman"/>
          <w:noProof/>
          <w:sz w:val="24"/>
          <w:szCs w:val="24"/>
        </w:rPr>
        <w:t xml:space="preserve"> mainly aimed at promoting cooperation and exchanges, as distinct from projects aimed at fostering innovation.</w:t>
      </w:r>
    </w:p>
    <w:p>
      <w:pPr>
        <w:pStyle w:val="ListParagraph"/>
        <w:numPr>
          <w:ilvl w:val="0"/>
          <w:numId w:val="5"/>
        </w:numPr>
        <w:pBdr>
          <w:top w:val="single" w:sz="4" w:space="1" w:color="auto"/>
          <w:left w:val="single" w:sz="4" w:space="1" w:color="auto"/>
          <w:bottom w:val="single" w:sz="4" w:space="1" w:color="auto"/>
          <w:right w:val="single" w:sz="4" w:space="1"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In the new programme, ways of </w:t>
      </w:r>
      <w:r>
        <w:rPr>
          <w:rFonts w:ascii="Times New Roman" w:hAnsi="Times New Roman" w:cs="Times New Roman"/>
          <w:b/>
          <w:noProof/>
          <w:sz w:val="24"/>
          <w:szCs w:val="24"/>
        </w:rPr>
        <w:t xml:space="preserve">boosting innovation </w:t>
      </w:r>
      <w:r>
        <w:rPr>
          <w:rFonts w:ascii="Times New Roman" w:hAnsi="Times New Roman" w:cs="Times New Roman"/>
          <w:noProof/>
          <w:sz w:val="24"/>
          <w:szCs w:val="24"/>
        </w:rPr>
        <w:t>will be considered.</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also noted that there is potential to introduce better-targeted actions to </w:t>
      </w:r>
      <w:r>
        <w:rPr>
          <w:rFonts w:ascii="Times New Roman" w:hAnsi="Times New Roman" w:cs="Times New Roman"/>
          <w:b/>
          <w:noProof/>
          <w:sz w:val="24"/>
          <w:szCs w:val="24"/>
        </w:rPr>
        <w:t>maximise the relevance of</w:t>
      </w:r>
      <w:r>
        <w:rPr>
          <w:rFonts w:ascii="Times New Roman" w:hAnsi="Times New Roman" w:cs="Times New Roman"/>
          <w:noProof/>
          <w:sz w:val="24"/>
          <w:szCs w:val="24"/>
        </w:rPr>
        <w:t xml:space="preserve"> </w:t>
      </w:r>
      <w:r>
        <w:rPr>
          <w:rFonts w:ascii="Times New Roman" w:hAnsi="Times New Roman" w:cs="Times New Roman"/>
          <w:b/>
          <w:noProof/>
          <w:sz w:val="24"/>
          <w:szCs w:val="24"/>
        </w:rPr>
        <w:t>Jean Monnet</w:t>
      </w:r>
      <w:r>
        <w:rPr>
          <w:rFonts w:ascii="Times New Roman" w:hAnsi="Times New Roman" w:cs="Times New Roman"/>
          <w:noProof/>
          <w:sz w:val="24"/>
          <w:szCs w:val="24"/>
        </w:rPr>
        <w:t xml:space="preserve"> activities and </w:t>
      </w:r>
      <w:r>
        <w:rPr>
          <w:rFonts w:ascii="Times New Roman" w:hAnsi="Times New Roman" w:cs="Times New Roman"/>
          <w:b/>
          <w:noProof/>
          <w:sz w:val="24"/>
          <w:szCs w:val="24"/>
        </w:rPr>
        <w:t xml:space="preserve">the programme’s added value </w:t>
      </w:r>
      <w:r>
        <w:rPr>
          <w:rFonts w:ascii="Times New Roman" w:hAnsi="Times New Roman" w:cs="Times New Roman"/>
          <w:noProof/>
          <w:sz w:val="24"/>
          <w:szCs w:val="24"/>
        </w:rPr>
        <w:t xml:space="preserve">in the </w:t>
      </w:r>
      <w:r>
        <w:rPr>
          <w:rFonts w:ascii="Times New Roman" w:hAnsi="Times New Roman" w:cs="Times New Roman"/>
          <w:b/>
          <w:noProof/>
          <w:sz w:val="24"/>
          <w:szCs w:val="24"/>
        </w:rPr>
        <w:t>adult learning</w:t>
      </w:r>
      <w:r>
        <w:rPr>
          <w:rFonts w:ascii="Times New Roman" w:hAnsi="Times New Roman" w:cs="Times New Roman"/>
          <w:noProof/>
          <w:sz w:val="24"/>
          <w:szCs w:val="24"/>
        </w:rPr>
        <w:t xml:space="preserve"> sector.</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Teaching and research on EU matters is now relatively widespread in higher education. By contrast, there is a need for greater understanding of European integration and a greater sense of belonging to Europe among the youngest generations, in the aftermath of economic and political crises of the last ten years.</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Jean Monnet </w:t>
      </w:r>
      <w:r>
        <w:rPr>
          <w:rFonts w:ascii="Times New Roman" w:hAnsi="Times New Roman" w:cs="Times New Roman"/>
          <w:noProof/>
          <w:sz w:val="24"/>
          <w:szCs w:val="24"/>
        </w:rPr>
        <w:t xml:space="preserve">could in the future programme be redesigned to </w:t>
      </w:r>
      <w:r>
        <w:rPr>
          <w:rFonts w:ascii="Times New Roman" w:hAnsi="Times New Roman" w:cs="Times New Roman"/>
          <w:b/>
          <w:noProof/>
          <w:sz w:val="24"/>
          <w:szCs w:val="24"/>
        </w:rPr>
        <w:t xml:space="preserve">cater for a wider target group </w:t>
      </w:r>
      <w:r>
        <w:rPr>
          <w:rFonts w:ascii="Times New Roman" w:hAnsi="Times New Roman" w:cs="Times New Roman"/>
          <w:noProof/>
          <w:sz w:val="24"/>
          <w:szCs w:val="24"/>
        </w:rPr>
        <w:t>(including schools) in order to raise awareness on what its common European values are.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evaluation underlines that the impact on the adult learning sector, which currently targets a wide population, is diluted due to the fragmented and diverse nature of the sector.</w:t>
      </w:r>
    </w:p>
    <w:p>
      <w:pPr>
        <w:pStyle w:val="ListParagraph"/>
        <w:numPr>
          <w:ilvl w:val="0"/>
          <w:numId w:val="4"/>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consider how </w:t>
      </w:r>
      <w:r>
        <w:rPr>
          <w:rFonts w:ascii="Times New Roman" w:hAnsi="Times New Roman" w:cs="Times New Roman"/>
          <w:b/>
          <w:noProof/>
          <w:sz w:val="24"/>
          <w:szCs w:val="24"/>
        </w:rPr>
        <w:t>to increase the focus of EU support for transnational activities in the adult learning sector</w:t>
      </w:r>
      <w:r>
        <w:rPr>
          <w:rFonts w:ascii="Times New Roman" w:hAnsi="Times New Roman" w:cs="Times New Roman"/>
          <w:noProof/>
          <w:sz w:val="24"/>
          <w:szCs w:val="24"/>
        </w:rPr>
        <w:t>.</w:t>
      </w:r>
    </w:p>
    <w:p>
      <w:pPr>
        <w:spacing w:before="480" w:after="240"/>
        <w:rPr>
          <w:rFonts w:ascii="Times New Roman" w:hAnsi="Times New Roman" w:cs="Times New Roman"/>
          <w:i/>
          <w:noProof/>
          <w:sz w:val="24"/>
          <w:szCs w:val="24"/>
          <w:u w:val="single"/>
        </w:rPr>
      </w:pPr>
      <w:r>
        <w:rPr>
          <w:rFonts w:ascii="Times New Roman" w:hAnsi="Times New Roman" w:cs="Times New Roman"/>
          <w:i/>
          <w:noProof/>
          <w:sz w:val="24"/>
          <w:szCs w:val="24"/>
          <w:u w:val="single"/>
        </w:rPr>
        <w:t>Coherence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found a </w:t>
      </w:r>
      <w:r>
        <w:rPr>
          <w:rFonts w:ascii="Times New Roman" w:hAnsi="Times New Roman" w:cs="Times New Roman"/>
          <w:b/>
          <w:noProof/>
          <w:sz w:val="24"/>
          <w:szCs w:val="24"/>
        </w:rPr>
        <w:t>high level of complementarity between</w:t>
      </w:r>
      <w:r>
        <w:rPr>
          <w:rFonts w:ascii="Times New Roman" w:hAnsi="Times New Roman" w:cs="Times New Roman"/>
          <w:noProof/>
          <w:sz w:val="24"/>
          <w:szCs w:val="24"/>
        </w:rPr>
        <w:t xml:space="preserve"> Erasmus+ and other relevant EU policies and programmes (e.g. the European Social Fund and Horizon 2020). Although the level of synergies varies, it is striking that the evaluation detected </w:t>
      </w:r>
      <w:r>
        <w:rPr>
          <w:rFonts w:ascii="Times New Roman" w:hAnsi="Times New Roman" w:cs="Times New Roman"/>
          <w:b/>
          <w:noProof/>
          <w:sz w:val="24"/>
          <w:szCs w:val="24"/>
        </w:rPr>
        <w:t>very</w:t>
      </w:r>
      <w:r>
        <w:rPr>
          <w:rFonts w:ascii="Times New Roman" w:hAnsi="Times New Roman" w:cs="Times New Roman"/>
          <w:noProof/>
          <w:sz w:val="24"/>
          <w:szCs w:val="24"/>
        </w:rPr>
        <w:t xml:space="preserve"> </w:t>
      </w:r>
      <w:r>
        <w:rPr>
          <w:rFonts w:ascii="Times New Roman" w:hAnsi="Times New Roman" w:cs="Times New Roman"/>
          <w:b/>
          <w:noProof/>
          <w:sz w:val="24"/>
          <w:szCs w:val="24"/>
        </w:rPr>
        <w:t>few overlaps</w:t>
      </w:r>
      <w:r>
        <w:rPr>
          <w:rStyle w:val="FootnoteReference"/>
          <w:noProof/>
        </w:rPr>
        <w:footnoteReference w:id="14"/>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programme’s </w:t>
      </w:r>
      <w:r>
        <w:rPr>
          <w:rFonts w:ascii="Times New Roman" w:hAnsi="Times New Roman" w:cs="Times New Roman"/>
          <w:b/>
          <w:noProof/>
          <w:sz w:val="24"/>
          <w:szCs w:val="24"/>
        </w:rPr>
        <w:t xml:space="preserve">strong internal coherence </w:t>
      </w:r>
      <w:r>
        <w:rPr>
          <w:rFonts w:ascii="Times New Roman" w:hAnsi="Times New Roman" w:cs="Times New Roman"/>
          <w:noProof/>
          <w:sz w:val="24"/>
          <w:szCs w:val="24"/>
        </w:rPr>
        <w:t>compared to its predecessors stems from its</w:t>
      </w:r>
      <w:r>
        <w:rPr>
          <w:rFonts w:ascii="Times New Roman" w:hAnsi="Times New Roman" w:cs="Times New Roman"/>
          <w:b/>
          <w:noProof/>
          <w:sz w:val="24"/>
          <w:szCs w:val="24"/>
        </w:rPr>
        <w:t xml:space="preserve"> lifelong learning coverage</w:t>
      </w:r>
      <w:r>
        <w:rPr>
          <w:rFonts w:ascii="Times New Roman" w:hAnsi="Times New Roman" w:cs="Times New Roman"/>
          <w:noProof/>
          <w:sz w:val="24"/>
          <w:szCs w:val="24"/>
        </w:rPr>
        <w:t>. Bringing together fields that are often kept separate (at national level) in a single EU programme is perceived as encouraging complementarity and an international outlook</w:t>
      </w:r>
      <w:r>
        <w:rPr>
          <w:rStyle w:val="FootnoteReference"/>
          <w:noProof/>
        </w:rPr>
        <w:footnoteReference w:id="15"/>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b/>
          <w:noProof/>
          <w:sz w:val="24"/>
          <w:szCs w:val="24"/>
        </w:rPr>
        <w:t>Cross-sectoral cooperation</w:t>
      </w:r>
      <w:r>
        <w:rPr>
          <w:rFonts w:ascii="Times New Roman" w:hAnsi="Times New Roman" w:cs="Times New Roman"/>
          <w:noProof/>
          <w:sz w:val="24"/>
          <w:szCs w:val="24"/>
        </w:rPr>
        <w:t xml:space="preserve"> within Erasmus+ has increased sharply</w:t>
      </w:r>
      <w:r>
        <w:rPr>
          <w:noProof/>
        </w:rPr>
        <w:t xml:space="preserve"> </w:t>
      </w:r>
      <w:r>
        <w:rPr>
          <w:rFonts w:ascii="Times New Roman" w:hAnsi="Times New Roman" w:cs="Times New Roman"/>
          <w:noProof/>
          <w:sz w:val="24"/>
          <w:szCs w:val="24"/>
        </w:rPr>
        <w:t>(+23 percentage points compared to predecessor programmes). The vast majority of cooperation projects now include at least one organisation from another programme sector. Cooperation between education and training and civil society is gradually happening under Erasmus+.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highlighted that the programme has clearly benefited from </w:t>
      </w:r>
      <w:r>
        <w:rPr>
          <w:rFonts w:ascii="Times New Roman" w:hAnsi="Times New Roman" w:cs="Times New Roman"/>
          <w:b/>
          <w:noProof/>
          <w:sz w:val="24"/>
          <w:szCs w:val="24"/>
        </w:rPr>
        <w:t>simpler</w:t>
      </w:r>
      <w:r>
        <w:rPr>
          <w:rFonts w:ascii="Times New Roman" w:hAnsi="Times New Roman" w:cs="Times New Roman"/>
          <w:noProof/>
          <w:sz w:val="24"/>
          <w:szCs w:val="24"/>
        </w:rPr>
        <w:t xml:space="preserve"> architecture, grouping activities into three key actions (individual mobility, cooperation, and policy reform support), as expected in the impact assessment. The </w:t>
      </w:r>
      <w:r>
        <w:rPr>
          <w:rFonts w:ascii="Times New Roman" w:hAnsi="Times New Roman" w:cs="Times New Roman"/>
          <w:b/>
          <w:noProof/>
          <w:sz w:val="24"/>
          <w:szCs w:val="24"/>
        </w:rPr>
        <w:t>single brand name</w:t>
      </w:r>
      <w:r>
        <w:rPr>
          <w:rFonts w:ascii="Times New Roman" w:hAnsi="Times New Roman" w:cs="Times New Roman"/>
          <w:noProof/>
          <w:sz w:val="24"/>
          <w:szCs w:val="24"/>
        </w:rPr>
        <w:t xml:space="preserve"> has contributed to the programme’s </w:t>
      </w:r>
      <w:r>
        <w:rPr>
          <w:rFonts w:ascii="Times New Roman" w:hAnsi="Times New Roman" w:cs="Times New Roman"/>
          <w:b/>
          <w:noProof/>
          <w:sz w:val="24"/>
          <w:szCs w:val="24"/>
        </w:rPr>
        <w:t>increased visibility</w:t>
      </w:r>
      <w:r>
        <w:rPr>
          <w:rFonts w:ascii="Times New Roman" w:hAnsi="Times New Roman" w:cs="Times New Roman"/>
          <w:noProof/>
          <w:sz w:val="24"/>
          <w:szCs w:val="24"/>
        </w:rPr>
        <w:t xml:space="preserve">, to the benefit of each sector. Erasmus+ has improved its </w:t>
      </w:r>
      <w:r>
        <w:rPr>
          <w:rFonts w:ascii="Times New Roman" w:hAnsi="Times New Roman" w:cs="Times New Roman"/>
          <w:b/>
          <w:noProof/>
          <w:sz w:val="24"/>
          <w:szCs w:val="24"/>
        </w:rPr>
        <w:t>geographical balance,</w:t>
      </w:r>
      <w:r>
        <w:rPr>
          <w:rFonts w:ascii="Times New Roman" w:hAnsi="Times New Roman" w:cs="Times New Roman"/>
          <w:noProof/>
          <w:sz w:val="24"/>
          <w:szCs w:val="24"/>
        </w:rPr>
        <w:t xml:space="preserve"> better involving small countries and countries from Central and Eastern Europe.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Coherence </w:t>
      </w:r>
      <w:r>
        <w:rPr>
          <w:rFonts w:ascii="Times New Roman" w:hAnsi="Times New Roman" w:cs="Times New Roman"/>
          <w:b/>
          <w:noProof/>
          <w:sz w:val="24"/>
          <w:szCs w:val="24"/>
        </w:rPr>
        <w:t>can still be improved in relation to sport</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To achieve meaningful results, resources should not be spread too thinly.</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seek to </w:t>
      </w:r>
      <w:r>
        <w:rPr>
          <w:rFonts w:ascii="Times New Roman" w:hAnsi="Times New Roman" w:cs="Times New Roman"/>
          <w:b/>
          <w:noProof/>
          <w:sz w:val="24"/>
          <w:szCs w:val="24"/>
        </w:rPr>
        <w:t xml:space="preserve">increase the focus of some sport actions, notably on social inclusion aspects, </w:t>
      </w:r>
      <w:r>
        <w:rPr>
          <w:rFonts w:ascii="Times New Roman" w:hAnsi="Times New Roman" w:cs="Times New Roman"/>
          <w:noProof/>
          <w:sz w:val="24"/>
          <w:szCs w:val="24"/>
        </w:rPr>
        <w:t>and reduce overlap with youth activities.</w:t>
      </w:r>
    </w:p>
    <w:p>
      <w:pPr>
        <w:spacing w:before="480" w:after="240"/>
        <w:rPr>
          <w:rFonts w:ascii="Times New Roman" w:hAnsi="Times New Roman" w:cs="Times New Roman"/>
          <w:i/>
          <w:noProof/>
          <w:sz w:val="24"/>
          <w:szCs w:val="24"/>
          <w:u w:val="single"/>
        </w:rPr>
      </w:pPr>
      <w:r>
        <w:rPr>
          <w:rFonts w:ascii="Times New Roman" w:hAnsi="Times New Roman" w:cs="Times New Roman"/>
          <w:i/>
          <w:noProof/>
          <w:sz w:val="24"/>
          <w:szCs w:val="24"/>
          <w:u w:val="single"/>
        </w:rPr>
        <w:t>Efficiency and simplification</w:t>
      </w:r>
      <w:r>
        <w:rPr>
          <w:rStyle w:val="FootnoteReference"/>
          <w:noProof/>
        </w:rPr>
        <w:footnoteReference w:id="16"/>
      </w:r>
    </w:p>
    <w:p>
      <w:pPr>
        <w:jc w:val="both"/>
        <w:rPr>
          <w:rFonts w:ascii="Times New Roman" w:hAnsi="Times New Roman" w:cs="Times New Roman"/>
          <w:noProof/>
          <w:sz w:val="24"/>
          <w:szCs w:val="24"/>
        </w:rPr>
      </w:pPr>
      <w:r>
        <w:rPr>
          <w:rFonts w:ascii="Times New Roman" w:hAnsi="Times New Roman" w:cs="Times New Roman"/>
          <w:noProof/>
          <w:sz w:val="24"/>
          <w:szCs w:val="24"/>
        </w:rPr>
        <w:t>Evidence shows that</w:t>
      </w:r>
      <w:r>
        <w:rPr>
          <w:rFonts w:ascii="Times New Roman" w:hAnsi="Times New Roman" w:cs="Times New Roman"/>
          <w:b/>
          <w:noProof/>
          <w:sz w:val="24"/>
          <w:szCs w:val="24"/>
        </w:rPr>
        <w:t xml:space="preserve"> </w:t>
      </w:r>
      <w:r>
        <w:rPr>
          <w:rFonts w:ascii="Times New Roman" w:hAnsi="Times New Roman" w:cs="Times New Roman"/>
          <w:noProof/>
          <w:sz w:val="24"/>
          <w:szCs w:val="24"/>
        </w:rPr>
        <w:t>Erasmus+</w:t>
      </w:r>
      <w:r>
        <w:rPr>
          <w:rFonts w:ascii="Times New Roman" w:hAnsi="Times New Roman" w:cs="Times New Roman"/>
          <w:b/>
          <w:noProof/>
          <w:sz w:val="24"/>
          <w:szCs w:val="24"/>
        </w:rPr>
        <w:t xml:space="preserve"> mobility actions are clearly cost-effective</w:t>
      </w:r>
      <w:r>
        <w:rPr>
          <w:rFonts w:ascii="Times New Roman" w:hAnsi="Times New Roman" w:cs="Times New Roman"/>
          <w:noProof/>
          <w:sz w:val="24"/>
          <w:szCs w:val="24"/>
        </w:rPr>
        <w:t xml:space="preserve">, especially learners' mobility (with a cost for the EU of 15€ per day/learner). A key challenge will be to </w:t>
      </w:r>
      <w:r>
        <w:rPr>
          <w:rFonts w:ascii="Times New Roman" w:hAnsi="Times New Roman" w:cs="Times New Roman"/>
          <w:b/>
          <w:noProof/>
          <w:sz w:val="24"/>
          <w:szCs w:val="24"/>
        </w:rPr>
        <w:t>improve the efficiency of decentralised actions with partner countries</w:t>
      </w:r>
      <w:r>
        <w:rPr>
          <w:rFonts w:ascii="Times New Roman" w:hAnsi="Times New Roman" w:cs="Times New Roman"/>
          <w:noProof/>
          <w:sz w:val="24"/>
          <w:szCs w:val="24"/>
        </w:rPr>
        <w:t>, which have specific criteria and fragmented budgets coming under the EU’s external relations funds.</w:t>
      </w:r>
    </w:p>
    <w:p>
      <w:pPr>
        <w:jc w:val="both"/>
        <w:rPr>
          <w:rFonts w:ascii="Times New Roman" w:hAnsi="Times New Roman" w:cs="Times New Roman"/>
          <w:noProof/>
          <w:sz w:val="24"/>
          <w:szCs w:val="24"/>
        </w:rPr>
      </w:pPr>
      <w:r>
        <w:rPr>
          <w:rFonts w:ascii="Times New Roman" w:hAnsi="Times New Roman" w:cs="Times New Roman"/>
          <w:b/>
          <w:noProof/>
          <w:sz w:val="24"/>
          <w:szCs w:val="24"/>
        </w:rPr>
        <w:t xml:space="preserve">Management costs </w:t>
      </w:r>
      <w:r>
        <w:rPr>
          <w:rFonts w:ascii="Times New Roman" w:hAnsi="Times New Roman" w:cs="Times New Roman"/>
          <w:noProof/>
          <w:sz w:val="24"/>
          <w:szCs w:val="24"/>
        </w:rPr>
        <w:t>(at 6 % of the Erasmus+ budget</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r>
        <w:rPr>
          <w:rFonts w:ascii="Times New Roman" w:hAnsi="Times New Roman" w:cs="Times New Roman"/>
          <w:b/>
          <w:noProof/>
          <w:sz w:val="24"/>
          <w:szCs w:val="24"/>
        </w:rPr>
        <w:t xml:space="preserve"> are reasonable</w:t>
      </w:r>
      <w:r>
        <w:rPr>
          <w:rFonts w:ascii="Times New Roman" w:hAnsi="Times New Roman" w:cs="Times New Roman"/>
          <w:noProof/>
          <w:sz w:val="24"/>
          <w:szCs w:val="24"/>
        </w:rPr>
        <w:t>, especially compared to similar national schemes (14 % on average), although</w:t>
      </w:r>
      <w:r>
        <w:rPr>
          <w:rFonts w:ascii="Times New Roman" w:hAnsi="Times New Roman" w:cs="Times New Roman"/>
          <w:b/>
          <w:noProof/>
          <w:sz w:val="24"/>
          <w:szCs w:val="24"/>
        </w:rPr>
        <w:t xml:space="preserve"> greater economies of scale could have been achieved</w:t>
      </w:r>
      <w:r>
        <w:rPr>
          <w:rFonts w:ascii="Times New Roman" w:hAnsi="Times New Roman" w:cs="Times New Roman"/>
          <w:noProof/>
          <w:sz w:val="24"/>
          <w:szCs w:val="24"/>
        </w:rPr>
        <w:t>. More efficiency gains are therefore expected by 2020.</w:t>
      </w:r>
    </w:p>
    <w:p>
      <w:pPr>
        <w:jc w:val="both"/>
        <w:rPr>
          <w:rFonts w:ascii="Times New Roman" w:hAnsi="Times New Roman" w:cs="Times New Roman"/>
          <w:noProof/>
          <w:sz w:val="24"/>
          <w:szCs w:val="24"/>
        </w:rPr>
      </w:pPr>
      <w:r>
        <w:rPr>
          <w:rFonts w:ascii="Times New Roman" w:eastAsia="Calibri" w:hAnsi="Times New Roman" w:cs="Times New Roman"/>
          <w:noProof/>
          <w:sz w:val="24"/>
          <w:szCs w:val="24"/>
        </w:rPr>
        <w:t>In terms of simplification, the integrated nature of Erasmus+ allows cross-field tools</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 xml:space="preserve">to be used for grant application, monitoring, audit or dissemination. </w:t>
      </w:r>
      <w:r>
        <w:rPr>
          <w:rFonts w:ascii="Times New Roman" w:eastAsia="Calibri" w:hAnsi="Times New Roman" w:cs="Times New Roman"/>
          <w:b/>
          <w:noProof/>
          <w:sz w:val="24"/>
          <w:szCs w:val="24"/>
        </w:rPr>
        <w:t xml:space="preserve">Following a difficult transitional period </w:t>
      </w:r>
      <w:r>
        <w:rPr>
          <w:rFonts w:ascii="Times New Roman" w:eastAsia="Calibri" w:hAnsi="Times New Roman" w:cs="Times New Roman"/>
          <w:noProof/>
          <w:sz w:val="24"/>
          <w:szCs w:val="24"/>
        </w:rPr>
        <w:t xml:space="preserve">between the predecessor programmes and the current programme, there is broad agreement that Erasmus+ has seen major improvements (e.g. simplified grants, digitalisation, the VET Charter and </w:t>
      </w:r>
      <w:r>
        <w:rPr>
          <w:noProof/>
        </w:rPr>
        <w:t>online language support</w:t>
      </w:r>
      <w:r>
        <w:rPr>
          <w:rStyle w:val="FootnoteReference"/>
          <w:rFonts w:ascii="Times New Roman" w:eastAsia="Calibri" w:hAnsi="Times New Roman" w:cs="Times New Roman"/>
          <w:noProof/>
          <w:sz w:val="24"/>
          <w:szCs w:val="24"/>
        </w:rPr>
        <w:footnoteReference w:id="18"/>
      </w:r>
      <w:r>
        <w:rPr>
          <w:rFonts w:ascii="Times New Roman" w:eastAsia="Calibri" w:hAnsi="Times New Roman" w:cs="Times New Roman"/>
          <w:noProof/>
          <w:sz w:val="24"/>
          <w:szCs w:val="24"/>
        </w:rPr>
        <w:t xml:space="preserve">) but that </w:t>
      </w:r>
      <w:r>
        <w:rPr>
          <w:rFonts w:ascii="Times New Roman" w:eastAsia="Calibri" w:hAnsi="Times New Roman" w:cs="Times New Roman"/>
          <w:b/>
          <w:noProof/>
          <w:sz w:val="24"/>
          <w:szCs w:val="24"/>
        </w:rPr>
        <w:t xml:space="preserve">procedures and IT management tools should be made easier to use </w:t>
      </w:r>
      <w:r>
        <w:rPr>
          <w:rFonts w:ascii="Times New Roman" w:eastAsia="Calibri" w:hAnsi="Times New Roman" w:cs="Times New Roman"/>
          <w:noProof/>
          <w:sz w:val="24"/>
          <w:szCs w:val="24"/>
        </w:rPr>
        <w:t>to reduce the administrative burden on implementing bodies and beneficiaries in proportion to the grants</w:t>
      </w:r>
      <w:r>
        <w:rPr>
          <w:noProof/>
        </w:rPr>
        <w:t xml:space="preserve"> </w:t>
      </w:r>
      <w:r>
        <w:rPr>
          <w:rFonts w:ascii="Times New Roman" w:eastAsia="Calibri" w:hAnsi="Times New Roman" w:cs="Times New Roman"/>
          <w:noProof/>
          <w:sz w:val="24"/>
          <w:szCs w:val="24"/>
        </w:rPr>
        <w:t>they receive.</w:t>
      </w:r>
    </w:p>
    <w:p>
      <w:pPr>
        <w:pStyle w:val="ListParagraph"/>
        <w:numPr>
          <w:ilvl w:val="0"/>
          <w:numId w:val="6"/>
        </w:num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eastAsia="Calibri" w:hAnsi="Times New Roman" w:cs="Times New Roman"/>
          <w:noProof/>
          <w:sz w:val="24"/>
          <w:szCs w:val="24"/>
        </w:rPr>
        <w:t>From 2018, the Commission will make it easier to apply for grants by introducing online web forms. These incremental</w:t>
      </w:r>
      <w:r>
        <w:rPr>
          <w:rFonts w:ascii="Times New Roman" w:eastAsia="Calibri" w:hAnsi="Times New Roman" w:cs="Times New Roman"/>
          <w:b/>
          <w:noProof/>
          <w:sz w:val="24"/>
          <w:szCs w:val="24"/>
        </w:rPr>
        <w:t xml:space="preserve"> improvements will continue </w:t>
      </w:r>
      <w:r>
        <w:rPr>
          <w:rFonts w:ascii="Times New Roman" w:eastAsia="Calibri" w:hAnsi="Times New Roman" w:cs="Times New Roman"/>
          <w:noProof/>
          <w:sz w:val="24"/>
          <w:szCs w:val="24"/>
        </w:rPr>
        <w:t>throughout the programme’s life.</w:t>
      </w:r>
    </w:p>
    <w:p>
      <w:pPr>
        <w:pStyle w:val="ListParagraph"/>
        <w:numPr>
          <w:ilvl w:val="0"/>
          <w:numId w:val="6"/>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The future programme should further consolidate current efficiency gains, especially</w:t>
      </w:r>
      <w:r>
        <w:rPr>
          <w:rFonts w:ascii="Times New Roman" w:hAnsi="Times New Roman" w:cs="Times New Roman"/>
          <w:b/>
          <w:noProof/>
          <w:sz w:val="24"/>
          <w:szCs w:val="24"/>
        </w:rPr>
        <w:t xml:space="preserve"> reducing the administrative burden</w:t>
      </w:r>
      <w:r>
        <w:rPr>
          <w:rFonts w:ascii="Times New Roman" w:hAnsi="Times New Roman" w:cs="Times New Roman"/>
          <w:noProof/>
          <w:sz w:val="24"/>
          <w:szCs w:val="24"/>
        </w:rPr>
        <w:t xml:space="preserve"> by simplifying application and reporting procedures, making IT tools more interoperable and user-friendly, and increasing budget flexibility, while preserving accountability.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decentralised implementation mode through national agencies is now well established</w:t>
      </w:r>
      <w:r>
        <w:rPr>
          <w:rFonts w:ascii="Times New Roman" w:hAnsi="Times New Roman" w:cs="Times New Roman"/>
          <w:noProof/>
          <w:sz w:val="24"/>
          <w:szCs w:val="24"/>
        </w:rPr>
        <w:t xml:space="preserve">. A </w:t>
      </w:r>
      <w:r>
        <w:rPr>
          <w:rFonts w:ascii="Times New Roman" w:hAnsi="Times New Roman" w:cs="Times New Roman"/>
          <w:b/>
          <w:noProof/>
          <w:sz w:val="24"/>
          <w:szCs w:val="24"/>
        </w:rPr>
        <w:t>truly performance-based approach</w:t>
      </w:r>
      <w:r>
        <w:rPr>
          <w:rFonts w:ascii="Times New Roman" w:hAnsi="Times New Roman" w:cs="Times New Roman"/>
          <w:noProof/>
          <w:sz w:val="24"/>
          <w:szCs w:val="24"/>
        </w:rPr>
        <w:t xml:space="preserve"> to programme management was introduced in 2014. Building on the acknowledged improvement in monitoring outcomes in Erasmus+, some indicators need to be fine-tuned and</w:t>
      </w:r>
      <w:r>
        <w:rPr>
          <w:rFonts w:ascii="Times New Roman" w:hAnsi="Times New Roman" w:cs="Times New Roman"/>
          <w:b/>
          <w:noProof/>
          <w:sz w:val="24"/>
          <w:szCs w:val="24"/>
        </w:rPr>
        <w:t xml:space="preserve"> less data could be collected from participants and better used</w:t>
      </w:r>
      <w:r>
        <w:rPr>
          <w:rFonts w:ascii="Times New Roman" w:hAnsi="Times New Roman" w:cs="Times New Roman"/>
          <w:noProof/>
          <w:sz w:val="24"/>
          <w:szCs w:val="24"/>
        </w:rPr>
        <w:t>.</w:t>
      </w:r>
    </w:p>
    <w:p>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The communication between the Education, Culture and Audiovisual Executive Agency and national agencies has been improved in order to increase </w:t>
      </w:r>
      <w:r>
        <w:rPr>
          <w:rFonts w:ascii="Times New Roman" w:hAnsi="Times New Roman" w:cs="Times New Roman"/>
          <w:b/>
          <w:noProof/>
          <w:sz w:val="24"/>
          <w:szCs w:val="24"/>
        </w:rPr>
        <w:t>synergies between centralised and decentralised actions</w:t>
      </w:r>
      <w:r>
        <w:rPr>
          <w:rFonts w:ascii="Times New Roman" w:hAnsi="Times New Roman" w:cs="Times New Roman"/>
          <w:noProof/>
          <w:sz w:val="24"/>
          <w:szCs w:val="24"/>
        </w:rPr>
        <w:t>.</w:t>
      </w:r>
    </w:p>
    <w:p>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consider how to perfect Erasmus+ monitoring by extending it to cooperation projects and centralised actions with a view </w:t>
      </w:r>
      <w:r>
        <w:rPr>
          <w:rFonts w:ascii="Times New Roman" w:hAnsi="Times New Roman" w:cs="Times New Roman"/>
          <w:b/>
          <w:noProof/>
          <w:sz w:val="24"/>
          <w:szCs w:val="24"/>
        </w:rPr>
        <w:t>to mining the data collected, in a proportionate way, so that decision making is informed by evidence</w:t>
      </w:r>
      <w:r>
        <w:rPr>
          <w:rFonts w:ascii="Times New Roman" w:hAnsi="Times New Roman" w:cs="Times New Roman"/>
          <w:noProof/>
          <w:sz w:val="24"/>
          <w:szCs w:val="24"/>
        </w:rPr>
        <w:t>.</w:t>
      </w:r>
    </w:p>
    <w:p>
      <w:pPr>
        <w:spacing w:after="160" w:line="259" w:lineRule="auto"/>
        <w:jc w:val="both"/>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8233"/>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rPr>
          <w:rFonts w:ascii="Times New Roman" w:eastAsiaTheme="majorEastAsia" w:hAnsi="Times New Roman"/>
          <w:bCs/>
        </w:rPr>
      </w:pPr>
      <w:r>
        <w:rPr>
          <w:rStyle w:val="FootnoteReference"/>
          <w:sz w:val="18"/>
          <w:szCs w:val="18"/>
        </w:rPr>
        <w:footnoteRef/>
      </w:r>
      <w:r>
        <w:rPr>
          <w:sz w:val="18"/>
          <w:szCs w:val="18"/>
        </w:rPr>
        <w:t xml:space="preserve"> </w:t>
      </w:r>
      <w:r>
        <w:rPr>
          <w:rFonts w:ascii="Times New Roman" w:eastAsiaTheme="majorEastAsia" w:hAnsi="Times New Roman"/>
          <w:bCs/>
        </w:rPr>
        <w:t>Including funding from external action instruments</w:t>
      </w:r>
    </w:p>
  </w:footnote>
  <w:footnote w:id="2">
    <w:p>
      <w:pPr>
        <w:pStyle w:val="FootnoteText"/>
        <w:spacing w:after="6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heme="majorEastAsia" w:hAnsi="Times New Roman"/>
          <w:bCs/>
        </w:rPr>
        <w:t>OJ L 347, 20.12.2013, p. 50</w:t>
      </w:r>
      <w:r>
        <w:rPr>
          <w:sz w:val="18"/>
          <w:szCs w:val="18"/>
        </w:rPr>
        <w:t xml:space="preserve"> budget</w:t>
      </w:r>
    </w:p>
  </w:footnote>
  <w:footnote w:id="3">
    <w:p>
      <w:pPr>
        <w:pStyle w:val="FootnoteText"/>
        <w:spacing w:after="6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bCs/>
        </w:rPr>
        <w:t>Programme countries: the EU Member States, the Former Yugoslav Republic of Macedonia, Iceland, Liechtenstein, Norway and Turkey. Partner countries: other non-EU countries.</w:t>
      </w:r>
    </w:p>
  </w:footnote>
  <w:footnote w:id="4">
    <w:p>
      <w:pPr>
        <w:pStyle w:val="FootnoteText"/>
        <w:spacing w:after="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 5.1.2.1</w:t>
      </w:r>
    </w:p>
  </w:footnote>
  <w:footnote w:id="5">
    <w:p>
      <w:pPr>
        <w:pStyle w:val="FootnoteText"/>
        <w:spacing w:after="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 5.1.2.2</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http://ec.europa.eu/programmes/erasmus-plus/projects</w:t>
      </w:r>
    </w:p>
  </w:footnote>
  <w:footnote w:id="7">
    <w:p>
      <w:pPr>
        <w:pStyle w:val="FootnoteText"/>
        <w:spacing w:after="6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Strengthening European identity through education and culture — The European Commission's contribution to the leaders’ meeting in Gothenburg</w:t>
      </w:r>
      <w:r>
        <w:rPr>
          <w:rFonts w:ascii="Times New Roman" w:hAnsi="Times New Roman"/>
        </w:rPr>
        <w:t>, 17 November 2017, COM(2017) 673</w:t>
      </w:r>
    </w:p>
  </w:footnote>
  <w:footnote w:id="8">
    <w:p>
      <w:pPr>
        <w:pStyle w:val="FootnoteText"/>
        <w:spacing w:after="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Without prejudice to the next Multi Financial Framework</w:t>
      </w:r>
    </w:p>
  </w:footnote>
  <w:footnote w:id="9">
    <w:p>
      <w:pPr>
        <w:pStyle w:val="FootnoteText"/>
        <w:spacing w:after="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 5.5</w:t>
      </w:r>
    </w:p>
  </w:footnote>
  <w:footnote w:id="10">
    <w:p>
      <w:pPr>
        <w:pStyle w:val="FootnoteText"/>
        <w:spacing w:after="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 5.2</w:t>
      </w:r>
    </w:p>
  </w:footnote>
  <w:footnote w:id="11">
    <w:p>
      <w:pPr>
        <w:pStyle w:val="FootnoteText"/>
        <w:spacing w:after="60"/>
      </w:pPr>
      <w:r>
        <w:rPr>
          <w:rStyle w:val="FootnoteReference"/>
        </w:rPr>
        <w:footnoteRef/>
      </w:r>
      <w:r>
        <w:t xml:space="preserve"> </w:t>
      </w:r>
      <w:r>
        <w:rPr>
          <w:rFonts w:ascii="Times New Roman" w:hAnsi="Times New Roman"/>
          <w:szCs w:val="22"/>
        </w:rPr>
        <w:t>Declaration on promoting citizenship and the common values of freedom, tolerance and non-discrimination through education, Paris, 17 March 2015.</w:t>
      </w:r>
    </w:p>
  </w:footnote>
  <w:footnote w:id="12">
    <w:p>
      <w:pPr>
        <w:shd w:val="clear" w:color="auto" w:fill="FFFFFF"/>
        <w:spacing w:after="60"/>
        <w:jc w:val="both"/>
        <w:textAlignment w:val="baseline"/>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sz w:val="20"/>
        </w:rPr>
        <w:t>2015 Joint Report of the Council and the Commission on the implementation of ET 2020, OJ C 417, 15.12.2015, p. 25; Council Resolution laying down a specific EU work plan for youth (2016-2018), OJ C 417, 15.12.2015, p. 1.</w:t>
      </w:r>
    </w:p>
  </w:footnote>
  <w:footnote w:id="13">
    <w:p>
      <w:pPr>
        <w:shd w:val="clear" w:color="auto" w:fill="FFFFFF"/>
        <w:spacing w:after="60"/>
        <w:jc w:val="both"/>
        <w:textAlignment w:val="baseline"/>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sz w:val="20"/>
        </w:rPr>
        <w:t>COM(2016) 381 of 10 June 2016</w:t>
      </w:r>
    </w:p>
  </w:footnote>
  <w:footnote w:id="14">
    <w:p>
      <w:pPr>
        <w:pStyle w:val="FootnoteText"/>
        <w:spacing w:after="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 5.3.2</w:t>
      </w:r>
    </w:p>
  </w:footnote>
  <w:footnote w:id="15">
    <w:p>
      <w:pPr>
        <w:pStyle w:val="FootnoteText"/>
        <w:spacing w:after="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 5.3.1</w:t>
      </w:r>
    </w:p>
  </w:footnote>
  <w:footnote w:id="16">
    <w:p>
      <w:pPr>
        <w:pStyle w:val="FootnoteText"/>
        <w:spacing w:after="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 5.4</w:t>
      </w:r>
    </w:p>
  </w:footnote>
  <w:footnote w:id="17">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Including management fees for National agencies, supported through the operational budget. </w:t>
      </w:r>
    </w:p>
  </w:footnote>
  <w:footnote w:id="18">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https://erasmusplusols.eu/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4EB3"/>
    <w:multiLevelType w:val="hybridMultilevel"/>
    <w:tmpl w:val="AAA0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774357"/>
    <w:multiLevelType w:val="hybridMultilevel"/>
    <w:tmpl w:val="72FC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FF39C9"/>
    <w:multiLevelType w:val="hybridMultilevel"/>
    <w:tmpl w:val="4B427060"/>
    <w:lvl w:ilvl="0" w:tplc="B7CA5A9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F078B5"/>
    <w:multiLevelType w:val="hybridMultilevel"/>
    <w:tmpl w:val="FED4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C50464"/>
    <w:multiLevelType w:val="hybridMultilevel"/>
    <w:tmpl w:val="2224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C1353E"/>
    <w:multiLevelType w:val="hybridMultilevel"/>
    <w:tmpl w:val="7FAA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B042F9"/>
    <w:multiLevelType w:val="hybridMultilevel"/>
    <w:tmpl w:val="117C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3D3FAA"/>
    <w:multiLevelType w:val="hybridMultilevel"/>
    <w:tmpl w:val="15D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8EC61BE-E27A-4395-89D2-BEC6BFEB161B"/>
    <w:docVar w:name="LW_COVERPAGE_TYPE" w:val="1"/>
    <w:docVar w:name="LW_CROSSREFERENCE" w:val="{SWD(2018) 40 final}"/>
    <w:docVar w:name="LW_DocType" w:val="NORMAL"/>
    <w:docVar w:name="LW_EMISSION" w:val="31.1.2018"/>
    <w:docVar w:name="LW_EMISSION_ISODATE" w:val="2018-01-31"/>
    <w:docVar w:name="LW_EMISSION_LOCATION" w:val="BRX"/>
    <w:docVar w:name="LW_EMISSION_PREFIX" w:val="Brussels, "/>
    <w:docVar w:name="LW_EMISSION_SUFFIX" w:val="&lt;EMPTY&gt;"/>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Mid-term evaluation of the Erasmus+ programme (2014-2020)"/>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uiPriority w:val="99"/>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ListParagraph">
    <w:name w:val="List Paragraph"/>
    <w:aliases w:val="1st level - Bullet List Paragraph,List Paragraph1,Lettre d'introduction,Paragrafo elenco,Medium Grid 1 - Accent 21,Bullet Paragraph,Lijstalinea,Bullet List Paragraph,Bulletpoints,Heading 2_sj"/>
    <w:basedOn w:val="Normal"/>
    <w:link w:val="ListParagraphChar"/>
    <w:uiPriority w:val="34"/>
    <w:qFormat/>
    <w:pPr>
      <w:spacing w:after="160" w:line="259" w:lineRule="auto"/>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Bullet Paragraph Char,Lijstalinea Char,Bullet List Paragraph Char,Bulletpoints Char"/>
    <w:basedOn w:val="DefaultParagraphFont"/>
    <w:link w:val="ListParagraph"/>
    <w:uiPriority w:val="34"/>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Default">
    <w:name w:val="Default"/>
    <w:uiPriority w:val="99"/>
    <w:pPr>
      <w:suppressAutoHyphens/>
      <w:autoSpaceDE w:val="0"/>
      <w:autoSpaceDN w:val="0"/>
      <w:spacing w:after="0" w:line="240" w:lineRule="auto"/>
      <w:textAlignment w:val="baseline"/>
    </w:pPr>
    <w:rPr>
      <w:rFonts w:ascii="Arial" w:eastAsia="Times New Roman" w:hAnsi="Arial" w:cs="Arial"/>
      <w:color w:val="000000"/>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uiPriority w:val="99"/>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ListParagraph">
    <w:name w:val="List Paragraph"/>
    <w:aliases w:val="1st level - Bullet List Paragraph,List Paragraph1,Lettre d'introduction,Paragrafo elenco,Medium Grid 1 - Accent 21,Bullet Paragraph,Lijstalinea,Bullet List Paragraph,Bulletpoints,Heading 2_sj"/>
    <w:basedOn w:val="Normal"/>
    <w:link w:val="ListParagraphChar"/>
    <w:uiPriority w:val="34"/>
    <w:qFormat/>
    <w:pPr>
      <w:spacing w:after="160" w:line="259" w:lineRule="auto"/>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Bullet Paragraph Char,Lijstalinea Char,Bullet List Paragraph Char,Bulletpoints Char"/>
    <w:basedOn w:val="DefaultParagraphFont"/>
    <w:link w:val="ListParagraph"/>
    <w:uiPriority w:val="34"/>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Default">
    <w:name w:val="Default"/>
    <w:uiPriority w:val="99"/>
    <w:pPr>
      <w:suppressAutoHyphens/>
      <w:autoSpaceDE w:val="0"/>
      <w:autoSpaceDN w:val="0"/>
      <w:spacing w:after="0" w:line="240" w:lineRule="auto"/>
      <w:textAlignment w:val="baseline"/>
    </w:pPr>
    <w:rPr>
      <w:rFonts w:ascii="Arial" w:eastAsia="Times New Roman" w:hAnsi="Arial" w:cs="Arial"/>
      <w:color w:val="000000"/>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ebgate.ec.europa.eu/fpfis/mwikis/eurydice/images/1/14/Leaflet_Paris_Declaration.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E269-F82A-4EC7-9388-F7598033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2413</Words>
  <Characters>14050</Characters>
  <Application>Microsoft Office Word</Application>
  <DocSecurity>0</DocSecurity>
  <Lines>216</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2017-12-21T09:16:00Z</cp:lastPrinted>
  <dcterms:created xsi:type="dcterms:W3CDTF">2018-01-24T08:18:00Z</dcterms:created>
  <dcterms:modified xsi:type="dcterms:W3CDTF">2018-01-29T11:47:00Z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