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0F42FE80-643C-40B0-8F38-F926AE7F9BCE" style="width:450.5pt;height:334.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jc w:val="both"/>
        <w:rPr>
          <w:rFonts w:ascii="Times New Roman" w:hAnsi="Times New Roman" w:cs="Times New Roman"/>
          <w:bCs/>
          <w:noProof/>
          <w:sz w:val="24"/>
          <w:szCs w:val="24"/>
          <w:lang w:val="fr-FR"/>
        </w:rPr>
      </w:pPr>
      <w:bookmarkStart w:id="1" w:name="_GoBack"/>
      <w:bookmarkEnd w:id="1"/>
      <w:r>
        <w:rPr>
          <w:rFonts w:ascii="Times New Roman" w:hAnsi="Times New Roman"/>
          <w:b/>
          <w:noProof/>
          <w:sz w:val="24"/>
          <w:lang w:val="fr-FR"/>
        </w:rPr>
        <w:lastRenderedPageBreak/>
        <w:t>Erasmus+</w:t>
      </w:r>
      <w:r>
        <w:rPr>
          <w:rFonts w:ascii="Times New Roman" w:hAnsi="Times New Roman"/>
          <w:noProof/>
          <w:sz w:val="24"/>
          <w:lang w:val="fr-FR"/>
        </w:rPr>
        <w:t xml:space="preserve"> est le programme de soutien de l’Union aux actions menées dans les domaines de l’éducation et de la formation, de la jeunesse et des sports. Doté d’un budget de </w:t>
      </w:r>
      <w:r>
        <w:rPr>
          <w:rFonts w:ascii="Times New Roman" w:hAnsi="Times New Roman"/>
          <w:b/>
          <w:noProof/>
          <w:sz w:val="24"/>
          <w:lang w:val="fr-FR"/>
        </w:rPr>
        <w:t>16 450 000 000 EUR pour la période 2014-2020</w:t>
      </w:r>
      <w:r>
        <w:rPr>
          <w:rFonts w:ascii="Times New Roman" w:hAnsi="Times New Roman"/>
          <w:b/>
          <w:noProof/>
          <w:sz w:val="24"/>
          <w:vertAlign w:val="superscript"/>
        </w:rPr>
        <w:footnoteReference w:id="1"/>
      </w:r>
      <w:r>
        <w:rPr>
          <w:rFonts w:ascii="Times New Roman" w:hAnsi="Times New Roman"/>
          <w:noProof/>
          <w:sz w:val="24"/>
          <w:lang w:val="fr-FR"/>
        </w:rPr>
        <w:t xml:space="preserve">, il vise à offrir à plus de </w:t>
      </w:r>
      <w:r>
        <w:rPr>
          <w:rFonts w:ascii="Times New Roman" w:hAnsi="Times New Roman"/>
          <w:b/>
          <w:noProof/>
          <w:sz w:val="24"/>
          <w:lang w:val="fr-FR"/>
        </w:rPr>
        <w:t>quatre millions de personnes</w:t>
      </w:r>
      <w:r>
        <w:rPr>
          <w:rFonts w:ascii="Times New Roman" w:hAnsi="Times New Roman"/>
          <w:noProof/>
          <w:sz w:val="24"/>
          <w:lang w:val="fr-FR"/>
        </w:rPr>
        <w:t xml:space="preserve"> la possibilité d’acquérir des compétences et de se développer sur les plans personnel, socio-éducatif et professionnel dans le cadre d’études, de formations, d’expériences professionnelles ou d’activités de volontariat à l’étranger, proposées dans le monde entier. Il vise à encourager l’amélioration de la qualité, l’innovation, l’excellence et l’internationalisation des </w:t>
      </w:r>
      <w:r>
        <w:rPr>
          <w:rFonts w:ascii="Times New Roman" w:hAnsi="Times New Roman"/>
          <w:b/>
          <w:noProof/>
          <w:sz w:val="24"/>
          <w:lang w:val="fr-FR"/>
        </w:rPr>
        <w:t>organisations</w:t>
      </w:r>
      <w:r>
        <w:rPr>
          <w:rFonts w:ascii="Times New Roman" w:hAnsi="Times New Roman"/>
          <w:noProof/>
          <w:sz w:val="24"/>
          <w:lang w:val="fr-FR"/>
        </w:rPr>
        <w:t xml:space="preserve"> actives dans les domaines de l’éducation et de la formation, de la jeunesse et du sport. Le programme Erasmus+ aide aussi les pays européens à moderniser et à améliorer leurs </w:t>
      </w:r>
      <w:r>
        <w:rPr>
          <w:rFonts w:ascii="Times New Roman" w:hAnsi="Times New Roman"/>
          <w:b/>
          <w:noProof/>
          <w:sz w:val="24"/>
          <w:lang w:val="fr-FR"/>
        </w:rPr>
        <w:t>systèmes</w:t>
      </w:r>
      <w:r>
        <w:rPr>
          <w:rFonts w:ascii="Times New Roman" w:hAnsi="Times New Roman"/>
          <w:noProof/>
          <w:sz w:val="24"/>
          <w:lang w:val="fr-FR"/>
        </w:rPr>
        <w:t xml:space="preserve"> d’éducation et de formation et leurs </w:t>
      </w:r>
      <w:r>
        <w:rPr>
          <w:rFonts w:ascii="Times New Roman" w:hAnsi="Times New Roman"/>
          <w:b/>
          <w:noProof/>
          <w:sz w:val="24"/>
          <w:lang w:val="fr-FR"/>
        </w:rPr>
        <w:t>politiques</w:t>
      </w:r>
      <w:r>
        <w:rPr>
          <w:rFonts w:ascii="Times New Roman" w:hAnsi="Times New Roman"/>
          <w:noProof/>
          <w:sz w:val="24"/>
          <w:lang w:val="fr-FR"/>
        </w:rPr>
        <w:t xml:space="preserve"> en faveur de la jeunesse et des sports en renforçant leur rôle de moteur de la croissance, de la création d’emplois , de la compétitivité, de l’innovation et de la cohésion sociale.</w:t>
      </w:r>
    </w:p>
    <w:p>
      <w:pPr>
        <w:jc w:val="both"/>
        <w:rPr>
          <w:rFonts w:ascii="Times New Roman" w:hAnsi="Times New Roman" w:cs="Times New Roman"/>
          <w:bCs/>
          <w:noProof/>
          <w:sz w:val="24"/>
          <w:szCs w:val="24"/>
          <w:lang w:val="fr-FR"/>
        </w:rPr>
      </w:pPr>
      <w:r>
        <w:rPr>
          <w:rFonts w:ascii="Times New Roman" w:hAnsi="Times New Roman"/>
          <w:noProof/>
          <w:sz w:val="24"/>
          <w:lang w:val="fr-FR"/>
        </w:rPr>
        <w:t>Le présent rapport d’</w:t>
      </w:r>
      <w:r>
        <w:rPr>
          <w:rFonts w:ascii="Times New Roman" w:hAnsi="Times New Roman"/>
          <w:b/>
          <w:noProof/>
          <w:sz w:val="24"/>
          <w:lang w:val="fr-FR"/>
        </w:rPr>
        <w:t>évaluation à mi-parcours</w:t>
      </w:r>
      <w:r>
        <w:rPr>
          <w:rFonts w:ascii="Times New Roman" w:hAnsi="Times New Roman"/>
          <w:noProof/>
          <w:sz w:val="24"/>
          <w:lang w:val="fr-FR"/>
        </w:rPr>
        <w:t xml:space="preserve"> du programme Erasmus+, comprenant l’évaluation de l’incidence à long terme des programmes qui l’ont précédé, est présenté conformément à l’article 21 du règlement (UE) nº 1288/2013 du Parlement européen et du Conseil</w:t>
      </w:r>
      <w:r>
        <w:rPr>
          <w:rStyle w:val="FootnoteReference"/>
          <w:noProof/>
        </w:rPr>
        <w:footnoteReference w:id="2"/>
      </w:r>
      <w:r>
        <w:rPr>
          <w:rFonts w:ascii="Times New Roman" w:hAnsi="Times New Roman"/>
          <w:noProof/>
          <w:sz w:val="24"/>
          <w:lang w:val="fr-FR"/>
        </w:rPr>
        <w:t xml:space="preserve"> et s’accompagne d’un document de travail des services de la Commission qui expose l’ensemble des éléments factuels. Il s’appuie sur les rapports nationaux présentés par les pays participant au programme, sur un rapport d’évaluation établi par un contractant externe indépendant, sur d’autres travaux examinés, sur l’expérience tirée de la gestion du programme et sur </w:t>
      </w:r>
      <w:r>
        <w:rPr>
          <w:rFonts w:ascii="Times New Roman" w:hAnsi="Times New Roman"/>
          <w:b/>
          <w:noProof/>
          <w:sz w:val="24"/>
          <w:lang w:val="fr-FR"/>
        </w:rPr>
        <w:t>plus d’un million de réponses reçues de l’ensemble des parties intéressées</w:t>
      </w:r>
      <w:r>
        <w:rPr>
          <w:rFonts w:ascii="Times New Roman" w:hAnsi="Times New Roman"/>
          <w:noProof/>
          <w:sz w:val="24"/>
          <w:lang w:val="fr-FR"/>
        </w:rPr>
        <w:t>. Il évalue les progrès réalisés dans la mise en œuvre d’Erasmus+ au cours de la période 2014-2016 dans l’ensemble des pays participants</w:t>
      </w:r>
      <w:r>
        <w:rPr>
          <w:rStyle w:val="FootnoteReference"/>
          <w:rFonts w:ascii="Times New Roman" w:hAnsi="Times New Roman"/>
          <w:noProof/>
          <w:sz w:val="24"/>
        </w:rPr>
        <w:footnoteReference w:id="3"/>
      </w:r>
      <w:r>
        <w:rPr>
          <w:rFonts w:ascii="Times New Roman" w:hAnsi="Times New Roman"/>
          <w:noProof/>
          <w:sz w:val="24"/>
          <w:lang w:val="fr-FR"/>
        </w:rPr>
        <w:t xml:space="preserve">, avant la hausse globale du budget. Il examine également l’incidence à long terme de sept programmes antérieurs menés sur la période </w:t>
      </w:r>
      <w:r>
        <w:rPr>
          <w:rFonts w:ascii="Times New Roman" w:hAnsi="Times New Roman"/>
          <w:b/>
          <w:noProof/>
          <w:sz w:val="24"/>
          <w:lang w:val="fr-FR"/>
        </w:rPr>
        <w:t>2007-2013</w:t>
      </w:r>
      <w:r>
        <w:rPr>
          <w:rFonts w:ascii="Times New Roman" w:hAnsi="Times New Roman"/>
          <w:noProof/>
          <w:sz w:val="24"/>
          <w:lang w:val="fr-FR"/>
        </w:rPr>
        <w:t xml:space="preserve"> (évaluation ex post), y compris dans les pays partenaires.</w:t>
      </w:r>
    </w:p>
    <w:p>
      <w:pPr>
        <w:jc w:val="both"/>
        <w:rPr>
          <w:rFonts w:ascii="Times New Roman" w:hAnsi="Times New Roman" w:cs="Times New Roman"/>
          <w:noProof/>
          <w:sz w:val="24"/>
          <w:szCs w:val="24"/>
          <w:lang w:val="fr-FR"/>
        </w:rPr>
      </w:pPr>
      <w:r>
        <w:rPr>
          <w:rFonts w:ascii="Times New Roman" w:hAnsi="Times New Roman"/>
          <w:noProof/>
          <w:sz w:val="24"/>
          <w:lang w:val="fr-FR"/>
        </w:rPr>
        <w:t xml:space="preserve">Le programme Erasmus+ est sur la bonne voie pour </w:t>
      </w:r>
      <w:r>
        <w:rPr>
          <w:rFonts w:ascii="Times New Roman" w:hAnsi="Times New Roman"/>
          <w:b/>
          <w:noProof/>
          <w:sz w:val="24"/>
          <w:lang w:val="fr-FR"/>
        </w:rPr>
        <w:t>atteindre ses indicateurs de performance</w:t>
      </w:r>
      <w:r>
        <w:rPr>
          <w:rFonts w:ascii="Times New Roman" w:hAnsi="Times New Roman"/>
          <w:noProof/>
          <w:sz w:val="24"/>
          <w:lang w:val="fr-FR"/>
        </w:rPr>
        <w:t xml:space="preserve">, tels qu’ils ont été fixés dans la base légale, notamment grâce à la participation, en moins de trois ans, de </w:t>
      </w:r>
      <w:r>
        <w:rPr>
          <w:rFonts w:ascii="Times New Roman" w:hAnsi="Times New Roman"/>
          <w:b/>
          <w:noProof/>
          <w:sz w:val="24"/>
          <w:lang w:val="fr-FR"/>
        </w:rPr>
        <w:t>1,8 million de personnes</w:t>
      </w:r>
      <w:r>
        <w:rPr>
          <w:rFonts w:ascii="Times New Roman" w:hAnsi="Times New Roman"/>
          <w:noProof/>
          <w:sz w:val="24"/>
          <w:lang w:val="fr-FR"/>
        </w:rPr>
        <w:t xml:space="preserve"> à des activités de mobilité et de </w:t>
      </w:r>
      <w:r>
        <w:rPr>
          <w:rFonts w:ascii="Times New Roman" w:hAnsi="Times New Roman"/>
          <w:b/>
          <w:noProof/>
          <w:sz w:val="24"/>
          <w:lang w:val="fr-FR"/>
        </w:rPr>
        <w:t>plus de 240 000 organisations</w:t>
      </w:r>
      <w:r>
        <w:rPr>
          <w:rFonts w:ascii="Times New Roman" w:hAnsi="Times New Roman"/>
          <w:noProof/>
          <w:sz w:val="24"/>
          <w:lang w:val="fr-FR"/>
        </w:rPr>
        <w:t xml:space="preserve"> à des projets de coopération</w:t>
      </w:r>
      <w:r>
        <w:rPr>
          <w:rFonts w:ascii="Times New Roman" w:hAnsi="Times New Roman"/>
          <w:b/>
          <w:noProof/>
          <w:sz w:val="24"/>
          <w:lang w:val="fr-FR"/>
        </w:rPr>
        <w:t>.</w:t>
      </w:r>
      <w:r>
        <w:rPr>
          <w:rFonts w:ascii="Times New Roman" w:hAnsi="Times New Roman"/>
          <w:noProof/>
          <w:sz w:val="24"/>
          <w:lang w:val="fr-FR"/>
        </w:rPr>
        <w:t xml:space="preserve"> En ce qui concerne la base de référence de l’évaluation, entre 2007 et 2016, les programmes examinés ont financé la mobilité à des fins d’apprentissage de plus de </w:t>
      </w:r>
      <w:r>
        <w:rPr>
          <w:rFonts w:ascii="Times New Roman" w:hAnsi="Times New Roman"/>
          <w:b/>
          <w:noProof/>
          <w:sz w:val="24"/>
          <w:lang w:val="fr-FR"/>
        </w:rPr>
        <w:t>4,3 millions de jeunes et plus de 880 000 acteurs de terrain</w:t>
      </w:r>
      <w:r>
        <w:rPr>
          <w:rFonts w:ascii="Times New Roman" w:hAnsi="Times New Roman"/>
          <w:noProof/>
          <w:sz w:val="24"/>
          <w:lang w:val="fr-FR"/>
        </w:rPr>
        <w:t xml:space="preserve">. En outre, un nombre nettement plus important de personnes a bénéficié des projets de coopération, portés par </w:t>
      </w:r>
      <w:r>
        <w:rPr>
          <w:rFonts w:ascii="Times New Roman" w:hAnsi="Times New Roman"/>
          <w:b/>
          <w:noProof/>
          <w:sz w:val="24"/>
          <w:lang w:val="fr-FR"/>
        </w:rPr>
        <w:t>940 000 organisations participantes</w:t>
      </w:r>
      <w:r>
        <w:rPr>
          <w:rFonts w:ascii="Times New Roman" w:hAnsi="Times New Roman"/>
          <w:noProof/>
          <w:sz w:val="24"/>
          <w:lang w:val="fr-FR"/>
        </w:rPr>
        <w:t>.</w:t>
      </w:r>
    </w:p>
    <w:p>
      <w:pPr>
        <w:jc w:val="both"/>
        <w:rPr>
          <w:rFonts w:ascii="Times New Roman" w:hAnsi="Times New Roman" w:cs="Times New Roman"/>
          <w:bCs/>
          <w:noProof/>
          <w:sz w:val="24"/>
          <w:szCs w:val="24"/>
          <w:lang w:val="fr-FR"/>
        </w:rPr>
      </w:pPr>
      <w:r>
        <w:rPr>
          <w:rFonts w:ascii="Times New Roman" w:hAnsi="Times New Roman"/>
          <w:noProof/>
          <w:sz w:val="24"/>
          <w:lang w:val="fr-FR"/>
        </w:rPr>
        <w:t>Globalement, l’évaluation montre qu’</w:t>
      </w:r>
      <w:r>
        <w:rPr>
          <w:rFonts w:ascii="Times New Roman" w:hAnsi="Times New Roman"/>
          <w:b/>
          <w:noProof/>
          <w:sz w:val="24"/>
          <w:lang w:val="fr-FR"/>
        </w:rPr>
        <w:t>Erasmus+ est hautement apprécié par les parties prenantes et le public</w:t>
      </w:r>
      <w:r>
        <w:rPr>
          <w:rFonts w:ascii="Times New Roman" w:hAnsi="Times New Roman"/>
          <w:noProof/>
          <w:sz w:val="24"/>
          <w:lang w:val="fr-FR"/>
        </w:rPr>
        <w:t>.</w:t>
      </w:r>
      <w:r>
        <w:rPr>
          <w:rFonts w:ascii="Times New Roman" w:hAnsi="Times New Roman"/>
          <w:b/>
          <w:noProof/>
          <w:sz w:val="24"/>
          <w:lang w:val="fr-FR"/>
        </w:rPr>
        <w:t xml:space="preserve"> </w:t>
      </w:r>
      <w:r>
        <w:rPr>
          <w:rFonts w:ascii="Times New Roman" w:hAnsi="Times New Roman"/>
          <w:noProof/>
          <w:sz w:val="24"/>
          <w:lang w:val="fr-FR"/>
        </w:rPr>
        <w:t xml:space="preserve">Les conclusions de la présente évaluation, exposées en détail dans le document de travail de services de la Commission, montrent que tous les programmes évalués se sont révélés </w:t>
      </w:r>
      <w:r>
        <w:rPr>
          <w:rFonts w:ascii="Times New Roman" w:hAnsi="Times New Roman"/>
          <w:b/>
          <w:noProof/>
          <w:sz w:val="24"/>
          <w:lang w:val="fr-FR"/>
        </w:rPr>
        <w:t>très efficaces</w:t>
      </w:r>
      <w:r>
        <w:rPr>
          <w:rFonts w:ascii="Times New Roman" w:hAnsi="Times New Roman"/>
          <w:noProof/>
          <w:sz w:val="24"/>
          <w:lang w:val="fr-FR"/>
        </w:rPr>
        <w:t xml:space="preserve">. Leur valeur ajoutée européenne est incontestée. En outre, Erasmus+ est perçu comme étant </w:t>
      </w:r>
      <w:r>
        <w:rPr>
          <w:rFonts w:ascii="Times New Roman" w:hAnsi="Times New Roman"/>
          <w:b/>
          <w:noProof/>
          <w:sz w:val="24"/>
          <w:lang w:val="fr-FR"/>
        </w:rPr>
        <w:t>plus cohérent, plus pertinent</w:t>
      </w:r>
      <w:r>
        <w:rPr>
          <w:rFonts w:ascii="Times New Roman" w:hAnsi="Times New Roman"/>
          <w:noProof/>
          <w:sz w:val="24"/>
          <w:lang w:val="fr-FR"/>
        </w:rPr>
        <w:t xml:space="preserve"> et seulement en partie </w:t>
      </w:r>
      <w:r>
        <w:rPr>
          <w:rFonts w:ascii="Times New Roman" w:hAnsi="Times New Roman"/>
          <w:b/>
          <w:noProof/>
          <w:sz w:val="24"/>
          <w:lang w:val="fr-FR"/>
        </w:rPr>
        <w:t>moins efficace</w:t>
      </w:r>
      <w:r>
        <w:rPr>
          <w:rFonts w:ascii="Times New Roman" w:hAnsi="Times New Roman"/>
          <w:noProof/>
          <w:sz w:val="24"/>
          <w:lang w:val="fr-FR"/>
        </w:rPr>
        <w:t xml:space="preserve"> que ses prédécesseurs. En s’appuyant sur les suggestions figurant dans les rapports nationaux et en tenant compte des recommandations formulées par l’évaluateur externe, des propositions sont présentées pour adapter la mise en œuvre du programme actuel afin de contribuer à la pleine réalisation de son potentiel d’ici à 2020, et des suggestions d’amélioration sont proposées dans la perspective d’un programme ultérieur.</w:t>
      </w:r>
    </w:p>
    <w:p>
      <w:pPr>
        <w:keepNext/>
        <w:spacing w:before="480" w:after="240"/>
        <w:rPr>
          <w:rFonts w:ascii="Times New Roman" w:hAnsi="Times New Roman" w:cs="Times New Roman"/>
          <w:i/>
          <w:noProof/>
          <w:sz w:val="24"/>
          <w:szCs w:val="24"/>
          <w:u w:val="single"/>
          <w:lang w:val="fr-FR"/>
        </w:rPr>
      </w:pPr>
      <w:r>
        <w:rPr>
          <w:rFonts w:ascii="Times New Roman" w:hAnsi="Times New Roman"/>
          <w:i/>
          <w:noProof/>
          <w:sz w:val="24"/>
          <w:u w:val="single"/>
          <w:lang w:val="fr-FR"/>
        </w:rPr>
        <w:t>Efficacité</w:t>
      </w:r>
    </w:p>
    <w:p>
      <w:pPr>
        <w:jc w:val="both"/>
        <w:rPr>
          <w:rFonts w:ascii="Times New Roman" w:hAnsi="Times New Roman" w:cs="Times New Roman"/>
          <w:noProof/>
          <w:sz w:val="24"/>
          <w:szCs w:val="24"/>
          <w:lang w:val="fr-FR"/>
        </w:rPr>
      </w:pPr>
      <w:r>
        <w:rPr>
          <w:rFonts w:ascii="Times New Roman" w:hAnsi="Times New Roman"/>
          <w:noProof/>
          <w:sz w:val="24"/>
          <w:lang w:val="fr-FR"/>
        </w:rPr>
        <w:t>Il ressort de l’évaluation qu’</w:t>
      </w:r>
      <w:r>
        <w:rPr>
          <w:rFonts w:ascii="Times New Roman" w:hAnsi="Times New Roman"/>
          <w:b/>
          <w:noProof/>
          <w:sz w:val="24"/>
          <w:lang w:val="fr-FR"/>
        </w:rPr>
        <w:t>Erasmus+ est très appréciée</w:t>
      </w:r>
      <w:r>
        <w:rPr>
          <w:rFonts w:ascii="Times New Roman" w:hAnsi="Times New Roman"/>
          <w:noProof/>
          <w:sz w:val="24"/>
          <w:lang w:val="fr-FR"/>
        </w:rPr>
        <w:t xml:space="preserve"> par ses parties prenantes, ainsi que par le grand public, qui voit en ce programme la </w:t>
      </w:r>
      <w:r>
        <w:rPr>
          <w:rFonts w:ascii="Times New Roman" w:hAnsi="Times New Roman"/>
          <w:b/>
          <w:noProof/>
          <w:sz w:val="24"/>
          <w:lang w:val="fr-FR"/>
        </w:rPr>
        <w:t>troisième réalisation la plus positive de l’Union européenne</w:t>
      </w:r>
      <w:r>
        <w:rPr>
          <w:rFonts w:ascii="Times New Roman" w:hAnsi="Times New Roman"/>
          <w:noProof/>
          <w:sz w:val="24"/>
          <w:lang w:val="fr-FR"/>
        </w:rPr>
        <w:t>. Les bénéficiaires des programmes déclarent des taux de satisfaction supérieurs à 90 %.</w:t>
      </w:r>
    </w:p>
    <w:p>
      <w:pPr>
        <w:jc w:val="both"/>
        <w:rPr>
          <w:rFonts w:ascii="Times New Roman" w:hAnsi="Times New Roman" w:cs="Times New Roman"/>
          <w:noProof/>
          <w:sz w:val="24"/>
          <w:szCs w:val="24"/>
          <w:lang w:val="fr-FR"/>
        </w:rPr>
      </w:pPr>
      <w:r>
        <w:rPr>
          <w:rFonts w:ascii="Times New Roman" w:hAnsi="Times New Roman"/>
          <w:noProof/>
          <w:sz w:val="24"/>
          <w:lang w:val="fr-FR"/>
        </w:rPr>
        <w:t xml:space="preserve">En ce qui concerne les </w:t>
      </w:r>
      <w:r>
        <w:rPr>
          <w:rFonts w:ascii="Times New Roman" w:hAnsi="Times New Roman"/>
          <w:b/>
          <w:noProof/>
          <w:sz w:val="24"/>
          <w:lang w:val="fr-FR"/>
        </w:rPr>
        <w:t>apprenants</w:t>
      </w:r>
      <w:r>
        <w:rPr>
          <w:rFonts w:ascii="Times New Roman" w:hAnsi="Times New Roman"/>
          <w:noProof/>
          <w:sz w:val="24"/>
          <w:lang w:val="fr-FR"/>
        </w:rPr>
        <w:t xml:space="preserve"> (étudiants, apprentis, bénévoles, jeunes, etc.), les programmes évalués ont eu, et continuent d’avoir, un effet positif sur l’</w:t>
      </w:r>
      <w:r>
        <w:rPr>
          <w:rFonts w:ascii="Times New Roman" w:hAnsi="Times New Roman"/>
          <w:b/>
          <w:noProof/>
          <w:sz w:val="24"/>
          <w:lang w:val="fr-FR"/>
        </w:rPr>
        <w:t>acquisition d’aptitudes et de compétences</w:t>
      </w:r>
      <w:r>
        <w:rPr>
          <w:rFonts w:ascii="Times New Roman" w:hAnsi="Times New Roman"/>
          <w:noProof/>
          <w:sz w:val="24"/>
          <w:lang w:val="fr-FR"/>
        </w:rPr>
        <w:t>, permettant ainsi de renforcer l’</w:t>
      </w:r>
      <w:r>
        <w:rPr>
          <w:rFonts w:ascii="Times New Roman" w:hAnsi="Times New Roman"/>
          <w:b/>
          <w:noProof/>
          <w:sz w:val="24"/>
          <w:lang w:val="fr-FR"/>
        </w:rPr>
        <w:t>employabilité</w:t>
      </w:r>
      <w:r>
        <w:rPr>
          <w:rFonts w:ascii="Times New Roman" w:hAnsi="Times New Roman"/>
          <w:noProof/>
          <w:sz w:val="24"/>
          <w:lang w:val="fr-FR"/>
        </w:rPr>
        <w:t xml:space="preserve"> et l’esprit d’entreprise et de raccourcir la période de transition entre le système éducatif et le monde du travail (de 13 % par rapport aux personnes n’ayant pas participé à Erasmus+ ou aux programmes antérieurs). L’évaluation révèle que le programme Erasmus+ encourage la volonté de travailler ou d’étudier l’étranger (+ 31 %) et le développement des compétences en langues étrangères (gain de 7 % aux tests d’aptitude), qu’il influence la perception positive qu’a chacun de la valeur de l’apprentissage pour son </w:t>
      </w:r>
      <w:r>
        <w:rPr>
          <w:rFonts w:ascii="Times New Roman" w:hAnsi="Times New Roman"/>
          <w:b/>
          <w:noProof/>
          <w:sz w:val="24"/>
          <w:lang w:val="fr-FR"/>
        </w:rPr>
        <w:t>développement personnel</w:t>
      </w:r>
      <w:r>
        <w:rPr>
          <w:rFonts w:ascii="Times New Roman" w:hAnsi="Times New Roman"/>
          <w:noProof/>
          <w:sz w:val="24"/>
          <w:lang w:val="fr-FR"/>
        </w:rPr>
        <w:t xml:space="preserve"> et professionnel (+ 8 %), et qu’il améliore même les taux de réussite des étudiants (+ 2 %). </w:t>
      </w:r>
    </w:p>
    <w:p>
      <w:pPr>
        <w:jc w:val="both"/>
        <w:rPr>
          <w:rFonts w:ascii="Times New Roman" w:hAnsi="Times New Roman" w:cs="Times New Roman"/>
          <w:noProof/>
          <w:sz w:val="24"/>
          <w:szCs w:val="24"/>
          <w:lang w:val="fr-FR"/>
        </w:rPr>
      </w:pPr>
      <w:r>
        <w:rPr>
          <w:rFonts w:ascii="Times New Roman" w:hAnsi="Times New Roman"/>
          <w:noProof/>
          <w:sz w:val="24"/>
          <w:lang w:val="fr-FR"/>
        </w:rPr>
        <w:t xml:space="preserve">Sa </w:t>
      </w:r>
      <w:r>
        <w:rPr>
          <w:rFonts w:ascii="Times New Roman" w:hAnsi="Times New Roman"/>
          <w:b/>
          <w:noProof/>
          <w:sz w:val="24"/>
          <w:lang w:val="fr-FR"/>
        </w:rPr>
        <w:t>contribution à une plus grande cohésion de l’Union</w:t>
      </w:r>
      <w:r>
        <w:rPr>
          <w:rFonts w:ascii="Times New Roman" w:hAnsi="Times New Roman"/>
          <w:noProof/>
          <w:sz w:val="24"/>
          <w:lang w:val="fr-FR"/>
        </w:rPr>
        <w:t xml:space="preserve"> est également avérée. Le programme Erasmus+ favorise l’adoption d’un comportement social/civique positif et le </w:t>
      </w:r>
      <w:r>
        <w:rPr>
          <w:rFonts w:ascii="Times New Roman" w:hAnsi="Times New Roman"/>
          <w:b/>
          <w:noProof/>
          <w:sz w:val="24"/>
          <w:lang w:val="fr-FR"/>
        </w:rPr>
        <w:t>sentiment d’être européen</w:t>
      </w:r>
      <w:r>
        <w:rPr>
          <w:rFonts w:ascii="Times New Roman" w:hAnsi="Times New Roman"/>
          <w:noProof/>
          <w:sz w:val="24"/>
          <w:lang w:val="fr-FR"/>
        </w:rPr>
        <w:t xml:space="preserve"> (+ 19 % par rapport aux non participants). Il s’adresse aux jeunes défavorisés (11,5 % du nombre total des participants à Erasmus+) davantage que ses prédécesseurs ou que les programmes nationaux comparables. L’évaluation souligne toutefois la nécessité d’intensifier les efforts pour atteindre les personnes les plus vulnérables dans la société et pour faciliter la participation d’organisations de taille plus réduite.</w:t>
      </w:r>
    </w:p>
    <w:p>
      <w:pPr>
        <w:pStyle w:val="ListParagraph"/>
        <w:numPr>
          <w:ilvl w:val="0"/>
          <w:numId w:val="9"/>
        </w:numPr>
        <w:pBdr>
          <w:top w:val="single" w:sz="4" w:space="1" w:color="auto"/>
          <w:left w:val="single" w:sz="4" w:space="4" w:color="auto"/>
          <w:bottom w:val="single" w:sz="4" w:space="1" w:color="auto"/>
          <w:right w:val="single" w:sz="4" w:space="4" w:color="auto"/>
        </w:pBdr>
        <w:spacing w:line="256" w:lineRule="auto"/>
        <w:jc w:val="both"/>
        <w:rPr>
          <w:rFonts w:ascii="Times New Roman" w:hAnsi="Times New Roman" w:cs="Times New Roman"/>
          <w:noProof/>
          <w:sz w:val="24"/>
          <w:szCs w:val="24"/>
          <w:lang w:val="fr-FR"/>
        </w:rPr>
      </w:pPr>
      <w:r>
        <w:rPr>
          <w:rFonts w:ascii="Times New Roman" w:hAnsi="Times New Roman"/>
          <w:noProof/>
          <w:sz w:val="24"/>
          <w:lang w:val="fr-FR"/>
        </w:rPr>
        <w:t xml:space="preserve">En respectant l’architecture du programme actuel, en vigueur jusqu’en 2020, la Commission intensifiera ses efforts pour </w:t>
      </w:r>
      <w:r>
        <w:rPr>
          <w:rFonts w:ascii="Times New Roman" w:hAnsi="Times New Roman"/>
          <w:b/>
          <w:noProof/>
          <w:sz w:val="24"/>
          <w:lang w:val="fr-FR"/>
        </w:rPr>
        <w:t>rendre Erasmus+ plus accessible</w:t>
      </w:r>
      <w:r>
        <w:rPr>
          <w:rFonts w:ascii="Times New Roman" w:hAnsi="Times New Roman"/>
          <w:noProof/>
          <w:sz w:val="24"/>
          <w:lang w:val="fr-FR"/>
        </w:rPr>
        <w:t xml:space="preserve"> aux personnes issues de milieux défavorisés ou ayant des besoins spécifiques. Elle prendra des mesures pour </w:t>
      </w:r>
      <w:r>
        <w:rPr>
          <w:rFonts w:ascii="Times New Roman" w:hAnsi="Times New Roman"/>
          <w:b/>
          <w:noProof/>
          <w:sz w:val="24"/>
          <w:lang w:val="fr-FR"/>
        </w:rPr>
        <w:t>faciliter la participation d’écoles et d’autres petits acteurs</w:t>
      </w:r>
      <w:r>
        <w:rPr>
          <w:rFonts w:ascii="Times New Roman" w:hAnsi="Times New Roman"/>
          <w:noProof/>
          <w:sz w:val="24"/>
          <w:lang w:val="fr-FR"/>
        </w:rPr>
        <w:t xml:space="preserve"> au programme.</w:t>
      </w:r>
    </w:p>
    <w:p>
      <w:pPr>
        <w:pStyle w:val="ListParagraph"/>
        <w:numPr>
          <w:ilvl w:val="0"/>
          <w:numId w:val="9"/>
        </w:numPr>
        <w:pBdr>
          <w:top w:val="single" w:sz="4" w:space="1" w:color="auto"/>
          <w:left w:val="single" w:sz="4" w:space="4" w:color="auto"/>
          <w:bottom w:val="single" w:sz="4" w:space="1" w:color="auto"/>
          <w:right w:val="single" w:sz="4" w:space="4" w:color="auto"/>
        </w:pBdr>
        <w:spacing w:line="256" w:lineRule="auto"/>
        <w:jc w:val="both"/>
        <w:rPr>
          <w:rFonts w:ascii="Times New Roman" w:hAnsi="Times New Roman" w:cs="Times New Roman"/>
          <w:noProof/>
          <w:sz w:val="24"/>
          <w:szCs w:val="24"/>
          <w:lang w:val="fr-FR"/>
        </w:rPr>
      </w:pPr>
      <w:r>
        <w:rPr>
          <w:rFonts w:ascii="Times New Roman" w:hAnsi="Times New Roman"/>
          <w:noProof/>
          <w:sz w:val="24"/>
          <w:lang w:val="fr-FR"/>
        </w:rPr>
        <w:t xml:space="preserve">Après 2020, la Commission examinera comment continuer à </w:t>
      </w:r>
      <w:r>
        <w:rPr>
          <w:rFonts w:ascii="Times New Roman" w:hAnsi="Times New Roman"/>
          <w:b/>
          <w:noProof/>
          <w:sz w:val="24"/>
          <w:lang w:val="fr-FR"/>
        </w:rPr>
        <w:t>stimuler la dimension d’inclusion</w:t>
      </w:r>
      <w:r>
        <w:rPr>
          <w:rFonts w:ascii="Times New Roman" w:hAnsi="Times New Roman"/>
          <w:noProof/>
          <w:sz w:val="24"/>
          <w:lang w:val="fr-FR"/>
        </w:rPr>
        <w:t xml:space="preserve"> dans le cadre d’un éventuel programme futur, grâce à une meilleure intégration des groupes défavorisés et vulnérables dans les activités en faveur de l’éducation et de la formation, de la jeunesse et du sport.</w:t>
      </w:r>
    </w:p>
    <w:p>
      <w:pPr>
        <w:jc w:val="both"/>
        <w:rPr>
          <w:rFonts w:ascii="Times New Roman" w:hAnsi="Times New Roman" w:cs="Times New Roman"/>
          <w:noProof/>
          <w:sz w:val="24"/>
          <w:szCs w:val="24"/>
          <w:lang w:val="fr-FR"/>
        </w:rPr>
      </w:pPr>
      <w:r>
        <w:rPr>
          <w:rFonts w:ascii="Times New Roman" w:hAnsi="Times New Roman"/>
          <w:noProof/>
          <w:sz w:val="24"/>
          <w:lang w:val="fr-FR"/>
        </w:rPr>
        <w:t xml:space="preserve">Pour les </w:t>
      </w:r>
      <w:r>
        <w:rPr>
          <w:rFonts w:ascii="Times New Roman" w:hAnsi="Times New Roman"/>
          <w:b/>
          <w:noProof/>
          <w:sz w:val="24"/>
          <w:lang w:val="fr-FR"/>
        </w:rPr>
        <w:t>acteurs de terrain</w:t>
      </w:r>
      <w:r>
        <w:rPr>
          <w:rFonts w:ascii="Times New Roman" w:hAnsi="Times New Roman"/>
          <w:noProof/>
          <w:sz w:val="24"/>
          <w:lang w:val="fr-FR"/>
        </w:rPr>
        <w:t xml:space="preserve"> (enseignants, formateurs, animateurs socio-éducatifs, personnel, etc.), la participation est porteuse de développement professionnel, avec notamment une </w:t>
      </w:r>
      <w:r>
        <w:rPr>
          <w:rFonts w:ascii="Times New Roman" w:hAnsi="Times New Roman"/>
          <w:b/>
          <w:noProof/>
          <w:sz w:val="24"/>
          <w:lang w:val="fr-FR"/>
        </w:rPr>
        <w:t>extension des possibilités de réseautage</w:t>
      </w:r>
      <w:r>
        <w:rPr>
          <w:rFonts w:ascii="Times New Roman" w:hAnsi="Times New Roman"/>
          <w:noProof/>
          <w:sz w:val="24"/>
          <w:lang w:val="fr-FR"/>
        </w:rPr>
        <w:t xml:space="preserve"> (+ 22 points de pourcentage) et un recours accru aux </w:t>
      </w:r>
      <w:r>
        <w:rPr>
          <w:rFonts w:ascii="Times New Roman" w:hAnsi="Times New Roman"/>
          <w:b/>
          <w:noProof/>
          <w:sz w:val="24"/>
          <w:lang w:val="fr-FR"/>
        </w:rPr>
        <w:t>ressources numériques</w:t>
      </w:r>
      <w:r>
        <w:rPr>
          <w:rFonts w:ascii="Times New Roman" w:hAnsi="Times New Roman"/>
          <w:noProof/>
          <w:sz w:val="24"/>
          <w:lang w:val="fr-FR"/>
        </w:rPr>
        <w:t xml:space="preserve"> (+ 5 points), le tout assorti d’un sentiment accru d’attachement à l’Europe (+ 6 points).</w:t>
      </w:r>
    </w:p>
    <w:p>
      <w:pPr>
        <w:jc w:val="both"/>
        <w:rPr>
          <w:rFonts w:ascii="Times New Roman" w:hAnsi="Times New Roman" w:cs="Times New Roman"/>
          <w:noProof/>
          <w:sz w:val="24"/>
          <w:szCs w:val="24"/>
          <w:lang w:val="fr-FR"/>
        </w:rPr>
      </w:pPr>
      <w:r>
        <w:rPr>
          <w:rFonts w:ascii="Times New Roman" w:hAnsi="Times New Roman"/>
          <w:noProof/>
          <w:sz w:val="24"/>
          <w:lang w:val="fr-FR"/>
        </w:rPr>
        <w:t xml:space="preserve">En ce qui concerne les </w:t>
      </w:r>
      <w:r>
        <w:rPr>
          <w:rFonts w:ascii="Times New Roman" w:hAnsi="Times New Roman"/>
          <w:b/>
          <w:noProof/>
          <w:sz w:val="24"/>
          <w:lang w:val="fr-FR"/>
        </w:rPr>
        <w:t>organisations participantes</w:t>
      </w:r>
      <w:r>
        <w:rPr>
          <w:rFonts w:ascii="Times New Roman" w:hAnsi="Times New Roman"/>
          <w:noProof/>
          <w:sz w:val="24"/>
          <w:lang w:val="fr-FR"/>
        </w:rPr>
        <w:t xml:space="preserve"> (écoles, universités, prestataires d’enseignement et de formation professionnels et prestataires de services éducatifs pour adultes, organisations sportives et de jeunesse, etc.), les changements escomptés sont progressifs et d’intensité variable selon les secteurs du programme. Une participation suivie est nécessaire pour une transformation plus profonde. L’évaluation montre cependant que le programme a </w:t>
      </w:r>
      <w:r>
        <w:rPr>
          <w:rFonts w:ascii="Times New Roman" w:hAnsi="Times New Roman"/>
          <w:b/>
          <w:noProof/>
          <w:sz w:val="24"/>
          <w:lang w:val="fr-FR"/>
        </w:rPr>
        <w:t>clairement un effet d’«européanisation»</w:t>
      </w:r>
      <w:r>
        <w:rPr>
          <w:rStyle w:val="FootnoteReference"/>
          <w:noProof/>
        </w:rPr>
        <w:footnoteReference w:id="4"/>
      </w:r>
      <w:r>
        <w:rPr>
          <w:rFonts w:ascii="Times New Roman" w:hAnsi="Times New Roman"/>
          <w:noProof/>
          <w:sz w:val="24"/>
          <w:lang w:val="fr-FR"/>
        </w:rPr>
        <w:t>.</w:t>
      </w:r>
    </w:p>
    <w:p>
      <w:pPr>
        <w:jc w:val="both"/>
        <w:rPr>
          <w:rFonts w:ascii="Times New Roman" w:hAnsi="Times New Roman" w:cs="Times New Roman"/>
          <w:noProof/>
          <w:sz w:val="24"/>
          <w:szCs w:val="24"/>
          <w:lang w:val="fr-FR"/>
        </w:rPr>
      </w:pPr>
      <w:r>
        <w:rPr>
          <w:rFonts w:ascii="Times New Roman" w:hAnsi="Times New Roman"/>
          <w:noProof/>
          <w:sz w:val="24"/>
          <w:lang w:val="fr-FR"/>
        </w:rPr>
        <w:t xml:space="preserve">L’évaluation a également confirmé que, même si cela est moins visible, les </w:t>
      </w:r>
      <w:r>
        <w:rPr>
          <w:rFonts w:ascii="Times New Roman" w:hAnsi="Times New Roman"/>
          <w:b/>
          <w:noProof/>
          <w:sz w:val="24"/>
          <w:lang w:val="fr-FR"/>
        </w:rPr>
        <w:t>programmes examinés ont eu une incidence sur la conception et la mise en œuvre des politiques en matière d’éducation, de formation, de jeunesse et de sport</w:t>
      </w:r>
      <w:r>
        <w:rPr>
          <w:rStyle w:val="FootnoteReference"/>
          <w:noProof/>
        </w:rPr>
        <w:footnoteReference w:id="5"/>
      </w:r>
      <w:r>
        <w:rPr>
          <w:rFonts w:ascii="Times New Roman" w:hAnsi="Times New Roman"/>
          <w:noProof/>
          <w:sz w:val="24"/>
          <w:lang w:val="fr-FR"/>
        </w:rPr>
        <w:t xml:space="preserve">, en particulier dans l’enseignement supérieur, doté d’un budget suffisant à cet effet, ou ont eu un effet indirect en finançant la coopération politique entre autorités. Sur le long terme, les programmes ont instillé en Europe le sentiment que </w:t>
      </w:r>
      <w:r>
        <w:rPr>
          <w:rFonts w:ascii="Times New Roman" w:hAnsi="Times New Roman"/>
          <w:b/>
          <w:noProof/>
          <w:sz w:val="24"/>
          <w:lang w:val="fr-FR"/>
        </w:rPr>
        <w:t>la mobilité à des fins d’apprentissage est bénéfique à chacun</w:t>
      </w:r>
      <w:r>
        <w:rPr>
          <w:rFonts w:ascii="Times New Roman" w:hAnsi="Times New Roman"/>
          <w:noProof/>
          <w:sz w:val="24"/>
          <w:lang w:val="fr-FR"/>
        </w:rPr>
        <w:t xml:space="preserve"> et que </w:t>
      </w:r>
      <w:r>
        <w:rPr>
          <w:rFonts w:ascii="Times New Roman" w:hAnsi="Times New Roman"/>
          <w:b/>
          <w:noProof/>
          <w:sz w:val="24"/>
          <w:lang w:val="fr-FR"/>
        </w:rPr>
        <w:t>les acquis de l’apprentissage devraient être largement validés et reconnus</w:t>
      </w:r>
      <w:r>
        <w:rPr>
          <w:rFonts w:ascii="Times New Roman" w:hAnsi="Times New Roman"/>
          <w:noProof/>
          <w:sz w:val="24"/>
          <w:lang w:val="fr-FR"/>
        </w:rPr>
        <w:t xml:space="preserve">. Les programmes évalués ont aussi révélé leur </w:t>
      </w:r>
      <w:r>
        <w:rPr>
          <w:rFonts w:ascii="Times New Roman" w:hAnsi="Times New Roman"/>
          <w:b/>
          <w:noProof/>
          <w:sz w:val="24"/>
          <w:lang w:val="fr-FR"/>
        </w:rPr>
        <w:t>importance pour le rayonnement mondial de l’UE</w:t>
      </w:r>
      <w:r>
        <w:rPr>
          <w:rFonts w:ascii="Times New Roman" w:hAnsi="Times New Roman"/>
          <w:noProof/>
          <w:sz w:val="24"/>
          <w:lang w:val="fr-FR"/>
        </w:rPr>
        <w:t>, notamment en facilitant la reconnaissance des qualifications entre l’Europe et les pays partenaires.</w:t>
      </w:r>
    </w:p>
    <w:p>
      <w:pPr>
        <w:jc w:val="both"/>
        <w:rPr>
          <w:rFonts w:ascii="Times New Roman" w:hAnsi="Times New Roman" w:cs="Times New Roman"/>
          <w:noProof/>
          <w:sz w:val="24"/>
          <w:szCs w:val="24"/>
          <w:lang w:val="fr-FR"/>
        </w:rPr>
      </w:pPr>
      <w:r>
        <w:rPr>
          <w:rFonts w:ascii="Times New Roman" w:hAnsi="Times New Roman"/>
          <w:noProof/>
          <w:sz w:val="24"/>
          <w:lang w:val="fr-FR"/>
        </w:rPr>
        <w:t xml:space="preserve">Les effets systémiques s’accompagnent de </w:t>
      </w:r>
      <w:r>
        <w:rPr>
          <w:rFonts w:ascii="Times New Roman" w:hAnsi="Times New Roman"/>
          <w:b/>
          <w:noProof/>
          <w:sz w:val="24"/>
          <w:lang w:val="fr-FR"/>
        </w:rPr>
        <w:t>progrès dans la diffusion</w:t>
      </w:r>
      <w:r>
        <w:rPr>
          <w:rFonts w:ascii="Times New Roman" w:hAnsi="Times New Roman"/>
          <w:noProof/>
          <w:sz w:val="24"/>
          <w:lang w:val="fr-FR"/>
        </w:rPr>
        <w:t xml:space="preserve"> des résultats des projets financés grâce à une plateforme spécialisée unique</w:t>
      </w:r>
      <w:r>
        <w:rPr>
          <w:rStyle w:val="FootnoteReference"/>
          <w:rFonts w:ascii="Times New Roman" w:hAnsi="Times New Roman"/>
          <w:noProof/>
          <w:sz w:val="24"/>
        </w:rPr>
        <w:footnoteReference w:id="6"/>
      </w:r>
      <w:r>
        <w:rPr>
          <w:rFonts w:ascii="Times New Roman" w:hAnsi="Times New Roman"/>
          <w:noProof/>
          <w:sz w:val="24"/>
          <w:lang w:val="fr-FR"/>
        </w:rPr>
        <w:t xml:space="preserve">. Toutefois, </w:t>
      </w:r>
      <w:r>
        <w:rPr>
          <w:rFonts w:ascii="Times New Roman" w:hAnsi="Times New Roman"/>
          <w:b/>
          <w:noProof/>
          <w:sz w:val="24"/>
          <w:lang w:val="fr-FR"/>
        </w:rPr>
        <w:t>il n’est pas toujours clairement établi que les résultats des projets sont utilisés par les décideurs politiques</w:t>
      </w:r>
      <w:r>
        <w:rPr>
          <w:rFonts w:ascii="Times New Roman" w:hAnsi="Times New Roman"/>
          <w:noProof/>
          <w:sz w:val="24"/>
          <w:lang w:val="fr-FR"/>
        </w:rPr>
        <w:t>, en particulier lorsque ceux-ci ne sont pas associés au projet dès le début.</w:t>
      </w:r>
    </w:p>
    <w:p>
      <w:pPr>
        <w:pStyle w:val="ListParagraph"/>
        <w:numPr>
          <w:ilvl w:val="0"/>
          <w:numId w:val="10"/>
        </w:numPr>
        <w:pBdr>
          <w:top w:val="single" w:sz="4" w:space="1" w:color="auto"/>
          <w:left w:val="single" w:sz="4" w:space="4" w:color="auto"/>
          <w:bottom w:val="single" w:sz="4" w:space="1" w:color="auto"/>
          <w:right w:val="single" w:sz="4" w:space="4" w:color="auto"/>
        </w:pBdr>
        <w:spacing w:line="256" w:lineRule="auto"/>
        <w:jc w:val="both"/>
        <w:rPr>
          <w:rFonts w:ascii="Times New Roman" w:hAnsi="Times New Roman" w:cs="Times New Roman"/>
          <w:noProof/>
          <w:sz w:val="24"/>
          <w:szCs w:val="24"/>
          <w:lang w:val="fr-FR"/>
        </w:rPr>
      </w:pPr>
      <w:r>
        <w:rPr>
          <w:rFonts w:ascii="Times New Roman" w:hAnsi="Times New Roman"/>
          <w:b/>
          <w:noProof/>
          <w:sz w:val="24"/>
          <w:lang w:val="fr-FR"/>
        </w:rPr>
        <w:t>Pour augmenter les effets sur la prise de décision</w:t>
      </w:r>
      <w:r>
        <w:rPr>
          <w:rFonts w:ascii="Times New Roman" w:hAnsi="Times New Roman"/>
          <w:noProof/>
          <w:sz w:val="24"/>
          <w:lang w:val="fr-FR"/>
        </w:rPr>
        <w:t>, la Commission étudiera d’autres moyens de stimuler les effets systémiques et de faire en sorte que les résultats positifs des projets soient pris en compte au niveau national de manière plus efficace.</w:t>
      </w:r>
    </w:p>
    <w:p>
      <w:pPr>
        <w:pStyle w:val="ListParagraph"/>
        <w:numPr>
          <w:ilvl w:val="0"/>
          <w:numId w:val="10"/>
        </w:numPr>
        <w:pBdr>
          <w:top w:val="single" w:sz="4" w:space="1" w:color="auto"/>
          <w:left w:val="single" w:sz="4" w:space="4" w:color="auto"/>
          <w:bottom w:val="single" w:sz="4" w:space="1" w:color="auto"/>
          <w:right w:val="single" w:sz="4" w:space="4" w:color="auto"/>
        </w:pBdr>
        <w:spacing w:line="256" w:lineRule="auto"/>
        <w:jc w:val="both"/>
        <w:rPr>
          <w:rFonts w:ascii="Times New Roman" w:hAnsi="Times New Roman" w:cs="Times New Roman"/>
          <w:noProof/>
          <w:sz w:val="24"/>
          <w:szCs w:val="24"/>
          <w:lang w:val="fr-FR"/>
        </w:rPr>
      </w:pPr>
      <w:r>
        <w:rPr>
          <w:rFonts w:ascii="Times New Roman" w:hAnsi="Times New Roman"/>
          <w:noProof/>
          <w:sz w:val="24"/>
          <w:lang w:val="fr-FR"/>
        </w:rPr>
        <w:t xml:space="preserve">Lors de l’élaboration de programmes futurs, elle examinera les possibilités de développer et de financer </w:t>
      </w:r>
      <w:r>
        <w:rPr>
          <w:rFonts w:ascii="Times New Roman" w:hAnsi="Times New Roman"/>
          <w:b/>
          <w:noProof/>
          <w:sz w:val="24"/>
          <w:lang w:val="fr-FR"/>
        </w:rPr>
        <w:t>à plus grande échelle</w:t>
      </w:r>
      <w:r>
        <w:rPr>
          <w:rFonts w:ascii="Times New Roman" w:hAnsi="Times New Roman"/>
          <w:noProof/>
          <w:sz w:val="24"/>
          <w:lang w:val="fr-FR"/>
        </w:rPr>
        <w:t xml:space="preserve"> (notamment grâce à l’appui des Fonds structurels et d’investissement européens) les projets Erasmus+ couronnés de succès qui ont le potentiel d’entraîner des réformes structurelles au niveau national.</w:t>
      </w:r>
    </w:p>
    <w:p>
      <w:pPr>
        <w:jc w:val="both"/>
        <w:rPr>
          <w:rFonts w:ascii="Times New Roman" w:hAnsi="Times New Roman" w:cs="Times New Roman"/>
          <w:noProof/>
          <w:sz w:val="24"/>
          <w:szCs w:val="24"/>
          <w:lang w:val="fr-FR"/>
        </w:rPr>
      </w:pPr>
      <w:r>
        <w:rPr>
          <w:rFonts w:ascii="Times New Roman" w:hAnsi="Times New Roman"/>
          <w:noProof/>
          <w:sz w:val="24"/>
          <w:lang w:val="fr-FR"/>
        </w:rPr>
        <w:t xml:space="preserve">Globalement, l’évaluation a révélé qu’à mi-parcours, le programme Erasmus+ avait </w:t>
      </w:r>
      <w:r>
        <w:rPr>
          <w:rFonts w:ascii="Times New Roman" w:hAnsi="Times New Roman"/>
          <w:b/>
          <w:noProof/>
          <w:sz w:val="24"/>
          <w:lang w:val="fr-FR"/>
        </w:rPr>
        <w:t>atteint ou dépassé la plupart des indicateurs</w:t>
      </w:r>
      <w:r>
        <w:rPr>
          <w:rFonts w:ascii="Times New Roman" w:hAnsi="Times New Roman"/>
          <w:noProof/>
          <w:sz w:val="24"/>
          <w:lang w:val="fr-FR"/>
        </w:rPr>
        <w:t xml:space="preserve"> fixés dans la base légale le concernant. La demande dépasse largement les financements disponibles. Pour l’avenir, sans préjudice du prochain cadre financier pluriannuel, l’évaluation a confirmé la </w:t>
      </w:r>
      <w:r>
        <w:rPr>
          <w:rFonts w:ascii="Times New Roman" w:hAnsi="Times New Roman"/>
          <w:b/>
          <w:noProof/>
          <w:sz w:val="24"/>
          <w:lang w:val="fr-FR"/>
        </w:rPr>
        <w:t>capacité du programme à absorber une hausse globale du budget</w:t>
      </w:r>
      <w:r>
        <w:rPr>
          <w:rFonts w:ascii="Times New Roman" w:hAnsi="Times New Roman"/>
          <w:noProof/>
          <w:sz w:val="24"/>
          <w:lang w:val="fr-FR"/>
        </w:rPr>
        <w:t>.</w:t>
      </w:r>
      <w:r>
        <w:rPr>
          <w:rFonts w:ascii="Times New Roman" w:hAnsi="Times New Roman"/>
          <w:b/>
          <w:noProof/>
          <w:sz w:val="24"/>
          <w:lang w:val="fr-FR"/>
        </w:rPr>
        <w:t xml:space="preserve"> </w:t>
      </w:r>
      <w:r>
        <w:rPr>
          <w:rFonts w:ascii="Times New Roman" w:hAnsi="Times New Roman"/>
          <w:noProof/>
          <w:sz w:val="24"/>
          <w:lang w:val="fr-FR"/>
        </w:rPr>
        <w:t xml:space="preserve">Il est suggéré que, si une telle hausse avait lieu, la </w:t>
      </w:r>
      <w:r>
        <w:rPr>
          <w:rFonts w:ascii="Times New Roman" w:hAnsi="Times New Roman"/>
          <w:b/>
          <w:noProof/>
          <w:sz w:val="24"/>
          <w:lang w:val="fr-FR"/>
        </w:rPr>
        <w:t>ventilation des ressources entre les secteurs du programme pourrait être modifiée</w:t>
      </w:r>
      <w:r>
        <w:rPr>
          <w:rFonts w:ascii="Times New Roman" w:hAnsi="Times New Roman"/>
          <w:noProof/>
          <w:sz w:val="24"/>
          <w:lang w:val="fr-FR"/>
        </w:rPr>
        <w:t xml:space="preserve"> afin de renforcer les secteurs pour lesquels une hausse du budget permettrait les gains les plus significatifs en termes d’incidence. </w:t>
      </w:r>
      <w:r>
        <w:rPr>
          <w:rFonts w:ascii="Times New Roman" w:hAnsi="Times New Roman"/>
          <w:b/>
          <w:noProof/>
          <w:sz w:val="24"/>
          <w:lang w:val="fr-FR"/>
        </w:rPr>
        <w:t>Les domaines de l’éducation scolaire, de l’enseignement et de la formation professionnels</w:t>
      </w:r>
      <w:r>
        <w:rPr>
          <w:rFonts w:ascii="Times New Roman" w:hAnsi="Times New Roman"/>
          <w:noProof/>
          <w:sz w:val="24"/>
          <w:lang w:val="fr-FR"/>
        </w:rPr>
        <w:t xml:space="preserve"> (EFP) et des activités pour les jeunes, dans lesquels les effets du programme ont été prouvés même s’ils sont moindres que dans l’enseignement supérieur du fait de dotations budgétaires inférieures, ont été recensés comme </w:t>
      </w:r>
      <w:r>
        <w:rPr>
          <w:rFonts w:ascii="Times New Roman" w:hAnsi="Times New Roman"/>
          <w:b/>
          <w:noProof/>
          <w:sz w:val="24"/>
          <w:lang w:val="fr-FR"/>
        </w:rPr>
        <w:t>présentant un fort potentiel</w:t>
      </w:r>
      <w:r>
        <w:rPr>
          <w:rFonts w:ascii="Times New Roman" w:hAnsi="Times New Roman"/>
          <w:noProof/>
          <w:sz w:val="24"/>
          <w:lang w:val="fr-FR"/>
        </w:rPr>
        <w:t xml:space="preserve"> pour une participation élargie aux activités Erasmus+ dans les années à avenir.</w:t>
      </w:r>
    </w:p>
    <w:p>
      <w:pPr>
        <w:pStyle w:val="ListParagraph"/>
        <w:numPr>
          <w:ilvl w:val="0"/>
          <w:numId w:val="11"/>
        </w:numPr>
        <w:pBdr>
          <w:top w:val="single" w:sz="4" w:space="1" w:color="auto"/>
          <w:left w:val="single" w:sz="4" w:space="4" w:color="auto"/>
          <w:bottom w:val="single" w:sz="4" w:space="1" w:color="auto"/>
          <w:right w:val="single" w:sz="4" w:space="4" w:color="auto"/>
        </w:pBdr>
        <w:spacing w:line="256" w:lineRule="auto"/>
        <w:jc w:val="both"/>
        <w:rPr>
          <w:rFonts w:ascii="Times New Roman" w:hAnsi="Times New Roman" w:cs="Times New Roman"/>
          <w:noProof/>
          <w:sz w:val="24"/>
          <w:szCs w:val="24"/>
          <w:lang w:val="fr-FR"/>
        </w:rPr>
      </w:pPr>
      <w:r>
        <w:rPr>
          <w:rFonts w:ascii="Times New Roman" w:hAnsi="Times New Roman"/>
          <w:noProof/>
          <w:sz w:val="24"/>
          <w:lang w:val="fr-FR"/>
        </w:rPr>
        <w:t xml:space="preserve">Dès 2018, de nouvelles actions et activités seront lancées dans le cadre d’Erasmus+ afin d’offrir </w:t>
      </w:r>
      <w:r>
        <w:rPr>
          <w:rFonts w:ascii="Times New Roman" w:hAnsi="Times New Roman"/>
          <w:b/>
          <w:noProof/>
          <w:sz w:val="24"/>
          <w:lang w:val="fr-FR"/>
        </w:rPr>
        <w:t>davantage de possibilités de mobilité</w:t>
      </w:r>
      <w:r>
        <w:rPr>
          <w:rFonts w:ascii="Times New Roman" w:hAnsi="Times New Roman"/>
          <w:noProof/>
          <w:sz w:val="24"/>
          <w:lang w:val="fr-FR"/>
        </w:rPr>
        <w:t xml:space="preserve"> aux élèves, aux apprenants de l’EFP et aux apprentis.</w:t>
      </w:r>
    </w:p>
    <w:p>
      <w:pPr>
        <w:pStyle w:val="ListParagraph"/>
        <w:numPr>
          <w:ilvl w:val="0"/>
          <w:numId w:val="11"/>
        </w:numPr>
        <w:pBdr>
          <w:top w:val="single" w:sz="4" w:space="1" w:color="auto"/>
          <w:left w:val="single" w:sz="4" w:space="4" w:color="auto"/>
          <w:bottom w:val="single" w:sz="4" w:space="1" w:color="auto"/>
          <w:right w:val="single" w:sz="4" w:space="4" w:color="auto"/>
        </w:pBdr>
        <w:spacing w:line="256" w:lineRule="auto"/>
        <w:jc w:val="both"/>
        <w:rPr>
          <w:rFonts w:ascii="Times New Roman" w:hAnsi="Times New Roman" w:cs="Times New Roman"/>
          <w:b/>
          <w:noProof/>
          <w:sz w:val="24"/>
          <w:szCs w:val="24"/>
          <w:lang w:val="fr-FR"/>
        </w:rPr>
      </w:pPr>
      <w:r>
        <w:rPr>
          <w:rFonts w:ascii="Times New Roman" w:hAnsi="Times New Roman"/>
          <w:noProof/>
          <w:sz w:val="24"/>
          <w:lang w:val="fr-FR"/>
        </w:rPr>
        <w:t>Dans sa communication intitulée</w:t>
      </w:r>
      <w:r>
        <w:rPr>
          <w:rFonts w:ascii="Times New Roman" w:hAnsi="Times New Roman"/>
          <w:b/>
          <w:noProof/>
          <w:sz w:val="24"/>
          <w:lang w:val="fr-FR"/>
        </w:rPr>
        <w:t xml:space="preserve"> </w:t>
      </w:r>
      <w:r>
        <w:rPr>
          <w:rFonts w:ascii="Times New Roman" w:hAnsi="Times New Roman"/>
          <w:b/>
          <w:i/>
          <w:noProof/>
          <w:sz w:val="24"/>
          <w:lang w:val="fr-FR"/>
        </w:rPr>
        <w:t>Renforcer l’identité européenne par l’éducation et la culture</w:t>
      </w:r>
      <w:r>
        <w:rPr>
          <w:rStyle w:val="FootnoteReference"/>
          <w:rFonts w:ascii="Times New Roman" w:hAnsi="Times New Roman"/>
          <w:noProof/>
          <w:sz w:val="24"/>
        </w:rPr>
        <w:footnoteReference w:id="7"/>
      </w:r>
      <w:r>
        <w:rPr>
          <w:rFonts w:ascii="Times New Roman" w:hAnsi="Times New Roman"/>
          <w:noProof/>
          <w:sz w:val="24"/>
          <w:lang w:val="fr-FR"/>
        </w:rPr>
        <w:t xml:space="preserve">, la Commission expose une vision pour renforcer le futur programme Erasmus+ en ce qui concerne toutes les catégories d’apprenants (élèves, étudiants, stagiaires et apprentis confondus) et d’enseignants, l’objectif étant de </w:t>
      </w:r>
      <w:r>
        <w:rPr>
          <w:rFonts w:ascii="Times New Roman" w:hAnsi="Times New Roman"/>
          <w:b/>
          <w:noProof/>
          <w:sz w:val="24"/>
          <w:lang w:val="fr-FR"/>
        </w:rPr>
        <w:t>doubler le nombre de participants</w:t>
      </w:r>
      <w:r>
        <w:rPr>
          <w:rFonts w:ascii="Times New Roman" w:hAnsi="Times New Roman"/>
          <w:noProof/>
          <w:sz w:val="24"/>
          <w:lang w:val="fr-FR"/>
        </w:rPr>
        <w:t xml:space="preserve"> et de toucher les apprenants issus de milieux défavorisés d’ici à 2025</w:t>
      </w:r>
      <w:r>
        <w:rPr>
          <w:rStyle w:val="FootnoteReference"/>
          <w:noProof/>
        </w:rPr>
        <w:footnoteReference w:id="8"/>
      </w:r>
      <w:r>
        <w:rPr>
          <w:rFonts w:ascii="Times New Roman" w:hAnsi="Times New Roman"/>
          <w:noProof/>
          <w:sz w:val="24"/>
          <w:lang w:val="fr-FR"/>
        </w:rPr>
        <w:t>.</w:t>
      </w:r>
    </w:p>
    <w:p>
      <w:pPr>
        <w:jc w:val="both"/>
        <w:rPr>
          <w:noProof/>
          <w:sz w:val="23"/>
          <w:szCs w:val="23"/>
          <w:lang w:val="fr-FR"/>
        </w:rPr>
      </w:pPr>
      <w:r>
        <w:rPr>
          <w:rFonts w:ascii="Times New Roman" w:hAnsi="Times New Roman"/>
          <w:noProof/>
          <w:sz w:val="24"/>
          <w:lang w:val="fr-FR"/>
        </w:rPr>
        <w:t xml:space="preserve">Le </w:t>
      </w:r>
      <w:r>
        <w:rPr>
          <w:rFonts w:ascii="Times New Roman" w:hAnsi="Times New Roman"/>
          <w:b/>
          <w:noProof/>
          <w:sz w:val="24"/>
          <w:lang w:val="fr-FR"/>
        </w:rPr>
        <w:t>mécanisme de garantie des prêts pour les étudiants en master</w:t>
      </w:r>
      <w:r>
        <w:rPr>
          <w:rFonts w:ascii="Times New Roman" w:hAnsi="Times New Roman"/>
          <w:noProof/>
          <w:sz w:val="24"/>
          <w:lang w:val="fr-FR"/>
        </w:rPr>
        <w:t xml:space="preserve"> vient seulement d’être mis en place.</w:t>
      </w:r>
      <w:r>
        <w:rPr>
          <w:rFonts w:ascii="Times New Roman" w:hAnsi="Times New Roman"/>
          <w:b/>
          <w:noProof/>
          <w:sz w:val="24"/>
          <w:lang w:val="fr-FR"/>
        </w:rPr>
        <w:t xml:space="preserve"> </w:t>
      </w:r>
      <w:r>
        <w:rPr>
          <w:rFonts w:ascii="Times New Roman" w:hAnsi="Times New Roman"/>
          <w:noProof/>
          <w:sz w:val="24"/>
          <w:lang w:val="fr-FR"/>
        </w:rPr>
        <w:t xml:space="preserve">Les retours des premiers bénéficiaires sont positifs. Pour l’instant, le mécanisme n’est cependant </w:t>
      </w:r>
      <w:r>
        <w:rPr>
          <w:rFonts w:ascii="Times New Roman" w:hAnsi="Times New Roman"/>
          <w:b/>
          <w:noProof/>
          <w:sz w:val="24"/>
          <w:lang w:val="fr-FR"/>
        </w:rPr>
        <w:t>pas à la hauteur des attentes en termes de volume</w:t>
      </w:r>
      <w:r>
        <w:rPr>
          <w:rFonts w:ascii="Times New Roman" w:hAnsi="Times New Roman"/>
          <w:noProof/>
          <w:sz w:val="24"/>
          <w:lang w:val="fr-FR"/>
        </w:rPr>
        <w:t>, en raison de retards dans son lancement, d’une sous-utilisation par les établissements financiers et d’une méconnaissance de son existence par les étudiants.</w:t>
      </w:r>
    </w:p>
    <w:p>
      <w:pPr>
        <w:pStyle w:val="ListParagraph"/>
        <w:numPr>
          <w:ilvl w:val="0"/>
          <w:numId w:val="12"/>
        </w:numPr>
        <w:pBdr>
          <w:top w:val="single" w:sz="4" w:space="1" w:color="auto"/>
          <w:left w:val="single" w:sz="4" w:space="4" w:color="auto"/>
          <w:bottom w:val="single" w:sz="4" w:space="1" w:color="auto"/>
          <w:right w:val="single" w:sz="4" w:space="4" w:color="auto"/>
        </w:pBdr>
        <w:spacing w:line="256" w:lineRule="auto"/>
        <w:jc w:val="both"/>
        <w:rPr>
          <w:rFonts w:ascii="Times New Roman" w:hAnsi="Times New Roman" w:cs="Times New Roman"/>
          <w:noProof/>
          <w:sz w:val="24"/>
          <w:szCs w:val="24"/>
          <w:lang w:val="fr-FR"/>
        </w:rPr>
      </w:pPr>
      <w:r>
        <w:rPr>
          <w:rFonts w:ascii="Times New Roman" w:hAnsi="Times New Roman"/>
          <w:noProof/>
          <w:sz w:val="24"/>
          <w:lang w:val="fr-FR"/>
        </w:rPr>
        <w:t xml:space="preserve">D’ici à 2020, la Commission a l’intention de </w:t>
      </w:r>
      <w:r>
        <w:rPr>
          <w:rFonts w:ascii="Times New Roman" w:hAnsi="Times New Roman"/>
          <w:b/>
          <w:noProof/>
          <w:sz w:val="24"/>
          <w:lang w:val="fr-FR"/>
        </w:rPr>
        <w:t>réduire les dotations budgétaires annuelles du mécanisme de garantie des prêts pour les étudiants en master</w:t>
      </w:r>
      <w:r>
        <w:rPr>
          <w:rFonts w:ascii="Times New Roman" w:hAnsi="Times New Roman"/>
          <w:noProof/>
          <w:sz w:val="24"/>
          <w:lang w:val="fr-FR"/>
        </w:rPr>
        <w:t xml:space="preserve"> sans modifier la dotation globale allouée à d’autres activités de l’enseignement supérieur.</w:t>
      </w:r>
    </w:p>
    <w:p>
      <w:pPr>
        <w:spacing w:before="480" w:after="240"/>
        <w:jc w:val="both"/>
        <w:outlineLvl w:val="0"/>
        <w:rPr>
          <w:rFonts w:ascii="Times New Roman" w:hAnsi="Times New Roman" w:cs="Times New Roman"/>
          <w:i/>
          <w:noProof/>
          <w:sz w:val="24"/>
          <w:szCs w:val="24"/>
          <w:u w:val="single"/>
          <w:lang w:val="fr-FR"/>
        </w:rPr>
      </w:pPr>
      <w:r>
        <w:rPr>
          <w:rFonts w:ascii="Times New Roman" w:hAnsi="Times New Roman"/>
          <w:i/>
          <w:noProof/>
          <w:sz w:val="24"/>
          <w:u w:val="single"/>
          <w:lang w:val="fr-FR"/>
        </w:rPr>
        <w:t>Valeur ajoutée de l’UE et pertinence</w:t>
      </w:r>
    </w:p>
    <w:p>
      <w:pPr>
        <w:jc w:val="both"/>
        <w:rPr>
          <w:rFonts w:ascii="Times New Roman" w:hAnsi="Times New Roman" w:cs="Times New Roman"/>
          <w:noProof/>
          <w:sz w:val="24"/>
          <w:szCs w:val="24"/>
          <w:lang w:val="fr-FR"/>
        </w:rPr>
      </w:pPr>
      <w:r>
        <w:rPr>
          <w:rFonts w:ascii="Times New Roman" w:hAnsi="Times New Roman"/>
          <w:noProof/>
          <w:sz w:val="24"/>
          <w:lang w:val="fr-FR"/>
        </w:rPr>
        <w:t xml:space="preserve">À la lumière des résultats obtenus, l’évaluation souligne la </w:t>
      </w:r>
      <w:r>
        <w:rPr>
          <w:rFonts w:ascii="Times New Roman" w:hAnsi="Times New Roman"/>
          <w:b/>
          <w:noProof/>
          <w:sz w:val="24"/>
          <w:lang w:val="fr-FR"/>
        </w:rPr>
        <w:t>valeur ajoutée européenne indéniable</w:t>
      </w:r>
      <w:r>
        <w:rPr>
          <w:rFonts w:ascii="Times New Roman" w:hAnsi="Times New Roman"/>
          <w:noProof/>
          <w:sz w:val="24"/>
          <w:lang w:val="fr-FR"/>
        </w:rPr>
        <w:t xml:space="preserve"> des programmes évalués</w:t>
      </w:r>
      <w:r>
        <w:rPr>
          <w:rStyle w:val="FootnoteReference"/>
          <w:noProof/>
        </w:rPr>
        <w:footnoteReference w:id="9"/>
      </w:r>
      <w:r>
        <w:rPr>
          <w:rFonts w:ascii="Times New Roman" w:hAnsi="Times New Roman"/>
          <w:noProof/>
          <w:sz w:val="24"/>
          <w:lang w:val="fr-FR"/>
        </w:rPr>
        <w:t>. Celle-ci résulte du volume important et de la portée étendue des activités financées, ainsi que de l’accès plus équitable à la mobilité à des fins d’apprentissage, de la généralisation des bonnes pratiques, de l’approfondissement de l’intégration européenne et de la dimension internationale évidente. Les autres programmes finançant des actions comparables au niveau national restent de volume et de portée considérablement inférieurs. Il est très peu probable qu’ils puissent se substituer au financement au titre d’Erasmus+.</w:t>
      </w:r>
    </w:p>
    <w:p>
      <w:pPr>
        <w:jc w:val="both"/>
        <w:rPr>
          <w:rFonts w:ascii="Times New Roman" w:hAnsi="Times New Roman" w:cs="Times New Roman"/>
          <w:noProof/>
          <w:sz w:val="24"/>
          <w:szCs w:val="24"/>
          <w:lang w:val="fr-FR"/>
        </w:rPr>
      </w:pPr>
      <w:r>
        <w:rPr>
          <w:rFonts w:ascii="Times New Roman" w:hAnsi="Times New Roman"/>
          <w:noProof/>
          <w:sz w:val="24"/>
          <w:lang w:val="fr-FR"/>
        </w:rPr>
        <w:t xml:space="preserve">L’évaluation a révélé qu’Erasmus+ était </w:t>
      </w:r>
      <w:r>
        <w:rPr>
          <w:rFonts w:ascii="Times New Roman" w:hAnsi="Times New Roman"/>
          <w:b/>
          <w:noProof/>
          <w:sz w:val="24"/>
          <w:lang w:val="fr-FR"/>
        </w:rPr>
        <w:t>en meilleure adéquation avec les politiques de l’UE</w:t>
      </w:r>
      <w:r>
        <w:rPr>
          <w:rFonts w:ascii="Times New Roman" w:hAnsi="Times New Roman"/>
          <w:noProof/>
          <w:sz w:val="24"/>
          <w:lang w:val="fr-FR"/>
        </w:rPr>
        <w:t xml:space="preserve"> que ses prédécesseurs et était suffisamment flexible pour s’adapter aux besoins émergents à l’échelle de l’UE tels que la nécessité d’accroître l’inclusion sociale ou de prévenir la radicalisation violente</w:t>
      </w:r>
      <w:r>
        <w:rPr>
          <w:rStyle w:val="FootnoteReference"/>
          <w:noProof/>
        </w:rPr>
        <w:footnoteReference w:id="10"/>
      </w:r>
      <w:r>
        <w:rPr>
          <w:rFonts w:ascii="Times New Roman" w:hAnsi="Times New Roman"/>
          <w:noProof/>
          <w:sz w:val="24"/>
          <w:lang w:val="fr-FR"/>
        </w:rPr>
        <w:t xml:space="preserve">. Afin de maximiser les effets du programme, l’évaluation recommande que </w:t>
      </w:r>
      <w:r>
        <w:rPr>
          <w:rFonts w:ascii="Times New Roman" w:hAnsi="Times New Roman"/>
          <w:b/>
          <w:noProof/>
          <w:sz w:val="24"/>
          <w:lang w:val="fr-FR"/>
        </w:rPr>
        <w:t>les priorités soient moins nombreuses et mieux ciblées</w:t>
      </w:r>
      <w:r>
        <w:rPr>
          <w:rFonts w:ascii="Times New Roman" w:hAnsi="Times New Roman"/>
          <w:noProof/>
          <w:sz w:val="24"/>
          <w:lang w:val="fr-FR"/>
        </w:rPr>
        <w:t>.</w:t>
      </w:r>
    </w:p>
    <w:p>
      <w:pPr>
        <w:pStyle w:val="ListParagraph"/>
        <w:numPr>
          <w:ilvl w:val="0"/>
          <w:numId w:val="12"/>
        </w:numPr>
        <w:pBdr>
          <w:top w:val="single" w:sz="4" w:space="1" w:color="auto"/>
          <w:left w:val="single" w:sz="4" w:space="4" w:color="auto"/>
          <w:bottom w:val="single" w:sz="4" w:space="1" w:color="auto"/>
          <w:right w:val="single" w:sz="4" w:space="4" w:color="auto"/>
        </w:pBdr>
        <w:spacing w:line="256" w:lineRule="auto"/>
        <w:jc w:val="both"/>
        <w:rPr>
          <w:rFonts w:ascii="Times New Roman" w:hAnsi="Times New Roman" w:cs="Times New Roman"/>
          <w:noProof/>
          <w:sz w:val="24"/>
          <w:szCs w:val="24"/>
          <w:lang w:val="fr-FR"/>
        </w:rPr>
      </w:pPr>
      <w:r>
        <w:rPr>
          <w:rFonts w:ascii="Times New Roman" w:hAnsi="Times New Roman"/>
          <w:noProof/>
          <w:sz w:val="24"/>
          <w:lang w:val="fr-FR"/>
        </w:rPr>
        <w:t>Dans le programme actuel, l’accent a davantage été mis sur les actions contribuant à l’</w:t>
      </w:r>
      <w:r>
        <w:rPr>
          <w:rFonts w:ascii="Times New Roman" w:hAnsi="Times New Roman"/>
          <w:b/>
          <w:noProof/>
          <w:sz w:val="24"/>
          <w:lang w:val="fr-FR"/>
        </w:rPr>
        <w:t>inclusion sociale</w:t>
      </w:r>
      <w:r>
        <w:rPr>
          <w:rFonts w:ascii="Times New Roman" w:hAnsi="Times New Roman"/>
          <w:noProof/>
          <w:sz w:val="24"/>
          <w:lang w:val="fr-FR"/>
        </w:rPr>
        <w:t xml:space="preserve"> conformément à la </w:t>
      </w:r>
      <w:hyperlink r:id="rId16" w:history="1">
        <w:r>
          <w:rPr>
            <w:rStyle w:val="Hyperlink"/>
            <w:rFonts w:ascii="Times New Roman" w:hAnsi="Times New Roman"/>
            <w:b/>
            <w:noProof/>
            <w:sz w:val="24"/>
            <w:lang w:val="fr-FR"/>
          </w:rPr>
          <w:t>déclaration de Paris</w:t>
        </w:r>
      </w:hyperlink>
      <w:r>
        <w:rPr>
          <w:rStyle w:val="FootnoteReference"/>
        </w:rPr>
        <w:footnoteReference w:id="11"/>
      </w:r>
      <w:r>
        <w:rPr>
          <w:rFonts w:ascii="Times New Roman" w:hAnsi="Times New Roman"/>
          <w:noProof/>
          <w:sz w:val="24"/>
          <w:lang w:val="fr-FR"/>
        </w:rPr>
        <w:t xml:space="preserve">, aux nouveaux domaines prioritaires du </w:t>
      </w:r>
      <w:r>
        <w:rPr>
          <w:rFonts w:ascii="Times New Roman" w:hAnsi="Times New Roman"/>
          <w:b/>
          <w:noProof/>
          <w:sz w:val="24"/>
          <w:lang w:val="fr-FR"/>
        </w:rPr>
        <w:t>cadre stratégique pour la coopération européenne dans le domaine de l’éducation et de la formation («Éducation et formation 2020»)</w:t>
      </w:r>
      <w:r>
        <w:rPr>
          <w:rFonts w:ascii="Times New Roman" w:hAnsi="Times New Roman"/>
          <w:noProof/>
          <w:sz w:val="24"/>
          <w:lang w:val="fr-FR"/>
        </w:rPr>
        <w:t xml:space="preserve"> et de la </w:t>
      </w:r>
      <w:r>
        <w:rPr>
          <w:rFonts w:ascii="Times New Roman" w:hAnsi="Times New Roman"/>
          <w:b/>
          <w:noProof/>
          <w:sz w:val="24"/>
          <w:lang w:val="fr-FR"/>
        </w:rPr>
        <w:t>stratégie en faveur de la jeunesse</w:t>
      </w:r>
      <w:r>
        <w:rPr>
          <w:rStyle w:val="FootnoteReference"/>
          <w:rFonts w:ascii="Times New Roman" w:hAnsi="Times New Roman"/>
          <w:noProof/>
          <w:sz w:val="24"/>
        </w:rPr>
        <w:footnoteReference w:id="12"/>
      </w:r>
      <w:r>
        <w:rPr>
          <w:rFonts w:ascii="Times New Roman" w:hAnsi="Times New Roman"/>
          <w:b/>
          <w:noProof/>
          <w:sz w:val="24"/>
          <w:lang w:val="fr-FR"/>
        </w:rPr>
        <w:t xml:space="preserve"> </w:t>
      </w:r>
      <w:r>
        <w:rPr>
          <w:rFonts w:ascii="Times New Roman" w:hAnsi="Times New Roman"/>
          <w:noProof/>
          <w:sz w:val="24"/>
          <w:lang w:val="fr-FR"/>
        </w:rPr>
        <w:t xml:space="preserve">ou à la </w:t>
      </w:r>
      <w:r>
        <w:rPr>
          <w:rFonts w:ascii="Times New Roman" w:hAnsi="Times New Roman"/>
          <w:b/>
          <w:noProof/>
          <w:sz w:val="24"/>
          <w:lang w:val="fr-FR"/>
        </w:rPr>
        <w:t>nouvelle stratégie en matière de compétences pour l’Europe</w:t>
      </w:r>
      <w:r>
        <w:rPr>
          <w:rStyle w:val="FootnoteReference"/>
          <w:rFonts w:ascii="Times New Roman" w:hAnsi="Times New Roman"/>
          <w:noProof/>
          <w:sz w:val="24"/>
        </w:rPr>
        <w:footnoteReference w:id="13"/>
      </w:r>
      <w:r>
        <w:rPr>
          <w:rFonts w:ascii="Times New Roman" w:hAnsi="Times New Roman"/>
          <w:noProof/>
          <w:sz w:val="24"/>
          <w:lang w:val="fr-FR"/>
        </w:rPr>
        <w:t>.</w:t>
      </w:r>
    </w:p>
    <w:p>
      <w:pPr>
        <w:pStyle w:val="ListParagraph"/>
        <w:numPr>
          <w:ilvl w:val="0"/>
          <w:numId w:val="12"/>
        </w:numPr>
        <w:pBdr>
          <w:top w:val="single" w:sz="4" w:space="1" w:color="auto"/>
          <w:left w:val="single" w:sz="4" w:space="4" w:color="auto"/>
          <w:bottom w:val="single" w:sz="4" w:space="1" w:color="auto"/>
          <w:right w:val="single" w:sz="4" w:space="4" w:color="auto"/>
        </w:pBdr>
        <w:spacing w:line="256" w:lineRule="auto"/>
        <w:jc w:val="both"/>
        <w:rPr>
          <w:rFonts w:ascii="Times New Roman" w:hAnsi="Times New Roman" w:cs="Times New Roman"/>
          <w:noProof/>
          <w:sz w:val="24"/>
          <w:szCs w:val="24"/>
          <w:lang w:val="fr-FR"/>
        </w:rPr>
      </w:pPr>
      <w:r>
        <w:rPr>
          <w:rFonts w:ascii="Times New Roman" w:hAnsi="Times New Roman"/>
          <w:noProof/>
          <w:sz w:val="24"/>
          <w:lang w:val="fr-FR"/>
        </w:rPr>
        <w:t xml:space="preserve">Le futur programme devrait continuer de </w:t>
      </w:r>
      <w:r>
        <w:rPr>
          <w:rFonts w:ascii="Times New Roman" w:hAnsi="Times New Roman"/>
          <w:b/>
          <w:noProof/>
          <w:sz w:val="24"/>
          <w:lang w:val="fr-FR"/>
        </w:rPr>
        <w:t>contribuer à la mise en œuvre des priorités politiques de l’UE</w:t>
      </w:r>
      <w:r>
        <w:rPr>
          <w:rFonts w:ascii="Times New Roman" w:hAnsi="Times New Roman"/>
          <w:noProof/>
          <w:sz w:val="24"/>
          <w:lang w:val="fr-FR"/>
        </w:rPr>
        <w:t xml:space="preserve"> tout en conservant sa souplesse pour s’adapter en cas de besoin et en présentant une grande pertinence pour les pays participants. Certaines actions, notamment celles venant à l’appui de partenariats, pourraient être </w:t>
      </w:r>
      <w:r>
        <w:rPr>
          <w:rFonts w:ascii="Times New Roman" w:hAnsi="Times New Roman"/>
          <w:b/>
          <w:noProof/>
          <w:sz w:val="24"/>
          <w:lang w:val="fr-FR"/>
        </w:rPr>
        <w:t>axées sur un nombre plus restreint de priorités</w:t>
      </w:r>
      <w:r>
        <w:rPr>
          <w:rFonts w:ascii="Times New Roman" w:hAnsi="Times New Roman"/>
          <w:noProof/>
          <w:sz w:val="24"/>
          <w:lang w:val="fr-FR"/>
        </w:rPr>
        <w:t>.</w:t>
      </w:r>
    </w:p>
    <w:p>
      <w:pPr>
        <w:spacing w:before="240"/>
        <w:jc w:val="both"/>
        <w:rPr>
          <w:rFonts w:ascii="Times New Roman" w:hAnsi="Times New Roman" w:cs="Times New Roman"/>
          <w:noProof/>
          <w:sz w:val="24"/>
          <w:szCs w:val="24"/>
          <w:lang w:val="fr-FR"/>
        </w:rPr>
      </w:pPr>
      <w:r>
        <w:rPr>
          <w:rFonts w:ascii="Times New Roman" w:hAnsi="Times New Roman"/>
          <w:noProof/>
          <w:sz w:val="24"/>
          <w:lang w:val="fr-FR"/>
        </w:rPr>
        <w:t xml:space="preserve">L’évaluation finale du programme permettra aussi d’apprécier les résultats des alliances de la connaissance et des alliances sectorielles de grande envergure qui ont été mises en place dans le cadre d’Erasmus+ pour </w:t>
      </w:r>
      <w:r>
        <w:rPr>
          <w:rFonts w:ascii="Times New Roman" w:hAnsi="Times New Roman"/>
          <w:b/>
          <w:noProof/>
          <w:sz w:val="24"/>
          <w:lang w:val="fr-FR"/>
        </w:rPr>
        <w:t>stimuler l’innovation</w:t>
      </w:r>
      <w:r>
        <w:rPr>
          <w:rFonts w:ascii="Times New Roman" w:hAnsi="Times New Roman"/>
          <w:noProof/>
          <w:sz w:val="24"/>
          <w:lang w:val="fr-FR"/>
        </w:rPr>
        <w:t xml:space="preserve"> dans l’enseignement supérieur et l’EFP. Ces actions n’étaient pas suffisamment avancées pour faire l’objet d’une évaluation à mi-parcours.</w:t>
      </w:r>
    </w:p>
    <w:p>
      <w:pPr>
        <w:pStyle w:val="ListParagraph"/>
        <w:numPr>
          <w:ilvl w:val="0"/>
          <w:numId w:val="13"/>
        </w:numPr>
        <w:pBdr>
          <w:top w:val="single" w:sz="4" w:space="1" w:color="auto"/>
          <w:left w:val="single" w:sz="4" w:space="1" w:color="auto"/>
          <w:bottom w:val="single" w:sz="4" w:space="1" w:color="auto"/>
          <w:right w:val="single" w:sz="4" w:space="1" w:color="auto"/>
        </w:pBdr>
        <w:spacing w:line="256" w:lineRule="auto"/>
        <w:jc w:val="both"/>
        <w:rPr>
          <w:rFonts w:ascii="Times New Roman" w:hAnsi="Times New Roman" w:cs="Times New Roman"/>
          <w:noProof/>
          <w:sz w:val="24"/>
          <w:szCs w:val="24"/>
          <w:lang w:val="fr-FR"/>
        </w:rPr>
      </w:pPr>
      <w:r>
        <w:rPr>
          <w:rFonts w:ascii="Times New Roman" w:hAnsi="Times New Roman"/>
          <w:noProof/>
          <w:sz w:val="24"/>
          <w:lang w:val="fr-FR"/>
        </w:rPr>
        <w:t xml:space="preserve">D’ici à 2020, la Commission consolidera encore les </w:t>
      </w:r>
      <w:r>
        <w:rPr>
          <w:rFonts w:ascii="Times New Roman" w:hAnsi="Times New Roman"/>
          <w:b/>
          <w:noProof/>
          <w:sz w:val="24"/>
          <w:lang w:val="fr-FR"/>
        </w:rPr>
        <w:t>différents modes de gestion des projets</w:t>
      </w:r>
      <w:r>
        <w:rPr>
          <w:rFonts w:ascii="Times New Roman" w:hAnsi="Times New Roman"/>
          <w:noProof/>
          <w:sz w:val="24"/>
          <w:lang w:val="fr-FR"/>
        </w:rPr>
        <w:t xml:space="preserve"> visant principalement à promouvoir la coopération et les échanges (par opposition aux projets visant à promouvoir l’innovation).</w:t>
      </w:r>
    </w:p>
    <w:p>
      <w:pPr>
        <w:pStyle w:val="ListParagraph"/>
        <w:numPr>
          <w:ilvl w:val="0"/>
          <w:numId w:val="13"/>
        </w:numPr>
        <w:pBdr>
          <w:top w:val="single" w:sz="4" w:space="1" w:color="auto"/>
          <w:left w:val="single" w:sz="4" w:space="1" w:color="auto"/>
          <w:bottom w:val="single" w:sz="4" w:space="1" w:color="auto"/>
          <w:right w:val="single" w:sz="4" w:space="1" w:color="auto"/>
        </w:pBdr>
        <w:spacing w:line="256" w:lineRule="auto"/>
        <w:jc w:val="both"/>
        <w:rPr>
          <w:rFonts w:ascii="Times New Roman" w:hAnsi="Times New Roman" w:cs="Times New Roman"/>
          <w:noProof/>
          <w:sz w:val="24"/>
          <w:szCs w:val="24"/>
          <w:lang w:val="fr-FR"/>
        </w:rPr>
      </w:pPr>
      <w:r>
        <w:rPr>
          <w:rFonts w:ascii="Times New Roman" w:hAnsi="Times New Roman"/>
          <w:noProof/>
          <w:sz w:val="24"/>
          <w:lang w:val="fr-FR"/>
        </w:rPr>
        <w:t xml:space="preserve">Le nouveau programme comportera des solutions visant à </w:t>
      </w:r>
      <w:r>
        <w:rPr>
          <w:rFonts w:ascii="Times New Roman" w:hAnsi="Times New Roman"/>
          <w:b/>
          <w:noProof/>
          <w:sz w:val="24"/>
          <w:lang w:val="fr-FR"/>
        </w:rPr>
        <w:t>stimuler l’innovation</w:t>
      </w:r>
      <w:r>
        <w:rPr>
          <w:rFonts w:ascii="Times New Roman" w:hAnsi="Times New Roman"/>
          <w:noProof/>
          <w:sz w:val="24"/>
          <w:lang w:val="fr-FR"/>
        </w:rPr>
        <w:t>.</w:t>
      </w:r>
    </w:p>
    <w:p>
      <w:pPr>
        <w:spacing w:after="120"/>
        <w:jc w:val="both"/>
        <w:rPr>
          <w:rFonts w:ascii="Times New Roman" w:hAnsi="Times New Roman" w:cs="Times New Roman"/>
          <w:noProof/>
          <w:sz w:val="24"/>
          <w:szCs w:val="24"/>
          <w:lang w:val="fr-FR"/>
        </w:rPr>
      </w:pPr>
      <w:r>
        <w:rPr>
          <w:rFonts w:ascii="Times New Roman" w:hAnsi="Times New Roman"/>
          <w:noProof/>
          <w:sz w:val="24"/>
          <w:lang w:val="fr-FR"/>
        </w:rPr>
        <w:t xml:space="preserve">L’évaluation a également révélé qu’il est possible de mettre en place des actions mieux ciblées pour </w:t>
      </w:r>
      <w:r>
        <w:rPr>
          <w:rFonts w:ascii="Times New Roman" w:hAnsi="Times New Roman"/>
          <w:b/>
          <w:noProof/>
          <w:sz w:val="24"/>
          <w:lang w:val="fr-FR"/>
        </w:rPr>
        <w:t>maximiser la pertinence</w:t>
      </w:r>
      <w:r>
        <w:rPr>
          <w:rFonts w:ascii="Times New Roman" w:hAnsi="Times New Roman"/>
          <w:noProof/>
          <w:sz w:val="24"/>
          <w:lang w:val="fr-FR"/>
        </w:rPr>
        <w:t xml:space="preserve"> des activités </w:t>
      </w:r>
      <w:r>
        <w:rPr>
          <w:rFonts w:ascii="Times New Roman" w:hAnsi="Times New Roman"/>
          <w:b/>
          <w:noProof/>
          <w:sz w:val="24"/>
          <w:lang w:val="fr-FR"/>
        </w:rPr>
        <w:t>Jean Monnet</w:t>
      </w:r>
      <w:r>
        <w:rPr>
          <w:rFonts w:ascii="Times New Roman" w:hAnsi="Times New Roman"/>
          <w:noProof/>
          <w:sz w:val="24"/>
          <w:lang w:val="fr-FR"/>
        </w:rPr>
        <w:t xml:space="preserve"> et la </w:t>
      </w:r>
      <w:r>
        <w:rPr>
          <w:rFonts w:ascii="Times New Roman" w:hAnsi="Times New Roman"/>
          <w:b/>
          <w:noProof/>
          <w:sz w:val="24"/>
          <w:lang w:val="fr-FR"/>
        </w:rPr>
        <w:t>valeur ajoutée apportée par le programme</w:t>
      </w:r>
      <w:r>
        <w:rPr>
          <w:rFonts w:ascii="Times New Roman" w:hAnsi="Times New Roman"/>
          <w:noProof/>
          <w:sz w:val="24"/>
          <w:lang w:val="fr-FR"/>
        </w:rPr>
        <w:t xml:space="preserve"> dans le secteur de la </w:t>
      </w:r>
      <w:r>
        <w:rPr>
          <w:rFonts w:ascii="Times New Roman" w:hAnsi="Times New Roman"/>
          <w:b/>
          <w:noProof/>
          <w:sz w:val="24"/>
          <w:lang w:val="fr-FR"/>
        </w:rPr>
        <w:t>formation des adultes</w:t>
      </w:r>
      <w:r>
        <w:rPr>
          <w:rFonts w:ascii="Times New Roman" w:hAnsi="Times New Roman"/>
          <w:noProof/>
          <w:sz w:val="24"/>
          <w:lang w:val="fr-FR"/>
        </w:rPr>
        <w:t>.</w:t>
      </w:r>
    </w:p>
    <w:p>
      <w:pPr>
        <w:spacing w:after="120"/>
        <w:jc w:val="both"/>
        <w:rPr>
          <w:rFonts w:ascii="Times New Roman" w:hAnsi="Times New Roman" w:cs="Times New Roman"/>
          <w:noProof/>
          <w:sz w:val="24"/>
          <w:szCs w:val="24"/>
          <w:lang w:val="fr-FR"/>
        </w:rPr>
      </w:pPr>
      <w:r>
        <w:rPr>
          <w:rFonts w:ascii="Times New Roman" w:hAnsi="Times New Roman"/>
          <w:noProof/>
          <w:sz w:val="24"/>
          <w:lang w:val="fr-FR"/>
        </w:rPr>
        <w:t>Les questions relatives à l’UE sont à présent des thèmes d’enseignement et de recherche relativement répandus dans l’enseignement supérieur. En revanche, le besoin d’une meilleure compréhension de l’intégration européenne et d’un plus fort sentiment d’appartenance à l’Europe se fait sentir chez les jeunes générations, au lendemain des crises économiques et politiques des dix dernières années.</w:t>
      </w:r>
    </w:p>
    <w:p>
      <w:pPr>
        <w:pStyle w:val="ListParagraph"/>
        <w:numPr>
          <w:ilvl w:val="0"/>
          <w:numId w:val="12"/>
        </w:numPr>
        <w:pBdr>
          <w:top w:val="single" w:sz="4" w:space="1" w:color="auto"/>
          <w:left w:val="single" w:sz="4" w:space="4" w:color="auto"/>
          <w:bottom w:val="single" w:sz="4" w:space="1" w:color="auto"/>
          <w:right w:val="single" w:sz="4" w:space="4" w:color="auto"/>
        </w:pBdr>
        <w:spacing w:after="120" w:line="256" w:lineRule="auto"/>
        <w:jc w:val="both"/>
        <w:rPr>
          <w:rFonts w:ascii="Times New Roman" w:hAnsi="Times New Roman" w:cs="Times New Roman"/>
          <w:noProof/>
          <w:sz w:val="24"/>
          <w:szCs w:val="24"/>
          <w:lang w:val="fr-FR"/>
        </w:rPr>
      </w:pPr>
      <w:r>
        <w:rPr>
          <w:rFonts w:ascii="Times New Roman" w:hAnsi="Times New Roman"/>
          <w:noProof/>
          <w:sz w:val="24"/>
          <w:lang w:val="fr-FR"/>
        </w:rPr>
        <w:t xml:space="preserve">Dans le cadre du futur programme, les activités </w:t>
      </w:r>
      <w:r>
        <w:rPr>
          <w:rFonts w:ascii="Times New Roman" w:hAnsi="Times New Roman"/>
          <w:b/>
          <w:noProof/>
          <w:sz w:val="24"/>
          <w:lang w:val="fr-FR"/>
        </w:rPr>
        <w:t>Jean Monnet</w:t>
      </w:r>
      <w:r>
        <w:rPr>
          <w:rFonts w:ascii="Times New Roman" w:hAnsi="Times New Roman"/>
          <w:noProof/>
          <w:sz w:val="24"/>
          <w:lang w:val="fr-FR"/>
        </w:rPr>
        <w:t xml:space="preserve"> pourraient être remaniées de manière à en </w:t>
      </w:r>
      <w:r>
        <w:rPr>
          <w:rFonts w:ascii="Times New Roman" w:hAnsi="Times New Roman"/>
          <w:b/>
          <w:noProof/>
          <w:sz w:val="24"/>
          <w:lang w:val="fr-FR"/>
        </w:rPr>
        <w:t>élargir le groupe cible</w:t>
      </w:r>
      <w:r>
        <w:rPr>
          <w:rFonts w:ascii="Times New Roman" w:hAnsi="Times New Roman"/>
          <w:noProof/>
          <w:sz w:val="24"/>
          <w:lang w:val="fr-FR"/>
        </w:rPr>
        <w:t xml:space="preserve"> (en les étendant aux écoles) afin de sensibiliser les participants aux valeurs communes européennes.</w:t>
      </w:r>
    </w:p>
    <w:p>
      <w:pPr>
        <w:spacing w:after="120"/>
        <w:jc w:val="both"/>
        <w:rPr>
          <w:rFonts w:ascii="Times New Roman" w:hAnsi="Times New Roman" w:cs="Times New Roman"/>
          <w:noProof/>
          <w:sz w:val="24"/>
          <w:szCs w:val="24"/>
          <w:lang w:val="fr-FR"/>
        </w:rPr>
      </w:pPr>
      <w:r>
        <w:rPr>
          <w:rFonts w:ascii="Times New Roman" w:hAnsi="Times New Roman"/>
          <w:noProof/>
          <w:sz w:val="24"/>
          <w:lang w:val="fr-FR"/>
        </w:rPr>
        <w:t>L’évaluation souligne que les effets sur le secteur de la formation des adultes, qui vise actuellement un large public, sont dilués en raison de la fragmentation et de la diversité qui caractérisent ce secteur.</w:t>
      </w:r>
    </w:p>
    <w:p>
      <w:pPr>
        <w:pStyle w:val="ListParagraph"/>
        <w:numPr>
          <w:ilvl w:val="0"/>
          <w:numId w:val="12"/>
        </w:numPr>
        <w:pBdr>
          <w:top w:val="single" w:sz="4" w:space="1" w:color="auto"/>
          <w:left w:val="single" w:sz="4" w:space="4" w:color="auto"/>
          <w:bottom w:val="single" w:sz="4" w:space="1" w:color="auto"/>
          <w:right w:val="single" w:sz="4" w:space="4" w:color="auto"/>
        </w:pBdr>
        <w:spacing w:after="120" w:line="256" w:lineRule="auto"/>
        <w:jc w:val="both"/>
        <w:rPr>
          <w:rFonts w:ascii="Times New Roman" w:hAnsi="Times New Roman" w:cs="Times New Roman"/>
          <w:noProof/>
          <w:sz w:val="24"/>
          <w:szCs w:val="24"/>
          <w:lang w:val="fr-FR"/>
        </w:rPr>
      </w:pPr>
      <w:r>
        <w:rPr>
          <w:rFonts w:ascii="Times New Roman" w:hAnsi="Times New Roman"/>
          <w:noProof/>
          <w:sz w:val="24"/>
          <w:lang w:val="fr-FR"/>
        </w:rPr>
        <w:t xml:space="preserve">La Commission examinera comment </w:t>
      </w:r>
      <w:r>
        <w:rPr>
          <w:rFonts w:ascii="Times New Roman" w:hAnsi="Times New Roman"/>
          <w:b/>
          <w:noProof/>
          <w:sz w:val="24"/>
          <w:lang w:val="fr-FR"/>
        </w:rPr>
        <w:t>cibler davantage l’appui de l’UE aux activités transnationales dans le secteur de la formation des adultes</w:t>
      </w:r>
      <w:r>
        <w:rPr>
          <w:rFonts w:ascii="Times New Roman" w:hAnsi="Times New Roman"/>
          <w:noProof/>
          <w:sz w:val="24"/>
          <w:lang w:val="fr-FR"/>
        </w:rPr>
        <w:t>.</w:t>
      </w:r>
    </w:p>
    <w:p>
      <w:pPr>
        <w:spacing w:before="480" w:after="240"/>
        <w:rPr>
          <w:rFonts w:ascii="Times New Roman" w:hAnsi="Times New Roman" w:cs="Times New Roman"/>
          <w:i/>
          <w:noProof/>
          <w:sz w:val="24"/>
          <w:szCs w:val="24"/>
          <w:u w:val="single"/>
          <w:lang w:val="fr-FR"/>
        </w:rPr>
      </w:pPr>
      <w:r>
        <w:rPr>
          <w:rFonts w:ascii="Times New Roman" w:hAnsi="Times New Roman"/>
          <w:i/>
          <w:noProof/>
          <w:sz w:val="24"/>
          <w:u w:val="single"/>
          <w:lang w:val="fr-FR"/>
        </w:rPr>
        <w:t>Cohérence</w:t>
      </w:r>
    </w:p>
    <w:p>
      <w:pPr>
        <w:jc w:val="both"/>
        <w:rPr>
          <w:rFonts w:ascii="Times New Roman" w:hAnsi="Times New Roman" w:cs="Times New Roman"/>
          <w:noProof/>
          <w:sz w:val="24"/>
          <w:szCs w:val="24"/>
          <w:lang w:val="fr-FR"/>
        </w:rPr>
      </w:pPr>
      <w:r>
        <w:rPr>
          <w:rFonts w:ascii="Times New Roman" w:hAnsi="Times New Roman"/>
          <w:noProof/>
          <w:sz w:val="24"/>
          <w:lang w:val="fr-FR"/>
        </w:rPr>
        <w:t xml:space="preserve">L’évaluation a révélé un </w:t>
      </w:r>
      <w:r>
        <w:rPr>
          <w:rFonts w:ascii="Times New Roman" w:hAnsi="Times New Roman"/>
          <w:b/>
          <w:noProof/>
          <w:sz w:val="24"/>
          <w:lang w:val="fr-FR"/>
        </w:rPr>
        <w:t>haut degré de complémentarité</w:t>
      </w:r>
      <w:r>
        <w:rPr>
          <w:rFonts w:ascii="Times New Roman" w:hAnsi="Times New Roman"/>
          <w:noProof/>
          <w:sz w:val="24"/>
          <w:lang w:val="fr-FR"/>
        </w:rPr>
        <w:t xml:space="preserve"> entre Erasmus+ et d’autres politiques et programmes pertinents de l’UE (tels que le Fonds social européen et Horizon 2020). Si le niveau des synergies varie, il est frappant de constater que </w:t>
      </w:r>
      <w:r>
        <w:rPr>
          <w:rFonts w:ascii="Times New Roman" w:hAnsi="Times New Roman"/>
          <w:b/>
          <w:noProof/>
          <w:sz w:val="24"/>
          <w:lang w:val="fr-FR"/>
        </w:rPr>
        <w:t>très peu de chevauchements</w:t>
      </w:r>
      <w:r>
        <w:rPr>
          <w:rFonts w:ascii="Times New Roman" w:hAnsi="Times New Roman"/>
          <w:noProof/>
          <w:sz w:val="24"/>
          <w:lang w:val="fr-FR"/>
        </w:rPr>
        <w:t xml:space="preserve"> ont été mis en évidence par l’évaluation</w:t>
      </w:r>
      <w:r>
        <w:rPr>
          <w:rStyle w:val="FootnoteReference"/>
          <w:noProof/>
        </w:rPr>
        <w:footnoteReference w:id="14"/>
      </w:r>
      <w:r>
        <w:rPr>
          <w:rFonts w:ascii="Times New Roman" w:hAnsi="Times New Roman"/>
          <w:noProof/>
          <w:sz w:val="24"/>
          <w:lang w:val="fr-FR"/>
        </w:rPr>
        <w:t>.</w:t>
      </w:r>
    </w:p>
    <w:p>
      <w:pPr>
        <w:jc w:val="both"/>
        <w:rPr>
          <w:rFonts w:ascii="Times New Roman" w:hAnsi="Times New Roman" w:cs="Times New Roman"/>
          <w:noProof/>
          <w:sz w:val="24"/>
          <w:szCs w:val="24"/>
          <w:lang w:val="fr-FR"/>
        </w:rPr>
      </w:pPr>
      <w:r>
        <w:rPr>
          <w:rFonts w:ascii="Times New Roman" w:hAnsi="Times New Roman"/>
          <w:noProof/>
          <w:sz w:val="24"/>
          <w:lang w:val="fr-FR"/>
        </w:rPr>
        <w:t xml:space="preserve">Le programme doit sa </w:t>
      </w:r>
      <w:r>
        <w:rPr>
          <w:rFonts w:ascii="Times New Roman" w:hAnsi="Times New Roman"/>
          <w:b/>
          <w:noProof/>
          <w:sz w:val="24"/>
          <w:lang w:val="fr-FR"/>
        </w:rPr>
        <w:t>forte cohérence interne</w:t>
      </w:r>
      <w:r>
        <w:rPr>
          <w:rFonts w:ascii="Times New Roman" w:hAnsi="Times New Roman"/>
          <w:noProof/>
          <w:sz w:val="24"/>
          <w:lang w:val="fr-FR"/>
        </w:rPr>
        <w:t xml:space="preserve"> par rapport à ses prédécesseurs au fait qu’il </w:t>
      </w:r>
      <w:r>
        <w:rPr>
          <w:rFonts w:ascii="Times New Roman" w:hAnsi="Times New Roman"/>
          <w:b/>
          <w:noProof/>
          <w:sz w:val="24"/>
          <w:lang w:val="fr-FR"/>
        </w:rPr>
        <w:t>englobe l’apprentissage tout au long de la vie</w:t>
      </w:r>
      <w:r>
        <w:rPr>
          <w:rFonts w:ascii="Times New Roman" w:hAnsi="Times New Roman"/>
          <w:noProof/>
          <w:sz w:val="24"/>
          <w:lang w:val="fr-FR"/>
        </w:rPr>
        <w:t>. La réunion au sein d’un programme unique de domaines souvent maintenus séparés (au niveau national) est perçue comme de nature à encourager la complémentarité et l’adoption d’une perspective internationale</w:t>
      </w:r>
      <w:r>
        <w:rPr>
          <w:rStyle w:val="FootnoteReference"/>
          <w:noProof/>
        </w:rPr>
        <w:footnoteReference w:id="15"/>
      </w:r>
      <w:r>
        <w:rPr>
          <w:rFonts w:ascii="Times New Roman" w:hAnsi="Times New Roman"/>
          <w:noProof/>
          <w:sz w:val="24"/>
          <w:lang w:val="fr-FR"/>
        </w:rPr>
        <w:t>.</w:t>
      </w:r>
    </w:p>
    <w:p>
      <w:pPr>
        <w:jc w:val="both"/>
        <w:rPr>
          <w:rFonts w:ascii="Times New Roman" w:hAnsi="Times New Roman" w:cs="Times New Roman"/>
          <w:noProof/>
          <w:sz w:val="24"/>
          <w:szCs w:val="24"/>
          <w:lang w:val="fr-FR"/>
        </w:rPr>
      </w:pPr>
      <w:r>
        <w:rPr>
          <w:rFonts w:ascii="Times New Roman" w:hAnsi="Times New Roman"/>
          <w:noProof/>
          <w:sz w:val="24"/>
          <w:lang w:val="fr-FR"/>
        </w:rPr>
        <w:t>La</w:t>
      </w:r>
      <w:r>
        <w:rPr>
          <w:noProof/>
          <w:lang w:val="fr-FR"/>
        </w:rPr>
        <w:t xml:space="preserve"> </w:t>
      </w:r>
      <w:r>
        <w:rPr>
          <w:rFonts w:ascii="Times New Roman" w:hAnsi="Times New Roman"/>
          <w:b/>
          <w:noProof/>
          <w:sz w:val="24"/>
          <w:lang w:val="fr-FR"/>
        </w:rPr>
        <w:t>coopération transsectorielle</w:t>
      </w:r>
      <w:r>
        <w:rPr>
          <w:rFonts w:ascii="Times New Roman" w:hAnsi="Times New Roman"/>
          <w:noProof/>
          <w:sz w:val="24"/>
          <w:lang w:val="fr-FR"/>
        </w:rPr>
        <w:t xml:space="preserve"> dans le cadre d’Erasmus+ a fortement augmenté</w:t>
      </w:r>
      <w:r>
        <w:rPr>
          <w:noProof/>
          <w:lang w:val="fr-FR"/>
        </w:rPr>
        <w:t xml:space="preserve"> </w:t>
      </w:r>
      <w:r>
        <w:rPr>
          <w:rFonts w:ascii="Times New Roman" w:hAnsi="Times New Roman"/>
          <w:noProof/>
          <w:sz w:val="24"/>
          <w:lang w:val="fr-FR"/>
        </w:rPr>
        <w:t>(+ 23 points de pourcentage par rapport aux programmes antérieurs). La grande majorité des projets de coopération comprennent désormais au moins une organisation appartenant à un autre secteur du programme. Une coopération entre le monde de l’enseignement et de la formation et la société civile se met progressivement en place dans le cadre d’Erasmus+.</w:t>
      </w:r>
    </w:p>
    <w:p>
      <w:pPr>
        <w:jc w:val="both"/>
        <w:rPr>
          <w:rFonts w:ascii="Times New Roman" w:hAnsi="Times New Roman" w:cs="Times New Roman"/>
          <w:noProof/>
          <w:sz w:val="24"/>
          <w:szCs w:val="24"/>
          <w:lang w:val="fr-FR"/>
        </w:rPr>
      </w:pPr>
      <w:r>
        <w:rPr>
          <w:rFonts w:ascii="Times New Roman" w:hAnsi="Times New Roman"/>
          <w:noProof/>
          <w:sz w:val="24"/>
          <w:lang w:val="fr-FR"/>
        </w:rPr>
        <w:t xml:space="preserve">L’évaluation a permis de mettre en évidence qu’il a clairement été bénéfique pour le programme d’en </w:t>
      </w:r>
      <w:r>
        <w:rPr>
          <w:rFonts w:ascii="Times New Roman" w:hAnsi="Times New Roman"/>
          <w:b/>
          <w:noProof/>
          <w:sz w:val="24"/>
          <w:lang w:val="fr-FR"/>
        </w:rPr>
        <w:t>simplifier</w:t>
      </w:r>
      <w:r>
        <w:rPr>
          <w:rFonts w:ascii="Times New Roman" w:hAnsi="Times New Roman"/>
          <w:noProof/>
          <w:sz w:val="24"/>
          <w:lang w:val="fr-FR"/>
        </w:rPr>
        <w:t xml:space="preserve"> l’architecture en regroupant les activités en trois actions clés (mobilité des personnes, coopération et soutien à la réforme des politiques), conformément aux prévisions de l’analyse d’impact. L’</w:t>
      </w:r>
      <w:r>
        <w:rPr>
          <w:rFonts w:ascii="Times New Roman" w:hAnsi="Times New Roman"/>
          <w:b/>
          <w:noProof/>
          <w:sz w:val="24"/>
          <w:lang w:val="fr-FR"/>
        </w:rPr>
        <w:t>unicité de l’appellation</w:t>
      </w:r>
      <w:r>
        <w:rPr>
          <w:rFonts w:ascii="Times New Roman" w:hAnsi="Times New Roman"/>
          <w:noProof/>
          <w:sz w:val="24"/>
          <w:lang w:val="fr-FR"/>
        </w:rPr>
        <w:t xml:space="preserve"> désignant le programme a contribué à en </w:t>
      </w:r>
      <w:r>
        <w:rPr>
          <w:rFonts w:ascii="Times New Roman" w:hAnsi="Times New Roman"/>
          <w:b/>
          <w:noProof/>
          <w:sz w:val="24"/>
          <w:lang w:val="fr-FR"/>
        </w:rPr>
        <w:t>accroître la visibilité</w:t>
      </w:r>
      <w:r>
        <w:rPr>
          <w:rFonts w:ascii="Times New Roman" w:hAnsi="Times New Roman"/>
          <w:noProof/>
          <w:sz w:val="24"/>
          <w:lang w:val="fr-FR"/>
        </w:rPr>
        <w:t xml:space="preserve">, profitant ainsi à chaque secteur. Erasmus+ est parvenu à un meilleur </w:t>
      </w:r>
      <w:r>
        <w:rPr>
          <w:rFonts w:ascii="Times New Roman" w:hAnsi="Times New Roman"/>
          <w:b/>
          <w:noProof/>
          <w:sz w:val="24"/>
          <w:lang w:val="fr-FR"/>
        </w:rPr>
        <w:t>équilibre géographique</w:t>
      </w:r>
      <w:r>
        <w:rPr>
          <w:rFonts w:ascii="Times New Roman" w:hAnsi="Times New Roman"/>
          <w:noProof/>
          <w:sz w:val="24"/>
          <w:lang w:val="fr-FR"/>
        </w:rPr>
        <w:t xml:space="preserve"> en associant davantage les petits pays et les pays d’Europe centrale et orientale.</w:t>
      </w:r>
    </w:p>
    <w:p>
      <w:pPr>
        <w:jc w:val="both"/>
        <w:rPr>
          <w:rFonts w:ascii="Times New Roman" w:hAnsi="Times New Roman" w:cs="Times New Roman"/>
          <w:noProof/>
          <w:sz w:val="24"/>
          <w:szCs w:val="24"/>
          <w:lang w:val="fr-FR"/>
        </w:rPr>
      </w:pPr>
      <w:r>
        <w:rPr>
          <w:rFonts w:ascii="Times New Roman" w:hAnsi="Times New Roman"/>
          <w:noProof/>
          <w:sz w:val="24"/>
          <w:lang w:val="fr-FR"/>
        </w:rPr>
        <w:t xml:space="preserve">La cohérence </w:t>
      </w:r>
      <w:r>
        <w:rPr>
          <w:rFonts w:ascii="Times New Roman" w:hAnsi="Times New Roman"/>
          <w:b/>
          <w:noProof/>
          <w:sz w:val="24"/>
          <w:lang w:val="fr-FR"/>
        </w:rPr>
        <w:t>peut encore être améliorée en ce qui concerne le sport</w:t>
      </w:r>
      <w:r>
        <w:rPr>
          <w:rFonts w:ascii="Times New Roman" w:hAnsi="Times New Roman"/>
          <w:noProof/>
          <w:sz w:val="24"/>
          <w:lang w:val="fr-FR"/>
        </w:rPr>
        <w:t>.</w:t>
      </w:r>
      <w:r>
        <w:rPr>
          <w:rFonts w:ascii="Times New Roman" w:hAnsi="Times New Roman"/>
          <w:b/>
          <w:noProof/>
          <w:sz w:val="24"/>
          <w:lang w:val="fr-FR"/>
        </w:rPr>
        <w:t xml:space="preserve"> </w:t>
      </w:r>
      <w:r>
        <w:rPr>
          <w:rFonts w:ascii="Times New Roman" w:hAnsi="Times New Roman"/>
          <w:noProof/>
          <w:sz w:val="24"/>
          <w:lang w:val="fr-FR"/>
        </w:rPr>
        <w:t>Pour obtenir des résultats significatifs, il conviendrait de ne pas trop saupoudrer les ressources.</w:t>
      </w:r>
    </w:p>
    <w:p>
      <w:pPr>
        <w:pStyle w:val="ListParagraph"/>
        <w:numPr>
          <w:ilvl w:val="0"/>
          <w:numId w:val="12"/>
        </w:numPr>
        <w:pBdr>
          <w:top w:val="single" w:sz="4" w:space="1" w:color="auto"/>
          <w:left w:val="single" w:sz="4" w:space="4" w:color="auto"/>
          <w:bottom w:val="single" w:sz="4" w:space="1" w:color="auto"/>
          <w:right w:val="single" w:sz="4" w:space="4" w:color="auto"/>
        </w:pBdr>
        <w:spacing w:line="256" w:lineRule="auto"/>
        <w:jc w:val="both"/>
        <w:rPr>
          <w:rFonts w:ascii="Times New Roman" w:hAnsi="Times New Roman" w:cs="Times New Roman"/>
          <w:noProof/>
          <w:sz w:val="24"/>
          <w:szCs w:val="24"/>
          <w:lang w:val="fr-FR"/>
        </w:rPr>
      </w:pPr>
      <w:r>
        <w:rPr>
          <w:rFonts w:ascii="Times New Roman" w:hAnsi="Times New Roman"/>
          <w:noProof/>
          <w:sz w:val="24"/>
          <w:lang w:val="fr-FR"/>
        </w:rPr>
        <w:t xml:space="preserve">La Commission s’efforcera de </w:t>
      </w:r>
      <w:r>
        <w:rPr>
          <w:rFonts w:ascii="Times New Roman" w:hAnsi="Times New Roman"/>
          <w:b/>
          <w:noProof/>
          <w:sz w:val="24"/>
          <w:lang w:val="fr-FR"/>
        </w:rPr>
        <w:t>cibler davantage certaines actions dans le domaine du sport, en mettant notamment l’accent sur les aspects liés à l’inclusion sociale</w:t>
      </w:r>
      <w:r>
        <w:rPr>
          <w:rFonts w:ascii="Times New Roman" w:hAnsi="Times New Roman"/>
          <w:noProof/>
          <w:sz w:val="24"/>
          <w:lang w:val="fr-FR"/>
        </w:rPr>
        <w:t>, et de réduire les chevauchements avec les activités relevant du domaine de la jeunesse.</w:t>
      </w:r>
    </w:p>
    <w:p>
      <w:pPr>
        <w:spacing w:before="480" w:after="240"/>
        <w:rPr>
          <w:rFonts w:ascii="Times New Roman" w:hAnsi="Times New Roman" w:cs="Times New Roman"/>
          <w:i/>
          <w:noProof/>
          <w:sz w:val="24"/>
          <w:szCs w:val="24"/>
          <w:u w:val="single"/>
          <w:lang w:val="fr-FR"/>
        </w:rPr>
      </w:pPr>
      <w:r>
        <w:rPr>
          <w:rFonts w:ascii="Times New Roman" w:hAnsi="Times New Roman"/>
          <w:i/>
          <w:noProof/>
          <w:sz w:val="24"/>
          <w:u w:val="single"/>
          <w:lang w:val="fr-FR"/>
        </w:rPr>
        <w:t>Efficacité et simplification</w:t>
      </w:r>
      <w:r>
        <w:rPr>
          <w:rStyle w:val="FootnoteReference"/>
          <w:noProof/>
        </w:rPr>
        <w:footnoteReference w:id="16"/>
      </w:r>
    </w:p>
    <w:p>
      <w:pPr>
        <w:jc w:val="both"/>
        <w:rPr>
          <w:rFonts w:ascii="Times New Roman" w:hAnsi="Times New Roman" w:cs="Times New Roman"/>
          <w:noProof/>
          <w:sz w:val="24"/>
          <w:szCs w:val="24"/>
          <w:lang w:val="fr-FR"/>
        </w:rPr>
      </w:pPr>
      <w:r>
        <w:rPr>
          <w:rFonts w:ascii="Times New Roman" w:hAnsi="Times New Roman"/>
          <w:noProof/>
          <w:sz w:val="24"/>
          <w:lang w:val="fr-FR"/>
        </w:rPr>
        <w:t xml:space="preserve">Il est avéré que </w:t>
      </w:r>
      <w:r>
        <w:rPr>
          <w:rFonts w:ascii="Times New Roman" w:hAnsi="Times New Roman"/>
          <w:b/>
          <w:noProof/>
          <w:sz w:val="24"/>
          <w:lang w:val="fr-FR"/>
        </w:rPr>
        <w:t>les actions de mobilité</w:t>
      </w:r>
      <w:r>
        <w:rPr>
          <w:rFonts w:ascii="Times New Roman" w:hAnsi="Times New Roman"/>
          <w:noProof/>
          <w:sz w:val="24"/>
          <w:lang w:val="fr-FR"/>
        </w:rPr>
        <w:t xml:space="preserve"> d’Erasmus+ </w:t>
      </w:r>
      <w:r>
        <w:rPr>
          <w:rFonts w:ascii="Times New Roman" w:hAnsi="Times New Roman"/>
          <w:b/>
          <w:noProof/>
          <w:sz w:val="24"/>
          <w:lang w:val="fr-FR"/>
        </w:rPr>
        <w:t>présentent clairement un bon rapport coût-efficacité</w:t>
      </w:r>
      <w:r>
        <w:rPr>
          <w:rFonts w:ascii="Times New Roman" w:hAnsi="Times New Roman"/>
          <w:noProof/>
          <w:sz w:val="24"/>
          <w:lang w:val="fr-FR"/>
        </w:rPr>
        <w:t xml:space="preserve">, en particulier pour ce qui est de la mobilité des apprenants (dont le coût pour l’UE s’élève à 15 EUR par jour et par apprenant). Un défi majeur consistera à </w:t>
      </w:r>
      <w:r>
        <w:rPr>
          <w:rFonts w:ascii="Times New Roman" w:hAnsi="Times New Roman"/>
          <w:b/>
          <w:noProof/>
          <w:sz w:val="24"/>
          <w:lang w:val="fr-FR"/>
        </w:rPr>
        <w:t>améliorer l’efficience des actions décentralisées menées avec les pays partenaires</w:t>
      </w:r>
      <w:r>
        <w:rPr>
          <w:rFonts w:ascii="Times New Roman" w:hAnsi="Times New Roman"/>
          <w:noProof/>
          <w:sz w:val="24"/>
          <w:lang w:val="fr-FR"/>
        </w:rPr>
        <w:t>, actions régies par des critères spécifiques et dotées de budgets fragmentés issus des fonds de l’UE consacrés aux relations extérieures.</w:t>
      </w:r>
    </w:p>
    <w:p>
      <w:pPr>
        <w:jc w:val="both"/>
        <w:rPr>
          <w:rFonts w:ascii="Times New Roman" w:hAnsi="Times New Roman" w:cs="Times New Roman"/>
          <w:noProof/>
          <w:sz w:val="24"/>
          <w:szCs w:val="24"/>
        </w:rPr>
      </w:pPr>
      <w:r>
        <w:rPr>
          <w:rFonts w:ascii="Times New Roman" w:hAnsi="Times New Roman"/>
          <w:b/>
          <w:noProof/>
          <w:sz w:val="24"/>
          <w:lang w:val="fr-FR"/>
        </w:rPr>
        <w:t xml:space="preserve">Les coûts de gestion </w:t>
      </w:r>
      <w:r>
        <w:rPr>
          <w:rFonts w:ascii="Times New Roman" w:hAnsi="Times New Roman"/>
          <w:noProof/>
          <w:sz w:val="24"/>
          <w:lang w:val="fr-FR"/>
        </w:rPr>
        <w:t>(qui représentent 6 % du budget d’Erasmus+</w:t>
      </w:r>
      <w:r>
        <w:rPr>
          <w:rStyle w:val="FootnoteReference"/>
          <w:rFonts w:ascii="Times New Roman" w:hAnsi="Times New Roman"/>
          <w:noProof/>
          <w:sz w:val="24"/>
        </w:rPr>
        <w:footnoteReference w:id="17"/>
      </w:r>
      <w:r>
        <w:rPr>
          <w:rFonts w:ascii="Times New Roman" w:hAnsi="Times New Roman"/>
          <w:noProof/>
          <w:sz w:val="24"/>
          <w:lang w:val="fr-FR"/>
        </w:rPr>
        <w:t>)</w:t>
      </w:r>
      <w:r>
        <w:rPr>
          <w:rFonts w:ascii="Times New Roman" w:hAnsi="Times New Roman"/>
          <w:b/>
          <w:noProof/>
          <w:sz w:val="24"/>
          <w:lang w:val="fr-FR"/>
        </w:rPr>
        <w:t xml:space="preserve"> sont raisonnables</w:t>
      </w:r>
      <w:r>
        <w:rPr>
          <w:rFonts w:ascii="Times New Roman" w:hAnsi="Times New Roman"/>
          <w:noProof/>
          <w:sz w:val="24"/>
          <w:lang w:val="fr-FR"/>
        </w:rPr>
        <w:t xml:space="preserve">, surtout par rapport à ceux de programmes nationaux similaires (14 % en moyenne), même si </w:t>
      </w:r>
      <w:r>
        <w:rPr>
          <w:rFonts w:ascii="Times New Roman" w:hAnsi="Times New Roman"/>
          <w:b/>
          <w:noProof/>
          <w:sz w:val="24"/>
          <w:lang w:val="fr-FR"/>
        </w:rPr>
        <w:t>des économies d’échelle plus importantes auraient pu être réalisées</w:t>
      </w:r>
      <w:r>
        <w:rPr>
          <w:rFonts w:ascii="Times New Roman" w:hAnsi="Times New Roman"/>
          <w:noProof/>
          <w:sz w:val="24"/>
          <w:lang w:val="fr-FR"/>
        </w:rPr>
        <w:t xml:space="preserve">. </w:t>
      </w:r>
      <w:r>
        <w:rPr>
          <w:rFonts w:ascii="Times New Roman" w:hAnsi="Times New Roman"/>
          <w:noProof/>
          <w:sz w:val="24"/>
        </w:rPr>
        <w:t>Des gains d’efficacité supplémentaires sont donc attendus d’ici à 2020.</w:t>
      </w:r>
    </w:p>
    <w:p>
      <w:pPr>
        <w:jc w:val="both"/>
        <w:rPr>
          <w:rFonts w:ascii="Times New Roman" w:hAnsi="Times New Roman" w:cs="Times New Roman"/>
          <w:noProof/>
          <w:sz w:val="24"/>
          <w:szCs w:val="24"/>
          <w:lang w:val="fr-FR"/>
        </w:rPr>
      </w:pPr>
      <w:r>
        <w:rPr>
          <w:rFonts w:ascii="Times New Roman" w:hAnsi="Times New Roman"/>
          <w:noProof/>
          <w:sz w:val="24"/>
          <w:lang w:val="fr-FR"/>
        </w:rPr>
        <w:t xml:space="preserve">En matière de simplification, le caractère intégré d’Erasmus+ permet d’utiliser des outils transversaux pour les demandes de subvention, le suivi, l’audit ou la diffusion. </w:t>
      </w:r>
      <w:r>
        <w:rPr>
          <w:rFonts w:ascii="Times New Roman" w:hAnsi="Times New Roman"/>
          <w:b/>
          <w:noProof/>
          <w:sz w:val="24"/>
          <w:lang w:val="fr-FR"/>
        </w:rPr>
        <w:t>Après une période de transition difficile</w:t>
      </w:r>
      <w:r>
        <w:rPr>
          <w:rFonts w:ascii="Times New Roman" w:hAnsi="Times New Roman"/>
          <w:noProof/>
          <w:sz w:val="24"/>
          <w:lang w:val="fr-FR"/>
        </w:rPr>
        <w:t xml:space="preserve"> entre les programmes antérieurs et le programme actuel, il est largement admis qu’Erasmus+ a connu d’importantes améliorations (telles que la simplification des subventions, la numérisation, la charte EFP et le soutien linguistique en ligne</w:t>
      </w:r>
      <w:r>
        <w:rPr>
          <w:rStyle w:val="FootnoteReference"/>
          <w:rFonts w:ascii="Times New Roman" w:hAnsi="Times New Roman"/>
          <w:noProof/>
          <w:sz w:val="24"/>
        </w:rPr>
        <w:footnoteReference w:id="18"/>
      </w:r>
      <w:r>
        <w:rPr>
          <w:rFonts w:ascii="Times New Roman" w:hAnsi="Times New Roman"/>
          <w:noProof/>
          <w:sz w:val="24"/>
          <w:lang w:val="fr-FR"/>
        </w:rPr>
        <w:t xml:space="preserve">) mais que </w:t>
      </w:r>
      <w:r>
        <w:rPr>
          <w:rFonts w:ascii="Times New Roman" w:hAnsi="Times New Roman"/>
          <w:b/>
          <w:noProof/>
          <w:sz w:val="24"/>
          <w:lang w:val="fr-FR"/>
        </w:rPr>
        <w:t>la convivialité des procédures et des outils de gestion informatiques devrait être améliorée</w:t>
      </w:r>
      <w:r>
        <w:rPr>
          <w:rFonts w:ascii="Times New Roman" w:hAnsi="Times New Roman"/>
          <w:noProof/>
          <w:sz w:val="24"/>
          <w:lang w:val="fr-FR"/>
        </w:rPr>
        <w:t xml:space="preserve"> afin de réduire la charge administrative pesant sur les organes d’exécution et les bénéficiaires par rapport aux subventions</w:t>
      </w:r>
      <w:r>
        <w:rPr>
          <w:noProof/>
          <w:lang w:val="fr-FR"/>
        </w:rPr>
        <w:t xml:space="preserve"> </w:t>
      </w:r>
      <w:r>
        <w:rPr>
          <w:rFonts w:ascii="Times New Roman" w:hAnsi="Times New Roman"/>
          <w:noProof/>
          <w:sz w:val="24"/>
          <w:lang w:val="fr-FR"/>
        </w:rPr>
        <w:t>qu’ils reçoivent.</w:t>
      </w:r>
    </w:p>
    <w:p>
      <w:pPr>
        <w:pStyle w:val="ListParagraph"/>
        <w:numPr>
          <w:ilvl w:val="0"/>
          <w:numId w:val="14"/>
        </w:numPr>
        <w:pBdr>
          <w:top w:val="single" w:sz="4" w:space="1" w:color="auto"/>
          <w:left w:val="single" w:sz="4" w:space="4" w:color="auto"/>
          <w:bottom w:val="single" w:sz="4" w:space="1" w:color="auto"/>
          <w:right w:val="single" w:sz="4" w:space="4" w:color="auto"/>
        </w:pBdr>
        <w:spacing w:line="256" w:lineRule="auto"/>
        <w:jc w:val="both"/>
        <w:rPr>
          <w:rFonts w:ascii="Times New Roman" w:hAnsi="Times New Roman" w:cs="Times New Roman"/>
          <w:i/>
          <w:noProof/>
          <w:sz w:val="24"/>
          <w:szCs w:val="24"/>
          <w:lang w:val="fr-FR"/>
        </w:rPr>
      </w:pPr>
      <w:r>
        <w:rPr>
          <w:rFonts w:ascii="Times New Roman" w:hAnsi="Times New Roman"/>
          <w:noProof/>
          <w:sz w:val="24"/>
          <w:lang w:val="fr-FR"/>
        </w:rPr>
        <w:t xml:space="preserve">À partir de 2018, des formulaires en ligne seront mis en place par la Commission pour faciliter les demandes de subvention. Ces </w:t>
      </w:r>
      <w:r>
        <w:rPr>
          <w:rFonts w:ascii="Times New Roman" w:hAnsi="Times New Roman"/>
          <w:b/>
          <w:noProof/>
          <w:sz w:val="24"/>
          <w:lang w:val="fr-FR"/>
        </w:rPr>
        <w:t>améliorations</w:t>
      </w:r>
      <w:r>
        <w:rPr>
          <w:rFonts w:ascii="Times New Roman" w:hAnsi="Times New Roman"/>
          <w:noProof/>
          <w:sz w:val="24"/>
          <w:lang w:val="fr-FR"/>
        </w:rPr>
        <w:t xml:space="preserve"> graduelles </w:t>
      </w:r>
      <w:r>
        <w:rPr>
          <w:rFonts w:ascii="Times New Roman" w:hAnsi="Times New Roman"/>
          <w:b/>
          <w:noProof/>
          <w:sz w:val="24"/>
          <w:lang w:val="fr-FR"/>
        </w:rPr>
        <w:t>se poursuivront</w:t>
      </w:r>
      <w:r>
        <w:rPr>
          <w:rFonts w:ascii="Times New Roman" w:hAnsi="Times New Roman"/>
          <w:noProof/>
          <w:sz w:val="24"/>
          <w:lang w:val="fr-FR"/>
        </w:rPr>
        <w:t xml:space="preserve"> tout au long de la durée de vie du programme.</w:t>
      </w:r>
    </w:p>
    <w:p>
      <w:pPr>
        <w:pStyle w:val="ListParagraph"/>
        <w:numPr>
          <w:ilvl w:val="0"/>
          <w:numId w:val="14"/>
        </w:numPr>
        <w:pBdr>
          <w:top w:val="single" w:sz="4" w:space="1" w:color="auto"/>
          <w:left w:val="single" w:sz="4" w:space="4" w:color="auto"/>
          <w:bottom w:val="single" w:sz="4" w:space="1" w:color="auto"/>
          <w:right w:val="single" w:sz="4" w:space="4" w:color="auto"/>
        </w:pBdr>
        <w:spacing w:line="256" w:lineRule="auto"/>
        <w:jc w:val="both"/>
        <w:rPr>
          <w:rFonts w:ascii="Times New Roman" w:hAnsi="Times New Roman" w:cs="Times New Roman"/>
          <w:noProof/>
          <w:sz w:val="24"/>
          <w:szCs w:val="24"/>
          <w:lang w:val="fr-FR"/>
        </w:rPr>
      </w:pPr>
      <w:r>
        <w:rPr>
          <w:rFonts w:ascii="Times New Roman" w:hAnsi="Times New Roman"/>
          <w:noProof/>
          <w:sz w:val="24"/>
          <w:lang w:val="fr-FR"/>
        </w:rPr>
        <w:t xml:space="preserve">Le futur programme devrait consolider encore les gains d’efficacité actuels, et notamment </w:t>
      </w:r>
      <w:r>
        <w:rPr>
          <w:rFonts w:ascii="Times New Roman" w:hAnsi="Times New Roman"/>
          <w:b/>
          <w:noProof/>
          <w:sz w:val="24"/>
          <w:lang w:val="fr-FR"/>
        </w:rPr>
        <w:t>réduire la charge administrative</w:t>
      </w:r>
      <w:r>
        <w:rPr>
          <w:rFonts w:ascii="Times New Roman" w:hAnsi="Times New Roman"/>
          <w:noProof/>
          <w:sz w:val="24"/>
          <w:lang w:val="fr-FR"/>
        </w:rPr>
        <w:t xml:space="preserve"> en simplifiant les procédures de demande et d’établissement de rapports, en améliorant l’interopérabilité et la convivialité des outils informatiques et en renforçant la flexibilité budgétaire, tout en préservant l’obligation de rendre des comptes.</w:t>
      </w:r>
    </w:p>
    <w:p>
      <w:pPr>
        <w:jc w:val="both"/>
        <w:rPr>
          <w:rFonts w:ascii="Times New Roman" w:hAnsi="Times New Roman" w:cs="Times New Roman"/>
          <w:noProof/>
          <w:sz w:val="24"/>
          <w:szCs w:val="24"/>
          <w:lang w:val="fr-FR"/>
        </w:rPr>
      </w:pPr>
      <w:r>
        <w:rPr>
          <w:rFonts w:ascii="Times New Roman" w:hAnsi="Times New Roman"/>
          <w:noProof/>
          <w:sz w:val="24"/>
          <w:lang w:val="fr-FR"/>
        </w:rPr>
        <w:t xml:space="preserve">Le </w:t>
      </w:r>
      <w:r>
        <w:rPr>
          <w:rFonts w:ascii="Times New Roman" w:hAnsi="Times New Roman"/>
          <w:b/>
          <w:noProof/>
          <w:sz w:val="24"/>
          <w:lang w:val="fr-FR"/>
        </w:rPr>
        <w:t>mode de mise en œuvre décentralisé par l’intermédiaire d’agences nationales est à présent bien établi</w:t>
      </w:r>
      <w:r>
        <w:rPr>
          <w:rFonts w:ascii="Times New Roman" w:hAnsi="Times New Roman"/>
          <w:noProof/>
          <w:sz w:val="24"/>
          <w:lang w:val="fr-FR"/>
        </w:rPr>
        <w:t xml:space="preserve">. Une </w:t>
      </w:r>
      <w:r>
        <w:rPr>
          <w:rFonts w:ascii="Times New Roman" w:hAnsi="Times New Roman"/>
          <w:b/>
          <w:noProof/>
          <w:sz w:val="24"/>
          <w:lang w:val="fr-FR"/>
        </w:rPr>
        <w:t>approche réellement fondée sur l’obtention de résultats</w:t>
      </w:r>
      <w:r>
        <w:rPr>
          <w:rFonts w:ascii="Times New Roman" w:hAnsi="Times New Roman"/>
          <w:noProof/>
          <w:sz w:val="24"/>
          <w:lang w:val="fr-FR"/>
        </w:rPr>
        <w:t xml:space="preserve"> a été mise en place en 2014 en ce qui concerne la gestion des programmes. Sur la base de l’amélioration avérée du suivi des résultats dans le cadre d’Erasmus+, certains indicateurs nécessitent d’être affinés et </w:t>
      </w:r>
      <w:r>
        <w:rPr>
          <w:rFonts w:ascii="Times New Roman" w:hAnsi="Times New Roman"/>
          <w:b/>
          <w:noProof/>
          <w:sz w:val="24"/>
          <w:lang w:val="fr-FR"/>
        </w:rPr>
        <w:t>les données recueillies auprès des participants pourraient être moins nombreuses et mieux utilisées.</w:t>
      </w:r>
    </w:p>
    <w:p>
      <w:pPr>
        <w:pStyle w:val="ListParagraph"/>
        <w:numPr>
          <w:ilvl w:val="0"/>
          <w:numId w:val="15"/>
        </w:numPr>
        <w:pBdr>
          <w:top w:val="single" w:sz="4" w:space="1" w:color="auto"/>
          <w:left w:val="single" w:sz="4" w:space="4" w:color="auto"/>
          <w:bottom w:val="single" w:sz="4" w:space="1" w:color="auto"/>
          <w:right w:val="single" w:sz="4" w:space="4" w:color="auto"/>
        </w:pBdr>
        <w:spacing w:line="256" w:lineRule="auto"/>
        <w:jc w:val="both"/>
        <w:rPr>
          <w:rFonts w:ascii="Times New Roman" w:hAnsi="Times New Roman" w:cs="Times New Roman"/>
          <w:noProof/>
          <w:sz w:val="24"/>
          <w:szCs w:val="24"/>
          <w:lang w:val="fr-FR"/>
        </w:rPr>
      </w:pPr>
      <w:r>
        <w:rPr>
          <w:rFonts w:ascii="Times New Roman" w:hAnsi="Times New Roman"/>
          <w:noProof/>
          <w:sz w:val="24"/>
          <w:lang w:val="fr-FR"/>
        </w:rPr>
        <w:t xml:space="preserve">La communication entre l’Agence exécutive «Éducation, audiovisuel et culture» et les agences nationales a été améliorée afin de renforcer les </w:t>
      </w:r>
      <w:r>
        <w:rPr>
          <w:rFonts w:ascii="Times New Roman" w:hAnsi="Times New Roman"/>
          <w:b/>
          <w:noProof/>
          <w:sz w:val="24"/>
          <w:lang w:val="fr-FR"/>
        </w:rPr>
        <w:t>synergies entre actions centralisées et décentralisées</w:t>
      </w:r>
      <w:r>
        <w:rPr>
          <w:rFonts w:ascii="Times New Roman" w:hAnsi="Times New Roman"/>
          <w:noProof/>
          <w:sz w:val="24"/>
          <w:lang w:val="fr-FR"/>
        </w:rPr>
        <w:t>.</w:t>
      </w:r>
    </w:p>
    <w:p>
      <w:pPr>
        <w:pStyle w:val="ListParagraph"/>
        <w:numPr>
          <w:ilvl w:val="0"/>
          <w:numId w:val="15"/>
        </w:numPr>
        <w:pBdr>
          <w:top w:val="single" w:sz="4" w:space="1" w:color="auto"/>
          <w:left w:val="single" w:sz="4" w:space="4" w:color="auto"/>
          <w:bottom w:val="single" w:sz="4" w:space="1" w:color="auto"/>
          <w:right w:val="single" w:sz="4" w:space="4" w:color="auto"/>
        </w:pBdr>
        <w:spacing w:line="256" w:lineRule="auto"/>
        <w:jc w:val="both"/>
        <w:rPr>
          <w:rFonts w:ascii="Times New Roman" w:hAnsi="Times New Roman" w:cs="Times New Roman"/>
          <w:noProof/>
          <w:sz w:val="24"/>
          <w:szCs w:val="24"/>
          <w:lang w:val="fr-FR"/>
        </w:rPr>
      </w:pPr>
      <w:r>
        <w:rPr>
          <w:rFonts w:ascii="Times New Roman" w:hAnsi="Times New Roman"/>
          <w:noProof/>
          <w:sz w:val="24"/>
          <w:lang w:val="fr-FR"/>
        </w:rPr>
        <w:t>La Commission examinera les moyens de perfectionner le suivi d’Erasmus+ en étendant celui-ci aux projets de coopération et aux actions centralisées en vue d’</w:t>
      </w:r>
      <w:r>
        <w:rPr>
          <w:rFonts w:ascii="Times New Roman" w:hAnsi="Times New Roman"/>
          <w:b/>
          <w:noProof/>
          <w:sz w:val="24"/>
          <w:lang w:val="fr-FR"/>
        </w:rPr>
        <w:t>explorer les données recueillies, de manière proportionnée, de sorte que la prise de décision soit guidée par des éléments factuels</w:t>
      </w:r>
      <w:r>
        <w:rPr>
          <w:rFonts w:ascii="Times New Roman" w:hAnsi="Times New Roman"/>
          <w:noProof/>
          <w:sz w:val="24"/>
          <w:lang w:val="fr-FR"/>
        </w:rPr>
        <w:t>.</w:t>
      </w:r>
    </w:p>
    <w:sectPr>
      <w:headerReference w:type="even" r:id="rId17"/>
      <w:headerReference w:type="default" r:id="rId18"/>
      <w:footerReference w:type="even" r:id="rId19"/>
      <w:footerReference w:type="default" r:id="rId20"/>
      <w:headerReference w:type="first" r:id="rId21"/>
      <w:footerReference w:type="first" r:id="rId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028233"/>
      <w:docPartObj>
        <w:docPartGallery w:val="Page Numbers (Bottom of Page)"/>
        <w:docPartUnique/>
      </w:docPartObj>
    </w:sdtPr>
    <w:sdtContent>
      <w:p>
        <w:pPr>
          <w:pStyle w:val="Footer"/>
          <w:jc w:val="center"/>
        </w:pPr>
        <w:r>
          <w:fldChar w:fldCharType="begin"/>
        </w:r>
        <w:r>
          <w:instrText xml:space="preserve"> PAGE   \* MERGEFORMAT </w:instrText>
        </w:r>
        <w:r>
          <w:fldChar w:fldCharType="separate"/>
        </w:r>
        <w:r>
          <w:rPr>
            <w:noProof/>
          </w:rPr>
          <w:t>7</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spacing w:after="60"/>
        <w:rPr>
          <w:rFonts w:ascii="Times New Roman" w:eastAsiaTheme="majorEastAsia" w:hAnsi="Times New Roman"/>
          <w:bCs/>
          <w:lang w:val="fr-FR"/>
        </w:rPr>
      </w:pPr>
      <w:r>
        <w:rPr>
          <w:rStyle w:val="FootnoteReference"/>
          <w:sz w:val="18"/>
        </w:rPr>
        <w:footnoteRef/>
      </w:r>
      <w:r>
        <w:rPr>
          <w:sz w:val="18"/>
          <w:lang w:val="fr-FR"/>
        </w:rPr>
        <w:t xml:space="preserve"> </w:t>
      </w:r>
      <w:r>
        <w:rPr>
          <w:rFonts w:ascii="Times New Roman" w:eastAsiaTheme="majorEastAsia" w:hAnsi="Times New Roman"/>
          <w:lang w:val="fr-FR"/>
        </w:rPr>
        <w:t>Incluant les fonds issus des instruments d’action extérieure.</w:t>
      </w:r>
    </w:p>
  </w:footnote>
  <w:footnote w:id="2">
    <w:p>
      <w:pPr>
        <w:pStyle w:val="FootnoteText"/>
        <w:spacing w:after="60"/>
        <w:rPr>
          <w:rFonts w:ascii="Times New Roman" w:hAnsi="Times New Roman"/>
          <w:lang w:val="fr-FR"/>
        </w:rPr>
      </w:pPr>
      <w:r>
        <w:rPr>
          <w:rStyle w:val="FootnoteReference"/>
          <w:rFonts w:ascii="Times New Roman" w:hAnsi="Times New Roman"/>
        </w:rPr>
        <w:footnoteRef/>
      </w:r>
      <w:r>
        <w:rPr>
          <w:rFonts w:ascii="Times New Roman" w:hAnsi="Times New Roman"/>
          <w:lang w:val="fr-FR"/>
        </w:rPr>
        <w:t xml:space="preserve"> JO L 347 du 20.12.2013, p. 50.</w:t>
      </w:r>
      <w:r>
        <w:rPr>
          <w:sz w:val="18"/>
          <w:lang w:val="fr-FR"/>
        </w:rPr>
        <w:t xml:space="preserve"> budget</w:t>
      </w:r>
    </w:p>
  </w:footnote>
  <w:footnote w:id="3">
    <w:p>
      <w:pPr>
        <w:pStyle w:val="FootnoteText"/>
        <w:spacing w:after="60"/>
        <w:rPr>
          <w:rFonts w:ascii="Times New Roman" w:hAnsi="Times New Roman"/>
          <w:lang w:val="fr-FR"/>
        </w:rPr>
      </w:pPr>
      <w:r>
        <w:rPr>
          <w:rStyle w:val="FootnoteReference"/>
          <w:rFonts w:ascii="Times New Roman" w:hAnsi="Times New Roman"/>
        </w:rPr>
        <w:footnoteRef/>
      </w:r>
      <w:r>
        <w:rPr>
          <w:rFonts w:ascii="Times New Roman" w:hAnsi="Times New Roman"/>
          <w:lang w:val="fr-FR"/>
        </w:rPr>
        <w:t xml:space="preserve"> Pays participant au programme: États membres de l’UE, ancienne République yougoslave de Macédoine, Islande, Liechtenstein, Norvège et Turquie. Pays partenaires: autres pays non membres de l’UE.</w:t>
      </w:r>
    </w:p>
  </w:footnote>
  <w:footnote w:id="4">
    <w:p>
      <w:pPr>
        <w:pStyle w:val="FootnoteText"/>
        <w:spacing w:after="60"/>
        <w:rPr>
          <w:rFonts w:ascii="Times New Roman" w:hAnsi="Times New Roman" w:cs="Times New Roman"/>
          <w:lang w:val="fr-FR"/>
        </w:rPr>
      </w:pPr>
      <w:r>
        <w:rPr>
          <w:rStyle w:val="FootnoteReference"/>
          <w:rFonts w:ascii="Times New Roman" w:hAnsi="Times New Roman"/>
        </w:rPr>
        <w:footnoteRef/>
      </w:r>
      <w:r>
        <w:rPr>
          <w:rFonts w:ascii="Times New Roman" w:hAnsi="Times New Roman"/>
          <w:lang w:val="fr-FR"/>
        </w:rPr>
        <w:t xml:space="preserve"> Document de travail des services de la Commission, point 5.1.2.1.</w:t>
      </w:r>
    </w:p>
  </w:footnote>
  <w:footnote w:id="5">
    <w:p>
      <w:pPr>
        <w:pStyle w:val="FootnoteText"/>
        <w:spacing w:after="60"/>
        <w:rPr>
          <w:rFonts w:ascii="Times New Roman" w:hAnsi="Times New Roman" w:cs="Times New Roman"/>
          <w:lang w:val="fr-FR"/>
        </w:rPr>
      </w:pPr>
      <w:r>
        <w:rPr>
          <w:rStyle w:val="FootnoteReference"/>
          <w:rFonts w:ascii="Times New Roman" w:hAnsi="Times New Roman"/>
        </w:rPr>
        <w:footnoteRef/>
      </w:r>
      <w:r>
        <w:rPr>
          <w:rFonts w:ascii="Times New Roman" w:hAnsi="Times New Roman"/>
          <w:lang w:val="fr-FR"/>
        </w:rPr>
        <w:t xml:space="preserve"> Document de travail des services de la Commission, point 5.1.2.2.</w:t>
      </w:r>
    </w:p>
  </w:footnote>
  <w:footnote w:id="6">
    <w:p>
      <w:pPr>
        <w:pStyle w:val="FootnoteText"/>
        <w:rPr>
          <w:lang w:val="fr-BE"/>
        </w:rPr>
      </w:pPr>
      <w:r>
        <w:rPr>
          <w:rStyle w:val="FootnoteReference"/>
        </w:rPr>
        <w:footnoteRef/>
      </w:r>
      <w:r>
        <w:rPr>
          <w:lang w:val="fr-FR"/>
        </w:rPr>
        <w:t xml:space="preserve"> http://ec.europa.eu/programmes/erasmus-plus/projects</w:t>
      </w:r>
    </w:p>
  </w:footnote>
  <w:footnote w:id="7">
    <w:p>
      <w:pPr>
        <w:pStyle w:val="FootnoteText"/>
        <w:spacing w:after="60"/>
        <w:rPr>
          <w:rFonts w:ascii="Times New Roman" w:hAnsi="Times New Roman"/>
          <w:lang w:val="fr-FR"/>
        </w:rPr>
      </w:pPr>
      <w:r>
        <w:rPr>
          <w:rStyle w:val="FootnoteReference"/>
          <w:rFonts w:ascii="Times New Roman" w:hAnsi="Times New Roman"/>
        </w:rPr>
        <w:footnoteRef/>
      </w:r>
      <w:r>
        <w:rPr>
          <w:rFonts w:ascii="Times New Roman" w:hAnsi="Times New Roman"/>
          <w:lang w:val="fr-FR"/>
        </w:rPr>
        <w:t xml:space="preserve"> </w:t>
      </w:r>
      <w:r>
        <w:rPr>
          <w:rFonts w:ascii="Times New Roman" w:hAnsi="Times New Roman"/>
          <w:i/>
          <w:lang w:val="fr-FR"/>
        </w:rPr>
        <w:t>Renforcer l’identité européenne par l’éducation et la culture — Contribution de la Commission européenne à la réunion des dirigeants du 17 novembre 2017 à Göteborg</w:t>
      </w:r>
      <w:r>
        <w:rPr>
          <w:rFonts w:ascii="Times New Roman" w:hAnsi="Times New Roman"/>
          <w:lang w:val="fr-FR"/>
        </w:rPr>
        <w:t xml:space="preserve"> [COM(2017) 673].</w:t>
      </w:r>
    </w:p>
  </w:footnote>
  <w:footnote w:id="8">
    <w:p>
      <w:pPr>
        <w:pStyle w:val="FootnoteText"/>
        <w:spacing w:after="60"/>
        <w:rPr>
          <w:rFonts w:ascii="Times New Roman" w:hAnsi="Times New Roman" w:cs="Times New Roman"/>
          <w:lang w:val="fr-FR"/>
        </w:rPr>
      </w:pPr>
      <w:r>
        <w:rPr>
          <w:rStyle w:val="FootnoteReference"/>
          <w:rFonts w:ascii="Times New Roman" w:hAnsi="Times New Roman"/>
        </w:rPr>
        <w:footnoteRef/>
      </w:r>
      <w:r>
        <w:rPr>
          <w:rFonts w:ascii="Times New Roman" w:hAnsi="Times New Roman"/>
          <w:lang w:val="fr-FR"/>
        </w:rPr>
        <w:t xml:space="preserve"> Sans préjuger du prochain cadre financier pluriannuel.</w:t>
      </w:r>
    </w:p>
  </w:footnote>
  <w:footnote w:id="9">
    <w:p>
      <w:pPr>
        <w:pStyle w:val="FootnoteText"/>
        <w:spacing w:after="60"/>
        <w:rPr>
          <w:rFonts w:ascii="Times New Roman" w:hAnsi="Times New Roman" w:cs="Times New Roman"/>
          <w:lang w:val="fr-FR"/>
        </w:rPr>
      </w:pPr>
      <w:r>
        <w:rPr>
          <w:rStyle w:val="FootnoteReference"/>
          <w:rFonts w:ascii="Times New Roman" w:hAnsi="Times New Roman"/>
        </w:rPr>
        <w:footnoteRef/>
      </w:r>
      <w:r>
        <w:rPr>
          <w:rFonts w:ascii="Times New Roman" w:hAnsi="Times New Roman"/>
          <w:lang w:val="fr-FR"/>
        </w:rPr>
        <w:t xml:space="preserve"> Document de travail des services de la Commission, point 5.5.</w:t>
      </w:r>
    </w:p>
  </w:footnote>
  <w:footnote w:id="10">
    <w:p>
      <w:pPr>
        <w:pStyle w:val="FootnoteText"/>
        <w:spacing w:after="60"/>
        <w:rPr>
          <w:rFonts w:ascii="Times New Roman" w:hAnsi="Times New Roman" w:cs="Times New Roman"/>
          <w:lang w:val="fr-FR"/>
        </w:rPr>
      </w:pPr>
      <w:r>
        <w:rPr>
          <w:rStyle w:val="FootnoteReference"/>
          <w:rFonts w:ascii="Times New Roman" w:hAnsi="Times New Roman"/>
        </w:rPr>
        <w:footnoteRef/>
      </w:r>
      <w:r>
        <w:rPr>
          <w:rFonts w:ascii="Times New Roman" w:hAnsi="Times New Roman"/>
          <w:lang w:val="fr-FR"/>
        </w:rPr>
        <w:t xml:space="preserve"> Document de travail des services de la Commission, point 5.2.</w:t>
      </w:r>
    </w:p>
  </w:footnote>
  <w:footnote w:id="11">
    <w:p>
      <w:pPr>
        <w:pStyle w:val="FootnoteText"/>
        <w:spacing w:after="60"/>
        <w:rPr>
          <w:lang w:val="fr-FR"/>
        </w:rPr>
      </w:pPr>
      <w:r>
        <w:rPr>
          <w:rStyle w:val="FootnoteReference"/>
        </w:rPr>
        <w:footnoteRef/>
      </w:r>
      <w:r>
        <w:rPr>
          <w:lang w:val="fr-FR"/>
        </w:rPr>
        <w:t xml:space="preserve"> </w:t>
      </w:r>
      <w:r>
        <w:rPr>
          <w:rFonts w:ascii="Times New Roman" w:hAnsi="Times New Roman"/>
          <w:lang w:val="fr-FR"/>
        </w:rPr>
        <w:t>Déclaration sur la promotion de l’éducation à la citoyenneté et aux valeurs communes de liberté, de tolérance et de non-discrimination, Paris, 17 mars 2015.</w:t>
      </w:r>
    </w:p>
  </w:footnote>
  <w:footnote w:id="12">
    <w:p>
      <w:pPr>
        <w:shd w:val="clear" w:color="auto" w:fill="FFFFFF"/>
        <w:spacing w:after="60"/>
        <w:jc w:val="both"/>
        <w:textAlignment w:val="baseline"/>
        <w:rPr>
          <w:lang w:val="fr-FR"/>
        </w:rPr>
      </w:pPr>
      <w:r>
        <w:rPr>
          <w:rStyle w:val="FootnoteReference"/>
          <w:rFonts w:ascii="Times New Roman" w:hAnsi="Times New Roman"/>
          <w:sz w:val="20"/>
        </w:rPr>
        <w:footnoteRef/>
      </w:r>
      <w:r>
        <w:rPr>
          <w:rFonts w:ascii="Times New Roman" w:hAnsi="Times New Roman"/>
          <w:sz w:val="20"/>
          <w:lang w:val="fr-FR"/>
        </w:rPr>
        <w:t xml:space="preserve"> Rapport conjoint 2015 du Conseil et de la Commission sur la mise en œuvre du cadre «Éducation et formation 2020» (JO C 417 du 15.12.2015, p. 25); résolution du Conseil sur un plan de travail de l’UE en faveur de la jeunesse pour 2016-2018 (JO C 417 du 15.12.2015, p. 1).</w:t>
      </w:r>
    </w:p>
  </w:footnote>
  <w:footnote w:id="13">
    <w:p>
      <w:pPr>
        <w:shd w:val="clear" w:color="auto" w:fill="FFFFFF"/>
        <w:spacing w:after="60"/>
        <w:jc w:val="both"/>
        <w:textAlignment w:val="baseline"/>
        <w:rPr>
          <w:lang w:val="fr-FR"/>
        </w:rPr>
      </w:pPr>
      <w:r>
        <w:rPr>
          <w:rStyle w:val="FootnoteReference"/>
          <w:rFonts w:ascii="Times New Roman" w:hAnsi="Times New Roman"/>
          <w:sz w:val="20"/>
        </w:rPr>
        <w:footnoteRef/>
      </w:r>
      <w:r>
        <w:rPr>
          <w:rFonts w:ascii="Times New Roman" w:hAnsi="Times New Roman"/>
          <w:sz w:val="20"/>
          <w:lang w:val="fr-FR"/>
        </w:rPr>
        <w:t xml:space="preserve"> COM(2016) 381 du 10 juin 2016.</w:t>
      </w:r>
    </w:p>
  </w:footnote>
  <w:footnote w:id="14">
    <w:p>
      <w:pPr>
        <w:pStyle w:val="FootnoteText"/>
        <w:spacing w:after="60"/>
        <w:rPr>
          <w:rFonts w:ascii="Times New Roman" w:hAnsi="Times New Roman" w:cs="Times New Roman"/>
          <w:lang w:val="fr-FR"/>
        </w:rPr>
      </w:pPr>
      <w:r>
        <w:rPr>
          <w:rStyle w:val="FootnoteReference"/>
          <w:rFonts w:ascii="Times New Roman" w:hAnsi="Times New Roman"/>
        </w:rPr>
        <w:footnoteRef/>
      </w:r>
      <w:r>
        <w:rPr>
          <w:rFonts w:ascii="Times New Roman" w:hAnsi="Times New Roman"/>
          <w:lang w:val="fr-FR"/>
        </w:rPr>
        <w:t xml:space="preserve"> Document de travail des services de la Commission, point 5.3.2.</w:t>
      </w:r>
    </w:p>
  </w:footnote>
  <w:footnote w:id="15">
    <w:p>
      <w:pPr>
        <w:pStyle w:val="FootnoteText"/>
        <w:spacing w:after="60"/>
        <w:rPr>
          <w:rFonts w:ascii="Times New Roman" w:hAnsi="Times New Roman" w:cs="Times New Roman"/>
          <w:lang w:val="fr-FR"/>
        </w:rPr>
      </w:pPr>
      <w:r>
        <w:rPr>
          <w:rStyle w:val="FootnoteReference"/>
          <w:rFonts w:ascii="Times New Roman" w:hAnsi="Times New Roman"/>
        </w:rPr>
        <w:footnoteRef/>
      </w:r>
      <w:r>
        <w:rPr>
          <w:rFonts w:ascii="Times New Roman" w:hAnsi="Times New Roman"/>
          <w:lang w:val="fr-FR"/>
        </w:rPr>
        <w:t xml:space="preserve"> Document de travail des services de la Commission, point 5.3.1.</w:t>
      </w:r>
    </w:p>
  </w:footnote>
  <w:footnote w:id="16">
    <w:p>
      <w:pPr>
        <w:pStyle w:val="FootnoteText"/>
        <w:spacing w:after="60"/>
        <w:rPr>
          <w:rFonts w:ascii="Times New Roman" w:hAnsi="Times New Roman" w:cs="Times New Roman"/>
          <w:lang w:val="fr-FR"/>
        </w:rPr>
      </w:pPr>
      <w:r>
        <w:rPr>
          <w:rStyle w:val="FootnoteReference"/>
          <w:rFonts w:ascii="Times New Roman" w:hAnsi="Times New Roman"/>
        </w:rPr>
        <w:footnoteRef/>
      </w:r>
      <w:r>
        <w:rPr>
          <w:rFonts w:ascii="Times New Roman" w:hAnsi="Times New Roman"/>
          <w:lang w:val="fr-FR"/>
        </w:rPr>
        <w:t xml:space="preserve"> Document de travail des services de la Commission, point 5.4.</w:t>
      </w:r>
    </w:p>
  </w:footnote>
  <w:footnote w:id="17">
    <w:p>
      <w:pPr>
        <w:pStyle w:val="FootnoteText"/>
        <w:rPr>
          <w:rFonts w:ascii="Times New Roman" w:hAnsi="Times New Roman" w:cs="Times New Roman"/>
          <w:lang w:val="fr-FR"/>
        </w:rPr>
      </w:pPr>
      <w:r>
        <w:rPr>
          <w:rStyle w:val="FootnoteReference"/>
        </w:rPr>
        <w:footnoteRef/>
      </w:r>
      <w:r>
        <w:rPr>
          <w:lang w:val="fr-FR"/>
        </w:rPr>
        <w:t xml:space="preserve"> </w:t>
      </w:r>
      <w:r>
        <w:rPr>
          <w:rFonts w:ascii="Times New Roman" w:hAnsi="Times New Roman"/>
          <w:lang w:val="fr-FR"/>
        </w:rPr>
        <w:t xml:space="preserve">En comptant les frais de gestion des agences nationales, financés sur le budget opérationnel. </w:t>
      </w:r>
    </w:p>
  </w:footnote>
  <w:footnote w:id="18">
    <w:p>
      <w:pPr>
        <w:pStyle w:val="FootnoteText"/>
        <w:rPr>
          <w:lang w:val="fr-BE"/>
        </w:rPr>
      </w:pPr>
      <w:r>
        <w:rPr>
          <w:rStyle w:val="FootnoteReference"/>
        </w:rPr>
        <w:footnoteRef/>
      </w:r>
      <w:r>
        <w:t xml:space="preserve"> https://erasmusplusols.eu/fr/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54EB3"/>
    <w:multiLevelType w:val="hybridMultilevel"/>
    <w:tmpl w:val="AAA04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8774357"/>
    <w:multiLevelType w:val="hybridMultilevel"/>
    <w:tmpl w:val="72FCB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1FF39C9"/>
    <w:multiLevelType w:val="hybridMultilevel"/>
    <w:tmpl w:val="4B427060"/>
    <w:lvl w:ilvl="0" w:tplc="B7CA5A9E">
      <w:start w:val="3"/>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0F078B5"/>
    <w:multiLevelType w:val="hybridMultilevel"/>
    <w:tmpl w:val="FED4B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7C50464"/>
    <w:multiLevelType w:val="hybridMultilevel"/>
    <w:tmpl w:val="22244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3C1353E"/>
    <w:multiLevelType w:val="hybridMultilevel"/>
    <w:tmpl w:val="7FAA1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8B042F9"/>
    <w:multiLevelType w:val="hybridMultilevel"/>
    <w:tmpl w:val="117C0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A3D3FAA"/>
    <w:multiLevelType w:val="hybridMultilevel"/>
    <w:tmpl w:val="15D27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3"/>
  </w:num>
  <w:num w:numId="4">
    <w:abstractNumId w:val="0"/>
  </w:num>
  <w:num w:numId="5">
    <w:abstractNumId w:val="4"/>
  </w:num>
  <w:num w:numId="6">
    <w:abstractNumId w:val="7"/>
  </w:num>
  <w:num w:numId="7">
    <w:abstractNumId w:val="5"/>
  </w:num>
  <w:num w:numId="8">
    <w:abstractNumId w:val="2"/>
  </w:num>
  <w:num w:numId="9">
    <w:abstractNumId w:val="1"/>
  </w:num>
  <w:num w:numId="10">
    <w:abstractNumId w:val="6"/>
  </w:num>
  <w:num w:numId="11">
    <w:abstractNumId w:val="3"/>
  </w:num>
  <w:num w:numId="12">
    <w:abstractNumId w:val="0"/>
  </w:num>
  <w:num w:numId="13">
    <w:abstractNumId w:val="4"/>
  </w:num>
  <w:num w:numId="14">
    <w:abstractNumId w:val="7"/>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50"/>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0F42FE80-643C-40B0-8F38-F926AE7F9BCE"/>
    <w:docVar w:name="LW_COVERPAGE_TYPE" w:val="1"/>
    <w:docVar w:name="LW_CROSSREFERENCE" w:val="{SWD(2018) 40 final}"/>
    <w:docVar w:name="LW_DocType" w:val="NORMAL"/>
    <w:docVar w:name="LW_EMISSION" w:val="31.1.2018"/>
    <w:docVar w:name="LW_EMISSION_ISODATE" w:val="2018-01-31"/>
    <w:docVar w:name="LW_EMISSION_LOCATION" w:val="BRX"/>
    <w:docVar w:name="LW_EMISSION_PREFIX" w:val="Bruxelles, le "/>
    <w:docVar w:name="LW_EMISSION_SUFFIX" w:val="&lt;EMPTY&gt;"/>
    <w:docVar w:name="LW_ID_DOCTYPE_NONLW" w:val="CP-008"/>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8) 5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Évaluation à mi-parcours du programme Erasmus+ (2014-2020)"/>
    <w:docVar w:name="LW_TYPE.DOC.CP" w:val="RAPPORT DE LA COMMISSION AU PARLEMENT EUROPÉEN, AU CONSEIL, AU COMITÉ ÉCONOMIQUE ET SOCIAL EUROPÉEN ET AU COMITÉ DES RÉGIONS"/>
  </w:docVar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FootnoteText">
    <w:name w:val="footnote text"/>
    <w:basedOn w:val="Normal"/>
    <w:uiPriority w:val="99"/>
    <w:unhideWhenUsed/>
    <w:qFormat/>
    <w:pPr>
      <w:spacing w:after="0" w:line="240" w:lineRule="auto"/>
    </w:pPr>
    <w:rPr>
      <w:sz w:val="20"/>
      <w:szCs w:val="20"/>
    </w:rPr>
  </w:style>
  <w:style w:type="character" w:customStyle="1" w:styleId="FootnoteTextChar">
    <w:name w:val="Footnote Text Char"/>
    <w:aliases w:val="Footnote Char,Fußnote Char,Char Char Car Char,Fußnotentextf Char,Note de bas de page Car Car Car Car Car Car Car Car Car Car Char,Note de bas de page Car Car Car Car Char,Note de bas de page Car Car Car Car Car Car Car Car Car Char"/>
    <w:basedOn w:val="DefaultParagraphFont"/>
    <w:uiPriority w:val="99"/>
    <w:rPr>
      <w:sz w:val="20"/>
      <w:szCs w:val="20"/>
    </w:rPr>
  </w:style>
  <w:style w:type="character" w:styleId="FootnoteReference">
    <w:name w:val="footnote reference"/>
    <w:aliases w:val="Footnote symbol,Footnote reference number,note TESI,BVI fnr,Appel note de bas de p,Nota,SUPERS,Footnote number,Footnote Reference Superscript,EN Footnote Reference,-E Fußnotenzeichen,number Char Char,number,Ref,styl,styli"/>
    <w:basedOn w:val="DefaultParagraphFont"/>
    <w:uiPriority w:val="99"/>
    <w:unhideWhenUsed/>
    <w:qFormat/>
    <w:rPr>
      <w:vertAlign w:val="superscript"/>
    </w:rPr>
  </w:style>
  <w:style w:type="character" w:styleId="CommentReference">
    <w:name w:val="annotation reference"/>
    <w:basedOn w:val="DefaultParagraphFont"/>
    <w:uiPriority w:val="99"/>
    <w:semiHidden/>
    <w:unhideWhenUsed/>
    <w:rPr>
      <w:sz w:val="16"/>
      <w:szCs w:val="16"/>
    </w:rPr>
  </w:style>
  <w:style w:type="paragraph" w:customStyle="1" w:styleId="CommentText1">
    <w:name w:val="Comment Text1"/>
    <w:basedOn w:val="Normal"/>
    <w:next w:val="CommentText"/>
    <w:link w:val="CommentTextChar"/>
    <w:uiPriority w:val="99"/>
    <w:semiHidden/>
    <w:unhideWhenUsed/>
    <w:pPr>
      <w:spacing w:after="160" w:line="240" w:lineRule="auto"/>
    </w:pPr>
    <w:rPr>
      <w:sz w:val="20"/>
      <w:szCs w:val="20"/>
    </w:rPr>
  </w:style>
  <w:style w:type="character" w:customStyle="1" w:styleId="CommentTextChar">
    <w:name w:val="Comment Text Char"/>
    <w:basedOn w:val="DefaultParagraphFont"/>
    <w:link w:val="CommentText1"/>
    <w:uiPriority w:val="99"/>
    <w:semiHidden/>
    <w:rPr>
      <w:sz w:val="20"/>
      <w:szCs w:val="20"/>
    </w:rPr>
  </w:style>
  <w:style w:type="paragraph" w:styleId="CommentText">
    <w:name w:val="annotation text"/>
    <w:basedOn w:val="Normal"/>
    <w:link w:val="CommentTextChar1"/>
    <w:uiPriority w:val="99"/>
    <w:semiHidden/>
    <w:unhideWhenUsed/>
    <w:pPr>
      <w:spacing w:line="240" w:lineRule="auto"/>
    </w:pPr>
    <w:rPr>
      <w:sz w:val="20"/>
      <w:szCs w:val="20"/>
    </w:rPr>
  </w:style>
  <w:style w:type="character" w:customStyle="1" w:styleId="CommentTextChar1">
    <w:name w:val="Comment Text Char1"/>
    <w:basedOn w:val="DefaultParagraphFont"/>
    <w:link w:val="CommentText"/>
    <w:uiPriority w:val="99"/>
    <w:semiHidden/>
    <w:rPr>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Hyperlink">
    <w:name w:val="Hyperlink"/>
    <w:basedOn w:val="DefaultParagraphFont"/>
    <w:uiPriority w:val="99"/>
    <w:unhideWhenUsed/>
    <w:rPr>
      <w:color w:val="0000FF"/>
      <w:u w:val="single"/>
    </w:rPr>
  </w:style>
  <w:style w:type="paragraph" w:styleId="ListParagraph">
    <w:name w:val="List Paragraph"/>
    <w:aliases w:val="1st level - Bullet List Paragraph,List Paragraph1,Lettre d'introduction,Paragrafo elenco,Medium Grid 1 - Accent 21,Bullet Paragraph,Lijstalinea,Bullet List Paragraph,Bulletpoints,Heading 2_sj"/>
    <w:basedOn w:val="Normal"/>
    <w:link w:val="ListParagraphChar"/>
    <w:uiPriority w:val="34"/>
    <w:qFormat/>
    <w:pPr>
      <w:spacing w:after="160" w:line="259" w:lineRule="auto"/>
      <w:ind w:left="720"/>
      <w:contextualSpacing/>
    </w:pPr>
  </w:style>
  <w:style w:type="character" w:customStyle="1" w:styleId="ListParagraphChar">
    <w:name w:val="List Paragraph Char"/>
    <w:aliases w:val="1st level - Bullet List Paragraph Char,List Paragraph1 Char,Lettre d'introduction Char,Paragrafo elenco Char,Medium Grid 1 - Accent 21 Char,Bullet Paragraph Char,Lijstalinea Char,Bullet List Paragraph Char,Bulletpoints Char"/>
    <w:basedOn w:val="DefaultParagraphFont"/>
    <w:link w:val="ListParagraph"/>
    <w:uiPriority w:val="34"/>
    <w:locked/>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1"/>
    <w:link w:val="CommentSubject"/>
    <w:uiPriority w:val="99"/>
    <w:semiHidden/>
    <w:rPr>
      <w:b/>
      <w:bCs/>
      <w:sz w:val="20"/>
      <w:szCs w:val="20"/>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style>
  <w:style w:type="paragraph" w:customStyle="1" w:styleId="Default">
    <w:name w:val="Default"/>
    <w:uiPriority w:val="99"/>
    <w:pPr>
      <w:suppressAutoHyphens/>
      <w:autoSpaceDE w:val="0"/>
      <w:autoSpaceDN w:val="0"/>
      <w:spacing w:after="0" w:line="240" w:lineRule="auto"/>
      <w:textAlignment w:val="baseline"/>
    </w:pPr>
    <w:rPr>
      <w:rFonts w:ascii="Arial" w:eastAsia="Times New Roman" w:hAnsi="Arial" w:cs="Arial"/>
      <w:color w:val="000000"/>
      <w:kern w:val="3"/>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FootnoteText">
    <w:name w:val="footnote text"/>
    <w:basedOn w:val="Normal"/>
    <w:uiPriority w:val="99"/>
    <w:unhideWhenUsed/>
    <w:qFormat/>
    <w:pPr>
      <w:spacing w:after="0" w:line="240" w:lineRule="auto"/>
    </w:pPr>
    <w:rPr>
      <w:sz w:val="20"/>
      <w:szCs w:val="20"/>
    </w:rPr>
  </w:style>
  <w:style w:type="character" w:customStyle="1" w:styleId="FootnoteTextChar">
    <w:name w:val="Footnote Text Char"/>
    <w:aliases w:val="Footnote Char,Fußnote Char,Char Char Car Char,Fußnotentextf Char,Note de bas de page Car Car Car Car Car Car Car Car Car Car Char,Note de bas de page Car Car Car Car Char,Note de bas de page Car Car Car Car Car Car Car Car Car Char"/>
    <w:basedOn w:val="DefaultParagraphFont"/>
    <w:uiPriority w:val="99"/>
    <w:rPr>
      <w:sz w:val="20"/>
      <w:szCs w:val="20"/>
    </w:rPr>
  </w:style>
  <w:style w:type="character" w:styleId="FootnoteReference">
    <w:name w:val="footnote reference"/>
    <w:aliases w:val="Footnote symbol,Footnote reference number,note TESI,BVI fnr,Appel note de bas de p,Nota,SUPERS,Footnote number,Footnote Reference Superscript,EN Footnote Reference,-E Fußnotenzeichen,number Char Char,number,Ref,styl,styli"/>
    <w:basedOn w:val="DefaultParagraphFont"/>
    <w:uiPriority w:val="99"/>
    <w:unhideWhenUsed/>
    <w:qFormat/>
    <w:rPr>
      <w:vertAlign w:val="superscript"/>
    </w:rPr>
  </w:style>
  <w:style w:type="character" w:styleId="CommentReference">
    <w:name w:val="annotation reference"/>
    <w:basedOn w:val="DefaultParagraphFont"/>
    <w:uiPriority w:val="99"/>
    <w:semiHidden/>
    <w:unhideWhenUsed/>
    <w:rPr>
      <w:sz w:val="16"/>
      <w:szCs w:val="16"/>
    </w:rPr>
  </w:style>
  <w:style w:type="paragraph" w:customStyle="1" w:styleId="CommentText1">
    <w:name w:val="Comment Text1"/>
    <w:basedOn w:val="Normal"/>
    <w:next w:val="CommentText"/>
    <w:link w:val="CommentTextChar"/>
    <w:uiPriority w:val="99"/>
    <w:semiHidden/>
    <w:unhideWhenUsed/>
    <w:pPr>
      <w:spacing w:after="160" w:line="240" w:lineRule="auto"/>
    </w:pPr>
    <w:rPr>
      <w:sz w:val="20"/>
      <w:szCs w:val="20"/>
    </w:rPr>
  </w:style>
  <w:style w:type="character" w:customStyle="1" w:styleId="CommentTextChar">
    <w:name w:val="Comment Text Char"/>
    <w:basedOn w:val="DefaultParagraphFont"/>
    <w:link w:val="CommentText1"/>
    <w:uiPriority w:val="99"/>
    <w:semiHidden/>
    <w:rPr>
      <w:sz w:val="20"/>
      <w:szCs w:val="20"/>
    </w:rPr>
  </w:style>
  <w:style w:type="paragraph" w:styleId="CommentText">
    <w:name w:val="annotation text"/>
    <w:basedOn w:val="Normal"/>
    <w:link w:val="CommentTextChar1"/>
    <w:uiPriority w:val="99"/>
    <w:semiHidden/>
    <w:unhideWhenUsed/>
    <w:pPr>
      <w:spacing w:line="240" w:lineRule="auto"/>
    </w:pPr>
    <w:rPr>
      <w:sz w:val="20"/>
      <w:szCs w:val="20"/>
    </w:rPr>
  </w:style>
  <w:style w:type="character" w:customStyle="1" w:styleId="CommentTextChar1">
    <w:name w:val="Comment Text Char1"/>
    <w:basedOn w:val="DefaultParagraphFont"/>
    <w:link w:val="CommentText"/>
    <w:uiPriority w:val="99"/>
    <w:semiHidden/>
    <w:rPr>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Hyperlink">
    <w:name w:val="Hyperlink"/>
    <w:basedOn w:val="DefaultParagraphFont"/>
    <w:uiPriority w:val="99"/>
    <w:unhideWhenUsed/>
    <w:rPr>
      <w:color w:val="0000FF"/>
      <w:u w:val="single"/>
    </w:rPr>
  </w:style>
  <w:style w:type="paragraph" w:styleId="ListParagraph">
    <w:name w:val="List Paragraph"/>
    <w:aliases w:val="1st level - Bullet List Paragraph,List Paragraph1,Lettre d'introduction,Paragrafo elenco,Medium Grid 1 - Accent 21,Bullet Paragraph,Lijstalinea,Bullet List Paragraph,Bulletpoints,Heading 2_sj"/>
    <w:basedOn w:val="Normal"/>
    <w:link w:val="ListParagraphChar"/>
    <w:uiPriority w:val="34"/>
    <w:qFormat/>
    <w:pPr>
      <w:spacing w:after="160" w:line="259" w:lineRule="auto"/>
      <w:ind w:left="720"/>
      <w:contextualSpacing/>
    </w:pPr>
  </w:style>
  <w:style w:type="character" w:customStyle="1" w:styleId="ListParagraphChar">
    <w:name w:val="List Paragraph Char"/>
    <w:aliases w:val="1st level - Bullet List Paragraph Char,List Paragraph1 Char,Lettre d'introduction Char,Paragrafo elenco Char,Medium Grid 1 - Accent 21 Char,Bullet Paragraph Char,Lijstalinea Char,Bullet List Paragraph Char,Bulletpoints Char"/>
    <w:basedOn w:val="DefaultParagraphFont"/>
    <w:link w:val="ListParagraph"/>
    <w:uiPriority w:val="34"/>
    <w:locked/>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1"/>
    <w:link w:val="CommentSubject"/>
    <w:uiPriority w:val="99"/>
    <w:semiHidden/>
    <w:rPr>
      <w:b/>
      <w:bCs/>
      <w:sz w:val="20"/>
      <w:szCs w:val="20"/>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style>
  <w:style w:type="paragraph" w:customStyle="1" w:styleId="Default">
    <w:name w:val="Default"/>
    <w:uiPriority w:val="99"/>
    <w:pPr>
      <w:suppressAutoHyphens/>
      <w:autoSpaceDE w:val="0"/>
      <w:autoSpaceDN w:val="0"/>
      <w:spacing w:after="0" w:line="240" w:lineRule="auto"/>
      <w:textAlignment w:val="baseline"/>
    </w:pPr>
    <w:rPr>
      <w:rFonts w:ascii="Arial" w:eastAsia="Times New Roman" w:hAnsi="Arial" w:cs="Arial"/>
      <w:color w:val="000000"/>
      <w:kern w:val="3"/>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0244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webgate.ec.europa.eu/fpfis/mwikis/eurydice/images/1/14/Leaflet_Paris_Declaration.pdf"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66268A-4049-4E09-A8AB-BA6146461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2997</Words>
  <Characters>17206</Characters>
  <Application>Microsoft Office Word</Application>
  <DocSecurity>0</DocSecurity>
  <Lines>253</Lines>
  <Paragraphs>58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cp:lastPrinted>2017-12-21T09:16:00Z</cp:lastPrinted>
  <dcterms:created xsi:type="dcterms:W3CDTF">2018-01-24T08:18:00Z</dcterms:created>
  <dcterms:modified xsi:type="dcterms:W3CDTF">2018-01-29T11:46:00Z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ies>
</file>