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F5BC12-DF03-4109-A456-1ADCF87B7F79"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Cs/>
          <w:noProof/>
          <w:sz w:val="24"/>
          <w:szCs w:val="24"/>
        </w:rPr>
      </w:pPr>
      <w:bookmarkStart w:id="1" w:name="_GoBack"/>
      <w:bookmarkEnd w:id="1"/>
      <w:r>
        <w:rPr>
          <w:rFonts w:ascii="Times New Roman" w:hAnsi="Times New Roman"/>
          <w:b/>
          <w:noProof/>
          <w:sz w:val="24"/>
        </w:rPr>
        <w:lastRenderedPageBreak/>
        <w:t>„Еразъм+“</w:t>
      </w:r>
      <w:r>
        <w:rPr>
          <w:rFonts w:ascii="Times New Roman" w:hAnsi="Times New Roman"/>
          <w:noProof/>
          <w:sz w:val="24"/>
        </w:rPr>
        <w:t xml:space="preserve"> е програма на Съюза, която подкрепя действията в областта на образованието и обучението, младежта и спорта. </w:t>
      </w:r>
      <w:r>
        <w:rPr>
          <w:noProof/>
        </w:rPr>
        <w:t xml:space="preserve"> </w:t>
      </w:r>
      <w:r>
        <w:rPr>
          <w:rFonts w:ascii="Times New Roman" w:hAnsi="Times New Roman"/>
          <w:noProof/>
          <w:sz w:val="24"/>
        </w:rPr>
        <w:t xml:space="preserve">С бюджет в размер на </w:t>
      </w:r>
      <w:r>
        <w:rPr>
          <w:rFonts w:ascii="Times New Roman" w:hAnsi="Times New Roman"/>
          <w:b/>
          <w:noProof/>
          <w:sz w:val="24"/>
        </w:rPr>
        <w:t>16,45 милиарда евро за периода 2014—2020 г.</w:t>
      </w:r>
      <w:r>
        <w:rPr>
          <w:rFonts w:ascii="Times New Roman" w:hAnsi="Times New Roman"/>
          <w:b/>
          <w:noProof/>
          <w:sz w:val="24"/>
          <w:vertAlign w:val="superscript"/>
        </w:rPr>
        <w:footnoteReference w:id="1"/>
      </w:r>
      <w:r>
        <w:rPr>
          <w:rFonts w:ascii="Times New Roman" w:hAnsi="Times New Roman"/>
          <w:noProof/>
          <w:sz w:val="24"/>
        </w:rPr>
        <w:t xml:space="preserve"> програмата има за цел да предостави възможност на повече от </w:t>
      </w:r>
      <w:r>
        <w:rPr>
          <w:rFonts w:ascii="Times New Roman" w:hAnsi="Times New Roman"/>
          <w:b/>
          <w:noProof/>
          <w:sz w:val="24"/>
        </w:rPr>
        <w:t>4 милиона души</w:t>
      </w:r>
      <w:r>
        <w:rPr>
          <w:rFonts w:ascii="Times New Roman" w:hAnsi="Times New Roman"/>
          <w:noProof/>
          <w:sz w:val="24"/>
        </w:rPr>
        <w:t xml:space="preserve"> да придобият компетенции и да се развият в личностен, социално-образователен и професионален план посредством учене, обучение, професионален опит или доброволческа дейност по целия свят. Целта е да се насърчат подобряването на качеството, иновациите, високите постижения и интернационализацията на </w:t>
      </w:r>
      <w:r>
        <w:rPr>
          <w:rFonts w:ascii="Times New Roman" w:hAnsi="Times New Roman"/>
          <w:b/>
          <w:noProof/>
          <w:sz w:val="24"/>
        </w:rPr>
        <w:t>организациите</w:t>
      </w:r>
      <w:r>
        <w:rPr>
          <w:rFonts w:ascii="Times New Roman" w:hAnsi="Times New Roman"/>
          <w:noProof/>
          <w:sz w:val="24"/>
        </w:rPr>
        <w:t xml:space="preserve">, развиващи дейност в областта на образованието и обучението, младежта и спорта. „Еразъм +“ също така подпомага европейските държави да модернизират и подобрят своите </w:t>
      </w:r>
      <w:r>
        <w:rPr>
          <w:rFonts w:ascii="Times New Roman" w:hAnsi="Times New Roman"/>
          <w:b/>
          <w:noProof/>
          <w:sz w:val="24"/>
        </w:rPr>
        <w:t>системи</w:t>
      </w:r>
      <w:r>
        <w:rPr>
          <w:rFonts w:ascii="Times New Roman" w:hAnsi="Times New Roman"/>
          <w:noProof/>
          <w:sz w:val="24"/>
        </w:rPr>
        <w:t xml:space="preserve"> за образование и обучение, както и </w:t>
      </w:r>
      <w:r>
        <w:rPr>
          <w:rFonts w:ascii="Times New Roman" w:hAnsi="Times New Roman"/>
          <w:b/>
          <w:noProof/>
          <w:sz w:val="24"/>
        </w:rPr>
        <w:t>политиките</w:t>
      </w:r>
      <w:r>
        <w:rPr>
          <w:rFonts w:ascii="Times New Roman" w:hAnsi="Times New Roman"/>
          <w:noProof/>
          <w:sz w:val="24"/>
        </w:rPr>
        <w:t xml:space="preserve"> си за младежта и спорта, като засилва тяхната роля като движеща сила за растеж, заетост, конкурентоспособност, иновации и социално сближаване.</w:t>
      </w:r>
    </w:p>
    <w:p>
      <w:pPr>
        <w:jc w:val="both"/>
        <w:rPr>
          <w:rFonts w:ascii="Times New Roman" w:hAnsi="Times New Roman" w:cs="Times New Roman"/>
          <w:bCs/>
          <w:noProof/>
          <w:sz w:val="24"/>
          <w:szCs w:val="24"/>
        </w:rPr>
      </w:pPr>
      <w:r>
        <w:rPr>
          <w:rFonts w:ascii="Times New Roman" w:hAnsi="Times New Roman"/>
          <w:noProof/>
          <w:sz w:val="24"/>
        </w:rPr>
        <w:t xml:space="preserve">Настоящият </w:t>
      </w:r>
      <w:r>
        <w:rPr>
          <w:rFonts w:ascii="Times New Roman" w:hAnsi="Times New Roman"/>
          <w:b/>
          <w:noProof/>
          <w:sz w:val="24"/>
        </w:rPr>
        <w:t>междинен доклад за оценка</w:t>
      </w:r>
      <w:r>
        <w:rPr>
          <w:rFonts w:ascii="Times New Roman" w:hAnsi="Times New Roman"/>
          <w:noProof/>
          <w:sz w:val="24"/>
        </w:rPr>
        <w:t xml:space="preserve"> на програмата „Еразъм+“, включително оценката на въздействието в дългосрочен план на предходните програми, се представя съгласно член 21 от Регламент (ЕС) № 1288/2013 на Европейския парламент и на Съвета</w:t>
      </w:r>
      <w:r>
        <w:rPr>
          <w:rStyle w:val="FootnoteReference"/>
          <w:noProof/>
        </w:rPr>
        <w:footnoteReference w:id="2"/>
      </w:r>
      <w:r>
        <w:rPr>
          <w:rFonts w:ascii="Times New Roman" w:hAnsi="Times New Roman"/>
          <w:noProof/>
          <w:sz w:val="24"/>
        </w:rPr>
        <w:t xml:space="preserve"> и е придружен от работен документ на службите на Комисията, в който са изложени всички данни. Докладът се основава на националните доклади, представени от държавите по програмата, на доклада за оценка, изготвен от независим външен изпълнител, на други разгледани проучвания, на опита в управлението на програмата, както и на </w:t>
      </w:r>
      <w:r>
        <w:rPr>
          <w:rFonts w:ascii="Times New Roman" w:hAnsi="Times New Roman"/>
          <w:b/>
          <w:noProof/>
          <w:sz w:val="24"/>
        </w:rPr>
        <w:t>над един милион отговора от всички заинтересовани страни</w:t>
      </w:r>
      <w:r>
        <w:rPr>
          <w:rFonts w:ascii="Times New Roman" w:hAnsi="Times New Roman"/>
          <w:noProof/>
          <w:sz w:val="24"/>
        </w:rPr>
        <w:t>. В него се прави оценка на напредъка в изпълнението на „Еразъм+“ за периода 2014—2016 г. във всички участващи държави</w:t>
      </w:r>
      <w:r>
        <w:rPr>
          <w:rStyle w:val="FootnoteReference"/>
          <w:rFonts w:ascii="Times New Roman" w:hAnsi="Times New Roman"/>
          <w:noProof/>
          <w:sz w:val="24"/>
        </w:rPr>
        <w:footnoteReference w:id="3"/>
      </w:r>
      <w:r>
        <w:rPr>
          <w:rFonts w:ascii="Times New Roman" w:hAnsi="Times New Roman"/>
          <w:noProof/>
          <w:sz w:val="24"/>
        </w:rPr>
        <w:t xml:space="preserve"> преди общото увеличение на бюджета. В доклада се разглежда и въздействието в дългосрочен план на седемте предходни програми от периода </w:t>
      </w:r>
      <w:r>
        <w:rPr>
          <w:rFonts w:ascii="Times New Roman" w:hAnsi="Times New Roman"/>
          <w:b/>
          <w:noProof/>
          <w:sz w:val="24"/>
        </w:rPr>
        <w:t>2007—2013 г.</w:t>
      </w:r>
      <w:r>
        <w:rPr>
          <w:rFonts w:ascii="Times New Roman" w:hAnsi="Times New Roman"/>
          <w:noProof/>
          <w:sz w:val="24"/>
        </w:rPr>
        <w:t xml:space="preserve"> (последваща оценка), включително в държавите партньори.</w:t>
      </w:r>
    </w:p>
    <w:p>
      <w:pPr>
        <w:jc w:val="both"/>
        <w:rPr>
          <w:rFonts w:ascii="Times New Roman" w:hAnsi="Times New Roman" w:cs="Times New Roman"/>
          <w:noProof/>
          <w:sz w:val="24"/>
          <w:szCs w:val="24"/>
        </w:rPr>
      </w:pPr>
      <w:r>
        <w:rPr>
          <w:rFonts w:ascii="Times New Roman" w:hAnsi="Times New Roman"/>
          <w:noProof/>
          <w:sz w:val="24"/>
        </w:rPr>
        <w:t xml:space="preserve">Програмата „Еразъм+“ е на път </w:t>
      </w:r>
      <w:r>
        <w:rPr>
          <w:rFonts w:ascii="Times New Roman" w:hAnsi="Times New Roman"/>
          <w:b/>
          <w:noProof/>
          <w:sz w:val="24"/>
        </w:rPr>
        <w:t>да постигне своите показатели за изпълнението</w:t>
      </w:r>
      <w:r>
        <w:rPr>
          <w:rFonts w:ascii="Times New Roman" w:hAnsi="Times New Roman"/>
          <w:noProof/>
          <w:sz w:val="24"/>
        </w:rPr>
        <w:t xml:space="preserve">, посочени в правното основание, по-специално благодарение на участието за по-малко от три години на </w:t>
      </w:r>
      <w:r>
        <w:rPr>
          <w:rFonts w:ascii="Times New Roman" w:hAnsi="Times New Roman"/>
          <w:b/>
          <w:noProof/>
          <w:sz w:val="24"/>
        </w:rPr>
        <w:t>1,8 милиона физически лица</w:t>
      </w:r>
      <w:r>
        <w:rPr>
          <w:rFonts w:ascii="Times New Roman" w:hAnsi="Times New Roman"/>
          <w:noProof/>
          <w:sz w:val="24"/>
        </w:rPr>
        <w:t xml:space="preserve"> в дейности за мобилност, както и на </w:t>
      </w:r>
      <w:r>
        <w:rPr>
          <w:rFonts w:ascii="Times New Roman" w:hAnsi="Times New Roman"/>
          <w:b/>
          <w:noProof/>
          <w:sz w:val="24"/>
        </w:rPr>
        <w:t>повече от 240 000 организации</w:t>
      </w:r>
      <w:r>
        <w:rPr>
          <w:rFonts w:ascii="Times New Roman" w:hAnsi="Times New Roman"/>
          <w:noProof/>
          <w:sz w:val="24"/>
        </w:rPr>
        <w:t xml:space="preserve">, ангажирани с проекти за сътрудничество. Що се отнася до базата за сравнение за оценката, в периода между 2007 г. и 2016 г. по линия на разглежданите програми е финансирана мобилност с учебна цел на повече от </w:t>
      </w:r>
      <w:r>
        <w:rPr>
          <w:rFonts w:ascii="Times New Roman" w:hAnsi="Times New Roman"/>
          <w:b/>
          <w:noProof/>
          <w:sz w:val="24"/>
        </w:rPr>
        <w:t>4,3 милиона млади хора и на повече от 880 000 специалисти</w:t>
      </w:r>
      <w:r>
        <w:rPr>
          <w:rFonts w:ascii="Times New Roman" w:hAnsi="Times New Roman"/>
          <w:noProof/>
          <w:sz w:val="24"/>
        </w:rPr>
        <w:t xml:space="preserve">. Освен това много повече хора са се възползвали от проектите за сътрудничество с участието на </w:t>
      </w:r>
      <w:r>
        <w:rPr>
          <w:rFonts w:ascii="Times New Roman" w:hAnsi="Times New Roman"/>
          <w:b/>
          <w:noProof/>
          <w:sz w:val="24"/>
        </w:rPr>
        <w:t>940 000 организации</w:t>
      </w:r>
      <w:r>
        <w:rPr>
          <w:rFonts w:ascii="Times New Roman" w:hAnsi="Times New Roman"/>
          <w:noProof/>
          <w:sz w:val="24"/>
        </w:rPr>
        <w:t>.</w:t>
      </w:r>
    </w:p>
    <w:p>
      <w:pPr>
        <w:jc w:val="both"/>
        <w:rPr>
          <w:rFonts w:ascii="Times New Roman" w:hAnsi="Times New Roman" w:cs="Times New Roman"/>
          <w:bCs/>
          <w:noProof/>
          <w:sz w:val="24"/>
          <w:szCs w:val="24"/>
        </w:rPr>
      </w:pPr>
      <w:r>
        <w:rPr>
          <w:rFonts w:ascii="Times New Roman" w:hAnsi="Times New Roman"/>
          <w:noProof/>
          <w:sz w:val="24"/>
        </w:rPr>
        <w:t xml:space="preserve">Като цяло оценката показва, че </w:t>
      </w:r>
      <w:r>
        <w:rPr>
          <w:rFonts w:ascii="Times New Roman" w:hAnsi="Times New Roman"/>
          <w:b/>
          <w:noProof/>
          <w:sz w:val="24"/>
        </w:rPr>
        <w:t>програма „Еразъм+“ се цени високо от заинтересованите страни и обществеността</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Констатациите от тази оценка, подробно описани в работния документ за службите на Комисията, свидетелстват за това, че всички оценени програми са се оказали </w:t>
      </w:r>
      <w:r>
        <w:rPr>
          <w:rFonts w:ascii="Times New Roman" w:hAnsi="Times New Roman"/>
          <w:b/>
          <w:noProof/>
          <w:sz w:val="24"/>
        </w:rPr>
        <w:t>високоефективни</w:t>
      </w:r>
      <w:r>
        <w:rPr>
          <w:rFonts w:ascii="Times New Roman" w:hAnsi="Times New Roman"/>
          <w:noProof/>
          <w:sz w:val="24"/>
        </w:rPr>
        <w:t xml:space="preserve">. Тяхната европейска добавена стойност е безспорна. Освен това „Еразъм+“ се счита за </w:t>
      </w:r>
      <w:r>
        <w:rPr>
          <w:rFonts w:ascii="Times New Roman" w:hAnsi="Times New Roman"/>
          <w:b/>
          <w:noProof/>
          <w:sz w:val="24"/>
        </w:rPr>
        <w:t>по-съгласувана, актуална</w:t>
      </w:r>
      <w:r>
        <w:rPr>
          <w:rFonts w:ascii="Times New Roman" w:hAnsi="Times New Roman"/>
          <w:noProof/>
          <w:sz w:val="24"/>
        </w:rPr>
        <w:t xml:space="preserve"> и само в известна степен </w:t>
      </w:r>
      <w:r>
        <w:rPr>
          <w:rFonts w:ascii="Times New Roman" w:hAnsi="Times New Roman"/>
          <w:b/>
          <w:noProof/>
          <w:sz w:val="24"/>
        </w:rPr>
        <w:t>по-ефективна</w:t>
      </w:r>
      <w:r>
        <w:rPr>
          <w:rFonts w:ascii="Times New Roman" w:hAnsi="Times New Roman"/>
          <w:noProof/>
          <w:sz w:val="24"/>
        </w:rPr>
        <w:t xml:space="preserve"> програма в сравнение с предходните програми. Въз основа на предложенията в националните доклади и като се вземат предвид препоръките на външния оценител се представят предложения за адаптиране на изпълнението на настоящата програма, за да се реализира пълният ѝ потенциал до 2020 г., и предложения за подобрения с оглед на последваща програма.</w:t>
      </w:r>
    </w:p>
    <w:p>
      <w:pPr>
        <w:keepNext/>
        <w:spacing w:before="480" w:after="240"/>
        <w:rPr>
          <w:rFonts w:ascii="Times New Roman" w:hAnsi="Times New Roman" w:cs="Times New Roman"/>
          <w:i/>
          <w:noProof/>
          <w:sz w:val="24"/>
          <w:szCs w:val="24"/>
          <w:u w:val="single"/>
        </w:rPr>
      </w:pPr>
      <w:r>
        <w:rPr>
          <w:rFonts w:ascii="Times New Roman" w:hAnsi="Times New Roman"/>
          <w:i/>
          <w:noProof/>
          <w:sz w:val="24"/>
          <w:u w:val="single"/>
        </w:rPr>
        <w:t>Ефективност</w:t>
      </w:r>
    </w:p>
    <w:p>
      <w:pPr>
        <w:jc w:val="both"/>
        <w:rPr>
          <w:rFonts w:ascii="Times New Roman" w:hAnsi="Times New Roman" w:cs="Times New Roman"/>
          <w:noProof/>
          <w:sz w:val="24"/>
          <w:szCs w:val="24"/>
        </w:rPr>
      </w:pPr>
      <w:r>
        <w:rPr>
          <w:rFonts w:ascii="Times New Roman" w:hAnsi="Times New Roman"/>
          <w:noProof/>
          <w:sz w:val="24"/>
        </w:rPr>
        <w:t xml:space="preserve">В оценката се констатира, че </w:t>
      </w:r>
      <w:r>
        <w:rPr>
          <w:rFonts w:ascii="Times New Roman" w:hAnsi="Times New Roman"/>
          <w:b/>
          <w:noProof/>
          <w:sz w:val="24"/>
        </w:rPr>
        <w:t>„Еразъм +“ се цени високо</w:t>
      </w:r>
      <w:r>
        <w:rPr>
          <w:rFonts w:ascii="Times New Roman" w:hAnsi="Times New Roman"/>
          <w:noProof/>
          <w:sz w:val="24"/>
        </w:rPr>
        <w:t xml:space="preserve"> от заинтересованите страни, участващи в нея, както и от широката общественост, която определя програмата като </w:t>
      </w:r>
      <w:r>
        <w:rPr>
          <w:rFonts w:ascii="Times New Roman" w:hAnsi="Times New Roman"/>
          <w:b/>
          <w:noProof/>
          <w:sz w:val="24"/>
        </w:rPr>
        <w:t>третия най-положителен резултат от ЕС</w:t>
      </w:r>
      <w:r>
        <w:rPr>
          <w:rFonts w:ascii="Times New Roman" w:hAnsi="Times New Roman"/>
          <w:noProof/>
          <w:sz w:val="24"/>
        </w:rPr>
        <w:t>. Процентът на удовлетвореност на бенефициерите по линия на програмата е над 90 %.</w:t>
      </w:r>
    </w:p>
    <w:p>
      <w:pPr>
        <w:jc w:val="both"/>
        <w:rPr>
          <w:rFonts w:ascii="Times New Roman" w:hAnsi="Times New Roman" w:cs="Times New Roman"/>
          <w:noProof/>
          <w:sz w:val="24"/>
          <w:szCs w:val="24"/>
        </w:rPr>
      </w:pPr>
      <w:r>
        <w:rPr>
          <w:rFonts w:ascii="Times New Roman" w:hAnsi="Times New Roman"/>
          <w:noProof/>
          <w:sz w:val="24"/>
        </w:rPr>
        <w:t xml:space="preserve">За </w:t>
      </w:r>
      <w:r>
        <w:rPr>
          <w:rFonts w:ascii="Times New Roman" w:hAnsi="Times New Roman"/>
          <w:b/>
          <w:noProof/>
          <w:sz w:val="24"/>
        </w:rPr>
        <w:t>учащите</w:t>
      </w:r>
      <w:r>
        <w:rPr>
          <w:rFonts w:ascii="Times New Roman" w:hAnsi="Times New Roman"/>
          <w:noProof/>
          <w:sz w:val="24"/>
        </w:rPr>
        <w:t xml:space="preserve"> (студенти, чираци, доброволци, млади хора и т.н.) оценяваните програми са имали и продължават да имат положителен ефект върху </w:t>
      </w:r>
      <w:r>
        <w:rPr>
          <w:rFonts w:ascii="Times New Roman" w:hAnsi="Times New Roman"/>
          <w:b/>
          <w:noProof/>
          <w:sz w:val="24"/>
        </w:rPr>
        <w:t>придобиването на умения и компетенции</w:t>
      </w:r>
      <w:r>
        <w:rPr>
          <w:rFonts w:ascii="Times New Roman" w:hAnsi="Times New Roman"/>
          <w:noProof/>
          <w:sz w:val="24"/>
        </w:rPr>
        <w:t xml:space="preserve">, като по този начин се увеличават </w:t>
      </w:r>
      <w:r>
        <w:rPr>
          <w:rFonts w:ascii="Times New Roman" w:hAnsi="Times New Roman"/>
          <w:b/>
          <w:noProof/>
          <w:sz w:val="24"/>
        </w:rPr>
        <w:t>пригодността за заетост</w:t>
      </w:r>
      <w:r>
        <w:rPr>
          <w:rFonts w:ascii="Times New Roman" w:hAnsi="Times New Roman"/>
          <w:noProof/>
          <w:sz w:val="24"/>
        </w:rPr>
        <w:t xml:space="preserve"> и предприемачеството и се съкращава преходът от образование към заетост (с 13 % в сравнение с лицата, които не са участвали в „Еразъм+“ или в предходните програми). Оценката показва, че програмата „Еразъм+“ стимулира желанието за работа или обучение в чужбина (+ 31 %) и за развитие на чуждоезикови умения (7 % по-високи резултати на изпитите за проверка на уменията), че влияе върху положителната представа на лицата за стойността на ученето за тяхното професионално и </w:t>
      </w:r>
      <w:r>
        <w:rPr>
          <w:rFonts w:ascii="Times New Roman" w:hAnsi="Times New Roman"/>
          <w:b/>
          <w:noProof/>
          <w:sz w:val="24"/>
        </w:rPr>
        <w:t>личностно развитие</w:t>
      </w:r>
      <w:r>
        <w:rPr>
          <w:rFonts w:ascii="Times New Roman" w:hAnsi="Times New Roman"/>
          <w:noProof/>
          <w:sz w:val="24"/>
        </w:rPr>
        <w:t xml:space="preserve"> (+ 8 %)  и че тя дори повишава броя на завършилите студенти (+ 2 %). </w:t>
      </w:r>
    </w:p>
    <w:p>
      <w:pPr>
        <w:jc w:val="both"/>
        <w:rPr>
          <w:rFonts w:ascii="Times New Roman" w:hAnsi="Times New Roman" w:cs="Times New Roman"/>
          <w:noProof/>
          <w:sz w:val="24"/>
          <w:szCs w:val="24"/>
        </w:rPr>
      </w:pPr>
      <w:r>
        <w:rPr>
          <w:rFonts w:ascii="Times New Roman" w:hAnsi="Times New Roman"/>
          <w:noProof/>
          <w:sz w:val="24"/>
        </w:rPr>
        <w:t xml:space="preserve">Програмата доказа също така </w:t>
      </w:r>
      <w:r>
        <w:rPr>
          <w:rFonts w:ascii="Times New Roman" w:hAnsi="Times New Roman"/>
          <w:b/>
          <w:noProof/>
          <w:sz w:val="24"/>
        </w:rPr>
        <w:t>приноса си за по-сплотен Съюз</w:t>
      </w:r>
      <w:r>
        <w:rPr>
          <w:rFonts w:ascii="Times New Roman" w:hAnsi="Times New Roman"/>
          <w:noProof/>
          <w:sz w:val="24"/>
        </w:rPr>
        <w:t xml:space="preserve">. Програмата „Еразъм+“ насърчава положителното социално/гражданско поведение и </w:t>
      </w:r>
      <w:r>
        <w:rPr>
          <w:rFonts w:ascii="Times New Roman" w:hAnsi="Times New Roman"/>
          <w:b/>
          <w:noProof/>
          <w:sz w:val="24"/>
        </w:rPr>
        <w:t>чувството за „европейска“ принадлежност</w:t>
      </w:r>
      <w:r>
        <w:rPr>
          <w:rFonts w:ascii="Times New Roman" w:hAnsi="Times New Roman"/>
          <w:noProof/>
          <w:sz w:val="24"/>
        </w:rPr>
        <w:t xml:space="preserve"> (+19 % в сравнение с неучаствалите). Тя достига до младите хора в неравностойно положение (11,5 % от общия брой участници в „Еразъм +“) — повече в сравнение с предходните програми или сходни национални схеми. Все пак в оценката се посочва, че трябва да се направи повече, за да се достигне до най-уязвимите в обществото и да се улесни участието на по-малките организации.</w:t>
      </w:r>
    </w:p>
    <w:p>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В рамките на настоящата структура на програмата до 2020 г. Комисията ще увеличи усилията си </w:t>
      </w:r>
      <w:r>
        <w:rPr>
          <w:rFonts w:ascii="Times New Roman" w:hAnsi="Times New Roman"/>
          <w:b/>
          <w:noProof/>
          <w:sz w:val="24"/>
        </w:rPr>
        <w:t>да направи „Еразъм+“ по-достъпна</w:t>
      </w:r>
      <w:r>
        <w:rPr>
          <w:rFonts w:ascii="Times New Roman" w:hAnsi="Times New Roman"/>
          <w:noProof/>
          <w:sz w:val="24"/>
        </w:rPr>
        <w:t xml:space="preserve"> за хората в неравностойно положение или със специални нужди. Тя ще предприеме стъпки за </w:t>
      </w:r>
      <w:r>
        <w:rPr>
          <w:rFonts w:ascii="Times New Roman" w:hAnsi="Times New Roman"/>
          <w:b/>
          <w:noProof/>
          <w:sz w:val="24"/>
        </w:rPr>
        <w:t>улесняване на участието на училища и други малки участници</w:t>
      </w:r>
      <w:r>
        <w:rPr>
          <w:rFonts w:ascii="Times New Roman" w:hAnsi="Times New Roman"/>
          <w:noProof/>
          <w:sz w:val="24"/>
        </w:rPr>
        <w:t xml:space="preserve"> в програмата.</w:t>
      </w:r>
    </w:p>
    <w:p>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След 2020 г. Комисията ще обмисли как допълнително да </w:t>
      </w:r>
      <w:r>
        <w:rPr>
          <w:rFonts w:ascii="Times New Roman" w:hAnsi="Times New Roman"/>
          <w:b/>
          <w:noProof/>
          <w:sz w:val="24"/>
        </w:rPr>
        <w:t>стимулира измерението на приобщаването</w:t>
      </w:r>
      <w:r>
        <w:rPr>
          <w:rFonts w:ascii="Times New Roman" w:hAnsi="Times New Roman"/>
          <w:noProof/>
          <w:sz w:val="24"/>
        </w:rPr>
        <w:t xml:space="preserve"> в бъдещи програми чрез по-голяма интеграция на групите в неравностойно положение и уязвимите групи в областта на образованието и обучението, младежта и спортните дейности.</w:t>
      </w:r>
    </w:p>
    <w:p>
      <w:pPr>
        <w:jc w:val="both"/>
        <w:rPr>
          <w:rFonts w:ascii="Times New Roman" w:hAnsi="Times New Roman" w:cs="Times New Roman"/>
          <w:noProof/>
          <w:sz w:val="24"/>
          <w:szCs w:val="24"/>
        </w:rPr>
      </w:pPr>
      <w:r>
        <w:rPr>
          <w:rFonts w:ascii="Times New Roman" w:hAnsi="Times New Roman"/>
          <w:noProof/>
          <w:sz w:val="24"/>
        </w:rPr>
        <w:t xml:space="preserve">За </w:t>
      </w:r>
      <w:r>
        <w:rPr>
          <w:rFonts w:ascii="Times New Roman" w:hAnsi="Times New Roman"/>
          <w:b/>
          <w:noProof/>
          <w:sz w:val="24"/>
        </w:rPr>
        <w:t>специалистите</w:t>
      </w:r>
      <w:r>
        <w:rPr>
          <w:rFonts w:ascii="Times New Roman" w:hAnsi="Times New Roman"/>
          <w:noProof/>
          <w:sz w:val="24"/>
        </w:rPr>
        <w:t xml:space="preserve"> (преподаватели, инструктори, специалисти, работещи с младежи, персонал и др.) участието е начин за професионално развитие — особено предвид </w:t>
      </w:r>
      <w:r>
        <w:rPr>
          <w:rFonts w:ascii="Times New Roman" w:hAnsi="Times New Roman"/>
          <w:b/>
          <w:noProof/>
          <w:sz w:val="24"/>
        </w:rPr>
        <w:t>по-големите възможности за работа в мрежа</w:t>
      </w:r>
      <w:r>
        <w:rPr>
          <w:rFonts w:ascii="Times New Roman" w:hAnsi="Times New Roman"/>
          <w:noProof/>
          <w:sz w:val="24"/>
        </w:rPr>
        <w:t xml:space="preserve"> (+ 22 процентни пункта) и по-голямото използване на </w:t>
      </w:r>
      <w:r>
        <w:rPr>
          <w:rFonts w:ascii="Times New Roman" w:hAnsi="Times New Roman"/>
          <w:b/>
          <w:noProof/>
          <w:sz w:val="24"/>
        </w:rPr>
        <w:t>цифрови ресурси</w:t>
      </w:r>
      <w:r>
        <w:rPr>
          <w:rFonts w:ascii="Times New Roman" w:hAnsi="Times New Roman"/>
          <w:noProof/>
          <w:sz w:val="24"/>
        </w:rPr>
        <w:t xml:space="preserve"> (+ 5 процентни пункта) — в съчетание с по-силна привързаност към Европа (+ 6 процентни пункта).</w:t>
      </w:r>
    </w:p>
    <w:p>
      <w:pPr>
        <w:jc w:val="both"/>
        <w:rPr>
          <w:rFonts w:ascii="Times New Roman" w:hAnsi="Times New Roman" w:cs="Times New Roman"/>
          <w:noProof/>
          <w:sz w:val="24"/>
          <w:szCs w:val="24"/>
        </w:rPr>
      </w:pPr>
      <w:r>
        <w:rPr>
          <w:rFonts w:ascii="Times New Roman" w:hAnsi="Times New Roman"/>
          <w:noProof/>
          <w:sz w:val="24"/>
        </w:rPr>
        <w:t xml:space="preserve">За </w:t>
      </w:r>
      <w:r>
        <w:rPr>
          <w:rFonts w:ascii="Times New Roman" w:hAnsi="Times New Roman"/>
          <w:b/>
          <w:noProof/>
          <w:sz w:val="24"/>
        </w:rPr>
        <w:t>участващите организации</w:t>
      </w:r>
      <w:r>
        <w:rPr>
          <w:rFonts w:ascii="Times New Roman" w:hAnsi="Times New Roman"/>
          <w:noProof/>
          <w:sz w:val="24"/>
        </w:rPr>
        <w:t xml:space="preserve"> (училища, университети, организации, предоставящи професионално образование и обучение, както и организациите, предоставящи образование за възрастни, младежки и спортни организации и т.н.) очакваните промени са постепенни и се различават по своята интензивност в различните сектори на програмата. За по-дълбока трансформация е необходимо продължително участие. Оценката обаче показва, че програмата има </w:t>
      </w:r>
      <w:r>
        <w:rPr>
          <w:rFonts w:ascii="Times New Roman" w:hAnsi="Times New Roman"/>
          <w:b/>
          <w:noProof/>
          <w:sz w:val="24"/>
        </w:rPr>
        <w:t>явен ефект на „европеизация“</w:t>
      </w:r>
      <w:r>
        <w:rPr>
          <w:rStyle w:val="FootnoteReference"/>
          <w:noProof/>
        </w:rPr>
        <w:footnoteReference w:id="4"/>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Оценката потвърждава също така, макар и не толкова видимо, че </w:t>
      </w:r>
      <w:r>
        <w:rPr>
          <w:rFonts w:ascii="Times New Roman" w:hAnsi="Times New Roman"/>
          <w:b/>
          <w:noProof/>
          <w:sz w:val="24"/>
        </w:rPr>
        <w:t>разгледаните програми са оказали въздействие върху разработването и изпълнението на политиките в областта на образованието, обучението, младежта и спорта</w:t>
      </w:r>
      <w:r>
        <w:rPr>
          <w:rStyle w:val="FootnoteReference"/>
          <w:noProof/>
        </w:rPr>
        <w:footnoteReference w:id="5"/>
      </w:r>
      <w:r>
        <w:rPr>
          <w:rFonts w:ascii="Times New Roman" w:hAnsi="Times New Roman"/>
          <w:noProof/>
          <w:sz w:val="24"/>
        </w:rPr>
        <w:t xml:space="preserve">, особено във висшето образование, чийто бюджет е бил достатъчно голям, или са имали косвен ефект, финансирайки политиката на сътрудничество между органите. В дългосрочен план програмите са създали усещането в Европа, че </w:t>
      </w:r>
      <w:r>
        <w:rPr>
          <w:rFonts w:ascii="Times New Roman" w:hAnsi="Times New Roman"/>
          <w:b/>
          <w:noProof/>
          <w:sz w:val="24"/>
        </w:rPr>
        <w:t>мобилността с учебна цел е от полза за хората</w:t>
      </w:r>
      <w:r>
        <w:rPr>
          <w:rFonts w:ascii="Times New Roman" w:hAnsi="Times New Roman"/>
          <w:noProof/>
          <w:sz w:val="24"/>
        </w:rPr>
        <w:t xml:space="preserve"> и че </w:t>
      </w:r>
      <w:r>
        <w:rPr>
          <w:rFonts w:ascii="Times New Roman" w:hAnsi="Times New Roman"/>
          <w:b/>
          <w:noProof/>
          <w:sz w:val="24"/>
        </w:rPr>
        <w:t>резултатите от обучението следва да бъдат широко валидирани и признати</w:t>
      </w:r>
      <w:r>
        <w:rPr>
          <w:rFonts w:ascii="Times New Roman" w:hAnsi="Times New Roman"/>
          <w:noProof/>
          <w:sz w:val="24"/>
        </w:rPr>
        <w:t xml:space="preserve">. Оценяваните програми са изиграли и </w:t>
      </w:r>
      <w:r>
        <w:rPr>
          <w:rFonts w:ascii="Times New Roman" w:hAnsi="Times New Roman"/>
          <w:b/>
          <w:noProof/>
          <w:sz w:val="24"/>
        </w:rPr>
        <w:t>важна роля за глобалното влияние на ЕС</w:t>
      </w:r>
      <w:r>
        <w:rPr>
          <w:rFonts w:ascii="Times New Roman" w:hAnsi="Times New Roman"/>
          <w:noProof/>
          <w:sz w:val="24"/>
        </w:rPr>
        <w:t>, най-вече като улесняват признаването на квалификациите между Европа и държавите партньори.</w:t>
      </w:r>
    </w:p>
    <w:p>
      <w:pPr>
        <w:jc w:val="both"/>
        <w:rPr>
          <w:rFonts w:ascii="Times New Roman" w:hAnsi="Times New Roman" w:cs="Times New Roman"/>
          <w:noProof/>
          <w:sz w:val="24"/>
          <w:szCs w:val="24"/>
        </w:rPr>
      </w:pPr>
      <w:r>
        <w:rPr>
          <w:rFonts w:ascii="Times New Roman" w:hAnsi="Times New Roman"/>
          <w:noProof/>
          <w:sz w:val="24"/>
        </w:rPr>
        <w:t xml:space="preserve">Системните ефекти са съпроводени от </w:t>
      </w:r>
      <w:r>
        <w:rPr>
          <w:rFonts w:ascii="Times New Roman" w:hAnsi="Times New Roman"/>
          <w:b/>
          <w:noProof/>
          <w:sz w:val="24"/>
        </w:rPr>
        <w:t>напредък в разпространението</w:t>
      </w:r>
      <w:r>
        <w:rPr>
          <w:rFonts w:ascii="Times New Roman" w:hAnsi="Times New Roman"/>
          <w:noProof/>
          <w:sz w:val="24"/>
        </w:rPr>
        <w:t xml:space="preserve"> на резултатите от финансираните проекти благодарение </w:t>
      </w:r>
      <w:r>
        <w:rPr>
          <w:rFonts w:ascii="Times New Roman" w:hAnsi="Times New Roman" w:cs="Times New Roman"/>
          <w:noProof/>
          <w:sz w:val="24"/>
          <w:szCs w:val="24"/>
        </w:rPr>
        <w:t>на специална единна платформа</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При все</w:t>
      </w:r>
      <w:r>
        <w:rPr>
          <w:rFonts w:ascii="Times New Roman" w:hAnsi="Times New Roman"/>
          <w:noProof/>
          <w:sz w:val="24"/>
        </w:rPr>
        <w:t xml:space="preserve"> това </w:t>
      </w:r>
      <w:r>
        <w:rPr>
          <w:rFonts w:ascii="Times New Roman" w:hAnsi="Times New Roman"/>
          <w:b/>
          <w:noProof/>
          <w:sz w:val="24"/>
        </w:rPr>
        <w:t>невинаги данните показват ясно, че резултатите от проекта се използват от създателите на политиките</w:t>
      </w:r>
      <w:r>
        <w:rPr>
          <w:rFonts w:ascii="Times New Roman" w:hAnsi="Times New Roman"/>
          <w:noProof/>
          <w:sz w:val="24"/>
        </w:rPr>
        <w:t xml:space="preserve">, особено ако последните не са участвали в проекта от самото начало. </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rPr>
        <w:t>За повишаване на въздействието върху политиката</w:t>
      </w:r>
      <w:r>
        <w:rPr>
          <w:noProof/>
        </w:rPr>
        <w:t xml:space="preserve"> </w:t>
      </w:r>
      <w:r>
        <w:rPr>
          <w:rFonts w:ascii="Times New Roman" w:hAnsi="Times New Roman"/>
          <w:noProof/>
          <w:sz w:val="24"/>
        </w:rPr>
        <w:t>Комисията ще разгледа допълнителни начини за насърчаване на системните ефекти и за по-ефективно включване на успешните резултати от проектите на национално равнище.</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При изготвянето на бъдещи програми Комисията ще проучи възможностите за разработване и финансиране </w:t>
      </w:r>
      <w:r>
        <w:rPr>
          <w:rFonts w:ascii="Times New Roman" w:hAnsi="Times New Roman"/>
          <w:b/>
          <w:noProof/>
          <w:sz w:val="24"/>
        </w:rPr>
        <w:t>в по-голям мащаб</w:t>
      </w:r>
      <w:r>
        <w:rPr>
          <w:rFonts w:ascii="Times New Roman" w:hAnsi="Times New Roman"/>
          <w:noProof/>
          <w:sz w:val="24"/>
        </w:rPr>
        <w:t xml:space="preserve"> (по-специално с подкрепата от европейските структурни и инвестиционни фондове) на успешните проекти по „Еразъм+“, които имат потенциал да предизвикат структурни реформи на национално равнище.</w:t>
      </w:r>
    </w:p>
    <w:p>
      <w:pPr>
        <w:jc w:val="both"/>
        <w:rPr>
          <w:rFonts w:ascii="Times New Roman" w:hAnsi="Times New Roman" w:cs="Times New Roman"/>
          <w:noProof/>
          <w:sz w:val="24"/>
          <w:szCs w:val="24"/>
        </w:rPr>
      </w:pPr>
      <w:r>
        <w:rPr>
          <w:rFonts w:ascii="Times New Roman" w:hAnsi="Times New Roman"/>
          <w:noProof/>
          <w:sz w:val="24"/>
        </w:rPr>
        <w:t xml:space="preserve">Като цяло оценката показа, че в средата на периода програмата „Еразъм+“ е </w:t>
      </w:r>
      <w:r>
        <w:rPr>
          <w:rFonts w:ascii="Times New Roman" w:hAnsi="Times New Roman"/>
          <w:b/>
          <w:noProof/>
          <w:sz w:val="24"/>
        </w:rPr>
        <w:t>постигнала или надхвърлила повечето от показателите</w:t>
      </w:r>
      <w:r>
        <w:rPr>
          <w:rFonts w:ascii="Times New Roman" w:hAnsi="Times New Roman"/>
          <w:noProof/>
          <w:sz w:val="24"/>
        </w:rPr>
        <w:t xml:space="preserve">, определени в правното основание за нея. Търсенето надхвърля значително наличните средства. За в бъдеще, без да се засяга следващата многогодишна финансова рамка, оценката потвърди </w:t>
      </w:r>
      <w:r>
        <w:rPr>
          <w:rFonts w:ascii="Times New Roman" w:hAnsi="Times New Roman"/>
          <w:b/>
          <w:noProof/>
          <w:sz w:val="24"/>
        </w:rPr>
        <w:t>способността на програмата да поеме цялостно увеличение на бюджета</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Ако случаят е такъв, в нея се предлага настоящото </w:t>
      </w:r>
      <w:r>
        <w:rPr>
          <w:rFonts w:ascii="Times New Roman" w:hAnsi="Times New Roman"/>
          <w:b/>
          <w:noProof/>
          <w:sz w:val="24"/>
        </w:rPr>
        <w:t>разпределение между секторите на програмата да може да бъде модифицирано</w:t>
      </w:r>
      <w:r>
        <w:rPr>
          <w:rFonts w:ascii="Times New Roman" w:hAnsi="Times New Roman"/>
          <w:noProof/>
          <w:sz w:val="24"/>
        </w:rPr>
        <w:t xml:space="preserve">, за да се укрепят тези сектори, за които увеличение на бюджета ще доведе до най-ефективните ползи от гледна точка на въздействието. </w:t>
      </w:r>
      <w:r>
        <w:rPr>
          <w:rFonts w:ascii="Times New Roman" w:hAnsi="Times New Roman"/>
          <w:b/>
          <w:noProof/>
          <w:sz w:val="24"/>
        </w:rPr>
        <w:t>Училищното образование, професионалното образование и обучение</w:t>
      </w:r>
      <w:r>
        <w:rPr>
          <w:rFonts w:ascii="Times New Roman" w:hAnsi="Times New Roman"/>
          <w:noProof/>
          <w:sz w:val="24"/>
        </w:rPr>
        <w:t xml:space="preserve"> (ПОО) и младежките дейности, където въздействието на програмите е доказано, макар и все още не толкова широкоразпространено, колкото във висшето образование, поради по-ниските бюджетни средства, бяха определени като области, </w:t>
      </w:r>
      <w:r>
        <w:rPr>
          <w:rFonts w:ascii="Times New Roman" w:hAnsi="Times New Roman"/>
          <w:b/>
          <w:noProof/>
          <w:sz w:val="24"/>
        </w:rPr>
        <w:t>имащи голям потенциал</w:t>
      </w:r>
      <w:r>
        <w:rPr>
          <w:rFonts w:ascii="Times New Roman" w:hAnsi="Times New Roman"/>
          <w:noProof/>
          <w:sz w:val="24"/>
        </w:rPr>
        <w:t xml:space="preserve"> за по-широко участие в дейностите по „Еразъм+“ през идните години.</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От 2018 г. по линия на „Еразъм+“ ще стартират нови действия и дейности с цел </w:t>
      </w:r>
      <w:r>
        <w:rPr>
          <w:rFonts w:ascii="Times New Roman" w:hAnsi="Times New Roman"/>
          <w:b/>
          <w:noProof/>
          <w:sz w:val="24"/>
        </w:rPr>
        <w:t>да се увеличи броят на възможностите за мобилност</w:t>
      </w:r>
      <w:r>
        <w:rPr>
          <w:rFonts w:ascii="Times New Roman" w:hAnsi="Times New Roman"/>
          <w:noProof/>
          <w:sz w:val="24"/>
        </w:rPr>
        <w:t xml:space="preserve"> на учениците, обучаващите се в рамките на ПОО и чираците.</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noProof/>
          <w:sz w:val="24"/>
        </w:rPr>
        <w:t xml:space="preserve">В своето съобщение </w:t>
      </w:r>
      <w:r>
        <w:rPr>
          <w:rFonts w:ascii="Times New Roman" w:hAnsi="Times New Roman"/>
          <w:b/>
          <w:i/>
          <w:noProof/>
          <w:sz w:val="24"/>
        </w:rPr>
        <w:t>„Укрепване на европейската идентичност чрез образование и култура“</w:t>
      </w:r>
      <w:r>
        <w:rPr>
          <w:rStyle w:val="FootnoteReference"/>
          <w:rFonts w:ascii="Times New Roman" w:hAnsi="Times New Roman"/>
          <w:noProof/>
          <w:sz w:val="24"/>
        </w:rPr>
        <w:footnoteReference w:id="7"/>
      </w:r>
      <w:r>
        <w:rPr>
          <w:rFonts w:ascii="Times New Roman" w:hAnsi="Times New Roman"/>
          <w:noProof/>
          <w:sz w:val="24"/>
        </w:rPr>
        <w:t xml:space="preserve"> Комисията излага визия за засилване на бъдещата програма „Еразъм+“ във всички категории учащи (включително ученици, студенти, стажанти и чираци) и учители с цел </w:t>
      </w:r>
      <w:r>
        <w:rPr>
          <w:rFonts w:ascii="Times New Roman" w:hAnsi="Times New Roman"/>
          <w:b/>
          <w:noProof/>
          <w:sz w:val="24"/>
        </w:rPr>
        <w:t>удвояване до 2025 г. на броя на участниците</w:t>
      </w:r>
      <w:r>
        <w:rPr>
          <w:rFonts w:ascii="Times New Roman" w:hAnsi="Times New Roman"/>
          <w:noProof/>
          <w:sz w:val="24"/>
        </w:rPr>
        <w:t xml:space="preserve"> и включване в нея на учащи се в неравностойно положение</w:t>
      </w:r>
      <w:r>
        <w:rPr>
          <w:rStyle w:val="FootnoteReference"/>
          <w:noProof/>
        </w:rPr>
        <w:footnoteReference w:id="8"/>
      </w:r>
      <w:r>
        <w:rPr>
          <w:rFonts w:ascii="Times New Roman" w:hAnsi="Times New Roman"/>
          <w:noProof/>
          <w:sz w:val="24"/>
        </w:rPr>
        <w:t>.</w:t>
      </w:r>
    </w:p>
    <w:p>
      <w:pPr>
        <w:jc w:val="both"/>
        <w:rPr>
          <w:noProof/>
          <w:sz w:val="23"/>
          <w:szCs w:val="23"/>
        </w:rPr>
      </w:pPr>
      <w:r>
        <w:rPr>
          <w:rFonts w:ascii="Times New Roman" w:hAnsi="Times New Roman"/>
          <w:b/>
          <w:noProof/>
          <w:sz w:val="24"/>
        </w:rPr>
        <w:t>Механизмът за гарантиране на заеми за студенти по магистърски програми</w:t>
      </w:r>
      <w:r>
        <w:rPr>
          <w:rFonts w:ascii="Times New Roman" w:hAnsi="Times New Roman"/>
          <w:noProof/>
          <w:sz w:val="24"/>
        </w:rPr>
        <w:t xml:space="preserve"> започна да функционира неотдавна.</w:t>
      </w:r>
      <w:r>
        <w:rPr>
          <w:rFonts w:ascii="Times New Roman" w:hAnsi="Times New Roman"/>
          <w:b/>
          <w:noProof/>
          <w:sz w:val="24"/>
        </w:rPr>
        <w:t xml:space="preserve"> </w:t>
      </w:r>
      <w:r>
        <w:rPr>
          <w:rFonts w:ascii="Times New Roman" w:hAnsi="Times New Roman"/>
          <w:noProof/>
          <w:sz w:val="24"/>
        </w:rPr>
        <w:t xml:space="preserve">Първите бенефициери дадоха положителни отзиви. До този момент обаче той </w:t>
      </w:r>
      <w:r>
        <w:rPr>
          <w:rFonts w:ascii="Times New Roman" w:hAnsi="Times New Roman"/>
          <w:b/>
          <w:noProof/>
          <w:sz w:val="24"/>
        </w:rPr>
        <w:t>все още не отговаря на очакванията, свързани с обема</w:t>
      </w:r>
      <w:r>
        <w:rPr>
          <w:rFonts w:ascii="Times New Roman" w:hAnsi="Times New Roman"/>
          <w:noProof/>
          <w:sz w:val="24"/>
        </w:rPr>
        <w:t>, поради забавянето на пускането му в действие, ниските равнища на усвояване от финансовите институции и липсата на осведоменост сред студентите.</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До 2020 г. Комисията възнамерява да </w:t>
      </w:r>
      <w:r>
        <w:rPr>
          <w:rFonts w:ascii="Times New Roman" w:hAnsi="Times New Roman"/>
          <w:b/>
          <w:noProof/>
          <w:sz w:val="24"/>
        </w:rPr>
        <w:t>намали годишните бюджетни средства за механизма за гарантиране на заеми за студенти по магистърски програми</w:t>
      </w:r>
      <w:r>
        <w:rPr>
          <w:rFonts w:ascii="Times New Roman" w:hAnsi="Times New Roman"/>
          <w:noProof/>
          <w:sz w:val="24"/>
        </w:rPr>
        <w:t>, без да променя общите средства, предвидени за други дейности, свързани с висшето образование.</w:t>
      </w:r>
    </w:p>
    <w:p>
      <w:pPr>
        <w:spacing w:before="480" w:after="240"/>
        <w:jc w:val="both"/>
        <w:outlineLvl w:val="0"/>
        <w:rPr>
          <w:rFonts w:ascii="Times New Roman" w:hAnsi="Times New Roman" w:cs="Times New Roman"/>
          <w:i/>
          <w:noProof/>
          <w:sz w:val="24"/>
          <w:szCs w:val="24"/>
          <w:u w:val="single"/>
        </w:rPr>
      </w:pPr>
      <w:r>
        <w:rPr>
          <w:rFonts w:ascii="Times New Roman" w:hAnsi="Times New Roman"/>
          <w:i/>
          <w:noProof/>
          <w:sz w:val="24"/>
          <w:u w:val="single"/>
        </w:rPr>
        <w:t>Добавена стойност и значимост за ЕС</w:t>
      </w:r>
    </w:p>
    <w:p>
      <w:pPr>
        <w:jc w:val="both"/>
        <w:rPr>
          <w:rFonts w:ascii="Times New Roman" w:hAnsi="Times New Roman" w:cs="Times New Roman"/>
          <w:noProof/>
          <w:sz w:val="24"/>
          <w:szCs w:val="24"/>
        </w:rPr>
      </w:pPr>
      <w:r>
        <w:rPr>
          <w:rFonts w:ascii="Times New Roman" w:hAnsi="Times New Roman"/>
          <w:noProof/>
          <w:sz w:val="24"/>
        </w:rPr>
        <w:t xml:space="preserve">Предвид получените резултати оценката подчертава </w:t>
      </w:r>
      <w:r>
        <w:rPr>
          <w:rFonts w:ascii="Times New Roman" w:hAnsi="Times New Roman"/>
          <w:b/>
          <w:noProof/>
          <w:sz w:val="24"/>
        </w:rPr>
        <w:t>неоспоримата европейска добавена стойност</w:t>
      </w:r>
      <w:r>
        <w:rPr>
          <w:rFonts w:ascii="Times New Roman" w:hAnsi="Times New Roman"/>
          <w:noProof/>
          <w:sz w:val="24"/>
        </w:rPr>
        <w:t xml:space="preserve"> на оценените програми</w:t>
      </w:r>
      <w:r>
        <w:rPr>
          <w:rStyle w:val="FootnoteReference"/>
          <w:noProof/>
        </w:rPr>
        <w:footnoteReference w:id="9"/>
      </w:r>
      <w:r>
        <w:rPr>
          <w:rFonts w:ascii="Times New Roman" w:hAnsi="Times New Roman"/>
          <w:noProof/>
          <w:sz w:val="24"/>
        </w:rPr>
        <w:t>. Това се дължи на големия обем и широкия обхват на финансираните дейности, както и на по-справедливия достъп до мобилност с учебна цел, интегрирането на най-добрите практики, задълбочаването на интеграцията на ЕС и ясното международно измерение. Другите схеми за финансиране на подобни действия на национално равнище продължават да са значително по-малки по обем и обхват. Вероятността те да могат да заместят финансирането по линия на „Еразъм+“ е много малка.</w:t>
      </w:r>
    </w:p>
    <w:p>
      <w:pPr>
        <w:jc w:val="both"/>
        <w:rPr>
          <w:rFonts w:ascii="Times New Roman" w:hAnsi="Times New Roman" w:cs="Times New Roman"/>
          <w:noProof/>
          <w:sz w:val="24"/>
          <w:szCs w:val="24"/>
        </w:rPr>
      </w:pPr>
      <w:r>
        <w:rPr>
          <w:rFonts w:ascii="Times New Roman" w:hAnsi="Times New Roman"/>
          <w:noProof/>
          <w:sz w:val="24"/>
        </w:rPr>
        <w:t xml:space="preserve">Оценката показа, че програма „Еразъм+“ е </w:t>
      </w:r>
      <w:r>
        <w:rPr>
          <w:rFonts w:ascii="Times New Roman" w:hAnsi="Times New Roman"/>
          <w:b/>
          <w:noProof/>
          <w:sz w:val="24"/>
        </w:rPr>
        <w:t>по-добре съгласувана с политиките на ЕС</w:t>
      </w:r>
      <w:r>
        <w:rPr>
          <w:rFonts w:ascii="Times New Roman" w:hAnsi="Times New Roman"/>
          <w:noProof/>
          <w:sz w:val="24"/>
        </w:rPr>
        <w:t xml:space="preserve"> в сравнение с предходните програми и е достатъчно гъвкава, за да се адаптира към нововъзникващите потребности на равнището на ЕС, като например увеличаването на социалното приобщаване и предотвратяването на радикализацията, водеща до насилие</w:t>
      </w:r>
      <w:r>
        <w:rPr>
          <w:rStyle w:val="FootnoteReference"/>
          <w:noProof/>
        </w:rPr>
        <w:footnoteReference w:id="10"/>
      </w:r>
      <w:r>
        <w:rPr>
          <w:rFonts w:ascii="Times New Roman" w:hAnsi="Times New Roman"/>
          <w:noProof/>
          <w:sz w:val="24"/>
        </w:rPr>
        <w:t xml:space="preserve">. С цел максимално увеличаване на въздействието на програмата в оценката се препоръчва </w:t>
      </w:r>
      <w:r>
        <w:rPr>
          <w:rFonts w:ascii="Times New Roman" w:hAnsi="Times New Roman"/>
          <w:b/>
          <w:noProof/>
          <w:sz w:val="24"/>
        </w:rPr>
        <w:t>приоритетите да бъдат по-ограничени на брой и по-целенасочени</w:t>
      </w:r>
      <w:r>
        <w:rPr>
          <w:rFonts w:ascii="Times New Roman" w:hAnsi="Times New Roman"/>
          <w:noProof/>
          <w:sz w:val="24"/>
        </w:rPr>
        <w:t>.</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В текущата програма се поставя по-голям акцент върху действията, които допринасят за </w:t>
      </w:r>
      <w:r>
        <w:rPr>
          <w:rFonts w:ascii="Times New Roman" w:hAnsi="Times New Roman"/>
          <w:b/>
          <w:noProof/>
          <w:sz w:val="24"/>
        </w:rPr>
        <w:t>социалното приобщаване</w:t>
      </w:r>
      <w:r>
        <w:rPr>
          <w:rFonts w:ascii="Times New Roman" w:hAnsi="Times New Roman"/>
          <w:noProof/>
          <w:sz w:val="24"/>
        </w:rPr>
        <w:t xml:space="preserve"> съгласно </w:t>
      </w:r>
      <w:hyperlink r:id="rId16">
        <w:r>
          <w:rPr>
            <w:rStyle w:val="Hyperlink"/>
            <w:rFonts w:ascii="Times New Roman" w:hAnsi="Times New Roman"/>
            <w:b/>
            <w:noProof/>
            <w:sz w:val="24"/>
          </w:rPr>
          <w:t>Парижката декларация</w:t>
        </w:r>
      </w:hyperlink>
      <w:r>
        <w:rPr>
          <w:rStyle w:val="FootnoteReference"/>
          <w:rFonts w:ascii="Times New Roman" w:hAnsi="Times New Roman"/>
          <w:b/>
          <w:noProof/>
          <w:sz w:val="24"/>
        </w:rPr>
        <w:footnoteReference w:id="11"/>
      </w:r>
      <w:r>
        <w:rPr>
          <w:rStyle w:val="Hyperlink"/>
          <w:rFonts w:ascii="Times New Roman" w:hAnsi="Times New Roman"/>
          <w:b/>
          <w:noProof/>
          <w:sz w:val="24"/>
        </w:rPr>
        <w:t>,</w:t>
      </w:r>
      <w:r>
        <w:rPr>
          <w:rFonts w:ascii="Times New Roman" w:hAnsi="Times New Roman"/>
          <w:noProof/>
          <w:sz w:val="24"/>
        </w:rPr>
        <w:t xml:space="preserve"> новите приоритетни области в рамката за европейско сътрудничество в областта на образованието и обучението </w:t>
      </w:r>
      <w:r>
        <w:rPr>
          <w:rFonts w:ascii="Times New Roman" w:hAnsi="Times New Roman"/>
          <w:b/>
          <w:noProof/>
          <w:sz w:val="24"/>
        </w:rPr>
        <w:t xml:space="preserve">„Образование и обучение 2020“ </w:t>
      </w:r>
      <w:r>
        <w:rPr>
          <w:rFonts w:ascii="Times New Roman" w:hAnsi="Times New Roman"/>
          <w:noProof/>
          <w:sz w:val="24"/>
        </w:rPr>
        <w:t xml:space="preserve">и </w:t>
      </w:r>
      <w:r>
        <w:rPr>
          <w:rFonts w:ascii="Times New Roman" w:hAnsi="Times New Roman"/>
          <w:b/>
          <w:noProof/>
          <w:sz w:val="24"/>
        </w:rPr>
        <w:t>стратегията за младежта</w:t>
      </w:r>
      <w:r>
        <w:rPr>
          <w:rStyle w:val="FootnoteReference"/>
          <w:rFonts w:ascii="Times New Roman" w:hAnsi="Times New Roman"/>
          <w:noProof/>
          <w:sz w:val="24"/>
        </w:rPr>
        <w:footnoteReference w:id="12"/>
      </w:r>
      <w:r>
        <w:rPr>
          <w:rFonts w:ascii="Times New Roman" w:hAnsi="Times New Roman"/>
          <w:b/>
          <w:noProof/>
          <w:sz w:val="24"/>
        </w:rPr>
        <w:t xml:space="preserve"> </w:t>
      </w:r>
      <w:r>
        <w:rPr>
          <w:rFonts w:ascii="Times New Roman" w:hAnsi="Times New Roman"/>
          <w:noProof/>
          <w:sz w:val="24"/>
        </w:rPr>
        <w:t>или</w:t>
      </w:r>
      <w:r>
        <w:rPr>
          <w:rFonts w:ascii="Times New Roman" w:hAnsi="Times New Roman"/>
          <w:b/>
          <w:noProof/>
          <w:sz w:val="24"/>
        </w:rPr>
        <w:t xml:space="preserve"> новата европейска програма за умения</w:t>
      </w:r>
      <w:r>
        <w:rPr>
          <w:rStyle w:val="FootnoteReference"/>
          <w:rFonts w:ascii="Times New Roman" w:hAnsi="Times New Roman"/>
          <w:noProof/>
          <w:sz w:val="24"/>
        </w:rPr>
        <w:footnoteReference w:id="13"/>
      </w:r>
      <w:r>
        <w:rPr>
          <w:rFonts w:ascii="Times New Roman" w:hAnsi="Times New Roman"/>
          <w:noProof/>
          <w:sz w:val="24"/>
        </w:rPr>
        <w:t>.</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Бъдещата програма трябва да продължи </w:t>
      </w:r>
      <w:r>
        <w:rPr>
          <w:rFonts w:ascii="Times New Roman" w:hAnsi="Times New Roman"/>
          <w:b/>
          <w:noProof/>
          <w:sz w:val="24"/>
        </w:rPr>
        <w:t>да подпомага изпълнението на политическите приоритети на ЕС</w:t>
      </w:r>
      <w:r>
        <w:rPr>
          <w:rFonts w:ascii="Times New Roman" w:hAnsi="Times New Roman"/>
          <w:noProof/>
          <w:sz w:val="24"/>
        </w:rPr>
        <w:t xml:space="preserve">, като същевременно се запази гъвкавостта за адаптиране при необходимост и високата степен на значимост за участващите държави. Някои действия, най-вече тези, които подкрепят партньорства, биха могли да бъдат </w:t>
      </w:r>
      <w:r>
        <w:rPr>
          <w:rFonts w:ascii="Times New Roman" w:hAnsi="Times New Roman"/>
          <w:b/>
          <w:noProof/>
          <w:sz w:val="24"/>
        </w:rPr>
        <w:t>насочени към по-малко на брой приоритети</w:t>
      </w:r>
      <w:r>
        <w:rPr>
          <w:rFonts w:ascii="Times New Roman" w:hAnsi="Times New Roman"/>
          <w:noProof/>
          <w:sz w:val="24"/>
        </w:rPr>
        <w:t>.</w:t>
      </w:r>
    </w:p>
    <w:p>
      <w:pPr>
        <w:spacing w:before="240"/>
        <w:jc w:val="both"/>
        <w:rPr>
          <w:rFonts w:ascii="Times New Roman" w:hAnsi="Times New Roman" w:cs="Times New Roman"/>
          <w:noProof/>
          <w:sz w:val="24"/>
          <w:szCs w:val="24"/>
        </w:rPr>
      </w:pPr>
      <w:r>
        <w:rPr>
          <w:rFonts w:ascii="Times New Roman" w:hAnsi="Times New Roman"/>
          <w:noProof/>
          <w:sz w:val="24"/>
        </w:rPr>
        <w:t xml:space="preserve">Окончателната оценка на програмата ще даде възможност също така да се оценят резултатите от широкомащабните алианси на познанията  и секторните алианси на уменията, които бяха въведени в рамката на „Еразъм+“ с цел </w:t>
      </w:r>
      <w:r>
        <w:rPr>
          <w:rFonts w:ascii="Times New Roman" w:hAnsi="Times New Roman"/>
          <w:b/>
          <w:noProof/>
          <w:sz w:val="24"/>
        </w:rPr>
        <w:t>стимулиране на иновациите</w:t>
      </w:r>
      <w:r>
        <w:rPr>
          <w:rFonts w:ascii="Times New Roman" w:hAnsi="Times New Roman"/>
          <w:noProof/>
          <w:sz w:val="24"/>
        </w:rPr>
        <w:t xml:space="preserve"> във висшето образование и ПОО.  Тези действия не бяха в достатъчно завършен стадий, за да бъдат оценени в средносрочен план.</w:t>
      </w:r>
    </w:p>
    <w:p>
      <w:pPr>
        <w:pStyle w:val="ListParagraph"/>
        <w:numPr>
          <w:ilvl w:val="0"/>
          <w:numId w:val="5"/>
        </w:numPr>
        <w:pBdr>
          <w:top w:val="single" w:sz="4" w:space="1" w:color="auto"/>
          <w:left w:val="single" w:sz="4" w:space="1" w:color="auto"/>
          <w:bottom w:val="single" w:sz="4" w:space="1" w:color="auto"/>
          <w:right w:val="single" w:sz="4" w:space="1" w:color="auto"/>
        </w:pBdr>
        <w:jc w:val="both"/>
        <w:rPr>
          <w:rFonts w:ascii="Times New Roman" w:hAnsi="Times New Roman" w:cs="Times New Roman"/>
          <w:noProof/>
          <w:sz w:val="24"/>
          <w:szCs w:val="24"/>
        </w:rPr>
      </w:pPr>
      <w:r>
        <w:rPr>
          <w:rFonts w:ascii="Times New Roman" w:hAnsi="Times New Roman"/>
          <w:noProof/>
          <w:sz w:val="24"/>
        </w:rPr>
        <w:t xml:space="preserve">До 2020 г. Комисията ще консолидира допълнително </w:t>
      </w:r>
      <w:r>
        <w:rPr>
          <w:rFonts w:ascii="Times New Roman" w:hAnsi="Times New Roman"/>
          <w:b/>
          <w:noProof/>
          <w:sz w:val="24"/>
        </w:rPr>
        <w:t>различните начини за управление на проектите</w:t>
      </w:r>
      <w:r>
        <w:rPr>
          <w:rFonts w:ascii="Times New Roman" w:hAnsi="Times New Roman"/>
          <w:noProof/>
          <w:sz w:val="24"/>
        </w:rPr>
        <w:t>, целящи най-вече насърчаване на сътрудничеството и обмена (различни от проектите, целящи насърчаване на иновациите).</w:t>
      </w:r>
    </w:p>
    <w:p>
      <w:pPr>
        <w:pStyle w:val="ListParagraph"/>
        <w:numPr>
          <w:ilvl w:val="0"/>
          <w:numId w:val="5"/>
        </w:numPr>
        <w:pBdr>
          <w:top w:val="single" w:sz="4" w:space="1" w:color="auto"/>
          <w:left w:val="single" w:sz="4" w:space="1" w:color="auto"/>
          <w:bottom w:val="single" w:sz="4" w:space="1" w:color="auto"/>
          <w:right w:val="single" w:sz="4" w:space="1" w:color="auto"/>
        </w:pBdr>
        <w:jc w:val="both"/>
        <w:rPr>
          <w:rFonts w:ascii="Times New Roman" w:hAnsi="Times New Roman" w:cs="Times New Roman"/>
          <w:noProof/>
          <w:sz w:val="24"/>
          <w:szCs w:val="24"/>
        </w:rPr>
      </w:pPr>
      <w:r>
        <w:rPr>
          <w:rFonts w:ascii="Times New Roman" w:hAnsi="Times New Roman"/>
          <w:noProof/>
          <w:sz w:val="24"/>
        </w:rPr>
        <w:t xml:space="preserve">Новата програма ще включва начини за </w:t>
      </w:r>
      <w:r>
        <w:rPr>
          <w:rFonts w:ascii="Times New Roman" w:hAnsi="Times New Roman"/>
          <w:b/>
          <w:noProof/>
          <w:sz w:val="24"/>
        </w:rPr>
        <w:t>стимулиране на иновациите</w:t>
      </w:r>
      <w:r>
        <w:rPr>
          <w:rFonts w:ascii="Times New Roman" w:hAnsi="Times New Roman"/>
          <w:noProof/>
          <w:sz w:val="24"/>
        </w:rPr>
        <w:t>.</w:t>
      </w:r>
    </w:p>
    <w:p>
      <w:pPr>
        <w:spacing w:after="120"/>
        <w:jc w:val="both"/>
        <w:rPr>
          <w:rFonts w:ascii="Times New Roman" w:hAnsi="Times New Roman" w:cs="Times New Roman"/>
          <w:noProof/>
          <w:sz w:val="24"/>
          <w:szCs w:val="24"/>
        </w:rPr>
      </w:pPr>
      <w:r>
        <w:rPr>
          <w:rFonts w:ascii="Times New Roman" w:hAnsi="Times New Roman"/>
          <w:noProof/>
          <w:sz w:val="24"/>
        </w:rPr>
        <w:t xml:space="preserve">В оценката също така се посочва, че има възможност да се въведат по-целенасочени действия, </w:t>
      </w:r>
      <w:r>
        <w:rPr>
          <w:rFonts w:ascii="Times New Roman" w:hAnsi="Times New Roman"/>
          <w:b/>
          <w:noProof/>
          <w:sz w:val="24"/>
        </w:rPr>
        <w:t>за да се увеличи в максимална степен значимостта на дейностите по инициативата „Жан Моне“</w:t>
      </w:r>
      <w:r>
        <w:rPr>
          <w:rFonts w:ascii="Times New Roman" w:hAnsi="Times New Roman"/>
          <w:noProof/>
          <w:sz w:val="24"/>
        </w:rPr>
        <w:t xml:space="preserve"> и на </w:t>
      </w:r>
      <w:r>
        <w:rPr>
          <w:rFonts w:ascii="Times New Roman" w:hAnsi="Times New Roman"/>
          <w:b/>
          <w:noProof/>
          <w:sz w:val="24"/>
        </w:rPr>
        <w:t>добавената стойност на програмата</w:t>
      </w:r>
      <w:r>
        <w:rPr>
          <w:rFonts w:ascii="Times New Roman" w:hAnsi="Times New Roman"/>
          <w:noProof/>
          <w:sz w:val="24"/>
        </w:rPr>
        <w:t xml:space="preserve"> в областта на </w:t>
      </w:r>
      <w:r>
        <w:rPr>
          <w:rFonts w:ascii="Times New Roman" w:hAnsi="Times New Roman"/>
          <w:b/>
          <w:noProof/>
          <w:sz w:val="24"/>
        </w:rPr>
        <w:t>ученето за възрастни</w:t>
      </w:r>
      <w:r>
        <w:rPr>
          <w:rFonts w:ascii="Times New Roman" w:hAnsi="Times New Roman"/>
          <w:noProof/>
          <w:sz w:val="24"/>
        </w:rPr>
        <w:t>.</w:t>
      </w:r>
    </w:p>
    <w:p>
      <w:pPr>
        <w:spacing w:after="120"/>
        <w:jc w:val="both"/>
        <w:rPr>
          <w:rFonts w:ascii="Times New Roman" w:hAnsi="Times New Roman" w:cs="Times New Roman"/>
          <w:noProof/>
          <w:sz w:val="24"/>
          <w:szCs w:val="24"/>
        </w:rPr>
      </w:pPr>
      <w:r>
        <w:rPr>
          <w:rFonts w:ascii="Times New Roman" w:hAnsi="Times New Roman"/>
          <w:noProof/>
          <w:sz w:val="24"/>
        </w:rPr>
        <w:t>Понастоящем въпросите, свързани с ЕС, са относително широко застъпени в обучението и изследванията във висшето образование. След икономическите и политическите кризи от последното десетилетие обаче е необходимо да има по-добро разбиране на европейската интеграция и по-голямо чувство на принадлежност към Европа сред най-младите поколения.</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rPr>
        <w:t xml:space="preserve">В рамките на бъдещата програма </w:t>
      </w:r>
      <w:r>
        <w:rPr>
          <w:rFonts w:ascii="Times New Roman" w:hAnsi="Times New Roman"/>
          <w:b/>
          <w:noProof/>
          <w:sz w:val="24"/>
        </w:rPr>
        <w:t>дейностите по инициативата „Жан Моне“</w:t>
      </w:r>
      <w:r>
        <w:rPr>
          <w:rFonts w:ascii="Times New Roman" w:hAnsi="Times New Roman"/>
          <w:noProof/>
          <w:sz w:val="24"/>
        </w:rPr>
        <w:t xml:space="preserve"> могат да бъдат преработени, така че </w:t>
      </w:r>
      <w:r>
        <w:rPr>
          <w:rFonts w:ascii="Times New Roman" w:hAnsi="Times New Roman"/>
          <w:b/>
          <w:noProof/>
          <w:sz w:val="24"/>
        </w:rPr>
        <w:t>да обхванат по-голяма целева група</w:t>
      </w:r>
      <w:r>
        <w:rPr>
          <w:rFonts w:ascii="Times New Roman" w:hAnsi="Times New Roman"/>
          <w:noProof/>
          <w:sz w:val="24"/>
        </w:rPr>
        <w:t xml:space="preserve"> (включително училища), за да се повиши осведомеността на участниците относно общите европейски ценности.</w:t>
      </w:r>
    </w:p>
    <w:p>
      <w:pPr>
        <w:spacing w:after="120"/>
        <w:jc w:val="both"/>
        <w:rPr>
          <w:rFonts w:ascii="Times New Roman" w:hAnsi="Times New Roman" w:cs="Times New Roman"/>
          <w:noProof/>
          <w:sz w:val="24"/>
          <w:szCs w:val="24"/>
        </w:rPr>
      </w:pPr>
      <w:r>
        <w:rPr>
          <w:rFonts w:ascii="Times New Roman" w:hAnsi="Times New Roman"/>
          <w:noProof/>
          <w:sz w:val="24"/>
        </w:rPr>
        <w:t>В оценката се подчертава, че въздействието върху сектора на ученето за възрастни, който понастоящем е насочен към широк кръг от населението, е отслабено поради разпокъсания и разнообразен характер на сектора.</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rPr>
        <w:t xml:space="preserve">Комисията ще обмисли как </w:t>
      </w:r>
      <w:r>
        <w:rPr>
          <w:rFonts w:ascii="Times New Roman" w:hAnsi="Times New Roman"/>
          <w:b/>
          <w:noProof/>
          <w:sz w:val="24"/>
        </w:rPr>
        <w:t>да съсредоточи в по-голяма степен подкрепата на ЕС върху транснационалните дейности в сектора на ученето за възрастни</w:t>
      </w:r>
      <w:r>
        <w:rPr>
          <w:rFonts w:ascii="Times New Roman" w:hAnsi="Times New Roman"/>
          <w:noProof/>
          <w:sz w:val="24"/>
        </w:rPr>
        <w:t xml:space="preserve">. </w:t>
      </w:r>
    </w:p>
    <w:p>
      <w:pPr>
        <w:spacing w:before="480" w:after="240"/>
        <w:rPr>
          <w:rFonts w:ascii="Times New Roman" w:hAnsi="Times New Roman" w:cs="Times New Roman"/>
          <w:i/>
          <w:noProof/>
          <w:sz w:val="24"/>
          <w:szCs w:val="24"/>
          <w:u w:val="single"/>
        </w:rPr>
      </w:pPr>
      <w:r>
        <w:rPr>
          <w:rFonts w:ascii="Times New Roman" w:hAnsi="Times New Roman"/>
          <w:i/>
          <w:noProof/>
          <w:sz w:val="24"/>
          <w:u w:val="single"/>
        </w:rPr>
        <w:t>Съгласуваност</w:t>
      </w:r>
    </w:p>
    <w:p>
      <w:pPr>
        <w:jc w:val="both"/>
        <w:rPr>
          <w:rFonts w:ascii="Times New Roman" w:hAnsi="Times New Roman" w:cs="Times New Roman"/>
          <w:noProof/>
          <w:sz w:val="24"/>
          <w:szCs w:val="24"/>
        </w:rPr>
      </w:pPr>
      <w:r>
        <w:rPr>
          <w:rFonts w:ascii="Times New Roman" w:hAnsi="Times New Roman"/>
          <w:noProof/>
          <w:sz w:val="24"/>
        </w:rPr>
        <w:t xml:space="preserve">В оценката се констатира </w:t>
      </w:r>
      <w:r>
        <w:rPr>
          <w:rFonts w:ascii="Times New Roman" w:hAnsi="Times New Roman"/>
          <w:b/>
          <w:noProof/>
          <w:sz w:val="24"/>
        </w:rPr>
        <w:t>висока степен на взаимно допълване</w:t>
      </w:r>
      <w:r>
        <w:rPr>
          <w:rFonts w:ascii="Times New Roman" w:hAnsi="Times New Roman"/>
          <w:noProof/>
          <w:sz w:val="24"/>
        </w:rPr>
        <w:t xml:space="preserve"> между „Еразъм+“ и други значими политики и програми на ЕС (напр. Европейският социален фонд и „Хоризонт 2020“). Макар степента на синергиите да варира, следва да се отбележи, че в оценката са установени </w:t>
      </w:r>
      <w:r>
        <w:rPr>
          <w:rFonts w:ascii="Times New Roman" w:hAnsi="Times New Roman"/>
          <w:b/>
          <w:noProof/>
          <w:sz w:val="24"/>
        </w:rPr>
        <w:t>много</w:t>
      </w:r>
      <w:r>
        <w:rPr>
          <w:rFonts w:ascii="Times New Roman" w:hAnsi="Times New Roman"/>
          <w:noProof/>
          <w:sz w:val="24"/>
        </w:rPr>
        <w:t xml:space="preserve"> </w:t>
      </w:r>
      <w:r>
        <w:rPr>
          <w:rFonts w:ascii="Times New Roman" w:hAnsi="Times New Roman"/>
          <w:b/>
          <w:noProof/>
          <w:sz w:val="24"/>
        </w:rPr>
        <w:t>малко припокривания</w:t>
      </w:r>
      <w:r>
        <w:rPr>
          <w:rStyle w:val="FootnoteReference"/>
          <w:noProof/>
        </w:rPr>
        <w:footnoteReference w:id="14"/>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b/>
          <w:noProof/>
          <w:sz w:val="24"/>
        </w:rPr>
        <w:t>Силната вътрешна съгласуваност на програмата</w:t>
      </w:r>
      <w:r>
        <w:rPr>
          <w:rFonts w:ascii="Times New Roman" w:hAnsi="Times New Roman"/>
          <w:noProof/>
          <w:sz w:val="24"/>
        </w:rPr>
        <w:t xml:space="preserve"> в сравнение с предходните програми се дължи на факта, че тя </w:t>
      </w:r>
      <w:r>
        <w:rPr>
          <w:rFonts w:ascii="Times New Roman" w:hAnsi="Times New Roman"/>
          <w:b/>
          <w:noProof/>
          <w:sz w:val="24"/>
        </w:rPr>
        <w:t>обхваща ученето през целия живот</w:t>
      </w:r>
      <w:r>
        <w:rPr>
          <w:rFonts w:ascii="Times New Roman" w:hAnsi="Times New Roman"/>
          <w:noProof/>
          <w:sz w:val="24"/>
        </w:rPr>
        <w:t>. Обединяването в единна програма на ЕС на области, които често са разделени (на национално равнище), се възприема като начин за увеличаване на взаимното допълване и придобиване на международна ориентация</w:t>
      </w:r>
      <w:r>
        <w:rPr>
          <w:rStyle w:val="FootnoteReference"/>
          <w:noProof/>
        </w:rPr>
        <w:footnoteReference w:id="15"/>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b/>
          <w:noProof/>
          <w:sz w:val="24"/>
        </w:rPr>
        <w:t>Междусекторното сътрудничество</w:t>
      </w:r>
      <w:r>
        <w:rPr>
          <w:noProof/>
        </w:rPr>
        <w:t xml:space="preserve"> </w:t>
      </w:r>
      <w:r>
        <w:rPr>
          <w:rFonts w:ascii="Times New Roman" w:hAnsi="Times New Roman"/>
          <w:noProof/>
          <w:sz w:val="24"/>
        </w:rPr>
        <w:t>в рамките на „Еразъм+“ рязко се е увеличило (+ 23 процентни пункта в сравнение с предходните програми). Повечето от проектите за сътрудничество вече включват най-малко една организация от друг сектор на програмата. Сътрудничеството между сектора на образованието и обучението и гражданското общество се осъществява постепенно по линия на програмата „Еразъм+“.</w:t>
      </w:r>
    </w:p>
    <w:p>
      <w:pPr>
        <w:jc w:val="both"/>
        <w:rPr>
          <w:rFonts w:ascii="Times New Roman" w:hAnsi="Times New Roman" w:cs="Times New Roman"/>
          <w:noProof/>
          <w:sz w:val="24"/>
          <w:szCs w:val="24"/>
        </w:rPr>
      </w:pPr>
      <w:r>
        <w:rPr>
          <w:rFonts w:ascii="Times New Roman" w:hAnsi="Times New Roman"/>
          <w:noProof/>
          <w:sz w:val="24"/>
        </w:rPr>
        <w:t xml:space="preserve">Оценката подчертава, че за програмата са се оказали несъмнено полезни </w:t>
      </w:r>
      <w:r>
        <w:rPr>
          <w:rFonts w:ascii="Times New Roman" w:hAnsi="Times New Roman"/>
          <w:b/>
          <w:noProof/>
          <w:sz w:val="24"/>
        </w:rPr>
        <w:t>опростяването</w:t>
      </w:r>
      <w:r>
        <w:rPr>
          <w:rFonts w:ascii="Times New Roman" w:hAnsi="Times New Roman"/>
          <w:noProof/>
          <w:sz w:val="24"/>
        </w:rPr>
        <w:t xml:space="preserve"> на структурата, групирането на дейностите в три ключови действия (индивидуална мобилност, сътрудничество и подкрепа за реформа на политиката), както бе предвидено в оценката на въздействието. </w:t>
      </w:r>
      <w:r>
        <w:rPr>
          <w:rFonts w:ascii="Times New Roman" w:hAnsi="Times New Roman"/>
          <w:b/>
          <w:noProof/>
          <w:sz w:val="24"/>
        </w:rPr>
        <w:t>Единният облик</w:t>
      </w:r>
      <w:r>
        <w:rPr>
          <w:rFonts w:ascii="Times New Roman" w:hAnsi="Times New Roman"/>
          <w:noProof/>
          <w:sz w:val="24"/>
        </w:rPr>
        <w:t xml:space="preserve"> допринесе за </w:t>
      </w:r>
      <w:r>
        <w:rPr>
          <w:rFonts w:ascii="Times New Roman" w:hAnsi="Times New Roman"/>
          <w:b/>
          <w:noProof/>
          <w:sz w:val="24"/>
        </w:rPr>
        <w:t>увеличаване на видимостта</w:t>
      </w:r>
      <w:r>
        <w:rPr>
          <w:rFonts w:ascii="Times New Roman" w:hAnsi="Times New Roman"/>
          <w:noProof/>
          <w:sz w:val="24"/>
        </w:rPr>
        <w:t xml:space="preserve"> на програмата в полза на всеки сектор. „Еразъм+“ подобри своя </w:t>
      </w:r>
      <w:r>
        <w:rPr>
          <w:rFonts w:ascii="Times New Roman" w:hAnsi="Times New Roman"/>
          <w:b/>
          <w:noProof/>
          <w:sz w:val="24"/>
        </w:rPr>
        <w:t>географски баланс</w:t>
      </w:r>
      <w:r>
        <w:rPr>
          <w:rFonts w:ascii="Times New Roman" w:hAnsi="Times New Roman"/>
          <w:noProof/>
          <w:sz w:val="24"/>
        </w:rPr>
        <w:t xml:space="preserve"> благодарение на по-широкото участие на малките държави и държавите от Централна и Източна Европа.</w:t>
      </w:r>
    </w:p>
    <w:p>
      <w:pPr>
        <w:jc w:val="both"/>
        <w:rPr>
          <w:rFonts w:ascii="Times New Roman" w:hAnsi="Times New Roman" w:cs="Times New Roman"/>
          <w:noProof/>
          <w:sz w:val="24"/>
          <w:szCs w:val="24"/>
        </w:rPr>
      </w:pPr>
      <w:r>
        <w:rPr>
          <w:rFonts w:ascii="Times New Roman" w:hAnsi="Times New Roman"/>
          <w:noProof/>
          <w:sz w:val="24"/>
        </w:rPr>
        <w:t xml:space="preserve">Съгласуваността </w:t>
      </w:r>
      <w:r>
        <w:rPr>
          <w:rFonts w:ascii="Times New Roman" w:hAnsi="Times New Roman"/>
          <w:b/>
          <w:noProof/>
          <w:sz w:val="24"/>
        </w:rPr>
        <w:t>може още да се подобри по отношение на спорта</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За постигането на значими резултати е необходимо ресурсите да не бъдат прекалено разпръснати.</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Комисията ще се стреми да </w:t>
      </w:r>
      <w:r>
        <w:rPr>
          <w:rFonts w:ascii="Times New Roman" w:hAnsi="Times New Roman"/>
          <w:b/>
          <w:noProof/>
          <w:sz w:val="24"/>
        </w:rPr>
        <w:t>се съсредоточи в по-голяма степен върху някои спортни дейности с акцент върху аспектите, свързани със социалното приобщаване</w:t>
      </w:r>
      <w:r>
        <w:rPr>
          <w:rFonts w:ascii="Times New Roman" w:hAnsi="Times New Roman"/>
          <w:noProof/>
          <w:sz w:val="24"/>
        </w:rPr>
        <w:t>, и да намали припокриването с младежките дейности.</w:t>
      </w:r>
    </w:p>
    <w:p>
      <w:pPr>
        <w:spacing w:before="480" w:after="240"/>
        <w:rPr>
          <w:rFonts w:ascii="Times New Roman" w:hAnsi="Times New Roman" w:cs="Times New Roman"/>
          <w:i/>
          <w:noProof/>
          <w:sz w:val="24"/>
          <w:szCs w:val="24"/>
          <w:u w:val="single"/>
        </w:rPr>
      </w:pPr>
      <w:r>
        <w:rPr>
          <w:rFonts w:ascii="Times New Roman" w:hAnsi="Times New Roman"/>
          <w:i/>
          <w:noProof/>
          <w:sz w:val="24"/>
          <w:u w:val="single"/>
        </w:rPr>
        <w:t>Ефективност и опростяване</w:t>
      </w:r>
      <w:r>
        <w:rPr>
          <w:rStyle w:val="FootnoteReference"/>
          <w:noProof/>
        </w:rPr>
        <w:footnoteReference w:id="16"/>
      </w:r>
    </w:p>
    <w:p>
      <w:pPr>
        <w:jc w:val="both"/>
        <w:rPr>
          <w:rFonts w:ascii="Times New Roman" w:hAnsi="Times New Roman" w:cs="Times New Roman"/>
          <w:noProof/>
          <w:sz w:val="24"/>
          <w:szCs w:val="24"/>
        </w:rPr>
      </w:pPr>
      <w:r>
        <w:rPr>
          <w:rFonts w:ascii="Times New Roman" w:hAnsi="Times New Roman"/>
          <w:noProof/>
          <w:sz w:val="24"/>
        </w:rPr>
        <w:t xml:space="preserve">Данните показват, че </w:t>
      </w:r>
      <w:r>
        <w:rPr>
          <w:rFonts w:ascii="Times New Roman" w:hAnsi="Times New Roman"/>
          <w:b/>
          <w:noProof/>
          <w:sz w:val="24"/>
        </w:rPr>
        <w:t>действията за мобилност по „Еразъм+“ очевидно са ефективни от гледна точка на разходите</w:t>
      </w:r>
      <w:r>
        <w:rPr>
          <w:rFonts w:ascii="Times New Roman" w:hAnsi="Times New Roman"/>
          <w:noProof/>
          <w:sz w:val="24"/>
        </w:rPr>
        <w:t xml:space="preserve">, особено по отношение на мобилността на учащите (с разходи за ЕС в размер на 15 евро на ден/учащ). Основно предизвикателство ще бъде да се подобри </w:t>
      </w:r>
      <w:r>
        <w:rPr>
          <w:rFonts w:ascii="Times New Roman" w:hAnsi="Times New Roman"/>
          <w:b/>
          <w:noProof/>
          <w:sz w:val="24"/>
        </w:rPr>
        <w:t>ефикасността на децентрализираните действия, провеждани с  държавите партньори</w:t>
      </w:r>
      <w:r>
        <w:rPr>
          <w:rFonts w:ascii="Times New Roman" w:hAnsi="Times New Roman"/>
          <w:noProof/>
          <w:sz w:val="24"/>
        </w:rPr>
        <w:t>, които имат специфични критерии и фрагментирани бюджети по линия на фондовете на ЕС в областта на външните отношения.</w:t>
      </w:r>
    </w:p>
    <w:p>
      <w:pPr>
        <w:jc w:val="both"/>
        <w:rPr>
          <w:rFonts w:ascii="Times New Roman" w:hAnsi="Times New Roman" w:cs="Times New Roman"/>
          <w:noProof/>
          <w:sz w:val="24"/>
          <w:szCs w:val="24"/>
        </w:rPr>
      </w:pPr>
      <w:r>
        <w:rPr>
          <w:rFonts w:ascii="Times New Roman" w:hAnsi="Times New Roman"/>
          <w:b/>
          <w:noProof/>
          <w:sz w:val="24"/>
        </w:rPr>
        <w:t xml:space="preserve">Разходите за управление </w:t>
      </w:r>
      <w:r>
        <w:rPr>
          <w:rFonts w:ascii="Times New Roman" w:hAnsi="Times New Roman"/>
          <w:noProof/>
          <w:sz w:val="24"/>
        </w:rPr>
        <w:t>(в размер на 6 % от бюджета на „Еразъм+“</w:t>
      </w:r>
      <w:r>
        <w:rPr>
          <w:rStyle w:val="FootnoteReference"/>
          <w:rFonts w:ascii="Times New Roman" w:hAnsi="Times New Roman"/>
          <w:noProof/>
          <w:sz w:val="24"/>
        </w:rPr>
        <w:footnoteReference w:id="17"/>
      </w:r>
      <w:r>
        <w:rPr>
          <w:rFonts w:ascii="Times New Roman" w:hAnsi="Times New Roman"/>
          <w:noProof/>
          <w:sz w:val="24"/>
        </w:rPr>
        <w:t>)</w:t>
      </w:r>
      <w:r>
        <w:rPr>
          <w:rFonts w:ascii="Times New Roman" w:hAnsi="Times New Roman"/>
          <w:b/>
          <w:noProof/>
          <w:sz w:val="24"/>
        </w:rPr>
        <w:t xml:space="preserve"> са разумни</w:t>
      </w:r>
      <w:r>
        <w:rPr>
          <w:rFonts w:ascii="Times New Roman" w:hAnsi="Times New Roman"/>
          <w:noProof/>
          <w:sz w:val="24"/>
        </w:rPr>
        <w:t>, особено в сравнение със сходни национални схеми (14 % средно), макар че</w:t>
      </w:r>
      <w:r>
        <w:rPr>
          <w:rFonts w:ascii="Times New Roman" w:hAnsi="Times New Roman"/>
          <w:b/>
          <w:noProof/>
          <w:sz w:val="24"/>
        </w:rPr>
        <w:t xml:space="preserve"> са можели да се постигнат и по-големи икономии от мащаба</w:t>
      </w:r>
      <w:r>
        <w:rPr>
          <w:rFonts w:ascii="Times New Roman" w:hAnsi="Times New Roman"/>
          <w:noProof/>
          <w:sz w:val="24"/>
        </w:rPr>
        <w:t>. Поради това до 2020 г. се очаква допълнително подобряване на ефективността.</w:t>
      </w:r>
    </w:p>
    <w:p>
      <w:pPr>
        <w:jc w:val="both"/>
        <w:rPr>
          <w:rFonts w:ascii="Times New Roman" w:hAnsi="Times New Roman" w:cs="Times New Roman"/>
          <w:noProof/>
          <w:sz w:val="24"/>
          <w:szCs w:val="24"/>
        </w:rPr>
      </w:pPr>
      <w:r>
        <w:rPr>
          <w:rFonts w:ascii="Times New Roman" w:hAnsi="Times New Roman"/>
          <w:noProof/>
          <w:sz w:val="24"/>
        </w:rPr>
        <w:t xml:space="preserve">По отношение на опростяването интегрираният характер на „Еразъм+“ позволява използването на междусекторни инструменти за кандидатстване за безвъзмездни средства, мониторинг, одит или разпространение. </w:t>
      </w:r>
      <w:r>
        <w:rPr>
          <w:rFonts w:ascii="Times New Roman" w:hAnsi="Times New Roman"/>
          <w:b/>
          <w:noProof/>
          <w:sz w:val="24"/>
        </w:rPr>
        <w:t xml:space="preserve">След труден преходен период </w:t>
      </w:r>
      <w:r>
        <w:rPr>
          <w:rFonts w:ascii="Times New Roman" w:hAnsi="Times New Roman"/>
          <w:noProof/>
          <w:sz w:val="24"/>
        </w:rPr>
        <w:t xml:space="preserve">между предходните програми и настоящата програма има широко съгласие, че в „Еразъм+“ са направени съществени подобрения (напр. опростеното отпускане на безвъзмездни средства, цифровизацията, Хартата в областта на ПОО </w:t>
      </w:r>
      <w:r>
        <w:rPr>
          <w:rFonts w:ascii="Times New Roman" w:hAnsi="Times New Roman" w:cs="Times New Roman"/>
          <w:noProof/>
          <w:sz w:val="24"/>
          <w:szCs w:val="24"/>
        </w:rPr>
        <w:t>и онлайн услугата за езикова подкрепа</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но </w:t>
      </w:r>
      <w:r>
        <w:rPr>
          <w:rFonts w:ascii="Times New Roman" w:hAnsi="Times New Roman"/>
          <w:b/>
          <w:noProof/>
          <w:sz w:val="24"/>
        </w:rPr>
        <w:t xml:space="preserve">процедурите и ИТ инструментите за управление следва да бъдат по-лесни за използване </w:t>
      </w:r>
      <w:r>
        <w:rPr>
          <w:rFonts w:ascii="Times New Roman" w:hAnsi="Times New Roman"/>
          <w:noProof/>
          <w:sz w:val="24"/>
        </w:rPr>
        <w:t>с цел да се намали административната тежест върху изпълняващите органи и бенефициерите в зависимост от получаваните от тях</w:t>
      </w:r>
      <w:r>
        <w:rPr>
          <w:noProof/>
        </w:rPr>
        <w:t xml:space="preserve"> </w:t>
      </w:r>
      <w:r>
        <w:rPr>
          <w:rFonts w:ascii="Times New Roman" w:hAnsi="Times New Roman"/>
          <w:noProof/>
          <w:sz w:val="24"/>
        </w:rPr>
        <w:t>безвъзмездни средства.</w:t>
      </w:r>
    </w:p>
    <w:p>
      <w:pPr>
        <w:pStyle w:val="ListParagraph"/>
        <w:numPr>
          <w:ilvl w:val="0"/>
          <w:numId w:val="6"/>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noProof/>
          <w:sz w:val="24"/>
        </w:rPr>
        <w:t>През 2018 г. Комисията ще въведе онлайн формуляри, за да се улесни кандидатстването за безвъзмездни средства. Тези постепенни</w:t>
      </w:r>
      <w:r>
        <w:rPr>
          <w:rFonts w:ascii="Times New Roman" w:hAnsi="Times New Roman"/>
          <w:b/>
          <w:noProof/>
          <w:sz w:val="24"/>
        </w:rPr>
        <w:t xml:space="preserve"> подобрения ще продължат</w:t>
      </w:r>
      <w:r>
        <w:rPr>
          <w:rFonts w:ascii="Times New Roman" w:hAnsi="Times New Roman"/>
          <w:noProof/>
          <w:sz w:val="24"/>
        </w:rPr>
        <w:t xml:space="preserve"> през целия жизнен цикъл на програмата.</w:t>
      </w:r>
    </w:p>
    <w:p>
      <w:pPr>
        <w:pStyle w:val="ListParagraph"/>
        <w:numPr>
          <w:ilvl w:val="0"/>
          <w:numId w:val="6"/>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Бъдещата програма следва да продължи да консолидира постигнатата ефективност, по-специално </w:t>
      </w:r>
      <w:r>
        <w:rPr>
          <w:rFonts w:ascii="Times New Roman" w:hAnsi="Times New Roman"/>
          <w:b/>
          <w:noProof/>
          <w:sz w:val="24"/>
        </w:rPr>
        <w:t>като се намали административната тежест</w:t>
      </w:r>
      <w:r>
        <w:rPr>
          <w:rFonts w:ascii="Times New Roman" w:hAnsi="Times New Roman"/>
          <w:noProof/>
          <w:sz w:val="24"/>
        </w:rPr>
        <w:t xml:space="preserve"> чрез опростяване на процедурите за кандидатстване и докладване, чрез подобряване на оперативната съвместимост и удобството при ползването на ИТ инструментите, както и чрез увеличаване на бюджетната гъвкавост, запазвайки задължението за отчетност.</w:t>
      </w:r>
    </w:p>
    <w:p>
      <w:pPr>
        <w:jc w:val="both"/>
        <w:rPr>
          <w:rFonts w:ascii="Times New Roman" w:hAnsi="Times New Roman" w:cs="Times New Roman"/>
          <w:noProof/>
          <w:sz w:val="24"/>
          <w:szCs w:val="24"/>
        </w:rPr>
      </w:pPr>
      <w:r>
        <w:rPr>
          <w:rFonts w:ascii="Times New Roman" w:hAnsi="Times New Roman"/>
          <w:b/>
          <w:noProof/>
          <w:sz w:val="24"/>
        </w:rPr>
        <w:t>Режимът на децентрализирано изпълнение чрез националните агенции е вече добре утвърден</w:t>
      </w:r>
      <w:r>
        <w:rPr>
          <w:rFonts w:ascii="Times New Roman" w:hAnsi="Times New Roman"/>
          <w:noProof/>
          <w:sz w:val="24"/>
        </w:rPr>
        <w:t xml:space="preserve">. През 2014 г. по отношение на управлението на програмите беше въведен </w:t>
      </w:r>
      <w:r>
        <w:rPr>
          <w:rFonts w:ascii="Times New Roman" w:hAnsi="Times New Roman"/>
          <w:b/>
          <w:noProof/>
          <w:sz w:val="24"/>
        </w:rPr>
        <w:t>подход, действително основан на изпълнението</w:t>
      </w:r>
      <w:r>
        <w:rPr>
          <w:rFonts w:ascii="Times New Roman" w:hAnsi="Times New Roman"/>
          <w:noProof/>
          <w:sz w:val="24"/>
        </w:rPr>
        <w:t xml:space="preserve">. Въз основа на установеното подобрение в мониторинга на резултатите от „Еразъм+“ някои показатели трябва да бъдат усъвършенствани и от участниците </w:t>
      </w:r>
      <w:r>
        <w:rPr>
          <w:rFonts w:ascii="Times New Roman" w:hAnsi="Times New Roman"/>
          <w:b/>
          <w:noProof/>
          <w:sz w:val="24"/>
        </w:rPr>
        <w:t>могат да бъдат събирани по-малко данни, които да бъдат използвани по-добре</w:t>
      </w:r>
      <w:r>
        <w:rPr>
          <w:rFonts w:ascii="Times New Roman" w:hAnsi="Times New Roman"/>
          <w:noProof/>
          <w:sz w:val="24"/>
        </w:rPr>
        <w:t>.</w:t>
      </w:r>
    </w:p>
    <w:p>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Комуникацията между Изпълнителната агенция за образование, аудио-визия и култура и националните агенции бе подобрена с цел увеличаване на </w:t>
      </w:r>
      <w:r>
        <w:rPr>
          <w:rFonts w:ascii="Times New Roman" w:hAnsi="Times New Roman"/>
          <w:b/>
          <w:noProof/>
          <w:sz w:val="24"/>
        </w:rPr>
        <w:t>синергиите между централизираните и децентрализираните действия</w:t>
      </w:r>
      <w:r>
        <w:rPr>
          <w:rFonts w:ascii="Times New Roman" w:hAnsi="Times New Roman"/>
          <w:noProof/>
          <w:sz w:val="24"/>
        </w:rPr>
        <w:t>.</w:t>
      </w:r>
    </w:p>
    <w:p>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Комисията ще обмисли как да усъвършенства мониторинга по „Еразъм+“, като включи в обхвата му проектите за сътрудничество и централизираните действия с оглед </w:t>
      </w:r>
      <w:r>
        <w:rPr>
          <w:rFonts w:ascii="Times New Roman" w:hAnsi="Times New Roman"/>
          <w:b/>
          <w:noProof/>
          <w:sz w:val="24"/>
        </w:rPr>
        <w:t>извличането на информация от събраните данни по пропорционален начин, така че вземането на решения да е обусловено от фактите</w:t>
      </w:r>
      <w:r>
        <w:rPr>
          <w:rFonts w:ascii="Times New Roman" w:hAnsi="Times New Roman"/>
          <w:noProof/>
          <w:sz w:val="24"/>
        </w:rPr>
        <w:t>.</w:t>
      </w:r>
    </w:p>
    <w:p>
      <w:pPr>
        <w:spacing w:after="160" w:line="259" w:lineRule="auto"/>
        <w:jc w:val="both"/>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8233"/>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rPr>
          <w:rFonts w:ascii="Times New Roman" w:eastAsiaTheme="majorEastAsia" w:hAnsi="Times New Roman"/>
          <w:bCs/>
        </w:rPr>
      </w:pPr>
      <w:r>
        <w:rPr>
          <w:rStyle w:val="FootnoteReference"/>
          <w:sz w:val="18"/>
        </w:rPr>
        <w:footnoteRef/>
      </w:r>
      <w:r>
        <w:rPr>
          <w:sz w:val="18"/>
        </w:rPr>
        <w:t xml:space="preserve"> </w:t>
      </w:r>
      <w:r>
        <w:rPr>
          <w:rFonts w:ascii="Times New Roman" w:eastAsiaTheme="majorEastAsia" w:hAnsi="Times New Roman"/>
        </w:rPr>
        <w:t>Включително финансиране от инструменти за външна дейност.</w:t>
      </w:r>
    </w:p>
  </w:footnote>
  <w:footnote w:id="2">
    <w:p>
      <w:pPr>
        <w:pStyle w:val="FootnoteText"/>
        <w:spacing w:after="60"/>
        <w:rPr>
          <w:rFonts w:ascii="Times New Roman" w:hAnsi="Times New Roman"/>
        </w:rPr>
      </w:pPr>
      <w:r>
        <w:rPr>
          <w:rStyle w:val="FootnoteReference"/>
          <w:rFonts w:ascii="Times New Roman" w:hAnsi="Times New Roman"/>
        </w:rPr>
        <w:footnoteRef/>
      </w:r>
      <w:r>
        <w:rPr>
          <w:rFonts w:ascii="Times New Roman" w:hAnsi="Times New Roman"/>
        </w:rPr>
        <w:t xml:space="preserve"> ОВ L 347, 20.12.2013 г., стр. 50</w:t>
      </w:r>
      <w:r>
        <w:t xml:space="preserve">, </w:t>
      </w:r>
      <w:r>
        <w:rPr>
          <w:sz w:val="18"/>
        </w:rPr>
        <w:t>бюджет</w:t>
      </w:r>
      <w:r>
        <w:t>.</w:t>
      </w:r>
    </w:p>
  </w:footnote>
  <w:footnote w:id="3">
    <w:p>
      <w:pPr>
        <w:pStyle w:val="FootnoteText"/>
        <w:spacing w:after="60"/>
        <w:rPr>
          <w:rFonts w:ascii="Times New Roman" w:hAnsi="Times New Roman"/>
        </w:rPr>
      </w:pPr>
      <w:r>
        <w:rPr>
          <w:rStyle w:val="FootnoteReference"/>
          <w:rFonts w:ascii="Times New Roman" w:hAnsi="Times New Roman"/>
        </w:rPr>
        <w:footnoteRef/>
      </w:r>
      <w:r>
        <w:rPr>
          <w:rFonts w:ascii="Times New Roman" w:hAnsi="Times New Roman"/>
        </w:rPr>
        <w:t xml:space="preserve"> Държави по програмата: държавите — членки на ЕС, бившата югославска република Македония, Исландия, Лихтенщайн, Норвегия и Турция. Държави партньори: други държави извън ЕС.</w:t>
      </w:r>
    </w:p>
  </w:footnote>
  <w:footnote w:id="4">
    <w:p>
      <w:pPr>
        <w:pStyle w:val="FootnoteText"/>
        <w:spacing w:after="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Работен документ на службите на Комисията, 5.1.2.1.</w:t>
      </w:r>
    </w:p>
  </w:footnote>
  <w:footnote w:id="5">
    <w:p>
      <w:pPr>
        <w:pStyle w:val="FootnoteText"/>
        <w:spacing w:after="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Работен документ на службите на Комисията, 5.1.2.2.</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http://ec.europa.eu/programmes/erasmus-plus/projects</w:t>
      </w:r>
    </w:p>
  </w:footnote>
  <w:footnote w:id="7">
    <w:p>
      <w:pPr>
        <w:pStyle w:val="FootnoteText"/>
        <w:spacing w:after="6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„Укрепване на европейската идентичност чрез образование и култура — приносът на Европейската комисия към срещата на лидерите в Гьотеборг“</w:t>
      </w:r>
      <w:r>
        <w:rPr>
          <w:rFonts w:ascii="Times New Roman" w:hAnsi="Times New Roman"/>
        </w:rPr>
        <w:t>, 17 ноември 2017 г., COM(2017) 673 final.</w:t>
      </w:r>
    </w:p>
  </w:footnote>
  <w:footnote w:id="8">
    <w:p>
      <w:pPr>
        <w:pStyle w:val="FootnoteText"/>
        <w:spacing w:after="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Без да се засяга следващата многогодишна финансова рамка.</w:t>
      </w:r>
    </w:p>
  </w:footnote>
  <w:footnote w:id="9">
    <w:p>
      <w:pPr>
        <w:pStyle w:val="FootnoteText"/>
        <w:spacing w:after="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Работен документ на службите на Комисията, 5.5.</w:t>
      </w:r>
    </w:p>
  </w:footnote>
  <w:footnote w:id="10">
    <w:p>
      <w:pPr>
        <w:pStyle w:val="FootnoteText"/>
        <w:spacing w:after="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Работен документ на службите на Комисията, 5.2.</w:t>
      </w:r>
    </w:p>
  </w:footnote>
  <w:footnote w:id="11">
    <w:p>
      <w:pPr>
        <w:pStyle w:val="FootnoteText"/>
        <w:spacing w:after="60"/>
      </w:pPr>
      <w:r>
        <w:rPr>
          <w:rStyle w:val="FootnoteReference"/>
        </w:rPr>
        <w:footnoteRef/>
      </w:r>
      <w:r>
        <w:t xml:space="preserve"> </w:t>
      </w:r>
      <w:r>
        <w:rPr>
          <w:rFonts w:ascii="Times New Roman" w:hAnsi="Times New Roman"/>
        </w:rPr>
        <w:t>Декларация относно популяризирането чрез образование на гражданското участие и общите ценности — свобода, толерантност и недискриминация, Париж, 17 март 2015 г.</w:t>
      </w:r>
    </w:p>
  </w:footnote>
  <w:footnote w:id="12">
    <w:p>
      <w:pPr>
        <w:shd w:val="clear" w:color="auto" w:fill="FFFFFF"/>
        <w:spacing w:after="60"/>
        <w:jc w:val="both"/>
        <w:textAlignment w:val="baseline"/>
      </w:pPr>
      <w:r>
        <w:rPr>
          <w:rStyle w:val="FootnoteReference"/>
          <w:rFonts w:ascii="Times New Roman" w:hAnsi="Times New Roman"/>
          <w:sz w:val="20"/>
        </w:rPr>
        <w:footnoteRef/>
      </w:r>
      <w:r>
        <w:rPr>
          <w:rFonts w:ascii="Times New Roman" w:hAnsi="Times New Roman"/>
          <w:sz w:val="20"/>
        </w:rPr>
        <w:t xml:space="preserve"> Съвместен доклад за 2015 г. на Съвета и на Комисията относно прилагането на стратегическата рамка за европейско сътрудничество в областта на образованието и обучението („Образование и обучение 2020“), ОВ C 417, 15.12.2015 г., стр. 25; Резолюция на Съвета за установяване на специален работен план на ЕС за младежта (2016—2018 г.), ОВ C 417, 15.12.2015 г., стр. 1.</w:t>
      </w:r>
    </w:p>
  </w:footnote>
  <w:footnote w:id="13">
    <w:p>
      <w:pPr>
        <w:shd w:val="clear" w:color="auto" w:fill="FFFFFF"/>
        <w:spacing w:after="60"/>
        <w:jc w:val="both"/>
        <w:textAlignment w:val="baseline"/>
      </w:pPr>
      <w:r>
        <w:rPr>
          <w:rStyle w:val="FootnoteReference"/>
          <w:rFonts w:ascii="Times New Roman" w:hAnsi="Times New Roman"/>
          <w:sz w:val="20"/>
        </w:rPr>
        <w:footnoteRef/>
      </w:r>
      <w:r>
        <w:rPr>
          <w:rFonts w:ascii="Times New Roman" w:hAnsi="Times New Roman"/>
          <w:sz w:val="20"/>
        </w:rPr>
        <w:t xml:space="preserve"> COM(2016) 381, 10.6.2016 г.</w:t>
      </w:r>
    </w:p>
  </w:footnote>
  <w:footnote w:id="14">
    <w:p>
      <w:pPr>
        <w:pStyle w:val="FootnoteText"/>
        <w:spacing w:after="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Работен документ на службите на Комисията, 5.3.2.</w:t>
      </w:r>
    </w:p>
  </w:footnote>
  <w:footnote w:id="15">
    <w:p>
      <w:pPr>
        <w:pStyle w:val="FootnoteText"/>
        <w:spacing w:after="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Работен документ на службите на Комисията, 5.3.1.</w:t>
      </w:r>
    </w:p>
  </w:footnote>
  <w:footnote w:id="16">
    <w:p>
      <w:pPr>
        <w:pStyle w:val="FootnoteText"/>
        <w:spacing w:after="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Работен документ на службите на Комисията, 5.4.</w:t>
      </w:r>
    </w:p>
  </w:footnote>
  <w:footnote w:id="17">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Включително възнагражденията по договор за управление на националните агенции, които получават подкрепа чрез оперативния бюджет. </w:t>
      </w:r>
    </w:p>
  </w:footnote>
  <w:footnote w:id="18">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https://erasmusplusols.eu/bg/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4EB3"/>
    <w:multiLevelType w:val="hybridMultilevel"/>
    <w:tmpl w:val="AAA0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774357"/>
    <w:multiLevelType w:val="hybridMultilevel"/>
    <w:tmpl w:val="72FC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FF39C9"/>
    <w:multiLevelType w:val="hybridMultilevel"/>
    <w:tmpl w:val="4B427060"/>
    <w:lvl w:ilvl="0" w:tplc="B7CA5A9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F078B5"/>
    <w:multiLevelType w:val="hybridMultilevel"/>
    <w:tmpl w:val="FED4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C50464"/>
    <w:multiLevelType w:val="hybridMultilevel"/>
    <w:tmpl w:val="2224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C1353E"/>
    <w:multiLevelType w:val="hybridMultilevel"/>
    <w:tmpl w:val="7FAA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B042F9"/>
    <w:multiLevelType w:val="hybridMultilevel"/>
    <w:tmpl w:val="117C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3D3FAA"/>
    <w:multiLevelType w:val="hybridMultilevel"/>
    <w:tmpl w:val="15D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6F5BC12-DF03-4109-A456-1ADCF87B7F79"/>
    <w:docVar w:name="LW_COVERPAGE_TYPE" w:val="1"/>
    <w:docVar w:name="LW_CROSSREFERENCE" w:val="{SWD(2018) 40 final}"/>
    <w:docVar w:name="LW_DocType" w:val="NORMAL"/>
    <w:docVar w:name="LW_EMISSION" w:val="31.1.2018"/>
    <w:docVar w:name="LW_EMISSION_ISODATE" w:val="2018-01-31"/>
    <w:docVar w:name="LW_EMISSION_LOCATION" w:val="BRX"/>
    <w:docVar w:name="LW_EMISSION_PREFIX" w:val="Брюксел, "/>
    <w:docVar w:name="LW_EMISSION_SUFFIX" w:val="\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4?\u1094?\u1077?\u1085?\u1082?\u1072? \u1074? \u1089?\u1088?\u1077?\u1076?\u1085?\u1086?\u1089?\u1088?\u1086?\u1095?\u1077?\u1085? \u1087?\u1083?\u1072?\u1085? \u1085?\u1072? \u1087?\u1088?\u1086?\u1075?\u1088?\u1072?\u1084?\u1072?\u1090?\u1072? \u8222?\u1045?\u1088?\u1072?\u1079?\u1098?\u1084? +\u8220? (2014\u8212?2020 \u1075?.)"/>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uiPriority w:val="99"/>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ListParagraph">
    <w:name w:val="List Paragraph"/>
    <w:aliases w:val="1st level - Bullet List Paragraph,List Paragraph1,Lettre d'introduction,Paragrafo elenco,Medium Grid 1 - Accent 21,Bullet Paragraph,Lijstalinea,Bullet List Paragraph,Bulletpoints,Heading 2_sj"/>
    <w:basedOn w:val="Normal"/>
    <w:link w:val="ListParagraphChar"/>
    <w:uiPriority w:val="34"/>
    <w:qFormat/>
    <w:pPr>
      <w:spacing w:after="160" w:line="259" w:lineRule="auto"/>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Bullet Paragraph Char,Lijstalinea Char,Bullet List Paragraph Char,Bulletpoints Char"/>
    <w:basedOn w:val="DefaultParagraphFont"/>
    <w:link w:val="ListParagraph"/>
    <w:uiPriority w:val="34"/>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Default">
    <w:name w:val="Default"/>
    <w:uiPriority w:val="99"/>
    <w:pPr>
      <w:suppressAutoHyphens/>
      <w:autoSpaceDE w:val="0"/>
      <w:autoSpaceDN w:val="0"/>
      <w:spacing w:after="0" w:line="240" w:lineRule="auto"/>
      <w:textAlignment w:val="baseline"/>
    </w:pPr>
    <w:rPr>
      <w:rFonts w:ascii="Arial" w:eastAsia="Times New Roman" w:hAnsi="Arial" w:cs="Arial"/>
      <w:color w:val="000000"/>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uiPriority w:val="99"/>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ListParagraph">
    <w:name w:val="List Paragraph"/>
    <w:aliases w:val="1st level - Bullet List Paragraph,List Paragraph1,Lettre d'introduction,Paragrafo elenco,Medium Grid 1 - Accent 21,Bullet Paragraph,Lijstalinea,Bullet List Paragraph,Bulletpoints,Heading 2_sj"/>
    <w:basedOn w:val="Normal"/>
    <w:link w:val="ListParagraphChar"/>
    <w:uiPriority w:val="34"/>
    <w:qFormat/>
    <w:pPr>
      <w:spacing w:after="160" w:line="259" w:lineRule="auto"/>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Bullet Paragraph Char,Lijstalinea Char,Bullet List Paragraph Char,Bulletpoints Char"/>
    <w:basedOn w:val="DefaultParagraphFont"/>
    <w:link w:val="ListParagraph"/>
    <w:uiPriority w:val="34"/>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Default">
    <w:name w:val="Default"/>
    <w:uiPriority w:val="99"/>
    <w:pPr>
      <w:suppressAutoHyphens/>
      <w:autoSpaceDE w:val="0"/>
      <w:autoSpaceDN w:val="0"/>
      <w:spacing w:after="0" w:line="240" w:lineRule="auto"/>
      <w:textAlignment w:val="baseline"/>
    </w:pPr>
    <w:rPr>
      <w:rFonts w:ascii="Arial" w:eastAsia="Times New Roman" w:hAnsi="Arial" w:cs="Arial"/>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ebgate.ec.europa.eu/fpfis/mwikis/eurydice/images/1/14/Leaflet_Paris_Declaration.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694E-BD43-4939-9D61-D48BBBAF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2660</Words>
  <Characters>15993</Characters>
  <Application>Microsoft Office Word</Application>
  <DocSecurity>0</DocSecurity>
  <Lines>266</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2017-12-21T09:16:00Z</cp:lastPrinted>
  <dcterms:created xsi:type="dcterms:W3CDTF">2018-01-24T08:18:00Z</dcterms:created>
  <dcterms:modified xsi:type="dcterms:W3CDTF">2018-01-29T11:48:00Z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