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BD67F6B7-6DFA-4313-96DE-9E9E31681B9F" style="width:450.85pt;height:379.95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ПРЕПОРЪКАТА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В глобализирания свят, където тежката престъпност и тероризмът имат все по-често транснационално и поливалентно измерение, правоприлагащите органи следва да могат пълноценно да си сътрудничат с външни партньори, за да гарантират сигурността на гражданите. Поради това Европол следва да може да обменя лични данни с правоприлагащите органи на трети държави, доколкото това е необходимо за изпълнението на неговите задачи.</w:t>
      </w:r>
    </w:p>
    <w:p>
      <w:pPr>
        <w:rPr>
          <w:iCs/>
          <w:noProof/>
        </w:rPr>
      </w:pPr>
      <w:r>
        <w:rPr>
          <w:noProof/>
        </w:rPr>
        <w:t>След влизането в сила на Регламент 2016/794 на 1 май 2017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съгласно Договора Комисията отговаря за воденето на преговори от името на Съюза с цел сключване на международни споразумения с трети държави за обмен на лични данни с Европол. Доколкото е необходимо за изпълнението на неговите задачи, Европол може да установява и поддържа отношения на сътрудничество с външни партньори чрез работни и административни договорености, които не могат сами по себе си да бъдат правно основание за обмен на лични данни. </w:t>
      </w:r>
    </w:p>
    <w:p>
      <w:pPr>
        <w:rPr>
          <w:iCs/>
          <w:noProof/>
        </w:rPr>
      </w:pPr>
      <w:r>
        <w:rPr>
          <w:noProof/>
        </w:rPr>
        <w:t>Като се имат предвид политическата стратегия, очертана в Европейската програма за сигурност</w:t>
      </w:r>
      <w:r>
        <w:rPr>
          <w:rStyle w:val="FootnoteReference"/>
          <w:noProof/>
        </w:rPr>
        <w:footnoteReference w:id="2"/>
      </w:r>
      <w:r>
        <w:rPr>
          <w:noProof/>
        </w:rPr>
        <w:t>, заключенията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и Глобалната стратегия</w:t>
      </w:r>
      <w:r>
        <w:rPr>
          <w:rStyle w:val="FootnoteReference"/>
          <w:noProof/>
        </w:rPr>
        <w:footnoteReference w:id="4"/>
      </w:r>
      <w:r>
        <w:rPr>
          <w:noProof/>
        </w:rPr>
        <w:t>, както и оперативните нужди на правоприлагащите органи в целия ЕС и потенциалните ползи от по-тясното сътрудничество в тази област, Комисията смята за необходимо да започне в най-скоро време преговори с осемте държави, посочени в Единадесетия доклад за напредъка по създаването на ефективен и истински Съюз на сигурност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. </w:t>
      </w:r>
    </w:p>
    <w:p>
      <w:pPr>
        <w:rPr>
          <w:noProof/>
        </w:rPr>
      </w:pPr>
      <w:r>
        <w:rPr>
          <w:noProof/>
        </w:rPr>
        <w:t>Комисията направи оценка на приоритетните държави, като взе предвид оперативните нужди на Европол. В Стратегията на Европол за периода 2016—2020 г. като приоритет за засилени партньорства е посочен Средиземноморският регион</w:t>
      </w:r>
      <w:r>
        <w:rPr>
          <w:rStyle w:val="FootnoteReference"/>
          <w:noProof/>
        </w:rPr>
        <w:footnoteReference w:id="6"/>
      </w:r>
      <w:r>
        <w:rPr>
          <w:noProof/>
        </w:rPr>
        <w:t>. Във Външната стратегия на Европол за периода 2017—2020 г. също се подчертава необходимостта от по-тясно сътрудничество между Европол и Близкия изток/Северна Африка (БИСА) поради настоящата терористична заплаха и предизвикателствата, свързани с миграцията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. </w:t>
      </w:r>
    </w:p>
    <w:p>
      <w:pPr>
        <w:rPr>
          <w:noProof/>
        </w:rPr>
      </w:pPr>
      <w:r>
        <w:rPr>
          <w:noProof/>
        </w:rPr>
        <w:t xml:space="preserve">Европол няма сключени споразумения с нито една държава в този регион. </w:t>
      </w:r>
    </w:p>
    <w:p>
      <w:pPr>
        <w:rPr>
          <w:iCs/>
          <w:noProof/>
        </w:rPr>
      </w:pPr>
      <w:r>
        <w:rPr>
          <w:noProof/>
        </w:rPr>
        <w:t xml:space="preserve">Настоящата препоръка се отнася конкретно до преговорите с Ливан, макар че сътрудничеството с всяка държава от БИСА трябва да се разглежда в контекста на региона като цяло. Нестабилността на региона в сегашния момент, и по-специално ситуацията в Сирия и Ирак, представлява значима дългосрочна заплаха за ЕС, на която трябва да се противодейства незабавно. Това се отнася както за ефективната борба с </w:t>
      </w:r>
      <w:r>
        <w:rPr>
          <w:noProof/>
        </w:rPr>
        <w:lastRenderedPageBreak/>
        <w:t>тероризма и свързаната с него организирана престъпност</w:t>
      </w:r>
      <w:r>
        <w:rPr>
          <w:rStyle w:val="FootnoteReference"/>
          <w:noProof/>
        </w:rPr>
        <w:footnoteReference w:id="8"/>
      </w:r>
      <w:r>
        <w:rPr>
          <w:noProof/>
        </w:rPr>
        <w:t>, така и за свързаните с миграцията предизвикателства, като например подпомагането на незаконната миграция и трафика на хора. Сътрудничеството с местните правоприлагащи органи е от решаващо значение за справянето с тези предизвикателства.</w:t>
      </w:r>
    </w:p>
    <w:p>
      <w:pPr>
        <w:spacing w:after="300"/>
        <w:rPr>
          <w:iCs/>
          <w:noProof/>
        </w:rPr>
      </w:pPr>
      <w:r>
        <w:rPr>
          <w:noProof/>
        </w:rPr>
        <w:t>Въз основа на техническите диалози за определяне на общи действия за подобряване на обмена на информация и съвместните оперативни действия за правоприлагане ЕС вече е съгласувал с Ливан списък с действия за засилване на сътрудничеството между съответните правоприлагащи служби в ЕС и държавите от Близкия изток и Северна Африка, за осигуряване на помощ за изграждане на капацитет</w:t>
      </w:r>
      <w:r>
        <w:rPr>
          <w:b/>
          <w:noProof/>
        </w:rPr>
        <w:t xml:space="preserve"> </w:t>
      </w:r>
      <w:r>
        <w:rPr>
          <w:noProof/>
        </w:rPr>
        <w:t>по линия на съответните регионални и/или двустранни програми и за разработване на оперативни действия</w:t>
      </w:r>
      <w:r>
        <w:rPr>
          <w:b/>
          <w:noProof/>
        </w:rPr>
        <w:t xml:space="preserve"> </w:t>
      </w:r>
      <w:r>
        <w:rPr>
          <w:noProof/>
        </w:rPr>
        <w:t>в съответствие със съвместно съгласувана рамка</w:t>
      </w:r>
      <w:r>
        <w:rPr>
          <w:rStyle w:val="FootnoteReference"/>
          <w:noProof/>
        </w:rPr>
        <w:footnoteReference w:id="9"/>
      </w:r>
      <w:r>
        <w:rPr>
          <w:noProof/>
        </w:rPr>
        <w:t>. Ливан изрази също така интерес да сътрудничи на правоприлагащите служби на ЕС в борбата с тероризма, по-специално чрез предоставяното от CEPOL обучение. Това обаче не включва предаването на лични данни.</w:t>
      </w:r>
    </w:p>
    <w:p>
      <w:pPr>
        <w:rPr>
          <w:i/>
          <w:noProof/>
        </w:rPr>
      </w:pPr>
      <w:r>
        <w:rPr>
          <w:i/>
          <w:noProof/>
        </w:rPr>
        <w:t>Политически контекст</w:t>
      </w:r>
    </w:p>
    <w:p>
      <w:pPr>
        <w:spacing w:after="0"/>
        <w:rPr>
          <w:rFonts w:eastAsia="Calibri"/>
          <w:noProof/>
          <w:szCs w:val="24"/>
        </w:rPr>
      </w:pPr>
      <w:r>
        <w:rPr>
          <w:noProof/>
        </w:rPr>
        <w:t>ЕС и Ливан са ключови партньори, изправени пред общи предизвикателства, свързани с продължаващите кризи и нестабилността в съседните им региони. Партньорството между ЕС и Ливан е стабилно и обхваща многобройни сектори, определени в Споразумението за асоцииране, което е в сила от 2006 г. Ливан е изправен пред тежки предизвикателства, свързани с икономиката, социалните въпроси и сигурността. В допълнение към вече съществуващите слабости конфликтът в Сирия усили още повече натиска върху ливанските институции, инфраструктура и околна среда и засегна социално-икономическата стабилност на страната. Ливан подслонява над един милион регистрирани сирийски бежанци, като в страната вече се намират близо 300 000 палестински бежанци.</w:t>
      </w:r>
    </w:p>
    <w:p>
      <w:pPr>
        <w:spacing w:after="0"/>
        <w:rPr>
          <w:rFonts w:eastAsia="Calibri"/>
          <w:noProof/>
          <w:szCs w:val="24"/>
        </w:rPr>
      </w:pPr>
      <w:r>
        <w:rPr>
          <w:noProof/>
        </w:rPr>
        <w:t>На 11 ноември 2016 г. ЕС и Ливан приеха приоритетите за партньорство за периода 2016—2020 г., с които се установява амбициозна стратегическа програма за задълбочаване на взаимоотношенията и постигане на стабилизация на страната и региона като цяло съгласно преразгледаната европейска политика за съседство и Глобалната стратегия на ЕС. Установените приоритети са: сигурността и борбата с тероризма, управлението и върховенството на закона, стимулирането на растежа и създаването на работни места, миграцията и мобилността.</w:t>
      </w:r>
    </w:p>
    <w:p>
      <w:pPr>
        <w:spacing w:after="0"/>
        <w:rPr>
          <w:rFonts w:eastAsia="Calibri"/>
          <w:noProof/>
          <w:szCs w:val="24"/>
        </w:rPr>
      </w:pPr>
      <w:r>
        <w:rPr>
          <w:noProof/>
        </w:rPr>
        <w:t>Освен това ЕС и Ливан договориха пакт, в който се посочват взаимните ангажименти и приоритетни дейности в съответствие с декларацията за намеренията, направена миналата година по време на Лондонската конференция (февруари 2016 г.). С подновяването на ангажиментите по време на Брюкселската конференция за подкрепа на бъдещето на Сирия и региона (5 април 2017 г.) бяха засилени споделените отговорности за справянето с последиците от кризата в Сирия.</w:t>
      </w:r>
    </w:p>
    <w:p>
      <w:pPr>
        <w:rPr>
          <w:noProof/>
          <w:highlight w:val="yellow"/>
        </w:rPr>
      </w:pPr>
      <w:r>
        <w:rPr>
          <w:noProof/>
        </w:rPr>
        <w:lastRenderedPageBreak/>
        <w:t>Ливан вече няколко пъти изрази своя интерес да преговаря за споразумение с Европол, по-специално в контекста на провелия се на 26 януари 2016 г. диалог по въпросите на борбата с тероризма и съгласуваната пътна карта.</w:t>
      </w:r>
      <w:r>
        <w:rPr>
          <w:noProof/>
          <w:highlight w:val="yellow"/>
        </w:rPr>
        <w:t xml:space="preserve"> </w:t>
      </w:r>
    </w:p>
    <w:p>
      <w:pPr>
        <w:rPr>
          <w:noProof/>
          <w:color w:val="FF0000"/>
        </w:rPr>
      </w:pPr>
      <w:r>
        <w:rPr>
          <w:noProof/>
        </w:rPr>
        <w:t>Диалогът с Ливан по въпросите на борбата с тероризма и сигурността продължава да се води, съпътстван от план за действие, който включва разработването на национална стратегия за борба с тероризма, сътрудничеството в правоприлагането и в съдебната област, борбата с финансирането на тероризма, управлението на границите, сигурността на въздухоплаването и летищата и борбата с използващия насилие екстремизъм.</w:t>
      </w:r>
    </w:p>
    <w:p>
      <w:pPr>
        <w:spacing w:before="360"/>
        <w:rPr>
          <w:noProof/>
        </w:rPr>
      </w:pPr>
      <w:r>
        <w:rPr>
          <w:i/>
          <w:noProof/>
        </w:rPr>
        <w:t>Оперативни нужди</w:t>
      </w:r>
    </w:p>
    <w:p>
      <w:pPr>
        <w:rPr>
          <w:noProof/>
        </w:rPr>
      </w:pPr>
      <w:r>
        <w:rPr>
          <w:noProof/>
        </w:rPr>
        <w:t>Въз основа на данните в SOCTA от 2017 г.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и TE-SAT от 2017 г.</w:t>
      </w:r>
      <w:r>
        <w:rPr>
          <w:rStyle w:val="FootnoteReference"/>
          <w:noProof/>
        </w:rPr>
        <w:footnoteReference w:id="11"/>
      </w:r>
      <w:r>
        <w:rPr>
          <w:noProof/>
        </w:rPr>
        <w:t>, посочените по-горе дискусии и наред с другото, вътрешните за Европол експертни знания сътрудничеството с Ливан е необходимо най-вече за да се противодейства на следните престъпни явления:</w:t>
      </w:r>
    </w:p>
    <w:p>
      <w:pPr>
        <w:rPr>
          <w:noProof/>
        </w:rPr>
      </w:pPr>
      <w:r>
        <w:rPr>
          <w:noProof/>
        </w:rPr>
        <w:t>Тероризъм:</w:t>
      </w:r>
      <w:r>
        <w:rPr>
          <w:b/>
          <w:noProof/>
        </w:rPr>
        <w:t xml:space="preserve"> </w:t>
      </w:r>
      <w:r>
        <w:rPr>
          <w:noProof/>
        </w:rPr>
        <w:t xml:space="preserve">дестабилизирането на Сирия (и потенциалните отрицателни ефекти от това за региона) и разпростирането на Даеш и други терористични групи представляват пряка заплаха за сигурността на Ливан и ЕС, които са мишена за терористичните групи. Европейски и ливански терористи са пътували до Сирия, Ирак и други зони на конфликт с цел да се обучават и сражават. </w:t>
      </w:r>
    </w:p>
    <w:p>
      <w:pPr>
        <w:rPr>
          <w:noProof/>
        </w:rPr>
      </w:pPr>
      <w:r>
        <w:rPr>
          <w:noProof/>
        </w:rPr>
        <w:t>По-тясното сътрудничество в областта на правоприлагането, включително обмена на лични данни, ще допринесе за разкриването и наказателното преследване на заподозрените в тероризъм и за предотвратяването на пътуванията с цел тероризъм (включително риска от проникване в миграционните потоци и преместването в други зони на конфликт) и на финансирането на тероризма (включително връзката с организираната престъпност).</w:t>
      </w:r>
    </w:p>
    <w:p>
      <w:pPr>
        <w:rPr>
          <w:noProof/>
        </w:rPr>
      </w:pPr>
      <w:r>
        <w:rPr>
          <w:noProof/>
        </w:rPr>
        <w:t xml:space="preserve">Трафик на огнестрелни оръжия: ЕС и Ливан си сътрудничат в областта на огнестрелните оръжия и съгласуваха работна програма, включваща обмен на най-добри практики, обучение и изграждане на капацитет. Тъй като сътрудничеството става все по-интензивно, подобряването на обмена на информация и последващите разследвания става още по-наложително. Като съседна на Сирия държава Ливан може да играе важна роля в предотвратяването на внасянето на огнестрелни оръжия в зоните на въоръжен конфликт и да гарантира залавянето на незаконни пратки, по-специално по пътя им обратно към ЕС. </w:t>
      </w:r>
    </w:p>
    <w:p>
      <w:pPr>
        <w:rPr>
          <w:noProof/>
        </w:rPr>
      </w:pPr>
      <w:r>
        <w:rPr>
          <w:noProof/>
        </w:rPr>
        <w:t>Свързани с миграцията предизвикателства: в Ливан има значителен брой незаконни мигранти, поради което чрез финансираната от ЕС програма за интегрирано управление на границите на страната се оказва съдействие за обезпечаването на сигурността и проверките на границите ѝ. Сътрудничеството с ливанските органи би било от полза и за разкриването на документни измами — престъпна дейност, свързана с контрабандата на мигранти.</w:t>
      </w:r>
    </w:p>
    <w:p>
      <w:pPr>
        <w:rPr>
          <w:noProof/>
        </w:rPr>
      </w:pPr>
      <w:r>
        <w:rPr>
          <w:noProof/>
        </w:rPr>
        <w:t>Трафик на наркотици:</w:t>
      </w:r>
      <w:r>
        <w:rPr>
          <w:b/>
          <w:noProof/>
        </w:rPr>
        <w:t xml:space="preserve"> </w:t>
      </w:r>
      <w:r>
        <w:rPr>
          <w:noProof/>
        </w:rPr>
        <w:t xml:space="preserve">регионът на Близкия изток/Северна Африка (БИСА) е основен източник, транзитна точка и потребител на незаконни наркотици. Регионът влияе на и е отрицателно повлиян от злоупотребата с незаконни вещества и производството им, тъй като на север е налична стабилна клиентела, а от изток на запад го пресича маршрутът на хероина. Ливан е вторият по големина производител на канабис и хашиш в региона </w:t>
      </w:r>
      <w:r>
        <w:rPr>
          <w:noProof/>
        </w:rPr>
        <w:lastRenderedPageBreak/>
        <w:t>на БИСА, а мащабите на производството на каптагон в страната остават неизвестни. През 2016 г. по линия на финансираната от ЕС програма „Пътят на кокаина“ (компонент AIRCOP — проект за комуникация между летищата) в Ливан беше учредена като правоприлагащ орган съвместна специална група за възпиране на трафика на наркотици през летищата.</w:t>
      </w:r>
    </w:p>
    <w:p>
      <w:pPr>
        <w:rPr>
          <w:noProof/>
        </w:rPr>
      </w:pPr>
      <w:r>
        <w:rPr>
          <w:noProof/>
        </w:rPr>
        <w:t>Организираната престъпност може да реализира значителни печалби на ливанския черен пазар на цигари, автомобили, фалшифицирани стоки, пиратски софтуер, CD и DVD.</w:t>
      </w:r>
    </w:p>
    <w:p>
      <w:pPr>
        <w:rPr>
          <w:noProof/>
        </w:rPr>
      </w:pPr>
      <w:r>
        <w:rPr>
          <w:noProof/>
        </w:rPr>
        <w:t xml:space="preserve"> </w:t>
      </w:r>
    </w:p>
    <w:p>
      <w:pPr>
        <w:pStyle w:val="ManualHeading2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ПРАВНИ ЕЛЕМЕНТИ НА ПРЕПОРЪКАТА</w:t>
      </w:r>
    </w:p>
    <w:p>
      <w:pPr>
        <w:rPr>
          <w:noProof/>
        </w:rPr>
      </w:pPr>
      <w:r>
        <w:rPr>
          <w:noProof/>
        </w:rPr>
        <w:t xml:space="preserve">С Регламент (ЕС) 2016/794 относно Агенцията на Европейския съюз за сътрудничество в областта на правоприлагането (Европол) се установява правната уредба на тази агенция, и по-специално нейните цели, задачи и материална компетентност, гаранциите за защита на данните и начините за сътрудничество с външни партньори. </w:t>
      </w:r>
    </w:p>
    <w:p>
      <w:pPr>
        <w:rPr>
          <w:noProof/>
        </w:rPr>
      </w:pPr>
      <w:r>
        <w:rPr>
          <w:noProof/>
        </w:rPr>
        <w:t>Настоящата препоръка е в съответствие с разпоредбите на Регламента за Европол.</w:t>
      </w:r>
    </w:p>
    <w:p>
      <w:pPr>
        <w:rPr>
          <w:noProof/>
        </w:rPr>
      </w:pPr>
      <w:r>
        <w:rPr>
          <w:noProof/>
        </w:rPr>
        <w:t>Целта на настоящата препоръка е Съветът да упълномощи Комисията да води преговорите за бъдещото споразумение от името на ЕС. Правното основание Съветът да разреши започването на преговорите е член 218, параграфи 3 и 4 от ДФЕС.</w:t>
      </w:r>
    </w:p>
    <w:p>
      <w:pPr>
        <w:rPr>
          <w:noProof/>
        </w:rPr>
      </w:pPr>
      <w:r>
        <w:rPr>
          <w:noProof/>
        </w:rPr>
        <w:t>В съответствие с член 218 от Договора за функционирането на Европейския съюз Комисията е определена за преговарящ за Съюза за споразумението между Европейския съюз и Ливан относно обмена на лични данни между Агенцията на Европейския съюз за сътрудничество в областта на правоприлагането (Европол) и ливанските компетентни органи за борба с тежката престъпност и тероризма.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lastRenderedPageBreak/>
        <w:t>Препоръка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разрешаване на започването на преговори за споразумение между Европейския съюз и Република Ливан относно обмена на лични данни между Агенцията на Европейския съюз за сътрудничество в областта на правоприлагането (Европол) и ливанските компетентни органи за борба с тежката престъпност и тероризма</w:t>
      </w:r>
      <w:r>
        <w:rPr>
          <w:noProof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218, параграфи 3 и 4 от него,</w:t>
      </w:r>
    </w:p>
    <w:p>
      <w:pPr>
        <w:rPr>
          <w:noProof/>
        </w:rPr>
      </w:pPr>
      <w:r>
        <w:rPr>
          <w:noProof/>
        </w:rPr>
        <w:t xml:space="preserve">като взе предвид препоръката на Европейската комисия, 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rPr>
          <w:noProof/>
        </w:rPr>
      </w:pP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Регламент (ЕС) 2016/794 на Европейския парламент и на Съвета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бе приет на 11 май 2016 г. и се прилага от 1 май 2017 г.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С посочения регламент, и по-специално с член 25 от него, се установяват правилата за предаване на лични данни от Агенцията на Европейския съюз за сътрудничество в областта на правоприлагането (Европол) на трети държави и международни организации. Европол може да предава лични данни на орган на трета държава въз основа на международно споразумение, сключено между Съюза и тази трета държава съгласно член 218 от ДФЕС, което предоставя достатъчни гаранции по отношение на защитата на личния живот и на основните права и свободи на физическите лица.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Следва да започнат преговори с цел сключването на такова споразумение между Европейския съюз и Република Ливан.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Споразумението следва да зачита основните права и да спазва принципите, признати от Хартата на основните права на Европейския съюз, а именно правото на личен и семеен живот, признато в член 7 от Хартата, правото на защита на личните данни, признато в член 8 от Хартата, и правото на ефективни правни средства за защита и на справедлив съдебен процес, признато в член 47 от Хартата. Споразумението следва да се прилага в съответствие с тези права и принципи,</w:t>
      </w:r>
    </w:p>
    <w:p>
      <w:pPr>
        <w:pStyle w:val="Formuledadoption"/>
        <w:rPr>
          <w:noProof/>
        </w:rPr>
      </w:pPr>
      <w:r>
        <w:rPr>
          <w:noProof/>
        </w:rPr>
        <w:lastRenderedPageBreak/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rPr>
          <w:noProof/>
        </w:rPr>
      </w:pPr>
      <w:r>
        <w:rPr>
          <w:noProof/>
        </w:rPr>
        <w:t>Комисията се упълномощава да договори, от името на Съюза, споразумение между Европейския съюз и Република Ливан относно обмена на лични данни между Агенцията на Европейския съюз за сътрудничество в областта на правоприлагането (Европол) и ливанските компетентни органи за борба с тежката престъпност и тероризма.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rPr>
          <w:noProof/>
        </w:rPr>
      </w:pPr>
      <w:r>
        <w:rPr>
          <w:noProof/>
        </w:rPr>
        <w:t>Указанията за водене на преговорите са посочени в приложението.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 xml:space="preserve">Преговорите се водят в консултация с [наименование на специалния комитет — добавя се от Съвета]. </w:t>
      </w:r>
    </w:p>
    <w:p>
      <w:pPr>
        <w:pStyle w:val="Titrearticle"/>
        <w:rPr>
          <w:noProof/>
        </w:rPr>
      </w:pPr>
      <w:r>
        <w:rPr>
          <w:noProof/>
        </w:rPr>
        <w:t>Член 4</w:t>
      </w:r>
    </w:p>
    <w:p>
      <w:pPr>
        <w:rPr>
          <w:noProof/>
        </w:rPr>
      </w:pPr>
      <w:r>
        <w:rPr>
          <w:noProof/>
        </w:rPr>
        <w:t xml:space="preserve">Адресат на настоящото решение е Комисията. 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 (ЕС) 2016/794 от 11 май 2016 г. (OB L 135, 24.5.2016 г., стр. 53).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COM(2015) 185 final.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Документ № 10384/17 на Съвета от 19 юни 2017 г.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i/>
        </w:rPr>
        <w:t>Обща визия, общи действия: по-силна Европа</w:t>
      </w:r>
      <w:r>
        <w:t xml:space="preserve"> </w:t>
      </w:r>
      <w:r>
        <w:rPr>
          <w:i/>
        </w:rPr>
        <w:t>— глобална стратегия за външната политика и политиката на сигурност на Европейския съюз</w:t>
      </w:r>
      <w:r>
        <w:t xml:space="preserve"> </w:t>
      </w:r>
      <w:hyperlink r:id="rId1">
        <w:r>
          <w:rPr>
            <w:rStyle w:val="Hyperlink"/>
          </w:rPr>
          <w:t>http://europa.eu/globalstrategy/en</w:t>
        </w:r>
      </w:hyperlink>
      <w:r>
        <w:t xml:space="preserve"> 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COM(2017) 608 final.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Стратегия на Европол за периода 2016—2020 г., приета от управителния съвет на Европол на 1 декември 2015 г., </w:t>
      </w:r>
      <w:hyperlink r:id="rId2">
        <w:r>
          <w:rPr>
            <w:rStyle w:val="Hyperlink"/>
          </w:rPr>
          <w:t>https://www.europol.europa.eu/publications-documents/europol-strategy-2016-2020</w:t>
        </w:r>
      </w:hyperlink>
      <w:r>
        <w:t xml:space="preserve"> 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Външна стратегия на Европол за периода 2017—2020 г., приета от управителния съвет на Европол на 13 декември 2016 г., EDOC#865852v3.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Според Европол престъпленията, свързани с организираната престъпност в региона, включват незаконен трафик на огнестрелни оръжия, трафик на наркотици, финансови престъпления, включително изпиране на пари, и престъпления в кибернетичното пространство.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Няколко инициативи в тази област са включени в приоритета за огнестрелните оръжия като част от цикъла на политиката на ЕС за борба с организираната и тежката международна престъпност, както и в Съобщението на Комисията до Европейския парламент и Съвета „Изпълнение на Европейската програма за сигурност: план за действие на ЕС относно незаконния трафик и използване на огнестрелни оръжия и взривни вещества“ от 2.12.2015 г., COM(2015) 624 final.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3">
        <w:r>
          <w:rPr>
            <w:rStyle w:val="Hyperlink"/>
          </w:rPr>
          <w:t>https://www.europol.europa.eu/socta/2017</w:t>
        </w:r>
      </w:hyperlink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4">
        <w:r>
          <w:rPr>
            <w:rStyle w:val="Hyperlink"/>
          </w:rPr>
          <w:t>https://www.europol.europa.eu/sites/default/files/documents/tesat2017.pdf</w:t>
        </w:r>
      </w:hyperlink>
      <w:r>
        <w:t xml:space="preserve"> 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Регламент (ЕС) 2016/794 на Европейския парламент и на Съвета от 11 май 2016 г. относно Агенцията на Европейския съюз за сътрудничество в областта на правоприлагането (Европол) и за замяна и отмяна на решения 2009/371/ПВР, 2009/934/ПВР, 2009/935/ПВР, 2009/936/ПВР и 2009/968/ПВР на Съвета (ОВ L 135, 24.5.2016 г., стр. 53).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57482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F9C67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C782B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A1872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B2EA8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3CA98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EA61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C8248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1-31 10:30:3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BD67F6B7-6DFA-4313-96DE-9E9E31681B9F"/>
    <w:docVar w:name="LW_COVERPAGE_TYPE" w:val="1"/>
    <w:docVar w:name="LW_CROSSREFERENCE" w:val="&lt;UNUSED&gt;"/>
    <w:docVar w:name="LW_DocType" w:val="COM"/>
    <w:docVar w:name="LW_EMISSION" w:val="20.12.2017"/>
    <w:docVar w:name="LW_EMISSION_ISODATE" w:val="2017-12-20"/>
    <w:docVar w:name="LW_EMISSION_LOCATION" w:val="BRX"/>
    <w:docVar w:name="LW_EMISSION_PREFIX" w:val="Брюксел, "/>
    <w:docVar w:name="LW_EMISSION_SUFFIX" w:val="&lt;EMPTY&gt;"/>
    <w:docVar w:name="LW_ID_DOCMODEL" w:val="SG-001"/>
    <w:docVar w:name="LW_ID_DOCSIGNATURE" w:val="SG-001"/>
    <w:docVar w:name="LW_ID_DOCSTRUCTURE" w:val="COM/PL/ORG"/>
    <w:docVar w:name="LW_ID_DOCTYPE" w:val="SG-001"/>
    <w:docVar w:name="LW_ID_EXP.MOTIFS.NEW" w:val="EM_PL_"/>
    <w:docVar w:name="LW_ID_STATUT" w:val="SG-001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80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87?\u1086?\u1088?\u1098?\u1082?\u1072? \u1079?\u1072?"/>
    <w:docVar w:name="LW_SUPERTITRE" w:val="&lt;UNUSED&gt;"/>
    <w:docVar w:name="LW_TITRE.OBJ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9?\u1087?\u1086?\u1088?\u1072?\u1079?\u1091?\u1084?\u1077?\u1085?\u1080?\u1077? \u1084?\u1077?\u1078?\u1076?\u1091? \u1045?\u1074?\u1088?\u1086?\u1087?\u1077?\u1081?\u1089?\u1082?\u1080?\u1103? \u1089?\u1098?\u1102?\u1079? \u1080? \u1056?\u1077?\u1087?\u1091?\u1073?\u1083?\u1080?\u1082?\u1072? \u1051?\u1080?\u1074?\u1072?\u1085? \u1086?\u1090?\u1085?\u1086?\u1089?\u1085?\u1086? \u1086?\u1073?\u1084?\u1077?\u1085?\u1072? \u1085?\u1072? \u1083?\u1080?\u1095?\u1085?\u1080? \u1076?\u1072?\u1085?\u1085?\u1080? \u1084?\u1077?\u1078?\u1076?\u1091? \u1040?\u1075?\u1077?\u1085?\u1094?\u1080?\u1103?\u1090?\u1072? \u1085?\u1072? \u1045?\u1074?\u1088?\u1086?\u1087?\u1077?\u1081?\u1089?\u1082?\u1080?\u1103? \u1089?\u1098?\u1102?\u1079? \u1079?\u1072? \u1089?\u1098?\u1090?\u1088?\u1091?\u1076?\u1085?\u1080?\u1095?\u1077?\u1089?\u1090?\u1074?\u1086? \u1074? \u1086?\u1073?\u1083?\u1072?\u1089?\u1090?\u1090?\u1072? \u1085?\u1072? \u1087?\u1088?\u1072?\u1074?\u1086?\u1087?\u1088?\u1080?\u1083?\u1072?\u1075?\u1072?\u1085?\u1077?\u1090?\u1086? (\u1045?\u1074?\u1088?\u1086?\u1087?\u1086?\u1083?) \u1080? \u1083?\u1080?\u1074?\u1072?\u1085?\u1089?\u1082?\u1080?\u1090?\u1077? \u1082?\u1086?\u1084?\u1087?\u1077?\u1090?\u1077?\u1085?\u1090?\u1085?\u1080? \u1086?\u1088?\u1075?\u1072?\u1085?\u1080? \u1079?\u1072? \u1073?\u1086?\u1088?\u1073?\u1072? \u1089? \u1090?\u1077?\u1078?\u1082?\u1072?\u1090?\u1072? \u1087?\u1088?\u1077?\u1089?\u1090?\u1098?\u1087?\u1085?\u1086?\u1089?\u1090? \u1080? \u1090?\u1077?\u1088?\u1086?\u1088?\u1080?\u1079?\u1084?\u1072?_x000b_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Points,MAIN CONTENT,List Paragraph11,List Paragraph12,List Paragraph2,OBC Bulle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Points Char,MAIN CONTENT Char,OBC Bullet Char"/>
    <w:link w:val="ListParagraph"/>
    <w:uiPriority w:val="34"/>
    <w:qFormat/>
    <w:locked/>
    <w:rPr>
      <w:rFonts w:ascii="Times New Roman" w:hAnsi="Times New Roman" w:cs="Times New Roman"/>
      <w:sz w:val="24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Points,MAIN CONTENT,List Paragraph11,List Paragraph12,List Paragraph2,OBC Bulle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Points Char,MAIN CONTENT Char,OBC Bullet Char"/>
    <w:link w:val="ListParagraph"/>
    <w:uiPriority w:val="34"/>
    <w:qFormat/>
    <w:locked/>
    <w:rPr>
      <w:rFonts w:ascii="Times New Roman" w:hAnsi="Times New Roman" w:cs="Times New Roman"/>
      <w:sz w:val="24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uropol.europa.eu/socta/2017" TargetMode="External"/><Relationship Id="rId2" Type="http://schemas.openxmlformats.org/officeDocument/2006/relationships/hyperlink" Target="https://www.europol.europa.eu/publications-documents/europol-strategy-2016-2020" TargetMode="External"/><Relationship Id="rId1" Type="http://schemas.openxmlformats.org/officeDocument/2006/relationships/hyperlink" Target="http://europa.eu/globalstrategy/en" TargetMode="External"/><Relationship Id="rId4" Type="http://schemas.openxmlformats.org/officeDocument/2006/relationships/hyperlink" Target="https://www.europol.europa.eu/sites/default/files/documents/tesat2017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CC72-AD27-4440-A964-BAB1C33E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1791</Words>
  <Characters>10428</Characters>
  <Application>Microsoft Office Word</Application>
  <DocSecurity>0</DocSecurity>
  <Lines>193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17</cp:revision>
  <dcterms:created xsi:type="dcterms:W3CDTF">2018-01-29T12:40:00Z</dcterms:created>
  <dcterms:modified xsi:type="dcterms:W3CDTF">2018-01-31T09:30:00Z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SG-001</vt:lpwstr>
  </property>
  <property fmtid="{D5CDD505-2E9C-101B-9397-08002B2CF9AE}" pid="10" name="DQCStatus">
    <vt:lpwstr>Green (DQC version 03)</vt:lpwstr>
  </property>
</Properties>
</file>