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56B6D0-8400-497B-AED1-C3E5589A9FA8" style="width:450.7pt;height:451.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noProof/>
        </w:rPr>
      </w:pPr>
      <w:r>
        <w:rPr>
          <w:b/>
          <w:noProof/>
        </w:rPr>
        <w:t>Directives de négociation d’un accord entre l’Union européenne et la République de Turquie sur l’échange de données à caractère personnel entre l’Agence de l’Union européenne pour la coopération des services répressifs (Europol) et les autorités turques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de la Turquie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d’armes à feu, le trafic de stupéfiants, le trafic de migrants et la contrefaçon de marchandises,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turques.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 xml:space="preserve">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 </w:t>
      </w:r>
    </w:p>
    <w:p>
      <w:pPr>
        <w:pStyle w:val="Point0letter"/>
        <w:numPr>
          <w:ilvl w:val="1"/>
          <w:numId w:val="9"/>
        </w:numPr>
        <w:spacing w:after="240"/>
        <w:rPr>
          <w:noProof/>
        </w:rPr>
      </w:pPr>
      <w:r>
        <w:rPr>
          <w:noProof/>
        </w:rPr>
        <w:t xml:space="preserve">L’accord précisera les critères en vertu desquels seront indiquées la fiabilité de la source et l’exactitude des données. </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de la Turquie à d’autres autorités en Turquie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de la Turquie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de la Turquie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t xml:space="preserve">L’accord prévoira un mécanisme efficace de règlement des différends quant à son interprétation et à son application, pour garantir que les parties respectent les règles dont elles seront convenues. </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2: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256B6D0-8400-497B-AED1-C3E5589A9FA8"/>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un accord entre l'Union européenne et la République de Turquie sur l'échange de données à caractère personnel entre l'Agence de l'Union européenne pour la coopération des services répressifs (Europol) et les autorités turques compétentes pour lutter contre les formes graves de criminalité et le terrorisme_x000b__x000b_"/>
    <w:docVar w:name="LW_OBJETACTEPRINCIPAL.CP" w:val="autorisant l'ouverture de négociations en vue d'un accord entre l'Union européenne et la République de Turquie sur l'échange de données à caractère personnel entre l'Agence de l'Union européenne pour la coopération des services répressifs (Europol) et les autorités turques compétentes pour lutter contre les formes graves de criminalité et le terrorisme_x000b__x000b_"/>
    <w:docVar w:name="LW_PART_NBR" w:val="1"/>
    <w:docVar w:name="LW_PART_NBR_TOTAL" w:val="1"/>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1103</Words>
  <Characters>6588</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2018-01-29T14:23:00Z</dcterms:created>
  <dcterms:modified xsi:type="dcterms:W3CDTF">2018-01-31T13:32:00Z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