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78B7FFD-7D23-4A2A-88EE-61D4D5F8FD0B" style="width:450.55pt;height:379.4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autoSpaceDE w:val="0"/>
        <w:autoSpaceDN w:val="0"/>
        <w:adjustRightInd w:val="0"/>
        <w:rPr>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1"/>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w:t>
      </w:r>
    </w:p>
    <w:p>
      <w:pPr>
        <w:rPr>
          <w:iCs/>
          <w:noProof/>
        </w:rPr>
      </w:pPr>
      <w:r>
        <w:rPr>
          <w:noProof/>
        </w:rPr>
        <w:t>Compte tenu de la stratégie politique exposée dans le programme européen en matière de sécurité</w:t>
      </w:r>
      <w:r>
        <w:rPr>
          <w:rStyle w:val="FootnoteReference"/>
          <w:noProof/>
        </w:rPr>
        <w:footnoteReference w:id="2"/>
      </w:r>
      <w:r>
        <w:rPr>
          <w:noProof/>
        </w:rPr>
        <w:t>, les conclusions du Conseil</w:t>
      </w:r>
      <w:r>
        <w:rPr>
          <w:rStyle w:val="FootnoteReference"/>
          <w:noProof/>
        </w:rPr>
        <w:footnoteReference w:id="3"/>
      </w:r>
      <w:r>
        <w:rPr>
          <w:noProof/>
        </w:rPr>
        <w:t xml:space="preserve"> et la stratégie globale</w:t>
      </w:r>
      <w:r>
        <w:rPr>
          <w:rStyle w:val="FootnoteReference"/>
          <w:noProof/>
        </w:rPr>
        <w:footnoteReference w:id="4"/>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accomplis dans la mise en place d’une union de la sécurité réelle et effective</w:t>
      </w:r>
      <w:r>
        <w:rPr>
          <w:rStyle w:val="FootnoteReference"/>
          <w:noProof/>
        </w:rPr>
        <w:footnoteReference w:id="5"/>
      </w:r>
      <w:r>
        <w:rPr>
          <w:noProof/>
        </w:rPr>
        <w:t>.</w:t>
      </w:r>
    </w:p>
    <w:p>
      <w:pPr>
        <w:pStyle w:val="Text1"/>
        <w:ind w:left="0"/>
        <w:rPr>
          <w:noProof/>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6"/>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7"/>
      </w:r>
      <w:r>
        <w:rPr>
          <w:noProof/>
        </w:rPr>
        <w:t>.</w:t>
      </w:r>
    </w:p>
    <w:p>
      <w:pPr>
        <w:rPr>
          <w:noProof/>
        </w:rPr>
      </w:pPr>
      <w:r>
        <w:rPr>
          <w:noProof/>
        </w:rPr>
        <w:t>Europol n’a conclu d’accords avec aucun des pays de cette région.</w:t>
      </w:r>
    </w:p>
    <w:p>
      <w:pPr>
        <w:rPr>
          <w:noProof/>
        </w:rPr>
      </w:pPr>
      <w:r>
        <w:rPr>
          <w:noProof/>
        </w:rPr>
        <w:t>La présente recommandation porte plus précisément sur les négociations avec Israël, bien qu’il faille envisager la coopération avec n’importe quel pays de la région MENA dans le contexte de la région prise dans son ensemble.</w:t>
      </w:r>
    </w:p>
    <w:p>
      <w:pPr>
        <w:rPr>
          <w:i/>
          <w:noProof/>
        </w:rPr>
      </w:pPr>
      <w:r>
        <w:rPr>
          <w:i/>
          <w:noProof/>
        </w:rPr>
        <w:t>Contexte politique</w:t>
      </w:r>
    </w:p>
    <w:p>
      <w:pPr>
        <w:rPr>
          <w:rFonts w:eastAsia="Calibri"/>
          <w:noProof/>
        </w:rPr>
      </w:pPr>
      <w:r>
        <w:rPr>
          <w:noProof/>
        </w:rPr>
        <w:t xml:space="preserve">L’UE et Israël ont établi des relations solides sur la base de l’accord d’association de 1995 (en vigueur depuis 2000). Tant l’UE qu’Israël se préoccupent particulièrement de faire face aux menaces qui pèsent sur la sécurité, c’est-à-dire aux menaces terroristes. Israël se montre très </w:t>
      </w:r>
      <w:r>
        <w:rPr>
          <w:noProof/>
        </w:rPr>
        <w:lastRenderedPageBreak/>
        <w:t>intéressé par l’intensification de la coopération avec l’UE en matière de lutte contre le terrorisme. Le premier dialogue UE-Israël sur la lutte contre le terrorisme et la sécurité a eu lieu à Bruxelles en mars 2015, suivi par un deuxième en Israël en septembre 2016. Les deux parties sont convenues de coopérer dans des domaines tels que la lutte contre l’extrémisme violent, le financement du terrorisme, le terrorisme non conventionnel, la sécurité aérienne et des transports ainsi que la cybercriminalité. Le souhait de renforcer la coopération avec les agences de l’UE dans le domaine de la justice et des affaires intérieures, notamment Europol, a été exprimé.</w:t>
      </w:r>
    </w:p>
    <w:p>
      <w:pPr>
        <w:rPr>
          <w:rFonts w:eastAsia="Calibri"/>
          <w:noProof/>
          <w:szCs w:val="24"/>
        </w:rPr>
      </w:pPr>
      <w:r>
        <w:rPr>
          <w:noProof/>
        </w:rPr>
        <w:t>Le Conseil a déjà précédemment autorisé l’ouverture de négociations entre Europol et Israël portant sur un accord de coopération opérationnelle</w:t>
      </w:r>
      <w:r>
        <w:rPr>
          <w:rStyle w:val="FootnoteReference"/>
          <w:noProof/>
        </w:rPr>
        <w:footnoteReference w:id="8"/>
      </w:r>
      <w:r>
        <w:rPr>
          <w:noProof/>
        </w:rPr>
        <w:t>. Les négociations ont démarré en 2010 mais n’ont pu aboutir dans l’ancien cadre juridique d’Europol. Dans ce contexte, quelques réunions techniques ont déjà eu lieu entre Europol et les autorités israéliennes.</w:t>
      </w:r>
    </w:p>
    <w:p>
      <w:pPr>
        <w:rPr>
          <w:noProof/>
        </w:rPr>
      </w:pPr>
      <w:r>
        <w:rPr>
          <w:i/>
          <w:noProof/>
        </w:rPr>
        <w:t>Besoins opérationnels</w:t>
      </w:r>
    </w:p>
    <w:p>
      <w:pPr>
        <w:rPr>
          <w:noProof/>
        </w:rPr>
      </w:pPr>
      <w:r>
        <w:rPr>
          <w:noProof/>
        </w:rPr>
        <w:t>Compte tenu des données figurant dans la SOCTA 2017</w:t>
      </w:r>
      <w:r>
        <w:rPr>
          <w:rStyle w:val="FootnoteReference"/>
          <w:noProof/>
        </w:rPr>
        <w:footnoteReference w:id="9"/>
      </w:r>
      <w:r>
        <w:rPr>
          <w:noProof/>
        </w:rPr>
        <w:t xml:space="preserve"> et dans le rapport TE-SAT 2017</w:t>
      </w:r>
      <w:r>
        <w:rPr>
          <w:rStyle w:val="FootnoteReference"/>
          <w:noProof/>
        </w:rPr>
        <w:footnoteReference w:id="10"/>
      </w:r>
      <w:r>
        <w:rPr>
          <w:noProof/>
        </w:rPr>
        <w:t>, des discussions susmentionnées ainsi que, notamment, des connaissances des experts internes d’Europol, la coopération avec Israël est indispensable en particulier pour lutter contre les phénomènes criminels suivants.</w:t>
      </w:r>
    </w:p>
    <w:p>
      <w:pPr>
        <w:rPr>
          <w:noProof/>
          <w:szCs w:val="24"/>
        </w:rPr>
      </w:pPr>
      <w:r>
        <w:rPr>
          <w:noProof/>
        </w:rPr>
        <w:t>Le terrorisme: l’UE et Israël sont confrontés à une menace grave constituée par des groupes terroristes agissant dans la région et au niveau mondial. Une coopération plus étroite, y compris l’échange de données à caractère personnel, aura pour objectif de faire face à la menace constituée par les terroristes (dont les combattants terroristes étrangers) en vue de détecter et d’empêcher les déplacements à des fins de terrorisme, le financement du terrorisme ainsi que l’utilisation abusive de l’internet par les terroristes, et d’engager des poursuites contre les auteurs de tels agissements.</w:t>
      </w:r>
    </w:p>
    <w:p>
      <w:pPr>
        <w:rPr>
          <w:noProof/>
          <w:szCs w:val="24"/>
        </w:rPr>
      </w:pPr>
      <w:r>
        <w:rPr>
          <w:noProof/>
        </w:rPr>
        <w:t>La cybercriminalité: il convient d’établir une coopération avec Israël compte tenu en particulier de l’expertise de ce pays en matière d’enquête et de lutte contre la cybercriminalité utilisant des technologies de pointe. La nécessité d’accroître l’échange de renseignements serait utile dans le cas de la cybercriminalité transnationale ou d’autres formes de criminalité transnationale rendues possibles par l’informatique, notamment les attaques par déni de service distribué, le blanchiment de cryptomonnaie, la fraude dans le commerce électronique, le piratage de courrier électronique en entreprise (</w:t>
      </w:r>
      <w:r>
        <w:rPr>
          <w:i/>
          <w:noProof/>
        </w:rPr>
        <w:t>business email compromise</w:t>
      </w:r>
      <w:r>
        <w:rPr>
          <w:noProof/>
        </w:rPr>
        <w:t>) et l’exploitation sexuelle des enfants en ligne.</w:t>
      </w:r>
    </w:p>
    <w:p>
      <w:pPr>
        <w:pStyle w:val="ManualHeading1"/>
        <w:rPr>
          <w:noProof/>
        </w:rPr>
      </w:pPr>
      <w:r>
        <w:rPr>
          <w:noProof/>
        </w:rPr>
        <w:t>2.</w:t>
      </w:r>
      <w:r>
        <w:rPr>
          <w:noProof/>
        </w:rPr>
        <w:tab/>
        <w:t>ÉLÉMENTS JURIDIQUES DE LA RECOMMANDATION</w:t>
      </w:r>
    </w:p>
    <w:p>
      <w:pPr>
        <w:rPr>
          <w:noProof/>
        </w:rPr>
      </w:pPr>
      <w:r>
        <w:rPr>
          <w:noProof/>
        </w:rPr>
        <w:t>Le règlement (UE) 2016/794 relatif à l’Agence de l’Union européenne pour la coopération des services répressifs (Europol) établit un cadre juridique pour Europol et définit notamment ses objectifs, ses missions, son champ de compétence, les garanties relatives à la protection des données et les modes de coopération avec des partenaires extérieurs.</w:t>
      </w:r>
    </w:p>
    <w:p>
      <w:pPr>
        <w:rPr>
          <w:noProof/>
        </w:rPr>
      </w:pPr>
      <w:r>
        <w:rPr>
          <w:noProof/>
        </w:rPr>
        <w:t>La présente recommandation est conforme aux dispositions du règlement Europol.</w:t>
      </w:r>
    </w:p>
    <w:p>
      <w:pPr>
        <w:rPr>
          <w:noProof/>
        </w:rPr>
      </w:pPr>
      <w:r>
        <w:rPr>
          <w:noProof/>
        </w:rPr>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rFonts w:eastAsia="Arial Unicode MS"/>
          <w:noProof/>
          <w:u w:color="000000"/>
          <w:bdr w:val="nil"/>
        </w:rPr>
      </w:pPr>
      <w:r>
        <w:rPr>
          <w:noProof/>
        </w:rPr>
        <w:lastRenderedPageBreak/>
        <w:t>Conformément à l’article 218 du TFUE, la Commission est désignée comme négociateur de l’Union pour l’accord entre l’Union européenne et Israël sur l’échange de données à caractère personnel entre l’Agence de l’Union européenne pour la coopération des services répressifs (Europol) et les autorités israéliennes compétentes pour lutter contre les formes graves de criminalité et le terrorisme.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l’État d’Israël sur l’échange de données à caractère personnel entre l’Agence de l’Union européenne pour la coopération des services répressifs (Europol) et les autorités israéliennes compétentes pour lutter contre les formes graves de criminalité et le terrorisme</w:t>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Le règlement (UE) 2016/794 du Parlement européen et du Conseil</w:t>
      </w:r>
      <w:r>
        <w:rPr>
          <w:rStyle w:val="FootnoteReference"/>
          <w:noProof/>
        </w:rPr>
        <w:footnoteReference w:id="11"/>
      </w:r>
      <w:r>
        <w:rPr>
          <w:noProof/>
        </w:rPr>
        <w:t>, adopté le 11 mai 2016, est applicable depuis le 1</w:t>
      </w:r>
      <w:r>
        <w:rPr>
          <w:noProof/>
          <w:vertAlign w:val="superscript"/>
        </w:rPr>
        <w:t>er</w:t>
      </w:r>
      <w:r>
        <w:rPr>
          <w:noProof/>
        </w:rPr>
        <w:t> mai 2017.</w:t>
      </w:r>
    </w:p>
    <w:p>
      <w:pPr>
        <w:pStyle w:val="ManualConsidrant"/>
        <w:rPr>
          <w:noProof/>
        </w:rPr>
      </w:pPr>
      <w:r>
        <w:t>(2)</w:t>
      </w:r>
      <w:r>
        <w:tab/>
      </w:r>
      <w:r>
        <w:rPr>
          <w:noProof/>
        </w:rPr>
        <w:t>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w:t>
      </w:r>
    </w:p>
    <w:p>
      <w:pPr>
        <w:pStyle w:val="ManualConsidrant"/>
        <w:rPr>
          <w:noProof/>
        </w:rPr>
      </w:pPr>
      <w:r>
        <w:t>(3)</w:t>
      </w:r>
      <w:r>
        <w:tab/>
      </w:r>
      <w:r>
        <w:rPr>
          <w:noProof/>
        </w:rPr>
        <w:t>Il y a lieu d’ouvrir les négociations en vue de la conclusion d’un tel accord entre l’Union européenne et l’État d’Israël.</w:t>
      </w:r>
    </w:p>
    <w:p>
      <w:pPr>
        <w:pStyle w:val="ManualConsidrant"/>
        <w:rPr>
          <w:noProof/>
        </w:rPr>
      </w:pPr>
      <w:r>
        <w:t>(4)</w:t>
      </w:r>
      <w:r>
        <w:tab/>
      </w: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Commission est autorisée à négocier, au nom de l’Union, un accord entre l’Union européenne et l’État d’Israël sur l’échange de données à caractère personnel entre l’Agence de </w:t>
      </w:r>
      <w:r>
        <w:rPr>
          <w:noProof/>
        </w:rPr>
        <w:lastRenderedPageBreak/>
        <w:t>l’Union européenne pour la coopération des services répressifs (Europol) et les autorités israéliennes compétentes pour lutter contre les formes graves de criminalité et le terrorisme.</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Les négociations sont conduites en concertation avec [nom du comité spécial, à insérer par le Conseil].</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2016/794 du 11 mai 2016, JO L 135 du 24.5.2016, p. 53.</w:t>
      </w:r>
    </w:p>
  </w:footnote>
  <w:footnote w:id="2">
    <w:p>
      <w:pPr>
        <w:pStyle w:val="FootnoteText"/>
        <w:rPr>
          <w:lang w:val="fr-BE"/>
        </w:rPr>
      </w:pPr>
      <w:r>
        <w:rPr>
          <w:rStyle w:val="FootnoteReference"/>
        </w:rPr>
        <w:footnoteRef/>
      </w:r>
      <w:r>
        <w:tab/>
        <w:t>COM(2015) 185 final.</w:t>
      </w:r>
    </w:p>
  </w:footnote>
  <w:footnote w:id="3">
    <w:p>
      <w:pPr>
        <w:pStyle w:val="FootnoteText"/>
        <w:rPr>
          <w:lang w:val="fr-BE"/>
        </w:rPr>
      </w:pPr>
      <w:r>
        <w:rPr>
          <w:rStyle w:val="FootnoteReference"/>
        </w:rPr>
        <w:footnoteRef/>
      </w:r>
      <w:r>
        <w:tab/>
        <w:t>Document 10384/17 du Conseil du 19 juin 2017.</w:t>
      </w:r>
    </w:p>
  </w:footnote>
  <w:footnote w:id="4">
    <w:p>
      <w:pPr>
        <w:pStyle w:val="FootnoteText"/>
      </w:pPr>
      <w:r>
        <w:rPr>
          <w:rStyle w:val="FootnoteReference"/>
        </w:rPr>
        <w:footnoteRef/>
      </w:r>
      <w:r>
        <w:tab/>
      </w:r>
      <w:r>
        <w:rPr>
          <w:i/>
        </w:rPr>
        <w:t>Vision partagée, action commune: une Europe plus forte – Une stratégie globale pour la politique étrangère et de sécurité de l’Union européenne</w:t>
      </w:r>
      <w:r>
        <w:t xml:space="preserve">, </w:t>
      </w:r>
      <w:hyperlink r:id="rId1">
        <w:r>
          <w:rPr>
            <w:rStyle w:val="Hyperlink"/>
          </w:rPr>
          <w:t>http://europa.eu/globalstrategy/fr</w:t>
        </w:r>
      </w:hyperlink>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Stratégie d’Europol pour 2016-2020, adoptée le 1</w:t>
      </w:r>
      <w:r>
        <w:rPr>
          <w:vertAlign w:val="superscript"/>
        </w:rPr>
        <w:t>er</w:t>
      </w:r>
      <w:r>
        <w:t xml:space="preserve"> décembre 2015 par le conseil d’administration d’Europol, </w:t>
      </w:r>
      <w:hyperlink r:id="rId2">
        <w:r>
          <w:rPr>
            <w:rStyle w:val="Hyperlink"/>
          </w:rPr>
          <w:t>https://www.europol.europa.eu/publications-documents/europol-strategy-2016-2020</w:t>
        </w:r>
      </w:hyperlink>
    </w:p>
  </w:footnote>
  <w:footnote w:id="7">
    <w:p>
      <w:pPr>
        <w:pStyle w:val="FootnoteText"/>
      </w:pPr>
      <w:r>
        <w:rPr>
          <w:rStyle w:val="FootnoteReference"/>
        </w:rPr>
        <w:footnoteRef/>
      </w:r>
      <w:r>
        <w:tab/>
        <w:t>Stratégie extérieure d’Europol pour 2017-2020, adoptée le 13 décembre 2016 par le conseil d’administration d’Europol, EDOC#865852v3.</w:t>
      </w:r>
    </w:p>
  </w:footnote>
  <w:footnote w:id="8">
    <w:p>
      <w:pPr>
        <w:pStyle w:val="FootnoteText"/>
      </w:pPr>
      <w:r>
        <w:rPr>
          <w:rStyle w:val="FootnoteReference"/>
        </w:rPr>
        <w:footnoteRef/>
      </w:r>
      <w:r>
        <w:tab/>
        <w:t>Décision 2009/371/JAI du Conseil.</w:t>
      </w:r>
    </w:p>
  </w:footnote>
  <w:footnote w:id="9">
    <w:p>
      <w:pPr>
        <w:pStyle w:val="FootnoteText"/>
      </w:pPr>
      <w:r>
        <w:rPr>
          <w:rStyle w:val="FootnoteReference"/>
        </w:rPr>
        <w:footnoteRef/>
      </w:r>
      <w:r>
        <w:tab/>
      </w:r>
      <w:hyperlink r:id="rId3">
        <w:r>
          <w:rPr>
            <w:rStyle w:val="Hyperlink"/>
          </w:rPr>
          <w:t>https://www.europol.europa.eu/socta/2017</w:t>
        </w:r>
      </w:hyperlink>
    </w:p>
  </w:footnote>
  <w:footnote w:id="10">
    <w:p>
      <w:pPr>
        <w:pStyle w:val="FootnoteText"/>
      </w:pPr>
      <w:r>
        <w:rPr>
          <w:rStyle w:val="FootnoteReference"/>
        </w:rPr>
        <w:footnoteRef/>
      </w:r>
      <w:r>
        <w:tab/>
      </w:r>
      <w:hyperlink r:id="rId4">
        <w:r>
          <w:rPr>
            <w:rStyle w:val="Hyperlink"/>
          </w:rPr>
          <w:t>https://www.europol.europa.eu/sites/default/files/documents/tesat2017.pdf</w:t>
        </w:r>
      </w:hyperlink>
      <w:r>
        <w:rPr>
          <w:rStyle w:val="Hyperlink"/>
        </w:rPr>
        <w:t>.</w:t>
      </w:r>
    </w:p>
  </w:footnote>
  <w:footnote w:id="11">
    <w:p>
      <w:pPr>
        <w:pStyle w:val="FootnoteText"/>
      </w:pPr>
      <w:r>
        <w:rPr>
          <w:rStyle w:val="FootnoteReference"/>
        </w:rPr>
        <w:footnoteRef/>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085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F60C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2683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D42D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624E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922A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BC1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62A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6:34: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8B7FFD-7D23-4A2A-88EE-61D4D5F8FD0B"/>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u8217?État d\u8217?Israël sur l\u8217?échange de données à caractère personnel entre l\u8217?Agence de l\u8217?Union européenne pour la coopération des services répressifs (Europol) et les autorités israéliennes compétentes pour lutter contre les formes graves de criminalité et le terroris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644">
      <w:bodyDiv w:val="1"/>
      <w:marLeft w:val="0"/>
      <w:marRight w:val="0"/>
      <w:marTop w:val="0"/>
      <w:marBottom w:val="0"/>
      <w:divBdr>
        <w:top w:val="none" w:sz="0" w:space="0" w:color="auto"/>
        <w:left w:val="none" w:sz="0" w:space="0" w:color="auto"/>
        <w:bottom w:val="none" w:sz="0" w:space="0" w:color="auto"/>
        <w:right w:val="none" w:sz="0" w:space="0" w:color="auto"/>
      </w:divBdr>
    </w:div>
    <w:div w:id="429546310">
      <w:bodyDiv w:val="1"/>
      <w:marLeft w:val="0"/>
      <w:marRight w:val="0"/>
      <w:marTop w:val="0"/>
      <w:marBottom w:val="0"/>
      <w:divBdr>
        <w:top w:val="none" w:sz="0" w:space="0" w:color="auto"/>
        <w:left w:val="none" w:sz="0" w:space="0" w:color="auto"/>
        <w:bottom w:val="none" w:sz="0" w:space="0" w:color="auto"/>
        <w:right w:val="none" w:sz="0" w:space="0" w:color="auto"/>
      </w:divBdr>
    </w:div>
    <w:div w:id="653217695">
      <w:bodyDiv w:val="1"/>
      <w:marLeft w:val="0"/>
      <w:marRight w:val="0"/>
      <w:marTop w:val="0"/>
      <w:marBottom w:val="0"/>
      <w:divBdr>
        <w:top w:val="none" w:sz="0" w:space="0" w:color="auto"/>
        <w:left w:val="none" w:sz="0" w:space="0" w:color="auto"/>
        <w:bottom w:val="none" w:sz="0" w:space="0" w:color="auto"/>
        <w:right w:val="none" w:sz="0" w:space="0" w:color="auto"/>
      </w:divBdr>
    </w:div>
    <w:div w:id="785537362">
      <w:bodyDiv w:val="1"/>
      <w:marLeft w:val="0"/>
      <w:marRight w:val="0"/>
      <w:marTop w:val="0"/>
      <w:marBottom w:val="0"/>
      <w:divBdr>
        <w:top w:val="none" w:sz="0" w:space="0" w:color="auto"/>
        <w:left w:val="none" w:sz="0" w:space="0" w:color="auto"/>
        <w:bottom w:val="none" w:sz="0" w:space="0" w:color="auto"/>
        <w:right w:val="none" w:sz="0" w:space="0" w:color="auto"/>
      </w:divBdr>
    </w:div>
    <w:div w:id="788083426">
      <w:bodyDiv w:val="1"/>
      <w:marLeft w:val="0"/>
      <w:marRight w:val="0"/>
      <w:marTop w:val="0"/>
      <w:marBottom w:val="0"/>
      <w:divBdr>
        <w:top w:val="none" w:sz="0" w:space="0" w:color="auto"/>
        <w:left w:val="none" w:sz="0" w:space="0" w:color="auto"/>
        <w:bottom w:val="none" w:sz="0" w:space="0" w:color="auto"/>
        <w:right w:val="none" w:sz="0" w:space="0" w:color="auto"/>
      </w:divBdr>
    </w:div>
    <w:div w:id="800460617">
      <w:bodyDiv w:val="1"/>
      <w:marLeft w:val="0"/>
      <w:marRight w:val="0"/>
      <w:marTop w:val="0"/>
      <w:marBottom w:val="0"/>
      <w:divBdr>
        <w:top w:val="none" w:sz="0" w:space="0" w:color="auto"/>
        <w:left w:val="none" w:sz="0" w:space="0" w:color="auto"/>
        <w:bottom w:val="none" w:sz="0" w:space="0" w:color="auto"/>
        <w:right w:val="none" w:sz="0" w:space="0" w:color="auto"/>
      </w:divBdr>
    </w:div>
    <w:div w:id="1300647246">
      <w:bodyDiv w:val="1"/>
      <w:marLeft w:val="0"/>
      <w:marRight w:val="0"/>
      <w:marTop w:val="0"/>
      <w:marBottom w:val="0"/>
      <w:divBdr>
        <w:top w:val="none" w:sz="0" w:space="0" w:color="auto"/>
        <w:left w:val="none" w:sz="0" w:space="0" w:color="auto"/>
        <w:bottom w:val="none" w:sz="0" w:space="0" w:color="auto"/>
        <w:right w:val="none" w:sz="0" w:space="0" w:color="auto"/>
      </w:divBdr>
    </w:div>
    <w:div w:id="19945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1396</Words>
  <Characters>7903</Characters>
  <Application>Microsoft Office Word</Application>
  <DocSecurity>0</DocSecurity>
  <Lines>131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2018-01-30T08:58:00Z</dcterms:created>
  <dcterms:modified xsi:type="dcterms:W3CDTF">2018-01-31T15:34:00Z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