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6F2DF15F-B6E2-40D6-91F6-2424F414670D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 глобализирания свят, където тежката престъпност и тероризмът имат все по-често транснационално и поливалентно измерение, правоприлагащите органи следва да могат пълноценно да си сътрудничат с външни партньори, за да гарантират сигурността на гражданите. Поради това Европол следва да може да обменя лични данни с правоприлагащите органи на трети държави, доколкото това е необходимо за изпълнението на неговите задачи.</w:t>
      </w:r>
    </w:p>
    <w:p>
      <w:pPr>
        <w:rPr>
          <w:iCs/>
          <w:noProof/>
        </w:rPr>
      </w:pPr>
      <w:r>
        <w:rPr>
          <w:noProof/>
        </w:rPr>
        <w:t>След влизането в сила на Регламент 2016/794 на 1 май 2017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съгласно Договора Комисията отговаря за воденето на преговори от името на Съюза с цел сключване на международни споразумения с трети държави за обмен на лични данни с Европол. Доколкото е необходимо за изпълнението на неговите задачи, Европол може да установява и поддържа отношения на сътрудничество с външни партньори чрез работни и административни договорености, които не могат сами по себе си да бъдат правно основание за обмен на лични данни. </w:t>
      </w:r>
    </w:p>
    <w:p>
      <w:pPr>
        <w:rPr>
          <w:iCs/>
          <w:noProof/>
        </w:rPr>
      </w:pPr>
      <w:r>
        <w:rPr>
          <w:noProof/>
        </w:rPr>
        <w:t>Като се имат предвид политическата стратегия, очертана в Европейската програма за сигурност</w:t>
      </w:r>
      <w:r>
        <w:rPr>
          <w:rStyle w:val="FootnoteReference"/>
          <w:noProof/>
        </w:rPr>
        <w:footnoteReference w:id="3"/>
      </w:r>
      <w:r>
        <w:rPr>
          <w:noProof/>
        </w:rPr>
        <w:t>, заключенията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Глобалната стратегия</w:t>
      </w:r>
      <w:r>
        <w:rPr>
          <w:rStyle w:val="FootnoteReference"/>
          <w:noProof/>
        </w:rPr>
        <w:footnoteReference w:id="5"/>
      </w:r>
      <w:r>
        <w:rPr>
          <w:noProof/>
        </w:rPr>
        <w:t>, както и оперативните нужди на правоприлагащите органи в целия ЕС и потенциалните ползи от по-тясното сътрудничество в тази област, Комисията смята за необходимо да започне в най-скоро време преговори с осемте държави, посочени в Единадесетия доклад за напредъка по създаването на ефективен и истински Съюз на сигурност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>
      <w:pPr>
        <w:pStyle w:val="Text1"/>
        <w:ind w:left="0"/>
        <w:rPr>
          <w:noProof/>
        </w:rPr>
      </w:pPr>
      <w:r>
        <w:rPr>
          <w:noProof/>
        </w:rPr>
        <w:t>Комисията направи оценка на приоритетните държави, като взе предвид оперативните нужди на Европол. В Стратегията на Европол за периода 2016—2020 г. като приоритет за засилени партньорства е посочен Средиземноморският регион</w:t>
      </w:r>
      <w:r>
        <w:rPr>
          <w:rStyle w:val="FootnoteReference"/>
          <w:noProof/>
        </w:rPr>
        <w:footnoteReference w:id="7"/>
      </w:r>
      <w:r>
        <w:rPr>
          <w:noProof/>
        </w:rPr>
        <w:t>. Във Външната стратегия на Европол за периода 2017—2020 г. също се подчертава необходимостта от по-тясно сътрудничество между Европол и Близкия изток/Северна Африка (БИСА) поради настоящата терористична заплаха и предизвикателствата, свързани с миграцията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 xml:space="preserve">Европол няма сключени споразумения с нито една държава в този регион. </w:t>
      </w:r>
    </w:p>
    <w:p>
      <w:pPr>
        <w:rPr>
          <w:iCs/>
          <w:noProof/>
        </w:rPr>
      </w:pPr>
      <w:r>
        <w:rPr>
          <w:noProof/>
        </w:rPr>
        <w:t xml:space="preserve">Настоящата препоръка се отнася конкретно до преговорите с Египет, макар че сътрудничеството с всяка държава от БИСА трябва да се разглежда в контекста на региона като цяло. Нестабилността на региона в сегашния момент, и по-специално продължаващите конфликти в Либия, представлява значима дългосрочна заплаха за ЕС, на която трябва да се противодейства незабавно. Това се отнася както за ефективната </w:t>
      </w:r>
      <w:r>
        <w:rPr>
          <w:noProof/>
        </w:rPr>
        <w:lastRenderedPageBreak/>
        <w:t>борба с тероризма и свързаната с него организирана престъпност</w:t>
      </w:r>
      <w:r>
        <w:rPr>
          <w:rStyle w:val="FootnoteReference"/>
          <w:noProof/>
        </w:rPr>
        <w:footnoteReference w:id="9"/>
      </w:r>
      <w:r>
        <w:rPr>
          <w:noProof/>
        </w:rPr>
        <w:t>, така и за свързаните с миграцията предизвикателства, като например подпомагането на незаконната миграция и трафика на хора.  Сътрудничеството с местните правоприлагащи органи е от решаващо значение за справянето с тези предизвикателства.</w:t>
      </w:r>
    </w:p>
    <w:p>
      <w:pPr>
        <w:rPr>
          <w:iCs/>
          <w:noProof/>
          <w:highlight w:val="yellow"/>
        </w:rPr>
      </w:pPr>
    </w:p>
    <w:p>
      <w:pPr>
        <w:rPr>
          <w:i/>
          <w:noProof/>
        </w:rPr>
      </w:pPr>
      <w:r>
        <w:rPr>
          <w:i/>
          <w:noProof/>
        </w:rPr>
        <w:t>Политически контекст</w:t>
      </w:r>
    </w:p>
    <w:p>
      <w:pPr>
        <w:rPr>
          <w:noProof/>
        </w:rPr>
      </w:pPr>
      <w:r>
        <w:rPr>
          <w:noProof/>
        </w:rPr>
        <w:t>Египет е ключов партньор на ЕС и би могъл да изиграе важна роля за насърчаването на мира, просперитета и стабилността в региона на южните съседни държави. Общата рамка на сътрудничеството между ЕС и Египет е установена със Споразумението за асоцииране, което е в сила от 2004 г.</w:t>
      </w:r>
      <w:r>
        <w:rPr>
          <w:rStyle w:val="FootnoteReference"/>
          <w:noProof/>
        </w:rPr>
        <w:footnoteReference w:id="10"/>
      </w:r>
    </w:p>
    <w:p>
      <w:pPr>
        <w:rPr>
          <w:noProof/>
          <w:spacing w:val="-4"/>
        </w:rPr>
      </w:pPr>
      <w:r>
        <w:rPr>
          <w:noProof/>
          <w:spacing w:val="-4"/>
        </w:rPr>
        <w:t>Съобразно тази рамка и в съответствие с преразгледаната европейска политика за съседство</w:t>
      </w:r>
      <w:r>
        <w:rPr>
          <w:rStyle w:val="FootnoteReference"/>
          <w:noProof/>
          <w:spacing w:val="-4"/>
        </w:rPr>
        <w:footnoteReference w:id="11"/>
      </w:r>
      <w:r>
        <w:rPr>
          <w:noProof/>
          <w:spacing w:val="-4"/>
        </w:rPr>
        <w:t xml:space="preserve"> през 2017 г. ЕС и Египет съгласуваха приоритетите, върху които ще се съсредоточи сътрудничеството между партньорите в периода 2017—2020 г.</w:t>
      </w:r>
      <w:r>
        <w:rPr>
          <w:rStyle w:val="FootnoteReference"/>
          <w:noProof/>
          <w:spacing w:val="-4"/>
        </w:rPr>
        <w:footnoteReference w:id="12"/>
      </w:r>
      <w:r>
        <w:rPr>
          <w:noProof/>
          <w:spacing w:val="-4"/>
        </w:rPr>
        <w:t xml:space="preserve"> Приоритетите за партньорство включват укрепването на партньорството във външната политика и сътрудничеството в процеса на стабилизиране, най-вече в областта на доброто управление, правата на човека, сигурността и миграцията. Особено значение се отдава на сигурността и борбата с тероризма и с използващия насилие екстремизъм, както и на предотвратяването на радикализацията. Миграцията също попада в приоритетните области на сътрудничеството, като целта е да се работи както върху първопричините за незаконната миграция, така и върху стратегиите за управление на миграцията.</w:t>
      </w:r>
    </w:p>
    <w:p>
      <w:pPr>
        <w:rPr>
          <w:noProof/>
        </w:rPr>
      </w:pPr>
      <w:r>
        <w:rPr>
          <w:noProof/>
        </w:rPr>
        <w:t>ЕС и Египет потвърдиха, че е от техен взаимен интерес да засилят сътрудничеството в областта на сигурността и борбата с тероризма въз основа на предприетите действия след първата консултация на високо равнище относно борбата с тероризма, провела се през септември 2016 г., при която като потенциални области на сътрудничество бяха посочени предотвратяването на радикализацията, правоприлагането и съдебното сътрудничество, граничния контрол, откриването на взривни вещества, както и сигурността на въздухоплаването и летищата.</w:t>
      </w:r>
    </w:p>
    <w:p>
      <w:pPr>
        <w:rPr>
          <w:noProof/>
        </w:rPr>
      </w:pPr>
      <w:r>
        <w:rPr>
          <w:noProof/>
        </w:rPr>
        <w:t>ЕС и Египет са също така партньори в Глобалния форум за борба с тероризма и в Световната коалиция срещу Даеш.</w:t>
      </w:r>
    </w:p>
    <w:p>
      <w:pPr>
        <w:rPr>
          <w:b/>
          <w:i/>
          <w:noProof/>
        </w:rPr>
      </w:pPr>
      <w:r>
        <w:rPr>
          <w:noProof/>
        </w:rPr>
        <w:t>ЕС оказа подкрепа на египетските правоприлагащи и съдебни органи при прилагането на законодателството за борба с контрабандата от 2016 г. посредством съгласувана през март подробна работна програма. Египетските органи анализират понастоящем възможностите за бъдещо сътрудничество с Европейската агенция за гранична и брегова охрана.</w:t>
      </w:r>
    </w:p>
    <w:p>
      <w:pPr>
        <w:rPr>
          <w:i/>
          <w:noProof/>
        </w:rPr>
      </w:pPr>
    </w:p>
    <w:p>
      <w:pPr>
        <w:rPr>
          <w:i/>
          <w:noProof/>
        </w:rPr>
      </w:pPr>
      <w:r>
        <w:rPr>
          <w:i/>
          <w:noProof/>
        </w:rPr>
        <w:t>Оперативни нужди</w:t>
      </w:r>
    </w:p>
    <w:p>
      <w:pPr>
        <w:rPr>
          <w:noProof/>
        </w:rPr>
      </w:pPr>
      <w:r>
        <w:rPr>
          <w:noProof/>
        </w:rPr>
        <w:t>Въз основа на наличните данни за SOCTA от 2017 г.</w:t>
      </w:r>
      <w:r>
        <w:rPr>
          <w:rStyle w:val="FootnoteReference"/>
          <w:noProof/>
        </w:rPr>
        <w:footnoteReference w:id="13"/>
      </w:r>
      <w:r>
        <w:rPr>
          <w:noProof/>
        </w:rPr>
        <w:t xml:space="preserve"> и TE-SAT от 2017 г.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, посочените по-горе дискусии и наред с другото, вътрешните за Европол експертни </w:t>
      </w:r>
      <w:r>
        <w:rPr>
          <w:noProof/>
        </w:rPr>
        <w:lastRenderedPageBreak/>
        <w:t>знания сътрудничеството с Египет е необходимо най-вече за да се противодейства на следните тежки и организирани престъпни явления:</w:t>
      </w:r>
    </w:p>
    <w:p>
      <w:pPr>
        <w:rPr>
          <w:noProof/>
        </w:rPr>
      </w:pPr>
      <w:r>
        <w:rPr>
          <w:noProof/>
          <w:color w:val="000000" w:themeColor="text1"/>
        </w:rPr>
        <w:t>Тероризъм</w:t>
      </w:r>
      <w:r>
        <w:rPr>
          <w:noProof/>
        </w:rPr>
        <w:t>: заплахата от Даеш и други терористични групи представлява сериозно предизвикателство за сигурността на Египет и ЕС, които бяха подложени на терористични нападения. Европейски и египетски терористи са пътували също така до зоните на конфликт с цел да се обучават и сражават. Особено безпокойство буди способността на терористичните групи да действат през границите, включително през Либия. По-тясното сътрудничество в областта на правоприлагането, включително обмена на лични данни, ще допринесе за разкриването и наказателното преследване на заподозрените в тероризъм и за предотвратяването на пътуванията с цел тероризъм (включително риска от проникване в миграционните потоци и преместването в други зони на конфликт), на терористичните злоупотреби с интернет и на финансирането на тероризма (включително връзката с организираната престъпност).</w:t>
      </w:r>
    </w:p>
    <w:p>
      <w:pPr>
        <w:rPr>
          <w:noProof/>
        </w:rPr>
      </w:pPr>
      <w:r>
        <w:rPr>
          <w:noProof/>
        </w:rPr>
        <w:t xml:space="preserve">Контрабанда на мигранти: решителните действия на египетските органи доведоха до значителен спад в броя на незаконно пристигащите в ЕС от Египет лица в сравнение с първата половина на 2016 г. Деликатното положение в Либия подчертава нуждата от непрекъснато тясно сътрудничество, включително оперативно сътрудничество, което ще бъде допълнително укрепено с диалога между ЕС и Египет по въпросите на миграцията, който ще започне през декември. От ефикасните и добре координирани контрабандни мрежи в Египет се възползват предимно граждани на Африканския рог, Судан и Египет. Сътрудничеството с египетските органи би било от полза и за разкриването на организирани престъпни групи, занимаващи се с документни измами, което е от особено значение в контекста на контрабандата на мигранти. </w:t>
      </w:r>
    </w:p>
    <w:p>
      <w:pPr>
        <w:rPr>
          <w:noProof/>
        </w:rPr>
      </w:pPr>
      <w:r>
        <w:rPr>
          <w:noProof/>
        </w:rPr>
        <w:t xml:space="preserve">Наркотици: въпреки че Египет не е сред основните държави — източници на незаконни наркотици или прекурсори, пазарът на хашиш и трамадол (опиоид, отпускан по лекарско предписание) в страната е значителен. Египет продължава да се счита за транзитна държава, като през последните две години са конфискувани големи количества хероин, превозван по море, най-вече в Близкия изток и Египет. </w:t>
      </w:r>
    </w:p>
    <w:p>
      <w:pPr>
        <w:rPr>
          <w:noProof/>
        </w:rPr>
      </w:pPr>
      <w:r>
        <w:rPr>
          <w:noProof/>
        </w:rPr>
        <w:t>Незаконен трафик на огнестрелни оръжия: нивата на престъпност и контрабандата на оръжия от Либия се увеличиха драстично след бунта през 2011 г. поради безредиците сред силите за сигурност, политическата нестабилност, несигурността и масовите бягства на затворници по време на бунта. Това е заплаха за сигурността както в краткосрочен, така и в дългосрочен план. Ето защо сътрудничеството с Египет представлява стратегически приоритет с цел да се намали потокът от незаконни огнестрелни оръжия към съседните му държави и да се предотврати незаконният трафик към ЕС чрез кораби контейнеровози, фериботи и по-малки плавателни съдове, пресичащи Средиземно море.</w:t>
      </w:r>
    </w:p>
    <w:p>
      <w:pPr>
        <w:rPr>
          <w:i/>
          <w:noProof/>
        </w:rPr>
      </w:pPr>
      <w:r>
        <w:rPr>
          <w:noProof/>
        </w:rPr>
        <w:t>Фалшифицирани стоки: основен източник на незаконни приходи са нарушенията на правата върху интелектуална собственост.</w:t>
      </w:r>
    </w:p>
    <w:p>
      <w:pPr>
        <w:pStyle w:val="ManualHeading2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rPr>
          <w:noProof/>
        </w:rPr>
      </w:pPr>
      <w:r>
        <w:rPr>
          <w:noProof/>
        </w:rPr>
        <w:t xml:space="preserve">С Регламент (ЕС) 2016/794 относно Агенцията на Европейския съюз за сътрудничество в областта на правоприлагането (Европол) се установява правната уредба на тази агенция, и по-специално нейните цели, задачи и материална компетентност, гаранциите за защита на данните и начините за сътрудничество с външни партньори. </w:t>
      </w:r>
    </w:p>
    <w:p>
      <w:pPr>
        <w:rPr>
          <w:noProof/>
        </w:rPr>
      </w:pPr>
      <w:r>
        <w:rPr>
          <w:noProof/>
        </w:rPr>
        <w:t>Настоящата препоръка е в съответствие с разпоредбите на Регламента за Европол.</w:t>
      </w:r>
    </w:p>
    <w:p>
      <w:pPr>
        <w:rPr>
          <w:rFonts w:eastAsia="Calibri"/>
          <w:noProof/>
        </w:rPr>
      </w:pPr>
      <w:r>
        <w:rPr>
          <w:noProof/>
        </w:rPr>
        <w:lastRenderedPageBreak/>
        <w:t>Целта на настоящата препоръка е Съветът да упълномощи Комисията да води преговорите за бъдещото споразумение от името на ЕС. Правното основание Съветът да разреши започването на преговорите е член 218, параграфи 3 и 4 от ДФЕС.</w:t>
      </w:r>
    </w:p>
    <w:p>
      <w:pPr>
        <w:rPr>
          <w:noProof/>
        </w:rPr>
      </w:pPr>
      <w:r>
        <w:rPr>
          <w:noProof/>
        </w:rPr>
        <w:t xml:space="preserve">В съответствие с член 218 от Договора за функционирането на Европейския съюз Комисията е определена за преговарящ за Съюза за споразумението между Европейския съюз и Египет относно обмена на лични данни между Агенцията на Европейския съюз за сътрудничество в областта на правоприлагането (Европол) и </w:t>
      </w:r>
      <w:r>
        <w:rPr>
          <w:noProof/>
          <w:color w:val="000000" w:themeColor="text1"/>
        </w:rPr>
        <w:t>египетските</w:t>
      </w:r>
      <w:r>
        <w:rPr>
          <w:noProof/>
        </w:rPr>
        <w:t xml:space="preserve"> компетентни органи за борба с тежката престъпност и тероризма.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споразумение между Европейския съюз и Арабска република Египет относно обмена на лични данни между Агенцията на Европейския съюз за сътрудничество в областта на правоприлагането (Европол) и египетските компетентни органи за борба с тежката престъпност и тероризма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препоръката на Европейската комисия,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Регламент (ЕС) 2016/794 на Европейския парламент и на Съвета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бе приет на 11 май 2016 г. и се прилага от 1 май 2017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 посочения регламент, и по-специално с член 25 от него, се установяват правилата за предаване на лични данни от Агенцията на Европейския съюз за сътрудничество в областта на правоприлагането (Европол) на трети държави и международни организации. Европол може да предава лични данни на орган на трета държава въз основа на международно споразумение, сключено между Съюза и тази трета държава съгласно член 218 от ДФЕС, което предоставя достатъчни гаранции по отношение на защитата на личния живот и на основните права и свободи на физическите лица.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Следва да започнат преговори с цел сключването на такова споразумение между Европейския съюз и Арабска република Египет.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зачита основните права и да спазва принципите, признати от Хартата на основните права на Европейския съюз, а именно правото на личен и семеен живот, признато в член 7 от Хартата, правото на защита на личните данни, признато в член 8 от Хартата, и правото на ефективни правни средства за защита и на справедлив съдебен процес, признато в член 47 от Хартата. Споразумението следва да се прилага в съответствие с тези права и принципи,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bookmarkStart w:id="1" w:name="_CopyToNewDocument_"/>
      <w:bookmarkEnd w:id="1"/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Комисията се упълномощава да договори, от името на Съюза, споразумение между Европейския съюз и Арабска република Египет относно обмена на лични данни между Агенцията на Европейския съюз за сътрудничество в областта на правоприлагането (Европол) и египетските компетентни органи за борба с тежката престъпност и тероризма.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Указанията за водене на преговорите са посочени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Преговорите се водят в консултация с [наименование на специалния комитет — добавя се от Съвета]. 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noProof/>
        </w:rPr>
      </w:pPr>
      <w:r>
        <w:rPr>
          <w:noProof/>
        </w:rPr>
        <w:t xml:space="preserve">Адресат на настоящото решение е Комисията.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 2016/794 от 11 май 2016 г. (OB L 135, 24.5.2016 г., стр. 53).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COM(2015) 185 final.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Документ № 10384/17 на Съвета от 19 юни 2017 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i/>
        </w:rPr>
        <w:t>Обща визия, общи действия: по-силна Европа</w:t>
      </w:r>
      <w:r>
        <w:t xml:space="preserve"> </w:t>
      </w:r>
      <w:r>
        <w:rPr>
          <w:i/>
        </w:rPr>
        <w:t>— глобална стратегия за външната политика и политиката на сигурност на Европейския съюз</w:t>
      </w:r>
      <w:r>
        <w:t xml:space="preserve"> </w:t>
      </w:r>
      <w:hyperlink r:id="rId1">
        <w:r>
          <w:rPr>
            <w:rStyle w:val="Hyperlink"/>
          </w:rPr>
          <w:t>http://europa.eu/globalstrategy/en</w:t>
        </w:r>
      </w:hyperlink>
      <w:r>
        <w:t xml:space="preserve">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COM(2017) 608 final.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Стратегия на Европол за периода 2016—2020 г., приета от управителния съвет на Европол на 1 декември 2015 г., </w:t>
      </w:r>
      <w:hyperlink r:id="rId2">
        <w:r>
          <w:rPr>
            <w:rStyle w:val="Hyperlink"/>
          </w:rPr>
          <w:t>https://www.europol.europa.eu/publications-documents/europol-strategy-2016-2020</w:t>
        </w:r>
      </w:hyperlink>
      <w:r>
        <w:t xml:space="preserve"> 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Външна стратегия на Европол за периода 2017—2020 г., приета от управителния съвет на Европол на 13 декември 2016 г., EDOC#865852v3.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Според Европол престъпленията, свързани с организираната престъпност в региона, включват незаконен трафик на огнестрелни оръжия, трафик на наркотици, финансови престъпления, включително изпиране на пари, и престъпления в кибернетичното пространство.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</w:rPr>
          <w:t>http://eeas.europa.eu/node/8200_en</w:t>
        </w:r>
      </w:hyperlink>
      <w:r>
        <w:t xml:space="preserve"> 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</w:rPr>
          <w:t>http://eeas.europa.eu/node/8201_en</w:t>
        </w:r>
      </w:hyperlink>
      <w:r>
        <w:t xml:space="preserve"> 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5">
        <w:r>
          <w:rPr>
            <w:rStyle w:val="Hyperlink"/>
          </w:rPr>
          <w:t>https://eeas.europa.eu/sites/eeas/files/eu-egypt-pps.pdf</w:t>
        </w:r>
      </w:hyperlink>
      <w:r>
        <w:t xml:space="preserve"> 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6">
        <w:r>
          <w:rPr>
            <w:rStyle w:val="Hyperlink"/>
          </w:rPr>
          <w:t>https://www.europol.europa.eu/socta/2017</w:t>
        </w:r>
      </w:hyperlink>
      <w:r>
        <w:t xml:space="preserve"> 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7">
        <w:r>
          <w:rPr>
            <w:rStyle w:val="Hyperlink"/>
          </w:rPr>
          <w:t>https://www.europol.europa.eu/sites/default/files/documents/tesat2017.pdf</w:t>
        </w:r>
      </w:hyperlink>
      <w:r>
        <w:rPr>
          <w:rStyle w:val="Hyperlink"/>
        </w:rPr>
        <w:t xml:space="preserve"> 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 2016/794 от 11 май 2016 г. (OB L 135, 24.5.2016 г., стр. 53).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C1235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56B7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92E1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A56D6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4CE4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B727E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1A0D1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9049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2-02 13:48:1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F2DF15F-B6E2-40D6-91F6-2424F414670D"/>
    <w:docVar w:name="LW_COVERPAGE_TYPE" w:val="1"/>
    <w:docVar w:name="LW_CROSSREFERENCE" w:val="&lt;UNUSED&gt;"/>
    <w:docVar w:name="LW_DocType" w:val="COM"/>
    <w:docVar w:name="LW_EMISSION" w:val="20.12.2017"/>
    <w:docVar w:name="LW_EMISSION_ISODATE" w:val="2017-12-20"/>
    <w:docVar w:name="LW_EMISSION_LOCATION" w:val="BRX"/>
    <w:docVar w:name="LW_EMISSION_PREFIX" w:val="Брюксел, "/>
    <w:docVar w:name="LW_EMISSION_SUFFIX" w:val="&lt;EMPTY&gt;"/>
    <w:docVar w:name="LW_ID_DOCMODEL" w:val="SG-001"/>
    <w:docVar w:name="LW_ID_DOCSIGNATURE" w:val="SG-001"/>
    <w:docVar w:name="LW_ID_DOCSTRUCTURE" w:val="COM/PL/ORG"/>
    <w:docVar w:name="LW_ID_DOCTYPE" w:val="SG-001"/>
    <w:docVar w:name="LW_ID_EXP.MOTIFS.NEW" w:val="EM_PL_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80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9?\u1087?\u1086?\u1088?\u1072?\u1079?\u1091?\u1084?\u1077?\u1085?\u1080?\u1077? \u1084?\u1077?\u1078?\u1076?\u1091? \u1045?\u1074?\u1088?\u1086?\u1087?\u1077?\u1081?\u1089?\u1082?\u1080?\u1103? \u1089?\u1098?\u1102?\u1079? \u1080? \u1040?\u1088?\u1072?\u1073?\u1089?\u1082?\u1072? \u1088?\u1077?\u1087?\u1091?\u1073?\u1083?\u1080?\u1082?\u1072? \u1045?\u1075?\u1080?\u1087?\u1077?\u1090? \u1086?\u1090?\u1085?\u1086?\u1089?\u1085?\u1086? \u1086?\u1073?\u1084?\u1077?\u1085?\u1072? \u1085?\u1072? \u1083?\u1080?\u1095?\u1085?\u1080? \u1076?\u1072?\u1085?\u1085?\u1080? \u1084?\u1077?\u1078?\u1076?\u1091? \u1040?\u1075?\u1077?\u1085?\u1094?\u1080?\u1103?\u1090?\u1072? \u1085?\u1072? \u1045?\u1074?\u1088?\u1086?\u1087?\u1077?\u1081?\u1089?\u1082?\u1080?\u1103? \u1089?\u1098?\u1102?\u1079? \u1079?\u1072? \u1089?\u1098?\u1090?\u1088?\u1091?\u1076?\u1085?\u1080?\u1095?\u1077?\u1089?\u1090?\u1074?\u1086? \u1074? \u1086?\u1073?\u1083?\u1072?\u1089?\u1090?\u1090?\u1072? \u1085?\u1072? \u1087?\u1088?\u1072?\u1074?\u1086?\u1087?\u1088?\u1080?\u1083?\u1072?\u1075?\u1072?\u1085?\u1077?\u1090?\u1086? (\u1045?\u1074?\u1088?\u1086?\u1087?\u1086?\u1083?) \u1080? \u1077?\u1075?\u1080?\u1087?\u1077?\u1090?\u1089?\u1082?\u1080?\u1090?\u1077? \u1082?\u1086?\u1084?\u1087?\u1077?\u1090?\u1077?\u1085?\u1090?\u1085?\u1080? \u1086?\u1088?\u1075?\u1072?\u1085?\u1080? \u1079?\u1072? \u1073?\u1086?\u1088?\u1073?\u1072? \u1089? \u1090?\u1077?\u1078?\u1082?\u1072?\u1090?\u1072? \u1087?\u1088?\u1077?\u1089?\u1090?\u1098?\u1087?\u1085?\u1086?\u1089?\u1090? \u1080? \u1090?\u1077?\u1088?\u1086?\u1088?\u1080?\u1079?\u1084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300"/>
      <w:jc w:val="left"/>
    </w:pPr>
    <w:rPr>
      <w:rFonts w:eastAsia="Times New Roman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Colorful List - Accent 11,Numbered Para 1,Bullet Points,MAIN CONTENT,List Paragraph11,List Paragraph12,List Paragraph2,OBC Bullet"/>
    <w:basedOn w:val="Normal"/>
    <w:link w:val="ListParagraphChar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300"/>
      <w:jc w:val="left"/>
    </w:pPr>
    <w:rPr>
      <w:rFonts w:eastAsia="Times New Roman"/>
      <w:szCs w:val="24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Pr>
      <w:rFonts w:ascii="Times New Roman" w:hAnsi="Times New Roman" w:cs="Times New Roman"/>
      <w:sz w:val="24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eas.europa.eu/node/8200_en" TargetMode="External"/><Relationship Id="rId7" Type="http://schemas.openxmlformats.org/officeDocument/2006/relationships/hyperlink" Target="https://www.europol.europa.eu/sites/default/files/documents/tesat2017.pdf" TargetMode="External"/><Relationship Id="rId2" Type="http://schemas.openxmlformats.org/officeDocument/2006/relationships/hyperlink" Target="https://www.europol.europa.eu/publications-documents/europol-strategy-2016-2020" TargetMode="External"/><Relationship Id="rId1" Type="http://schemas.openxmlformats.org/officeDocument/2006/relationships/hyperlink" Target="http://europa.eu/globalstrategy/en" TargetMode="External"/><Relationship Id="rId6" Type="http://schemas.openxmlformats.org/officeDocument/2006/relationships/hyperlink" Target="https://www.europol.europa.eu/socta/2017" TargetMode="External"/><Relationship Id="rId5" Type="http://schemas.openxmlformats.org/officeDocument/2006/relationships/hyperlink" Target="https://eeas.europa.eu/sites/eeas/files/eu-egypt-pps.pdf" TargetMode="External"/><Relationship Id="rId4" Type="http://schemas.openxmlformats.org/officeDocument/2006/relationships/hyperlink" Target="http://eeas.europa.eu/node/8201_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29C2-A2E5-4422-ACFD-E6E46849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1656</Words>
  <Characters>9739</Characters>
  <Application>Microsoft Office Word</Application>
  <DocSecurity>0</DocSecurity>
  <Lines>180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dcterms:created xsi:type="dcterms:W3CDTF">2018-01-29T16:07:00Z</dcterms:created>
  <dcterms:modified xsi:type="dcterms:W3CDTF">2018-02-02T12:48:00Z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