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3583B0D-19D7-4602-914B-E9187FF903B7" style="width:450.15pt;height:320.4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Качество на бензиновите и дизеловите горива, използвани за автомобилен транспорт в Европейския съюз</w:t>
      </w:r>
      <w:r>
        <w:rPr>
          <w:rFonts w:ascii="Times New Roman" w:eastAsia="Times New Roman" w:hAnsi="Times New Roman" w:cs="Times New Roman"/>
          <w:b/>
          <w:noProof/>
          <w:sz w:val="24"/>
          <w:szCs w:val="24"/>
        </w:rPr>
        <w:br/>
      </w:r>
      <w:r>
        <w:rPr>
          <w:rFonts w:ascii="Times New Roman" w:hAnsi="Times New Roman"/>
          <w:b/>
          <w:noProof/>
          <w:sz w:val="24"/>
        </w:rPr>
        <w:t>(Доклад за 2016 г.)</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Въведение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член 8, параграф 3 от Директива 98/70/ЕО</w:t>
      </w:r>
      <w:r>
        <w:rPr>
          <w:rFonts w:ascii="Times New Roman" w:hAnsi="Times New Roman"/>
          <w:noProof/>
          <w:sz w:val="24"/>
          <w:vertAlign w:val="superscript"/>
        </w:rPr>
        <w:footnoteReference w:id="2"/>
      </w:r>
      <w:r>
        <w:rPr>
          <w:rFonts w:ascii="Times New Roman" w:hAnsi="Times New Roman"/>
          <w:noProof/>
          <w:sz w:val="24"/>
        </w:rPr>
        <w:t xml:space="preserve"> относно качеството на бензиновите и дизеловите горива (наричана по-долу „Директива относно качеството на горивата“), от държавите членки се изисква ежегодно да докладват информация за общите количества и за качеството на бензиновите и дизеловите горива, продадени за използване в автомобилния транспорт.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се базира на данните за 2016 г., подадени от държавите членки до Европейската агенция за околната среда (EEA). Компилацията и анализът на докладваните от държавите членки данни са представени в Технически доклад № 24/2017 на EEA, озаглавен „Fuel quality in the EU in 2016“ („Качеството на горивата в ЕС през 2016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оценяват качеството на горивата чрез система за мониторинг на качеството на горивата (FQMS)</w:t>
      </w:r>
      <w:r>
        <w:rPr>
          <w:rStyle w:val="FootnoteReference"/>
          <w:rFonts w:ascii="Times New Roman" w:hAnsi="Times New Roman"/>
          <w:noProof/>
          <w:sz w:val="24"/>
        </w:rPr>
        <w:footnoteReference w:id="3"/>
      </w:r>
      <w:r>
        <w:rPr>
          <w:rFonts w:ascii="Times New Roman" w:hAnsi="Times New Roman"/>
          <w:noProof/>
          <w:sz w:val="24"/>
        </w:rPr>
        <w:t>. Те трябва ежегодно да вземат проби от горивата и да анализират техните технически характеристики, за да осигуряват тяхното съответствие с изискванията на Директивата относно качеството на горивата. Граничните стойности, определени в Директивата относно качеството на горивата, се отнасят за параметри като например следните:</w:t>
      </w: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бензиновите горива: дестилационни характеристики, въглеводороден анализ, съдържание на олово, съдържание на манган, октаново число по моторния метод (MON), съдържание на кислород, съдържание на кислородосъдържащи съединения, октаново число по изследователския метод (RON), съдържание на сяра и налягане на парите през летния период;</w:t>
      </w:r>
    </w:p>
    <w:p>
      <w:pPr>
        <w:pStyle w:val="ListParagraph"/>
        <w:spacing w:before="120" w:after="120" w:line="240" w:lineRule="auto"/>
        <w:jc w:val="both"/>
        <w:rPr>
          <w:rFonts w:ascii="Times New Roman" w:eastAsia="Times New Roman" w:hAnsi="Times New Roman" w:cs="Times New Roman"/>
          <w:noProof/>
          <w:sz w:val="24"/>
          <w:szCs w:val="24"/>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дизеловите горива: цетаново число, плътност при 15 °C, дестилация, съдържание на метилови естери на мастни киселини (FAME), съдържание на манган, съдържание на многопръстенни арени и сярно съдържание.</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Обзор на данните за качеството на горивата в ЕС през 2016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 членки на ЕС плюс Норвегия и Исландия са подали доклади за качеството на горивата през 2016 г.</w:t>
      </w:r>
    </w:p>
    <w:p>
      <w:pPr>
        <w:pStyle w:val="EEATextbody"/>
        <w:rPr>
          <w:rFonts w:ascii="Times New Roman" w:hAnsi="Times New Roman" w:cs="Times New Roman"/>
          <w:b/>
          <w:noProof/>
          <w:sz w:val="24"/>
          <w:szCs w:val="24"/>
        </w:rPr>
      </w:pPr>
      <w:r>
        <w:rPr>
          <w:rFonts w:ascii="Times New Roman" w:hAnsi="Times New Roman"/>
          <w:b/>
          <w:noProof/>
          <w:sz w:val="24"/>
        </w:rPr>
        <w:t>Продадени количества, видове горива и съдържание на биокомпоненти</w:t>
      </w:r>
    </w:p>
    <w:p>
      <w:pPr>
        <w:pStyle w:val="EEATextbody"/>
        <w:rPr>
          <w:rFonts w:ascii="Times New Roman" w:hAnsi="Times New Roman" w:cs="Times New Roman"/>
          <w:noProof/>
          <w:sz w:val="24"/>
          <w:szCs w:val="24"/>
        </w:rPr>
      </w:pPr>
      <w:r>
        <w:rPr>
          <w:rFonts w:ascii="Times New Roman" w:hAnsi="Times New Roman"/>
          <w:noProof/>
          <w:sz w:val="24"/>
        </w:rPr>
        <w:t>В продажбите на разглежданите горива в ЕС продължават да доминират дизеловите горива: 71,8 % (257 206 милиона литра) от цялото количество са били дизелови горива, а съответно бензиновите горива са били 28,2 % (100 838 милиона литра). Общото продадено количество е нараснало с 2,7 % в сравнение с 2015 г. Продаденото количество бензинови горива през 2016 г. е почти без промяна, а количеството на продадените дизелови горива се е увеличило с 3,8 %.</w:t>
      </w:r>
    </w:p>
    <w:p>
      <w:pPr>
        <w:pStyle w:val="EEATextbody"/>
        <w:rPr>
          <w:rFonts w:ascii="Times New Roman" w:hAnsi="Times New Roman" w:cs="Times New Roman"/>
          <w:noProof/>
          <w:sz w:val="24"/>
          <w:szCs w:val="24"/>
        </w:rPr>
      </w:pPr>
      <w:r>
        <w:rPr>
          <w:rFonts w:ascii="Times New Roman" w:hAnsi="Times New Roman"/>
          <w:noProof/>
          <w:sz w:val="24"/>
        </w:rPr>
        <w:t>С течение на годините делът на продадените дизелови горива от общото продадено количество се е увеличил от 55,6 % през 2001 г. до 71,8 % през 2016 г. Това до голяма степен съответства на увеличаващия се дял на дизеловите автомобили в автомобилния парк в Европа през този период. Потреблението на дизелови горива е значително в повечето от 28-те държави — членки на ЕС (над 60 % от общите продажби на горива), с изключение на Кипър, Гърция, Малта и Нидерландия.</w:t>
      </w:r>
    </w:p>
    <w:p>
      <w:pPr>
        <w:pStyle w:val="EEATextbody"/>
        <w:rPr>
          <w:rFonts w:ascii="Times New Roman" w:hAnsi="Times New Roman" w:cs="Times New Roman"/>
          <w:noProof/>
          <w:sz w:val="24"/>
          <w:szCs w:val="24"/>
        </w:rPr>
      </w:pPr>
      <w:r>
        <w:rPr>
          <w:rFonts w:ascii="Times New Roman" w:hAnsi="Times New Roman"/>
          <w:noProof/>
          <w:sz w:val="24"/>
        </w:rPr>
        <w:t>По-голямата част от бензиновите продажби през 2016 г. са били на бензини с октаново число RON 95, като техният дял е 86,3 % от всичките бензинови продажби; 7,6 % от продажбите са били на бензини с октаново число в интервала 95 </w:t>
      </w:r>
      <w:r>
        <w:rPr>
          <w:rFonts w:ascii="Times New Roman" w:hAnsi="Times New Roman" w:cs="Times New Roman"/>
          <w:noProof/>
          <w:sz w:val="24"/>
          <w:szCs w:val="24"/>
        </w:rPr>
        <w:t xml:space="preserve">&lt; </w:t>
      </w:r>
      <w:r>
        <w:rPr>
          <w:rFonts w:ascii="Times New Roman" w:hAnsi="Times New Roman"/>
          <w:noProof/>
          <w:sz w:val="24"/>
        </w:rPr>
        <w:t>RON &lt; 98; и при 5,8 % от продажбите октановото число е било RON ≥ 98. Имало е и незначителен процент продажби с RON = 91.</w:t>
      </w:r>
    </w:p>
    <w:p>
      <w:pPr>
        <w:pStyle w:val="EEATextbody"/>
        <w:rPr>
          <w:rFonts w:ascii="Times New Roman" w:hAnsi="Times New Roman" w:cs="Times New Roman"/>
          <w:noProof/>
          <w:sz w:val="24"/>
          <w:szCs w:val="24"/>
        </w:rPr>
      </w:pPr>
      <w:r>
        <w:rPr>
          <w:rFonts w:ascii="Times New Roman" w:hAnsi="Times New Roman"/>
          <w:noProof/>
          <w:sz w:val="24"/>
        </w:rPr>
        <w:t>Почти всички продадени в ЕС дизелови горива съдържат биодизел, а при бензиновите горива 85 % от продадените количества съдържат биоетанол. 75 % от продадените бензинови горива в ЕС през 2016 г. са имали етанолово съдържание до 5 обемни процента и съответно 10 % са имали етанолово съдържание до 10 обемни процента. 83 % от продадените дизелови горива са съдържали до 7 % метилови естери на мастни киселини (FAME), а 17 % са имали по-високо такова съдържание.</w:t>
      </w:r>
    </w:p>
    <w:p>
      <w:pPr>
        <w:pStyle w:val="EEATextbody"/>
        <w:rPr>
          <w:rFonts w:ascii="Times New Roman" w:hAnsi="Times New Roman" w:cs="Times New Roman"/>
          <w:b/>
          <w:noProof/>
          <w:sz w:val="24"/>
          <w:szCs w:val="24"/>
        </w:rPr>
      </w:pPr>
      <w:r>
        <w:rPr>
          <w:rFonts w:ascii="Times New Roman" w:hAnsi="Times New Roman"/>
          <w:b/>
          <w:noProof/>
          <w:sz w:val="24"/>
        </w:rPr>
        <w:t>Съответствие на продадените горива с граничните стойности по Директивата относно качеството на горивата</w:t>
      </w:r>
    </w:p>
    <w:p>
      <w:pPr>
        <w:pStyle w:val="EEATextbody"/>
        <w:rPr>
          <w:rFonts w:ascii="Times New Roman" w:hAnsi="Times New Roman" w:cs="Times New Roman"/>
          <w:noProof/>
          <w:sz w:val="24"/>
          <w:szCs w:val="24"/>
        </w:rPr>
      </w:pPr>
      <w:r>
        <w:rPr>
          <w:rFonts w:ascii="Times New Roman" w:hAnsi="Times New Roman"/>
          <w:noProof/>
          <w:sz w:val="24"/>
        </w:rPr>
        <w:t>Пет държави членки са докладвали за пълно съответствие на качеството на бензиновите горива (Гърция, Литва, Нидерландия, Словения и Швеция) и съответно 9 държави членки — за пълно съответствие на качеството на дизеловите горива (България, Хърватия, Финландия, Германия, Ирландия, Литва, Малта, Словения и Швеция). Литва, Словения и Швеция са докладвали за пълно съответствие и при двата вида горива. От друга страна, една държава членка (Белгия) е докладвала за над 100 случая на несъответствие на бензинови горива през 2016 г.</w:t>
      </w:r>
    </w:p>
    <w:p>
      <w:pPr>
        <w:pStyle w:val="EEATextbody"/>
        <w:rPr>
          <w:rFonts w:ascii="Times New Roman" w:hAnsi="Times New Roman" w:cs="Times New Roman"/>
          <w:noProof/>
          <w:sz w:val="24"/>
          <w:szCs w:val="24"/>
        </w:rPr>
      </w:pPr>
      <w:r>
        <w:rPr>
          <w:rFonts w:ascii="Times New Roman" w:hAnsi="Times New Roman"/>
          <w:noProof/>
          <w:sz w:val="24"/>
        </w:rPr>
        <w:t>Държавите членки са докладвали за общо 507 случая на несъответствие при бензинови горива и 101 случая на несъответствие при дизелови горива през 2016 г. При бензиновите горива най-често са се отклонявали от спецификациите следните характеристики: лятното налягане на парите (в 14 държави членки), RON (в 11 държави членки) и MON (в 7 държави членки). 14 държави членки са докладвали за надвишени стойности на съдържанието на ароматни съединения, на кислородното съдържание или на дестилационните характеристики. При дизеловите горива характеристиките, които най-често са се отклонявали от спецификациите, са били сярното съдържание (в 7 държави членки) и съдържанието на метилови естери на мастни киселини (FAME — в 7 държави членки).</w:t>
      </w:r>
    </w:p>
    <w:p>
      <w:pPr>
        <w:pStyle w:val="EEATextbody"/>
        <w:rPr>
          <w:rFonts w:ascii="Times New Roman" w:hAnsi="Times New Roman" w:cs="Times New Roman"/>
          <w:noProof/>
          <w:sz w:val="24"/>
          <w:szCs w:val="24"/>
        </w:rPr>
      </w:pPr>
      <w:r>
        <w:rPr>
          <w:rFonts w:ascii="Times New Roman" w:hAnsi="Times New Roman"/>
          <w:noProof/>
          <w:sz w:val="24"/>
        </w:rPr>
        <w:t>Всички държави членки са описали действията, които са предприели при констатиране на несъответствие на пробите с изискванията. Тези действия са включвали информиране на компетентните органи, иницииране на разследвания, налагане на санкции и глоби или повторно вземане и анализ на проби. В малко на брой случаи не са били предприети действия, тъй като измерените характеристики са били много близо до допустимите отклонения.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Поради това не се наложи Комисията да започва нови разследвания в тази област.</w:t>
      </w:r>
    </w:p>
    <w:p>
      <w:pPr>
        <w:spacing w:before="120"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rPr>
          <w:rFonts w:ascii="Times New Roman" w:hAnsi="Times New Roman" w:cs="Times New Roman"/>
        </w:rPr>
      </w:pPr>
      <w:r>
        <w:rPr>
          <w:rStyle w:val="FootnoteReference"/>
        </w:rPr>
        <w:footnoteRef/>
      </w:r>
      <w:r>
        <w:tab/>
      </w:r>
      <w:r>
        <w:rPr>
          <w:rFonts w:ascii="Times New Roman" w:hAnsi="Times New Roman"/>
        </w:rPr>
        <w:t>Директива 98/70/ЕО на Европейския парламент и Съвета относно качеството на бензиновите и дизеловите горива и за изменение на Директива 93/12/ЕИО на Съвета (ОВ L 350, 28.12.1998 г., стр. 58).</w:t>
      </w:r>
    </w:p>
  </w:footnote>
  <w:footnote w:id="3">
    <w:p>
      <w:pPr>
        <w:pStyle w:val="FootnoteText"/>
        <w:ind w:left="720" w:hanging="72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Европейския стандарт EN 14274 е дадена информация как да се формира система за мониторинг на качеството на горивата — в зависимост от размера на страната и използвания статистически модел, както и указания за определяне на минимално допустимия брой проби, които трябва да бъдат вземани.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583B0D-19D7-4602-914B-E9187FF903B7"/>
    <w:docVar w:name="LW_COVERPAGE_TYPE" w:val="1"/>
    <w:docVar w:name="LW_CROSSREFERENCE" w:val="&lt;UNUSED&gt;"/>
    <w:docVar w:name="LW_DocType" w:val="NORMAL"/>
    <w:docVar w:name="LW_EMISSION" w:val="6.2.2018"/>
    <w:docVar w:name="LW_EMISSION_ISODATE" w:val="2018-02-06"/>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0?\u1072?\u1095?\u1077?\u1089?\u1090?\u1074?\u1086? \u1085?\u1072? \u1073?\u1077?\u1085?\u1079?\u1080?\u1085?\u1086?\u1074?\u1080?\u1090?\u1077? \u1080? \u1076?\u1080?\u1079?\u1077?\u1083?\u1086?\u1074?\u1080?\u1090?\u1077? \u1075?\u1086?\u1088?\u1080?\u1074?\u1072?, \u1080?\u1079?\u1087?\u1086?\u1083?\u1079?\u1074?\u1072?\u1085?\u1080? \u1079?\u1072? \u1072?\u1074?\u1090?\u1086?\u1084?\u1086?\u1073?\u1080?\u1083?\u1077?\u1085? \u1090?\u1088?\u1072?\u1085?\u1089?\u1087?\u1086?\u1088?\u1090? \u1074? \u1045?\u1074?\u1088?\u1086?\u1087?\u1077?\u1081?\u1089?\u1082?\u1080?\u1103? \u1089?\u1098?\u1102?\u1079?_x000b_(\u1044?\u1086?\u1082?\u1083?\u1072?\u1076? \u1079?\u1072? 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3144-DF6D-4745-B994-34241827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866</Words>
  <Characters>4833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2017-01-12T07:57:00Z</cp:lastPrinted>
  <dcterms:created xsi:type="dcterms:W3CDTF">2018-01-17T11:13:00Z</dcterms:created>
  <dcterms:modified xsi:type="dcterms:W3CDTF">2018-01-29T08:50:00Z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