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50" w:rsidRDefault="00DC4BD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CBC11EC-8086-4F91-BF70-38C24FA56010" style="width:450.75pt;height:334.5pt">
            <v:imagedata r:id="rId8" o:title=""/>
          </v:shape>
        </w:pict>
      </w:r>
    </w:p>
    <w:bookmarkEnd w:id="0"/>
    <w:p w:rsidR="00440B50" w:rsidRDefault="00440B50">
      <w:pPr>
        <w:rPr>
          <w:noProof/>
        </w:rPr>
        <w:sectPr w:rsidR="00440B5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440B50" w:rsidRDefault="00DC4BD4">
      <w:pPr>
        <w:jc w:val="both"/>
        <w:rPr>
          <w:rFonts w:ascii="Times New Roman" w:hAnsi="Times New Roman"/>
          <w:b/>
          <w:noProof/>
          <w:sz w:val="24"/>
          <w:szCs w:val="24"/>
        </w:rPr>
      </w:pPr>
      <w:r>
        <w:rPr>
          <w:rFonts w:ascii="Times New Roman" w:hAnsi="Times New Roman"/>
          <w:b/>
          <w:noProof/>
          <w:sz w:val="24"/>
        </w:rPr>
        <w:lastRenderedPageBreak/>
        <w:t xml:space="preserve">1. </w:t>
      </w:r>
      <w:r>
        <w:rPr>
          <w:noProof/>
        </w:rPr>
        <w:tab/>
      </w:r>
      <w:r>
        <w:rPr>
          <w:rFonts w:ascii="Times New Roman" w:hAnsi="Times New Roman"/>
          <w:b/>
          <w:noProof/>
          <w:sz w:val="24"/>
        </w:rPr>
        <w:t>INTRODUCTION</w:t>
      </w:r>
    </w:p>
    <w:p w:rsidR="00440B50" w:rsidRDefault="00DC4BD4">
      <w:pPr>
        <w:spacing w:before="120" w:after="120" w:line="240" w:lineRule="auto"/>
        <w:jc w:val="both"/>
        <w:rPr>
          <w:rFonts w:ascii="Times New Roman" w:hAnsi="Times New Roman"/>
          <w:noProof/>
          <w:sz w:val="24"/>
          <w:szCs w:val="24"/>
        </w:rPr>
      </w:pPr>
      <w:r>
        <w:rPr>
          <w:rFonts w:ascii="Times New Roman" w:hAnsi="Times New Roman"/>
          <w:noProof/>
          <w:sz w:val="24"/>
        </w:rPr>
        <w:t>Le règlement (CE) n° 1217/2009 du Conseil</w:t>
      </w:r>
      <w:r>
        <w:rPr>
          <w:rFonts w:ascii="Times New Roman" w:hAnsi="Times New Roman"/>
          <w:noProof/>
          <w:sz w:val="24"/>
          <w:vertAlign w:val="superscript"/>
        </w:rPr>
        <w:footnoteReference w:id="1"/>
      </w:r>
      <w:r>
        <w:rPr>
          <w:rFonts w:ascii="Times New Roman" w:hAnsi="Times New Roman"/>
          <w:noProof/>
          <w:sz w:val="24"/>
        </w:rPr>
        <w:t xml:space="preserve"> prévoit des règles concernant la création d’un réseau d’information comptable agricole sur les revenus et l’économie des exploitations agricoles dans l’Union européenne.</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sz w:val="24"/>
        </w:rPr>
        <w:t>L’article 19 </w:t>
      </w:r>
      <w:r>
        <w:rPr>
          <w:rFonts w:ascii="Times New Roman" w:hAnsi="Times New Roman"/>
          <w:i/>
          <w:noProof/>
          <w:sz w:val="24"/>
        </w:rPr>
        <w:t>bis</w:t>
      </w:r>
      <w:r>
        <w:rPr>
          <w:rFonts w:ascii="Times New Roman" w:hAnsi="Times New Roman"/>
          <w:noProof/>
          <w:sz w:val="24"/>
        </w:rPr>
        <w:t xml:space="preserve"> du règlement confère à la Commission le pouvoir d’adopter des actes </w:t>
      </w:r>
      <w:r>
        <w:rPr>
          <w:rFonts w:ascii="Times New Roman" w:hAnsi="Times New Roman"/>
          <w:noProof/>
          <w:sz w:val="24"/>
        </w:rPr>
        <w:t>délégués pour définir le contenu des rapports supplémentaires que les États membres présentent à la Commission en ce qui concerne certains aspects de la création d’un réseau d’information comptable agricole sur les revenus et l’économie des exploitations a</w:t>
      </w:r>
      <w:r>
        <w:rPr>
          <w:rFonts w:ascii="Times New Roman" w:hAnsi="Times New Roman"/>
          <w:noProof/>
          <w:sz w:val="24"/>
        </w:rPr>
        <w:t>gricoles dans l’Union européenne, tels que la liste des circonscriptions RICA, les règles relatives à la fixation des seuils et à l’établissement des plans, les périodes de référence pour les productions standard, l’orientation technico-économique et la co</w:t>
      </w:r>
      <w:r>
        <w:rPr>
          <w:rFonts w:ascii="Times New Roman" w:hAnsi="Times New Roman"/>
          <w:noProof/>
          <w:sz w:val="24"/>
        </w:rPr>
        <w:t>llecte de données.</w:t>
      </w:r>
    </w:p>
    <w:p w:rsidR="00440B50" w:rsidRDefault="00440B50">
      <w:pPr>
        <w:autoSpaceDE w:val="0"/>
        <w:autoSpaceDN w:val="0"/>
        <w:adjustRightInd w:val="0"/>
        <w:spacing w:after="0" w:line="240" w:lineRule="auto"/>
        <w:rPr>
          <w:rFonts w:ascii="Times New Roman" w:hAnsi="Times New Roman"/>
          <w:noProof/>
          <w:sz w:val="24"/>
          <w:szCs w:val="24"/>
        </w:rPr>
      </w:pPr>
    </w:p>
    <w:p w:rsidR="00440B50" w:rsidRDefault="00DC4BD4">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BASE JURIDIQUE</w:t>
      </w:r>
    </w:p>
    <w:p w:rsidR="00440B50" w:rsidRDefault="00DC4BD4">
      <w:pPr>
        <w:spacing w:before="120" w:after="240" w:line="240" w:lineRule="auto"/>
        <w:jc w:val="both"/>
        <w:rPr>
          <w:rFonts w:ascii="Times New Roman" w:hAnsi="Times New Roman"/>
          <w:noProof/>
          <w:sz w:val="24"/>
          <w:szCs w:val="24"/>
        </w:rPr>
      </w:pPr>
      <w:r>
        <w:rPr>
          <w:rFonts w:ascii="Times New Roman" w:hAnsi="Times New Roman"/>
          <w:noProof/>
          <w:sz w:val="24"/>
        </w:rPr>
        <w:t>Le présent rapport est requis au titre de l'article 19 </w:t>
      </w:r>
      <w:r>
        <w:rPr>
          <w:rFonts w:ascii="Times New Roman" w:hAnsi="Times New Roman"/>
          <w:i/>
          <w:noProof/>
          <w:sz w:val="24"/>
        </w:rPr>
        <w:t xml:space="preserve"> bis</w:t>
      </w:r>
      <w:r>
        <w:rPr>
          <w:rFonts w:ascii="Times New Roman" w:hAnsi="Times New Roman"/>
          <w:noProof/>
          <w:sz w:val="24"/>
        </w:rPr>
        <w:t xml:space="preserve"> du règlement (CE) nº 1217/2009. En vertu desdites dispositions, le pouvoir d’adopter des actes délégués est conféré à la Commission pour une période de cinq ans à compter du 20 décembre 2013 et la Commission est tenue d’élaborer un rapport relatif à la dé</w:t>
      </w:r>
      <w:r>
        <w:rPr>
          <w:rFonts w:ascii="Times New Roman" w:hAnsi="Times New Roman"/>
          <w:noProof/>
          <w:sz w:val="24"/>
        </w:rPr>
        <w:t>légation de pouvoir.</w:t>
      </w:r>
    </w:p>
    <w:p w:rsidR="00440B50" w:rsidRDefault="00440B50">
      <w:pPr>
        <w:autoSpaceDE w:val="0"/>
        <w:autoSpaceDN w:val="0"/>
        <w:adjustRightInd w:val="0"/>
        <w:spacing w:after="0" w:line="240" w:lineRule="auto"/>
        <w:jc w:val="both"/>
        <w:rPr>
          <w:rFonts w:ascii="Times New Roman" w:hAnsi="Times New Roman" w:cs="Times New Roman"/>
          <w:noProof/>
          <w:color w:val="000000"/>
          <w:sz w:val="24"/>
          <w:szCs w:val="24"/>
        </w:rPr>
      </w:pPr>
    </w:p>
    <w:p w:rsidR="00440B50" w:rsidRDefault="00DC4BD4">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EXERCICE DE LA DÉLÉGATION</w:t>
      </w:r>
    </w:p>
    <w:p w:rsidR="00440B50" w:rsidRDefault="00DC4BD4">
      <w:pPr>
        <w:spacing w:before="120" w:after="120" w:line="240" w:lineRule="auto"/>
        <w:jc w:val="both"/>
        <w:rPr>
          <w:rFonts w:ascii="Times New Roman" w:hAnsi="Times New Roman"/>
          <w:noProof/>
          <w:sz w:val="24"/>
          <w:szCs w:val="24"/>
        </w:rPr>
      </w:pPr>
      <w:r>
        <w:rPr>
          <w:rFonts w:ascii="Times New Roman" w:hAnsi="Times New Roman"/>
          <w:noProof/>
          <w:sz w:val="24"/>
        </w:rPr>
        <w:t xml:space="preserve">Depuis l’entrée en vigueur du règlement (CE) n° 1217/2009 du Conseil, la Commission a adopté deux actes délégués: </w:t>
      </w:r>
      <w:r>
        <w:rPr>
          <w:rFonts w:ascii="Times New Roman" w:hAnsi="Times New Roman"/>
          <w:b/>
          <w:noProof/>
          <w:sz w:val="24"/>
        </w:rPr>
        <w:t>Règlement délégué (UE) n° 1198/2014 de la Commission</w:t>
      </w:r>
      <w:r>
        <w:rPr>
          <w:rStyle w:val="FootnoteReference"/>
          <w:rFonts w:ascii="Times New Roman" w:hAnsi="Times New Roman"/>
          <w:noProof/>
          <w:sz w:val="24"/>
        </w:rPr>
        <w:footnoteReference w:id="2"/>
      </w:r>
      <w:r>
        <w:rPr>
          <w:rFonts w:ascii="Times New Roman" w:hAnsi="Times New Roman"/>
          <w:noProof/>
          <w:sz w:val="24"/>
        </w:rPr>
        <w:t xml:space="preserve"> et </w:t>
      </w:r>
      <w:r>
        <w:rPr>
          <w:rFonts w:ascii="Times New Roman" w:hAnsi="Times New Roman"/>
          <w:b/>
          <w:noProof/>
          <w:sz w:val="24"/>
        </w:rPr>
        <w:t xml:space="preserve">règlement délégué (UE) 2017/2278 </w:t>
      </w:r>
      <w:r>
        <w:rPr>
          <w:rFonts w:ascii="Times New Roman" w:hAnsi="Times New Roman"/>
          <w:b/>
          <w:noProof/>
          <w:sz w:val="24"/>
        </w:rPr>
        <w:t>de la Commission</w:t>
      </w:r>
      <w:r>
        <w:rPr>
          <w:rStyle w:val="FootnoteReference"/>
          <w:rFonts w:ascii="Times New Roman" w:hAnsi="Times New Roman"/>
          <w:noProof/>
          <w:sz w:val="24"/>
        </w:rPr>
        <w:footnoteReference w:id="3"/>
      </w:r>
      <w:r>
        <w:rPr>
          <w:rFonts w:ascii="Times New Roman" w:hAnsi="Times New Roman"/>
          <w:noProof/>
          <w:sz w:val="24"/>
        </w:rPr>
        <w:t xml:space="preserve">. </w:t>
      </w:r>
    </w:p>
    <w:p w:rsidR="00440B50" w:rsidRDefault="00DC4BD4">
      <w:pPr>
        <w:spacing w:before="120" w:after="120" w:line="240" w:lineRule="auto"/>
        <w:jc w:val="both"/>
        <w:rPr>
          <w:rFonts w:ascii="Times New Roman" w:hAnsi="Times New Roman"/>
          <w:noProof/>
          <w:sz w:val="24"/>
          <w:szCs w:val="24"/>
        </w:rPr>
      </w:pPr>
      <w:r>
        <w:rPr>
          <w:rFonts w:ascii="Times New Roman" w:hAnsi="Times New Roman"/>
          <w:noProof/>
          <w:sz w:val="24"/>
        </w:rPr>
        <w:t>Le règlement (CE) n° 1217/2009 du Conseil confère à la Commission le pouvoir d'adopter des règlements délégués établissant les règles relatives aux données en vue de la constatation des revenus et de l'analyse du fonctionnement économiq</w:t>
      </w:r>
      <w:r>
        <w:rPr>
          <w:rFonts w:ascii="Times New Roman" w:hAnsi="Times New Roman"/>
          <w:noProof/>
          <w:sz w:val="24"/>
        </w:rPr>
        <w:t>ue des exploitations agricoles, afin de garantir un cadre harmonisé pour les informations que les États membres sont tenus de communiquer.</w:t>
      </w:r>
    </w:p>
    <w:p w:rsidR="00440B50" w:rsidRDefault="00DC4BD4">
      <w:pPr>
        <w:spacing w:before="120" w:after="120" w:line="240" w:lineRule="auto"/>
        <w:jc w:val="both"/>
        <w:rPr>
          <w:rFonts w:ascii="Times New Roman" w:hAnsi="Times New Roman"/>
          <w:noProof/>
          <w:sz w:val="24"/>
          <w:szCs w:val="24"/>
        </w:rPr>
      </w:pPr>
      <w:r>
        <w:rPr>
          <w:rFonts w:ascii="Times New Roman" w:hAnsi="Times New Roman"/>
          <w:noProof/>
          <w:sz w:val="24"/>
        </w:rPr>
        <w:t>Conformément à l’article 3, à l’article 5, paragraphe 1, à l’article 5 </w:t>
      </w:r>
      <w:r>
        <w:rPr>
          <w:rFonts w:ascii="Times New Roman" w:hAnsi="Times New Roman"/>
          <w:i/>
          <w:noProof/>
          <w:sz w:val="24"/>
        </w:rPr>
        <w:t>bis</w:t>
      </w:r>
      <w:r>
        <w:rPr>
          <w:rFonts w:ascii="Times New Roman" w:hAnsi="Times New Roman"/>
          <w:noProof/>
          <w:sz w:val="24"/>
        </w:rPr>
        <w:t>, paragraphe 1, à l’article 5 </w:t>
      </w:r>
      <w:r>
        <w:rPr>
          <w:rFonts w:ascii="Times New Roman" w:hAnsi="Times New Roman"/>
          <w:i/>
          <w:noProof/>
          <w:sz w:val="24"/>
        </w:rPr>
        <w:t>ter</w:t>
      </w:r>
      <w:r>
        <w:rPr>
          <w:rFonts w:ascii="Times New Roman" w:hAnsi="Times New Roman"/>
          <w:noProof/>
          <w:sz w:val="24"/>
        </w:rPr>
        <w:t>, paragrap</w:t>
      </w:r>
      <w:r>
        <w:rPr>
          <w:rFonts w:ascii="Times New Roman" w:hAnsi="Times New Roman"/>
          <w:noProof/>
          <w:sz w:val="24"/>
        </w:rPr>
        <w:t xml:space="preserve">hes 2 et 3, et à l’article 8, paragraphe 3, du règlement, il convient que l'acte délégué établisse notamment des règles en vue de: </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a) la mise à jour de la liste des circonscriptions RICA, </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b) la fixation des valeurs seuils délimitant le champ d'observatio</w:t>
      </w:r>
      <w:r>
        <w:rPr>
          <w:rFonts w:ascii="Times New Roman" w:hAnsi="Times New Roman"/>
          <w:noProof/>
          <w:color w:val="000000"/>
          <w:sz w:val="24"/>
        </w:rPr>
        <w:t xml:space="preserve">n, </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c) l'établissement des plans de sélection des exploitations,  </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d) la détermination des orientations technico-économiques (OTE) générales et principales, et </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 la détermination des principaux groupes de données comptables à collecter sur les fiches d'e</w:t>
      </w:r>
      <w:r>
        <w:rPr>
          <w:rFonts w:ascii="Times New Roman" w:hAnsi="Times New Roman"/>
          <w:noProof/>
          <w:color w:val="000000"/>
          <w:sz w:val="24"/>
        </w:rPr>
        <w:t>xploitation, ainsi que les règles générales à suivre à cet égard.</w:t>
      </w:r>
    </w:p>
    <w:p w:rsidR="00440B50" w:rsidRDefault="00440B50">
      <w:pPr>
        <w:spacing w:before="120" w:after="120" w:line="240" w:lineRule="auto"/>
        <w:jc w:val="both"/>
        <w:rPr>
          <w:rFonts w:ascii="Times New Roman" w:hAnsi="Times New Roman"/>
          <w:noProof/>
          <w:sz w:val="24"/>
          <w:szCs w:val="24"/>
        </w:rPr>
      </w:pPr>
    </w:p>
    <w:p w:rsidR="00440B50" w:rsidRDefault="00DC4BD4">
      <w:pPr>
        <w:jc w:val="both"/>
        <w:rPr>
          <w:rFonts w:ascii="Times New Roman" w:hAnsi="Times New Roman"/>
          <w:b/>
          <w:noProof/>
          <w:sz w:val="24"/>
          <w:szCs w:val="24"/>
        </w:rPr>
      </w:pPr>
      <w:bookmarkStart w:id="1" w:name="_GoBack"/>
      <w:bookmarkEnd w:id="1"/>
      <w:r>
        <w:rPr>
          <w:rFonts w:ascii="Times New Roman" w:hAnsi="Times New Roman"/>
          <w:b/>
          <w:noProof/>
          <w:sz w:val="24"/>
        </w:rPr>
        <w:lastRenderedPageBreak/>
        <w:t>3.a.</w:t>
      </w:r>
      <w:r>
        <w:rPr>
          <w:noProof/>
        </w:rPr>
        <w:tab/>
      </w:r>
      <w:r>
        <w:rPr>
          <w:rFonts w:ascii="Times New Roman" w:hAnsi="Times New Roman"/>
          <w:b/>
          <w:noProof/>
          <w:sz w:val="24"/>
        </w:rPr>
        <w:t>Délégation de pouvoirs au titre de l’article 3 du règlement (CE) n° 1217/2009 en ce qui concerne la liste des circonscriptions RICA par État membre.</w:t>
      </w:r>
    </w:p>
    <w:p w:rsidR="00440B50" w:rsidRDefault="00DC4BD4">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rPr>
        <w:t>Les circonscriptions du réseau d’</w:t>
      </w:r>
      <w:r>
        <w:rPr>
          <w:rFonts w:ascii="Times New Roman" w:hAnsi="Times New Roman"/>
          <w:noProof/>
          <w:color w:val="000000"/>
          <w:sz w:val="24"/>
        </w:rPr>
        <w:t>information comptable agricole RICA, telles que définies à l’article 2 du règlement (CE) n° 1217/2009 du Conseil, sont les territoires d’un État membre, ou parties du territoire d’un État membre délimitées en vue du choix des exploitations comptables.</w:t>
      </w:r>
      <w:r>
        <w:rPr>
          <w:noProof/>
        </w:rPr>
        <w:t xml:space="preserve"> </w:t>
      </w:r>
      <w:r>
        <w:rPr>
          <w:rFonts w:ascii="Times New Roman" w:hAnsi="Times New Roman"/>
          <w:noProof/>
          <w:color w:val="000000"/>
          <w:sz w:val="24"/>
        </w:rPr>
        <w:t xml:space="preserve"> La </w:t>
      </w:r>
      <w:r>
        <w:rPr>
          <w:rFonts w:ascii="Times New Roman" w:hAnsi="Times New Roman"/>
          <w:noProof/>
          <w:color w:val="000000"/>
          <w:sz w:val="24"/>
        </w:rPr>
        <w:t>liste de ces circonscriptions figure à l’annexe I du règlement.</w:t>
      </w:r>
      <w:r>
        <w:rPr>
          <w:rFonts w:ascii="Times New Roman" w:hAnsi="Times New Roman"/>
          <w:noProof/>
          <w:sz w:val="24"/>
        </w:rPr>
        <w:t xml:space="preserve"> </w:t>
      </w:r>
    </w:p>
    <w:p w:rsidR="00440B50" w:rsidRDefault="00DC4B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L’article 3 veille à ce que la liste des circonscriptions RICA puisse être actualisée à la demande d’un État membre et habilite la Commission à adopter des actes délégués en conformité avec l</w:t>
      </w:r>
      <w:r>
        <w:rPr>
          <w:rFonts w:ascii="Times New Roman" w:hAnsi="Times New Roman"/>
          <w:noProof/>
          <w:sz w:val="24"/>
        </w:rPr>
        <w:t>’article 19 </w:t>
      </w:r>
      <w:r>
        <w:rPr>
          <w:rFonts w:ascii="Times New Roman" w:hAnsi="Times New Roman"/>
          <w:i/>
          <w:noProof/>
          <w:sz w:val="24"/>
        </w:rPr>
        <w:t>bis</w:t>
      </w:r>
      <w:r>
        <w:rPr>
          <w:rFonts w:ascii="Times New Roman" w:hAnsi="Times New Roman"/>
          <w:noProof/>
          <w:sz w:val="24"/>
        </w:rPr>
        <w:t>, en vue de modifier la liste figurant à l’annexe I.</w:t>
      </w:r>
    </w:p>
    <w:p w:rsidR="00440B50" w:rsidRDefault="00DC4BD4">
      <w:pPr>
        <w:pStyle w:val="Default"/>
        <w:jc w:val="both"/>
        <w:rPr>
          <w:rFonts w:ascii="Times New Roman" w:hAnsi="Times New Roman" w:cs="Times New Roman"/>
          <w:noProof/>
        </w:rPr>
      </w:pPr>
      <w:r>
        <w:rPr>
          <w:rFonts w:ascii="Times New Roman" w:hAnsi="Times New Roman"/>
          <w:noProof/>
        </w:rPr>
        <w:t xml:space="preserve">Le 31 mai 2017, l’Allemagne a demandé que les circonscriptions Schleswig-Holstein et Hambourg soient fusionnées en une circonscription RICA: Schleswig-Holstein/Hambourg. </w:t>
      </w:r>
    </w:p>
    <w:p w:rsidR="00440B50" w:rsidRDefault="00DC4BD4">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Commission a utilisé ce pouvoir en adoptant le </w:t>
      </w:r>
      <w:r>
        <w:rPr>
          <w:rFonts w:ascii="Times New Roman" w:hAnsi="Times New Roman"/>
          <w:b/>
          <w:noProof/>
          <w:sz w:val="24"/>
        </w:rPr>
        <w:t>règlement délégué (UE) 2017/2278 de la Commission</w:t>
      </w:r>
      <w:r>
        <w:rPr>
          <w:rStyle w:val="FootnoteReference"/>
          <w:rFonts w:ascii="Times New Roman" w:hAnsi="Times New Roman"/>
          <w:noProof/>
          <w:sz w:val="24"/>
        </w:rPr>
        <w:footnoteReference w:id="4"/>
      </w:r>
      <w:r>
        <w:rPr>
          <w:rFonts w:ascii="Times New Roman" w:hAnsi="Times New Roman"/>
          <w:noProof/>
          <w:sz w:val="24"/>
        </w:rPr>
        <w:t xml:space="preserve"> modifiant l’annexe I en ce qui concerne la liste des circonscriptions RICA par État membre, en fusionnant les circonscriptions allemandes Schleswig-Holstei</w:t>
      </w:r>
      <w:r>
        <w:rPr>
          <w:rFonts w:ascii="Times New Roman" w:hAnsi="Times New Roman"/>
          <w:noProof/>
          <w:sz w:val="24"/>
        </w:rPr>
        <w:t xml:space="preserve">n et Hambourg en une seule circonscription RICA: Schleswig-Holstein/Hambourg. </w:t>
      </w:r>
    </w:p>
    <w:p w:rsidR="00440B50" w:rsidRDefault="00DC4BD4">
      <w:pPr>
        <w:rPr>
          <w:rFonts w:ascii="Times New Roman" w:hAnsi="Times New Roman" w:cs="Times New Roman"/>
          <w:noProof/>
          <w:color w:val="000000"/>
          <w:sz w:val="24"/>
          <w:szCs w:val="24"/>
        </w:rPr>
      </w:pPr>
      <w:r>
        <w:rPr>
          <w:rFonts w:ascii="Times New Roman" w:hAnsi="Times New Roman"/>
          <w:noProof/>
          <w:color w:val="000000"/>
          <w:sz w:val="24"/>
        </w:rPr>
        <w:t>À l’annexe I, la liste des circonscriptions RICA concernant l’Allemagne est remplacée par la liste suivante:</w:t>
      </w:r>
    </w:p>
    <w:p w:rsidR="00440B50" w:rsidRDefault="00DC4BD4">
      <w:pPr>
        <w:spacing w:after="0"/>
        <w:rPr>
          <w:rFonts w:ascii="Times New Roman" w:hAnsi="Times New Roman" w:cs="Times New Roman"/>
          <w:i/>
          <w:noProof/>
          <w:color w:val="000000"/>
          <w:sz w:val="20"/>
          <w:szCs w:val="20"/>
        </w:rPr>
      </w:pPr>
      <w:r>
        <w:rPr>
          <w:rFonts w:ascii="Times New Roman" w:hAnsi="Times New Roman"/>
          <w:noProof/>
          <w:color w:val="000000"/>
          <w:sz w:val="20"/>
        </w:rPr>
        <w:t>«</w:t>
      </w:r>
      <w:r>
        <w:rPr>
          <w:rFonts w:ascii="Times New Roman" w:hAnsi="Times New Roman"/>
          <w:i/>
          <w:noProof/>
          <w:color w:val="000000"/>
          <w:sz w:val="20"/>
        </w:rPr>
        <w:t>Allemagne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1. Schleswig-Holstein/Hambourg</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2. Basse-Saxe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3. Brême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 xml:space="preserve">4. </w:t>
      </w:r>
      <w:r>
        <w:rPr>
          <w:rFonts w:ascii="Times New Roman" w:hAnsi="Times New Roman"/>
          <w:noProof/>
          <w:color w:val="000000"/>
          <w:sz w:val="20"/>
        </w:rPr>
        <w:t>Rhénanie-du-Nord-Westphalie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5. Hesse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 xml:space="preserve">6. Rhénanie-Palatinat </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7. Bade-Wurtemberg</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8. Bavière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9. Sarre</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10. Berlin</w:t>
      </w:r>
    </w:p>
    <w:p w:rsidR="00440B50" w:rsidRDefault="00DC4BD4">
      <w:pPr>
        <w:spacing w:after="0"/>
        <w:rPr>
          <w:rFonts w:ascii="Times New Roman" w:hAnsi="Times New Roman" w:cs="Times New Roman"/>
          <w:noProof/>
          <w:color w:val="000000"/>
          <w:sz w:val="20"/>
          <w:szCs w:val="20"/>
          <w:lang w:val="de-DE"/>
        </w:rPr>
      </w:pPr>
      <w:r>
        <w:rPr>
          <w:rFonts w:ascii="Times New Roman" w:hAnsi="Times New Roman"/>
          <w:noProof/>
          <w:color w:val="000000"/>
          <w:sz w:val="20"/>
          <w:lang w:val="de-DE"/>
        </w:rPr>
        <w:t>11. Brandebourg</w:t>
      </w:r>
    </w:p>
    <w:p w:rsidR="00440B50" w:rsidRDefault="00DC4BD4">
      <w:pPr>
        <w:spacing w:after="0"/>
        <w:rPr>
          <w:rFonts w:ascii="Times New Roman" w:hAnsi="Times New Roman" w:cs="Times New Roman"/>
          <w:noProof/>
          <w:color w:val="000000"/>
          <w:sz w:val="20"/>
          <w:szCs w:val="20"/>
          <w:lang w:val="de-DE"/>
        </w:rPr>
      </w:pPr>
      <w:r>
        <w:rPr>
          <w:rFonts w:ascii="Times New Roman" w:hAnsi="Times New Roman"/>
          <w:noProof/>
          <w:color w:val="000000"/>
          <w:sz w:val="20"/>
          <w:lang w:val="de-DE"/>
        </w:rPr>
        <w:t>12. Mecklenburg-Vorpommern</w:t>
      </w:r>
    </w:p>
    <w:p w:rsidR="00440B50" w:rsidRDefault="00DC4BD4">
      <w:pPr>
        <w:spacing w:after="0"/>
        <w:rPr>
          <w:rFonts w:ascii="Times New Roman" w:hAnsi="Times New Roman" w:cs="Times New Roman"/>
          <w:noProof/>
          <w:color w:val="000000"/>
          <w:sz w:val="20"/>
          <w:szCs w:val="20"/>
          <w:lang w:val="de-DE"/>
        </w:rPr>
      </w:pPr>
      <w:r>
        <w:rPr>
          <w:rFonts w:ascii="Times New Roman" w:hAnsi="Times New Roman"/>
          <w:noProof/>
          <w:color w:val="000000"/>
          <w:sz w:val="20"/>
          <w:lang w:val="de-DE"/>
        </w:rPr>
        <w:t>13. Sachsen</w:t>
      </w:r>
    </w:p>
    <w:p w:rsidR="00440B50" w:rsidRDefault="00DC4BD4">
      <w:pPr>
        <w:spacing w:after="0"/>
        <w:rPr>
          <w:rFonts w:ascii="Times New Roman" w:hAnsi="Times New Roman" w:cs="Times New Roman"/>
          <w:noProof/>
          <w:color w:val="000000"/>
          <w:sz w:val="20"/>
          <w:szCs w:val="20"/>
          <w:lang w:val="de-DE"/>
        </w:rPr>
      </w:pPr>
      <w:r>
        <w:rPr>
          <w:rFonts w:ascii="Times New Roman" w:hAnsi="Times New Roman"/>
          <w:noProof/>
          <w:color w:val="000000"/>
          <w:sz w:val="20"/>
          <w:lang w:val="de-DE"/>
        </w:rPr>
        <w:t>14. Sachsen-Anhalt</w:t>
      </w:r>
    </w:p>
    <w:p w:rsidR="00440B50" w:rsidRDefault="00DC4BD4">
      <w:pPr>
        <w:spacing w:after="0"/>
        <w:rPr>
          <w:rFonts w:ascii="Times New Roman" w:hAnsi="Times New Roman" w:cs="Times New Roman"/>
          <w:noProof/>
          <w:color w:val="000000"/>
          <w:sz w:val="20"/>
          <w:szCs w:val="20"/>
        </w:rPr>
      </w:pPr>
      <w:r>
        <w:rPr>
          <w:rFonts w:ascii="Times New Roman" w:hAnsi="Times New Roman"/>
          <w:noProof/>
          <w:color w:val="000000"/>
          <w:sz w:val="20"/>
        </w:rPr>
        <w:t>15. Thüringen»</w:t>
      </w:r>
    </w:p>
    <w:p w:rsidR="00440B50" w:rsidRDefault="00440B50">
      <w:pPr>
        <w:spacing w:after="0"/>
        <w:rPr>
          <w:rFonts w:ascii="Times New Roman" w:hAnsi="Times New Roman" w:cs="Times New Roman"/>
          <w:noProof/>
          <w:color w:val="000000"/>
          <w:sz w:val="20"/>
          <w:szCs w:val="20"/>
        </w:rPr>
      </w:pPr>
    </w:p>
    <w:p w:rsidR="00440B50" w:rsidRDefault="00DC4BD4">
      <w:pPr>
        <w:pStyle w:val="Default"/>
        <w:jc w:val="both"/>
        <w:rPr>
          <w:rFonts w:ascii="Times New Roman" w:hAnsi="Times New Roman" w:cs="Times New Roman"/>
          <w:noProof/>
        </w:rPr>
      </w:pPr>
      <w:r>
        <w:rPr>
          <w:noProof/>
        </w:rPr>
        <w:t xml:space="preserve">La Commission a adopté le règlement délégué le 4 septembre 2017 et il est entré en vigueur le septième jour suivant celui de sa publication au </w:t>
      </w:r>
      <w:r>
        <w:rPr>
          <w:i/>
          <w:noProof/>
        </w:rPr>
        <w:t>Journal officiel de l'Union européenne</w:t>
      </w:r>
      <w:r>
        <w:rPr>
          <w:noProof/>
        </w:rPr>
        <w:t>, soit le 12 décembre 2017. Il s’applique à compter de l'exercice comptable</w:t>
      </w:r>
      <w:r>
        <w:rPr>
          <w:noProof/>
        </w:rPr>
        <w:t xml:space="preserve"> 2018 pour le réseau d'information comptable agricole.</w:t>
      </w:r>
    </w:p>
    <w:p w:rsidR="00440B50" w:rsidRDefault="00DC4BD4">
      <w:pPr>
        <w:rPr>
          <w:rFonts w:ascii="Times New Roman" w:hAnsi="Times New Roman"/>
          <w:noProof/>
          <w:sz w:val="24"/>
          <w:szCs w:val="24"/>
        </w:rPr>
      </w:pPr>
      <w:r>
        <w:rPr>
          <w:noProof/>
        </w:rPr>
        <w:br w:type="page"/>
      </w:r>
    </w:p>
    <w:p w:rsidR="00440B50" w:rsidRDefault="00440B50">
      <w:pPr>
        <w:autoSpaceDE w:val="0"/>
        <w:autoSpaceDN w:val="0"/>
        <w:adjustRightInd w:val="0"/>
        <w:spacing w:after="0" w:line="240" w:lineRule="auto"/>
        <w:rPr>
          <w:rFonts w:ascii="Times New Roman" w:hAnsi="Times New Roman"/>
          <w:noProof/>
          <w:sz w:val="24"/>
          <w:szCs w:val="24"/>
        </w:rPr>
      </w:pPr>
    </w:p>
    <w:p w:rsidR="00440B50" w:rsidRDefault="00DC4BD4">
      <w:pPr>
        <w:jc w:val="both"/>
        <w:rPr>
          <w:rFonts w:ascii="Times New Roman" w:hAnsi="Times New Roman" w:cs="Times New Roman"/>
          <w:b/>
          <w:noProof/>
          <w:sz w:val="24"/>
          <w:szCs w:val="24"/>
        </w:rPr>
      </w:pPr>
      <w:r>
        <w:rPr>
          <w:rFonts w:ascii="Times New Roman" w:hAnsi="Times New Roman"/>
          <w:b/>
          <w:noProof/>
          <w:sz w:val="24"/>
        </w:rPr>
        <w:t>3.b.</w:t>
      </w:r>
      <w:r>
        <w:rPr>
          <w:noProof/>
        </w:rPr>
        <w:tab/>
      </w:r>
      <w:r>
        <w:rPr>
          <w:rFonts w:ascii="Times New Roman" w:hAnsi="Times New Roman"/>
          <w:b/>
          <w:noProof/>
          <w:sz w:val="24"/>
        </w:rPr>
        <w:t>Délégation de pouvoirs au titre de l’article 5 du règlement (CE) n° 1217/2009 en ce qui concerne la fixation du seuil relatif à la dimension économique.</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Les valeurs seuils délimitant le champ d</w:t>
      </w:r>
      <w:r>
        <w:rPr>
          <w:rFonts w:ascii="Times New Roman" w:hAnsi="Times New Roman"/>
          <w:noProof/>
          <w:color w:val="000000"/>
          <w:sz w:val="24"/>
        </w:rPr>
        <w:t>'observation devraient permettre d'obtenir des résultats représentatifs pour ce dernier. Il convient que les valeurs seuils maximisent le rapport coût/bénéfice et soient déterminées dans le but d'inclure dans le champ d'observation des exploitations qui re</w:t>
      </w:r>
      <w:r>
        <w:rPr>
          <w:rFonts w:ascii="Times New Roman" w:hAnsi="Times New Roman"/>
          <w:noProof/>
          <w:color w:val="000000"/>
          <w:sz w:val="24"/>
        </w:rPr>
        <w:t>présentent la plus grande part possible de la production agricole, de la superficie agricole et de main-d'œuvre agricole des exploitations qui sont gérées avec une orientation vers le marché.</w:t>
      </w:r>
    </w:p>
    <w:p w:rsidR="00440B50" w:rsidRDefault="00440B50">
      <w:pPr>
        <w:autoSpaceDE w:val="0"/>
        <w:autoSpaceDN w:val="0"/>
        <w:adjustRightInd w:val="0"/>
        <w:spacing w:after="0" w:line="240" w:lineRule="auto"/>
        <w:jc w:val="both"/>
        <w:rPr>
          <w:rFonts w:ascii="Times New Roman" w:hAnsi="Times New Roman" w:cs="Times New Roman"/>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L’article 5 du règlement (CE) n°1217/2009 du Conseil confère à </w:t>
      </w:r>
      <w:r>
        <w:rPr>
          <w:rFonts w:ascii="Times New Roman" w:hAnsi="Times New Roman"/>
          <w:noProof/>
          <w:sz w:val="24"/>
        </w:rPr>
        <w:t>la Commission le pouvoir d’adopter des actes délégués, en conformité avec l’article 19 </w:t>
      </w:r>
      <w:r>
        <w:rPr>
          <w:rFonts w:ascii="Times New Roman" w:hAnsi="Times New Roman"/>
          <w:i/>
          <w:noProof/>
          <w:sz w:val="24"/>
        </w:rPr>
        <w:t>bis</w:t>
      </w:r>
      <w:r>
        <w:rPr>
          <w:rFonts w:ascii="Times New Roman" w:hAnsi="Times New Roman"/>
          <w:noProof/>
          <w:sz w:val="24"/>
        </w:rPr>
        <w:t>, établissant les règles relatives à la fixation du seuil exprimé en euros correspondant à l’une des limites inférieures des classes de dimension économique de la typ</w:t>
      </w:r>
      <w:r>
        <w:rPr>
          <w:rFonts w:ascii="Times New Roman" w:hAnsi="Times New Roman"/>
          <w:noProof/>
          <w:sz w:val="24"/>
        </w:rPr>
        <w:t>ologie de l’Union relative aux exploitations agricoles définie à l’article 5 </w:t>
      </w:r>
      <w:r>
        <w:rPr>
          <w:rFonts w:ascii="Times New Roman" w:hAnsi="Times New Roman"/>
          <w:i/>
          <w:noProof/>
          <w:sz w:val="24"/>
        </w:rPr>
        <w:t>ter</w:t>
      </w:r>
      <w:r>
        <w:rPr>
          <w:rFonts w:ascii="Times New Roman" w:hAnsi="Times New Roman"/>
          <w:noProof/>
          <w:sz w:val="24"/>
        </w:rPr>
        <w:t xml:space="preserve"> dudit règlement, étant donné que le champ d’observation visé à l’article 1</w:t>
      </w:r>
      <w:r>
        <w:rPr>
          <w:rFonts w:ascii="Times New Roman" w:hAnsi="Times New Roman"/>
          <w:noProof/>
          <w:sz w:val="24"/>
          <w:vertAlign w:val="superscript"/>
        </w:rPr>
        <w:t>er</w:t>
      </w:r>
      <w:r>
        <w:rPr>
          <w:rFonts w:ascii="Times New Roman" w:hAnsi="Times New Roman"/>
          <w:noProof/>
          <w:sz w:val="24"/>
        </w:rPr>
        <w:t>, paragraphe 2, comprend les exploitations agricoles ayant une dimension économique égale ou supéri</w:t>
      </w:r>
      <w:r>
        <w:rPr>
          <w:rFonts w:ascii="Times New Roman" w:hAnsi="Times New Roman"/>
          <w:noProof/>
          <w:sz w:val="24"/>
        </w:rPr>
        <w:t>eure au seuil susmentionné.</w:t>
      </w:r>
    </w:p>
    <w:p w:rsidR="00440B50" w:rsidRDefault="00DC4BD4">
      <w:pPr>
        <w:spacing w:before="120" w:after="120" w:line="240" w:lineRule="auto"/>
        <w:jc w:val="both"/>
        <w:rPr>
          <w:rFonts w:ascii="Times New Roman" w:hAnsi="Times New Roman"/>
          <w:noProof/>
          <w:sz w:val="24"/>
          <w:szCs w:val="24"/>
        </w:rPr>
      </w:pPr>
      <w:r>
        <w:rPr>
          <w:rFonts w:ascii="Times New Roman" w:hAnsi="Times New Roman"/>
          <w:noProof/>
          <w:sz w:val="24"/>
        </w:rPr>
        <w:t xml:space="preserve">La Commission a utilisé ce pouvoir en adoptant le </w:t>
      </w:r>
      <w:r>
        <w:rPr>
          <w:rFonts w:ascii="Times New Roman" w:hAnsi="Times New Roman"/>
          <w:b/>
          <w:noProof/>
          <w:sz w:val="24"/>
        </w:rPr>
        <w:t>règlement délégué (UE) n° 1198/2014 de la Commission</w:t>
      </w:r>
      <w:r>
        <w:rPr>
          <w:rStyle w:val="FootnoteReference"/>
          <w:rFonts w:ascii="Times New Roman" w:hAnsi="Times New Roman"/>
          <w:noProof/>
          <w:sz w:val="24"/>
        </w:rPr>
        <w:footnoteReference w:id="5"/>
      </w:r>
      <w:r>
        <w:rPr>
          <w:rFonts w:ascii="Times New Roman" w:hAnsi="Times New Roman"/>
          <w:noProof/>
          <w:sz w:val="24"/>
        </w:rPr>
        <w:t xml:space="preserve"> pour indiquer que: </w:t>
      </w:r>
    </w:p>
    <w:p w:rsidR="00440B50" w:rsidRDefault="00DC4BD4">
      <w:pPr>
        <w:autoSpaceDE w:val="0"/>
        <w:autoSpaceDN w:val="0"/>
        <w:adjustRightInd w:val="0"/>
        <w:spacing w:after="0" w:line="240" w:lineRule="auto"/>
        <w:jc w:val="both"/>
        <w:rPr>
          <w:noProof/>
        </w:rPr>
      </w:pPr>
      <w:r>
        <w:rPr>
          <w:rFonts w:ascii="Times New Roman" w:hAnsi="Times New Roman"/>
          <w:noProof/>
          <w:sz w:val="20"/>
        </w:rPr>
        <w:t>le seuil visé à l'article 5, paragraphe 1, du règlement (CE) n° 1217/2009 vise à garantir que le champ d</w:t>
      </w:r>
      <w:r>
        <w:rPr>
          <w:rFonts w:ascii="Times New Roman" w:hAnsi="Times New Roman"/>
          <w:noProof/>
          <w:sz w:val="20"/>
        </w:rPr>
        <w:t>'observation représente la plus grande partie possible de la production agricole, de la superficie agricole et de main-d'œuvre agricole des exploitations gérées avec une orientation vers le marché.</w:t>
      </w:r>
    </w:p>
    <w:p w:rsidR="00440B50" w:rsidRDefault="00440B50">
      <w:pPr>
        <w:pStyle w:val="CM3"/>
        <w:spacing w:before="60" w:after="60"/>
        <w:jc w:val="both"/>
        <w:rPr>
          <w:rFonts w:cs="EUAlbertina"/>
          <w:noProof/>
          <w:color w:val="000000"/>
        </w:rPr>
      </w:pPr>
    </w:p>
    <w:p w:rsidR="00440B50" w:rsidRDefault="00DC4BD4">
      <w:pPr>
        <w:pStyle w:val="Default"/>
        <w:jc w:val="both"/>
        <w:rPr>
          <w:noProof/>
        </w:rPr>
      </w:pPr>
      <w:r>
        <w:rPr>
          <w:noProof/>
        </w:rPr>
        <w:t>La Commission a adopté le règlement délégué le 1</w:t>
      </w:r>
      <w:r>
        <w:rPr>
          <w:noProof/>
          <w:vertAlign w:val="superscript"/>
        </w:rPr>
        <w:t>er</w:t>
      </w:r>
      <w:r>
        <w:rPr>
          <w:noProof/>
        </w:rPr>
        <w:t xml:space="preserve"> août 2014. Celui-ci est entré en vigueur le septième jour suivant celui de sa publication au </w:t>
      </w:r>
      <w:r>
        <w:rPr>
          <w:i/>
          <w:noProof/>
        </w:rPr>
        <w:t>Journal officiel de l'Union européenne</w:t>
      </w:r>
      <w:r>
        <w:rPr>
          <w:noProof/>
        </w:rPr>
        <w:t>, soit le 7 novembre 2014. Il s’applique depuis l'exercice comptable 2015 pour le réseau d'information comptable agricole.</w:t>
      </w:r>
    </w:p>
    <w:p w:rsidR="00440B50" w:rsidRDefault="00440B50">
      <w:pPr>
        <w:pStyle w:val="Default"/>
        <w:rPr>
          <w:noProof/>
        </w:rPr>
      </w:pPr>
    </w:p>
    <w:p w:rsidR="00440B50" w:rsidRDefault="00DC4BD4">
      <w:pPr>
        <w:jc w:val="both"/>
        <w:rPr>
          <w:rFonts w:ascii="Times New Roman" w:hAnsi="Times New Roman" w:cs="Times New Roman"/>
          <w:b/>
          <w:noProof/>
          <w:sz w:val="24"/>
          <w:szCs w:val="24"/>
        </w:rPr>
      </w:pPr>
      <w:r>
        <w:rPr>
          <w:rFonts w:ascii="Times New Roman" w:hAnsi="Times New Roman"/>
          <w:b/>
          <w:noProof/>
          <w:sz w:val="24"/>
        </w:rPr>
        <w:t>3.c</w:t>
      </w:r>
      <w:r>
        <w:rPr>
          <w:noProof/>
        </w:rPr>
        <w:tab/>
      </w:r>
      <w:r>
        <w:rPr>
          <w:rFonts w:ascii="Times New Roman" w:hAnsi="Times New Roman"/>
          <w:b/>
          <w:noProof/>
          <w:sz w:val="24"/>
        </w:rPr>
        <w:t>Délégation de pouvoirs au titre de l’article 5 </w:t>
      </w:r>
      <w:r>
        <w:rPr>
          <w:rFonts w:ascii="Times New Roman" w:hAnsi="Times New Roman"/>
          <w:b/>
          <w:i/>
          <w:noProof/>
          <w:sz w:val="24"/>
        </w:rPr>
        <w:t>bis</w:t>
      </w:r>
      <w:r>
        <w:rPr>
          <w:rFonts w:ascii="Times New Roman" w:hAnsi="Times New Roman"/>
          <w:b/>
          <w:noProof/>
          <w:sz w:val="24"/>
        </w:rPr>
        <w:t xml:space="preserve"> du règlement (CE) n° 1217/2009 en ce qui concerne l’établissement d’un plan de sélection des exploitations comptables pour chaque État membre.</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Il convient que le plan de sélection comporte un minimum </w:t>
      </w:r>
      <w:r>
        <w:rPr>
          <w:rFonts w:ascii="Times New Roman" w:hAnsi="Times New Roman"/>
          <w:noProof/>
          <w:color w:val="000000"/>
          <w:sz w:val="24"/>
        </w:rPr>
        <w:t>d'éléments montrant comment un échantillon représentatif est sélectionné pour que l'observation puisse remplir les objectifs du réseau d'information comptable agricole.</w:t>
      </w:r>
    </w:p>
    <w:p w:rsidR="00440B50" w:rsidRDefault="00440B50">
      <w:pPr>
        <w:autoSpaceDE w:val="0"/>
        <w:autoSpaceDN w:val="0"/>
        <w:adjustRightInd w:val="0"/>
        <w:spacing w:after="0" w:line="240" w:lineRule="auto"/>
        <w:jc w:val="both"/>
        <w:rPr>
          <w:rFonts w:ascii="Times New Roman" w:hAnsi="Times New Roman" w:cs="Times New Roman"/>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L’article 5 </w:t>
      </w:r>
      <w:r>
        <w:rPr>
          <w:rFonts w:ascii="Times New Roman" w:hAnsi="Times New Roman"/>
          <w:i/>
          <w:noProof/>
          <w:sz w:val="24"/>
        </w:rPr>
        <w:t>bis</w:t>
      </w:r>
      <w:r>
        <w:rPr>
          <w:rFonts w:ascii="Times New Roman" w:hAnsi="Times New Roman"/>
          <w:noProof/>
          <w:sz w:val="24"/>
        </w:rPr>
        <w:t xml:space="preserve"> du règlement (CE) n°1217/2009 du Conseil confère à la Commission le po</w:t>
      </w:r>
      <w:r>
        <w:rPr>
          <w:rFonts w:ascii="Times New Roman" w:hAnsi="Times New Roman"/>
          <w:noProof/>
          <w:sz w:val="24"/>
        </w:rPr>
        <w:t>uvoir d’adopter des actes délégués, en conformité avec l’article 19 </w:t>
      </w:r>
      <w:r>
        <w:rPr>
          <w:rFonts w:ascii="Times New Roman" w:hAnsi="Times New Roman"/>
          <w:i/>
          <w:noProof/>
          <w:sz w:val="24"/>
        </w:rPr>
        <w:t>bis</w:t>
      </w:r>
      <w:r>
        <w:rPr>
          <w:rFonts w:ascii="Times New Roman" w:hAnsi="Times New Roman"/>
          <w:noProof/>
          <w:sz w:val="24"/>
        </w:rPr>
        <w:t>, établissant les règles selon lesquelles chaque État membre établit un plan de sélection des exploitations comptables qui permet d'obtenir un échantillon comptable représentatif du cha</w:t>
      </w:r>
      <w:r>
        <w:rPr>
          <w:rFonts w:ascii="Times New Roman" w:hAnsi="Times New Roman"/>
          <w:noProof/>
          <w:sz w:val="24"/>
        </w:rPr>
        <w:t>mp d'observation. Ces règles garantissent que les plans de sélection des exploitations comptables:</w:t>
      </w: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sont établis sur la base des données statistiques les plus récentes,</w:t>
      </w: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sont présentés selon la typologie de l’Union relative aux exploitations agricoles, e</w:t>
      </w:r>
      <w:r>
        <w:rPr>
          <w:rFonts w:ascii="Times New Roman" w:hAnsi="Times New Roman"/>
          <w:noProof/>
          <w:sz w:val="24"/>
        </w:rPr>
        <w:t>t</w:t>
      </w: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comportent, notamment, la répartition des exploitations comptables par classe d’exploitations et les modalités de leur sélection.</w:t>
      </w:r>
    </w:p>
    <w:p w:rsidR="00440B50" w:rsidRDefault="00DC4BD4">
      <w:pPr>
        <w:spacing w:before="120" w:after="120" w:line="240" w:lineRule="auto"/>
        <w:jc w:val="both"/>
        <w:rPr>
          <w:rFonts w:ascii="Times New Roman" w:hAnsi="Times New Roman" w:cs="Times New Roman"/>
          <w:noProof/>
          <w:sz w:val="20"/>
          <w:szCs w:val="20"/>
        </w:rPr>
      </w:pPr>
      <w:r>
        <w:rPr>
          <w:rFonts w:ascii="Times New Roman" w:hAnsi="Times New Roman"/>
          <w:noProof/>
          <w:sz w:val="24"/>
        </w:rPr>
        <w:t xml:space="preserve">La Commission a utilisé ce pouvoir en adoptant le </w:t>
      </w:r>
      <w:r>
        <w:rPr>
          <w:rFonts w:ascii="Times New Roman" w:hAnsi="Times New Roman"/>
          <w:b/>
          <w:noProof/>
          <w:sz w:val="24"/>
        </w:rPr>
        <w:t>règlement délégué (UE) n° 1198/2014 de la Commission</w:t>
      </w:r>
      <w:r>
        <w:rPr>
          <w:rFonts w:ascii="Times New Roman" w:hAnsi="Times New Roman"/>
          <w:noProof/>
          <w:sz w:val="24"/>
        </w:rPr>
        <w:t xml:space="preserve"> pour indiquer que l</w:t>
      </w:r>
      <w:r>
        <w:rPr>
          <w:rFonts w:ascii="Times New Roman" w:hAnsi="Times New Roman"/>
          <w:noProof/>
          <w:sz w:val="24"/>
        </w:rPr>
        <w:t>e plan de sélection des exploitations comptables que chaque État membre est tenu d’établir contient des éléments permettant d'obtenir un échantillon comptable représentatif du champ d'observation. En particulier, le plan: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a) est fondé sur les sources de ré</w:t>
      </w:r>
      <w:r>
        <w:rPr>
          <w:rFonts w:ascii="Times New Roman" w:hAnsi="Times New Roman"/>
          <w:noProof/>
          <w:sz w:val="20"/>
        </w:rPr>
        <w:t>férences statistiques les plus récentes;</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b) explique la procédure de stratification du champ d'observation conformément aux circonscriptions énumérées à l'annexe I du règlement (CE) n° 1217/2009 ainsi qu'aux classes d'orientation technico-économique et aux</w:t>
      </w:r>
      <w:r>
        <w:rPr>
          <w:rFonts w:ascii="Times New Roman" w:hAnsi="Times New Roman"/>
          <w:noProof/>
          <w:sz w:val="20"/>
        </w:rPr>
        <w:t xml:space="preserve"> classes de dimension économique visées à l'article 5 </w:t>
      </w:r>
      <w:r>
        <w:rPr>
          <w:rFonts w:ascii="Times New Roman" w:hAnsi="Times New Roman"/>
          <w:i/>
          <w:noProof/>
          <w:sz w:val="20"/>
        </w:rPr>
        <w:t>ter</w:t>
      </w:r>
      <w:r>
        <w:rPr>
          <w:rFonts w:ascii="Times New Roman" w:hAnsi="Times New Roman"/>
          <w:noProof/>
          <w:sz w:val="20"/>
        </w:rPr>
        <w:t>, paragraphe 1, du règlement (CE) n° 1217/2009;</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c) fournit une ventilation des exploitations dans le champ d'observation selon les classes d'orientation technico-économique et les classes de dimensio</w:t>
      </w:r>
      <w:r>
        <w:rPr>
          <w:rFonts w:ascii="Times New Roman" w:hAnsi="Times New Roman"/>
          <w:noProof/>
          <w:sz w:val="20"/>
        </w:rPr>
        <w:t>n économique visées à l'article 5 </w:t>
      </w:r>
      <w:r>
        <w:rPr>
          <w:rFonts w:ascii="Times New Roman" w:hAnsi="Times New Roman"/>
          <w:i/>
          <w:noProof/>
          <w:sz w:val="20"/>
        </w:rPr>
        <w:t>ter</w:t>
      </w:r>
      <w:r>
        <w:rPr>
          <w:rFonts w:ascii="Times New Roman" w:hAnsi="Times New Roman"/>
          <w:noProof/>
          <w:sz w:val="20"/>
        </w:rPr>
        <w:t>, paragraphe 1, du règlement (CE) n° 1217/2009 correspondant au moins aux orientations technico-économiques principales;</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d) indique les méthodes statistiques permettant de déterminer le taux de sélection retenu par stra</w:t>
      </w:r>
      <w:r>
        <w:rPr>
          <w:rFonts w:ascii="Times New Roman" w:hAnsi="Times New Roman"/>
          <w:noProof/>
          <w:sz w:val="20"/>
        </w:rPr>
        <w:t>te, les modalités de sélection des exploitations comptables et le nombre d'exploitations comptables à sélectionner dans chaque strate.</w:t>
      </w:r>
    </w:p>
    <w:p w:rsidR="00440B50" w:rsidRDefault="00DC4BD4">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rPr>
        <w:t>La Commission a adopté le règlement délégué le 1</w:t>
      </w:r>
      <w:r>
        <w:rPr>
          <w:rFonts w:ascii="Times New Roman" w:hAnsi="Times New Roman"/>
          <w:noProof/>
          <w:sz w:val="24"/>
          <w:vertAlign w:val="superscript"/>
        </w:rPr>
        <w:t>er</w:t>
      </w:r>
      <w:r>
        <w:rPr>
          <w:rFonts w:ascii="Times New Roman" w:hAnsi="Times New Roman"/>
          <w:noProof/>
          <w:sz w:val="24"/>
        </w:rPr>
        <w:t xml:space="preserve"> août 2014.Celui-ci est entré en vigueur le septième jour suivant celui</w:t>
      </w:r>
      <w:r>
        <w:rPr>
          <w:rFonts w:ascii="Times New Roman" w:hAnsi="Times New Roman"/>
          <w:noProof/>
          <w:sz w:val="24"/>
        </w:rPr>
        <w:t xml:space="preserve"> de sa publication au </w:t>
      </w:r>
      <w:r>
        <w:rPr>
          <w:rFonts w:ascii="Times New Roman" w:hAnsi="Times New Roman"/>
          <w:i/>
          <w:noProof/>
          <w:sz w:val="24"/>
        </w:rPr>
        <w:t>Journal officiel de l'Union européenne</w:t>
      </w:r>
      <w:r>
        <w:rPr>
          <w:rFonts w:ascii="Times New Roman" w:hAnsi="Times New Roman"/>
          <w:noProof/>
          <w:sz w:val="24"/>
        </w:rPr>
        <w:t>, soit le 7 novembre 2014.</w:t>
      </w:r>
      <w:r>
        <w:rPr>
          <w:rFonts w:ascii="Times New Roman" w:hAnsi="Times New Roman"/>
          <w:noProof/>
          <w:color w:val="000000"/>
          <w:sz w:val="24"/>
        </w:rPr>
        <w:t xml:space="preserve"> Il s’applique depuis l'exercice comptable 2015 pour le réseau d'information comptable agricole.</w:t>
      </w:r>
    </w:p>
    <w:p w:rsidR="00440B50" w:rsidRDefault="00440B50">
      <w:pPr>
        <w:spacing w:before="120" w:after="120" w:line="240" w:lineRule="auto"/>
        <w:jc w:val="both"/>
        <w:rPr>
          <w:rFonts w:ascii="Times New Roman" w:hAnsi="Times New Roman" w:cs="Times New Roman"/>
          <w:noProof/>
          <w:color w:val="000000"/>
          <w:sz w:val="24"/>
          <w:szCs w:val="24"/>
        </w:rPr>
      </w:pPr>
    </w:p>
    <w:p w:rsidR="00440B50" w:rsidRDefault="00DC4BD4">
      <w:pPr>
        <w:jc w:val="both"/>
        <w:rPr>
          <w:rFonts w:ascii="Times New Roman" w:hAnsi="Times New Roman"/>
          <w:b/>
          <w:noProof/>
          <w:sz w:val="24"/>
          <w:szCs w:val="24"/>
        </w:rPr>
      </w:pPr>
      <w:r>
        <w:rPr>
          <w:rFonts w:ascii="Times New Roman" w:hAnsi="Times New Roman"/>
          <w:b/>
          <w:noProof/>
          <w:sz w:val="24"/>
        </w:rPr>
        <w:t>3.d.</w:t>
      </w:r>
      <w:r>
        <w:rPr>
          <w:noProof/>
        </w:rPr>
        <w:tab/>
      </w:r>
      <w:r>
        <w:rPr>
          <w:rFonts w:ascii="Times New Roman" w:hAnsi="Times New Roman"/>
          <w:b/>
          <w:noProof/>
          <w:sz w:val="24"/>
        </w:rPr>
        <w:t>Délégation de pouvoirs au titre de l’article 5 </w:t>
      </w:r>
      <w:r>
        <w:rPr>
          <w:rFonts w:ascii="Times New Roman" w:hAnsi="Times New Roman"/>
          <w:b/>
          <w:i/>
          <w:noProof/>
          <w:sz w:val="24"/>
        </w:rPr>
        <w:t>ter</w:t>
      </w:r>
      <w:r>
        <w:rPr>
          <w:rFonts w:ascii="Times New Roman" w:hAnsi="Times New Roman"/>
          <w:b/>
          <w:noProof/>
          <w:sz w:val="24"/>
        </w:rPr>
        <w:t xml:space="preserve"> du règlement (CE) n° 1217/2009 en ce qui concerne la fixation de la période de référence pour la production standard et la détermination des orientations technico-économiques générales et principales.</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Les productions standard sont basées sur les valeurs m</w:t>
      </w:r>
      <w:r>
        <w:rPr>
          <w:rFonts w:ascii="Times New Roman" w:hAnsi="Times New Roman"/>
          <w:noProof/>
          <w:color w:val="000000"/>
          <w:sz w:val="24"/>
        </w:rPr>
        <w:t xml:space="preserve">oyennes d'une période de référence donnée. Il convient d'actualiser périodiquement leurs valeurs afin de tenir compte de l'évolution économique pour que la typologie puisse garder toute sa signification. Il importe que la fréquence de l'actualisation soit </w:t>
      </w:r>
      <w:r>
        <w:rPr>
          <w:rFonts w:ascii="Times New Roman" w:hAnsi="Times New Roman"/>
          <w:noProof/>
          <w:color w:val="000000"/>
          <w:sz w:val="24"/>
        </w:rPr>
        <w:t>liée aux années pendant lesquelles des enquêtes sur la structure des exploitations agricoles de l'Union sont réalisées.</w:t>
      </w: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Les orientations technico-économiques générales et principales doivent être conçues de telle sorte qu'elles permettent la constitution d</w:t>
      </w:r>
      <w:r>
        <w:rPr>
          <w:rFonts w:ascii="Times New Roman" w:hAnsi="Times New Roman"/>
          <w:noProof/>
          <w:color w:val="000000"/>
          <w:sz w:val="24"/>
        </w:rPr>
        <w:t>e groupes homogènes d'exploitations à un niveau plus ou moins grand d'agrégation ainsi que la comparaison de la situation des groupes d'exploitations.</w:t>
      </w:r>
    </w:p>
    <w:p w:rsidR="00440B50" w:rsidRDefault="00440B50">
      <w:pPr>
        <w:autoSpaceDE w:val="0"/>
        <w:autoSpaceDN w:val="0"/>
        <w:adjustRightInd w:val="0"/>
        <w:spacing w:after="0" w:line="240" w:lineRule="auto"/>
        <w:jc w:val="both"/>
        <w:rPr>
          <w:rFonts w:ascii="Times New Roman" w:hAnsi="Times New Roman" w:cs="Times New Roman"/>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L’article 5 </w:t>
      </w:r>
      <w:r>
        <w:rPr>
          <w:rFonts w:ascii="Times New Roman" w:hAnsi="Times New Roman"/>
          <w:i/>
          <w:noProof/>
          <w:sz w:val="24"/>
        </w:rPr>
        <w:t>ter</w:t>
      </w:r>
      <w:r>
        <w:rPr>
          <w:rFonts w:ascii="Times New Roman" w:hAnsi="Times New Roman"/>
          <w:noProof/>
          <w:sz w:val="24"/>
        </w:rPr>
        <w:t xml:space="preserve"> du règlement (CE) n° 1217/2009 du Conseil confère à la Commission le pouvoir d’adopter d</w:t>
      </w:r>
      <w:r>
        <w:rPr>
          <w:rFonts w:ascii="Times New Roman" w:hAnsi="Times New Roman"/>
          <w:noProof/>
          <w:sz w:val="24"/>
        </w:rPr>
        <w:t>es actes délégués en conformité avec l’article 19 </w:t>
      </w:r>
      <w:r>
        <w:rPr>
          <w:rFonts w:ascii="Times New Roman" w:hAnsi="Times New Roman"/>
          <w:i/>
          <w:noProof/>
          <w:sz w:val="24"/>
        </w:rPr>
        <w:t>bis</w:t>
      </w:r>
      <w:r>
        <w:rPr>
          <w:rFonts w:ascii="Times New Roman" w:hAnsi="Times New Roman"/>
          <w:noProof/>
          <w:sz w:val="24"/>
        </w:rPr>
        <w:t xml:space="preserve">, en ce qui concerne la fixation de la période de référence pour la production standard et la détermination des orientations technico-économiques générales et principales. </w:t>
      </w:r>
    </w:p>
    <w:p w:rsidR="00440B50" w:rsidRDefault="00440B50">
      <w:pPr>
        <w:autoSpaceDE w:val="0"/>
        <w:autoSpaceDN w:val="0"/>
        <w:adjustRightInd w:val="0"/>
        <w:spacing w:after="0" w:line="240" w:lineRule="auto"/>
        <w:jc w:val="both"/>
        <w:rPr>
          <w:rFonts w:ascii="Times New Roman" w:hAnsi="Times New Roman" w:cs="Times New Roman"/>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L’orientation technico-économ</w:t>
      </w:r>
      <w:r>
        <w:rPr>
          <w:rFonts w:ascii="Times New Roman" w:hAnsi="Times New Roman"/>
          <w:noProof/>
          <w:sz w:val="24"/>
        </w:rPr>
        <w:t>ique d’une exploitation est déterminée par la contribution relative de la production standard des différentes caractéristiques de cette exploitation à la production standard totale de l’exploitation. Les exploitations agricoles sont classées de manière uni</w:t>
      </w:r>
      <w:r>
        <w:rPr>
          <w:rFonts w:ascii="Times New Roman" w:hAnsi="Times New Roman"/>
          <w:noProof/>
          <w:sz w:val="24"/>
        </w:rPr>
        <w:t>forme selon la typologie de l’Union relative aux exploitations agricoles, en fonction de leur orientation technico-économique, de leur dimension économique et de l’importance d’autres activités lucratives qui leur sont directement liées. La typologie est u</w:t>
      </w:r>
      <w:r>
        <w:rPr>
          <w:rFonts w:ascii="Times New Roman" w:hAnsi="Times New Roman"/>
          <w:noProof/>
          <w:sz w:val="24"/>
        </w:rPr>
        <w:t>tilisée notamment pour la présentation, par orientation technico-économique et par classe de dimension économique, des données recueillies dans le cadre des enquêtes réalisées au sein de l’Union sur la structure des exploitations agricoles et du RICA.</w:t>
      </w:r>
    </w:p>
    <w:p w:rsidR="00440B50" w:rsidRDefault="00DC4BD4">
      <w:pPr>
        <w:autoSpaceDE w:val="0"/>
        <w:autoSpaceDN w:val="0"/>
        <w:adjustRightInd w:val="0"/>
        <w:spacing w:after="0" w:line="240" w:lineRule="auto"/>
        <w:jc w:val="both"/>
        <w:rPr>
          <w:rFonts w:ascii="Times New Roman" w:hAnsi="Times New Roman"/>
          <w:noProof/>
          <w:sz w:val="24"/>
          <w:szCs w:val="24"/>
        </w:rPr>
      </w:pPr>
      <w:r>
        <w:rPr>
          <w:rFonts w:ascii="TimesNewRoman" w:hAnsi="TimesNewRoman"/>
          <w:noProof/>
          <w:sz w:val="24"/>
        </w:rPr>
        <w:t xml:space="preserve">Il </w:t>
      </w:r>
      <w:r>
        <w:rPr>
          <w:rFonts w:ascii="TimesNewRoman" w:hAnsi="TimesNewRoman"/>
          <w:noProof/>
          <w:sz w:val="24"/>
        </w:rPr>
        <w:t>est fait mention de la correspondance entre les orientations technico-économiques générales et principales et les spécialisations particulières des orientations technico-économiques correspondant à des orientations technico-économiques principales.</w:t>
      </w:r>
      <w:r>
        <w:rPr>
          <w:rFonts w:ascii="Courier New" w:hAnsi="Courier New"/>
          <w:b/>
          <w:noProof/>
          <w:sz w:val="24"/>
        </w:rPr>
        <w:t xml:space="preserve"> </w:t>
      </w:r>
      <w:r>
        <w:rPr>
          <w:rFonts w:ascii="TimesNewRoman" w:hAnsi="TimesNewRoman"/>
          <w:noProof/>
          <w:sz w:val="24"/>
        </w:rPr>
        <w:t>La dime</w:t>
      </w:r>
      <w:r>
        <w:rPr>
          <w:rFonts w:ascii="TimesNewRoman" w:hAnsi="TimesNewRoman"/>
          <w:noProof/>
          <w:sz w:val="24"/>
        </w:rPr>
        <w:t>nsion économique de l’exploitation est déterminée sur la base de la production standard totale de l’exploitation. Les productions standard et les données servant à leur détermination sont communiquées à la Commission par l’organe de liaison désigné par cha</w:t>
      </w:r>
      <w:r>
        <w:rPr>
          <w:rFonts w:ascii="TimesNewRoman" w:hAnsi="TimesNewRoman"/>
          <w:noProof/>
          <w:sz w:val="24"/>
        </w:rPr>
        <w:t>que État membre conformément à l’article 7 du même règlement ou par l’organe auquel cette fonction a été déléguée.</w:t>
      </w:r>
    </w:p>
    <w:p w:rsidR="00440B50" w:rsidRDefault="00440B50">
      <w:pPr>
        <w:autoSpaceDE w:val="0"/>
        <w:autoSpaceDN w:val="0"/>
        <w:adjustRightInd w:val="0"/>
        <w:spacing w:after="0" w:line="240" w:lineRule="auto"/>
        <w:jc w:val="both"/>
        <w:rPr>
          <w:rFonts w:ascii="Times New Roman" w:hAnsi="Times New Roman"/>
          <w:noProof/>
          <w:sz w:val="24"/>
          <w:szCs w:val="24"/>
        </w:rPr>
      </w:pPr>
    </w:p>
    <w:p w:rsidR="00440B50" w:rsidRDefault="00DC4BD4">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 xml:space="preserve">La Commission a utilisé ce pouvoir en adoptant le </w:t>
      </w:r>
      <w:r>
        <w:rPr>
          <w:rFonts w:ascii="Times New Roman" w:hAnsi="Times New Roman"/>
          <w:b/>
          <w:noProof/>
          <w:sz w:val="24"/>
        </w:rPr>
        <w:t>règlement délégué (UE) n° 1198/2014 de la Commission</w:t>
      </w:r>
      <w:r>
        <w:rPr>
          <w:rFonts w:ascii="Times New Roman" w:hAnsi="Times New Roman"/>
          <w:noProof/>
          <w:sz w:val="24"/>
        </w:rPr>
        <w:t xml:space="preserve"> pour indiquer la période de référence</w:t>
      </w:r>
      <w:r>
        <w:rPr>
          <w:rFonts w:ascii="Times New Roman" w:hAnsi="Times New Roman"/>
          <w:noProof/>
          <w:sz w:val="24"/>
        </w:rPr>
        <w:t xml:space="preserve"> de la production standard comme suit: </w:t>
      </w:r>
    </w:p>
    <w:p w:rsidR="00440B50" w:rsidRDefault="00440B50">
      <w:pPr>
        <w:autoSpaceDE w:val="0"/>
        <w:autoSpaceDN w:val="0"/>
        <w:adjustRightInd w:val="0"/>
        <w:spacing w:after="0" w:line="240" w:lineRule="auto"/>
        <w:jc w:val="both"/>
        <w:rPr>
          <w:rFonts w:ascii="Times New Roman" w:hAnsi="Times New Roman" w:cs="Times New Roman"/>
          <w:noProof/>
          <w:sz w:val="20"/>
          <w:szCs w:val="20"/>
        </w:rPr>
      </w:pP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Aux fins du calcul de la production standard pour l'enquête sur la structure des exploitations agricoles de l'Union pour l'année N (...), la période de référence se compose des cinq années successives, de l'année N-</w:t>
      </w:r>
      <w:r>
        <w:rPr>
          <w:rFonts w:ascii="Times New Roman" w:hAnsi="Times New Roman"/>
          <w:noProof/>
          <w:sz w:val="20"/>
        </w:rPr>
        <w:t>5 à l'année N-1. La production standard est déterminée à l'aide des données de base moyennes calculées au cours de la période de référence établie au premier alinéa et communément appelée «production standard N-3». Elle est mise à jour pour tenir compte de</w:t>
      </w:r>
      <w:r>
        <w:rPr>
          <w:rFonts w:ascii="Times New Roman" w:hAnsi="Times New Roman"/>
          <w:noProof/>
          <w:sz w:val="20"/>
        </w:rPr>
        <w:t xml:space="preserve"> l'évolution économique au moins chaque fois qu'une enquête sur la structure des exploitations agricoles de l'Union est réalisée.</w:t>
      </w:r>
    </w:p>
    <w:p w:rsidR="00440B50" w:rsidRDefault="00440B50">
      <w:pPr>
        <w:autoSpaceDE w:val="0"/>
        <w:autoSpaceDN w:val="0"/>
        <w:adjustRightInd w:val="0"/>
        <w:spacing w:after="0" w:line="240" w:lineRule="auto"/>
        <w:rPr>
          <w:rFonts w:ascii="Times New Roman" w:hAnsi="Times New Roman" w:cs="Times New Roman"/>
          <w:noProof/>
          <w:sz w:val="20"/>
          <w:szCs w:val="20"/>
        </w:rPr>
      </w:pP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4"/>
        </w:rPr>
        <w:t xml:space="preserve">L’annexe I du </w:t>
      </w:r>
      <w:r>
        <w:rPr>
          <w:rFonts w:ascii="Times New Roman" w:hAnsi="Times New Roman"/>
          <w:b/>
          <w:noProof/>
          <w:sz w:val="24"/>
        </w:rPr>
        <w:t>règlement délégué (UE) n° 1198/2014 de la Commission</w:t>
      </w:r>
      <w:r>
        <w:rPr>
          <w:rFonts w:ascii="Times New Roman" w:hAnsi="Times New Roman"/>
          <w:noProof/>
          <w:sz w:val="24"/>
        </w:rPr>
        <w:t xml:space="preserve"> présente un aperçu des orientations technico-économiques g</w:t>
      </w:r>
      <w:r>
        <w:rPr>
          <w:rFonts w:ascii="Times New Roman" w:hAnsi="Times New Roman"/>
          <w:noProof/>
          <w:sz w:val="24"/>
        </w:rPr>
        <w:t>énérales et principales et leurs correspondances, comme suit</w:t>
      </w:r>
      <w:r>
        <w:rPr>
          <w:noProof/>
        </w:rPr>
        <w:t>:</w:t>
      </w:r>
    </w:p>
    <w:p w:rsidR="00440B50" w:rsidRDefault="00440B50">
      <w:pPr>
        <w:autoSpaceDE w:val="0"/>
        <w:autoSpaceDN w:val="0"/>
        <w:adjustRightInd w:val="0"/>
        <w:spacing w:after="0" w:line="240" w:lineRule="auto"/>
        <w:rPr>
          <w:rFonts w:ascii="Times New Roman" w:hAnsi="Times New Roman" w:cs="Times New Roman"/>
          <w:noProof/>
          <w:sz w:val="20"/>
          <w:szCs w:val="20"/>
        </w:rPr>
      </w:pPr>
    </w:p>
    <w:tbl>
      <w:tblPr>
        <w:tblStyle w:val="TableGrid"/>
        <w:tblW w:w="0" w:type="auto"/>
        <w:tblLook w:val="04A0" w:firstRow="1" w:lastRow="0" w:firstColumn="1" w:lastColumn="0" w:noHBand="0" w:noVBand="1"/>
      </w:tblPr>
      <w:tblGrid>
        <w:gridCol w:w="1272"/>
        <w:gridCol w:w="3043"/>
        <w:gridCol w:w="1276"/>
        <w:gridCol w:w="3651"/>
      </w:tblGrid>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Orientations technico-économiques générales </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Description</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Orientations technico-économiques principales</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Description</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1. </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en grandes cultures</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15.</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Exploitations </w:t>
            </w:r>
            <w:r>
              <w:rPr>
                <w:rFonts w:ascii="Times New Roman" w:hAnsi="Times New Roman"/>
                <w:noProof/>
                <w:sz w:val="20"/>
              </w:rPr>
              <w:t>spécialisées en céréaliculture et en culture de plantes oléagineuses et protéagineuses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16. </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en grandes cultures de type général</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2. </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horticoles spécialisées</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21.</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horticoles d'intérieur</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22.</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horticoles de plein air</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23.</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Autres types d'horticulture</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3. </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en cultures permanentes</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35.</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en viticulture</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36.</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fruitières et agrumicoles spécialisées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37.</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Exploitations </w:t>
            </w:r>
            <w:r>
              <w:rPr>
                <w:rFonts w:ascii="Times New Roman" w:hAnsi="Times New Roman"/>
                <w:noProof/>
                <w:sz w:val="20"/>
              </w:rPr>
              <w:t>oléicoles spécialisées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38.</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avec diverses combinaisons de cultures permanentes</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4. </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herbivores</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45.</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 orientation lait</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46.</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 xml:space="preserve">Exploitations bovines spécialisées — orientation élevage et </w:t>
            </w:r>
            <w:r>
              <w:rPr>
                <w:rFonts w:ascii="Times New Roman" w:hAnsi="Times New Roman"/>
                <w:noProof/>
                <w:sz w:val="20"/>
              </w:rPr>
              <w:t>viande</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47.</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bovines — lait, élevage et viande combinés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48.</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avec ovins, caprins et autres herbivores</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5.</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spécialisées de production animale hors sol (granivores)</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51.</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porcines spécialisées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52.</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avicoles spécialisées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53.</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avec diverses combinaisons de granivores</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6.</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de polyculture</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61.</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de polyculture</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7.</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de polyélevage</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73.</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de polyélevage à orientation herbivores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74.</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de polyélevage à orientation granivores</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8.</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mixtes — cultures-élevage</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83.</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mixtes — grandes cultures-herbivores</w:t>
            </w:r>
          </w:p>
        </w:tc>
      </w:tr>
      <w:tr w:rsidR="00440B50">
        <w:tc>
          <w:tcPr>
            <w:tcW w:w="1101" w:type="dxa"/>
          </w:tcPr>
          <w:p w:rsidR="00440B50" w:rsidRDefault="00440B50">
            <w:pPr>
              <w:autoSpaceDE w:val="0"/>
              <w:autoSpaceDN w:val="0"/>
              <w:adjustRightInd w:val="0"/>
              <w:rPr>
                <w:rFonts w:ascii="Times New Roman" w:hAnsi="Times New Roman" w:cs="Times New Roman"/>
                <w:noProof/>
                <w:sz w:val="20"/>
                <w:szCs w:val="20"/>
              </w:rPr>
            </w:pPr>
          </w:p>
        </w:tc>
        <w:tc>
          <w:tcPr>
            <w:tcW w:w="3118" w:type="dxa"/>
          </w:tcPr>
          <w:p w:rsidR="00440B50" w:rsidRDefault="00440B50">
            <w:pPr>
              <w:autoSpaceDE w:val="0"/>
              <w:autoSpaceDN w:val="0"/>
              <w:adjustRightInd w:val="0"/>
              <w:rPr>
                <w:rFonts w:ascii="Times New Roman" w:hAnsi="Times New Roman" w:cs="Times New Roman"/>
                <w:noProof/>
                <w:sz w:val="20"/>
                <w:szCs w:val="20"/>
              </w:rPr>
            </w:pP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84.</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mixtes avec diverses combinaisons cultures-élevage</w:t>
            </w:r>
          </w:p>
        </w:tc>
      </w:tr>
      <w:tr w:rsidR="00440B50">
        <w:tc>
          <w:tcPr>
            <w:tcW w:w="1101"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9.</w:t>
            </w:r>
          </w:p>
        </w:tc>
        <w:tc>
          <w:tcPr>
            <w:tcW w:w="3118"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non cla</w:t>
            </w:r>
            <w:r>
              <w:rPr>
                <w:rFonts w:ascii="Times New Roman" w:hAnsi="Times New Roman"/>
                <w:noProof/>
                <w:sz w:val="20"/>
              </w:rPr>
              <w:t>ssées</w:t>
            </w:r>
          </w:p>
        </w:tc>
        <w:tc>
          <w:tcPr>
            <w:tcW w:w="1276"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90.</w:t>
            </w:r>
          </w:p>
        </w:tc>
        <w:tc>
          <w:tcPr>
            <w:tcW w:w="3747" w:type="dxa"/>
          </w:tcPr>
          <w:p w:rsidR="00440B50" w:rsidRDefault="00DC4BD4">
            <w:pPr>
              <w:autoSpaceDE w:val="0"/>
              <w:autoSpaceDN w:val="0"/>
              <w:adjustRightInd w:val="0"/>
              <w:rPr>
                <w:rFonts w:ascii="Times New Roman" w:hAnsi="Times New Roman" w:cs="Times New Roman"/>
                <w:noProof/>
                <w:sz w:val="20"/>
                <w:szCs w:val="20"/>
              </w:rPr>
            </w:pPr>
            <w:r>
              <w:rPr>
                <w:rFonts w:ascii="Times New Roman" w:hAnsi="Times New Roman"/>
                <w:noProof/>
                <w:sz w:val="20"/>
              </w:rPr>
              <w:t>Exploitations non classées</w:t>
            </w:r>
          </w:p>
        </w:tc>
      </w:tr>
    </w:tbl>
    <w:p w:rsidR="00440B50" w:rsidRDefault="00440B50">
      <w:pPr>
        <w:autoSpaceDE w:val="0"/>
        <w:autoSpaceDN w:val="0"/>
        <w:adjustRightInd w:val="0"/>
        <w:spacing w:after="0" w:line="240" w:lineRule="auto"/>
        <w:rPr>
          <w:rFonts w:ascii="Times New Roman" w:hAnsi="Times New Roman" w:cs="Times New Roman"/>
          <w:noProof/>
          <w:sz w:val="20"/>
          <w:szCs w:val="20"/>
        </w:rPr>
      </w:pPr>
    </w:p>
    <w:p w:rsidR="00440B50" w:rsidRDefault="00DC4BD4">
      <w:pPr>
        <w:jc w:val="both"/>
        <w:rPr>
          <w:rFonts w:ascii="Times New Roman" w:hAnsi="Times New Roman"/>
          <w:noProof/>
          <w:sz w:val="24"/>
          <w:szCs w:val="24"/>
        </w:rPr>
      </w:pPr>
      <w:r>
        <w:rPr>
          <w:rFonts w:ascii="Times New Roman" w:hAnsi="Times New Roman"/>
          <w:noProof/>
          <w:sz w:val="24"/>
        </w:rPr>
        <w:t>La Commission a adopté le règlement délégué le 1</w:t>
      </w:r>
      <w:r>
        <w:rPr>
          <w:rFonts w:ascii="Times New Roman" w:hAnsi="Times New Roman"/>
          <w:noProof/>
          <w:sz w:val="24"/>
          <w:vertAlign w:val="superscript"/>
        </w:rPr>
        <w:t>er</w:t>
      </w:r>
      <w:r>
        <w:rPr>
          <w:rFonts w:ascii="Times New Roman" w:hAnsi="Times New Roman"/>
          <w:noProof/>
          <w:sz w:val="24"/>
        </w:rPr>
        <w:t xml:space="preserve"> août 2014. Celui-ci est entré en vigueur le septième jour suivant celui de sa publication au </w:t>
      </w:r>
      <w:r>
        <w:rPr>
          <w:rFonts w:ascii="Times New Roman" w:hAnsi="Times New Roman"/>
          <w:i/>
          <w:noProof/>
          <w:sz w:val="24"/>
        </w:rPr>
        <w:t>Journal officiel de l'Union européenne</w:t>
      </w:r>
      <w:r>
        <w:rPr>
          <w:rFonts w:ascii="Times New Roman" w:hAnsi="Times New Roman"/>
          <w:noProof/>
          <w:sz w:val="24"/>
        </w:rPr>
        <w:t xml:space="preserve">, soit le 7 novembre 2014. Il </w:t>
      </w:r>
      <w:r>
        <w:rPr>
          <w:rFonts w:ascii="Times New Roman" w:hAnsi="Times New Roman"/>
          <w:noProof/>
          <w:sz w:val="24"/>
        </w:rPr>
        <w:t>s’applique depuis l'exercice comptable 2015 pour le réseau d'information comptable agricole.</w:t>
      </w:r>
    </w:p>
    <w:p w:rsidR="00440B50" w:rsidRDefault="00440B50">
      <w:pPr>
        <w:jc w:val="both"/>
        <w:rPr>
          <w:rFonts w:ascii="Times New Roman" w:hAnsi="Times New Roman"/>
          <w:noProof/>
          <w:sz w:val="24"/>
          <w:szCs w:val="24"/>
        </w:rPr>
      </w:pPr>
    </w:p>
    <w:p w:rsidR="00440B50" w:rsidRDefault="00DC4BD4">
      <w:pPr>
        <w:jc w:val="both"/>
        <w:rPr>
          <w:rFonts w:ascii="Times New Roman" w:hAnsi="Times New Roman"/>
          <w:noProof/>
          <w:sz w:val="24"/>
          <w:szCs w:val="24"/>
        </w:rPr>
      </w:pPr>
      <w:r>
        <w:rPr>
          <w:rFonts w:ascii="Times New Roman" w:hAnsi="Times New Roman"/>
          <w:b/>
          <w:noProof/>
          <w:sz w:val="24"/>
        </w:rPr>
        <w:t>3.e.</w:t>
      </w:r>
      <w:r>
        <w:rPr>
          <w:noProof/>
        </w:rPr>
        <w:tab/>
      </w:r>
      <w:r>
        <w:rPr>
          <w:rFonts w:ascii="Times New Roman" w:hAnsi="Times New Roman"/>
          <w:b/>
          <w:noProof/>
          <w:sz w:val="24"/>
        </w:rPr>
        <w:t xml:space="preserve">Délégation de pouvoirs au titre de l’article 8 du règlement (CE) n° 1217/2009 en ce qui concerne la détermination des principaux groupes de données </w:t>
      </w:r>
      <w:r>
        <w:rPr>
          <w:rFonts w:ascii="Times New Roman" w:hAnsi="Times New Roman"/>
          <w:b/>
          <w:noProof/>
          <w:sz w:val="24"/>
        </w:rPr>
        <w:t>comptables devant être recueillies et les règles générales concernant la collecte des données comptables.</w:t>
      </w:r>
    </w:p>
    <w:p w:rsidR="00440B50" w:rsidRDefault="00DC4BD4">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color w:val="000000"/>
          <w:sz w:val="24"/>
        </w:rPr>
        <w:t>Les données déclarées dans les fiches d'exploitation devraient permettre d'obtenir un aperçu des exploitations comptables en ce qui concerne les facte</w:t>
      </w:r>
      <w:r>
        <w:rPr>
          <w:rFonts w:ascii="Times New Roman" w:hAnsi="Times New Roman"/>
          <w:noProof/>
          <w:color w:val="000000"/>
          <w:sz w:val="24"/>
        </w:rPr>
        <w:t>urs de production, d'évaluer le niveau des revenus agricoles et de refléter les conditions techniques, économiques et sociales des exploitations concernées. Il convient de déterminer à cet effet les principaux groupes de données comptables à collecter et l</w:t>
      </w:r>
      <w:r>
        <w:rPr>
          <w:rFonts w:ascii="Times New Roman" w:hAnsi="Times New Roman"/>
          <w:noProof/>
          <w:color w:val="000000"/>
          <w:sz w:val="24"/>
        </w:rPr>
        <w:t>es règles générales relatives à la collecte des données.</w:t>
      </w:r>
    </w:p>
    <w:p w:rsidR="00440B50" w:rsidRDefault="00440B50">
      <w:pPr>
        <w:autoSpaceDE w:val="0"/>
        <w:autoSpaceDN w:val="0"/>
        <w:adjustRightInd w:val="0"/>
        <w:spacing w:after="0" w:line="240" w:lineRule="auto"/>
        <w:jc w:val="both"/>
        <w:rPr>
          <w:rFonts w:ascii="Times New Roman" w:hAnsi="Times New Roman" w:cs="Times New Roman"/>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b/>
          <w:bCs/>
          <w:noProof/>
          <w:color w:val="FFFFFF"/>
          <w:sz w:val="24"/>
          <w:szCs w:val="24"/>
        </w:rPr>
      </w:pPr>
      <w:r>
        <w:rPr>
          <w:rFonts w:ascii="Times New Roman" w:hAnsi="Times New Roman"/>
          <w:noProof/>
          <w:sz w:val="24"/>
        </w:rPr>
        <w:t>L’article 8 du règlement (CE) n° 1217/2009 du Conseil confère à la Commission le pouvoir d’adopter des actes délégués en conformité avec l’article 19 </w:t>
      </w:r>
      <w:r>
        <w:rPr>
          <w:rFonts w:ascii="Times New Roman" w:hAnsi="Times New Roman"/>
          <w:i/>
          <w:noProof/>
          <w:sz w:val="24"/>
        </w:rPr>
        <w:t>bis</w:t>
      </w:r>
      <w:r>
        <w:rPr>
          <w:rFonts w:ascii="Times New Roman" w:hAnsi="Times New Roman"/>
          <w:noProof/>
          <w:sz w:val="24"/>
        </w:rPr>
        <w:t xml:space="preserve"> en ce qui concerne la détermination des prin</w:t>
      </w:r>
      <w:r>
        <w:rPr>
          <w:rFonts w:ascii="Times New Roman" w:hAnsi="Times New Roman"/>
          <w:noProof/>
          <w:sz w:val="24"/>
        </w:rPr>
        <w:t>cipaux groupes de données comptables à collecter et les règles générales relatives à la collecte des données.</w:t>
      </w:r>
      <w:r>
        <w:rPr>
          <w:rFonts w:ascii="Times New Roman" w:hAnsi="Times New Roman"/>
          <w:noProof/>
          <w:color w:val="000000"/>
          <w:sz w:val="24"/>
        </w:rPr>
        <w:t xml:space="preserve"> </w:t>
      </w:r>
    </w:p>
    <w:p w:rsidR="00440B50" w:rsidRDefault="00440B50">
      <w:pPr>
        <w:autoSpaceDE w:val="0"/>
        <w:autoSpaceDN w:val="0"/>
        <w:adjustRightInd w:val="0"/>
        <w:spacing w:after="0" w:line="240" w:lineRule="auto"/>
        <w:jc w:val="both"/>
        <w:rPr>
          <w:rFonts w:ascii="Times New Roman" w:hAnsi="Times New Roman" w:cs="Times New Roman"/>
          <w:noProof/>
          <w:color w:val="000000"/>
          <w:sz w:val="24"/>
          <w:szCs w:val="24"/>
        </w:rPr>
      </w:pPr>
    </w:p>
    <w:p w:rsidR="00440B50" w:rsidRDefault="00DC4BD4">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Les données se rapportent à une seule exploitation agricole et à un seul exercice comptable de douze mois consécutifs et concernent exclusivemen</w:t>
      </w:r>
      <w:r>
        <w:rPr>
          <w:rFonts w:ascii="Times New Roman" w:hAnsi="Times New Roman"/>
          <w:noProof/>
          <w:color w:val="000000"/>
          <w:sz w:val="24"/>
        </w:rPr>
        <w:t xml:space="preserve">t cette exploitation agricole. Ces données font référence aux activités agricoles de l’exploitation elle-même et à d’autres activités lucratives directement liées à l’exploitation. </w:t>
      </w:r>
    </w:p>
    <w:p w:rsidR="00440B50" w:rsidRDefault="00440B50">
      <w:pPr>
        <w:autoSpaceDE w:val="0"/>
        <w:autoSpaceDN w:val="0"/>
        <w:adjustRightInd w:val="0"/>
        <w:spacing w:after="0" w:line="240" w:lineRule="auto"/>
        <w:rPr>
          <w:rFonts w:ascii="Times New Roman" w:hAnsi="Times New Roman"/>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La Commission a utilisé ce pouvoir en adoptant le </w:t>
      </w:r>
      <w:r>
        <w:rPr>
          <w:rFonts w:ascii="Times New Roman" w:hAnsi="Times New Roman"/>
          <w:b/>
          <w:noProof/>
          <w:sz w:val="24"/>
        </w:rPr>
        <w:t xml:space="preserve">règlement délégué (UE) </w:t>
      </w:r>
      <w:r>
        <w:rPr>
          <w:rFonts w:ascii="Times New Roman" w:hAnsi="Times New Roman"/>
          <w:b/>
          <w:noProof/>
          <w:sz w:val="24"/>
        </w:rPr>
        <w:t>n° 1198/2014 de la Commission</w:t>
      </w:r>
      <w:r>
        <w:rPr>
          <w:rFonts w:ascii="Times New Roman" w:hAnsi="Times New Roman"/>
          <w:noProof/>
          <w:sz w:val="24"/>
        </w:rPr>
        <w:t xml:space="preserve"> pour indiquer que les orientations technico-économiques générales et principales et la correspondance entre elles figurent à l’annexe I dudit règlement. De plus, en ce qui concerne la fiche d’exploitation, les principaux group</w:t>
      </w:r>
      <w:r>
        <w:rPr>
          <w:rFonts w:ascii="Times New Roman" w:hAnsi="Times New Roman"/>
          <w:noProof/>
          <w:sz w:val="24"/>
        </w:rPr>
        <w:t>es de données comptables à collecter et les règles générales relatives à la collecte des données figurent à l’annexe II du présent règlement.</w:t>
      </w:r>
    </w:p>
    <w:p w:rsidR="00440B50" w:rsidRDefault="00440B50">
      <w:pPr>
        <w:autoSpaceDE w:val="0"/>
        <w:autoSpaceDN w:val="0"/>
        <w:adjustRightInd w:val="0"/>
        <w:spacing w:after="0" w:line="240" w:lineRule="auto"/>
        <w:rPr>
          <w:rFonts w:ascii="Times New Roman" w:hAnsi="Times New Roman"/>
          <w:b/>
          <w:noProof/>
          <w:sz w:val="24"/>
          <w:szCs w:val="24"/>
        </w:rPr>
      </w:pPr>
    </w:p>
    <w:p w:rsidR="00440B50" w:rsidRDefault="00DC4BD4">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noProof/>
          <w:sz w:val="24"/>
        </w:rPr>
        <w:t xml:space="preserve">L’annexe II du </w:t>
      </w:r>
      <w:r>
        <w:rPr>
          <w:rFonts w:ascii="Times New Roman" w:hAnsi="Times New Roman"/>
          <w:b/>
          <w:noProof/>
          <w:sz w:val="24"/>
        </w:rPr>
        <w:t>règlement délégué (UE) n° 1198/2014 de la Commission</w:t>
      </w:r>
      <w:r>
        <w:rPr>
          <w:rFonts w:ascii="Times New Roman" w:hAnsi="Times New Roman"/>
          <w:noProof/>
          <w:sz w:val="24"/>
        </w:rPr>
        <w:t xml:space="preserve"> présente un aperçu des principaux groupes de </w:t>
      </w:r>
      <w:r>
        <w:rPr>
          <w:rFonts w:ascii="Times New Roman" w:hAnsi="Times New Roman"/>
          <w:noProof/>
          <w:sz w:val="24"/>
        </w:rPr>
        <w:t>données comptables à collecter sur les fiches d’exploitation et les règles générales relatives à la collecte des données, comme suit:</w:t>
      </w:r>
    </w:p>
    <w:p w:rsidR="00440B50" w:rsidRDefault="00440B50">
      <w:pPr>
        <w:autoSpaceDE w:val="0"/>
        <w:autoSpaceDN w:val="0"/>
        <w:adjustRightInd w:val="0"/>
        <w:spacing w:after="0" w:line="240" w:lineRule="auto"/>
        <w:rPr>
          <w:rFonts w:ascii="Times New Roman" w:hAnsi="Times New Roman" w:cs="Times New Roman"/>
          <w:bCs/>
          <w:noProof/>
          <w:sz w:val="20"/>
          <w:szCs w:val="20"/>
        </w:rPr>
      </w:pPr>
    </w:p>
    <w:p w:rsidR="00440B50" w:rsidRDefault="00DC4BD4">
      <w:pPr>
        <w:autoSpaceDE w:val="0"/>
        <w:autoSpaceDN w:val="0"/>
        <w:adjustRightInd w:val="0"/>
        <w:spacing w:after="0" w:line="240" w:lineRule="auto"/>
        <w:jc w:val="both"/>
        <w:rPr>
          <w:rFonts w:ascii="Times New Roman" w:hAnsi="Times New Roman" w:cs="Times New Roman"/>
          <w:b/>
          <w:bCs/>
          <w:noProof/>
          <w:sz w:val="20"/>
          <w:szCs w:val="20"/>
        </w:rPr>
      </w:pPr>
      <w:r>
        <w:rPr>
          <w:rFonts w:ascii="Times New Roman" w:hAnsi="Times New Roman"/>
          <w:b/>
          <w:noProof/>
          <w:sz w:val="20"/>
        </w:rPr>
        <w:t>Fiche d'exploitation — principaux groupes de données comptables à collecter</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xml:space="preserve">- Informations générales sur l'exploitation, </w:t>
      </w:r>
      <w:r>
        <w:rPr>
          <w:rFonts w:ascii="Times New Roman" w:hAnsi="Times New Roman"/>
          <w:noProof/>
          <w:sz w:val="20"/>
        </w:rPr>
        <w:t>telles que des données relatives à sa localisation, son statut, son type et sa classification.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Type d'occupation: données synthétiques relatives aux types d'occupation des surfaces agricoles utilisés par l'exploitation.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Main-d'œuvre: données caractéris</w:t>
      </w:r>
      <w:r>
        <w:rPr>
          <w:rFonts w:ascii="Times New Roman" w:hAnsi="Times New Roman"/>
          <w:noProof/>
          <w:sz w:val="20"/>
        </w:rPr>
        <w:t>ant la main-d'œuvre de l'exploitation, telles que le nombre de personnes participant aux travaux de l'exploitation, la durée de travail et le type d'engagement.</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Actif: données décrivant l'actif de l'exploitation, réparti en catégories, utilisé dans son f</w:t>
      </w:r>
      <w:r>
        <w:rPr>
          <w:rFonts w:ascii="Times New Roman" w:hAnsi="Times New Roman"/>
          <w:noProof/>
          <w:sz w:val="20"/>
        </w:rPr>
        <w:t>onctionnement au cours de l'exercice comptable.</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Quotas et autres droits: données relatives aux quotas et autres droits liés au fonctionnement de l'exploitation au cours de l'exercice comptable.</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Dettes: données relatives à l'endettement de l'exploitatio</w:t>
      </w:r>
      <w:r>
        <w:rPr>
          <w:rFonts w:ascii="Times New Roman" w:hAnsi="Times New Roman"/>
          <w:noProof/>
          <w:sz w:val="20"/>
        </w:rPr>
        <w:t>n au cours de l'exercice comptable.</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Taxe sur la valeur ajoutée: données relatives à l'application de la taxe sur la valeur ajoutée (TVA) à l'exploitation.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Données d'entrée: données relatives aux intrants utilisés pour le fonctionnement de l'exploitatio</w:t>
      </w:r>
      <w:r>
        <w:rPr>
          <w:rFonts w:ascii="Times New Roman" w:hAnsi="Times New Roman"/>
          <w:noProof/>
          <w:sz w:val="20"/>
        </w:rPr>
        <w:t>n, telles que les coûts spécifiques et les frais généraux, aux fins de ses productions au cours de l'exercice comptable.</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Cultures: données détaillant la production et l'utilisation des cultures dans l'exploitation.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Production animale: données détaillan</w:t>
      </w:r>
      <w:r>
        <w:rPr>
          <w:rFonts w:ascii="Times New Roman" w:hAnsi="Times New Roman"/>
          <w:noProof/>
          <w:sz w:val="20"/>
        </w:rPr>
        <w:t>t la production et l'utilisation d'animaux dans l'exploitation.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Produits et services animaux: données détaillant la production et l'utilisation de produits et services animaux dans l'exploitation.</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xml:space="preserve">- Autres activités lucratives directement liées à </w:t>
      </w:r>
      <w:r>
        <w:rPr>
          <w:rFonts w:ascii="Times New Roman" w:hAnsi="Times New Roman"/>
          <w:noProof/>
          <w:sz w:val="20"/>
        </w:rPr>
        <w:t>l'exploitation: données relatives à toutes les activités autres que le travail agricole, directement liées à l'exploitation et ayant un impact économique sur l'exploitation, et lorsque soit les ressources (superficie, bâtiments, machines, produits agricole</w:t>
      </w:r>
      <w:r>
        <w:rPr>
          <w:rFonts w:ascii="Times New Roman" w:hAnsi="Times New Roman"/>
          <w:noProof/>
          <w:sz w:val="20"/>
        </w:rPr>
        <w:t>s, etc.) soit les produits de l'exploitation sont utilisés.</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 Subventions: données détaillant les subventions reçues au cours de l'exercice comptable par l'exploitation.</w:t>
      </w:r>
    </w:p>
    <w:p w:rsidR="00440B50" w:rsidRDefault="00440B50">
      <w:pPr>
        <w:autoSpaceDE w:val="0"/>
        <w:autoSpaceDN w:val="0"/>
        <w:adjustRightInd w:val="0"/>
        <w:spacing w:after="0" w:line="240" w:lineRule="auto"/>
        <w:jc w:val="both"/>
        <w:rPr>
          <w:rFonts w:ascii="Times New Roman" w:hAnsi="Times New Roman" w:cs="Times New Roman"/>
          <w:b/>
          <w:bCs/>
          <w:noProof/>
          <w:sz w:val="20"/>
          <w:szCs w:val="20"/>
        </w:rPr>
      </w:pPr>
    </w:p>
    <w:p w:rsidR="00440B50" w:rsidRDefault="00DC4BD4">
      <w:pPr>
        <w:autoSpaceDE w:val="0"/>
        <w:autoSpaceDN w:val="0"/>
        <w:adjustRightInd w:val="0"/>
        <w:spacing w:after="0" w:line="240" w:lineRule="auto"/>
        <w:jc w:val="both"/>
        <w:rPr>
          <w:rFonts w:ascii="Times New Roman" w:hAnsi="Times New Roman" w:cs="Times New Roman"/>
          <w:b/>
          <w:bCs/>
          <w:noProof/>
          <w:sz w:val="20"/>
          <w:szCs w:val="20"/>
        </w:rPr>
      </w:pPr>
      <w:r>
        <w:rPr>
          <w:rFonts w:ascii="Times New Roman" w:hAnsi="Times New Roman"/>
          <w:b/>
          <w:noProof/>
          <w:sz w:val="20"/>
        </w:rPr>
        <w:t>Fiche d'exploitation — règles générales pour la collecte des données</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a) L'exercice co</w:t>
      </w:r>
      <w:r>
        <w:rPr>
          <w:rFonts w:ascii="Times New Roman" w:hAnsi="Times New Roman"/>
          <w:noProof/>
          <w:sz w:val="20"/>
        </w:rPr>
        <w:t>mptable de douze mois consécutifs défini à l'article 8, paragraphe 3, du règlement (CE) n° 1217/2009 prend fin au cours de la période qui va du 31 décembre au 30 juin inclus.</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b) Les données de la fiche d'exploitation proviennent d'une comptabilité qui comp</w:t>
      </w:r>
      <w:r>
        <w:rPr>
          <w:rFonts w:ascii="Times New Roman" w:hAnsi="Times New Roman"/>
          <w:noProof/>
          <w:sz w:val="20"/>
        </w:rPr>
        <w:t>orte des enregistrements systématiques et réguliers au cours de l'exercice comptable.</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c) Les données de la fiche d'exploitation doivent être indiquées en valeurs financières, en euros ou en unités monétaires nationales, en mesures physiques de poids, de vo</w:t>
      </w:r>
      <w:r>
        <w:rPr>
          <w:rFonts w:ascii="Times New Roman" w:hAnsi="Times New Roman"/>
          <w:noProof/>
          <w:sz w:val="20"/>
        </w:rPr>
        <w:t>lume, de surface, de nombres, ainsi que dans d'autres unités ou indications correspondantes.</w:t>
      </w:r>
    </w:p>
    <w:p w:rsidR="00440B50" w:rsidRDefault="00DC4BD4">
      <w:pPr>
        <w:autoSpaceDE w:val="0"/>
        <w:autoSpaceDN w:val="0"/>
        <w:adjustRightInd w:val="0"/>
        <w:spacing w:after="0" w:line="240" w:lineRule="auto"/>
        <w:jc w:val="both"/>
        <w:rPr>
          <w:rFonts w:ascii="Times New Roman" w:hAnsi="Times New Roman" w:cs="Times New Roman"/>
          <w:noProof/>
          <w:sz w:val="20"/>
          <w:szCs w:val="20"/>
        </w:rPr>
      </w:pPr>
      <w:r>
        <w:rPr>
          <w:rFonts w:ascii="Times New Roman" w:hAnsi="Times New Roman"/>
          <w:noProof/>
          <w:sz w:val="20"/>
        </w:rPr>
        <w:t>d) Les données comptables sont exprimées en valeurs monétaires hors TVA.</w:t>
      </w:r>
    </w:p>
    <w:p w:rsidR="00440B50" w:rsidRDefault="00DC4BD4">
      <w:pPr>
        <w:autoSpaceDE w:val="0"/>
        <w:autoSpaceDN w:val="0"/>
        <w:adjustRightInd w:val="0"/>
        <w:spacing w:after="0" w:line="240" w:lineRule="auto"/>
        <w:jc w:val="both"/>
        <w:rPr>
          <w:rFonts w:ascii="Times New Roman" w:hAnsi="Times New Roman" w:cs="Times New Roman"/>
          <w:bCs/>
          <w:noProof/>
          <w:sz w:val="20"/>
          <w:szCs w:val="20"/>
        </w:rPr>
      </w:pPr>
      <w:r>
        <w:rPr>
          <w:rFonts w:ascii="Times New Roman" w:hAnsi="Times New Roman"/>
          <w:noProof/>
          <w:sz w:val="20"/>
        </w:rPr>
        <w:t>e) Les données comptables en valeurs monétaires sont exprimées hors primes et subventions,</w:t>
      </w:r>
      <w:r>
        <w:rPr>
          <w:rFonts w:ascii="Times New Roman" w:hAnsi="Times New Roman"/>
          <w:noProof/>
          <w:sz w:val="20"/>
        </w:rPr>
        <w:t xml:space="preserve"> lesquelles sont enregistrées séparément. Par primes et subventions, on entend toute aide directe accordée sur fonds publics et qui a donné lieu à une recette spécifique.</w:t>
      </w:r>
    </w:p>
    <w:p w:rsidR="00440B50" w:rsidRDefault="00440B50">
      <w:pPr>
        <w:autoSpaceDE w:val="0"/>
        <w:autoSpaceDN w:val="0"/>
        <w:adjustRightInd w:val="0"/>
        <w:spacing w:after="0" w:line="240" w:lineRule="auto"/>
        <w:jc w:val="both"/>
        <w:rPr>
          <w:rFonts w:ascii="Times New Roman" w:hAnsi="Times New Roman" w:cs="Times New Roman"/>
          <w:noProof/>
          <w:sz w:val="20"/>
          <w:szCs w:val="20"/>
        </w:rPr>
      </w:pPr>
    </w:p>
    <w:p w:rsidR="00440B50" w:rsidRDefault="00DC4BD4">
      <w:pPr>
        <w:jc w:val="both"/>
        <w:rPr>
          <w:rFonts w:ascii="Times New Roman" w:hAnsi="Times New Roman"/>
          <w:noProof/>
          <w:sz w:val="24"/>
          <w:szCs w:val="24"/>
        </w:rPr>
      </w:pPr>
      <w:r>
        <w:rPr>
          <w:rFonts w:ascii="Times New Roman" w:hAnsi="Times New Roman"/>
          <w:noProof/>
          <w:sz w:val="24"/>
        </w:rPr>
        <w:t>La Commission a adopté le règlement délégué le 1</w:t>
      </w:r>
      <w:r>
        <w:rPr>
          <w:rFonts w:ascii="Times New Roman" w:hAnsi="Times New Roman"/>
          <w:noProof/>
          <w:sz w:val="24"/>
          <w:vertAlign w:val="superscript"/>
        </w:rPr>
        <w:t>er</w:t>
      </w:r>
      <w:r>
        <w:rPr>
          <w:rFonts w:ascii="Times New Roman" w:hAnsi="Times New Roman"/>
          <w:noProof/>
          <w:sz w:val="24"/>
        </w:rPr>
        <w:t xml:space="preserve"> août 2014 qui est entré en vigueu</w:t>
      </w:r>
      <w:r>
        <w:rPr>
          <w:rFonts w:ascii="Times New Roman" w:hAnsi="Times New Roman"/>
          <w:noProof/>
          <w:sz w:val="24"/>
        </w:rPr>
        <w:t xml:space="preserve">r le septième jour suivant celui de sa publication au </w:t>
      </w:r>
      <w:r>
        <w:rPr>
          <w:rFonts w:ascii="Times New Roman" w:hAnsi="Times New Roman"/>
          <w:i/>
          <w:noProof/>
          <w:sz w:val="24"/>
        </w:rPr>
        <w:t>Journal officiel de l'Union européenne</w:t>
      </w:r>
      <w:r>
        <w:rPr>
          <w:rFonts w:ascii="Times New Roman" w:hAnsi="Times New Roman"/>
          <w:noProof/>
          <w:sz w:val="24"/>
        </w:rPr>
        <w:t>, soit le 7 novembre 2014. Il s’applique depuis l'exercice comptable 2015 pour le réseau d'information comptable agricole.</w:t>
      </w:r>
    </w:p>
    <w:p w:rsidR="00440B50" w:rsidRDefault="00440B50">
      <w:pPr>
        <w:spacing w:before="120" w:after="120" w:line="240" w:lineRule="auto"/>
        <w:jc w:val="both"/>
        <w:rPr>
          <w:rFonts w:ascii="Times New Roman" w:hAnsi="Times New Roman"/>
          <w:noProof/>
          <w:sz w:val="24"/>
          <w:szCs w:val="24"/>
        </w:rPr>
      </w:pPr>
    </w:p>
    <w:p w:rsidR="00440B50" w:rsidRDefault="00DC4BD4">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CONCLUSION</w:t>
      </w:r>
    </w:p>
    <w:p w:rsidR="00440B50" w:rsidRDefault="00DC4BD4">
      <w:pPr>
        <w:spacing w:before="120" w:after="120" w:line="240" w:lineRule="auto"/>
        <w:jc w:val="both"/>
        <w:rPr>
          <w:rFonts w:ascii="Times New Roman" w:hAnsi="Times New Roman"/>
          <w:noProof/>
          <w:sz w:val="24"/>
          <w:szCs w:val="24"/>
        </w:rPr>
      </w:pPr>
      <w:r>
        <w:rPr>
          <w:rFonts w:ascii="Times New Roman" w:hAnsi="Times New Roman"/>
          <w:noProof/>
          <w:sz w:val="24"/>
        </w:rPr>
        <w:t xml:space="preserve">La Commission a </w:t>
      </w:r>
      <w:r>
        <w:rPr>
          <w:rFonts w:ascii="Times New Roman" w:hAnsi="Times New Roman"/>
          <w:noProof/>
          <w:sz w:val="24"/>
        </w:rPr>
        <w:t>correctement exercé ses pouvoirs délégués et invite le Parlement européen et le Conseil à prendre acte du présent rapport.</w:t>
      </w:r>
    </w:p>
    <w:p w:rsidR="00440B50" w:rsidRDefault="00440B50">
      <w:pPr>
        <w:spacing w:line="240" w:lineRule="auto"/>
        <w:jc w:val="center"/>
        <w:rPr>
          <w:rFonts w:ascii="Times New Roman" w:hAnsi="Times New Roman"/>
          <w:b/>
          <w:noProof/>
          <w:sz w:val="24"/>
          <w:szCs w:val="24"/>
        </w:rPr>
      </w:pPr>
    </w:p>
    <w:sectPr w:rsidR="00440B5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50" w:rsidRDefault="00DC4BD4">
      <w:pPr>
        <w:spacing w:after="0" w:line="240" w:lineRule="auto"/>
      </w:pPr>
      <w:r>
        <w:separator/>
      </w:r>
    </w:p>
  </w:endnote>
  <w:endnote w:type="continuationSeparator" w:id="0">
    <w:p w:rsidR="00440B50" w:rsidRDefault="00DC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DC4BD4">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DC4BD4">
    <w:pPr>
      <w:pStyle w:val="Footer"/>
      <w:jc w:val="center"/>
    </w:pPr>
    <w:r>
      <w:fldChar w:fldCharType="begin"/>
    </w:r>
    <w:r>
      <w:instrText xml:space="preserve"> PAGE   \* MERGEFORMAT </w:instrText>
    </w:r>
    <w:r>
      <w:fldChar w:fldCharType="separate"/>
    </w:r>
    <w:r>
      <w:rPr>
        <w:noProof/>
      </w:rPr>
      <w:t>5</w:t>
    </w:r>
    <w:r>
      <w:rPr>
        <w:noProof/>
      </w:rPr>
      <w:fldChar w:fldCharType="end"/>
    </w:r>
  </w:p>
  <w:p w:rsidR="00440B50" w:rsidRDefault="00440B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50" w:rsidRDefault="00DC4BD4">
      <w:pPr>
        <w:spacing w:after="0" w:line="240" w:lineRule="auto"/>
      </w:pPr>
      <w:r>
        <w:separator/>
      </w:r>
    </w:p>
  </w:footnote>
  <w:footnote w:type="continuationSeparator" w:id="0">
    <w:p w:rsidR="00440B50" w:rsidRDefault="00DC4BD4">
      <w:pPr>
        <w:spacing w:after="0" w:line="240" w:lineRule="auto"/>
      </w:pPr>
      <w:r>
        <w:continuationSeparator/>
      </w:r>
    </w:p>
  </w:footnote>
  <w:footnote w:id="1">
    <w:p w:rsidR="00440B50" w:rsidRDefault="00DC4BD4">
      <w:pPr>
        <w:pStyle w:val="Defaul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RÈGLEMENT (CE) n° 1217/2009 DU CONSEIL du 30 novembre 2009 portant création d’un réseau d’information comptable agricole sur les revenus et l’économie des exploitations agricoles dans la Communauté européenne (JO L 328 du 15.12.2009, p. 27).</w:t>
      </w:r>
    </w:p>
  </w:footnote>
  <w:footnote w:id="2">
    <w:p w:rsidR="00440B50" w:rsidRDefault="00DC4BD4">
      <w:pPr>
        <w:pStyle w:val="FootnoteText"/>
        <w:spacing w:after="0"/>
        <w:jc w:val="both"/>
      </w:pPr>
      <w:r>
        <w:rPr>
          <w:rStyle w:val="FootnoteReference"/>
          <w:rFonts w:ascii="Times New Roman" w:hAnsi="Times New Roman"/>
          <w:sz w:val="16"/>
        </w:rPr>
        <w:footnoteRef/>
      </w:r>
      <w:r>
        <w:rPr>
          <w:rFonts w:ascii="Times New Roman" w:hAnsi="Times New Roman"/>
          <w:sz w:val="16"/>
        </w:rPr>
        <w:t xml:space="preserve"> RÈGLEMENT D</w:t>
      </w:r>
      <w:r>
        <w:rPr>
          <w:rFonts w:ascii="Times New Roman" w:hAnsi="Times New Roman"/>
          <w:sz w:val="16"/>
        </w:rPr>
        <w:t>ÉLÉGUÉ (UE) n° 1198/2014 DE LA COMMISSION du 1</w:t>
      </w:r>
      <w:r>
        <w:rPr>
          <w:rFonts w:ascii="Times New Roman" w:hAnsi="Times New Roman"/>
          <w:sz w:val="16"/>
          <w:vertAlign w:val="superscript"/>
        </w:rPr>
        <w:t>er</w:t>
      </w:r>
      <w:r>
        <w:rPr>
          <w:rFonts w:ascii="Times New Roman" w:hAnsi="Times New Roman"/>
          <w:sz w:val="16"/>
        </w:rPr>
        <w:t xml:space="preserve"> août 2014 complétant le règlement (CE) n° 1217/2009 du Conseil portant création d'un réseau d'information comptable agricole sur les revenus et l'économie des exploitations agricoles dans l'Union européenne </w:t>
      </w:r>
      <w:r>
        <w:rPr>
          <w:rFonts w:ascii="Times New Roman" w:hAnsi="Times New Roman"/>
          <w:sz w:val="16"/>
        </w:rPr>
        <w:t>(JO L 321 du 7.11.2014, p. 2).</w:t>
      </w:r>
    </w:p>
  </w:footnote>
  <w:footnote w:id="3">
    <w:p w:rsidR="00440B50" w:rsidRDefault="00DC4BD4">
      <w:pPr>
        <w:pStyle w:val="FootnoteText"/>
        <w:spacing w:after="0"/>
      </w:pPr>
      <w:r>
        <w:rPr>
          <w:rStyle w:val="FootnoteReference"/>
          <w:rFonts w:ascii="Times New Roman" w:hAnsi="Times New Roman"/>
          <w:sz w:val="16"/>
        </w:rPr>
        <w:footnoteRef/>
      </w:r>
      <w:r>
        <w:rPr>
          <w:rFonts w:ascii="Times New Roman" w:hAnsi="Times New Roman"/>
          <w:sz w:val="16"/>
        </w:rPr>
        <w:t xml:space="preserve"> RÈGLEMENT DÉLÉGUÉ (UE) 2017/2278 DE LA COMMISSION du 4 septembre 2017 modifiant l’annexe I du règlement (CE) n° 1217/2009 du Conseil portant création d'un réseau d'information comptable agricole sur les revenus et l'économi</w:t>
      </w:r>
      <w:r>
        <w:rPr>
          <w:rFonts w:ascii="Times New Roman" w:hAnsi="Times New Roman"/>
          <w:sz w:val="16"/>
        </w:rPr>
        <w:t>e des exploitations agricoles dans l'Union européenne (JO L 328 du 12.12.2017, p. 1).</w:t>
      </w:r>
    </w:p>
  </w:footnote>
  <w:footnote w:id="4">
    <w:p w:rsidR="00440B50" w:rsidRDefault="00DC4BD4">
      <w:pPr>
        <w:pStyle w:val="FootnoteText"/>
        <w:rPr>
          <w:lang w:val="fr-BE"/>
        </w:rPr>
      </w:pPr>
      <w:r>
        <w:rPr>
          <w:rStyle w:val="FootnoteReference"/>
          <w:rFonts w:ascii="Times New Roman" w:hAnsi="Times New Roman"/>
          <w:sz w:val="16"/>
        </w:rPr>
        <w:footnoteRef/>
      </w:r>
      <w:r>
        <w:t xml:space="preserve"> </w:t>
      </w:r>
      <w:r>
        <w:rPr>
          <w:rFonts w:ascii="Times New Roman" w:hAnsi="Times New Roman"/>
          <w:sz w:val="16"/>
        </w:rPr>
        <w:t>Voir la note de bas de page n° 3.</w:t>
      </w:r>
    </w:p>
  </w:footnote>
  <w:footnote w:id="5">
    <w:p w:rsidR="00440B50" w:rsidRDefault="00DC4BD4">
      <w:pPr>
        <w:autoSpaceDE w:val="0"/>
        <w:autoSpaceDN w:val="0"/>
        <w:adjustRightInd w:val="0"/>
        <w:spacing w:after="0" w:line="240" w:lineRule="auto"/>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Voir la note de bas de page n°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50" w:rsidRDefault="00440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CBC11EC-8086-4F91-BF70-38C24FA56010"/>
    <w:docVar w:name="LW_COVERPAGE_TYPE" w:val="1"/>
    <w:docVar w:name="LW_CROSSREFERENCE" w:val="&lt;UNUSED&gt;"/>
    <w:docVar w:name="LW_DocType" w:val="NORMAL"/>
    <w:docVar w:name="LW_EMISSION" w:val="7.2.2018"/>
    <w:docVar w:name="LW_EMISSION_ISODATE" w:val="2018-02-07"/>
    <w:docVar w:name="LW_EMISSION_LOCATION" w:val="BRX"/>
    <w:docVar w:name="LW_EMISSION_PREFIX" w:val="Bruxelles, le "/>
    <w:docVar w:name="LW_EMISSION_SUFFIX" w:val="&lt;EMPTY&gt;"/>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ur l'exercice du pouvoir d'adopter des actes délégués conféré à la Commission en vertu du règlement (CE) n° 1217/2009 du Conseil portant création d'un réseau d'information comptable agricole sur les revenus et l'économie des exploitations agricoles dans l'Union européenne "/>
    <w:docVar w:name="LW_TYPE.DOC.CP" w:val="RAPPORT DE LA COMMISSION AU PARLEMENT EUROPÉEN ET AU CONSEIL"/>
  </w:docVars>
  <w:rsids>
    <w:rsidRoot w:val="00440B50"/>
    <w:rsid w:val="00440B50"/>
    <w:rsid w:val="00DC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semiHidden/>
    <w:rPr>
      <w:shd w:val="clear" w:color="auto" w:fill="auto"/>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semiHidden/>
    <w:rPr>
      <w:shd w:val="clear" w:color="auto" w:fill="auto"/>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0E86-8A9E-434F-BB0D-4AD91E89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3137</Words>
  <Characters>17478</Characters>
  <Application>Microsoft Office Word</Application>
  <DocSecurity>0</DocSecurity>
  <Lines>356</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23</cp:revision>
  <cp:lastPrinted>2018-01-31T13:39:00Z</cp:lastPrinted>
  <dcterms:created xsi:type="dcterms:W3CDTF">2017-12-18T08:53:00Z</dcterms:created>
  <dcterms:modified xsi:type="dcterms:W3CDTF">2018-01-31T13:39:00Z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