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088F14-5E97-4BD3-B714-CE8964C39539" style="width:450.75pt;height:57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5000" w:type="pct"/>
        <w:tblLook w:val="01E0" w:firstRow="1" w:lastRow="1" w:firstColumn="1" w:lastColumn="1" w:noHBand="0" w:noVBand="0"/>
      </w:tblPr>
      <w:tblGrid>
        <w:gridCol w:w="9288"/>
      </w:tblGrid>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предложението за Регламент за създаване на оперативна съвместимост между информационните системи на ЕС в областта на сигурността, границите и управлението на миграцията.</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5000" w:type="pct"/>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c>
          <w:tcPr>
            <w:tcW w:w="5000" w:type="pct"/>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Липсата на оперативна съвместимост между информационните системи на ЕС възпрепятства работата на оправомощените потребители (граничните, правоприлагащите и имиграционните  служители, служителите, обработващи визи, и съдебните органи). Фрагментираната архитектура за управление на данните в областта на сигурността, границите и управлението на миграцията, при която информацията се съхранява отделно в несвързани системи, може да доведе и до появата на т.нар. „слепи зони“, което има отражение върху вътрешната сигурност на ЕС.</w:t>
            </w:r>
            <w:r>
              <w:rPr>
                <w:noProof/>
              </w:rPr>
              <w:t xml:space="preserve"> </w:t>
            </w:r>
            <w:r>
              <w:rPr>
                <w:rFonts w:ascii="Arial" w:hAnsi="Arial"/>
                <w:noProof/>
                <w:sz w:val="20"/>
              </w:rPr>
              <w:t>Контролът на лицата на външните граници не е достатъчно ефективен, за да позволи ефективно управление на миграцията и да допринася за вътрешната сигурност. Доказателства за това са фактът, че продължават случаите на незаконно влизане в ЕС, и променящата се заплаха за вътрешната сигурност, за която свидетелстват редица терористични нападения.</w:t>
            </w:r>
          </w:p>
          <w:p>
            <w:pPr>
              <w:jc w:val="both"/>
              <w:rPr>
                <w:rFonts w:ascii="Arial" w:hAnsi="Arial" w:cs="Arial"/>
                <w:noProof/>
                <w:sz w:val="20"/>
                <w:szCs w:val="20"/>
              </w:rPr>
            </w:pPr>
            <w:r>
              <w:rPr>
                <w:rFonts w:ascii="Arial" w:hAnsi="Arial"/>
                <w:noProof/>
                <w:sz w:val="20"/>
              </w:rPr>
              <w:t>Във връзка с това бяха установени следните специфични проблеми:</w:t>
            </w:r>
          </w:p>
          <w:p>
            <w:pPr>
              <w:pStyle w:val="ListParagraph"/>
              <w:numPr>
                <w:ilvl w:val="0"/>
                <w:numId w:val="6"/>
              </w:numPr>
              <w:jc w:val="both"/>
              <w:rPr>
                <w:rFonts w:ascii="Arial" w:hAnsi="Arial" w:cs="Arial"/>
                <w:noProof/>
                <w:sz w:val="20"/>
                <w:szCs w:val="20"/>
              </w:rPr>
            </w:pPr>
            <w:r>
              <w:rPr>
                <w:rFonts w:ascii="Arial" w:hAnsi="Arial"/>
                <w:noProof/>
                <w:sz w:val="20"/>
              </w:rPr>
              <w:t>липса на бърз, безпрепятствен и систематичен достъп за оправомощените потребители до необходимата информация;</w:t>
            </w:r>
          </w:p>
          <w:p>
            <w:pPr>
              <w:pStyle w:val="ListParagraph"/>
              <w:numPr>
                <w:ilvl w:val="0"/>
                <w:numId w:val="6"/>
              </w:numPr>
              <w:jc w:val="both"/>
              <w:rPr>
                <w:rFonts w:ascii="Arial" w:hAnsi="Arial" w:cs="Arial"/>
                <w:noProof/>
                <w:sz w:val="20"/>
                <w:szCs w:val="20"/>
              </w:rPr>
            </w:pPr>
            <w:r>
              <w:rPr>
                <w:rFonts w:ascii="Arial" w:hAnsi="Arial"/>
                <w:noProof/>
                <w:sz w:val="20"/>
              </w:rPr>
              <w:t>невъзможност за оправомощените потребители да откриват множество самоличности и използване на фалшива самоличност;</w:t>
            </w:r>
          </w:p>
          <w:p>
            <w:pPr>
              <w:pStyle w:val="ListParagraph"/>
              <w:numPr>
                <w:ilvl w:val="0"/>
                <w:numId w:val="6"/>
              </w:numPr>
              <w:jc w:val="both"/>
              <w:rPr>
                <w:rFonts w:ascii="Arial" w:hAnsi="Arial" w:cs="Arial"/>
                <w:noProof/>
                <w:sz w:val="20"/>
                <w:szCs w:val="20"/>
              </w:rPr>
            </w:pPr>
            <w:r>
              <w:rPr>
                <w:rFonts w:ascii="Arial" w:hAnsi="Arial"/>
                <w:noProof/>
                <w:sz w:val="20"/>
              </w:rPr>
              <w:t>ограничен достъп до информационните системи с цел проверка на самоличността на територията на държава членка; и</w:t>
            </w:r>
          </w:p>
          <w:p>
            <w:pPr>
              <w:pStyle w:val="ListParagraph"/>
              <w:numPr>
                <w:ilvl w:val="0"/>
                <w:numId w:val="6"/>
              </w:numPr>
              <w:jc w:val="both"/>
              <w:rPr>
                <w:rFonts w:ascii="Arial" w:hAnsi="Arial" w:cs="Arial"/>
                <w:noProof/>
                <w:sz w:val="20"/>
                <w:szCs w:val="20"/>
              </w:rPr>
            </w:pPr>
            <w:r>
              <w:rPr>
                <w:rFonts w:ascii="Arial" w:hAnsi="Arial"/>
                <w:noProof/>
                <w:sz w:val="20"/>
              </w:rPr>
              <w:t>различни и сложни процедури за достъп на правоприлагащите органи до системите за управление на границите.</w:t>
            </w:r>
          </w:p>
          <w:p>
            <w:pPr>
              <w:jc w:val="both"/>
              <w:rPr>
                <w:rFonts w:ascii="Arial" w:hAnsi="Arial" w:cs="Arial"/>
                <w:noProof/>
                <w:sz w:val="20"/>
                <w:szCs w:val="20"/>
              </w:rPr>
            </w:pPr>
            <w:r>
              <w:rPr>
                <w:rFonts w:ascii="Arial" w:hAnsi="Arial"/>
                <w:noProof/>
                <w:sz w:val="20"/>
              </w:rPr>
              <w:t xml:space="preserve">Бяха анализирани четири фактора, пораждащи проблеми: </w:t>
            </w:r>
          </w:p>
          <w:p>
            <w:pPr>
              <w:pStyle w:val="ListParagraph"/>
              <w:numPr>
                <w:ilvl w:val="0"/>
                <w:numId w:val="6"/>
              </w:numPr>
              <w:jc w:val="both"/>
              <w:rPr>
                <w:rFonts w:ascii="Arial" w:hAnsi="Arial" w:cs="Arial"/>
                <w:noProof/>
                <w:sz w:val="20"/>
                <w:szCs w:val="20"/>
              </w:rPr>
            </w:pPr>
            <w:r>
              <w:rPr>
                <w:rFonts w:ascii="Arial" w:hAnsi="Arial"/>
                <w:noProof/>
                <w:sz w:val="20"/>
              </w:rPr>
              <w:t xml:space="preserve">неподходяща организация на достъпа до информационните системи; </w:t>
            </w:r>
          </w:p>
          <w:p>
            <w:pPr>
              <w:pStyle w:val="ListParagraph"/>
              <w:numPr>
                <w:ilvl w:val="0"/>
                <w:numId w:val="6"/>
              </w:numPr>
              <w:jc w:val="both"/>
              <w:rPr>
                <w:rFonts w:ascii="Arial" w:hAnsi="Arial" w:cs="Arial"/>
                <w:noProof/>
                <w:sz w:val="20"/>
                <w:szCs w:val="20"/>
              </w:rPr>
            </w:pPr>
            <w:r>
              <w:rPr>
                <w:rFonts w:ascii="Arial" w:hAnsi="Arial"/>
                <w:noProof/>
                <w:sz w:val="20"/>
              </w:rPr>
              <w:t>липса на баланс между гаранциите във връзка с достъпа на правоприлагащите органи и оперативните нужди;</w:t>
            </w:r>
          </w:p>
          <w:p>
            <w:pPr>
              <w:pStyle w:val="ListParagraph"/>
              <w:numPr>
                <w:ilvl w:val="0"/>
                <w:numId w:val="6"/>
              </w:numPr>
              <w:jc w:val="both"/>
              <w:rPr>
                <w:rFonts w:ascii="Arial" w:hAnsi="Arial" w:cs="Arial"/>
                <w:noProof/>
                <w:sz w:val="20"/>
                <w:szCs w:val="20"/>
              </w:rPr>
            </w:pPr>
            <w:r>
              <w:rPr>
                <w:rFonts w:ascii="Arial" w:hAnsi="Arial"/>
                <w:noProof/>
                <w:sz w:val="20"/>
              </w:rPr>
              <w:t>ограничително тълкуване на предназначението на системите за управление на границите; и</w:t>
            </w:r>
          </w:p>
          <w:p>
            <w:pPr>
              <w:pStyle w:val="ListParagraph"/>
              <w:numPr>
                <w:ilvl w:val="0"/>
                <w:numId w:val="7"/>
              </w:numPr>
              <w:jc w:val="both"/>
              <w:rPr>
                <w:rFonts w:ascii="Arial" w:hAnsi="Arial"/>
                <w:noProof/>
                <w:sz w:val="20"/>
              </w:rPr>
            </w:pPr>
            <w:r>
              <w:rPr>
                <w:rFonts w:ascii="Arial" w:hAnsi="Arial"/>
                <w:noProof/>
                <w:sz w:val="20"/>
              </w:rPr>
              <w:t>многократно и отделно съхраняване на лични данни в различни системи.</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tc>
          <w:tcPr>
            <w:tcW w:w="5000" w:type="pct"/>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Две общи цели:</w:t>
            </w:r>
          </w:p>
          <w:p>
            <w:pPr>
              <w:pStyle w:val="ListParagraph"/>
              <w:numPr>
                <w:ilvl w:val="0"/>
                <w:numId w:val="2"/>
              </w:numPr>
              <w:jc w:val="both"/>
              <w:rPr>
                <w:rFonts w:ascii="Arial" w:hAnsi="Arial" w:cs="Arial"/>
                <w:noProof/>
                <w:sz w:val="20"/>
                <w:szCs w:val="20"/>
              </w:rPr>
            </w:pPr>
            <w:r>
              <w:rPr>
                <w:rFonts w:ascii="Arial" w:hAnsi="Arial"/>
                <w:noProof/>
                <w:sz w:val="20"/>
              </w:rPr>
              <w:t>да се подобри управлението на външните граници на Шенгенското пространство въз основа на Европейската програма за миграцията и последващите съобщения, включително Съобщението относно запазването и укрепването на Шенгенското пространство;</w:t>
            </w:r>
          </w:p>
          <w:p>
            <w:pPr>
              <w:pStyle w:val="ListParagraph"/>
              <w:numPr>
                <w:ilvl w:val="0"/>
                <w:numId w:val="2"/>
              </w:numPr>
              <w:jc w:val="both"/>
              <w:rPr>
                <w:rFonts w:ascii="Arial" w:hAnsi="Arial" w:cs="Arial"/>
                <w:noProof/>
                <w:sz w:val="20"/>
                <w:szCs w:val="20"/>
              </w:rPr>
            </w:pPr>
            <w:r>
              <w:rPr>
                <w:rFonts w:ascii="Arial" w:hAnsi="Arial"/>
                <w:noProof/>
                <w:sz w:val="20"/>
              </w:rPr>
              <w:t>да се допринесе за вътрешната сигурност на Европейския съюз въз основа на Европейската програма за миграцията и работата на Комисията за създаването на ефективен и истински Съюз на сигурност.</w:t>
            </w:r>
          </w:p>
          <w:p>
            <w:pPr>
              <w:jc w:val="both"/>
              <w:rPr>
                <w:rFonts w:ascii="Arial" w:hAnsi="Arial" w:cs="Arial"/>
                <w:noProof/>
                <w:sz w:val="20"/>
                <w:szCs w:val="20"/>
              </w:rPr>
            </w:pPr>
            <w:r>
              <w:rPr>
                <w:rFonts w:ascii="Arial" w:hAnsi="Arial"/>
                <w:noProof/>
                <w:sz w:val="20"/>
              </w:rPr>
              <w:t>Четири специфични цели:</w:t>
            </w:r>
          </w:p>
          <w:p>
            <w:pPr>
              <w:pStyle w:val="ListParagraph"/>
              <w:numPr>
                <w:ilvl w:val="0"/>
                <w:numId w:val="3"/>
              </w:numPr>
              <w:jc w:val="both"/>
              <w:rPr>
                <w:rFonts w:ascii="Arial" w:hAnsi="Arial" w:cs="Arial"/>
                <w:noProof/>
                <w:sz w:val="20"/>
                <w:szCs w:val="20"/>
              </w:rPr>
            </w:pPr>
            <w:r>
              <w:rPr>
                <w:rFonts w:ascii="Arial" w:hAnsi="Arial"/>
                <w:noProof/>
                <w:sz w:val="20"/>
              </w:rPr>
              <w:t>да се гарантира, че крайните потребители, по-специално граничните, правоприлагащите и имиграционните служители и съдебните органи, разполагат с бърз, безпрепятствен, систематичен и контролиран достъп до информацията, от която имат нужда, за да изпълняват своите задачи, при съблюдаване на действащите права за достъп, заложени в съответните правни инструменти на ЕС;</w:t>
            </w:r>
          </w:p>
          <w:p>
            <w:pPr>
              <w:pStyle w:val="ListParagraph"/>
              <w:numPr>
                <w:ilvl w:val="0"/>
                <w:numId w:val="3"/>
              </w:numPr>
              <w:jc w:val="both"/>
              <w:rPr>
                <w:rFonts w:ascii="Arial" w:hAnsi="Arial" w:cs="Arial"/>
                <w:noProof/>
                <w:sz w:val="20"/>
                <w:szCs w:val="20"/>
              </w:rPr>
            </w:pPr>
            <w:r>
              <w:rPr>
                <w:rFonts w:ascii="Arial" w:hAnsi="Arial"/>
                <w:noProof/>
                <w:sz w:val="20"/>
              </w:rPr>
              <w:t>да се осигури решение за откриването на множество самоличности, свързани с едни и същи биометрични данни, с двойната цел да се улеснят проверките за установяване на самоличността на добросъвестни лица и да се води борба с използването на фалшива самоличност;</w:t>
            </w:r>
          </w:p>
          <w:p>
            <w:pPr>
              <w:pStyle w:val="ListParagraph"/>
              <w:numPr>
                <w:ilvl w:val="0"/>
                <w:numId w:val="3"/>
              </w:numPr>
              <w:jc w:val="both"/>
              <w:rPr>
                <w:rFonts w:ascii="Arial" w:hAnsi="Arial" w:cs="Arial"/>
                <w:noProof/>
                <w:spacing w:val="-6"/>
                <w:sz w:val="20"/>
                <w:szCs w:val="20"/>
              </w:rPr>
            </w:pPr>
            <w:r>
              <w:rPr>
                <w:rFonts w:ascii="Arial" w:hAnsi="Arial"/>
                <w:noProof/>
                <w:spacing w:val="-6"/>
                <w:sz w:val="20"/>
              </w:rPr>
              <w:t>да се улесни извършването от оправомощените служители на проверки за установяване на самоличността на граждани на трети държави на територията на държава членка;</w:t>
            </w:r>
          </w:p>
          <w:p>
            <w:pPr>
              <w:pStyle w:val="ListParagraph"/>
              <w:numPr>
                <w:ilvl w:val="0"/>
                <w:numId w:val="3"/>
              </w:numPr>
              <w:jc w:val="both"/>
              <w:rPr>
                <w:rFonts w:ascii="Arial" w:hAnsi="Arial" w:cs="Arial"/>
                <w:noProof/>
                <w:sz w:val="20"/>
                <w:szCs w:val="20"/>
              </w:rPr>
            </w:pPr>
            <w:r>
              <w:rPr>
                <w:rFonts w:ascii="Arial" w:hAnsi="Arial"/>
                <w:noProof/>
                <w:sz w:val="20"/>
              </w:rPr>
              <w:t>да се улесни и да се рационализира достъпът на правоприлагащите органи до информационните системи извън областта на правоприлагането на равнище ЕС, когато това е необходимо за предотвратяването, разследването, разкриването или съдебното преследване на тежки престъпления и тероризъм.</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На равнище ЕС са въведени или са в процес на въвеждане ключови общи бази данни, управлявани от Европейската агенция за оперативното управление на широкомащабни информационни системи  в пространството на свобода, сигурност и правосъдие (eu-LISA). Поради мащаба, въздействието и последиците от предвидените действия основните цели на повишената оперативна съвместимост могат да бъдат постигнати ефективно и систематично единствено на равнище ЕС.</w:t>
            </w:r>
            <w:r>
              <w:rPr>
                <w:noProof/>
              </w:rPr>
              <w:t xml:space="preserve"> </w:t>
            </w:r>
            <w:r>
              <w:rPr>
                <w:rFonts w:ascii="Arial" w:hAnsi="Arial"/>
                <w:noProof/>
                <w:sz w:val="20"/>
              </w:rPr>
              <w:t>Специално проучване на Евробарометър сочи за широка обществена подкрепа за предложената стратегия да се обменя информация на равнище на ЕС в борбата с престъпността и тероризма.</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r>
              <w:rPr>
                <w:rFonts w:ascii="Tahoma" w:hAnsi="Tahoma"/>
                <w:noProof/>
                <w:sz w:val="20"/>
                <w:u w:val="single"/>
              </w:rPr>
              <w:t>Максимум 14 реда</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Бяха разгледани различни варианти в пряк отговор на призивите, отправени от Съвета и Европейския парламент, да се преодолеят структурните недостатъци, свързани със съществуващите информационни системи, и да се подобри обменът на информация. За ефективното подобряване на оперативната съвместимост на съществуващите и бъдещите системи е необходимо законодателство. Отправна точка за оценка на вариантите беше базовият сценарий (вариант 1) на вече съществуващите системи (ШИС, Евродак, ВИС) и планираните или предложени системи (СВИ, ETIAS, ECRIS-TCN). В рамките на вариант 2 бяха оценени следните възможни компоненти за оперативна съвместимост, одобрени от Комисията в </w:t>
            </w:r>
            <w:r>
              <w:rPr>
                <w:rFonts w:ascii="Arial" w:hAnsi="Arial"/>
                <w:i/>
                <w:noProof/>
                <w:sz w:val="20"/>
              </w:rPr>
              <w:t>Седмия доклад за напредъка за постигането на ефективен и истински Съюз на сигурност</w:t>
            </w:r>
            <w:r>
              <w:rPr>
                <w:rFonts w:ascii="Arial" w:hAnsi="Arial"/>
                <w:noProof/>
                <w:sz w:val="20"/>
              </w:rPr>
              <w:t>:</w:t>
            </w:r>
          </w:p>
          <w:p>
            <w:pPr>
              <w:pStyle w:val="ListParagraph"/>
              <w:numPr>
                <w:ilvl w:val="0"/>
                <w:numId w:val="5"/>
              </w:numPr>
              <w:jc w:val="both"/>
              <w:rPr>
                <w:rFonts w:ascii="Arial" w:hAnsi="Arial" w:cs="Arial"/>
                <w:noProof/>
                <w:sz w:val="20"/>
                <w:szCs w:val="20"/>
              </w:rPr>
            </w:pPr>
            <w:r>
              <w:rPr>
                <w:rFonts w:ascii="Arial" w:hAnsi="Arial"/>
                <w:noProof/>
                <w:sz w:val="20"/>
              </w:rPr>
              <w:t>Европейски портал за търсене (ЕПТ), който предоставя възможност за едновременно търсене в множество информационни системи чрез използването преди всичко на биографични данни;</w:t>
            </w:r>
          </w:p>
          <w:p>
            <w:pPr>
              <w:pStyle w:val="ListParagraph"/>
              <w:numPr>
                <w:ilvl w:val="0"/>
                <w:numId w:val="5"/>
              </w:numPr>
              <w:jc w:val="both"/>
              <w:rPr>
                <w:rFonts w:ascii="Arial" w:hAnsi="Arial" w:cs="Arial"/>
                <w:noProof/>
                <w:sz w:val="20"/>
                <w:szCs w:val="20"/>
              </w:rPr>
            </w:pPr>
            <w:r>
              <w:rPr>
                <w:rFonts w:ascii="Arial" w:hAnsi="Arial"/>
                <w:noProof/>
                <w:sz w:val="20"/>
              </w:rPr>
              <w:t>Обща услуга за биометрично съпоставяне (обща УБС), която дава възможност за търсене на биометрични данни от няколко централни системи;</w:t>
            </w:r>
          </w:p>
          <w:p>
            <w:pPr>
              <w:pStyle w:val="ListParagraph"/>
              <w:numPr>
                <w:ilvl w:val="0"/>
                <w:numId w:val="5"/>
              </w:numPr>
              <w:jc w:val="both"/>
              <w:rPr>
                <w:rFonts w:ascii="Arial" w:hAnsi="Arial" w:cs="Arial"/>
                <w:noProof/>
                <w:sz w:val="20"/>
                <w:szCs w:val="20"/>
              </w:rPr>
            </w:pPr>
            <w:r>
              <w:rPr>
                <w:rFonts w:ascii="Arial" w:hAnsi="Arial"/>
                <w:noProof/>
                <w:sz w:val="20"/>
              </w:rPr>
              <w:t>Общо хранилище на данни за самоличност (ОХДС), което ще обедини съществуващите биографични данни за самоличност (на граждани на трети държави), които иначе се съхраняват в различни централни системи.</w:t>
            </w:r>
          </w:p>
          <w:p>
            <w:pPr>
              <w:jc w:val="both"/>
              <w:rPr>
                <w:rFonts w:ascii="Arial" w:hAnsi="Arial" w:cs="Arial"/>
                <w:noProof/>
                <w:sz w:val="20"/>
                <w:szCs w:val="20"/>
              </w:rPr>
            </w:pPr>
            <w:r>
              <w:rPr>
                <w:rFonts w:ascii="Arial" w:hAnsi="Arial"/>
                <w:noProof/>
                <w:sz w:val="20"/>
              </w:rPr>
              <w:t>Вариант 3 доразвива вариант 2, като добавя детектор за множество самоличности (ДМС), за да се даде възможност за проверка на множество самоличности, като определя правила относно използването на информационните системи на ЕС за проверки на територията и рационализира достъпа до информационните системи на ЕС за целите на правоприлагането чрез функция, указваща намерено съответствие. Съчетанието на варианти 2 и 3 ще позволи цялостното постигане на всички цели.</w:t>
            </w:r>
          </w:p>
        </w:tc>
      </w:tr>
      <w:tr>
        <w:tc>
          <w:tcPr>
            <w:tcW w:w="5000" w:type="pct"/>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r>
              <w:rPr>
                <w:rFonts w:ascii="Tahoma" w:hAnsi="Tahoma"/>
                <w:noProof/>
                <w:sz w:val="20"/>
              </w:rPr>
              <w:t xml:space="preserve"> </w:t>
            </w:r>
          </w:p>
        </w:tc>
      </w:tr>
      <w:tr>
        <w:tc>
          <w:tcPr>
            <w:tcW w:w="5000" w:type="pct"/>
            <w:shd w:val="clear" w:color="auto" w:fill="auto"/>
          </w:tcPr>
          <w:p>
            <w:pPr>
              <w:jc w:val="both"/>
              <w:rPr>
                <w:rFonts w:ascii="Arial" w:hAnsi="Arial" w:cs="Arial"/>
                <w:noProof/>
                <w:sz w:val="20"/>
                <w:szCs w:val="20"/>
              </w:rPr>
            </w:pPr>
            <w:r>
              <w:rPr>
                <w:rFonts w:ascii="Arial" w:hAnsi="Arial"/>
                <w:noProof/>
                <w:sz w:val="20"/>
              </w:rPr>
              <w:t>Както беше посочено по-горе, както Съветът, така и Европейският парламент изразиха обща подкрепа за мерките за подобряване на оперативната съвместимост и обмена на информация. Получените в рамките на обществена консултация отговори широко подкрепиха принципите в основата на настоящото предложението за оперативна съвместимост. По-голямата част от респондентите бяха съгласни, че в рамките на консултацията са откроени правилните въпроси и че целите на пакета за оперативна съвместимост са подходящи. Независимо от своята подкрепа за инициативата, респондентите последователно подчертаха необходимостта от силни и ясни мерки за защита на данните.</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r>
              <w:rPr>
                <w:rFonts w:ascii="Tahoma" w:hAnsi="Tahoma"/>
                <w:noProof/>
                <w:sz w:val="20"/>
              </w:rPr>
              <w:t xml:space="preserve">                                      </w:t>
            </w:r>
          </w:p>
        </w:tc>
      </w:tr>
      <w:tr>
        <w:tc>
          <w:tcPr>
            <w:tcW w:w="5000" w:type="pct"/>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rPr>
              <w:t>Като цяло оперативната съвместимост е средство за подобряване на сигурността на ЕС, което е от основно значение за развитието на туризма. Основното обществено въздействие на тази мярка ще бъде подобряване на управлението на границите и повишаване на вътрешната сигурност, а оттам и по-голямо спокойствие за гражданите на ЕС.</w:t>
            </w:r>
            <w:r>
              <w:rPr>
                <w:noProof/>
              </w:rPr>
              <w:t xml:space="preserve"> </w:t>
            </w:r>
            <w:r>
              <w:rPr>
                <w:rFonts w:ascii="Arial" w:hAnsi="Arial"/>
                <w:noProof/>
                <w:sz w:val="20"/>
              </w:rPr>
              <w:t>Положителното въздействие за полицейското сътрудничество и правоприлагането ще се изразява в по-последователно управление на самоличността и рационализиран достъп до системите в областта на управлението на границите и имиграцията.</w:t>
            </w:r>
            <w:r>
              <w:rPr>
                <w:noProof/>
              </w:rPr>
              <w:t xml:space="preserve"> </w:t>
            </w:r>
            <w:r>
              <w:rPr>
                <w:rFonts w:ascii="Arial" w:hAnsi="Arial"/>
                <w:noProof/>
                <w:sz w:val="20"/>
              </w:rPr>
              <w:t>Освен това оперативната съвместимост ще доведе до преки икономии на разходи, които се оценяват на 77,5 милиона евро годишно, почти изцяло за администрациите на държавите членки. Тези икономии са главно в резултат на намаляване на периодичните разходи за обучение, както и от икономии във връзка с усилията, които в противен случай са необходими за разрешаване на случаи на множество самоличности и разкриване на използването на фалшива самоличност.</w:t>
            </w:r>
          </w:p>
        </w:tc>
      </w:tr>
      <w:tr>
        <w:tc>
          <w:tcPr>
            <w:tcW w:w="5000" w:type="pct"/>
            <w:tcBorders>
              <w:bottom w:val="single" w:sz="4" w:space="0" w:color="auto"/>
            </w:tcBorders>
            <w:shd w:val="clear" w:color="auto" w:fill="E6E6E6"/>
          </w:tcPr>
          <w:p>
            <w:pPr>
              <w:spacing w:before="60" w:after="60"/>
              <w:jc w:val="both"/>
              <w:rPr>
                <w:rFonts w:ascii="Tahoma" w:hAnsi="Tahoma" w:cs="Tahoma"/>
                <w:noProof/>
                <w:spacing w:val="-2"/>
                <w:sz w:val="20"/>
                <w:szCs w:val="20"/>
              </w:rPr>
            </w:pPr>
            <w:r>
              <w:rPr>
                <w:rFonts w:ascii="Tahoma" w:hAnsi="Tahoma"/>
                <w:b/>
                <w:noProof/>
                <w:spacing w:val="-2"/>
                <w:sz w:val="20"/>
              </w:rPr>
              <w:t>Какви са разходите за предпочитания вариант (ако има такъв, в противен случай — за основните варианти)?</w:t>
            </w:r>
            <w:r>
              <w:rPr>
                <w:rFonts w:ascii="Tahoma" w:hAnsi="Tahoma"/>
                <w:noProof/>
                <w:spacing w:val="-2"/>
                <w:sz w:val="20"/>
              </w:rPr>
              <w:t xml:space="preserve"> </w:t>
            </w:r>
            <w:r>
              <w:rPr>
                <w:rFonts w:ascii="Tahoma" w:hAnsi="Tahoma"/>
                <w:noProof/>
                <w:spacing w:val="-2"/>
                <w:sz w:val="20"/>
                <w:u w:val="single"/>
              </w:rPr>
              <w:t>Максимум 12 реда</w:t>
            </w:r>
            <w:r>
              <w:rPr>
                <w:rFonts w:ascii="Tahoma" w:hAnsi="Tahoma"/>
                <w:noProof/>
                <w:spacing w:val="-2"/>
                <w:sz w:val="20"/>
              </w:rPr>
              <w:t xml:space="preserve">                                      </w:t>
            </w:r>
          </w:p>
        </w:tc>
      </w:tr>
      <w:tr>
        <w:tc>
          <w:tcPr>
            <w:tcW w:w="5000" w:type="pct"/>
            <w:tcBorders>
              <w:bottom w:val="single" w:sz="4" w:space="0" w:color="auto"/>
            </w:tcBorders>
            <w:shd w:val="clear" w:color="auto" w:fill="auto"/>
          </w:tcPr>
          <w:p>
            <w:pPr>
              <w:jc w:val="both"/>
              <w:rPr>
                <w:rFonts w:ascii="Arial" w:hAnsi="Arial" w:cs="Arial"/>
                <w:i/>
                <w:noProof/>
                <w:spacing w:val="-2"/>
                <w:sz w:val="20"/>
                <w:szCs w:val="20"/>
              </w:rPr>
            </w:pPr>
            <w:r>
              <w:rPr>
                <w:rFonts w:ascii="Arial" w:hAnsi="Arial"/>
                <w:noProof/>
                <w:spacing w:val="-2"/>
                <w:sz w:val="20"/>
              </w:rPr>
              <w:t>Непосредственото икономическо въздействие ще бъде ограничено до допълнителното проектиране и експлоатация на новите съоръжения въз основа на съществуващите системи. Разходите ще се поемат от бюджета на ЕС и органите на държавите членки, които използват системите. Еднократните общи разходи се изчисляват на 169,8 милиона евро. Очаква се разходите да се разделят почти поравно между държавите членки (50,3 %) и ЕС на централно равнище (49,7 %). За текущите годишни разходи в размер на 28,5 милиона евро разделението е по-скоро от 60 % за държавите членки.</w:t>
            </w:r>
          </w:p>
        </w:tc>
      </w:tr>
      <w:tr>
        <w:tc>
          <w:tcPr>
            <w:tcW w:w="5000" w:type="pct"/>
            <w:tcBorders>
              <w:bottom w:val="single" w:sz="4" w:space="0" w:color="auto"/>
            </w:tcBorders>
            <w:shd w:val="clear" w:color="auto" w:fill="E6E6E6"/>
          </w:tcPr>
          <w:p>
            <w:pPr>
              <w:spacing w:before="60" w:after="60"/>
              <w:jc w:val="both"/>
              <w:rPr>
                <w:rFonts w:ascii="Tahoma" w:hAnsi="Tahoma" w:cs="Tahoma"/>
                <w:noProof/>
                <w:spacing w:val="-2"/>
                <w:sz w:val="20"/>
                <w:szCs w:val="20"/>
              </w:rPr>
            </w:pPr>
            <w:r>
              <w:rPr>
                <w:rFonts w:ascii="Tahoma" w:hAnsi="Tahoma"/>
                <w:b/>
                <w:noProof/>
                <w:spacing w:val="-2"/>
                <w:sz w:val="20"/>
              </w:rPr>
              <w:t xml:space="preserve">Какви ще са последиците за предприятията, МСП и микропредприятията? </w:t>
            </w:r>
            <w:r>
              <w:rPr>
                <w:rFonts w:ascii="Tahoma" w:hAnsi="Tahoma"/>
                <w:noProof/>
                <w:spacing w:val="-2"/>
                <w:sz w:val="20"/>
                <w:u w:val="single"/>
              </w:rPr>
              <w:t>Максимум 8 реда</w:t>
            </w:r>
          </w:p>
        </w:tc>
      </w:tr>
      <w:tr>
        <w:tc>
          <w:tcPr>
            <w:tcW w:w="5000" w:type="pct"/>
            <w:tcBorders>
              <w:bottom w:val="single" w:sz="4" w:space="0" w:color="auto"/>
            </w:tcBorders>
            <w:shd w:val="clear" w:color="auto" w:fill="auto"/>
          </w:tcPr>
          <w:p>
            <w:pPr>
              <w:jc w:val="both"/>
              <w:rPr>
                <w:rFonts w:ascii="Arial" w:hAnsi="Arial" w:cs="Arial"/>
                <w:i/>
                <w:noProof/>
                <w:spacing w:val="-4"/>
                <w:sz w:val="20"/>
                <w:szCs w:val="20"/>
              </w:rPr>
            </w:pPr>
            <w:r>
              <w:rPr>
                <w:rFonts w:ascii="Arial" w:hAnsi="Arial"/>
                <w:noProof/>
                <w:spacing w:val="-4"/>
                <w:sz w:val="20"/>
              </w:rPr>
              <w:t>Не се очаква предложените мерки да имат пряко въздействие върху малките и средните предприятия. Въздействието по отношение на летищата, морските пристанища и превозвачите ще бъде положително, по-специално поради ускорените гранични контролни проверки.</w:t>
            </w:r>
          </w:p>
        </w:tc>
      </w:tr>
      <w:tr>
        <w:tc>
          <w:tcPr>
            <w:tcW w:w="5000" w:type="pct"/>
            <w:tcBorders>
              <w:bottom w:val="single" w:sz="4" w:space="0" w:color="auto"/>
            </w:tcBorders>
            <w:shd w:val="clear" w:color="auto" w:fill="E6E6E6"/>
          </w:tcPr>
          <w:p>
            <w:pPr>
              <w:spacing w:before="60"/>
              <w:jc w:val="both"/>
              <w:rPr>
                <w:rFonts w:ascii="Tahoma" w:hAnsi="Tahoma" w:cs="Tahoma"/>
                <w:b/>
                <w:i/>
                <w:noProof/>
                <w:spacing w:val="-2"/>
                <w:sz w:val="20"/>
                <w:szCs w:val="20"/>
              </w:rPr>
            </w:pPr>
            <w:r>
              <w:rPr>
                <w:rFonts w:ascii="Tahoma" w:hAnsi="Tahoma"/>
                <w:b/>
                <w:noProof/>
                <w:spacing w:val="-2"/>
                <w:sz w:val="20"/>
              </w:rPr>
              <w:t>Ще има ли значително въздействие върху националните бюджети и администрации?</w:t>
            </w:r>
            <w:r>
              <w:rPr>
                <w:rFonts w:ascii="Tahoma" w:hAnsi="Tahoma"/>
                <w:noProof/>
                <w:spacing w:val="-2"/>
                <w:sz w:val="20"/>
              </w:rPr>
              <w:t xml:space="preserve"> </w:t>
            </w:r>
            <w:r>
              <w:rPr>
                <w:rFonts w:ascii="Tahoma" w:hAnsi="Tahoma"/>
                <w:noProof/>
                <w:spacing w:val="-2"/>
                <w:sz w:val="20"/>
                <w:u w:val="single"/>
              </w:rPr>
              <w:t>Максимум 4 реда</w:t>
            </w:r>
          </w:p>
        </w:tc>
      </w:tr>
      <w:tr>
        <w:tc>
          <w:tcPr>
            <w:tcW w:w="5000" w:type="pct"/>
            <w:shd w:val="clear" w:color="auto" w:fill="auto"/>
          </w:tcPr>
          <w:p>
            <w:pPr>
              <w:jc w:val="both"/>
              <w:rPr>
                <w:rFonts w:ascii="Arial" w:hAnsi="Arial" w:cs="Arial"/>
                <w:noProof/>
                <w:spacing w:val="-2"/>
                <w:sz w:val="20"/>
                <w:szCs w:val="20"/>
              </w:rPr>
            </w:pPr>
            <w:r>
              <w:rPr>
                <w:rFonts w:ascii="Arial" w:hAnsi="Arial"/>
                <w:noProof/>
                <w:spacing w:val="-2"/>
                <w:sz w:val="20"/>
              </w:rPr>
              <w:t xml:space="preserve">Очаква се държавите членки да спестяват годишно около 76 милиона евро от намалени разходи за обучение и ИТ, както и чрез установяването на множество самоличности. Еднократните разходи за въвеждане, поемани от държавите членки, се оценяват на 85,5 милиона евро. </w:t>
            </w:r>
          </w:p>
        </w:tc>
      </w:tr>
      <w:tr>
        <w:tc>
          <w:tcPr>
            <w:tcW w:w="5000" w:type="pct"/>
            <w:tcBorders>
              <w:bottom w:val="single" w:sz="4" w:space="0" w:color="auto"/>
            </w:tcBorders>
            <w:shd w:val="clear" w:color="auto" w:fill="E6E6E6"/>
          </w:tcPr>
          <w:p>
            <w:pPr>
              <w:spacing w:before="60"/>
              <w:jc w:val="both"/>
              <w:rPr>
                <w:rFonts w:ascii="Tahoma" w:hAnsi="Tahoma" w:cs="Tahoma"/>
                <w:noProof/>
                <w:spacing w:val="-2"/>
                <w:sz w:val="20"/>
                <w:szCs w:val="20"/>
              </w:rPr>
            </w:pPr>
            <w:r>
              <w:rPr>
                <w:rFonts w:ascii="Tahoma" w:hAnsi="Tahoma"/>
                <w:b/>
                <w:noProof/>
                <w:spacing w:val="-2"/>
                <w:sz w:val="20"/>
              </w:rPr>
              <w:t>Ще има ли друго значително въздействие?</w:t>
            </w:r>
            <w:r>
              <w:rPr>
                <w:rFonts w:ascii="Tahoma" w:hAnsi="Tahoma"/>
                <w:noProof/>
                <w:spacing w:val="-2"/>
                <w:sz w:val="20"/>
              </w:rPr>
              <w:t xml:space="preserve"> </w:t>
            </w:r>
            <w:r>
              <w:rPr>
                <w:rFonts w:ascii="Tahoma" w:hAnsi="Tahoma"/>
                <w:noProof/>
                <w:spacing w:val="-2"/>
                <w:sz w:val="20"/>
                <w:u w:val="single"/>
              </w:rPr>
              <w:t xml:space="preserve">Максимум 6 реда </w:t>
            </w:r>
          </w:p>
        </w:tc>
      </w:tr>
      <w:tr>
        <w:tc>
          <w:tcPr>
            <w:tcW w:w="5000" w:type="pct"/>
            <w:tcBorders>
              <w:bottom w:val="single" w:sz="4" w:space="0" w:color="auto"/>
            </w:tcBorders>
            <w:shd w:val="clear" w:color="auto" w:fill="auto"/>
          </w:tcPr>
          <w:p>
            <w:pPr>
              <w:jc w:val="both"/>
              <w:rPr>
                <w:rFonts w:ascii="Arial" w:hAnsi="Arial" w:cs="Arial"/>
                <w:noProof/>
                <w:spacing w:val="-2"/>
                <w:sz w:val="20"/>
                <w:szCs w:val="20"/>
              </w:rPr>
            </w:pPr>
            <w:r>
              <w:rPr>
                <w:rFonts w:ascii="Arial" w:hAnsi="Arial"/>
                <w:noProof/>
                <w:spacing w:val="-2"/>
                <w:sz w:val="20"/>
              </w:rPr>
              <w:t>Поради съпровождащото я обработване на лични данни оперативната съвместимост ще окаже въздействие върху правото на защита на личните данни. Оперативната съвместимост ще бъде разработена и прилагана при пълно зачитане на законодателството, като например Общия регламент относно защитата на данните, и на принципите за защита на данните още при проектирането и по подразбиране, и ще бъде придружена от редица гаранции. Мерките са пропорционални и се ограничават до минимума, необходим за постигане на целта.</w:t>
            </w:r>
          </w:p>
        </w:tc>
      </w:tr>
      <w:tr>
        <w:tc>
          <w:tcPr>
            <w:tcW w:w="5000" w:type="pct"/>
            <w:tcBorders>
              <w:bottom w:val="single" w:sz="4" w:space="0" w:color="auto"/>
            </w:tcBorders>
            <w:shd w:val="clear" w:color="auto" w:fill="C0C0C0"/>
          </w:tcPr>
          <w:p>
            <w:pPr>
              <w:spacing w:before="60" w:after="60"/>
              <w:jc w:val="center"/>
              <w:rPr>
                <w:rFonts w:ascii="Tahoma" w:hAnsi="Tahoma" w:cs="Tahoma"/>
                <w:b/>
                <w:noProof/>
                <w:spacing w:val="-2"/>
                <w:sz w:val="22"/>
                <w:szCs w:val="22"/>
              </w:rPr>
            </w:pPr>
            <w:r>
              <w:rPr>
                <w:rFonts w:ascii="Tahoma" w:hAnsi="Tahoma"/>
                <w:b/>
                <w:noProof/>
                <w:spacing w:val="-2"/>
                <w:sz w:val="22"/>
              </w:rPr>
              <w:t>Г. Последващи действия</w:t>
            </w:r>
          </w:p>
        </w:tc>
      </w:tr>
      <w:tr>
        <w:tc>
          <w:tcPr>
            <w:tcW w:w="5000" w:type="pct"/>
            <w:tcBorders>
              <w:bottom w:val="single" w:sz="4" w:space="0" w:color="auto"/>
            </w:tcBorders>
            <w:shd w:val="clear" w:color="auto" w:fill="E6E6E6"/>
          </w:tcPr>
          <w:p>
            <w:pPr>
              <w:spacing w:before="60"/>
              <w:jc w:val="both"/>
              <w:rPr>
                <w:rFonts w:ascii="Tahoma" w:hAnsi="Tahoma" w:cs="Tahoma"/>
                <w:noProof/>
                <w:spacing w:val="-2"/>
                <w:sz w:val="20"/>
                <w:szCs w:val="20"/>
              </w:rPr>
            </w:pPr>
            <w:r>
              <w:rPr>
                <w:rFonts w:ascii="Tahoma" w:hAnsi="Tahoma"/>
                <w:b/>
                <w:noProof/>
                <w:spacing w:val="-2"/>
                <w:sz w:val="20"/>
              </w:rPr>
              <w:t xml:space="preserve">Кога ще се извърши преглед на политиката? </w:t>
            </w:r>
            <w:r>
              <w:rPr>
                <w:rFonts w:ascii="Tahoma" w:hAnsi="Tahoma"/>
                <w:noProof/>
                <w:spacing w:val="-2"/>
                <w:sz w:val="20"/>
                <w:u w:val="single"/>
              </w:rPr>
              <w:t>Максимум 4 реда</w:t>
            </w:r>
            <w:r>
              <w:rPr>
                <w:rFonts w:ascii="Tahoma" w:hAnsi="Tahoma"/>
                <w:noProof/>
                <w:spacing w:val="-2"/>
                <w:sz w:val="20"/>
              </w:rPr>
              <w:t xml:space="preserve"> </w:t>
            </w:r>
          </w:p>
        </w:tc>
      </w:tr>
      <w:tr>
        <w:tc>
          <w:tcPr>
            <w:tcW w:w="5000" w:type="pct"/>
            <w:tcBorders>
              <w:bottom w:val="single" w:sz="4" w:space="0" w:color="auto"/>
            </w:tcBorders>
            <w:shd w:val="clear" w:color="auto" w:fill="auto"/>
          </w:tcPr>
          <w:p>
            <w:pPr>
              <w:jc w:val="both"/>
              <w:rPr>
                <w:rFonts w:ascii="Tahoma" w:hAnsi="Tahoma" w:cs="Tahoma"/>
                <w:noProof/>
                <w:spacing w:val="-2"/>
                <w:sz w:val="20"/>
                <w:szCs w:val="20"/>
              </w:rPr>
            </w:pPr>
            <w:r>
              <w:rPr>
                <w:rFonts w:ascii="Tahoma" w:hAnsi="Tahoma"/>
                <w:noProof/>
                <w:spacing w:val="-2"/>
                <w:sz w:val="20"/>
              </w:rPr>
              <w:t>На всеки четири години eu-LISA ще докладва за техническото функциониране на компонентите за оперативна съвместимост. Една година по-късно Комисията ще изготви цялостна оценка на тяхното въздействие, включително въздействието върху основните права.</w:t>
            </w:r>
          </w:p>
        </w:tc>
      </w:tr>
    </w:tbl>
    <w:p>
      <w:pPr>
        <w:tabs>
          <w:tab w:val="left" w:pos="5380"/>
        </w:tabs>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2" w:right="1417" w:bottom="1134" w:left="1417" w:header="276"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464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C13"/>
    <w:multiLevelType w:val="hybridMultilevel"/>
    <w:tmpl w:val="AF8AAD0A"/>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2F77CB"/>
    <w:multiLevelType w:val="hybridMultilevel"/>
    <w:tmpl w:val="C4405412"/>
    <w:lvl w:ilvl="0" w:tplc="1496FB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4231F4"/>
    <w:multiLevelType w:val="hybridMultilevel"/>
    <w:tmpl w:val="492EEC9A"/>
    <w:lvl w:ilvl="0" w:tplc="1496FB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8A2F75"/>
    <w:multiLevelType w:val="hybridMultilevel"/>
    <w:tmpl w:val="1ADE3E70"/>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361A6B"/>
    <w:multiLevelType w:val="hybridMultilevel"/>
    <w:tmpl w:val="4BC05E4C"/>
    <w:lvl w:ilvl="0" w:tplc="F118CC5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2A07E3"/>
    <w:multiLevelType w:val="hybridMultilevel"/>
    <w:tmpl w:val="51EAF52C"/>
    <w:lvl w:ilvl="0" w:tplc="D4A432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E803A2"/>
    <w:multiLevelType w:val="hybridMultilevel"/>
    <w:tmpl w:val="FECC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6088F14-5E97-4BD3-B714-CE8964C39539"/>
    <w:docVar w:name="LW_COVERPAGE_TYPE" w:val="1"/>
    <w:docVar w:name="LW_CROSSREFERENCE" w:val="{COM(2017) 793 final}_x000b_{SWD(2017) 473 final}"/>
    <w:docVar w:name="LW_DocType" w:val="NORMAL"/>
    <w:docVar w:name="LW_EMISSION" w:val="12.12.2017"/>
    <w:docVar w:name="LW_EMISSION_ISODATE" w:val="2017-12-12"/>
    <w:docVar w:name="LW_EMISSION_LOCATION" w:val="STR"/>
    <w:docVar w:name="LW_EMISSION_PREFIX" w:val="Страсбург,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75?\u1088?\u1072?\u1085?\u1080?\u1094?\u1080? \u1080? \u1074?\u1080?\u1079?\u1080?) \u1080? \u1079?\u1072? \u1080?\u1079?\u1084?\u1077?\u1085?\u1077?\u1085?\u1080?\u1077? \u1085?\u1072? \u1056?\u1077?\u1096?\u1077?\u1085?\u1080?\u1077? 2004/512/E\u1054? \u1085?\u1072? \u1057?\u1098?\u1074?\u1077?\u1090?\u1072?, \u1056?\u1077?\u1075?\u1083?\u1072?\u1084?\u1077?\u1085?\u1090? (E\u1054?) \u8470? 767/2008, \u1056?\u1077?\u1096?\u1077?\u1085?\u1080?\u1077? 2008/633/\u1055?\u1042?\u1056? \u1085?\u1072? \u1057?\u1098?\u1074?\u1077?\u1090?\u1072?, \u1056?\u1077?\u1075?\u1083?\u1072?\u1084?\u1077?\u1085?\u1090? (\u1045?\u1057?) 2016/399 \u1080? \u1056?\u1077?\u1075?\u1083?\u1072?\u1084?\u1077?\u1085?\u1090? (\u1045?\u1057?) 2017/2226_x000b_ _x000b_\u1080? _x000b__x000b_\u1055?\u1056?\u1045?\u1044?\u1051?\u1054?\u1046?\u1045?\u1053?\u1048?\u1045?\u1058?\u1054? \u1047?\u1040? \u1056?\u1045?\u1043?\u1051?\u1040?\u1052?\u1045?\u1053?\u1058? \u1053?\u1040? \u1045?\u1042?\u1056?\u1054?\u1055?\u1045?\u1049?\u1057?\u1050?\u1048?\u1071? \u1055?\u1040?\u1056?\u1051?\u1040?\u1052?\u1045?\u1053?\u1058? \u1048? \u1053?\u1040? \u1057?\u1066?\u1042?\u1045?\u1058?\u1040?_x000b__x000b_\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87?\u1086?\u1083?\u1080?\u1094?\u1077?\u1081?\u1089?\u1082?\u1086? \u1080? \u1089?\u1098?\u1076?\u1077?\u1073?\u1085?\u1086? \u1089?\u1098?\u1090?\u1088?\u1091?\u1076?\u1085?\u1080?\u1095?\u1077?\u1089?\u1090?\u1074?\u1086?, \u1091?\u1073?\u1077?\u1078?\u1080?\u1097?\u1077? \u1080? \u1084?\u1080?\u1075?\u1088?\u1072?\u1094?\u1080?\u1103?) _x000b__x000b_"/>
    <w:docVar w:name="LW_PART_NBR" w:val="1"/>
    <w:docVar w:name="LW_PART_NBR_TOTAL" w:val="1"/>
    <w:docVar w:name="LW_REF.INST.NEW" w:val="SWD"/>
    <w:docVar w:name="LW_REF.INST.NEW_ADOPTED" w:val="final"/>
    <w:docVar w:name="LW_REF.INST.NEW_TEXT" w:val="(2017) 4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u1058?\u1054? \u1047?\u1040?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5333745-8af0-4693-b6c1-0e7a90dada09" xsi:nil="true"/>
    <_Status xmlns="http://schemas.microsoft.com/sharepoint/v3/fields">Not Started</_Status>
    <EC_Collab_Status xmlns="85333745-8af0-4693-b6c1-0e7a90dada09">Not Started</EC_Collab_Status>
    <EC_Collab_DocumentLanguage xmlns="85333745-8af0-4693-b6c1-0e7a90dada09">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EDFD955A4C0A408D9781F5A41162AC" ma:contentTypeVersion="0" ma:contentTypeDescription="Create a new document in this library." ma:contentTypeScope="" ma:versionID="e3ad6eabb6a42df8512ecb42216a689a">
  <xsd:schema xmlns:xsd="http://www.w3.org/2001/XMLSchema" xmlns:xs="http://www.w3.org/2001/XMLSchema" xmlns:p="http://schemas.microsoft.com/office/2006/metadata/properties" xmlns:ns2="http://schemas.microsoft.com/sharepoint/v3/fields" xmlns:ns3="85333745-8af0-4693-b6c1-0e7a90dada09" targetNamespace="http://schemas.microsoft.com/office/2006/metadata/properties" ma:root="true" ma:fieldsID="c377d8e7527417d0ce3a30276afdd820" ns2:_="" ns3:_="">
    <xsd:import namespace="http://schemas.microsoft.com/sharepoint/v3/fields"/>
    <xsd:import namespace="85333745-8af0-4693-b6c1-0e7a90dada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5333745-8af0-4693-b6c1-0e7a90dada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5333745-8af0-4693-b6c1-0e7a90dada09"/>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E804C27B-D2D9-4236-9A65-4A49327DF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5333745-8af0-4693-b6c1-0e7a90da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775D8F59-312D-4136-AABD-4125B91A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1451</Words>
  <Characters>9003</Characters>
  <Application>Microsoft Office Word</Application>
  <DocSecurity>0</DocSecurity>
  <Lines>152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2017-12-08T15:55:00Z</cp:lastPrinted>
  <dcterms:created xsi:type="dcterms:W3CDTF">2017-12-11T13:49:00Z</dcterms:created>
  <dcterms:modified xsi:type="dcterms:W3CDTF">2018-02-16T14:51:00Z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0x010100258AA79CEB83498886A3A0868112325000BDEDFD955A4C0A408D9781F5A41162AC</vt:lpwstr>
  </property>
  <property fmtid="{D5CDD505-2E9C-101B-9397-08002B2CF9AE}" pid="10" name="TemplateUrl">
    <vt:lpwstr/>
  </property>
  <property fmtid="{D5CDD505-2E9C-101B-9397-08002B2CF9AE}" pid="11" name="Level of sensitivity">
    <vt:lpwstr>Standard treatment</vt:lpwstr>
  </property>
</Properties>
</file>