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681027-F758-4200-BB26-D34BA85259FA" style="width:450.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0"/>
        <w:rPr>
          <w:rFonts w:eastAsia="Arial Unicode MS"/>
          <w:noProof/>
        </w:rPr>
      </w:pPr>
      <w:r>
        <w:rPr>
          <w:noProof/>
        </w:rPr>
        <w:t>След предложение на Комисията за инициативата PRIMA по член 185 от ДФЕС</w:t>
      </w:r>
      <w:r>
        <w:rPr>
          <w:rStyle w:val="FootnoteReference"/>
          <w:noProof/>
        </w:rPr>
        <w:footnoteReference w:id="1"/>
      </w:r>
      <w:r>
        <w:rPr>
          <w:noProof/>
        </w:rPr>
        <w:t xml:space="preserve"> бе прието Решение (ЕС) 2017/1324 на Европейския парламент и на Съвета</w:t>
      </w:r>
      <w:r>
        <w:rPr>
          <w:rStyle w:val="FootnoteReference"/>
          <w:noProof/>
        </w:rPr>
        <w:footnoteReference w:id="2"/>
      </w:r>
      <w:r>
        <w:rPr>
          <w:noProof/>
        </w:rPr>
        <w:t xml:space="preserve">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 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Кралство Мароко („Мароко“) изрази желанието си да се присъедини към PRIMA като участваща държава с писмо от 26 септември 2014 г., като пое ангажимент да предостави финансово участие общо в размер на 40 милиона евро за инициативата.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че Мароко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Мароко.</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На 30 май 2017 г. Съветът разреши на Комисията да започне преговори от името на Съюза с Мароко относно международно споразумение между Съюза и Мароко за определяне на реда и условията за участието на Мароко в PRIMA, при условие че бъде прието Решение (ЕС)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22 януари 2018 г., когато главните преговарящи на бъдещите страни по споразумението парафираха текста на проекта на споразумението.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Мароко в PRIMA са тези, определени в Решение (ЕС) 2017/1324,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w:t>
      </w:r>
      <w:r>
        <w:rPr>
          <w:noProof/>
        </w:rPr>
        <w:lastRenderedPageBreak/>
        <w:t>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Bdr>
          <w:top w:val="nil"/>
          <w:left w:val="nil"/>
          <w:bottom w:val="nil"/>
          <w:right w:val="nil"/>
          <w:between w:val="nil"/>
          <w:bar w:val="nil"/>
        </w:pBdr>
        <w:spacing w:before="0" w:after="0"/>
        <w:rPr>
          <w:rFonts w:eastAsia="Arial Unicode MS"/>
          <w:noProof/>
        </w:rPr>
      </w:pPr>
      <w:r>
        <w:rPr>
          <w:rFonts w:eastAsia="Arial Unicode MS"/>
          <w:noProof/>
        </w:rPr>
        <w:t xml:space="preserve">В споразумението се предвижда с подписването то да се прилага временно, за да се даде възможност на мароканските изследователи да се възползват максимално от поканите за участие, публикувани по първия годишен работен план (ГРП) на </w:t>
      </w:r>
      <w:r>
        <w:rPr>
          <w:noProof/>
        </w:rPr>
        <w:t>PRIMA през 2018 г.</w:t>
      </w:r>
      <w:r>
        <w:rPr>
          <w:rStyle w:val="FootnoteReference"/>
          <w:noProof/>
        </w:rPr>
        <w:footnoteReference w:id="3"/>
      </w:r>
      <w:r>
        <w:rPr>
          <w:noProof/>
        </w:rPr>
        <w:t xml:space="preserve"> Още в този ГРП са разгледани подробно условията за допустимост за участие и финансиране на правни субекти, установени в държава, която става участваща държава по време на изпълнението на ГРП, каквато е Мароко. Съгласно член 7, параграф 2 от Решение (ЕС) 2017/1324 допустимостта за участие се определя в момента на изтичане на крайния срок на поканата за участие, което е на 17 април 2018 г., както е посочено в ГРП на PRIMA. Предвид това по време на преговорите Мароко изрази готовността си временно да прилага настоящото споразумение с оглед да се даде възможност на изследователите от Мароко напълно да се възползват от гореупоменатите покани за участие.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4"/>
      </w:r>
      <w:r>
        <w:rPr>
          <w:noProof/>
        </w:rPr>
        <w:t>, достъпността на PRIMA за участие на трети държави като Мароко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стратегически подход“</w:t>
      </w:r>
      <w:r>
        <w:rPr>
          <w:rStyle w:val="FootnoteReference"/>
          <w:noProof/>
        </w:rPr>
        <w:footnoteReference w:id="5"/>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асоцииране между Европейските общности и техните държави членки, от една страна, и Кралство Мароко, от друга страна</w:t>
      </w:r>
      <w:r>
        <w:rPr>
          <w:rStyle w:val="FootnoteReference"/>
          <w:noProof/>
        </w:rPr>
        <w:footnoteReference w:id="6"/>
      </w:r>
      <w:r>
        <w:rPr>
          <w:noProof/>
        </w:rPr>
        <w:t>, в което се предвижда научно, техническо и технологично сътрудничество между Съюза и Мароко, както и със Споразумението за научно и технологично сътрудничество между Европейската общност и Кралство Мароко</w:t>
      </w:r>
      <w:r>
        <w:rPr>
          <w:rStyle w:val="FootnoteReference"/>
          <w:rFonts w:eastAsia="Arial Unicode MS"/>
          <w:bCs/>
          <w:noProof/>
        </w:rPr>
        <w:footnoteReference w:id="7"/>
      </w:r>
      <w:r>
        <w:rPr>
          <w:noProof/>
        </w:rPr>
        <w:t xml:space="preserve">, в което се насърчава сътрудничеството в научните и технологични дейности между страните в области от общ интерес.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Мароко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lastRenderedPageBreak/>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за решение на Съвета се основава на член 186 и член 218, параграф 5 от Договора за функционирането на Европейския съюз.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В законодателната финансова обосновка, представена заедно с настоящото решение, се определя ориентировъчно отражението върху бюджета. </w:t>
      </w:r>
    </w:p>
    <w:p>
      <w:pPr>
        <w:rPr>
          <w:noProof/>
        </w:rPr>
      </w:pPr>
    </w:p>
    <w:p>
      <w:pPr>
        <w:rPr>
          <w:noProof/>
        </w:rPr>
      </w:pPr>
      <w:r>
        <w:rPr>
          <w:noProof/>
        </w:rPr>
        <w:t xml:space="preserve">С оглед на горепосоченото Комисията предлага Съветът: </w:t>
      </w:r>
    </w:p>
    <w:p>
      <w:pPr>
        <w:rPr>
          <w:noProof/>
        </w:rPr>
      </w:pPr>
      <w:r>
        <w:rPr>
          <w:noProof/>
        </w:rPr>
        <w:t>- да вземе решение за подписването и временното прилагане на споразумението от името на Съюза;</w:t>
      </w:r>
    </w:p>
    <w:p>
      <w:pPr>
        <w:rPr>
          <w:noProof/>
        </w:rPr>
      </w:pPr>
      <w:r>
        <w:rPr>
          <w:noProof/>
        </w:rPr>
        <w:t>- да разреши преговарящият по споразумението да подпише от името на Съюза Споразумението за научно и технологично сътрудничество между Европейския съюз и Кралство Мароко, в което се определят редът и условията за участието на Кралство Мароко в Партньорството за научни изследвания и иновации в Средиземноморския регион (PRIMA).</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2018/0034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за временно прилагане на Споразумението за научно и технологично сътрудничество между Европейския съюз и Кралство Мароко, в което се определят редът и условията за участието на Кралство Мароко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186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8"/>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Style w:val="ManualConsidrant"/>
        <w:rPr>
          <w:noProof/>
        </w:rPr>
      </w:pPr>
      <w:r>
        <w:t>(2)</w:t>
      </w:r>
      <w:r>
        <w:tab/>
      </w:r>
      <w:r>
        <w:rPr>
          <w:noProof/>
        </w:rPr>
        <w:t>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w:t>
      </w:r>
    </w:p>
    <w:p>
      <w:pPr>
        <w:pStyle w:val="ManualConsidrant"/>
        <w:rPr>
          <w:noProof/>
        </w:rPr>
      </w:pPr>
      <w:r>
        <w:t>(3)</w:t>
      </w:r>
      <w:r>
        <w:tab/>
      </w:r>
      <w:r>
        <w:rPr>
          <w:noProof/>
        </w:rPr>
        <w:t>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w:t>
      </w:r>
    </w:p>
    <w:p>
      <w:pPr>
        <w:pStyle w:val="ManualConsidrant"/>
        <w:rPr>
          <w:noProof/>
        </w:rPr>
      </w:pPr>
      <w:r>
        <w:t>(4)</w:t>
      </w:r>
      <w:r>
        <w:tab/>
      </w:r>
      <w:r>
        <w:rPr>
          <w:noProof/>
        </w:rPr>
        <w:t>Кралство Мароко („Мароко“) изрази желанието си да се присъедини към PRIMA като участваща държава и да бъде на равна основа с участващите в PRIMA държави членки и третите държави, асоциирани към „Хоризонт 2020“.</w:t>
      </w:r>
    </w:p>
    <w:p>
      <w:pPr>
        <w:pStyle w:val="ManualConsidrant"/>
        <w:rPr>
          <w:noProof/>
        </w:rPr>
      </w:pPr>
      <w:r>
        <w:t>(5)</w:t>
      </w:r>
      <w:r>
        <w:tab/>
      </w:r>
      <w:r>
        <w:rPr>
          <w:noProof/>
        </w:rPr>
        <w:t>В съответствие с член 1, параграф 2 от Решение (ЕС) 2017/1324 Мароко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Мароко в PRIMA.</w:t>
      </w:r>
    </w:p>
    <w:p>
      <w:pPr>
        <w:pStyle w:val="ManualConsidrant"/>
        <w:rPr>
          <w:noProof/>
        </w:rPr>
      </w:pPr>
      <w:r>
        <w:lastRenderedPageBreak/>
        <w:t>(6)</w:t>
      </w:r>
      <w:r>
        <w:tab/>
      </w:r>
      <w:r>
        <w:rPr>
          <w:noProof/>
        </w:rPr>
        <w:t>На 30 май 2017 г. Съветът разреши на Комисията да започне преговори от името на Съюза с Мароко относно международно споразумение, в което се определят редът и условията за участието на Мароко в PRIMA, при условие че бъде прието Решение (ЕС) 2017/1324. Преговорите приключиха успешно с парафиране на споразумението.</w:t>
      </w:r>
    </w:p>
    <w:p>
      <w:pPr>
        <w:pStyle w:val="ManualConsidrant"/>
        <w:rPr>
          <w:noProof/>
        </w:rPr>
      </w:pPr>
      <w:r>
        <w:t>(7)</w:t>
      </w:r>
      <w:r>
        <w:tab/>
      </w:r>
      <w:r>
        <w:rPr>
          <w:noProof/>
        </w:rPr>
        <w:t>Поради това споразумението следва да бъде подписано от името на Съюза, при условие че бъде сключено на по-късна дата.</w:t>
      </w:r>
    </w:p>
    <w:p>
      <w:pPr>
        <w:pStyle w:val="ManualConsidrant"/>
        <w:rPr>
          <w:noProof/>
        </w:rPr>
      </w:pPr>
      <w:r>
        <w:t>(8)</w:t>
      </w:r>
      <w:r>
        <w:tab/>
      </w:r>
      <w:r>
        <w:rPr>
          <w:noProof/>
        </w:rPr>
        <w:t>За да се даде възможност за възможно най-скоро участие на Мароко в PRIMA,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за научно и технологично сътрудничество между Европейския съюз и Кралство Мароко, в което се определят редът и условията за участието на Кралство Мароко в Партньорството за научни изследвания и иновации в Средиземноморския регион (PRIMA), се одобрява от името на Съюза, при условие че посоченото споразумение бъде сключено на по-късна дата.</w:t>
      </w:r>
    </w:p>
    <w:p>
      <w:pPr>
        <w:rPr>
          <w:noProof/>
        </w:rPr>
      </w:pPr>
      <w:r>
        <w:rPr>
          <w:noProof/>
        </w:rPr>
        <w:t>Текстът на споразумението, което трябва да се подпише, е приложен към настоящото решение.</w:t>
      </w:r>
    </w:p>
    <w:p>
      <w:pPr>
        <w:pStyle w:val="Titrearticle"/>
        <w:keepNext w:val="0"/>
        <w:rPr>
          <w:noProof/>
        </w:rPr>
      </w:pPr>
      <w:r>
        <w:rPr>
          <w:noProof/>
        </w:rPr>
        <w:t>Член 2</w:t>
      </w:r>
    </w:p>
    <w:p>
      <w:pPr>
        <w:rPr>
          <w:noProof/>
        </w:rPr>
      </w:pPr>
      <w:r>
        <w:rPr>
          <w:noProof/>
        </w:rPr>
        <w:t xml:space="preserve">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 </w:t>
      </w:r>
    </w:p>
    <w:p>
      <w:pPr>
        <w:pStyle w:val="Titrearticle"/>
        <w:keepNext w:val="0"/>
        <w:rPr>
          <w:noProof/>
        </w:rPr>
      </w:pPr>
      <w:r>
        <w:rPr>
          <w:noProof/>
        </w:rPr>
        <w:t>Член 3</w:t>
      </w:r>
    </w:p>
    <w:p>
      <w:pPr>
        <w:keepLines/>
        <w:rPr>
          <w:noProof/>
        </w:rPr>
      </w:pPr>
      <w:r>
        <w:rPr>
          <w:noProof/>
        </w:rPr>
        <w:t xml:space="preserve">От деня на подписване до влизането в сила на споразумението то се прилага временно в съответствие с член 4 от него. </w:t>
      </w:r>
    </w:p>
    <w:p>
      <w:pPr>
        <w:pStyle w:val="Titrearticle"/>
        <w:rPr>
          <w:noProof/>
        </w:rPr>
      </w:pPr>
      <w:r>
        <w:rPr>
          <w:noProof/>
        </w:rPr>
        <w:t>Член 4</w:t>
      </w:r>
    </w:p>
    <w:p>
      <w:pPr>
        <w:keepLines/>
        <w:rPr>
          <w:noProof/>
        </w:rPr>
      </w:pPr>
      <w:r>
        <w:rPr>
          <w:noProof/>
        </w:rPr>
        <w:t>Настоящото решение влиза в сила на [датата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подписване от името на Съюза и за временно прилагане на Споразумението за научно и технологично сътрудничество между Европейския съюз и Кралство Мароко, в което се определят редът и условията за участието на Кралство Мароко в Партньорството за научни изследвания и иновации в Средиземноморския регион (PRIMA)</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Дял 08 — Научни изследвания и иновации, рамкова програма „Хоризонт 2020“.</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настоящата инициатива е да се даде възможност на Мароко да стане участваща държава в PRIMA, чиято стратегическа цел е изграждането на капацитет за научни изследвания и иновации, развиване на познания и разработване на общи новаторски решения за селскостопанските и продоволствени системи, с цел да станат по-устойчиви, и за интегрирано водоснабдяване и управление на водите в Средиземноморския регион, с цел тези системи и това снабдяване и управление да бъдат направени по-устойчиви спрямо изменението на климата, ефикасни, икономически ефективни и устойчиви в екологичен и социален план, както и да се допринесе за разрешаването на проблеми с недостига на вода, продоволствената сигурност, храненето, здравето, благосъстоянието и миграцията нагоре по веригата. </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постигането на своите цели PRIMA ще бъде осъществявано съвместно от редица държави членки и трети държави при прилагане на едни и същи ред и условия. С цел да се гарантира, че Мароко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Мароко.</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ще даде възможност на Мароко да стане участваща държава в PRIMA, като по този начин се ангажира на равна основа с държавите членки и с третите държави, асоциирани към „Хоризонт 2020“. В съответствие с разпоредбите на Решение (ЕС) 2017/1324 мароканските правни субекти ще получат автоматично възможността да кандидатстват за финансиране от ЕС по проекти, финансирани от бюджета на ЕС.</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Целта на настоящата инициатива е да се даде възможност на Мароко да участва в PRIMA. Поради това показателите за резултатите и за отражението на настоящата инициатива са тясно свързани с тези за инициативата PRIMA като цяло, както е посочено в съответното предложение на Комисията</w:t>
      </w:r>
      <w:r>
        <w:rPr>
          <w:rStyle w:val="FootnoteReference"/>
          <w:noProof/>
        </w:rPr>
        <w:footnoteReference w:id="11"/>
      </w:r>
      <w:r>
        <w:rPr>
          <w:noProof/>
        </w:rPr>
        <w:t>.</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 и доклада за оценка на въздействието на PRIMA, придружаващ настоящото предложение на Комисията</w:t>
      </w:r>
      <w:r>
        <w:rPr>
          <w:rStyle w:val="FootnoteReference"/>
          <w:noProof/>
        </w:rPr>
        <w:footnoteReference w:id="12"/>
      </w:r>
      <w:r>
        <w:rPr>
          <w:noProof/>
        </w:rPr>
        <w:t>.</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съществуват прецеденти по отношение на посочената инициатива, тъй като PRIMA е първата по рода си инициатива, при която има участие на трети държави, които не са асоциирани към рамковата програма на ЕС за научни изследвания, на равна основа с държавите членки и поради това за тяхното участие е необходимо сключването на международни споразумения със Съюза.</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ab/>
        <w:t>Предложение/инициатива в сила от датата на временно прилагане на споразумението и докато е в сила Решение (ЕС) 2017/1324 (31.12.2028 г.).</w:t>
      </w:r>
    </w:p>
    <w:p>
      <w:pPr>
        <w:pStyle w:val="ListDash2"/>
        <w:rPr>
          <w:noProof/>
        </w:rPr>
      </w:pPr>
      <w:r>
        <w:rPr>
          <w:noProof/>
        </w:rPr>
        <w:sym w:font="Wingdings" w:char="F0FE"/>
      </w:r>
      <w:r>
        <w:rPr>
          <w:noProof/>
        </w:rPr>
        <w:tab/>
        <w:t xml:space="preserve">Финансово отражение от датата на временно прилагане на споразумението до 31.12.2020 г. (през този период трябва да бъде изготвена договореност за прилагане на споразумението. След този период не са предвидени други дейности по споразумението). </w:t>
      </w:r>
    </w:p>
    <w:p>
      <w:pPr>
        <w:pStyle w:val="ListDash2"/>
        <w:rPr>
          <w:noProof/>
        </w:rPr>
      </w:pPr>
      <w:r>
        <w:rPr>
          <w:noProof/>
        </w:rPr>
        <w:sym w:font="Wingdings" w:char="F0A8"/>
      </w:r>
      <w:r>
        <w:rPr>
          <w:b/>
          <w:i/>
          <w:noProof/>
        </w:rPr>
        <w:tab/>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3"/>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sz w:val="23"/>
        </w:rPr>
        <w:t xml:space="preserve">Създава се нов правен субект, предназначен изключително за изпълнението на PRIMA. Финансовото участие на ЕС в PRIMA ще се предоставя чрез тази структура.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което ще бъде сключено между ЕС и Мароко,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 </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lang w:val="bg-BG"/>
              </w:rPr>
            </w:pPr>
            <w:r>
              <w:rPr>
                <w:noProof/>
                <w:sz w:val="20"/>
                <w:lang w:val="bg-BG"/>
              </w:rPr>
              <w:t xml:space="preserve">Функция 1а — „Конкурентоспособност за растеж и заетост“ </w:t>
            </w:r>
          </w:p>
          <w:p>
            <w:pPr>
              <w:rPr>
                <w:noProof/>
                <w:sz w:val="22"/>
              </w:rPr>
            </w:pP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4"/>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noProof/>
                <w:sz w:val="22"/>
              </w:rPr>
            </w:pPr>
            <w:r>
              <w:rPr>
                <w:noProof/>
              </w:rPr>
              <w:t>08.01.05</w:t>
            </w:r>
          </w:p>
        </w:tc>
        <w:tc>
          <w:tcPr>
            <w:tcW w:w="1080" w:type="dxa"/>
            <w:vAlign w:val="center"/>
          </w:tcPr>
          <w:p>
            <w:pPr>
              <w:spacing w:line="276" w:lineRule="auto"/>
              <w:jc w:val="center"/>
              <w:rPr>
                <w:noProof/>
                <w:color w:val="0000FF"/>
                <w:sz w:val="22"/>
              </w:rPr>
            </w:pPr>
            <w:r>
              <w:rPr>
                <w:noProof/>
                <w:sz w:val="22"/>
              </w:rPr>
              <w:t>Едногод.</w:t>
            </w:r>
          </w:p>
        </w:tc>
        <w:tc>
          <w:tcPr>
            <w:tcW w:w="956" w:type="dxa"/>
            <w:vAlign w:val="center"/>
          </w:tcPr>
          <w:p>
            <w:pPr>
              <w:spacing w:line="276" w:lineRule="auto"/>
              <w:jc w:val="center"/>
              <w:rPr>
                <w:noProof/>
                <w:sz w:val="22"/>
              </w:rPr>
            </w:pPr>
            <w:r>
              <w:rPr>
                <w:noProof/>
                <w:sz w:val="22"/>
              </w:rPr>
              <w:t>ДА</w:t>
            </w:r>
          </w:p>
        </w:tc>
        <w:tc>
          <w:tcPr>
            <w:tcW w:w="1080" w:type="dxa"/>
            <w:vAlign w:val="center"/>
          </w:tcPr>
          <w:p>
            <w:pPr>
              <w:spacing w:line="276" w:lineRule="auto"/>
              <w:jc w:val="center"/>
              <w:rPr>
                <w:noProof/>
                <w:sz w:val="22"/>
              </w:rPr>
            </w:pPr>
            <w:r>
              <w:rPr>
                <w:noProof/>
                <w:sz w:val="22"/>
              </w:rPr>
              <w:t>ДА</w:t>
            </w:r>
          </w:p>
        </w:tc>
        <w:tc>
          <w:tcPr>
            <w:tcW w:w="956" w:type="dxa"/>
            <w:vAlign w:val="center"/>
          </w:tcPr>
          <w:p>
            <w:pPr>
              <w:spacing w:line="276" w:lineRule="auto"/>
              <w:jc w:val="center"/>
              <w:rPr>
                <w:noProof/>
                <w:sz w:val="22"/>
              </w:rPr>
            </w:pPr>
            <w:r>
              <w:rPr>
                <w:noProof/>
                <w:sz w:val="22"/>
              </w:rPr>
              <w:t>НЕ</w:t>
            </w:r>
          </w:p>
        </w:tc>
        <w:tc>
          <w:tcPr>
            <w:tcW w:w="1448" w:type="dxa"/>
            <w:vAlign w:val="center"/>
          </w:tcPr>
          <w:p>
            <w:pPr>
              <w:spacing w:line="276" w:lineRule="auto"/>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w:t>
            </w:r>
            <w:r>
              <w:rPr>
                <w:noProof/>
                <w:sz w:val="22"/>
              </w:rPr>
              <w:br/>
            </w:r>
            <w:r>
              <w:rPr>
                <w:noProof/>
                <w:sz w:val="20"/>
              </w:rP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8">
        <w:r>
          <w:rPr>
            <w:rStyle w:val="Hyperlink"/>
            <w:b/>
            <w:noProof/>
            <w:highlight w:val="lightGray"/>
          </w:rPr>
          <w:t>таблицата за бюджетни данни от административно естество</w:t>
        </w:r>
      </w:hyperlink>
      <w:r>
        <w:rPr>
          <w:noProof/>
          <w:highlight w:val="lightGray"/>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 xml:space="preserve">евро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ГД: Научни изследвания и иновации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7"/>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b/>
                <w:noProof/>
                <w:sz w:val="18"/>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„Научни изследвания и иновации“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&lt;1а&gt;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9"/>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b/>
                <w:noProof/>
                <w:sz w:val="18"/>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rPr>
          <w:gridAfter w:val="7"/>
          <w:wAfter w:w="7800" w:type="dxa"/>
        </w:trPr>
        <w:tc>
          <w:tcPr>
            <w:tcW w:w="3960" w:type="dxa"/>
            <w:vAlign w:val="center"/>
          </w:tcPr>
          <w:p>
            <w:pPr>
              <w:spacing w:before="60" w:after="60"/>
              <w:jc w:val="center"/>
              <w:rPr>
                <w:noProof/>
                <w:sz w:val="22"/>
              </w:rPr>
            </w:pPr>
            <w:r>
              <w:rPr>
                <w:noProof/>
                <w:sz w:val="22"/>
              </w:rPr>
              <w:t>ГД: Научни изследвания и иновации</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line="276" w:lineRule="auto"/>
              <w:jc w:val="right"/>
              <w:rPr>
                <w:noProof/>
                <w:sz w:val="20"/>
              </w:rPr>
            </w:pPr>
            <w:r>
              <w:rPr>
                <w:noProof/>
                <w:sz w:val="20"/>
              </w:rPr>
              <w:t>4600</w:t>
            </w:r>
          </w:p>
        </w:tc>
        <w:tc>
          <w:tcPr>
            <w:tcW w:w="868" w:type="dxa"/>
            <w:vAlign w:val="center"/>
          </w:tcPr>
          <w:p>
            <w:pPr>
              <w:spacing w:before="20" w:after="20" w:line="276" w:lineRule="auto"/>
              <w:jc w:val="right"/>
              <w:rPr>
                <w:noProof/>
                <w:sz w:val="20"/>
              </w:rPr>
            </w:pPr>
            <w:r>
              <w:rPr>
                <w:noProof/>
                <w:sz w:val="20"/>
              </w:rPr>
              <w:t>4600</w:t>
            </w:r>
          </w:p>
        </w:tc>
        <w:tc>
          <w:tcPr>
            <w:tcW w:w="868" w:type="dxa"/>
            <w:vAlign w:val="center"/>
          </w:tcPr>
          <w:p>
            <w:pPr>
              <w:spacing w:before="20" w:after="20" w:line="276" w:lineRule="auto"/>
              <w:jc w:val="right"/>
              <w:rPr>
                <w:noProof/>
                <w:sz w:val="20"/>
              </w:rPr>
            </w:pPr>
            <w:r>
              <w:rPr>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ОБЩО ГД </w:t>
            </w:r>
            <w:r>
              <w:rPr>
                <w:noProof/>
                <w:sz w:val="22"/>
              </w:rPr>
              <w:t>„Научни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20"/>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b/>
                <w:noProof/>
                <w:sz w:val="18"/>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FE"/>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 xml:space="preserve">Бюджетни кредити за поети задължения в евро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21"/>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2"/>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 xml:space="preserve">евро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2018</w:t>
            </w:r>
            <w:r>
              <w:rPr>
                <w:rStyle w:val="FootnoteReference"/>
                <w:b/>
                <w:noProof/>
                <w:sz w:val="16"/>
              </w:rPr>
              <w:footnoteReference w:id="23"/>
            </w:r>
          </w:p>
        </w:tc>
        <w:tc>
          <w:tcPr>
            <w:tcW w:w="1080" w:type="dxa"/>
            <w:vAlign w:val="center"/>
          </w:tcPr>
          <w:p>
            <w:pPr>
              <w:spacing w:before="60" w:after="60" w:line="200" w:lineRule="exact"/>
              <w:jc w:val="center"/>
              <w:rPr>
                <w:noProof/>
                <w:sz w:val="16"/>
                <w:szCs w:val="16"/>
              </w:rPr>
            </w:pPr>
            <w:r>
              <w:rPr>
                <w:noProof/>
                <w:sz w:val="20"/>
              </w:rPr>
              <w:t>Година</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4"/>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2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1954"/>
        <w:gridCol w:w="799"/>
        <w:gridCol w:w="841"/>
        <w:gridCol w:w="850"/>
        <w:gridCol w:w="2743"/>
      </w:tblGrid>
      <w:tr>
        <w:trPr>
          <w:trHeight w:val="289"/>
          <w:jc w:val="center"/>
        </w:trPr>
        <w:tc>
          <w:tcPr>
            <w:tcW w:w="2137" w:type="pct"/>
            <w:gridSpan w:val="2"/>
            <w:shd w:val="clear" w:color="auto" w:fill="auto"/>
          </w:tcPr>
          <w:p>
            <w:pPr>
              <w:pStyle w:val="Text1"/>
              <w:spacing w:before="40" w:after="40"/>
              <w:ind w:left="0"/>
              <w:jc w:val="center"/>
              <w:rPr>
                <w:i/>
                <w:noProof/>
                <w:sz w:val="16"/>
                <w:szCs w:val="16"/>
              </w:rPr>
            </w:pPr>
          </w:p>
        </w:tc>
        <w:tc>
          <w:tcPr>
            <w:tcW w:w="437"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w:t>
            </w:r>
          </w:p>
        </w:tc>
        <w:tc>
          <w:tcPr>
            <w:tcW w:w="460"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465"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noProof/>
                <w:sz w:val="16"/>
                <w:szCs w:val="16"/>
              </w:rPr>
            </w:pPr>
            <w:r>
              <w:rPr>
                <w:b/>
                <w:noProof/>
                <w:sz w:val="16"/>
              </w:rPr>
              <w:t>2020</w:t>
            </w:r>
          </w:p>
        </w:tc>
        <w:tc>
          <w:tcPr>
            <w:tcW w:w="1501"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b/>
                <w:noProof/>
                <w:sz w:val="16"/>
                <w:szCs w:val="16"/>
              </w:rPr>
            </w:pPr>
            <w:r>
              <w:rPr>
                <w:b/>
                <w:noProof/>
                <w:sz w:val="16"/>
              </w:rPr>
              <w:t xml:space="preserve">2021—2029 </w:t>
            </w:r>
          </w:p>
        </w:tc>
      </w:tr>
      <w:tr>
        <w:trPr>
          <w:trHeight w:val="289"/>
          <w:jc w:val="center"/>
        </w:trPr>
        <w:tc>
          <w:tcPr>
            <w:tcW w:w="3499"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1501" w:type="pct"/>
            <w:shd w:val="clear" w:color="auto" w:fill="auto"/>
            <w:vAlign w:val="center"/>
          </w:tcPr>
          <w:p>
            <w:pPr>
              <w:spacing w:before="20" w:after="20"/>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b/>
                <w:noProof/>
                <w:sz w:val="16"/>
              </w:rPr>
              <w:t>08 01 05 01 (Непреки научни изследвания)</w:t>
            </w:r>
          </w:p>
        </w:tc>
        <w:tc>
          <w:tcPr>
            <w:tcW w:w="437"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0"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5"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gridAfter w:val="1"/>
          <w:wAfter w:w="1501" w:type="pct"/>
          <w:trHeight w:val="248"/>
          <w:jc w:val="center"/>
        </w:trPr>
        <w:tc>
          <w:tcPr>
            <w:tcW w:w="3499"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5"/>
            </w:r>
          </w:p>
          <w:p>
            <w:pPr>
              <w:pStyle w:val="Text1"/>
              <w:spacing w:before="0" w:after="0"/>
              <w:ind w:left="0"/>
              <w:jc w:val="left"/>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6"/>
            </w:r>
          </w:p>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shd w:val="clear" w:color="auto" w:fill="auto"/>
            <w:vAlign w:val="center"/>
          </w:tcPr>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50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37"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0"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5"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501"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Подготвяне и сключване на административна договореност с мароканските органи за оказване на помощ във връзка със защитата на финансовите интереси на ЕС, както е предвидено в член 2 от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 xml:space="preserve">Бюджетни кредити в евро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 xml:space="preserve">евро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 г.</w:t>
      </w:r>
    </w:p>
  </w:footnote>
  <w:footnote w:id="2">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3">
    <w:p>
      <w:pPr>
        <w:pStyle w:val="FootnoteText"/>
      </w:pPr>
      <w:r>
        <w:rPr>
          <w:rStyle w:val="FootnoteReference"/>
        </w:rPr>
        <w:footnoteRef/>
      </w:r>
      <w:r>
        <w:rPr>
          <w:lang w:val="pt-PT"/>
        </w:rPr>
        <w:tab/>
      </w:r>
      <w:r>
        <w:rPr>
          <w:szCs w:val="24"/>
          <w:lang w:val="pt-PT"/>
        </w:rPr>
        <w:t>C(2018) 371 final, 24.1.2018</w:t>
      </w:r>
      <w:r>
        <w:rPr>
          <w:szCs w:val="24"/>
        </w:rPr>
        <w:t xml:space="preserve"> г.</w:t>
      </w:r>
    </w:p>
  </w:footnote>
  <w:footnote w:id="4">
    <w:p>
      <w:pPr>
        <w:pStyle w:val="FootnoteText"/>
        <w:rPr>
          <w:lang w:val="pt-PT"/>
        </w:rPr>
      </w:pPr>
      <w:r>
        <w:rPr>
          <w:rStyle w:val="FootnoteReference"/>
        </w:rPr>
        <w:footnoteRef/>
      </w:r>
      <w:r>
        <w:rPr>
          <w:lang w:val="pt-PT"/>
        </w:rPr>
        <w:tab/>
        <w:t>SWD(2016) 332 final, 18.10.2016 </w:t>
      </w:r>
      <w:r>
        <w:t>г</w:t>
      </w:r>
      <w:r>
        <w:rPr>
          <w:lang w:val="pt-PT"/>
        </w:rPr>
        <w:t>.</w:t>
      </w:r>
    </w:p>
  </w:footnote>
  <w:footnote w:id="5">
    <w:p>
      <w:pPr>
        <w:pStyle w:val="FootnoteText"/>
        <w:rPr>
          <w:lang w:val="pt-PT"/>
        </w:rPr>
      </w:pPr>
      <w:r>
        <w:rPr>
          <w:rStyle w:val="FootnoteReference"/>
        </w:rPr>
        <w:footnoteRef/>
      </w:r>
      <w:r>
        <w:rPr>
          <w:lang w:val="pt-PT"/>
        </w:rPr>
        <w:tab/>
        <w:t>COM(2012) 497 final.</w:t>
      </w:r>
    </w:p>
  </w:footnote>
  <w:footnote w:id="6">
    <w:p>
      <w:pPr>
        <w:pStyle w:val="FootnoteText"/>
        <w:rPr>
          <w:lang w:val="pt-PT"/>
        </w:rPr>
      </w:pPr>
      <w:r>
        <w:rPr>
          <w:rStyle w:val="FootnoteReference"/>
        </w:rPr>
        <w:footnoteRef/>
      </w:r>
      <w:r>
        <w:rPr>
          <w:lang w:val="pt-PT"/>
        </w:rPr>
        <w:tab/>
      </w:r>
      <w:r>
        <w:t>ОВ</w:t>
      </w:r>
      <w:r>
        <w:rPr>
          <w:lang w:val="pt-PT"/>
        </w:rPr>
        <w:t xml:space="preserve"> L</w:t>
      </w:r>
      <w:r>
        <w:t xml:space="preserve"> 70</w:t>
      </w:r>
      <w:r>
        <w:rPr>
          <w:lang w:val="pt-PT"/>
        </w:rPr>
        <w:t xml:space="preserve">, </w:t>
      </w:r>
      <w:r>
        <w:t>18</w:t>
      </w:r>
      <w:r>
        <w:rPr>
          <w:lang w:val="pt-PT"/>
        </w:rPr>
        <w:t>.</w:t>
      </w:r>
      <w:r>
        <w:t>3</w:t>
      </w:r>
      <w:r>
        <w:rPr>
          <w:lang w:val="pt-PT"/>
        </w:rPr>
        <w:t>.200</w:t>
      </w:r>
      <w:r>
        <w:t>0</w:t>
      </w:r>
      <w:r>
        <w:rPr>
          <w:lang w:val="pt-PT"/>
        </w:rPr>
        <w:t> </w:t>
      </w:r>
      <w:r>
        <w:t>г</w:t>
      </w:r>
      <w:r>
        <w:rPr>
          <w:lang w:val="pt-PT"/>
        </w:rPr>
        <w:t xml:space="preserve">., </w:t>
      </w:r>
      <w:r>
        <w:t>ст</w:t>
      </w:r>
      <w:r>
        <w:rPr>
          <w:lang w:val="pt-PT"/>
        </w:rPr>
        <w:t>p. 2.</w:t>
      </w:r>
    </w:p>
  </w:footnote>
  <w:footnote w:id="7">
    <w:p>
      <w:pPr>
        <w:pStyle w:val="FootnoteText"/>
      </w:pPr>
      <w:r>
        <w:rPr>
          <w:rStyle w:val="FootnoteReference"/>
        </w:rPr>
        <w:footnoteRef/>
      </w:r>
      <w:r>
        <w:tab/>
        <w:t>ОВ L 37, 10.2.2004 г., стр. 9.</w:t>
      </w:r>
    </w:p>
  </w:footnote>
  <w:footnote w:id="8">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w:t>
      </w:r>
      <w:r>
        <w:rPr>
          <w:lang w:val="pt-PT"/>
        </w:rPr>
        <w:t>PRIMA</w:t>
      </w:r>
      <w:r>
        <w:t xml:space="preserve">), осъществявано съвместно от няколко държави членки (ОВ </w:t>
      </w:r>
      <w:r>
        <w:rPr>
          <w:lang w:val="pt-PT"/>
        </w:rPr>
        <w:t>L</w:t>
      </w:r>
      <w:r>
        <w:t xml:space="preserve"> 185, 18.7.2017</w:t>
      </w:r>
      <w:r>
        <w:rPr>
          <w:lang w:val="pt-PT"/>
        </w:rPr>
        <w:t> </w:t>
      </w:r>
      <w:r>
        <w:t>г., стр. 1).</w:t>
      </w:r>
    </w:p>
    <w:p>
      <w:pPr>
        <w:pStyle w:val="FootnoteText"/>
      </w:pPr>
    </w:p>
  </w:footnote>
  <w:footnote w:id="9">
    <w:p>
      <w:pPr>
        <w:pStyle w:val="FootnoteText"/>
        <w:rPr>
          <w:szCs w:val="24"/>
        </w:rPr>
      </w:pPr>
      <w:r>
        <w:rPr>
          <w:rStyle w:val="FootnoteReference"/>
        </w:rPr>
        <w:footnoteRef/>
      </w:r>
      <w:r>
        <w:tab/>
        <w:t>УД: управление по дейности; БД: бюджетиране по дейности.</w:t>
      </w:r>
    </w:p>
  </w:footnote>
  <w:footnote w:id="10">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1">
    <w:p>
      <w:pPr>
        <w:pStyle w:val="FootnoteText"/>
        <w:rPr>
          <w:lang w:val="pt-PT"/>
        </w:rPr>
      </w:pPr>
      <w:r>
        <w:rPr>
          <w:rStyle w:val="FootnoteReference"/>
        </w:rPr>
        <w:footnoteRef/>
      </w:r>
      <w:r>
        <w:rPr>
          <w:lang w:val="pt-PT"/>
        </w:rPr>
        <w:tab/>
        <w:t>COM(2016) 662 final, 18.10.2016 </w:t>
      </w:r>
      <w:r>
        <w:t>г</w:t>
      </w:r>
      <w:r>
        <w:rPr>
          <w:lang w:val="pt-PT"/>
        </w:rPr>
        <w:t>.</w:t>
      </w:r>
    </w:p>
  </w:footnote>
  <w:footnote w:id="12">
    <w:p>
      <w:pPr>
        <w:pStyle w:val="FootnoteText"/>
        <w:rPr>
          <w:lang w:val="pt-PT"/>
        </w:rPr>
      </w:pPr>
      <w:r>
        <w:rPr>
          <w:rStyle w:val="FootnoteReference"/>
        </w:rPr>
        <w:footnoteRef/>
      </w:r>
      <w:r>
        <w:rPr>
          <w:lang w:val="pt-PT"/>
        </w:rPr>
        <w:tab/>
        <w:t>SWD(2016) 332 final, 18.10.2016 </w:t>
      </w:r>
      <w:r>
        <w:t>г</w:t>
      </w:r>
      <w:r>
        <w:rPr>
          <w:lang w:val="pt-PT"/>
        </w:rPr>
        <w:t>.</w:t>
      </w:r>
    </w:p>
  </w:footnote>
  <w:footnote w:id="13">
    <w:p>
      <w:pPr>
        <w:pStyle w:val="FootnoteText"/>
        <w:rPr>
          <w:lang w:val="pt-PT"/>
        </w:rPr>
      </w:pPr>
      <w:r>
        <w:rPr>
          <w:rStyle w:val="FootnoteReference"/>
        </w:rPr>
        <w:footnoteRef/>
      </w:r>
      <w:r>
        <w:rPr>
          <w:lang w:val="pt-PT"/>
        </w:rPr>
        <w:tab/>
      </w:r>
      <w:r>
        <w:t>Подробна</w:t>
      </w:r>
      <w:r>
        <w:rPr>
          <w:lang w:val="pt-PT"/>
        </w:rPr>
        <w:t xml:space="preserve"> </w:t>
      </w:r>
      <w:r>
        <w:t>информация</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
        <w:r>
          <w:rPr>
            <w:rStyle w:val="Hyperlink"/>
            <w:lang w:val="pt-PT"/>
          </w:rPr>
          <w:t>http://www.cc.cec/budg/man/budgmanag/budgmanag_en.html</w:t>
        </w:r>
      </w:hyperlink>
      <w:r>
        <w:rPr>
          <w:lang w:val="pt-PT"/>
        </w:rPr>
        <w:t>.</w:t>
      </w:r>
    </w:p>
  </w:footnote>
  <w:footnote w:id="14">
    <w:p>
      <w:pPr>
        <w:pStyle w:val="FootnoteText"/>
        <w:rPr>
          <w:szCs w:val="24"/>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15">
    <w:p>
      <w:pPr>
        <w:pStyle w:val="FootnoteText"/>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16">
    <w:p>
      <w:pPr>
        <w:pStyle w:val="FootnoteText"/>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държави</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17">
    <w:p>
      <w:pPr>
        <w:pStyle w:val="FootnoteText"/>
        <w:rPr>
          <w:szCs w:val="24"/>
          <w:lang w:val="pt-PT"/>
        </w:rPr>
      </w:pPr>
      <w:r>
        <w:rPr>
          <w:rStyle w:val="FootnoteReference"/>
        </w:rPr>
        <w:footnoteRef/>
      </w:r>
      <w:r>
        <w:rPr>
          <w:lang w:val="pt-PT"/>
        </w:rPr>
        <w:tab/>
        <w:t xml:space="preserve">2018 </w:t>
      </w:r>
      <w:r>
        <w:t>година</w:t>
      </w:r>
      <w:r>
        <w:rPr>
          <w:lang w:val="pt-PT"/>
        </w:rPr>
        <w:t xml:space="preserve">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18">
    <w:p>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19">
    <w:p>
      <w:pPr>
        <w:pStyle w:val="FootnoteText"/>
        <w:rPr>
          <w:szCs w:val="24"/>
          <w:lang w:val="pt-PT"/>
        </w:rPr>
      </w:pPr>
      <w:r>
        <w:rPr>
          <w:rStyle w:val="FootnoteReference"/>
        </w:rPr>
        <w:footnoteRef/>
      </w:r>
      <w:r>
        <w:rPr>
          <w:lang w:val="pt-PT"/>
        </w:rPr>
        <w:tab/>
        <w:t xml:space="preserve">2018 </w:t>
      </w:r>
      <w:r>
        <w:t>година</w:t>
      </w:r>
      <w:r>
        <w:rPr>
          <w:lang w:val="pt-PT"/>
        </w:rPr>
        <w:t xml:space="preserve">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20">
    <w:p>
      <w:pPr>
        <w:pStyle w:val="FootnoteText"/>
        <w:rPr>
          <w:szCs w:val="24"/>
          <w:lang w:val="pt-PT"/>
        </w:rPr>
      </w:pPr>
      <w:r>
        <w:rPr>
          <w:rStyle w:val="FootnoteReference"/>
        </w:rPr>
        <w:footnoteRef/>
      </w:r>
      <w:r>
        <w:rPr>
          <w:lang w:val="pt-PT"/>
        </w:rPr>
        <w:tab/>
        <w:t xml:space="preserve">2018 </w:t>
      </w:r>
      <w:r>
        <w:t>година</w:t>
      </w:r>
      <w:r>
        <w:rPr>
          <w:lang w:val="pt-PT"/>
        </w:rPr>
        <w:t xml:space="preserve">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21">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22">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Конкретни</w:t>
      </w:r>
      <w:r>
        <w:rPr>
          <w:lang w:val="pt-PT"/>
        </w:rPr>
        <w:t xml:space="preserve"> </w:t>
      </w:r>
      <w:r>
        <w:t>цели</w:t>
      </w:r>
      <w:r>
        <w:rPr>
          <w:lang w:val="pt-PT"/>
        </w:rPr>
        <w:t xml:space="preserve">…“. </w:t>
      </w:r>
    </w:p>
  </w:footnote>
  <w:footnote w:id="23">
    <w:p>
      <w:pPr>
        <w:pStyle w:val="FootnoteText"/>
        <w:rPr>
          <w:szCs w:val="24"/>
          <w:lang w:val="pt-PT"/>
        </w:rPr>
      </w:pPr>
      <w:r>
        <w:rPr>
          <w:rStyle w:val="FootnoteReference"/>
        </w:rPr>
        <w:footnoteRef/>
      </w:r>
      <w:r>
        <w:rPr>
          <w:lang w:val="pt-PT"/>
        </w:rPr>
        <w:tab/>
        <w:t xml:space="preserve">2018 </w:t>
      </w:r>
      <w:r>
        <w:t>година</w:t>
      </w:r>
      <w:r>
        <w:rPr>
          <w:lang w:val="pt-PT"/>
        </w:rPr>
        <w:t xml:space="preserve">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24">
    <w:p>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25">
    <w:p>
      <w:pPr>
        <w:pStyle w:val="FootnoteText"/>
        <w:rPr>
          <w:szCs w:val="24"/>
          <w:lang w:val="pt-PT"/>
        </w:rPr>
      </w:pPr>
      <w:r>
        <w:rPr>
          <w:rStyle w:val="FootnoteReference"/>
        </w:rPr>
        <w:footnoteRef/>
      </w:r>
      <w:r>
        <w:rPr>
          <w:lang w:val="pt-PT"/>
        </w:rPr>
        <w:tab/>
      </w:r>
      <w:r>
        <w:t>ДНП</w:t>
      </w:r>
      <w:r>
        <w:rPr>
          <w:lang w:val="pt-PT"/>
        </w:rPr>
        <w:t xml:space="preserve"> = </w:t>
      </w:r>
      <w:r>
        <w:t>договорно</w:t>
      </w:r>
      <w:r>
        <w:rPr>
          <w:lang w:val="pt-PT"/>
        </w:rPr>
        <w:t xml:space="preserve"> </w:t>
      </w:r>
      <w:r>
        <w:t>нает</w:t>
      </w:r>
      <w:r>
        <w:rPr>
          <w:lang w:val="pt-PT"/>
        </w:rPr>
        <w:t xml:space="preserve"> </w:t>
      </w:r>
      <w:r>
        <w:t>персонал</w:t>
      </w:r>
      <w:r>
        <w:rPr>
          <w:lang w:val="pt-PT"/>
        </w:rPr>
        <w:t xml:space="preserve">; </w:t>
      </w:r>
      <w:r>
        <w:t>МП</w:t>
      </w:r>
      <w:r>
        <w:rPr>
          <w:lang w:val="pt-PT"/>
        </w:rPr>
        <w:t xml:space="preserve"> = </w:t>
      </w:r>
      <w:r>
        <w:t>местен</w:t>
      </w:r>
      <w:r>
        <w:rPr>
          <w:lang w:val="pt-PT"/>
        </w:rPr>
        <w:t xml:space="preserve"> </w:t>
      </w:r>
      <w:r>
        <w:t>персонал</w:t>
      </w:r>
      <w:r>
        <w:rPr>
          <w:lang w:val="pt-PT"/>
        </w:rPr>
        <w:t xml:space="preserve">; </w:t>
      </w:r>
      <w:r>
        <w:t>КНЕ</w:t>
      </w:r>
      <w:r>
        <w:rPr>
          <w:lang w:val="pt-PT"/>
        </w:rPr>
        <w:t xml:space="preserve"> =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 xml:space="preserve">. </w:t>
      </w:r>
    </w:p>
  </w:footnote>
  <w:footnote w:id="26">
    <w:p>
      <w:pPr>
        <w:pStyle w:val="FootnoteText"/>
        <w:rPr>
          <w:szCs w:val="24"/>
          <w:lang w:val="pt-PT"/>
        </w:rPr>
      </w:pPr>
      <w:r>
        <w:rPr>
          <w:rStyle w:val="FootnoteReference"/>
        </w:rPr>
        <w:footnoteRef/>
      </w:r>
      <w:r>
        <w:rPr>
          <w:lang w:val="pt-PT"/>
        </w:rPr>
        <w:tab/>
      </w:r>
      <w:r>
        <w:t>Подтаван</w:t>
      </w:r>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27">
    <w:p>
      <w:pPr>
        <w:pStyle w:val="FootnoteText"/>
        <w:rPr>
          <w:szCs w:val="24"/>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A8C0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606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484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EE0F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78F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8EF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21"/>
  </w:num>
  <w:num w:numId="14">
    <w:abstractNumId w:val="24"/>
  </w:num>
  <w:num w:numId="15">
    <w:abstractNumId w:val="24"/>
    <w:lvlOverride w:ilvl="0">
      <w:startOverride w:val="1"/>
    </w:lvlOverride>
  </w:num>
  <w:num w:numId="16">
    <w:abstractNumId w:val="19"/>
  </w:num>
  <w:num w:numId="17">
    <w:abstractNumId w:val="11"/>
  </w:num>
  <w:num w:numId="18">
    <w:abstractNumId w:val="22"/>
  </w:num>
  <w:num w:numId="19">
    <w:abstractNumId w:val="10"/>
  </w:num>
  <w:num w:numId="20">
    <w:abstractNumId w:val="12"/>
  </w:num>
  <w:num w:numId="21">
    <w:abstractNumId w:val="8"/>
  </w:num>
  <w:num w:numId="22">
    <w:abstractNumId w:val="21"/>
  </w:num>
  <w:num w:numId="23">
    <w:abstractNumId w:val="7"/>
  </w:num>
  <w:num w:numId="24">
    <w:abstractNumId w:val="13"/>
  </w:num>
  <w:num w:numId="25">
    <w:abstractNumId w:val="17"/>
  </w:num>
  <w:num w:numId="26">
    <w:abstractNumId w:val="18"/>
  </w:num>
  <w:num w:numId="27">
    <w:abstractNumId w:val="9"/>
  </w:num>
  <w:num w:numId="28">
    <w:abstractNumId w:val="1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9"/>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35: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E681027-F758-4200-BB26-D34BA85259FA"/>
    <w:docVar w:name="LW_COVERPAGE_TYPE" w:val="1"/>
    <w:docVar w:name="LW_CROSSREFERENCE" w:val="&lt;UNUSED&gt;"/>
    <w:docVar w:name="LW_DocType" w:val="COM"/>
    <w:docVar w:name="LW_EMISSION" w:val="19.2.2018"/>
    <w:docVar w:name="LW_EMISSION_ISODATE" w:val="2018-02-19"/>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4"/>
    <w:docVar w:name="LW_REF.II.NEW.CP_YEAR" w:val="2018"/>
    <w:docVar w:name="LW_REF.INST.NEW" w:val="COM"/>
    <w:docVar w:name="LW_REF.INST.NEW_ADOPTED" w:val="final"/>
    <w:docVar w:name="LW_REF.INST.NEW_TEXT" w:val="(2018)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50?\u1088?\u1072?\u1083?\u1089?\u1090?\u1074?\u1086? \u1052?\u1072?\u1088?\u1086?\u1082?\u1086?, \u1074? \u1082?\u1086?\u1077?\u1090?\u1086? \u1089?\u1077? \u1086?\u1087?\u1088?\u1077?\u1076?\u1077?\u1083?\u1103?\u1090? \u1088?\u1077?\u1076?\u1098?\u1090? \u1080? \u1091?\u1089?\u1083?\u1086?\u1074?\u1080?\u1103?\u1090?\u1072? \u1079?\u1072? \u1091?\u1095?\u1072?\u1089?\u1090?\u1080?\u1077?\u1090?\u1086? \u1085?\u1072? \u1050?\u1088?\u1072?\u1083?\u1089?\u1090?\u1074?\u1086? \u1052?\u1072?\u1088?\u1086?\u1082?\u1086?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bg-BG" w:eastAsia="bg-BG" w:bidi="bg-BG"/>
    </w:rPr>
  </w:style>
  <w:style w:type="paragraph" w:customStyle="1" w:styleId="Sous-titreobjet">
    <w:name w:val="Sous-titre objet"/>
    <w:basedOn w:val="Normal"/>
    <w:pPr>
      <w:spacing w:before="0" w:after="0"/>
      <w:jc w:val="center"/>
    </w:pPr>
    <w:rPr>
      <w:b/>
      <w:lang w:eastAsia="bg-BG" w:bidi="bg-BG"/>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bg-BG" w:eastAsia="bg-BG" w:bidi="bg-BG"/>
    </w:rPr>
  </w:style>
  <w:style w:type="paragraph" w:customStyle="1" w:styleId="Sous-titreobjet">
    <w:name w:val="Sous-titre objet"/>
    <w:basedOn w:val="Normal"/>
    <w:pPr>
      <w:spacing w:before="0" w:after="0"/>
      <w:jc w:val="center"/>
    </w:pPr>
    <w:rPr>
      <w:b/>
      <w:lang w:eastAsia="bg-BG" w:bidi="bg-BG"/>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7963">
      <w:bodyDiv w:val="1"/>
      <w:marLeft w:val="0"/>
      <w:marRight w:val="0"/>
      <w:marTop w:val="0"/>
      <w:marBottom w:val="0"/>
      <w:divBdr>
        <w:top w:val="none" w:sz="0" w:space="0" w:color="auto"/>
        <w:left w:val="none" w:sz="0" w:space="0" w:color="auto"/>
        <w:bottom w:val="none" w:sz="0" w:space="0" w:color="auto"/>
        <w:right w:val="none" w:sz="0" w:space="0" w:color="auto"/>
      </w:divBdr>
    </w:div>
    <w:div w:id="349795632">
      <w:bodyDiv w:val="1"/>
      <w:marLeft w:val="0"/>
      <w:marRight w:val="0"/>
      <w:marTop w:val="0"/>
      <w:marBottom w:val="0"/>
      <w:divBdr>
        <w:top w:val="none" w:sz="0" w:space="0" w:color="auto"/>
        <w:left w:val="none" w:sz="0" w:space="0" w:color="auto"/>
        <w:bottom w:val="none" w:sz="0" w:space="0" w:color="auto"/>
        <w:right w:val="none" w:sz="0" w:space="0" w:color="auto"/>
      </w:divBdr>
    </w:div>
    <w:div w:id="478350704">
      <w:bodyDiv w:val="1"/>
      <w:marLeft w:val="0"/>
      <w:marRight w:val="0"/>
      <w:marTop w:val="0"/>
      <w:marBottom w:val="0"/>
      <w:divBdr>
        <w:top w:val="none" w:sz="0" w:space="0" w:color="auto"/>
        <w:left w:val="none" w:sz="0" w:space="0" w:color="auto"/>
        <w:bottom w:val="none" w:sz="0" w:space="0" w:color="auto"/>
        <w:right w:val="none" w:sz="0" w:space="0" w:color="auto"/>
      </w:divBdr>
    </w:div>
    <w:div w:id="1669088843">
      <w:bodyDiv w:val="1"/>
      <w:marLeft w:val="0"/>
      <w:marRight w:val="0"/>
      <w:marTop w:val="0"/>
      <w:marBottom w:val="0"/>
      <w:divBdr>
        <w:top w:val="none" w:sz="0" w:space="0" w:color="auto"/>
        <w:left w:val="none" w:sz="0" w:space="0" w:color="auto"/>
        <w:bottom w:val="none" w:sz="0" w:space="0" w:color="auto"/>
        <w:right w:val="none" w:sz="0" w:space="0" w:color="auto"/>
      </w:divBdr>
    </w:div>
    <w:div w:id="19786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2F55-1045-428E-9CA2-27E167BD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4158</Words>
  <Characters>24331</Characters>
  <Application>Microsoft Office Word</Application>
  <DocSecurity>0</DocSecurity>
  <Lines>1280</Lines>
  <Paragraphs>547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2018-02-08T17:24:00Z</dcterms:created>
  <dcterms:modified xsi:type="dcterms:W3CDTF">2018-02-16T13:35:00Z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