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29" w:rsidRDefault="002C541A" w:rsidP="002C541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63CE59D-1EBD-41C4-98A3-18F7B76B07E4" style="width:450.75pt;height:446.25pt">
            <v:imagedata r:id="rId9" o:title=""/>
          </v:shape>
        </w:pict>
      </w:r>
    </w:p>
    <w:p w:rsidR="00271729" w:rsidRDefault="00271729">
      <w:pPr>
        <w:rPr>
          <w:noProof/>
        </w:rPr>
        <w:sectPr w:rsidR="00271729" w:rsidSect="002C541A">
          <w:footerReference w:type="default" r:id="rId10"/>
          <w:pgSz w:w="11907" w:h="16839"/>
          <w:pgMar w:top="1134" w:right="1417" w:bottom="1134" w:left="1417" w:header="709" w:footer="709" w:gutter="0"/>
          <w:pgNumType w:start="0"/>
          <w:cols w:space="720"/>
          <w:docGrid w:linePitch="360"/>
        </w:sectPr>
      </w:pPr>
    </w:p>
    <w:p w:rsidR="00271729" w:rsidRDefault="00AD0727">
      <w:pPr>
        <w:pStyle w:val="Exposdesmotifstitre"/>
        <w:rPr>
          <w:noProof/>
        </w:rPr>
      </w:pPr>
      <w:r>
        <w:rPr>
          <w:noProof/>
        </w:rPr>
        <w:lastRenderedPageBreak/>
        <w:t>ОБЯСНИТЕЛЕН МЕМОРАНДУМ</w:t>
      </w:r>
    </w:p>
    <w:p w:rsidR="00271729" w:rsidRDefault="00AD0727">
      <w:pPr>
        <w:pStyle w:val="ManualHeading1"/>
        <w:rPr>
          <w:noProof/>
        </w:rPr>
      </w:pPr>
      <w:r>
        <w:rPr>
          <w:noProof/>
        </w:rPr>
        <w:t>1.</w:t>
      </w:r>
      <w:r>
        <w:rPr>
          <w:noProof/>
        </w:rPr>
        <w:tab/>
        <w:t>КОНТЕКСТ НА ПРЕДЛОЖЕНИЕТО</w:t>
      </w:r>
    </w:p>
    <w:p w:rsidR="00271729" w:rsidRDefault="00AD0727">
      <w:pPr>
        <w:pStyle w:val="ManualHeading2"/>
        <w:rPr>
          <w:rFonts w:eastAsia="Arial Unicode MS"/>
          <w:noProof/>
        </w:rPr>
      </w:pPr>
      <w:r>
        <w:rPr>
          <w:noProof/>
        </w:rPr>
        <w:t>•</w:t>
      </w:r>
      <w:r>
        <w:rPr>
          <w:noProof/>
        </w:rPr>
        <w:tab/>
        <w:t>Основания и цели на предложението</w:t>
      </w:r>
    </w:p>
    <w:p w:rsidR="00271729" w:rsidRDefault="00AD0727">
      <w:pPr>
        <w:pBdr>
          <w:top w:val="nil"/>
          <w:left w:val="nil"/>
          <w:bottom w:val="nil"/>
          <w:right w:val="nil"/>
          <w:between w:val="nil"/>
          <w:bar w:val="nil"/>
        </w:pBdr>
        <w:spacing w:before="0" w:after="240"/>
        <w:rPr>
          <w:noProof/>
        </w:rPr>
      </w:pPr>
      <w:r>
        <w:rPr>
          <w:noProof/>
        </w:rPr>
        <w:t xml:space="preserve">Предложението има за цел да въведе някои целенасочени промени в </w:t>
      </w:r>
      <w:r>
        <w:rPr>
          <w:noProof/>
        </w:rPr>
        <w:t>Решение № 1313/2013/ЕС на Съвета (наричано по-нататък „Решението“) относно Механизъм за гражданска защита на Съюза (наричан по-нататък „Механизмът на Съюза“), по силата на което Европейският съюз подкрепя, координира и допълва действията на държавите членк</w:t>
      </w:r>
      <w:r>
        <w:rPr>
          <w:noProof/>
        </w:rPr>
        <w:t xml:space="preserve">и в областта на гражданската защита, насочени към превенция, готовност и реагиране при природни и причинени от човека бедствия в рамките на Съюза и извън него. Основавайки се на принципите на солидарност и споделена отговорност, настоящото предложение има </w:t>
      </w:r>
      <w:r>
        <w:rPr>
          <w:noProof/>
        </w:rPr>
        <w:t>за обща цел да гарантира, че Съюзът може да осигури по-добра подкрепа при кризи и извънредни ситуации както в Европа за своите граждани, така и извън нея. В предложението се признава, че усилията за превенция на бедствия са от решаващо значение за огранича</w:t>
      </w:r>
      <w:r>
        <w:rPr>
          <w:noProof/>
        </w:rPr>
        <w:t>ване на необходимостта от подкрепа при кризи и извънредни ситуации.</w:t>
      </w:r>
    </w:p>
    <w:p w:rsidR="00271729" w:rsidRDefault="00AD0727">
      <w:pPr>
        <w:pBdr>
          <w:top w:val="nil"/>
          <w:left w:val="nil"/>
          <w:bottom w:val="nil"/>
          <w:right w:val="nil"/>
          <w:between w:val="nil"/>
          <w:bar w:val="nil"/>
        </w:pBdr>
        <w:spacing w:before="0" w:after="240"/>
        <w:rPr>
          <w:noProof/>
        </w:rPr>
      </w:pPr>
      <w:r>
        <w:rPr>
          <w:noProof/>
        </w:rPr>
        <w:t>Съгласно констатациите в наскоро извършената междинна оценка на Механизма за гражданска защита на Съюза (МГЗС)</w:t>
      </w:r>
      <w:r>
        <w:rPr>
          <w:rStyle w:val="FootnoteReference"/>
          <w:noProof/>
        </w:rPr>
        <w:footnoteReference w:id="2"/>
      </w:r>
      <w:r>
        <w:rPr>
          <w:noProof/>
        </w:rPr>
        <w:t xml:space="preserve">, предвидена в член 34 от Решение № 1313/2013/ЕС, и констатациите в други </w:t>
      </w:r>
      <w:r>
        <w:rPr>
          <w:noProof/>
        </w:rPr>
        <w:t>оценки на постигнатите резултати, като например прегледа на МГЗС</w:t>
      </w:r>
      <w:r>
        <w:rPr>
          <w:rStyle w:val="FootnoteReference"/>
          <w:noProof/>
        </w:rPr>
        <w:footnoteReference w:id="3"/>
      </w:r>
      <w:r>
        <w:rPr>
          <w:noProof/>
        </w:rPr>
        <w:t>, извършен от Европейската сметна палата, Механизмът на Съюза се е доказал като полезен инструмент за мобилизиране и координиране на помощта, предоставяна от участващите държави при реакция н</w:t>
      </w:r>
      <w:r>
        <w:rPr>
          <w:noProof/>
        </w:rPr>
        <w:t>а кризи в Съюза и извън него и представляваща осезаемо доказателство за европейската солидарност. Въпреки това някои заключения, извлечени от тези документи, и допълнителни доказателства доведоха до установяването на някои области, в които е необходима зак</w:t>
      </w:r>
      <w:r>
        <w:rPr>
          <w:noProof/>
        </w:rPr>
        <w:t>онодателна промяна. Съществено съображение в това отношение беше оперативният опит, който представляваше основен фактор, довел до настоящата инициатива, тъй като благодарение на този опит бяха посочени ограниченията на настоящата нормативна уредба.</w:t>
      </w:r>
    </w:p>
    <w:p w:rsidR="00271729" w:rsidRDefault="00AD0727">
      <w:pPr>
        <w:pBdr>
          <w:top w:val="nil"/>
          <w:left w:val="nil"/>
          <w:bottom w:val="nil"/>
          <w:right w:val="nil"/>
          <w:between w:val="nil"/>
          <w:bar w:val="nil"/>
        </w:pBdr>
        <w:spacing w:before="0" w:after="240"/>
        <w:rPr>
          <w:noProof/>
        </w:rPr>
      </w:pPr>
      <w:r>
        <w:rPr>
          <w:noProof/>
        </w:rPr>
        <w:t>От 2013</w:t>
      </w:r>
      <w:r>
        <w:rPr>
          <w:noProof/>
        </w:rPr>
        <w:t> г. насам Съюзът беше изправян пред многобройни бедствия, съпътствани от трагична загуба на човешки живот и други увреждащи последици за гражданите, предприятията, общностите и околната среда. По-конкретно реакцията при редица неотдавнашни бедствия, включи</w:t>
      </w:r>
      <w:r>
        <w:rPr>
          <w:noProof/>
        </w:rPr>
        <w:t>телно хуманитарните последици от бежанската и миграционната криза, липсата на налични активи в сезоните на горските пожари през 2016 и 2017 г., които бяха особено продължителни и интензивни и при които загинаха над 100 души, както и тежките последици от по</w:t>
      </w:r>
      <w:r>
        <w:rPr>
          <w:noProof/>
        </w:rPr>
        <w:t xml:space="preserve">редица от урагани в Карибския басейн и страшни бури и наводнения в ЕС, представляваше истински стрес тест за МГЗС. Това беше особено забележимо при извънредни ситуации с големи мащаби, засягащи няколко държави членки едновременно. При такива обстоятелства </w:t>
      </w:r>
      <w:r>
        <w:rPr>
          <w:noProof/>
        </w:rPr>
        <w:t xml:space="preserve">твърде често </w:t>
      </w:r>
      <w:r>
        <w:rPr>
          <w:noProof/>
        </w:rPr>
        <w:lastRenderedPageBreak/>
        <w:t>доброволният характер на приноса на държавите членки за реакция при бедствия не беше достатъчен, а съществуващите пропуски по отношение на някои критични способности за реагиране, както бе посочено Доклада относно пропуските в капацитета, публ</w:t>
      </w:r>
      <w:r>
        <w:rPr>
          <w:noProof/>
        </w:rPr>
        <w:t>икуван в началото на 2017 г.</w:t>
      </w:r>
      <w:r>
        <w:rPr>
          <w:rStyle w:val="FootnoteReference"/>
          <w:noProof/>
        </w:rPr>
        <w:footnoteReference w:id="4"/>
      </w:r>
      <w:r>
        <w:rPr>
          <w:noProof/>
        </w:rPr>
        <w:t>, станаха особено очевидни. Сред най-поразителните примери в този контекст е невъзможността на колективния капацитет на ЕС да реагира на всичките седемнадесет искания за помощ във връзка с горски пожари, като помощ бе предостав</w:t>
      </w:r>
      <w:r>
        <w:rPr>
          <w:noProof/>
        </w:rPr>
        <w:t>ена само по десет от тези искания и нейното предоставяне беше на моменти възпрепятствано от забавяния, отслабващи своевременната реакция.</w:t>
      </w:r>
    </w:p>
    <w:p w:rsidR="00271729" w:rsidRDefault="00AD0727">
      <w:pPr>
        <w:pBdr>
          <w:top w:val="nil"/>
          <w:left w:val="nil"/>
          <w:bottom w:val="nil"/>
          <w:right w:val="nil"/>
          <w:between w:val="nil"/>
          <w:bar w:val="nil"/>
        </w:pBdr>
        <w:spacing w:before="0" w:after="240"/>
        <w:rPr>
          <w:noProof/>
        </w:rPr>
      </w:pPr>
      <w:r>
        <w:rPr>
          <w:noProof/>
        </w:rPr>
        <w:t>Предвид този контекст са налице солидни съображения за предприемане на целенасочени изменения на настоящото законодате</w:t>
      </w:r>
      <w:r>
        <w:rPr>
          <w:noProof/>
        </w:rPr>
        <w:t>лство относно МГЗС с цел справяне с основните предизвикателства, пред които Механизмът на Съюза е изправен понастоящем. По-конкретно измененията, съдържащи се в настоящото предложение, са насочени към постигането на следните цели:</w:t>
      </w:r>
    </w:p>
    <w:p w:rsidR="00271729" w:rsidRDefault="00AD0727">
      <w:pPr>
        <w:pBdr>
          <w:top w:val="nil"/>
          <w:left w:val="nil"/>
          <w:bottom w:val="nil"/>
          <w:right w:val="nil"/>
          <w:between w:val="nil"/>
          <w:bar w:val="nil"/>
        </w:pBdr>
        <w:spacing w:before="0" w:after="240"/>
        <w:rPr>
          <w:noProof/>
        </w:rPr>
      </w:pPr>
      <w:r>
        <w:rPr>
          <w:noProof/>
        </w:rPr>
        <w:t>а) укрепване на ефективно</w:t>
      </w:r>
      <w:r>
        <w:rPr>
          <w:noProof/>
        </w:rPr>
        <w:t>стта на превантивните действия като част от цикъла на управление на риска от бедствия, както и засилване на връзките с други ключови политики на ЕС, действащи в областта на предотвратяването на бедствия и реакцията при бедствия;</w:t>
      </w:r>
    </w:p>
    <w:p w:rsidR="00271729" w:rsidRDefault="00AD0727">
      <w:pPr>
        <w:pBdr>
          <w:top w:val="nil"/>
          <w:left w:val="nil"/>
          <w:bottom w:val="nil"/>
          <w:right w:val="nil"/>
          <w:between w:val="nil"/>
          <w:bar w:val="nil"/>
        </w:pBdr>
        <w:spacing w:before="0" w:after="240"/>
        <w:rPr>
          <w:noProof/>
        </w:rPr>
      </w:pPr>
      <w:r>
        <w:rPr>
          <w:noProof/>
        </w:rPr>
        <w:t>б) засилване на колективнат</w:t>
      </w:r>
      <w:r>
        <w:rPr>
          <w:noProof/>
        </w:rPr>
        <w:t>а способност на Съюза и държавите членки за реагиране при бедствия и справяне с повтарящи се и нововъзникващи случаи на пропуски в капацитета, в частност посредством създаването на специален резерв от способности за реагиране (под названието rescEU) на рав</w:t>
      </w:r>
      <w:r>
        <w:rPr>
          <w:noProof/>
        </w:rPr>
        <w:t>нището на Съюза, решенията за използването на които ще бъдат вземани от Комисията, като тя запазва командването и контрола върху тях. rescEU ще включва подбрани способности за реагиране по целесъобразност при извънредни ситуации на горски пожари, наводнени</w:t>
      </w:r>
      <w:r>
        <w:rPr>
          <w:noProof/>
        </w:rPr>
        <w:t>я, земетресения, както и при извънредни ситуации, свързани със здравословни проблеми. След обсъждане с държавите членки следва също да се предвиди полева болница, която да бъде част от Европейския медицински корпус и да може бързо да бъде използвана на тер</w:t>
      </w:r>
      <w:r>
        <w:rPr>
          <w:noProof/>
        </w:rPr>
        <w:t>иторията на Съюза или извън нея в случаи на епидемии като тези, причинени от вирусите Ебола и Зика. Освен това Европа беше обект на множество терористични нападения. Предоставянето на посочените способности на равнището на ЕС ще допринесе също така за гене</w:t>
      </w:r>
      <w:r>
        <w:rPr>
          <w:noProof/>
        </w:rPr>
        <w:t>риране на икономии от мащаба и за намаляване на разходите за осигуряване на същите способности поотделно.</w:t>
      </w:r>
    </w:p>
    <w:p w:rsidR="00271729" w:rsidRDefault="00AD0727">
      <w:pPr>
        <w:pBdr>
          <w:top w:val="nil"/>
          <w:left w:val="nil"/>
          <w:bottom w:val="nil"/>
          <w:right w:val="nil"/>
          <w:between w:val="nil"/>
          <w:bar w:val="nil"/>
        </w:pBdr>
        <w:spacing w:before="0" w:after="240"/>
        <w:rPr>
          <w:noProof/>
        </w:rPr>
      </w:pPr>
      <w:r>
        <w:rPr>
          <w:noProof/>
        </w:rPr>
        <w:t>в) осигуряване на гъвкавост и ефективност на административните процедури на Механизма на Съюза в подкрепа на действията при извънредни ситуации.</w:t>
      </w:r>
    </w:p>
    <w:p w:rsidR="00271729" w:rsidRDefault="00AD0727">
      <w:pPr>
        <w:pBdr>
          <w:top w:val="nil"/>
          <w:left w:val="nil"/>
          <w:bottom w:val="nil"/>
          <w:right w:val="nil"/>
          <w:between w:val="nil"/>
          <w:bar w:val="nil"/>
        </w:pBdr>
        <w:spacing w:before="0" w:after="240"/>
        <w:rPr>
          <w:noProof/>
        </w:rPr>
      </w:pPr>
      <w:r>
        <w:rPr>
          <w:noProof/>
        </w:rPr>
        <w:t>Необх</w:t>
      </w:r>
      <w:r>
        <w:rPr>
          <w:noProof/>
        </w:rPr>
        <w:t>одимостта от укрепване на европейската гражданска защита в светлината на тенденциите при бедствия, включително екстремните метеорологични условия, и на фона на опасенията във връзка с вътрешната сигурност е широко призната. Настоящото предложение се основа</w:t>
      </w:r>
      <w:r>
        <w:rPr>
          <w:noProof/>
        </w:rPr>
        <w:t xml:space="preserve">ва на осъществените наскоро, съвместно с компетентните органи за гражданска защита, допълнителен анализ и детайлно обсъждане на установените пропуски. </w:t>
      </w:r>
    </w:p>
    <w:p w:rsidR="00271729" w:rsidRDefault="00AD0727">
      <w:pPr>
        <w:pStyle w:val="ManualHeading2"/>
        <w:rPr>
          <w:rFonts w:eastAsia="Arial Unicode MS"/>
          <w:noProof/>
        </w:rPr>
      </w:pPr>
      <w:r>
        <w:rPr>
          <w:noProof/>
        </w:rPr>
        <w:t>•</w:t>
      </w:r>
      <w:r>
        <w:rPr>
          <w:noProof/>
        </w:rPr>
        <w:tab/>
        <w:t>Съгласуваност със съществуващите разпоредби в тази област на политиката</w:t>
      </w:r>
    </w:p>
    <w:p w:rsidR="00271729" w:rsidRDefault="00AD0727">
      <w:pPr>
        <w:rPr>
          <w:noProof/>
        </w:rPr>
      </w:pPr>
      <w:r>
        <w:rPr>
          <w:noProof/>
        </w:rPr>
        <w:t>Настоящото предложение предста</w:t>
      </w:r>
      <w:r>
        <w:rPr>
          <w:noProof/>
        </w:rPr>
        <w:t>влява принос към един от десетте политически приоритета, определени от Комисията за периода 2015—2019 г., а именно постигането на „пространство на правосъдие и основни права, изградено върху взаимно доверие“. Взаимното доверие е съществен елемент от принци</w:t>
      </w:r>
      <w:r>
        <w:rPr>
          <w:noProof/>
        </w:rPr>
        <w:t>па на солидарност, който е в основата на Решение № 1313/2013/ЕС, и чрез настоящото предложение то ще бъде засилено заедно с принципите на споделена отговорност и отчетност.</w:t>
      </w:r>
    </w:p>
    <w:p w:rsidR="00271729" w:rsidRDefault="00AD0727">
      <w:pPr>
        <w:rPr>
          <w:noProof/>
        </w:rPr>
      </w:pPr>
      <w:r>
        <w:rPr>
          <w:noProof/>
        </w:rPr>
        <w:t>Предложените промени са в пълно съответствие с по-широката цел за изграждане на „Ев</w:t>
      </w:r>
      <w:r>
        <w:rPr>
          <w:noProof/>
        </w:rPr>
        <w:t xml:space="preserve">ропа, която закриля“, която ръководеше усилията на Комисията през последните години и ще продължи да ги ръководи и в близко бъдеще. Настоящото предложение се основава на положителните резултати, постигнати до сега благодарение на съществуващата нормативна </w:t>
      </w:r>
      <w:r>
        <w:rPr>
          <w:noProof/>
        </w:rPr>
        <w:t>уредба, и има за цел да коригира нейните недостатъци посредством усъвършенствани разпоредби, така че тя да продължи да изпълнява предназначението си, свързано с подкрепата, координирането и допълването на действията на държавите членки в тази област.</w:t>
      </w:r>
    </w:p>
    <w:p w:rsidR="00271729" w:rsidRDefault="00AD0727">
      <w:pPr>
        <w:pStyle w:val="ManualHeading2"/>
        <w:rPr>
          <w:rFonts w:eastAsia="Arial Unicode MS"/>
          <w:noProof/>
        </w:rPr>
      </w:pPr>
      <w:r>
        <w:rPr>
          <w:noProof/>
        </w:rPr>
        <w:t>•</w:t>
      </w:r>
      <w:r>
        <w:rPr>
          <w:noProof/>
        </w:rPr>
        <w:tab/>
        <w:t>Съг</w:t>
      </w:r>
      <w:r>
        <w:rPr>
          <w:noProof/>
        </w:rPr>
        <w:t>ласуваност с политиката на Съюза в други области</w:t>
      </w:r>
    </w:p>
    <w:p w:rsidR="00271729" w:rsidRDefault="00AD0727">
      <w:pPr>
        <w:autoSpaceDE w:val="0"/>
        <w:autoSpaceDN w:val="0"/>
        <w:adjustRightInd w:val="0"/>
        <w:spacing w:before="0" w:after="240"/>
        <w:rPr>
          <w:noProof/>
        </w:rPr>
      </w:pPr>
      <w:r>
        <w:rPr>
          <w:noProof/>
        </w:rPr>
        <w:t>Действията, предвидени в рамките на реформирания МГЗС, са приведени в съответствие с общата цел на Съюза да се гарантира, че всички съответни политики и инструменти на ЕС допринасят за укрепването на капацит</w:t>
      </w:r>
      <w:r>
        <w:rPr>
          <w:noProof/>
        </w:rPr>
        <w:t>ета на Съюза по отношение на управлението на риска от бедствия — от превенцията на бедствия до готовността при бедствия, реагирането спрямо тях и преодоляването на последиците от тях. Освен това те отразяват целта, определена в член 3, параграф 3 от Догово</w:t>
      </w:r>
      <w:r>
        <w:rPr>
          <w:noProof/>
        </w:rPr>
        <w:t>ра за Европейския съюз, да се насърчава солидарността между държавите членки.</w:t>
      </w:r>
    </w:p>
    <w:p w:rsidR="00271729" w:rsidRDefault="00AD0727">
      <w:pPr>
        <w:autoSpaceDE w:val="0"/>
        <w:autoSpaceDN w:val="0"/>
        <w:adjustRightInd w:val="0"/>
        <w:spacing w:before="0" w:after="240"/>
        <w:rPr>
          <w:noProof/>
        </w:rPr>
      </w:pPr>
      <w:r>
        <w:rPr>
          <w:noProof/>
        </w:rPr>
        <w:t>В частност специално внимание се обръща на гарантирането на тясна координация и съгласуваност с действия, осъществявани в рамките на политиката на ЕС в други области, като наприм</w:t>
      </w:r>
      <w:r>
        <w:rPr>
          <w:noProof/>
        </w:rPr>
        <w:t>ер адаптирането към изменението на климата, сближаването, развитието на селските райони, изследователската дейност, здравеопазването, миграцията и сигурността, и с инструменти, действащи в областта на превенцията на бедствия и намаляване на риска от бедств</w:t>
      </w:r>
      <w:r>
        <w:rPr>
          <w:noProof/>
        </w:rPr>
        <w:t>ия. Освен това предложението има за цел да се създадат по-силни полезни взаимодействия с политиката в областта на хуманитарната помощ, що се отнася по-специално до реакцията при извънредни ситуации извън Съюза.</w:t>
      </w:r>
    </w:p>
    <w:p w:rsidR="00271729" w:rsidRDefault="00AD0727">
      <w:pPr>
        <w:autoSpaceDE w:val="0"/>
        <w:autoSpaceDN w:val="0"/>
        <w:adjustRightInd w:val="0"/>
        <w:spacing w:before="0" w:after="240"/>
        <w:rPr>
          <w:noProof/>
        </w:rPr>
      </w:pPr>
      <w:r>
        <w:rPr>
          <w:noProof/>
        </w:rPr>
        <w:t xml:space="preserve">Не съществува законодателен акт в рамките на </w:t>
      </w:r>
      <w:r>
        <w:rPr>
          <w:noProof/>
        </w:rPr>
        <w:t>политиката на ЕС в други области, който да може да постигне целите на настоящото предложение. Следователно не би трябвало да съществува припокриване на действия в тази област.</w:t>
      </w:r>
    </w:p>
    <w:p w:rsidR="00271729" w:rsidRDefault="00AD0727">
      <w:pPr>
        <w:pStyle w:val="ManualHeading1"/>
        <w:rPr>
          <w:noProof/>
        </w:rPr>
      </w:pPr>
      <w:r>
        <w:rPr>
          <w:noProof/>
        </w:rPr>
        <w:t>2.</w:t>
      </w:r>
      <w:r>
        <w:rPr>
          <w:noProof/>
        </w:rPr>
        <w:tab/>
        <w:t>ПРАВНО ОСНОВАНИЕ, СУБСИДИАРНОСТ И ПРОПОРЦИОНАЛНОСТ</w:t>
      </w:r>
    </w:p>
    <w:p w:rsidR="00271729" w:rsidRDefault="00AD0727">
      <w:pPr>
        <w:pStyle w:val="ManualHeading2"/>
        <w:rPr>
          <w:rFonts w:eastAsia="Arial Unicode MS"/>
          <w:noProof/>
          <w:u w:color="000000"/>
          <w:bdr w:val="nil"/>
        </w:rPr>
      </w:pPr>
      <w:r>
        <w:rPr>
          <w:noProof/>
        </w:rPr>
        <w:t>•</w:t>
      </w:r>
      <w:r>
        <w:rPr>
          <w:noProof/>
        </w:rPr>
        <w:tab/>
        <w:t>Правно основание</w:t>
      </w:r>
    </w:p>
    <w:p w:rsidR="00271729" w:rsidRDefault="00AD0727">
      <w:pPr>
        <w:autoSpaceDE w:val="0"/>
        <w:autoSpaceDN w:val="0"/>
        <w:adjustRightInd w:val="0"/>
        <w:spacing w:before="0" w:after="0"/>
        <w:rPr>
          <w:noProof/>
        </w:rPr>
      </w:pPr>
      <w:r>
        <w:rPr>
          <w:noProof/>
        </w:rPr>
        <w:t>Правнот</w:t>
      </w:r>
      <w:r>
        <w:rPr>
          <w:noProof/>
        </w:rPr>
        <w:t xml:space="preserve">о основание за настоящото предложение е член 196 от Договора за функционирането на Европейския съюз. </w:t>
      </w:r>
    </w:p>
    <w:p w:rsidR="00271729" w:rsidRDefault="00AD0727">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271729" w:rsidRDefault="00AD0727">
      <w:pPr>
        <w:pBdr>
          <w:top w:val="nil"/>
          <w:left w:val="nil"/>
          <w:bottom w:val="nil"/>
          <w:right w:val="nil"/>
          <w:between w:val="nil"/>
          <w:bar w:val="nil"/>
        </w:pBdr>
        <w:spacing w:before="0" w:after="240"/>
        <w:rPr>
          <w:rFonts w:eastAsia="Arial Unicode MS"/>
          <w:bCs/>
          <w:noProof/>
        </w:rPr>
      </w:pPr>
      <w:r>
        <w:rPr>
          <w:noProof/>
        </w:rPr>
        <w:t>Целите на предложението не могат да бъдат постигнати в достатъчна степен чрез самостоятелни действия на държавите членки. Механизмът за гражданска защита на Съюза беше създаден, тъй като големите бедствия могат да надхвърлят способностите за реагиране на в</w:t>
      </w:r>
      <w:r>
        <w:rPr>
          <w:noProof/>
        </w:rPr>
        <w:t xml:space="preserve">сяка държава, действаща самостоятелно. В основата на този механизъм е предоставянето на координирана и бърза взаимопомощ между държавите членки. </w:t>
      </w:r>
    </w:p>
    <w:p w:rsidR="00271729" w:rsidRDefault="00AD0727">
      <w:pPr>
        <w:pBdr>
          <w:top w:val="nil"/>
          <w:left w:val="nil"/>
          <w:bottom w:val="nil"/>
          <w:right w:val="nil"/>
          <w:between w:val="nil"/>
          <w:bar w:val="nil"/>
        </w:pBdr>
        <w:spacing w:before="0" w:after="240"/>
        <w:rPr>
          <w:rFonts w:eastAsia="Arial Unicode MS"/>
          <w:bCs/>
          <w:noProof/>
        </w:rPr>
      </w:pPr>
      <w:r>
        <w:rPr>
          <w:noProof/>
        </w:rPr>
        <w:t xml:space="preserve">Освен изменения за осигуряване на съгласуваност и опростяване настоящото предложение предвижда и допълнителни </w:t>
      </w:r>
      <w:r>
        <w:rPr>
          <w:noProof/>
        </w:rPr>
        <w:t>възможности за укрепване на колективната способност за подготовка и реагиране в случай на бедствия. Това е особено важно при наличие на бедствие или няколко бедствия с широкообхватни последици, които надвишат способностите на критичен брой държави членки п</w:t>
      </w:r>
      <w:r>
        <w:rPr>
          <w:noProof/>
        </w:rPr>
        <w:t>о едно и също време и могат да парализират взаимопомощта между тях. Това се отнася и за способностите, които са необходими при сценария, в който дадено бедствие е малко вероятно да настъпи, но ако настъпи неговите последици биха били значителни. В такива с</w:t>
      </w:r>
      <w:r>
        <w:rPr>
          <w:noProof/>
        </w:rPr>
        <w:t>лучаи е ясно, че държавите членки не могат сами да гарантират достатъчна реакция и следователно е нужна подкрепа от ЕС за подпомагане и допълване на действията на държавите членки в съответствие с член 196 от Договора за функционирането на Европейския съюз</w:t>
      </w:r>
      <w:r>
        <w:rPr>
          <w:noProof/>
        </w:rPr>
        <w:t>.</w:t>
      </w:r>
    </w:p>
    <w:p w:rsidR="00271729" w:rsidRDefault="00AD0727">
      <w:pPr>
        <w:pBdr>
          <w:top w:val="nil"/>
          <w:left w:val="nil"/>
          <w:bottom w:val="nil"/>
          <w:right w:val="nil"/>
          <w:between w:val="nil"/>
          <w:bar w:val="nil"/>
        </w:pBdr>
        <w:spacing w:before="0" w:after="240"/>
        <w:rPr>
          <w:rFonts w:eastAsia="Arial Unicode MS"/>
          <w:bCs/>
          <w:noProof/>
        </w:rPr>
      </w:pPr>
      <w:r>
        <w:rPr>
          <w:noProof/>
        </w:rPr>
        <w:t>С оглед на ползите по отношение на намаляване броя на човешките жертви, материалните и икономическите щети и пораженията върху околната среда предложението носи безспорна добавена стойност от ЕС.</w:t>
      </w:r>
    </w:p>
    <w:p w:rsidR="00271729" w:rsidRDefault="00AD0727">
      <w:pPr>
        <w:pStyle w:val="ManualHeading2"/>
        <w:rPr>
          <w:rFonts w:eastAsia="Arial Unicode MS"/>
          <w:noProof/>
          <w:u w:color="000000"/>
          <w:bdr w:val="nil"/>
        </w:rPr>
      </w:pPr>
      <w:r>
        <w:rPr>
          <w:noProof/>
        </w:rPr>
        <w:t>•</w:t>
      </w:r>
      <w:r>
        <w:rPr>
          <w:noProof/>
        </w:rPr>
        <w:tab/>
        <w:t>Пропорционалност</w:t>
      </w:r>
    </w:p>
    <w:p w:rsidR="00271729" w:rsidRDefault="00AD0727">
      <w:pPr>
        <w:pBdr>
          <w:top w:val="nil"/>
          <w:left w:val="nil"/>
          <w:bottom w:val="nil"/>
          <w:right w:val="nil"/>
          <w:between w:val="nil"/>
          <w:bar w:val="nil"/>
        </w:pBdr>
        <w:spacing w:before="0" w:after="240"/>
        <w:rPr>
          <w:rFonts w:eastAsia="Arial Unicode MS"/>
          <w:bCs/>
          <w:noProof/>
        </w:rPr>
      </w:pPr>
      <w:r>
        <w:rPr>
          <w:noProof/>
        </w:rPr>
        <w:t>Предложението не надхвърля необходимото</w:t>
      </w:r>
      <w:r>
        <w:rPr>
          <w:noProof/>
        </w:rPr>
        <w:t xml:space="preserve"> за постигане на целите. В него се отстраняват пропуските, които бяха установени в междинната оценка и в други скорошни документи за оценка на резултатите от МГЗС (споменатите по-горе специален доклад на Европейската сметна палата относно МГЗС</w:t>
      </w:r>
      <w:r>
        <w:rPr>
          <w:rStyle w:val="FootnoteReference"/>
          <w:noProof/>
        </w:rPr>
        <w:footnoteReference w:id="5"/>
      </w:r>
      <w:r>
        <w:rPr>
          <w:noProof/>
        </w:rPr>
        <w:t xml:space="preserve"> и доклад на</w:t>
      </w:r>
      <w:r>
        <w:rPr>
          <w:noProof/>
        </w:rPr>
        <w:t xml:space="preserve"> Комисията относно постигнатия напредък и оставащите пропуски в Европейския капацитет за реагиране при извънредни ситуации</w:t>
      </w:r>
      <w:r>
        <w:rPr>
          <w:rStyle w:val="FootnoteReference"/>
          <w:noProof/>
        </w:rPr>
        <w:footnoteReference w:id="6"/>
      </w:r>
      <w:r>
        <w:rPr>
          <w:noProof/>
        </w:rPr>
        <w:t>, както и Прегледа на рисковете за ЕС</w:t>
      </w:r>
      <w:r>
        <w:rPr>
          <w:rStyle w:val="FootnoteReference"/>
          <w:noProof/>
        </w:rPr>
        <w:footnoteReference w:id="7"/>
      </w:r>
      <w:r>
        <w:rPr>
          <w:noProof/>
        </w:rPr>
        <w:t>) и се предлагат решения в съответствие с мандата, предоставен от Съвета и Европейския парламен</w:t>
      </w:r>
      <w:r>
        <w:rPr>
          <w:noProof/>
        </w:rPr>
        <w:t>т.</w:t>
      </w:r>
    </w:p>
    <w:p w:rsidR="00271729" w:rsidRDefault="00AD0727">
      <w:pPr>
        <w:pBdr>
          <w:top w:val="nil"/>
          <w:left w:val="nil"/>
          <w:bottom w:val="nil"/>
          <w:right w:val="nil"/>
          <w:between w:val="nil"/>
          <w:bar w:val="nil"/>
        </w:pBdr>
        <w:spacing w:before="0" w:after="240"/>
        <w:rPr>
          <w:rFonts w:eastAsia="Arial Unicode MS"/>
          <w:bCs/>
          <w:noProof/>
        </w:rPr>
      </w:pPr>
      <w:r>
        <w:rPr>
          <w:noProof/>
        </w:rPr>
        <w:t>Административната тежест за Съюза и държавите членки е ограничена и не надхвърля необходимото за постигане на целите на предложението. Освен това рационализирането на определени проценти на съфинансиране от ЕС и премахването на съфинансирането в определ</w:t>
      </w:r>
      <w:r>
        <w:rPr>
          <w:noProof/>
        </w:rPr>
        <w:t>ени области ще намали административната тежест.</w:t>
      </w:r>
    </w:p>
    <w:p w:rsidR="00271729" w:rsidRDefault="00AD0727">
      <w:pPr>
        <w:pStyle w:val="ManualHeading2"/>
        <w:rPr>
          <w:rFonts w:eastAsia="Arial Unicode MS"/>
          <w:noProof/>
          <w:u w:color="000000"/>
          <w:bdr w:val="nil"/>
        </w:rPr>
      </w:pPr>
      <w:r>
        <w:rPr>
          <w:noProof/>
        </w:rPr>
        <w:t>•</w:t>
      </w:r>
      <w:r>
        <w:rPr>
          <w:noProof/>
        </w:rPr>
        <w:tab/>
        <w:t>Избор на инструмент</w:t>
      </w:r>
    </w:p>
    <w:p w:rsidR="00271729" w:rsidRDefault="00AD0727">
      <w:pPr>
        <w:pBdr>
          <w:top w:val="nil"/>
          <w:left w:val="nil"/>
          <w:bottom w:val="nil"/>
          <w:right w:val="nil"/>
          <w:between w:val="nil"/>
          <w:bar w:val="nil"/>
        </w:pBdr>
        <w:spacing w:before="0" w:after="240"/>
        <w:rPr>
          <w:noProof/>
        </w:rPr>
      </w:pPr>
      <w:r>
        <w:rPr>
          <w:noProof/>
        </w:rPr>
        <w:t>Предложение за Решение за изменение на Решение № 1313/2013/ЕС на Европейския парламент и на Съвета относно Механизъм за гражданска защита на Съюза.</w:t>
      </w:r>
    </w:p>
    <w:p w:rsidR="00271729" w:rsidRDefault="00AD0727">
      <w:pPr>
        <w:pStyle w:val="ManualHeading1"/>
        <w:rPr>
          <w:noProof/>
        </w:rPr>
      </w:pPr>
      <w:r>
        <w:rPr>
          <w:noProof/>
        </w:rPr>
        <w:t>3.</w:t>
      </w:r>
      <w:r>
        <w:rPr>
          <w:noProof/>
        </w:rPr>
        <w:tab/>
        <w:t>РЕЗУЛТАТИ ОТ ПОСЛЕДВАЩИТЕ ОЦЕНКИ, К</w:t>
      </w:r>
      <w:r>
        <w:rPr>
          <w:noProof/>
        </w:rPr>
        <w:t>ОНСУЛТАЦИИТЕ СЪС ЗАИНТЕРЕСОВАНИТЕ СТРАНИ И ОЦЕНКИТЕ НА ВЪЗДЕЙСТВИЕТО</w:t>
      </w:r>
    </w:p>
    <w:p w:rsidR="00271729" w:rsidRDefault="00AD0727">
      <w:pPr>
        <w:pStyle w:val="ManualHeading2"/>
        <w:rPr>
          <w:rFonts w:eastAsia="Arial Unicode MS"/>
          <w:noProof/>
          <w:u w:color="000000"/>
          <w:bdr w:val="nil"/>
        </w:rPr>
      </w:pPr>
      <w:r>
        <w:rPr>
          <w:noProof/>
        </w:rPr>
        <w:t>•</w:t>
      </w:r>
      <w:r>
        <w:rPr>
          <w:noProof/>
        </w:rPr>
        <w:tab/>
        <w:t>Консултации със заинтересованите страни</w:t>
      </w:r>
    </w:p>
    <w:p w:rsidR="00271729" w:rsidRDefault="00AD0727">
      <w:pPr>
        <w:spacing w:after="100" w:afterAutospacing="1"/>
        <w:rPr>
          <w:rFonts w:eastAsia="Arial Unicode MS"/>
          <w:bCs/>
          <w:noProof/>
        </w:rPr>
      </w:pPr>
      <w:r>
        <w:rPr>
          <w:noProof/>
        </w:rPr>
        <w:t>Недостатъците, които настоящото предложение има за цел да отстрани, бяха идентифицирани въз основа на оперативния опит, както и въз основа на рез</w:t>
      </w:r>
      <w:r>
        <w:rPr>
          <w:noProof/>
        </w:rPr>
        <w:t>ултатите от широкообхватната консултация със заинтересованите страни, проведена неотдавна в рамките на междинната оценка на Механизма за гражданска защита на Съюза</w:t>
      </w:r>
      <w:r>
        <w:rPr>
          <w:rStyle w:val="FootnoteReference"/>
          <w:noProof/>
        </w:rPr>
        <w:footnoteReference w:id="8"/>
      </w:r>
      <w:r>
        <w:rPr>
          <w:noProof/>
        </w:rPr>
        <w:t>. Общата цел на тази оценка беше всички заинтересовани страни да получат възможност да израз</w:t>
      </w:r>
      <w:r>
        <w:rPr>
          <w:noProof/>
        </w:rPr>
        <w:t xml:space="preserve">ят мнението си относно резултатите от Механизма за гражданска защита на Съюза през първата половина от прилагането му. Нейните конкретни цели бяха: </w:t>
      </w:r>
    </w:p>
    <w:p w:rsidR="00271729" w:rsidRDefault="00AD0727">
      <w:pPr>
        <w:pStyle w:val="Point1"/>
        <w:rPr>
          <w:noProof/>
        </w:rPr>
      </w:pPr>
      <w:r>
        <w:rPr>
          <w:noProof/>
        </w:rPr>
        <w:t>а)</w:t>
      </w:r>
      <w:r>
        <w:rPr>
          <w:noProof/>
        </w:rPr>
        <w:tab/>
        <w:t>да се съберат мнения и становища от европейските граждани относно резултатите, постигнати от Механизма з</w:t>
      </w:r>
      <w:r>
        <w:rPr>
          <w:noProof/>
        </w:rPr>
        <w:t>а гражданска защита на Съюза досега;</w:t>
      </w:r>
    </w:p>
    <w:p w:rsidR="00271729" w:rsidRDefault="00AD0727">
      <w:pPr>
        <w:pStyle w:val="Point1"/>
        <w:rPr>
          <w:noProof/>
        </w:rPr>
      </w:pPr>
      <w:r>
        <w:rPr>
          <w:noProof/>
        </w:rPr>
        <w:t>б)</w:t>
      </w:r>
      <w:r>
        <w:rPr>
          <w:noProof/>
        </w:rPr>
        <w:tab/>
        <w:t>да се определи значимостта на различните приоритети за управление на риска от бедствия, така както те се възприемат в целия ЕС;</w:t>
      </w:r>
    </w:p>
    <w:p w:rsidR="00271729" w:rsidRDefault="00AD0727">
      <w:pPr>
        <w:pStyle w:val="Point1"/>
        <w:rPr>
          <w:noProof/>
        </w:rPr>
      </w:pPr>
      <w:r>
        <w:rPr>
          <w:noProof/>
        </w:rPr>
        <w:t>в)</w:t>
      </w:r>
      <w:r>
        <w:rPr>
          <w:noProof/>
        </w:rPr>
        <w:tab/>
        <w:t>да се получат целева обратна информация и технически съвети от основните заинтересова</w:t>
      </w:r>
      <w:r>
        <w:rPr>
          <w:noProof/>
        </w:rPr>
        <w:t>ни страни, имащи отношение към Механизма за гражданска защита на Съюза;</w:t>
      </w:r>
    </w:p>
    <w:p w:rsidR="00271729" w:rsidRDefault="00AD0727">
      <w:pPr>
        <w:pStyle w:val="Point1"/>
        <w:rPr>
          <w:noProof/>
        </w:rPr>
      </w:pPr>
      <w:r>
        <w:rPr>
          <w:noProof/>
        </w:rPr>
        <w:t>г)</w:t>
      </w:r>
      <w:r>
        <w:rPr>
          <w:noProof/>
        </w:rPr>
        <w:tab/>
        <w:t>да се съберат доказателства в подкрепа на междинната оценка на Механизма за гражданска защита на Съюза по всеки от основните критерии за оценка.</w:t>
      </w:r>
    </w:p>
    <w:p w:rsidR="00271729" w:rsidRDefault="00AD0727">
      <w:pPr>
        <w:rPr>
          <w:rFonts w:eastAsia="Arial Unicode MS"/>
          <w:bCs/>
          <w:noProof/>
        </w:rPr>
      </w:pPr>
      <w:r>
        <w:rPr>
          <w:noProof/>
        </w:rPr>
        <w:t>По време на дейностите по консултаци</w:t>
      </w:r>
      <w:r>
        <w:rPr>
          <w:noProof/>
        </w:rPr>
        <w:t>ите беше потърсен принос от четири основни групи заинтересовани страни:</w:t>
      </w:r>
    </w:p>
    <w:p w:rsidR="00271729" w:rsidRDefault="00AD0727">
      <w:pPr>
        <w:pStyle w:val="Tiret0"/>
        <w:numPr>
          <w:ilvl w:val="0"/>
          <w:numId w:val="10"/>
        </w:numPr>
        <w:rPr>
          <w:noProof/>
        </w:rPr>
      </w:pPr>
      <w:r>
        <w:rPr>
          <w:noProof/>
        </w:rPr>
        <w:t>образувания, прилагащи МГЗС: органите на държавите членки за гражданска защита, допринасящи към Европейския капацитет за реагиране при извънредни ситуации с модули и/или експерти; друг</w:t>
      </w:r>
      <w:r>
        <w:rPr>
          <w:noProof/>
        </w:rPr>
        <w:t>и органи на държавите членки, работещи в областта на гражданската защита; органите за гражданска защита на участващите държави</w:t>
      </w:r>
      <w:r>
        <w:rPr>
          <w:rStyle w:val="FootnoteReference"/>
          <w:noProof/>
        </w:rPr>
        <w:footnoteReference w:id="9"/>
      </w:r>
      <w:r>
        <w:rPr>
          <w:noProof/>
        </w:rPr>
        <w:t>;</w:t>
      </w:r>
    </w:p>
    <w:p w:rsidR="00271729" w:rsidRDefault="00AD0727">
      <w:pPr>
        <w:pStyle w:val="Tiret0"/>
        <w:rPr>
          <w:noProof/>
        </w:rPr>
      </w:pPr>
      <w:r>
        <w:rPr>
          <w:noProof/>
        </w:rPr>
        <w:t>образувания, имащи отношение към МГЗС: приемащи държави, получили подкрепа от МГЗС (държави от ЕС, присъединяващи се държави, с</w:t>
      </w:r>
      <w:r>
        <w:rPr>
          <w:noProof/>
        </w:rPr>
        <w:t>ъседни на Съюза държави и други трети държави), Европейския парламент, Комитета на регионите, местни власти</w:t>
      </w:r>
    </w:p>
    <w:p w:rsidR="00271729" w:rsidRDefault="00AD0727">
      <w:pPr>
        <w:pStyle w:val="Tiret0"/>
        <w:rPr>
          <w:noProof/>
        </w:rPr>
      </w:pPr>
      <w:r>
        <w:rPr>
          <w:noProof/>
        </w:rPr>
        <w:t>образувания със заявен интерес към Механизма за гражданска защита на Съюза: други органи на държавите членки, други органи на участващите държави, а</w:t>
      </w:r>
      <w:r>
        <w:rPr>
          <w:noProof/>
        </w:rPr>
        <w:t>генции на ООН, Световната банка, неправителствени организации, частен сектор, фондации и др.</w:t>
      </w:r>
    </w:p>
    <w:p w:rsidR="00271729" w:rsidRDefault="00AD0727">
      <w:pPr>
        <w:pStyle w:val="Tiret0"/>
        <w:rPr>
          <w:noProof/>
        </w:rPr>
      </w:pPr>
      <w:r>
        <w:rPr>
          <w:noProof/>
        </w:rPr>
        <w:t>образувания, които имат експертни познания, свързани с Механизма за гражданска защита на Съюза (напр. управление на риска от бедствия): университети/центрове за ви</w:t>
      </w:r>
      <w:r>
        <w:rPr>
          <w:noProof/>
        </w:rPr>
        <w:t>соки постижения и мозъчни тръстове, главно в участващите държави.</w:t>
      </w:r>
    </w:p>
    <w:p w:rsidR="00271729" w:rsidRDefault="00AD0727">
      <w:pPr>
        <w:pStyle w:val="ManualHeading2"/>
        <w:rPr>
          <w:rFonts w:eastAsia="Arial Unicode MS"/>
          <w:noProof/>
          <w:u w:color="000000"/>
          <w:bdr w:val="nil"/>
        </w:rPr>
      </w:pPr>
      <w:r>
        <w:rPr>
          <w:noProof/>
        </w:rPr>
        <w:t>•</w:t>
      </w:r>
      <w:r>
        <w:rPr>
          <w:noProof/>
        </w:rPr>
        <w:tab/>
        <w:t>Събиране и използване на експертни познания</w:t>
      </w:r>
    </w:p>
    <w:p w:rsidR="00271729" w:rsidRDefault="00AD0727">
      <w:pPr>
        <w:spacing w:after="240"/>
        <w:rPr>
          <w:rFonts w:eastAsia="Arial Unicode MS"/>
          <w:bCs/>
          <w:noProof/>
        </w:rPr>
      </w:pPr>
      <w:r>
        <w:rPr>
          <w:noProof/>
        </w:rPr>
        <w:t>Междинната оценка, на която се основава настоящото предложение, беше извършена от външен оценител в периода между септември 2016 г. и юни 2017 г</w:t>
      </w:r>
      <w:r>
        <w:rPr>
          <w:noProof/>
        </w:rPr>
        <w:t>. За нейното извършване беше използван приносът по време на дискусиите с участващите държави (в рамките на срещи на Комитета за гражданска защита, на работната група „Гражданска защита“ на Съвета и на генералните директори), и бе взета предвид информацията</w:t>
      </w:r>
      <w:r>
        <w:rPr>
          <w:noProof/>
        </w:rPr>
        <w:t>, получена благодарение на открита обществена консултация, специалния доклад на Европейската сметна палата относно МГЗС и доклада на Комисията относно постигнатия напредък и оставащите пропуски в EERC.</w:t>
      </w:r>
    </w:p>
    <w:p w:rsidR="00271729" w:rsidRDefault="00AD0727">
      <w:pPr>
        <w:spacing w:before="60" w:after="60"/>
        <w:rPr>
          <w:rFonts w:eastAsia="Arial Unicode MS"/>
          <w:bCs/>
          <w:noProof/>
        </w:rPr>
      </w:pPr>
      <w:r>
        <w:rPr>
          <w:noProof/>
        </w:rPr>
        <w:t xml:space="preserve">Оценката се състоеше от три фази: </w:t>
      </w:r>
    </w:p>
    <w:p w:rsidR="00271729" w:rsidRDefault="00AD0727">
      <w:pPr>
        <w:pStyle w:val="Point1"/>
        <w:rPr>
          <w:noProof/>
        </w:rPr>
      </w:pPr>
      <w:r>
        <w:rPr>
          <w:noProof/>
        </w:rPr>
        <w:t>i)</w:t>
      </w:r>
      <w:r>
        <w:rPr>
          <w:noProof/>
        </w:rPr>
        <w:tab/>
      </w:r>
      <w:r>
        <w:rPr>
          <w:i/>
          <w:noProof/>
        </w:rPr>
        <w:t>начална фаза</w:t>
      </w:r>
      <w:r>
        <w:rPr>
          <w:noProof/>
        </w:rPr>
        <w:t xml:space="preserve">, </w:t>
      </w:r>
      <w:r>
        <w:rPr>
          <w:noProof/>
        </w:rPr>
        <w:t>включваща документна проверка на дейностите по МГЗС и проучвателни интервюта с отговорни служители;</w:t>
      </w:r>
    </w:p>
    <w:p w:rsidR="00271729" w:rsidRDefault="00AD0727">
      <w:pPr>
        <w:pStyle w:val="Point1"/>
        <w:rPr>
          <w:noProof/>
        </w:rPr>
      </w:pPr>
      <w:r>
        <w:rPr>
          <w:noProof/>
        </w:rPr>
        <w:t>ii)</w:t>
      </w:r>
      <w:r>
        <w:rPr>
          <w:noProof/>
        </w:rPr>
        <w:tab/>
      </w:r>
      <w:r>
        <w:rPr>
          <w:i/>
          <w:noProof/>
        </w:rPr>
        <w:t>фаза на изследване</w:t>
      </w:r>
      <w:r>
        <w:rPr>
          <w:noProof/>
        </w:rPr>
        <w:t>, включваща целенасочена консултация с основни заинтересовани страни по МГЗС</w:t>
      </w:r>
      <w:r>
        <w:rPr>
          <w:rStyle w:val="FootnoteReference"/>
          <w:noProof/>
        </w:rPr>
        <w:footnoteReference w:id="10"/>
      </w:r>
      <w:r>
        <w:rPr>
          <w:noProof/>
        </w:rPr>
        <w:t xml:space="preserve"> посредством онлайн проучвания, интервюта лице в лице и п</w:t>
      </w:r>
      <w:r>
        <w:rPr>
          <w:noProof/>
        </w:rPr>
        <w:t>о телефона, както и три проучвания по конкретни случаи (горските пожари в Гърция, модулното упражнение в Естония и миграционната криза).</w:t>
      </w:r>
    </w:p>
    <w:p w:rsidR="00271729" w:rsidRDefault="00AD0727">
      <w:pPr>
        <w:pStyle w:val="Point1"/>
        <w:rPr>
          <w:noProof/>
        </w:rPr>
      </w:pPr>
      <w:r>
        <w:rPr>
          <w:noProof/>
        </w:rPr>
        <w:t>iii)</w:t>
      </w:r>
      <w:r>
        <w:rPr>
          <w:noProof/>
        </w:rPr>
        <w:tab/>
      </w:r>
      <w:r>
        <w:rPr>
          <w:i/>
          <w:noProof/>
        </w:rPr>
        <w:t>фаза на анализ и синтез</w:t>
      </w:r>
      <w:r>
        <w:rPr>
          <w:noProof/>
        </w:rPr>
        <w:t>, включваща триангулация на данни, изготвяне на заключения и препоръки и съставяне на оценк</w:t>
      </w:r>
      <w:r>
        <w:rPr>
          <w:noProof/>
        </w:rPr>
        <w:t xml:space="preserve">ата. </w:t>
      </w:r>
    </w:p>
    <w:p w:rsidR="00271729" w:rsidRDefault="00AD0727">
      <w:pPr>
        <w:spacing w:before="60" w:after="60"/>
        <w:rPr>
          <w:rFonts w:eastAsia="Arial Unicode MS"/>
          <w:bCs/>
          <w:noProof/>
        </w:rPr>
      </w:pPr>
      <w:r>
        <w:rPr>
          <w:noProof/>
        </w:rPr>
        <w:t>Гореспоменатата открита обществена консултация беше проведена онлайн за три месеца (ноември 2016 г. — февруари 2017 г.), като участие в нея взеха 130 респонденти от цяла Европа, които предоставиха обратна информация относно МГЗС. В края на март 2017 </w:t>
      </w:r>
      <w:r>
        <w:rPr>
          <w:noProof/>
        </w:rPr>
        <w:t>г. бе публикуван доклад за резултатите от откритата обществена консултация</w:t>
      </w:r>
      <w:r>
        <w:rPr>
          <w:rStyle w:val="FootnoteReference"/>
          <w:noProof/>
        </w:rPr>
        <w:footnoteReference w:id="11"/>
      </w:r>
      <w:r>
        <w:rPr>
          <w:noProof/>
        </w:rPr>
        <w:t>.</w:t>
      </w:r>
    </w:p>
    <w:p w:rsidR="00271729" w:rsidRDefault="00AD0727">
      <w:pPr>
        <w:pStyle w:val="ManualHeading2"/>
        <w:rPr>
          <w:rFonts w:eastAsia="Arial Unicode MS"/>
          <w:noProof/>
          <w:u w:color="000000"/>
          <w:bdr w:val="nil"/>
        </w:rPr>
      </w:pPr>
      <w:r>
        <w:rPr>
          <w:noProof/>
        </w:rPr>
        <w:tab/>
        <w:t>Оценка на въздействието</w:t>
      </w:r>
    </w:p>
    <w:p w:rsidR="00271729" w:rsidRDefault="00AD0727">
      <w:pPr>
        <w:pStyle w:val="Text1"/>
        <w:ind w:left="0"/>
        <w:rPr>
          <w:noProof/>
        </w:rPr>
      </w:pPr>
      <w:r>
        <w:rPr>
          <w:noProof/>
        </w:rPr>
        <w:t>Не бе извършена оценка на въздействието в допълнение към настоящото предложение, тъй като е налице изключителна неотложност от въвеждането на предложените</w:t>
      </w:r>
      <w:r>
        <w:rPr>
          <w:noProof/>
        </w:rPr>
        <w:t xml:space="preserve"> промени, продиктувана от пропуските в критично важни способности на европейско равнище, които бяха демонстрирани по-специално по време на сезона на гасене на горските пожари през 2017 г. Тези пропуски засегнаха сериозно реакцията на ЕС при бедствия и дове</w:t>
      </w:r>
      <w:r>
        <w:rPr>
          <w:noProof/>
        </w:rPr>
        <w:t>доха до голям брой жертви, тежки икономически последици и вреди за околната среда.</w:t>
      </w:r>
    </w:p>
    <w:p w:rsidR="00271729" w:rsidRDefault="00AD0727">
      <w:pPr>
        <w:pStyle w:val="ManualHeading2"/>
        <w:rPr>
          <w:rFonts w:eastAsia="Arial Unicode MS"/>
          <w:noProof/>
          <w:u w:color="000000"/>
          <w:bdr w:val="nil"/>
        </w:rPr>
      </w:pPr>
      <w:r>
        <w:rPr>
          <w:noProof/>
        </w:rPr>
        <w:t>•</w:t>
      </w:r>
      <w:r>
        <w:rPr>
          <w:noProof/>
        </w:rPr>
        <w:tab/>
        <w:t>Пригодност на правната уредба и опростяване</w:t>
      </w:r>
    </w:p>
    <w:p w:rsidR="00271729" w:rsidRDefault="00AD0727">
      <w:pPr>
        <w:spacing w:before="0" w:after="240"/>
        <w:rPr>
          <w:noProof/>
        </w:rPr>
      </w:pPr>
      <w:r>
        <w:rPr>
          <w:noProof/>
        </w:rPr>
        <w:t xml:space="preserve">Предложеното изменение е ограничено по обхват и естество, установява баланс между интересите на държавите членки и е пропорционално на оперативните нужди. </w:t>
      </w:r>
    </w:p>
    <w:p w:rsidR="00271729" w:rsidRDefault="00AD0727">
      <w:pPr>
        <w:spacing w:before="0" w:after="240"/>
        <w:rPr>
          <w:noProof/>
        </w:rPr>
      </w:pPr>
      <w:r>
        <w:rPr>
          <w:noProof/>
        </w:rPr>
        <w:t>Тъй като става въпрос за изменение на съществуващ законодателен акт, Комисията разгледа възможностит</w:t>
      </w:r>
      <w:r>
        <w:rPr>
          <w:noProof/>
        </w:rPr>
        <w:t>е за опростяване и намаляване на свързаните с този акт тежести. Макар че бяха набелязани редица действия, насочени към опростяване, както е обяснено по-долу, не беше възможно те да бъдат представени в количествено изражение предвид ограничената наличност н</w:t>
      </w:r>
      <w:r>
        <w:rPr>
          <w:noProof/>
        </w:rPr>
        <w:t>а данни в рамките на кратките срокове.</w:t>
      </w:r>
    </w:p>
    <w:p w:rsidR="00271729" w:rsidRDefault="00AD0727">
      <w:pPr>
        <w:spacing w:before="0" w:after="240"/>
        <w:rPr>
          <w:noProof/>
        </w:rPr>
      </w:pPr>
      <w:r>
        <w:rPr>
          <w:noProof/>
        </w:rPr>
        <w:t>Настоящото предложение премахва бюрократизма чрез въвеждане на специфично позоваване на използването на единични суми, еднократни суми и фиксирани ставки по отношение на съфинансирането на транспортните разходи. Освен</w:t>
      </w:r>
      <w:r>
        <w:rPr>
          <w:noProof/>
        </w:rPr>
        <w:t xml:space="preserve"> това то опростява съществуващите административни процедури чрез рационализиране на правилата за съфинансиране. </w:t>
      </w:r>
    </w:p>
    <w:p w:rsidR="00271729" w:rsidRDefault="00AD0727">
      <w:pPr>
        <w:spacing w:before="0" w:after="240"/>
        <w:rPr>
          <w:noProof/>
        </w:rPr>
      </w:pPr>
      <w:r>
        <w:rPr>
          <w:noProof/>
        </w:rPr>
        <w:t>В по-общ план настоящото предложение има за цел да актуализира оперативните процедури, за да се гарантира, че те са годни за целта, гъвкави и л</w:t>
      </w:r>
      <w:r>
        <w:rPr>
          <w:noProof/>
        </w:rPr>
        <w:t>есни за разбиране и прилагане, като по този начин се осигурява възможност за достъп на държавите членки до подкрепа и съдействие по линия на Механизма на Съюза, когато това е необходимо. Например неотдавнашните бедствия показаха, че е възможно ЕС да не раз</w:t>
      </w:r>
      <w:r>
        <w:rPr>
          <w:noProof/>
        </w:rPr>
        <w:t>полага с достатъчно оборудване при извънредни ситуации с широкообхватни последици, засягащи няколко държави членки по едно и също време (напр. горски пожари, екстремни метеорологични условия, мащабни наводнения, земетресения, епидемии (като Ебола), терорис</w:t>
      </w:r>
      <w:r>
        <w:rPr>
          <w:noProof/>
        </w:rPr>
        <w:t xml:space="preserve">тични нападения). При такива обстоятелства държавите членки не винаги са в състояние да предоставят помощ. </w:t>
      </w:r>
    </w:p>
    <w:p w:rsidR="00271729" w:rsidRDefault="00AD0727">
      <w:pPr>
        <w:pStyle w:val="ManualHeading1"/>
        <w:rPr>
          <w:noProof/>
        </w:rPr>
      </w:pPr>
      <w:r>
        <w:rPr>
          <w:noProof/>
        </w:rPr>
        <w:t>4.</w:t>
      </w:r>
      <w:r>
        <w:rPr>
          <w:noProof/>
        </w:rPr>
        <w:tab/>
        <w:t>ОТРАЖЕНИЕ ВЪРХУ БЮДЖЕТА</w:t>
      </w:r>
    </w:p>
    <w:p w:rsidR="00271729" w:rsidRDefault="00AD0727">
      <w:pPr>
        <w:pBdr>
          <w:top w:val="nil"/>
          <w:left w:val="nil"/>
          <w:bottom w:val="nil"/>
          <w:right w:val="nil"/>
          <w:between w:val="nil"/>
          <w:bar w:val="nil"/>
        </w:pBdr>
        <w:spacing w:before="0" w:after="240"/>
        <w:rPr>
          <w:noProof/>
        </w:rPr>
      </w:pPr>
      <w:r>
        <w:rPr>
          <w:noProof/>
        </w:rPr>
        <w:t>Както е посочено в член 19 от Решение № 1313/2013/ЕС, финансовият пакет за изпълнението на Механизма на Съюза съгласно мн</w:t>
      </w:r>
      <w:r>
        <w:rPr>
          <w:noProof/>
        </w:rPr>
        <w:t xml:space="preserve">огогодишната финансова рамка за периода 2014—2020 г. е 368,4 милиона евро. Тази сума се състои от вноска в размер на 223,8 милиона евро от функция 3 „Сигурност и гражданство“ и от вноска в размер на 144,6 милиона евро от функция 4 „Глобална Европа“. Освен </w:t>
      </w:r>
      <w:r>
        <w:rPr>
          <w:noProof/>
        </w:rPr>
        <w:t>това административните разходи и разходите за човешки ресурси се покриват от функция 5 в размер на приблизително 52,5 милиона евро.</w:t>
      </w:r>
    </w:p>
    <w:p w:rsidR="00271729" w:rsidRDefault="00AD0727">
      <w:pPr>
        <w:pBdr>
          <w:top w:val="nil"/>
          <w:left w:val="nil"/>
          <w:bottom w:val="nil"/>
          <w:right w:val="nil"/>
          <w:between w:val="nil"/>
          <w:bar w:val="nil"/>
        </w:pBdr>
        <w:spacing w:before="0" w:after="240"/>
        <w:rPr>
          <w:noProof/>
        </w:rPr>
      </w:pPr>
      <w:r>
        <w:rPr>
          <w:noProof/>
        </w:rPr>
        <w:t>За да могат да бъдат постигнати целите, посочени в точка 1 по-горе, а именно:</w:t>
      </w:r>
    </w:p>
    <w:p w:rsidR="00271729" w:rsidRDefault="00AD0727">
      <w:pPr>
        <w:pStyle w:val="Tiret0"/>
        <w:rPr>
          <w:noProof/>
        </w:rPr>
      </w:pPr>
      <w:r>
        <w:rPr>
          <w:noProof/>
        </w:rPr>
        <w:t>засилване на колективния капацитет на държавит</w:t>
      </w:r>
      <w:r>
        <w:rPr>
          <w:noProof/>
        </w:rPr>
        <w:t xml:space="preserve">е членки и Съюза за реакция при бедствия посредством създаването на специален резерв от способности за реагиране, командвани и контролирани от Комисията (rescEU); </w:t>
      </w:r>
    </w:p>
    <w:p w:rsidR="00271729" w:rsidRDefault="00AD0727">
      <w:pPr>
        <w:pStyle w:val="Tiret0"/>
        <w:rPr>
          <w:noProof/>
        </w:rPr>
      </w:pPr>
      <w:r>
        <w:rPr>
          <w:noProof/>
        </w:rPr>
        <w:t>повишаване на процентите на съфинансиране (75 %) на способностите, които се предоставят на р</w:t>
      </w:r>
      <w:r>
        <w:rPr>
          <w:noProof/>
        </w:rPr>
        <w:t>азположение на Европейския резерв; това включва адаптационни, ремонтни, транспортни и оперативни разходи;</w:t>
      </w:r>
    </w:p>
    <w:p w:rsidR="00271729" w:rsidRDefault="00AD0727">
      <w:pPr>
        <w:pStyle w:val="Tiret0"/>
        <w:rPr>
          <w:noProof/>
        </w:rPr>
      </w:pPr>
      <w:r>
        <w:rPr>
          <w:noProof/>
        </w:rPr>
        <w:t>засилване на фокуса върху превенцията и увеличаване на съгласуваността с други ключови политики на ЕС, и</w:t>
      </w:r>
    </w:p>
    <w:p w:rsidR="00271729" w:rsidRDefault="00AD0727">
      <w:pPr>
        <w:pStyle w:val="Tiret0"/>
        <w:rPr>
          <w:noProof/>
        </w:rPr>
      </w:pPr>
      <w:r>
        <w:rPr>
          <w:noProof/>
        </w:rPr>
        <w:t>засилване на сътрудничеството със съседните д</w:t>
      </w:r>
      <w:r>
        <w:rPr>
          <w:noProof/>
        </w:rPr>
        <w:t>ържави,</w:t>
      </w:r>
    </w:p>
    <w:p w:rsidR="00271729" w:rsidRDefault="00AD0727">
      <w:pPr>
        <w:pBdr>
          <w:top w:val="nil"/>
          <w:left w:val="nil"/>
          <w:bottom w:val="nil"/>
          <w:right w:val="nil"/>
          <w:between w:val="nil"/>
          <w:bar w:val="nil"/>
        </w:pBdr>
        <w:rPr>
          <w:noProof/>
        </w:rPr>
      </w:pPr>
      <w:r>
        <w:rPr>
          <w:noProof/>
        </w:rPr>
        <w:t xml:space="preserve">настоящото предложение е насочено към постигане на цялостно общо увеличение на финансовия пакет за МГЗС за периода 2018—2020 г., възлизащо на 280 милиона евро допълнително. </w:t>
      </w:r>
    </w:p>
    <w:p w:rsidR="00271729" w:rsidRDefault="00AD0727">
      <w:pPr>
        <w:pStyle w:val="ManualHeading1"/>
        <w:rPr>
          <w:noProof/>
        </w:rPr>
      </w:pPr>
      <w:r>
        <w:rPr>
          <w:noProof/>
        </w:rPr>
        <w:t>5.</w:t>
      </w:r>
      <w:r>
        <w:rPr>
          <w:noProof/>
        </w:rPr>
        <w:tab/>
        <w:t>ДРУГИ ЕЛЕМЕНТИ</w:t>
      </w:r>
    </w:p>
    <w:p w:rsidR="00271729" w:rsidRDefault="00AD0727">
      <w:pPr>
        <w:pStyle w:val="ManualHeading2"/>
        <w:rPr>
          <w:rFonts w:eastAsia="Arial Unicode MS"/>
          <w:noProof/>
          <w:u w:color="000000"/>
          <w:bdr w:val="nil"/>
        </w:rPr>
      </w:pPr>
      <w:r>
        <w:rPr>
          <w:noProof/>
        </w:rPr>
        <w:t>•</w:t>
      </w:r>
      <w:r>
        <w:rPr>
          <w:noProof/>
        </w:rPr>
        <w:tab/>
        <w:t xml:space="preserve">Планове за изпълнение и изисквания във връзка с </w:t>
      </w:r>
      <w:r>
        <w:rPr>
          <w:noProof/>
        </w:rPr>
        <w:t>мониторинга, оценката и изготвянето на доклади</w:t>
      </w:r>
    </w:p>
    <w:p w:rsidR="00271729" w:rsidRDefault="00AD0727">
      <w:pPr>
        <w:pBdr>
          <w:top w:val="nil"/>
          <w:left w:val="nil"/>
          <w:bottom w:val="nil"/>
          <w:right w:val="nil"/>
          <w:between w:val="nil"/>
          <w:bar w:val="nil"/>
        </w:pBdr>
        <w:spacing w:before="0" w:after="240"/>
        <w:rPr>
          <w:rFonts w:cs="EUAlbertina"/>
          <w:noProof/>
          <w:sz w:val="19"/>
          <w:szCs w:val="19"/>
        </w:rPr>
      </w:pPr>
      <w:r>
        <w:rPr>
          <w:noProof/>
        </w:rPr>
        <w:t>Прилага се член 34, параграф 2 от Решение № 1313/2013/ЕС относно Механизъм за гражданска защита на Съюза. Този член предвижда, че дейностите, за които се отпуска финансова помощ, се наблюдават редовно с цел пр</w:t>
      </w:r>
      <w:r>
        <w:rPr>
          <w:noProof/>
        </w:rPr>
        <w:t>оследяване на изпълнението им. В него също така е предвидено задължение за Комисията да извърши оценка на прилагането на Решението и да представи междинен доклад за оценка и доклад за последваща оценка, както и съобщение за изпълнението. Тези оценки следва</w:t>
      </w:r>
      <w:r>
        <w:rPr>
          <w:noProof/>
        </w:rPr>
        <w:t xml:space="preserve"> да се основават на показателите, предвидени в член 3 от Решението.</w:t>
      </w:r>
    </w:p>
    <w:p w:rsidR="00271729" w:rsidRDefault="00AD0727">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rsidR="00271729" w:rsidRDefault="00AD0727">
      <w:pPr>
        <w:pBdr>
          <w:top w:val="nil"/>
          <w:left w:val="nil"/>
          <w:bottom w:val="nil"/>
          <w:right w:val="nil"/>
          <w:between w:val="nil"/>
          <w:bar w:val="nil"/>
        </w:pBdr>
        <w:spacing w:before="0" w:after="240"/>
        <w:rPr>
          <w:noProof/>
        </w:rPr>
      </w:pPr>
      <w:r>
        <w:rPr>
          <w:noProof/>
        </w:rPr>
        <w:t xml:space="preserve">С настоящото предложение се внасят изменения в ограничен брой членове от Решение № 1313/2013/ЕС с оглед постигане на целите, </w:t>
      </w:r>
      <w:r>
        <w:rPr>
          <w:noProof/>
        </w:rPr>
        <w:t>изложени по-горе.</w:t>
      </w:r>
    </w:p>
    <w:p w:rsidR="00271729" w:rsidRDefault="00AD0727">
      <w:pPr>
        <w:pBdr>
          <w:top w:val="nil"/>
          <w:left w:val="nil"/>
          <w:bottom w:val="nil"/>
          <w:right w:val="nil"/>
          <w:between w:val="nil"/>
          <w:bar w:val="nil"/>
        </w:pBdr>
        <w:spacing w:before="0" w:after="240"/>
        <w:rPr>
          <w:noProof/>
        </w:rPr>
      </w:pPr>
      <w:r>
        <w:rPr>
          <w:noProof/>
        </w:rPr>
        <w:t>Първата цел, а именно укрепване на колективната способност за реагиране при бедствия и оказване на подкрепа на държавите членки (със способности за гасене на пожари от въздуха, за изпомпване с голям капацитет, за издирване и спасяване в г</w:t>
      </w:r>
      <w:r>
        <w:rPr>
          <w:noProof/>
        </w:rPr>
        <w:t>радска среда, както и с полеви болници и спешни медицински екипи) при преодоляването на бедствия, които през последните няколко години все по-често засягат обществата в Европа, се постига чрез следните средства:</w:t>
      </w:r>
    </w:p>
    <w:p w:rsidR="00271729" w:rsidRDefault="00AD0727">
      <w:pPr>
        <w:pStyle w:val="Tiret0"/>
        <w:rPr>
          <w:noProof/>
        </w:rPr>
      </w:pPr>
      <w:r>
        <w:rPr>
          <w:noProof/>
        </w:rPr>
        <w:t>Създаване на специален резерв от активи, нар</w:t>
      </w:r>
      <w:r>
        <w:rPr>
          <w:noProof/>
        </w:rPr>
        <w:t>ечен rescEU. Настоящото предложение изрично позволява на Комисията да закупува собствени оперативни способности и да установява договорни механизми за осигуряване на бърз достъп до тези способности с цел създаване на специален резерв от активи, който да по</w:t>
      </w:r>
      <w:r>
        <w:rPr>
          <w:noProof/>
        </w:rPr>
        <w:t>дпомага запълването на съществуващите пропуски на национално равнище. Способностите, наети или взети на лизинг посредством договорни механизми на ЕС или изцяло закупени с финансиране от ЕС, ще стават част от rescEU. Всички разходи, свързани с тези способно</w:t>
      </w:r>
      <w:r>
        <w:rPr>
          <w:noProof/>
        </w:rPr>
        <w:t xml:space="preserve">сти, ще бъдат изцяло покрити с финансиране от ЕС, който ще запази оперативното командване и контрол върху тези активи и ще взема решенията за тяхното използване след задействането на механизма. Установяването на допълнителни способности ще бъде извършвано </w:t>
      </w:r>
      <w:r>
        <w:rPr>
          <w:noProof/>
        </w:rPr>
        <w:t xml:space="preserve">в консултация с експертна група по rescEU. </w:t>
      </w:r>
    </w:p>
    <w:p w:rsidR="00271729" w:rsidRDefault="00AD0727">
      <w:pPr>
        <w:pStyle w:val="Tiret0"/>
        <w:rPr>
          <w:noProof/>
        </w:rPr>
      </w:pPr>
      <w:r>
        <w:rPr>
          <w:noProof/>
        </w:rPr>
        <w:t>Укрепването на Европейския капацитет за реагиране при извънредни ситуации, в рамките на който държавите членки могат предварително да заделят способности за реагиране (например за ХБРЯ откриване и пробовземане, п</w:t>
      </w:r>
      <w:r>
        <w:rPr>
          <w:noProof/>
        </w:rPr>
        <w:t>речистване на вода, наземно гасене на горски пожари, спасяване при наводнения с използването на лодки или други способности, като например подвижни лаборатории), ще продължи да бъде централен елемент от МГЗС, а Европейският капацитет за реагиране при извън</w:t>
      </w:r>
      <w:r>
        <w:rPr>
          <w:noProof/>
        </w:rPr>
        <w:t>редни ситуации ще се нарича „Европейски резерв за гражданска защита“. Настоящото предложение изменя системата от стимули за заделяне на активи за Европейския резерв за гражданска защита, като увеличава процентите на съфинансиране, както и видовете допустим</w:t>
      </w:r>
      <w:r>
        <w:rPr>
          <w:noProof/>
        </w:rPr>
        <w:t>и разходи. По-специално, съгласно новото предложение активите, които са заделени за Европейския резерв за гражданска защита, ще се ползват от 75 % покритие на всички разходи, направени по време на операции по МГЗС в рамките на Съюза, включително адаптацион</w:t>
      </w:r>
      <w:r>
        <w:rPr>
          <w:noProof/>
        </w:rPr>
        <w:t>ни, ремонтни, транспортни и оперативни разходи.</w:t>
      </w:r>
    </w:p>
    <w:p w:rsidR="00271729" w:rsidRDefault="00AD0727">
      <w:pPr>
        <w:pBdr>
          <w:top w:val="nil"/>
          <w:left w:val="nil"/>
          <w:bottom w:val="nil"/>
          <w:right w:val="nil"/>
          <w:between w:val="nil"/>
          <w:bar w:val="nil"/>
        </w:pBdr>
        <w:spacing w:before="0" w:after="240"/>
        <w:rPr>
          <w:noProof/>
        </w:rPr>
      </w:pPr>
      <w:r>
        <w:rPr>
          <w:noProof/>
        </w:rPr>
        <w:t>Способностите, ползващи някакъв вид съфинансиране от ЕС, ще трябва да бъдат включени в Европейския резерв за гражданска защита. За да се опрости системата и да се повиши предвидимостта по отношение на налично</w:t>
      </w:r>
      <w:r>
        <w:rPr>
          <w:noProof/>
        </w:rPr>
        <w:t>стта от активи, финансова помощ за активи извън Европейския резерв за гражданска защита вече няма да бъде отпускана. На последно място са включени и засилени стимули за обединяването на способности (например покриване от страна на Комисията на разходи за т</w:t>
      </w:r>
      <w:r>
        <w:rPr>
          <w:noProof/>
        </w:rPr>
        <w:t>ранспортирането на помощ, която предстои да стане част от обединена помощ, от една държава членка до друга, както и заплащането от Комисията на разходите за транзит и складиране на обединена помощ в трети държави).</w:t>
      </w:r>
    </w:p>
    <w:p w:rsidR="00271729" w:rsidRDefault="00AD0727">
      <w:pPr>
        <w:pBdr>
          <w:top w:val="nil"/>
          <w:left w:val="nil"/>
          <w:bottom w:val="nil"/>
          <w:right w:val="nil"/>
          <w:between w:val="nil"/>
          <w:bar w:val="nil"/>
        </w:pBdr>
        <w:spacing w:before="0" w:after="240"/>
        <w:rPr>
          <w:noProof/>
        </w:rPr>
      </w:pPr>
      <w:r>
        <w:rPr>
          <w:noProof/>
        </w:rPr>
        <w:t>Що се отнася до втората цел, връзките меж</w:t>
      </w:r>
      <w:r>
        <w:rPr>
          <w:noProof/>
        </w:rPr>
        <w:t>ду превенцията, готовността и реагирането бяха подсилени чрез свързване на оценките на риска с планирането на управлението на риска и чрез изискване държавите членки да предоставят на Комисията своите планове за управление на риска най-късно до 31 януари 2</w:t>
      </w:r>
      <w:r>
        <w:rPr>
          <w:noProof/>
        </w:rPr>
        <w:t>019 г. За да се гарантира, че всички държави членки са предприели ефективни превантивни мерки и че rescEU няма да бъде използван като заместител на националните способности, Комисията ще може да изисква специфични планове за превенция и готовност от една и</w:t>
      </w:r>
      <w:r>
        <w:rPr>
          <w:noProof/>
        </w:rPr>
        <w:t>ли няколко държави членки. Плановете за превенция трябва да включват в допълнение към краткосрочните превантивни действия също така и по-дългосрочни усилия за превенция, при които се отчита цялостното приспособяване към нарастващото въздействие от изменени</w:t>
      </w:r>
      <w:r>
        <w:rPr>
          <w:noProof/>
        </w:rPr>
        <w:t xml:space="preserve">ето на климата. Освен това планирането за бъдещи сценарии следва да се основава на оценки на риска и разгръщане на капацитет, чрез които се създава по-силна действителна връзка между превенцията, готовността и реагирането. </w:t>
      </w:r>
    </w:p>
    <w:p w:rsidR="00271729" w:rsidRDefault="00AD0727">
      <w:pPr>
        <w:pBdr>
          <w:top w:val="nil"/>
          <w:left w:val="nil"/>
          <w:bottom w:val="nil"/>
          <w:right w:val="nil"/>
          <w:between w:val="nil"/>
          <w:bar w:val="nil"/>
        </w:pBdr>
        <w:spacing w:before="0" w:after="240"/>
        <w:rPr>
          <w:noProof/>
        </w:rPr>
      </w:pPr>
      <w:r>
        <w:rPr>
          <w:noProof/>
        </w:rPr>
        <w:t>Съгласуваността с други инструме</w:t>
      </w:r>
      <w:r>
        <w:rPr>
          <w:noProof/>
        </w:rPr>
        <w:t>нти на Съюза относно превенцията и управлението на риска от бедствия също е засилена чрез създаването на връзка между този механизъм и политиките в областта на сближаването, развитието на селските райони, здравеопазването и научните изследвания. Напредъкът</w:t>
      </w:r>
      <w:r>
        <w:rPr>
          <w:noProof/>
        </w:rPr>
        <w:t>, постигнат от държавите членки в областта на превенцията и готовността, ще служи за основа при вземането на решения относно финансирането в тази област. Що се отнася до съгласуваността с други политики на ЕС, имащи отношение към реакцията при бедствия, сл</w:t>
      </w:r>
      <w:r>
        <w:rPr>
          <w:noProof/>
        </w:rPr>
        <w:t xml:space="preserve">едва да се отбележи, че е подобрено също и взаимното допълване и/или синхронизиране на финансовата помощ, предоставяна по линия на Механизма на Съюза и по линия на други инструменти на Съюза (като например Регламента за хуманитарната помощ). В тази връзка </w:t>
      </w:r>
      <w:r>
        <w:rPr>
          <w:noProof/>
        </w:rPr>
        <w:t>дерогация от член 129, параграф 1 от Регламент (ЕС, Евратом) № 966/2012</w:t>
      </w:r>
      <w:r>
        <w:rPr>
          <w:rStyle w:val="FootnoteReference"/>
          <w:noProof/>
        </w:rPr>
        <w:footnoteReference w:id="12"/>
      </w:r>
      <w:r>
        <w:rPr>
          <w:noProof/>
        </w:rPr>
        <w:t xml:space="preserve"> ще гарантира по-добро използване на съществуващите възможности за финансиране и ще подобри ефективността на операциите за реагиране на държавите членки. Видимостта на ЕС също е засиле</w:t>
      </w:r>
      <w:r>
        <w:rPr>
          <w:noProof/>
        </w:rPr>
        <w:t>на посредством член, специално посветен на нея.</w:t>
      </w:r>
    </w:p>
    <w:p w:rsidR="00271729" w:rsidRDefault="00AD0727">
      <w:pPr>
        <w:pBdr>
          <w:top w:val="nil"/>
          <w:left w:val="nil"/>
          <w:bottom w:val="nil"/>
          <w:right w:val="nil"/>
          <w:between w:val="nil"/>
          <w:bar w:val="nil"/>
        </w:pBdr>
        <w:spacing w:before="0" w:after="240"/>
        <w:rPr>
          <w:noProof/>
        </w:rPr>
      </w:pPr>
      <w:r>
        <w:rPr>
          <w:noProof/>
        </w:rPr>
        <w:t>Във връзка с втората цел и в търсене на по-голяма съгласуваност на политиката, настоящото предложение включва също така разпоредби, с които да се гарантира, че разходването на средства по линия на Механизма н</w:t>
      </w:r>
      <w:r>
        <w:rPr>
          <w:noProof/>
        </w:rPr>
        <w:t>а Съюза е придружено от достатъчна видимост за Съюза. В същата връзка с настоящото предложение също така се създава възможност за изграждането на специална структура от мрежов тип, Мрежа на Съюза за знания в областта на гражданската защита, която ще засили</w:t>
      </w:r>
      <w:r>
        <w:rPr>
          <w:noProof/>
        </w:rPr>
        <w:t xml:space="preserve"> обучителния компонент на МГЗС в тясно сътрудничество със съответните съществуващи национални структури в тази област.</w:t>
      </w:r>
    </w:p>
    <w:p w:rsidR="00271729" w:rsidRDefault="00AD0727">
      <w:pPr>
        <w:pBdr>
          <w:top w:val="nil"/>
          <w:left w:val="nil"/>
          <w:bottom w:val="nil"/>
          <w:right w:val="nil"/>
          <w:between w:val="nil"/>
          <w:bar w:val="nil"/>
        </w:pBdr>
        <w:spacing w:before="0" w:after="240"/>
        <w:rPr>
          <w:noProof/>
        </w:rPr>
      </w:pPr>
      <w:r>
        <w:rPr>
          <w:noProof/>
        </w:rPr>
        <w:t xml:space="preserve">Накрая, що се отнася до третата цел, предложението е насочено към рационализиране на административните процедури с оглед ограничаване на </w:t>
      </w:r>
      <w:r>
        <w:rPr>
          <w:noProof/>
        </w:rPr>
        <w:t>забавянията при предоставянето на помощ. То опростява действащата система чрез въвеждане на една-единствена категория активи за реагиране, чието използване изисква съфинансиране от държавите членки и от бюджета на ЕС, а именно Европейския резерв за граждан</w:t>
      </w:r>
      <w:r>
        <w:rPr>
          <w:noProof/>
        </w:rPr>
        <w:t>ска защита. Във връзка със съфинансирането на транспортните разходи е въведено специфично позоваване на използването на единични суми, еднократни суми и фиксирани ставки с цел подобряване на последователността и ефективността. Освен това с цел да се изясни</w:t>
      </w:r>
      <w:r>
        <w:rPr>
          <w:noProof/>
        </w:rPr>
        <w:t xml:space="preserve"> приложното поле и да се стимулира използването на активите в етапа на незабавно реагиране бяха включени специфични разпоредби, ограничаващи действието на исканията, активиращи Механизма на Съюза, в рамките на 90 дни (освен ако не са налице основания за др</w:t>
      </w:r>
      <w:r>
        <w:rPr>
          <w:noProof/>
        </w:rPr>
        <w:t>уго решение).</w:t>
      </w:r>
    </w:p>
    <w:p w:rsidR="00271729" w:rsidRDefault="00271729">
      <w:pPr>
        <w:rPr>
          <w:noProof/>
        </w:rPr>
        <w:sectPr w:rsidR="00271729" w:rsidSect="002C541A">
          <w:footerReference w:type="default" r:id="rId11"/>
          <w:footerReference w:type="first" r:id="rId12"/>
          <w:pgSz w:w="11907" w:h="16839"/>
          <w:pgMar w:top="1134" w:right="1417" w:bottom="1134" w:left="1417" w:header="709" w:footer="709" w:gutter="0"/>
          <w:cols w:space="708"/>
          <w:docGrid w:linePitch="360"/>
        </w:sectPr>
      </w:pPr>
    </w:p>
    <w:p w:rsidR="00271729" w:rsidRDefault="002C541A" w:rsidP="002C541A">
      <w:pPr>
        <w:pStyle w:val="Rfrenceinterinstitutionnelle"/>
        <w:rPr>
          <w:noProof/>
        </w:rPr>
      </w:pPr>
      <w:r w:rsidRPr="002C541A">
        <w:t>2017/0309 (COD)</w:t>
      </w:r>
    </w:p>
    <w:p w:rsidR="00271729" w:rsidRDefault="00AD0727">
      <w:pPr>
        <w:pStyle w:val="Statut"/>
        <w:rPr>
          <w:noProof/>
        </w:rPr>
      </w:pPr>
      <w:r>
        <w:rPr>
          <w:noProof/>
        </w:rPr>
        <w:t>Предложение за</w:t>
      </w:r>
    </w:p>
    <w:p w:rsidR="00271729" w:rsidRDefault="00AD0727">
      <w:pPr>
        <w:pStyle w:val="Typedudocument"/>
        <w:rPr>
          <w:noProof/>
        </w:rPr>
      </w:pPr>
      <w:r>
        <w:rPr>
          <w:noProof/>
        </w:rPr>
        <w:t>РЕШЕНИЕ НА ЕВРОПЕЙСКИЯ ПАРЛАМЕНТ И НА СЪВЕТА</w:t>
      </w:r>
    </w:p>
    <w:p w:rsidR="00271729" w:rsidRDefault="00AD0727">
      <w:pPr>
        <w:pStyle w:val="Titreobjet"/>
        <w:rPr>
          <w:noProof/>
        </w:rPr>
      </w:pPr>
      <w:r>
        <w:rPr>
          <w:noProof/>
        </w:rPr>
        <w:t>за изменение на Решение № 1313/2013/ЕС относно Механизъм за гражданска защита на Съюза</w:t>
      </w:r>
    </w:p>
    <w:p w:rsidR="00271729" w:rsidRDefault="00AD0727">
      <w:pPr>
        <w:pStyle w:val="Institutionquiagit"/>
        <w:rPr>
          <w:noProof/>
        </w:rPr>
      </w:pPr>
      <w:r>
        <w:rPr>
          <w:noProof/>
        </w:rPr>
        <w:t xml:space="preserve">ЕВРОПЕЙСКИЯТ ПАРЛАМЕНТ И </w:t>
      </w:r>
      <w:r>
        <w:rPr>
          <w:noProof/>
        </w:rPr>
        <w:t>СЪВЕТЪТ НА ЕВРОПЕЙСКИЯ СЪЮЗ,</w:t>
      </w:r>
    </w:p>
    <w:p w:rsidR="00271729" w:rsidRDefault="00AD0727">
      <w:pPr>
        <w:rPr>
          <w:noProof/>
        </w:rPr>
      </w:pPr>
      <w:r>
        <w:rPr>
          <w:noProof/>
        </w:rPr>
        <w:t>като взеха предвид Договора за функционирането на Европейския съюз, и по-специално член 196 от него,</w:t>
      </w:r>
    </w:p>
    <w:p w:rsidR="00271729" w:rsidRDefault="00AD0727">
      <w:pPr>
        <w:rPr>
          <w:noProof/>
        </w:rPr>
      </w:pPr>
      <w:r>
        <w:rPr>
          <w:noProof/>
        </w:rPr>
        <w:t>като взеха предвид предложението на Европейската комисия,</w:t>
      </w:r>
    </w:p>
    <w:p w:rsidR="00271729" w:rsidRDefault="00AD0727">
      <w:pPr>
        <w:rPr>
          <w:noProof/>
        </w:rPr>
      </w:pPr>
      <w:r>
        <w:rPr>
          <w:noProof/>
        </w:rPr>
        <w:t>след предаване на проекта на законодателния акт на националните парл</w:t>
      </w:r>
      <w:r>
        <w:rPr>
          <w:noProof/>
        </w:rPr>
        <w:t>аменти,</w:t>
      </w:r>
    </w:p>
    <w:p w:rsidR="00271729" w:rsidRDefault="00AD0727">
      <w:pPr>
        <w:rPr>
          <w:noProof/>
        </w:rPr>
      </w:pPr>
      <w:r>
        <w:rPr>
          <w:noProof/>
        </w:rPr>
        <w:t>като взеха предвид становището на Комитета на регионите,</w:t>
      </w:r>
    </w:p>
    <w:p w:rsidR="00271729" w:rsidRDefault="00AD0727">
      <w:pPr>
        <w:rPr>
          <w:noProof/>
        </w:rPr>
      </w:pPr>
      <w:r>
        <w:rPr>
          <w:noProof/>
        </w:rPr>
        <w:t>в съответствие с обикновената законодателна процедура,</w:t>
      </w:r>
    </w:p>
    <w:p w:rsidR="00271729" w:rsidRDefault="00AD0727">
      <w:pPr>
        <w:rPr>
          <w:noProof/>
        </w:rPr>
      </w:pPr>
      <w:r>
        <w:rPr>
          <w:noProof/>
        </w:rPr>
        <w:t>като имат предвид, че:</w:t>
      </w:r>
    </w:p>
    <w:p w:rsidR="00271729" w:rsidRDefault="00AD0727">
      <w:pPr>
        <w:pStyle w:val="ManualConsidrant"/>
        <w:rPr>
          <w:noProof/>
        </w:rPr>
      </w:pPr>
      <w:r>
        <w:t>(1)</w:t>
      </w:r>
      <w:r>
        <w:tab/>
      </w:r>
      <w:r>
        <w:rPr>
          <w:noProof/>
        </w:rPr>
        <w:t>Механизмът за гражданска защита на Съюза (наричан по-нататък „Механизмът на Съюза“), който е уреден в Решение</w:t>
      </w:r>
      <w:r>
        <w:rPr>
          <w:noProof/>
        </w:rPr>
        <w:t xml:space="preserve"> № 1313/2013/ЕС на Европейския парламент и на Съвета</w:t>
      </w:r>
      <w:r>
        <w:rPr>
          <w:rStyle w:val="FootnoteReference"/>
          <w:noProof/>
        </w:rPr>
        <w:footnoteReference w:id="13"/>
      </w:r>
      <w:r>
        <w:rPr>
          <w:noProof/>
        </w:rPr>
        <w:t>, засилва сътрудничеството между Съюза и държавите членки и улеснява координацията в областта на гражданската защита с цел подобряване на реакцията на Съюза при природни и причинени от човека бедствия.</w:t>
      </w:r>
    </w:p>
    <w:p w:rsidR="00271729" w:rsidRDefault="00AD0727">
      <w:pPr>
        <w:pStyle w:val="ManualConsidrant"/>
        <w:rPr>
          <w:noProof/>
        </w:rPr>
      </w:pPr>
      <w:r>
        <w:t>(</w:t>
      </w:r>
      <w:r>
        <w:t>2)</w:t>
      </w:r>
      <w:r>
        <w:tab/>
      </w:r>
      <w:r>
        <w:rPr>
          <w:noProof/>
        </w:rPr>
        <w:t>При отчитане на факта, че държавите членки носят основната отговорност за превенцията, подготовката и реакцията във връзка с природни и причинени от човека бедствия, Механизмът на Съюза насърчава солидарността между държавите членки в съответствие с чле</w:t>
      </w:r>
      <w:r>
        <w:rPr>
          <w:noProof/>
        </w:rPr>
        <w:t>н 3, параграф 3 от Договора за Европейския съюз.</w:t>
      </w:r>
    </w:p>
    <w:p w:rsidR="00271729" w:rsidRDefault="00AD0727">
      <w:pPr>
        <w:pStyle w:val="ManualConsidrant"/>
        <w:rPr>
          <w:noProof/>
        </w:rPr>
      </w:pPr>
      <w:r>
        <w:t>(3)</w:t>
      </w:r>
      <w:r>
        <w:tab/>
      </w:r>
      <w:r>
        <w:rPr>
          <w:noProof/>
        </w:rPr>
        <w:t>Природните и причинените от човека бедствия могат да връхлетят навсякъде по света, често без наличие на предупреждение за тях. Независимо дали бедствията са природни или причинени от човека, те стават вс</w:t>
      </w:r>
      <w:r>
        <w:rPr>
          <w:noProof/>
        </w:rPr>
        <w:t>е по-чести, по-тежки и по-комплексни, като тяхното въздействие се влошава от последиците от изменението на климата и не се ограничава в националните граници. Човешките, екологичните и икономическите последствия, произтичащи от бедствията, могат да бъдат ог</w:t>
      </w:r>
      <w:r>
        <w:rPr>
          <w:noProof/>
        </w:rPr>
        <w:t>ромни.</w:t>
      </w:r>
    </w:p>
    <w:p w:rsidR="00271729" w:rsidRDefault="00AD0727">
      <w:pPr>
        <w:pStyle w:val="ManualConsidrant"/>
        <w:rPr>
          <w:noProof/>
        </w:rPr>
      </w:pPr>
      <w:r>
        <w:t>(4)</w:t>
      </w:r>
      <w:r>
        <w:tab/>
      </w:r>
      <w:r>
        <w:rPr>
          <w:noProof/>
        </w:rPr>
        <w:t>Неотдавнашният опит показва, че разчитането на доброволни предложения за взаимопомощ, координирани и улеснявани от Механизма на Съюза, не винаги гарантира предоставяне на достатъчно способности за посрещане в задоволителна степен на основните по</w:t>
      </w:r>
      <w:r>
        <w:rPr>
          <w:noProof/>
        </w:rPr>
        <w:t>требности на хората, засегнати от бедствия, нито добра защита на околната среда и имуществото. Това важи особено за случаите, в които държави членки са засегнати едновременно от многократни бедствия и колективният капацитет е недостатъчен.</w:t>
      </w:r>
    </w:p>
    <w:p w:rsidR="00271729" w:rsidRDefault="00AD0727">
      <w:pPr>
        <w:pStyle w:val="ManualConsidrant"/>
        <w:rPr>
          <w:noProof/>
        </w:rPr>
      </w:pPr>
      <w:r>
        <w:t>(5)</w:t>
      </w:r>
      <w:r>
        <w:tab/>
      </w:r>
      <w:r>
        <w:rPr>
          <w:noProof/>
        </w:rPr>
        <w:t xml:space="preserve">Превенцията </w:t>
      </w:r>
      <w:r>
        <w:rPr>
          <w:noProof/>
        </w:rPr>
        <w:t>има решаващо значение за защитата от бедствия и изисква предприемане на по-нататъшни действия. За тази цел държавите членки следва редовно да обменят оценки на риска, както и обобщения на своето планиране на управлението на риска от бедствия с цел осигуряв</w:t>
      </w:r>
      <w:r>
        <w:rPr>
          <w:noProof/>
        </w:rPr>
        <w:t>ане на интегриран подход към управлението при бедствия, обединяващ действията за превенция на риска, готовност и реагиране. Освен това Комисията следва да може да изисква от държави членки да предоставят специфични планове за превенция и готовност във връз</w:t>
      </w:r>
      <w:r>
        <w:rPr>
          <w:noProof/>
        </w:rPr>
        <w:t xml:space="preserve">ка със специфични бедствия, по-специално за да се увеличи цялостната подкрепа от Съюза за управлението на риска от бедствия. Административната тежест следва да се намали, а политиките за превенция следва да бъдат подсилени, включително чрез осигуряване на </w:t>
      </w:r>
      <w:r>
        <w:rPr>
          <w:noProof/>
        </w:rPr>
        <w:t>необходимите връзки с други ключови политики и инструменти на Съюза, и по-специално европейските структурни и инвестиционни фондове, посочени в съображение 2 от Регламент (ЕС) № 1303/2013</w:t>
      </w:r>
      <w:r>
        <w:rPr>
          <w:rStyle w:val="FootnoteReference"/>
          <w:noProof/>
        </w:rPr>
        <w:footnoteReference w:id="14"/>
      </w:r>
      <w:r>
        <w:rPr>
          <w:noProof/>
        </w:rPr>
        <w:t xml:space="preserve">. </w:t>
      </w:r>
    </w:p>
    <w:p w:rsidR="00271729" w:rsidRDefault="00AD0727">
      <w:pPr>
        <w:pStyle w:val="ManualConsidrant"/>
        <w:rPr>
          <w:noProof/>
        </w:rPr>
      </w:pPr>
      <w:r>
        <w:t>(6)</w:t>
      </w:r>
      <w:r>
        <w:tab/>
      </w:r>
      <w:r>
        <w:rPr>
          <w:noProof/>
        </w:rPr>
        <w:t>Необходимо е да се укрепи колективната способност за подготов</w:t>
      </w:r>
      <w:r>
        <w:rPr>
          <w:noProof/>
        </w:rPr>
        <w:t>ка и реагиране при бедствия, по-специално чрез взаимна подкрепа в Европа. В допълнение към укрепването на възможностите, които вече се предлагат от Европейския капацитет за реагиране при извънредни ситуации (EERC или „доброволно обединяване“), наричан отту</w:t>
      </w:r>
      <w:r>
        <w:rPr>
          <w:noProof/>
        </w:rPr>
        <w:t>к-нататък „Европейски резерв за гражданска защита“, Комисията също така следва да създаде rescEU. Съставът на rescEU следва да включва способности за реагиране при извънредни ситуации на горски пожари, мащабни наводнения и земетресения, както и полева болн</w:t>
      </w:r>
      <w:r>
        <w:rPr>
          <w:noProof/>
        </w:rPr>
        <w:t>ица и медицински екипи, отговарящи на стандартите на Световната здравна организация, които да могат да бъдат използвани бързо.</w:t>
      </w:r>
    </w:p>
    <w:p w:rsidR="00271729" w:rsidRDefault="00AD0727">
      <w:pPr>
        <w:pStyle w:val="ManualConsidrant"/>
        <w:rPr>
          <w:noProof/>
        </w:rPr>
      </w:pPr>
      <w:r>
        <w:t>(7)</w:t>
      </w:r>
      <w:r>
        <w:tab/>
      </w:r>
      <w:r>
        <w:rPr>
          <w:noProof/>
        </w:rPr>
        <w:t>Съюзът следва да може да подпомага държавите членки, в които наличните способности не са достатъчни, за да дадат възможност з</w:t>
      </w:r>
      <w:r>
        <w:rPr>
          <w:noProof/>
        </w:rPr>
        <w:t>а ефективна реакция при бедствия, като допринася за финансирането на договорни механизми за наем или лизинг с цел осигуряване на бърз достъп до такива способности или като финансира закупуването на такива способности. Това ще увеличи значително ефективност</w:t>
      </w:r>
      <w:r>
        <w:rPr>
          <w:noProof/>
        </w:rPr>
        <w:t>та на Механизма на Съюза чрез осигуряване на налични способности в случаите, в които иначе не би била гарантирана ефективна реакция при бедствия, особено при бедствия с широкообхватни въздействия, които засягат значителен брой държави членки. Осигуряването</w:t>
      </w:r>
      <w:r>
        <w:rPr>
          <w:noProof/>
        </w:rPr>
        <w:t xml:space="preserve"> на способности от Съюза следва да даде възможност за икономии от мащаба и за по-добра координация при реагирането на бедствия.</w:t>
      </w:r>
    </w:p>
    <w:p w:rsidR="00271729" w:rsidRDefault="00AD0727">
      <w:pPr>
        <w:pStyle w:val="ManualConsidrant"/>
        <w:rPr>
          <w:noProof/>
        </w:rPr>
      </w:pPr>
      <w:r>
        <w:t>(8)</w:t>
      </w:r>
      <w:r>
        <w:tab/>
      </w:r>
      <w:r>
        <w:rPr>
          <w:noProof/>
        </w:rPr>
        <w:t>Укрепването на Европейския резерв за гражданска защита изисква засилено финансиране от Съюза във връзка с адаптацията и ремо</w:t>
      </w:r>
      <w:r>
        <w:rPr>
          <w:noProof/>
        </w:rPr>
        <w:t>нта на активите, включени в способностите, както и във връзка с оперативните разходи.</w:t>
      </w:r>
    </w:p>
    <w:p w:rsidR="00271729" w:rsidRDefault="00AD0727">
      <w:pPr>
        <w:pStyle w:val="ManualConsidrant"/>
        <w:rPr>
          <w:noProof/>
        </w:rPr>
      </w:pPr>
      <w:r>
        <w:t>(9)</w:t>
      </w:r>
      <w:r>
        <w:tab/>
      </w:r>
      <w:r>
        <w:rPr>
          <w:noProof/>
        </w:rPr>
        <w:t>За да се повишат ефикасността и ефективността на обучението и ученията и да се засили сътрудничеството между националните органи и служби за гражданска защита на държ</w:t>
      </w:r>
      <w:r>
        <w:rPr>
          <w:noProof/>
        </w:rPr>
        <w:t>авите членки, е необходимо да се създаде Мрежа на Съюза за знания в областта на гражданската защита, която да се основава на съществуващите структури.</w:t>
      </w:r>
    </w:p>
    <w:p w:rsidR="00271729" w:rsidRDefault="00AD0727">
      <w:pPr>
        <w:pStyle w:val="ManualConsidrant"/>
        <w:rPr>
          <w:noProof/>
        </w:rPr>
      </w:pPr>
      <w:r>
        <w:t>(10)</w:t>
      </w:r>
      <w:r>
        <w:tab/>
      </w:r>
      <w:r>
        <w:rPr>
          <w:noProof/>
        </w:rPr>
        <w:t>За да се осигури функционирането на капацитета rescEU, следва да се предоставят допълнителни бюджетн</w:t>
      </w:r>
      <w:r>
        <w:rPr>
          <w:noProof/>
        </w:rPr>
        <w:t>и кредити за финансиране на действия по линия на Механизма на Съюза.</w:t>
      </w:r>
    </w:p>
    <w:p w:rsidR="00271729" w:rsidRDefault="00AD0727">
      <w:pPr>
        <w:pStyle w:val="ManualConsidrant"/>
        <w:rPr>
          <w:noProof/>
        </w:rPr>
      </w:pPr>
      <w:r>
        <w:t>(11)</w:t>
      </w:r>
      <w:r>
        <w:tab/>
      </w:r>
      <w:r>
        <w:rPr>
          <w:noProof/>
        </w:rPr>
        <w:t>Необходимо е процедурите по Механизма на Съюза да бъдат опростени, за да се гарантира, че държавите членки могат да имат достъп до помощта и способностите, които са им необходими, за</w:t>
      </w:r>
      <w:r>
        <w:rPr>
          <w:noProof/>
        </w:rPr>
        <w:t xml:space="preserve"> да могат възможно най-бързо да реагират на природни или предизвикани от човека бедствия.</w:t>
      </w:r>
    </w:p>
    <w:p w:rsidR="00271729" w:rsidRDefault="00AD0727">
      <w:pPr>
        <w:pStyle w:val="ManualConsidrant"/>
        <w:rPr>
          <w:bCs/>
          <w:noProof/>
        </w:rPr>
      </w:pPr>
      <w:r>
        <w:t>(12)</w:t>
      </w:r>
      <w:r>
        <w:tab/>
      </w:r>
      <w:r>
        <w:rPr>
          <w:noProof/>
        </w:rPr>
        <w:t xml:space="preserve">С цел да се увеличи максимално използването на съществуващите инструменти за финансиране и да се подкрепят държавите членки при предоставянето на помощ, особено </w:t>
      </w:r>
      <w:r>
        <w:rPr>
          <w:noProof/>
        </w:rPr>
        <w:t>при реакция на бедствия извън Съюза, следва да се предвиди дерогация от член 129, параграф 1 от Регламент (ЕС, Евратом) № 966/2012 на Европейския парламент и на Съвета</w:t>
      </w:r>
      <w:r>
        <w:rPr>
          <w:rStyle w:val="FootnoteReference"/>
          <w:noProof/>
        </w:rPr>
        <w:footnoteReference w:id="15"/>
      </w:r>
      <w:r>
        <w:rPr>
          <w:noProof/>
        </w:rPr>
        <w:t xml:space="preserve"> за случаите, когато се предоставя финансиране съгласно членове 21, 22 и 23 от Решение №</w:t>
      </w:r>
      <w:r>
        <w:rPr>
          <w:noProof/>
        </w:rPr>
        <w:t> 1313/2013/ЕС.</w:t>
      </w:r>
    </w:p>
    <w:p w:rsidR="00271729" w:rsidRDefault="00AD0727">
      <w:pPr>
        <w:pStyle w:val="ManualConsidrant"/>
        <w:rPr>
          <w:noProof/>
        </w:rPr>
      </w:pPr>
      <w:r>
        <w:t>(13)</w:t>
      </w:r>
      <w:r>
        <w:tab/>
      </w:r>
      <w:r>
        <w:rPr>
          <w:noProof/>
        </w:rPr>
        <w:t>Важно е да се гарантира, че държавите членки предприемат всички необходими действия за ефективното предотвратяване на природни и причинени от човека бедствия и за смекчаването на последиците от тях. Разпоредбите следва да засилят връзки</w:t>
      </w:r>
      <w:r>
        <w:rPr>
          <w:noProof/>
        </w:rPr>
        <w:t>те между действията за превенция, готовност и реагиране по линия на Механизма на Съюза. Следва да се гарантира също така съгласуваност с други съответни законодателни актове на Съюза в областта на предотвратяването и управлението на риска от бедствия, вклю</w:t>
      </w:r>
      <w:r>
        <w:rPr>
          <w:noProof/>
        </w:rPr>
        <w:t>чително по отношение на трансграничните превантивни действия и реагирането на заплахи като сериозните трансгранични заплахи за здравето</w:t>
      </w:r>
      <w:r>
        <w:rPr>
          <w:rStyle w:val="FootnoteReference"/>
          <w:noProof/>
        </w:rPr>
        <w:footnoteReference w:id="16"/>
      </w:r>
      <w:r>
        <w:rPr>
          <w:noProof/>
        </w:rPr>
        <w:t>. Също така следва да бъде осигурена съгласуваност с международни ангажименти, като например Рамковата програма от Сенда</w:t>
      </w:r>
      <w:r>
        <w:rPr>
          <w:noProof/>
        </w:rPr>
        <w:t>й за намаляване на риска от бедствия за периода 2015—2030 г., Парижкото споразумение и Програмата до 2030 г. за устойчиво развитие.</w:t>
      </w:r>
    </w:p>
    <w:p w:rsidR="00271729" w:rsidRDefault="00AD0727">
      <w:pPr>
        <w:pStyle w:val="ManualConsidrant"/>
        <w:rPr>
          <w:noProof/>
        </w:rPr>
      </w:pPr>
      <w:r>
        <w:t>(14)</w:t>
      </w:r>
      <w:r>
        <w:tab/>
      </w:r>
      <w:r>
        <w:rPr>
          <w:noProof/>
        </w:rPr>
        <w:t xml:space="preserve">Делегирането на правомощия, предоставени на Комисията по силата на Решение № 1313/2013/ЕС, следва да бъде изменено, за </w:t>
      </w:r>
      <w:r>
        <w:rPr>
          <w:noProof/>
        </w:rPr>
        <w:t>да се даде възможност за създаване на ефективен капацитет за подкрепа при извънредни ситуации за Европейския съюз (rescEU). На Комисията следва да бъде делегирано правомощието да приема актове в съответствие с член 290 от Договора за функционирането на Евр</w:t>
      </w:r>
      <w:r>
        <w:rPr>
          <w:noProof/>
        </w:rPr>
        <w:t>опейския съюз, за да определя допълнителни видове способности за реагиране въз основа на установените рискове и като възприема подход, отчитащ множество рискове.</w:t>
      </w:r>
    </w:p>
    <w:p w:rsidR="00271729" w:rsidRDefault="00AD0727">
      <w:pPr>
        <w:pStyle w:val="ManualConsidrant"/>
        <w:rPr>
          <w:noProof/>
        </w:rPr>
      </w:pPr>
      <w:r>
        <w:t>(15)</w:t>
      </w:r>
      <w:r>
        <w:tab/>
      </w:r>
      <w:r>
        <w:rPr>
          <w:noProof/>
        </w:rPr>
        <w:t xml:space="preserve">Доколкото целите на настоящото решение не могат да бъдат постигнати в достатъчна степен </w:t>
      </w:r>
      <w:r>
        <w:rPr>
          <w:noProof/>
        </w:rPr>
        <w:t xml:space="preserve">от държавите членки, действащи поотделно, а поради обхвата или последиците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w:t>
      </w:r>
      <w:r>
        <w:rPr>
          <w:noProof/>
        </w:rPr>
        <w:t>съответствие с принципа на пропорционалност, уреден в същия член, настоящото решение не надхвърля необходимото за постигането на тези цели.</w:t>
      </w:r>
    </w:p>
    <w:p w:rsidR="00271729" w:rsidRDefault="00AD0727">
      <w:pPr>
        <w:pStyle w:val="ManualConsidrant"/>
        <w:rPr>
          <w:noProof/>
        </w:rPr>
      </w:pPr>
      <w:r>
        <w:t>(16)</w:t>
      </w:r>
      <w:r>
        <w:tab/>
      </w:r>
      <w:r>
        <w:rPr>
          <w:noProof/>
        </w:rPr>
        <w:t>Поради това Решение № 1313/2013/ЕС следва да бъде съответно изменено,</w:t>
      </w:r>
    </w:p>
    <w:p w:rsidR="00271729" w:rsidRDefault="00AD0727">
      <w:pPr>
        <w:pStyle w:val="Formuledadoption"/>
        <w:rPr>
          <w:noProof/>
        </w:rPr>
      </w:pPr>
      <w:r>
        <w:rPr>
          <w:noProof/>
        </w:rPr>
        <w:t>ПРИЕХА НАСТОЯЩОТО РЕШЕНИЕ:</w:t>
      </w:r>
    </w:p>
    <w:p w:rsidR="00271729" w:rsidRDefault="00AD0727">
      <w:pPr>
        <w:pStyle w:val="Titrearticle"/>
        <w:rPr>
          <w:noProof/>
        </w:rPr>
      </w:pPr>
      <w:r>
        <w:rPr>
          <w:noProof/>
        </w:rPr>
        <w:t>Член 1</w:t>
      </w:r>
    </w:p>
    <w:p w:rsidR="00271729" w:rsidRDefault="00AD0727">
      <w:pPr>
        <w:rPr>
          <w:noProof/>
        </w:rPr>
      </w:pPr>
      <w:r>
        <w:rPr>
          <w:noProof/>
        </w:rPr>
        <w:t>Решение</w:t>
      </w:r>
      <w:r>
        <w:rPr>
          <w:noProof/>
        </w:rPr>
        <w:t xml:space="preserve"> № 1313/2013/ЕС се изменя, както следва:</w:t>
      </w:r>
    </w:p>
    <w:p w:rsidR="00271729" w:rsidRDefault="00AD0727">
      <w:pPr>
        <w:pStyle w:val="Point0"/>
        <w:rPr>
          <w:noProof/>
        </w:rPr>
      </w:pPr>
      <w:r>
        <w:rPr>
          <w:noProof/>
        </w:rPr>
        <w:t>1)</w:t>
      </w:r>
      <w:r>
        <w:rPr>
          <w:noProof/>
        </w:rPr>
        <w:tab/>
        <w:t>Член 3 се изменя, както следва:</w:t>
      </w:r>
    </w:p>
    <w:p w:rsidR="00271729" w:rsidRDefault="00AD0727">
      <w:pPr>
        <w:pStyle w:val="Point0"/>
        <w:ind w:firstLine="0"/>
        <w:rPr>
          <w:noProof/>
        </w:rPr>
      </w:pPr>
      <w:r>
        <w:rPr>
          <w:noProof/>
        </w:rPr>
        <w:t>а) в параграф 1 се добавя следната буква д):</w:t>
      </w:r>
    </w:p>
    <w:p w:rsidR="00271729" w:rsidRDefault="00AD0727">
      <w:pPr>
        <w:pStyle w:val="Point0"/>
        <w:ind w:firstLine="0"/>
        <w:rPr>
          <w:noProof/>
        </w:rPr>
      </w:pPr>
      <w:r>
        <w:rPr>
          <w:noProof/>
        </w:rPr>
        <w:t>„д)</w:t>
      </w:r>
      <w:r>
        <w:rPr>
          <w:noProof/>
        </w:rPr>
        <w:tab/>
        <w:t>увеличаване на наличността и използването на научни знания за бедствията.“</w:t>
      </w:r>
    </w:p>
    <w:p w:rsidR="00271729" w:rsidRDefault="00AD0727">
      <w:pPr>
        <w:pStyle w:val="Point0"/>
        <w:ind w:firstLine="0"/>
        <w:rPr>
          <w:noProof/>
        </w:rPr>
      </w:pPr>
      <w:r>
        <w:rPr>
          <w:noProof/>
        </w:rPr>
        <w:t>б) в параграф 2 буква а) се заменя със следното:</w:t>
      </w:r>
    </w:p>
    <w:p w:rsidR="00271729" w:rsidRDefault="00AD0727">
      <w:pPr>
        <w:pStyle w:val="Point1"/>
        <w:rPr>
          <w:noProof/>
        </w:rPr>
      </w:pPr>
      <w:r>
        <w:rPr>
          <w:noProof/>
        </w:rPr>
        <w:t>„а)</w:t>
      </w:r>
      <w:r>
        <w:rPr>
          <w:noProof/>
        </w:rPr>
        <w:tab/>
        <w:t>нап</w:t>
      </w:r>
      <w:r>
        <w:rPr>
          <w:noProof/>
        </w:rPr>
        <w:t>редъкът при изпълнение на рамката за превенция на бедствия: измерван с броя на държавите членки, които са предоставили на Комисията своите оценки на риска, оценка на способността си за управление на риска и обобщение на своето планиране за управление при б</w:t>
      </w:r>
      <w:r>
        <w:rPr>
          <w:noProof/>
        </w:rPr>
        <w:t>едствия, както е посочено в член 6;“</w:t>
      </w:r>
    </w:p>
    <w:p w:rsidR="00271729" w:rsidRDefault="00AD0727">
      <w:pPr>
        <w:pStyle w:val="Point0"/>
        <w:rPr>
          <w:noProof/>
        </w:rPr>
      </w:pPr>
      <w:r>
        <w:rPr>
          <w:noProof/>
        </w:rPr>
        <w:t>2)</w:t>
      </w:r>
      <w:r>
        <w:rPr>
          <w:noProof/>
        </w:rPr>
        <w:tab/>
        <w:t>В член 4 се добавя следната точка 12:</w:t>
      </w:r>
    </w:p>
    <w:p w:rsidR="00271729" w:rsidRDefault="00AD0727">
      <w:pPr>
        <w:pStyle w:val="Point1"/>
        <w:ind w:firstLine="0"/>
        <w:rPr>
          <w:noProof/>
        </w:rPr>
      </w:pPr>
      <w:r>
        <w:rPr>
          <w:noProof/>
        </w:rPr>
        <w:t>„12) „участваща държава“ означава трета държава, която участва в Механизма на Съюза в съответствие с член 28, параграф 1;“</w:t>
      </w:r>
    </w:p>
    <w:p w:rsidR="00271729" w:rsidRDefault="00AD0727">
      <w:pPr>
        <w:pStyle w:val="Point0"/>
        <w:rPr>
          <w:noProof/>
        </w:rPr>
      </w:pPr>
      <w:r>
        <w:rPr>
          <w:noProof/>
        </w:rPr>
        <w:t>3)</w:t>
      </w:r>
      <w:r>
        <w:rPr>
          <w:noProof/>
        </w:rPr>
        <w:tab/>
        <w:t xml:space="preserve">В член 5, параграф 1, буква а) се заменя със </w:t>
      </w:r>
      <w:r>
        <w:rPr>
          <w:noProof/>
        </w:rPr>
        <w:t>следното:</w:t>
      </w:r>
    </w:p>
    <w:p w:rsidR="00271729" w:rsidRDefault="00AD0727">
      <w:pPr>
        <w:pStyle w:val="Point0"/>
        <w:rPr>
          <w:noProof/>
        </w:rPr>
      </w:pPr>
      <w:r>
        <w:rPr>
          <w:noProof/>
        </w:rPr>
        <w:tab/>
        <w:t>„а)</w:t>
      </w:r>
      <w:r>
        <w:rPr>
          <w:noProof/>
        </w:rPr>
        <w:tab/>
        <w:t>предприема действия за подобряване на базата от знания относно рисковете от бедствия и улеснява обмена на знания, резултати от научни изследвания, най-добри практики и информация, включително сред държавите членки, изложени на общи рискове.“</w:t>
      </w:r>
    </w:p>
    <w:p w:rsidR="00271729" w:rsidRDefault="00AD0727">
      <w:pPr>
        <w:pStyle w:val="Point0"/>
        <w:rPr>
          <w:noProof/>
        </w:rPr>
      </w:pPr>
      <w:r>
        <w:rPr>
          <w:noProof/>
        </w:rPr>
        <w:t>4)</w:t>
      </w:r>
      <w:r>
        <w:rPr>
          <w:noProof/>
        </w:rPr>
        <w:tab/>
        <w:t>Член 6 се изменя, както следва:</w:t>
      </w:r>
    </w:p>
    <w:p w:rsidR="00271729" w:rsidRDefault="00AD0727">
      <w:pPr>
        <w:pStyle w:val="Point0"/>
        <w:ind w:firstLine="0"/>
        <w:rPr>
          <w:noProof/>
        </w:rPr>
      </w:pPr>
      <w:r>
        <w:rPr>
          <w:noProof/>
        </w:rPr>
        <w:t>а)</w:t>
      </w:r>
      <w:r>
        <w:rPr>
          <w:noProof/>
        </w:rPr>
        <w:tab/>
        <w:t>букви а) и б) се заменят със следното:</w:t>
      </w:r>
    </w:p>
    <w:p w:rsidR="00271729" w:rsidRDefault="00AD0727">
      <w:pPr>
        <w:pStyle w:val="Point1"/>
        <w:rPr>
          <w:noProof/>
        </w:rPr>
      </w:pPr>
      <w:r>
        <w:rPr>
          <w:noProof/>
        </w:rPr>
        <w:t>„а)</w:t>
      </w:r>
      <w:r>
        <w:rPr>
          <w:noProof/>
        </w:rPr>
        <w:tab/>
        <w:t>извършват оценки на риска на национално или на съответно поднационално равнище и ги предоставят на Комисията до 22 декември 2018 г. и на всеки три години след това;</w:t>
      </w:r>
    </w:p>
    <w:p w:rsidR="00271729" w:rsidRDefault="00AD0727">
      <w:pPr>
        <w:pStyle w:val="Point1"/>
        <w:rPr>
          <w:noProof/>
        </w:rPr>
      </w:pPr>
      <w:r>
        <w:rPr>
          <w:noProof/>
        </w:rPr>
        <w:t>б)</w:t>
      </w:r>
      <w:r>
        <w:rPr>
          <w:noProof/>
        </w:rPr>
        <w:tab/>
        <w:t>разраб</w:t>
      </w:r>
      <w:r>
        <w:rPr>
          <w:noProof/>
        </w:rPr>
        <w:t>отват и прецизират своето планиране на управлението на риска от бедствия на национално или на съответното поднационално равнище въз основа на оценките на риска, посочени в буква а), и като вземат предвид оценката на своята способност за управление на риска</w:t>
      </w:r>
      <w:r>
        <w:rPr>
          <w:noProof/>
        </w:rPr>
        <w:t>, посочена в буква в), и прегледа на рисковете, посочен в член 5, параграф 1, буква в).“</w:t>
      </w:r>
    </w:p>
    <w:p w:rsidR="00271729" w:rsidRDefault="00AD0727">
      <w:pPr>
        <w:pStyle w:val="Point1"/>
        <w:ind w:left="130" w:firstLine="720"/>
        <w:rPr>
          <w:noProof/>
        </w:rPr>
      </w:pPr>
      <w:r>
        <w:rPr>
          <w:noProof/>
        </w:rPr>
        <w:t>б)</w:t>
      </w:r>
      <w:r>
        <w:rPr>
          <w:noProof/>
        </w:rPr>
        <w:tab/>
        <w:t>добавят се следните втора и трета алинея:</w:t>
      </w:r>
    </w:p>
    <w:p w:rsidR="00271729" w:rsidRDefault="00AD0727">
      <w:pPr>
        <w:pStyle w:val="Point1"/>
        <w:ind w:firstLine="0"/>
        <w:rPr>
          <w:noProof/>
        </w:rPr>
      </w:pPr>
      <w:r>
        <w:rPr>
          <w:noProof/>
        </w:rPr>
        <w:t>„До 31 януари 2019 г. и на всеки три години след това на Комисията  се предоставя обобщение на съответните елементи от пла</w:t>
      </w:r>
      <w:r>
        <w:rPr>
          <w:noProof/>
        </w:rPr>
        <w:t>нирането на управлението на риска, включително информация за подбраните превантивни мерки и мерки за готовност. Освен това Комисията може да изисква от държави членки да представят специфични планове за превенция и готовност, които включват както краткосро</w:t>
      </w:r>
      <w:r>
        <w:rPr>
          <w:noProof/>
        </w:rPr>
        <w:t>чни, така и дългосрочни усилия. Съюзът отчита надлежно напредъка, постигнат от държавите членки по отношение на превенцията и готовността във връзка с бедствия, като част от всеки бъдещ механизъм за обвързване с предварителни условия по линия на европейски</w:t>
      </w:r>
      <w:r>
        <w:rPr>
          <w:noProof/>
        </w:rPr>
        <w:t>те структурни и инвестиционни фондове.</w:t>
      </w:r>
    </w:p>
    <w:p w:rsidR="00271729" w:rsidRDefault="00AD0727">
      <w:pPr>
        <w:pStyle w:val="Point1"/>
        <w:rPr>
          <w:noProof/>
        </w:rPr>
      </w:pPr>
      <w:r>
        <w:rPr>
          <w:noProof/>
        </w:rPr>
        <w:tab/>
        <w:t>Комисията може също така да създава специфични механизми за консултации с оглед засилване на подходящото планиране и координиране в областта на превенцията и готовността между държавите членки, които са изложени на с</w:t>
      </w:r>
      <w:r>
        <w:rPr>
          <w:noProof/>
        </w:rPr>
        <w:t>ходни видове бедствия.“</w:t>
      </w:r>
    </w:p>
    <w:p w:rsidR="00271729" w:rsidRDefault="00AD0727">
      <w:pPr>
        <w:pStyle w:val="Point0"/>
        <w:rPr>
          <w:noProof/>
        </w:rPr>
      </w:pPr>
      <w:r>
        <w:rPr>
          <w:noProof/>
        </w:rPr>
        <w:t>5)</w:t>
      </w:r>
      <w:r>
        <w:rPr>
          <w:noProof/>
        </w:rPr>
        <w:tab/>
        <w:t>В член 10 параграф 1 се заменя със следното:</w:t>
      </w:r>
    </w:p>
    <w:p w:rsidR="00271729" w:rsidRDefault="00AD0727">
      <w:pPr>
        <w:pStyle w:val="Point1"/>
        <w:rPr>
          <w:noProof/>
        </w:rPr>
      </w:pPr>
      <w:r>
        <w:rPr>
          <w:noProof/>
        </w:rPr>
        <w:t>„1.</w:t>
      </w:r>
      <w:r>
        <w:rPr>
          <w:noProof/>
        </w:rPr>
        <w:tab/>
        <w:t>Комисията и държавите членки работят съвместно за подобряване на извършваното в рамките на Механизма на Съюза планиране на операции за реагиране при бедствия, включително чрез разр</w:t>
      </w:r>
      <w:r>
        <w:rPr>
          <w:noProof/>
        </w:rPr>
        <w:t>аботване на сценарии за реагиране при бедствия въз основа на оценките на риска, посочени в член 6, буква а), и прегледа на рисковете, посочен в член 5, параграф 1, буква в), чрез картографиране на активи и чрез изготвяне на планове за използване на способн</w:t>
      </w:r>
      <w:r>
        <w:rPr>
          <w:noProof/>
        </w:rPr>
        <w:t>ости за реагиране.“</w:t>
      </w:r>
    </w:p>
    <w:p w:rsidR="00271729" w:rsidRDefault="00AD0727">
      <w:pPr>
        <w:pStyle w:val="Point0"/>
        <w:rPr>
          <w:noProof/>
        </w:rPr>
      </w:pPr>
      <w:r>
        <w:rPr>
          <w:noProof/>
        </w:rPr>
        <w:t>6)</w:t>
      </w:r>
      <w:r>
        <w:rPr>
          <w:noProof/>
        </w:rPr>
        <w:tab/>
        <w:t>Член 11 се изменя, както следва:</w:t>
      </w:r>
    </w:p>
    <w:p w:rsidR="00271729" w:rsidRDefault="00AD0727">
      <w:pPr>
        <w:pStyle w:val="Point0"/>
        <w:ind w:firstLine="0"/>
        <w:rPr>
          <w:noProof/>
        </w:rPr>
      </w:pPr>
      <w:r>
        <w:rPr>
          <w:noProof/>
        </w:rPr>
        <w:t>а)</w:t>
      </w:r>
      <w:r>
        <w:rPr>
          <w:noProof/>
        </w:rPr>
        <w:tab/>
        <w:t>Заглавието се заменя със следното:</w:t>
      </w:r>
    </w:p>
    <w:p w:rsidR="00271729" w:rsidRDefault="00AD0727">
      <w:pPr>
        <w:pStyle w:val="NormalCentered"/>
        <w:rPr>
          <w:b/>
          <w:noProof/>
        </w:rPr>
      </w:pPr>
      <w:r>
        <w:rPr>
          <w:b/>
          <w:noProof/>
        </w:rPr>
        <w:t>„Европейски резерв за гражданска защита“</w:t>
      </w:r>
    </w:p>
    <w:p w:rsidR="00271729" w:rsidRDefault="00AD0727">
      <w:pPr>
        <w:pStyle w:val="Point0"/>
        <w:ind w:firstLine="0"/>
        <w:rPr>
          <w:b/>
          <w:noProof/>
        </w:rPr>
      </w:pPr>
      <w:r>
        <w:rPr>
          <w:noProof/>
        </w:rPr>
        <w:t>б) параграфи 1 и 2 се заменят със следното:</w:t>
      </w:r>
    </w:p>
    <w:p w:rsidR="00271729" w:rsidRDefault="00AD0727">
      <w:pPr>
        <w:pStyle w:val="Point1"/>
        <w:rPr>
          <w:noProof/>
        </w:rPr>
      </w:pPr>
      <w:r>
        <w:rPr>
          <w:noProof/>
        </w:rPr>
        <w:t>„1.</w:t>
      </w:r>
      <w:r>
        <w:rPr>
          <w:noProof/>
        </w:rPr>
        <w:tab/>
        <w:t xml:space="preserve">Създава се Европейски резерв за гражданска защита. Той се изразява в </w:t>
      </w:r>
      <w:r>
        <w:rPr>
          <w:noProof/>
        </w:rPr>
        <w:t>обединяване на предварително заделени от държавите членки способности за реагиране и включва модули, други способности за реагиране и експерти.</w:t>
      </w:r>
    </w:p>
    <w:p w:rsidR="00271729" w:rsidRDefault="00AD0727">
      <w:pPr>
        <w:pStyle w:val="Point1"/>
        <w:rPr>
          <w:noProof/>
        </w:rPr>
      </w:pPr>
      <w:r>
        <w:rPr>
          <w:noProof/>
        </w:rPr>
        <w:t>2.</w:t>
      </w:r>
      <w:r>
        <w:rPr>
          <w:noProof/>
        </w:rPr>
        <w:tab/>
        <w:t>Въз основа на установените рискове Комисията определя видовете и броя ключови способности за реагиране, необх</w:t>
      </w:r>
      <w:r>
        <w:rPr>
          <w:noProof/>
        </w:rPr>
        <w:t>одими за Европейския резерв за гражданска защита („цели по отношение на способностите“). Комисията следи напредъка към постигане на целите по отношение на способностите, както и оставащите пропуски и насърчава държавите членки да запълнят тези пропуски. Ко</w:t>
      </w:r>
      <w:r>
        <w:rPr>
          <w:noProof/>
        </w:rPr>
        <w:t>мисията може да подпомага държавите членки в съответствие с член 20, член 21, параграф 1, буква и) и член 21, параграф 2.“</w:t>
      </w:r>
    </w:p>
    <w:p w:rsidR="00271729" w:rsidRDefault="00AD0727">
      <w:pPr>
        <w:pStyle w:val="Point1"/>
        <w:rPr>
          <w:noProof/>
        </w:rPr>
      </w:pPr>
      <w:r>
        <w:rPr>
          <w:noProof/>
        </w:rPr>
        <w:t>в)</w:t>
      </w:r>
      <w:r>
        <w:rPr>
          <w:noProof/>
        </w:rPr>
        <w:tab/>
        <w:t>параграфи 7 и 8 се заменят със следното:</w:t>
      </w:r>
    </w:p>
    <w:p w:rsidR="00271729" w:rsidRDefault="00AD0727">
      <w:pPr>
        <w:pStyle w:val="Point1"/>
        <w:rPr>
          <w:noProof/>
        </w:rPr>
      </w:pPr>
      <w:r>
        <w:rPr>
          <w:noProof/>
        </w:rPr>
        <w:t>„7.</w:t>
      </w:r>
      <w:r>
        <w:rPr>
          <w:noProof/>
        </w:rPr>
        <w:tab/>
        <w:t xml:space="preserve">Способностите за реагиране, които държавите членки предоставят за Европейския резерв </w:t>
      </w:r>
      <w:r>
        <w:rPr>
          <w:noProof/>
        </w:rPr>
        <w:t>за гражданска защита, са на разположение за операции за реагиране по линия на Механизма на Съюза след отправено искане за помощ чрез ERCC, освен в случаите, когато държавите членки са изправени пред извънредна ситуация, която засяга в значителна степен изп</w:t>
      </w:r>
      <w:r>
        <w:rPr>
          <w:noProof/>
        </w:rPr>
        <w:t>ълнението на националните задачи.</w:t>
      </w:r>
    </w:p>
    <w:p w:rsidR="00271729" w:rsidRDefault="00AD0727">
      <w:pPr>
        <w:pStyle w:val="Point1"/>
        <w:rPr>
          <w:noProof/>
        </w:rPr>
      </w:pPr>
      <w:r>
        <w:rPr>
          <w:noProof/>
        </w:rPr>
        <w:t>8.</w:t>
      </w:r>
      <w:r>
        <w:rPr>
          <w:noProof/>
        </w:rPr>
        <w:tab/>
        <w:t>В случай че тези способности се използват, те остават под командването и контрола на предоставилите ги държави членки и могат да бъдат оттеглени, когато държавите членки са изправени пред извънредна ситуация, която зася</w:t>
      </w:r>
      <w:r>
        <w:rPr>
          <w:noProof/>
        </w:rPr>
        <w:t>га в значителна степен изпълнението на националните задачи, поради което не могат да поддържат на разположение тези способности за реагиране. В такива случаи се провеждат консултации с Комисията.</w:t>
      </w:r>
    </w:p>
    <w:p w:rsidR="00271729" w:rsidRDefault="00AD0727">
      <w:pPr>
        <w:pStyle w:val="Point1"/>
        <w:ind w:firstLine="0"/>
        <w:rPr>
          <w:noProof/>
        </w:rPr>
      </w:pPr>
      <w:r>
        <w:rPr>
          <w:noProof/>
        </w:rPr>
        <w:t>Координирането на различните способности за реагиране се уле</w:t>
      </w:r>
      <w:r>
        <w:rPr>
          <w:noProof/>
        </w:rPr>
        <w:t>снява по целесъобразност от Комисията чрез ERCC в съответствие с членове 15 и 16.“</w:t>
      </w:r>
    </w:p>
    <w:p w:rsidR="00271729" w:rsidRDefault="00AD0727">
      <w:pPr>
        <w:pStyle w:val="Point1"/>
        <w:rPr>
          <w:noProof/>
        </w:rPr>
      </w:pPr>
      <w:r>
        <w:rPr>
          <w:noProof/>
        </w:rPr>
        <w:t>г)</w:t>
      </w:r>
      <w:r>
        <w:rPr>
          <w:noProof/>
        </w:rPr>
        <w:tab/>
        <w:t>добавя се следният параграф 10:</w:t>
      </w:r>
    </w:p>
    <w:p w:rsidR="00271729" w:rsidRDefault="00AD0727">
      <w:pPr>
        <w:pStyle w:val="Point1"/>
        <w:rPr>
          <w:noProof/>
        </w:rPr>
      </w:pPr>
      <w:r>
        <w:rPr>
          <w:noProof/>
        </w:rPr>
        <w:t>„10.</w:t>
      </w:r>
      <w:r>
        <w:rPr>
          <w:noProof/>
        </w:rPr>
        <w:tab/>
        <w:t>Позоваванията на Европейския капацитет за реагиране при извънредни ситуации — EERC, и доброволното обединяване се считат за позоваван</w:t>
      </w:r>
      <w:r>
        <w:rPr>
          <w:noProof/>
        </w:rPr>
        <w:t>ия на Европейския резерв за гражданска защита.“</w:t>
      </w:r>
    </w:p>
    <w:p w:rsidR="00271729" w:rsidRDefault="00AD0727">
      <w:pPr>
        <w:pStyle w:val="Point0"/>
        <w:rPr>
          <w:noProof/>
        </w:rPr>
      </w:pPr>
      <w:r>
        <w:rPr>
          <w:noProof/>
        </w:rPr>
        <w:t>7)</w:t>
      </w:r>
      <w:r>
        <w:rPr>
          <w:noProof/>
        </w:rPr>
        <w:tab/>
        <w:t>Член 12 се заменя със следното:</w:t>
      </w:r>
    </w:p>
    <w:p w:rsidR="00271729" w:rsidRDefault="00AD0727">
      <w:pPr>
        <w:pStyle w:val="NormalCentered"/>
        <w:rPr>
          <w:b/>
          <w:noProof/>
        </w:rPr>
      </w:pPr>
      <w:r>
        <w:rPr>
          <w:b/>
          <w:noProof/>
        </w:rPr>
        <w:t>„rescEU</w:t>
      </w:r>
    </w:p>
    <w:p w:rsidR="00271729" w:rsidRDefault="00AD0727">
      <w:pPr>
        <w:pStyle w:val="Point1"/>
        <w:rPr>
          <w:noProof/>
        </w:rPr>
      </w:pPr>
      <w:r>
        <w:rPr>
          <w:noProof/>
        </w:rPr>
        <w:t>1.</w:t>
      </w:r>
      <w:r>
        <w:rPr>
          <w:noProof/>
        </w:rPr>
        <w:tab/>
        <w:t>rescEU се създава с цел да предоставя помощ, когато съществуващите способности не позволяват ефективно реагиране при бедствия.</w:t>
      </w:r>
    </w:p>
    <w:p w:rsidR="00271729" w:rsidRDefault="00AD0727">
      <w:pPr>
        <w:pStyle w:val="Point1"/>
        <w:rPr>
          <w:noProof/>
        </w:rPr>
      </w:pPr>
      <w:r>
        <w:rPr>
          <w:noProof/>
        </w:rPr>
        <w:t>2.</w:t>
      </w:r>
      <w:r>
        <w:rPr>
          <w:noProof/>
        </w:rPr>
        <w:tab/>
        <w:t>Съставът на rescEU включва следн</w:t>
      </w:r>
      <w:r>
        <w:rPr>
          <w:noProof/>
        </w:rPr>
        <w:t>ите способности:</w:t>
      </w:r>
    </w:p>
    <w:p w:rsidR="00271729" w:rsidRDefault="00AD0727">
      <w:pPr>
        <w:pStyle w:val="Text1"/>
        <w:ind w:left="2160"/>
        <w:rPr>
          <w:noProof/>
        </w:rPr>
      </w:pPr>
      <w:r>
        <w:rPr>
          <w:noProof/>
        </w:rPr>
        <w:t>а)</w:t>
      </w:r>
      <w:r>
        <w:rPr>
          <w:noProof/>
        </w:rPr>
        <w:tab/>
        <w:t>гасене на горски пожари от въздуха;</w:t>
      </w:r>
    </w:p>
    <w:p w:rsidR="00271729" w:rsidRDefault="00AD0727">
      <w:pPr>
        <w:pStyle w:val="Text1"/>
        <w:ind w:left="2160"/>
        <w:rPr>
          <w:noProof/>
        </w:rPr>
      </w:pPr>
      <w:r>
        <w:rPr>
          <w:noProof/>
        </w:rPr>
        <w:t>б)</w:t>
      </w:r>
      <w:r>
        <w:rPr>
          <w:noProof/>
        </w:rPr>
        <w:tab/>
        <w:t>изпомпване с голям капацитет;</w:t>
      </w:r>
    </w:p>
    <w:p w:rsidR="00271729" w:rsidRDefault="00AD0727">
      <w:pPr>
        <w:pStyle w:val="Text1"/>
        <w:ind w:left="2880" w:hanging="720"/>
        <w:rPr>
          <w:noProof/>
        </w:rPr>
      </w:pPr>
      <w:r>
        <w:rPr>
          <w:noProof/>
        </w:rPr>
        <w:t>в)</w:t>
      </w:r>
      <w:r>
        <w:rPr>
          <w:noProof/>
        </w:rPr>
        <w:tab/>
        <w:t>издирване и спасяване в градска среда;</w:t>
      </w:r>
    </w:p>
    <w:p w:rsidR="00271729" w:rsidRDefault="00AD0727">
      <w:pPr>
        <w:pStyle w:val="Text1"/>
        <w:ind w:left="2880" w:hanging="720"/>
        <w:rPr>
          <w:noProof/>
        </w:rPr>
      </w:pPr>
      <w:r>
        <w:rPr>
          <w:noProof/>
        </w:rPr>
        <w:t>г)</w:t>
      </w:r>
      <w:r>
        <w:rPr>
          <w:noProof/>
        </w:rPr>
        <w:tab/>
        <w:t>полева болница и екипи за спешна медицинска помощ.</w:t>
      </w:r>
    </w:p>
    <w:p w:rsidR="00271729" w:rsidRDefault="00AD0727">
      <w:pPr>
        <w:pStyle w:val="Point1"/>
        <w:rPr>
          <w:noProof/>
        </w:rPr>
      </w:pPr>
      <w:r>
        <w:rPr>
          <w:noProof/>
        </w:rPr>
        <w:t>3.</w:t>
      </w:r>
      <w:r>
        <w:rPr>
          <w:noProof/>
        </w:rPr>
        <w:tab/>
        <w:t>Комисията може да сключва договори за закупуване, наем, лизинг и/или</w:t>
      </w:r>
      <w:r>
        <w:rPr>
          <w:noProof/>
        </w:rPr>
        <w:t xml:space="preserve"> други договори относно способности, които да бъдат използвани в случаите, посочени в параграф 1, в съответствие с финансовите правила на Съюза.</w:t>
      </w:r>
    </w:p>
    <w:p w:rsidR="00271729" w:rsidRDefault="00AD0727">
      <w:pPr>
        <w:pStyle w:val="Point1"/>
        <w:rPr>
          <w:noProof/>
        </w:rPr>
      </w:pPr>
      <w:r>
        <w:rPr>
          <w:noProof/>
        </w:rPr>
        <w:t>4.</w:t>
      </w:r>
      <w:r>
        <w:rPr>
          <w:noProof/>
        </w:rPr>
        <w:tab/>
        <w:t>На Комисията се предоставя правомощието да приема, въз основа на установените рискове и като възприема подхо</w:t>
      </w:r>
      <w:r>
        <w:rPr>
          <w:noProof/>
        </w:rPr>
        <w:t>д, отчитащ множество рискове, делегирани актове в съответствие с член 30, за да определя видовете способности за реагиране, необходими в допълнение към посочените в параграф 2 от настоящия член, и да внася съответни промени в състава на rescEU. Осигурява с</w:t>
      </w:r>
      <w:r>
        <w:rPr>
          <w:noProof/>
        </w:rPr>
        <w:t>е съгласуваност с политиката на Съюза в други области.</w:t>
      </w:r>
    </w:p>
    <w:p w:rsidR="00271729" w:rsidRDefault="00AD0727">
      <w:pPr>
        <w:pStyle w:val="Point1"/>
        <w:rPr>
          <w:noProof/>
        </w:rPr>
      </w:pPr>
      <w:r>
        <w:rPr>
          <w:noProof/>
        </w:rPr>
        <w:tab/>
        <w:t>Когато в случай на бедствие или непосредствена заплаха от бедствие това се налага поради неотложни причини за спешност, към делегираните актове, приети съгласно настоящия член, се прилага процедурата,</w:t>
      </w:r>
      <w:r>
        <w:rPr>
          <w:noProof/>
        </w:rPr>
        <w:t xml:space="preserve"> предвидена в член 31.</w:t>
      </w:r>
    </w:p>
    <w:p w:rsidR="00271729" w:rsidRDefault="00AD0727">
      <w:pPr>
        <w:pStyle w:val="Point1"/>
        <w:rPr>
          <w:noProof/>
        </w:rPr>
      </w:pPr>
      <w:r>
        <w:rPr>
          <w:noProof/>
        </w:rPr>
        <w:t>5.</w:t>
      </w:r>
      <w:r>
        <w:rPr>
          <w:noProof/>
        </w:rPr>
        <w:tab/>
        <w:t>Комисията определя изискванията за качеството на способностите за реагиране, които са част от rescEU. Изискванията за качество се основават на установени международни стандарти, когато такива стандарти вече съществуват.</w:t>
      </w:r>
    </w:p>
    <w:p w:rsidR="00271729" w:rsidRDefault="00AD0727">
      <w:pPr>
        <w:pStyle w:val="Point1"/>
        <w:rPr>
          <w:noProof/>
        </w:rPr>
      </w:pPr>
      <w:r>
        <w:rPr>
          <w:noProof/>
        </w:rPr>
        <w:t>6.</w:t>
      </w:r>
      <w:r>
        <w:rPr>
          <w:noProof/>
        </w:rPr>
        <w:tab/>
        <w:t>Комисия</w:t>
      </w:r>
      <w:r>
        <w:rPr>
          <w:noProof/>
        </w:rPr>
        <w:t>та гарантира наличността и възможността за използването на посочените в параграф 2 способности по линия на Механизма на Съюза.</w:t>
      </w:r>
    </w:p>
    <w:p w:rsidR="00271729" w:rsidRDefault="00AD0727">
      <w:pPr>
        <w:pStyle w:val="Point1"/>
        <w:rPr>
          <w:noProof/>
        </w:rPr>
      </w:pPr>
      <w:r>
        <w:rPr>
          <w:noProof/>
        </w:rPr>
        <w:t>7.</w:t>
      </w:r>
      <w:r>
        <w:rPr>
          <w:noProof/>
        </w:rPr>
        <w:tab/>
        <w:t>Способностите на rescEU се поставят на разположение за участие в операции за реагиране по линия на Механизма на Съюза, след ка</w:t>
      </w:r>
      <w:r>
        <w:rPr>
          <w:noProof/>
        </w:rPr>
        <w:t>то бъде отправено искане за помощ чрез ERCC. Решението за използването им се взема от Комисията, като тя запазва командването на способностите на rescEU и контрола върху тях.</w:t>
      </w:r>
    </w:p>
    <w:p w:rsidR="00271729" w:rsidRDefault="00AD0727">
      <w:pPr>
        <w:pStyle w:val="Point1"/>
        <w:rPr>
          <w:noProof/>
        </w:rPr>
      </w:pPr>
      <w:r>
        <w:rPr>
          <w:noProof/>
        </w:rPr>
        <w:t>8.</w:t>
      </w:r>
      <w:r>
        <w:rPr>
          <w:noProof/>
        </w:rPr>
        <w:tab/>
        <w:t xml:space="preserve">В случай на използване на способностите Комисията се споразумява с поискалата </w:t>
      </w:r>
      <w:r>
        <w:rPr>
          <w:noProof/>
        </w:rPr>
        <w:t>помощ държава членка относно оперативното използване на способностите на rescEU. Поискалата помощ държава членка улеснява оперативната координация на собствените си способности и дейностите по линия на rescEU по време на операциите.</w:t>
      </w:r>
    </w:p>
    <w:p w:rsidR="00271729" w:rsidRDefault="00AD0727">
      <w:pPr>
        <w:pStyle w:val="Point1"/>
        <w:rPr>
          <w:noProof/>
        </w:rPr>
      </w:pPr>
      <w:r>
        <w:rPr>
          <w:noProof/>
        </w:rPr>
        <w:t>9.</w:t>
      </w:r>
      <w:r>
        <w:rPr>
          <w:noProof/>
        </w:rPr>
        <w:tab/>
        <w:t xml:space="preserve">Координирането на </w:t>
      </w:r>
      <w:r>
        <w:rPr>
          <w:noProof/>
        </w:rPr>
        <w:t>различните способности за реагиране се улеснява по целесъобразност от Комисията чрез ERCC в съответствие с членове 15 и 16.</w:t>
      </w:r>
    </w:p>
    <w:p w:rsidR="00271729" w:rsidRDefault="00AD0727">
      <w:pPr>
        <w:pStyle w:val="Point1"/>
        <w:rPr>
          <w:noProof/>
        </w:rPr>
      </w:pPr>
      <w:r>
        <w:rPr>
          <w:noProof/>
        </w:rPr>
        <w:t>10.</w:t>
      </w:r>
      <w:r>
        <w:rPr>
          <w:noProof/>
        </w:rPr>
        <w:tab/>
        <w:t>Когато Комисията набавя оборудване, например оборудване за гасене на горски пожари от въздуха, чрез закупуване, лизинг или наем,</w:t>
      </w:r>
      <w:r>
        <w:rPr>
          <w:noProof/>
        </w:rPr>
        <w:t xml:space="preserve"> се гарантира следното:</w:t>
      </w:r>
    </w:p>
    <w:p w:rsidR="00271729" w:rsidRDefault="00AD0727">
      <w:pPr>
        <w:pStyle w:val="Point2"/>
        <w:rPr>
          <w:noProof/>
        </w:rPr>
      </w:pPr>
      <w:r>
        <w:rPr>
          <w:noProof/>
        </w:rPr>
        <w:t>а)</w:t>
      </w:r>
      <w:r>
        <w:rPr>
          <w:noProof/>
        </w:rPr>
        <w:tab/>
        <w:t xml:space="preserve">при закупуване на оборудване — в споразумение между Комисията и държава членка се предвижда регистриране на оборудването във въпросната държава членка; </w:t>
      </w:r>
    </w:p>
    <w:p w:rsidR="00271729" w:rsidRDefault="00AD0727">
      <w:pPr>
        <w:pStyle w:val="Point2"/>
        <w:rPr>
          <w:noProof/>
        </w:rPr>
      </w:pPr>
      <w:r>
        <w:rPr>
          <w:noProof/>
        </w:rPr>
        <w:t>б)</w:t>
      </w:r>
      <w:r>
        <w:rPr>
          <w:noProof/>
        </w:rPr>
        <w:tab/>
        <w:t>при лизинг или наем — регистриране на оборудването в държава членка.</w:t>
      </w:r>
    </w:p>
    <w:p w:rsidR="00271729" w:rsidRDefault="00AD0727">
      <w:pPr>
        <w:pStyle w:val="Point1"/>
        <w:rPr>
          <w:noProof/>
        </w:rPr>
      </w:pPr>
      <w:r>
        <w:rPr>
          <w:noProof/>
        </w:rPr>
        <w:t>11.</w:t>
      </w:r>
      <w:r>
        <w:rPr>
          <w:noProof/>
        </w:rPr>
        <w:tab/>
      </w:r>
      <w:r>
        <w:rPr>
          <w:noProof/>
        </w:rPr>
        <w:t>Държавите членки се информират за оперативния статут на способностите на rescEU чрез CECIS.“</w:t>
      </w:r>
    </w:p>
    <w:p w:rsidR="00271729" w:rsidRDefault="00AD0727">
      <w:pPr>
        <w:pStyle w:val="Point0"/>
        <w:rPr>
          <w:noProof/>
        </w:rPr>
      </w:pPr>
      <w:r>
        <w:rPr>
          <w:noProof/>
        </w:rPr>
        <w:t>8)</w:t>
      </w:r>
      <w:r>
        <w:rPr>
          <w:noProof/>
        </w:rPr>
        <w:tab/>
        <w:t>Вмъква се следният член 12a:</w:t>
      </w:r>
    </w:p>
    <w:p w:rsidR="00271729" w:rsidRDefault="00AD0727">
      <w:pPr>
        <w:pStyle w:val="Titrearticle"/>
        <w:rPr>
          <w:b/>
          <w:noProof/>
        </w:rPr>
      </w:pPr>
      <w:r>
        <w:rPr>
          <w:noProof/>
        </w:rPr>
        <w:t>„Член 12a</w:t>
      </w:r>
      <w:r>
        <w:rPr>
          <w:noProof/>
        </w:rPr>
        <w:br/>
      </w:r>
      <w:r>
        <w:rPr>
          <w:b/>
          <w:noProof/>
        </w:rPr>
        <w:t>Информиране на Европейския парламент и Съвета</w:t>
      </w:r>
    </w:p>
    <w:p w:rsidR="00271729" w:rsidRDefault="00AD0727">
      <w:pPr>
        <w:rPr>
          <w:noProof/>
        </w:rPr>
      </w:pPr>
      <w:r>
        <w:rPr>
          <w:noProof/>
        </w:rPr>
        <w:t xml:space="preserve">Комисията информира Европейския парламент и Съвета на всеки две години за </w:t>
      </w:r>
      <w:r>
        <w:rPr>
          <w:noProof/>
        </w:rPr>
        <w:t>операциите и постигнатия напредък по членове 11 и 12.“</w:t>
      </w:r>
    </w:p>
    <w:p w:rsidR="00271729" w:rsidRDefault="00AD0727">
      <w:pPr>
        <w:pStyle w:val="Point0"/>
        <w:rPr>
          <w:noProof/>
        </w:rPr>
      </w:pPr>
      <w:r>
        <w:rPr>
          <w:noProof/>
        </w:rPr>
        <w:t>9)</w:t>
      </w:r>
      <w:r>
        <w:rPr>
          <w:noProof/>
        </w:rPr>
        <w:tab/>
        <w:t>В член 13 заглавието и първото изречение от параграф 1 се заменят със следното:</w:t>
      </w:r>
    </w:p>
    <w:p w:rsidR="00271729" w:rsidRDefault="00AD0727">
      <w:pPr>
        <w:pStyle w:val="NormalCentered"/>
        <w:rPr>
          <w:b/>
          <w:noProof/>
        </w:rPr>
      </w:pPr>
      <w:r>
        <w:rPr>
          <w:b/>
          <w:noProof/>
        </w:rPr>
        <w:t>„Мрежа на Съюза за знания в областта на гражданската защита</w:t>
      </w:r>
    </w:p>
    <w:p w:rsidR="00271729" w:rsidRDefault="00AD0727">
      <w:pPr>
        <w:pStyle w:val="Text1"/>
        <w:rPr>
          <w:noProof/>
        </w:rPr>
      </w:pPr>
      <w:r>
        <w:rPr>
          <w:noProof/>
        </w:rPr>
        <w:t>1. Комисията създава мрежа на съответните участници и инст</w:t>
      </w:r>
      <w:r>
        <w:rPr>
          <w:noProof/>
        </w:rPr>
        <w:t xml:space="preserve">итуции, работещи в областта на гражданската защита и управлението при бедствия, която заедно с Комисията образува Мрежа на Съюза за знания в областта на гражданската защита. </w:t>
      </w:r>
    </w:p>
    <w:p w:rsidR="00271729" w:rsidRDefault="00AD0727">
      <w:pPr>
        <w:pStyle w:val="Text1"/>
        <w:rPr>
          <w:noProof/>
        </w:rPr>
      </w:pPr>
      <w:r>
        <w:rPr>
          <w:noProof/>
        </w:rPr>
        <w:t>Мрежата изпълнява следните задачи в областта на обучението, ученията, извличането</w:t>
      </w:r>
      <w:r>
        <w:rPr>
          <w:noProof/>
        </w:rPr>
        <w:t xml:space="preserve"> на поуки и разпространяването на знания, в тясна координация със съответните центрове за знания и доколкото това е целесъобразно:“</w:t>
      </w:r>
    </w:p>
    <w:p w:rsidR="00271729" w:rsidRDefault="00AD0727">
      <w:pPr>
        <w:pStyle w:val="Point0"/>
        <w:rPr>
          <w:noProof/>
        </w:rPr>
      </w:pPr>
      <w:r>
        <w:rPr>
          <w:noProof/>
        </w:rPr>
        <w:t>10)</w:t>
      </w:r>
      <w:r>
        <w:rPr>
          <w:noProof/>
        </w:rPr>
        <w:tab/>
        <w:t>В член 15 параграф 1 се заменя със следното:</w:t>
      </w:r>
    </w:p>
    <w:p w:rsidR="00271729" w:rsidRDefault="00AD0727">
      <w:pPr>
        <w:pStyle w:val="Point1"/>
        <w:rPr>
          <w:noProof/>
        </w:rPr>
      </w:pPr>
      <w:r>
        <w:rPr>
          <w:noProof/>
        </w:rPr>
        <w:t>„1.</w:t>
      </w:r>
      <w:r>
        <w:rPr>
          <w:noProof/>
        </w:rPr>
        <w:tab/>
        <w:t>Когато на територията на Съюза възникне бедствие или непосредствена зап</w:t>
      </w:r>
      <w:r>
        <w:rPr>
          <w:noProof/>
        </w:rPr>
        <w:t xml:space="preserve">лаха от бедствие, засегнатата държава членка може да поиска помощ чрез ERCC. Искането трябва да бъде възможно най-конкретно. Действието на искането за помощ се прекратява след изтичане на максимален срок от 90 дни, освен ако на ERCC бъдат представени нови </w:t>
      </w:r>
      <w:r>
        <w:rPr>
          <w:noProof/>
        </w:rPr>
        <w:t>елементи, обосноваващи необходимостта от продължаване на помощта или от допълнителна помощ.“</w:t>
      </w:r>
    </w:p>
    <w:p w:rsidR="00271729" w:rsidRDefault="00AD0727">
      <w:pPr>
        <w:pStyle w:val="Point0"/>
        <w:rPr>
          <w:noProof/>
        </w:rPr>
      </w:pPr>
      <w:r>
        <w:rPr>
          <w:noProof/>
        </w:rPr>
        <w:t>11)</w:t>
      </w:r>
      <w:r>
        <w:rPr>
          <w:noProof/>
        </w:rPr>
        <w:tab/>
        <w:t>В член 16 параграф 1 се заменя със следното:</w:t>
      </w:r>
    </w:p>
    <w:p w:rsidR="00271729" w:rsidRDefault="00AD0727">
      <w:pPr>
        <w:pStyle w:val="Point1"/>
        <w:rPr>
          <w:noProof/>
        </w:rPr>
      </w:pPr>
      <w:r>
        <w:rPr>
          <w:noProof/>
        </w:rPr>
        <w:t>„1.</w:t>
      </w:r>
      <w:r>
        <w:rPr>
          <w:noProof/>
        </w:rPr>
        <w:tab/>
        <w:t>Когато извън територията на Съюза възникне бедствие или непосредствена заплаха от бедствие, засегнатата държав</w:t>
      </w:r>
      <w:r>
        <w:rPr>
          <w:noProof/>
        </w:rPr>
        <w:t>а може да поиска помощ чрез ERCC. Помощта може да бъде поискана и чрез ООН и агенциите на ООН или друга подобна международна организация, или от тези организации. Действието на искането за помощ се прекратява след изтичане на максимален срок от 90 дни, осв</w:t>
      </w:r>
      <w:r>
        <w:rPr>
          <w:noProof/>
        </w:rPr>
        <w:t>ен ако на ERCC бъдат представени нови елементи, обосноваващи необходимостта от продължаване на помощта или от допълнителна помощ.“</w:t>
      </w:r>
    </w:p>
    <w:p w:rsidR="00271729" w:rsidRDefault="00AD0727">
      <w:pPr>
        <w:pStyle w:val="Point0"/>
        <w:rPr>
          <w:noProof/>
        </w:rPr>
      </w:pPr>
      <w:r>
        <w:rPr>
          <w:noProof/>
        </w:rPr>
        <w:t>12)</w:t>
      </w:r>
      <w:r>
        <w:rPr>
          <w:noProof/>
        </w:rPr>
        <w:tab/>
        <w:t>В член 19 параграф 1 се заменя със следното:</w:t>
      </w:r>
    </w:p>
    <w:p w:rsidR="00271729" w:rsidRDefault="00AD0727">
      <w:pPr>
        <w:pStyle w:val="Point1"/>
        <w:rPr>
          <w:noProof/>
          <w:szCs w:val="24"/>
        </w:rPr>
      </w:pPr>
      <w:r>
        <w:rPr>
          <w:noProof/>
        </w:rPr>
        <w:t>„1.</w:t>
      </w:r>
      <w:r>
        <w:rPr>
          <w:noProof/>
        </w:rPr>
        <w:tab/>
        <w:t>Финансовият пакет за изпълнението на Механизма на Съюза за периода 2014—</w:t>
      </w:r>
      <w:r>
        <w:rPr>
          <w:noProof/>
        </w:rPr>
        <w:t>2020 г. е 631 566 000 EUR по текущи цени.</w:t>
      </w:r>
    </w:p>
    <w:p w:rsidR="00271729" w:rsidRDefault="00AD0727">
      <w:pPr>
        <w:pStyle w:val="Text2"/>
        <w:rPr>
          <w:noProof/>
        </w:rPr>
      </w:pPr>
      <w:r>
        <w:rPr>
          <w:noProof/>
        </w:rPr>
        <w:t>480 630 000 EUR по текущи цени се отпускат по функция 3 „Сигурност и гражданство“ на многогодишната финансова рамка, а 150 936 000 EUR по текущи цени — по функция 4 „Глобална Европа“.</w:t>
      </w:r>
    </w:p>
    <w:p w:rsidR="00271729" w:rsidRDefault="00AD0727">
      <w:pPr>
        <w:pStyle w:val="Point0"/>
        <w:rPr>
          <w:noProof/>
        </w:rPr>
      </w:pPr>
      <w:r>
        <w:rPr>
          <w:noProof/>
        </w:rPr>
        <w:t>13)</w:t>
      </w:r>
      <w:r>
        <w:rPr>
          <w:noProof/>
        </w:rPr>
        <w:tab/>
        <w:t>Вмъква се следният член 20</w:t>
      </w:r>
      <w:r>
        <w:rPr>
          <w:noProof/>
        </w:rPr>
        <w:t>a:</w:t>
      </w:r>
    </w:p>
    <w:p w:rsidR="00271729" w:rsidRDefault="00AD0727">
      <w:pPr>
        <w:pStyle w:val="Titrearticle"/>
        <w:rPr>
          <w:b/>
          <w:bCs/>
          <w:i w:val="0"/>
          <w:noProof/>
        </w:rPr>
      </w:pPr>
      <w:r>
        <w:rPr>
          <w:noProof/>
        </w:rPr>
        <w:t>„Член 20a</w:t>
      </w:r>
      <w:r>
        <w:rPr>
          <w:noProof/>
        </w:rPr>
        <w:br/>
      </w:r>
      <w:r>
        <w:rPr>
          <w:b/>
          <w:i w:val="0"/>
          <w:noProof/>
        </w:rPr>
        <w:t>Видимост</w:t>
      </w:r>
    </w:p>
    <w:p w:rsidR="00271729" w:rsidRDefault="00AD0727">
      <w:pPr>
        <w:rPr>
          <w:noProof/>
        </w:rPr>
      </w:pPr>
      <w:r>
        <w:rPr>
          <w:noProof/>
        </w:rPr>
        <w:t>За всяка помощ или финансиране, предоставени по силата на настоящото решение, се дава съответна видимост за ролята на Съюза, като за способностите, посочени в членове 11 и 12 и член 21, параграф 2, буква в) емблемата на Съюза се поста</w:t>
      </w:r>
      <w:r>
        <w:rPr>
          <w:noProof/>
        </w:rPr>
        <w:t>вя на видно място.“</w:t>
      </w:r>
    </w:p>
    <w:p w:rsidR="00271729" w:rsidRDefault="00AD0727">
      <w:pPr>
        <w:pStyle w:val="Point0"/>
        <w:rPr>
          <w:noProof/>
        </w:rPr>
      </w:pPr>
      <w:r>
        <w:rPr>
          <w:noProof/>
        </w:rPr>
        <w:t>14)</w:t>
      </w:r>
      <w:r>
        <w:rPr>
          <w:noProof/>
        </w:rPr>
        <w:tab/>
        <w:t>Член 21 се изменя, както следва:</w:t>
      </w:r>
    </w:p>
    <w:p w:rsidR="00271729" w:rsidRDefault="00AD0727">
      <w:pPr>
        <w:pStyle w:val="Point1"/>
        <w:rPr>
          <w:noProof/>
        </w:rPr>
      </w:pPr>
      <w:r>
        <w:rPr>
          <w:noProof/>
        </w:rPr>
        <w:t>а)</w:t>
      </w:r>
      <w:r>
        <w:rPr>
          <w:noProof/>
        </w:rPr>
        <w:tab/>
        <w:t>в параграф 1 буква й) се заменя със следното:</w:t>
      </w:r>
    </w:p>
    <w:p w:rsidR="00271729" w:rsidRDefault="00AD0727">
      <w:pPr>
        <w:pStyle w:val="Point1"/>
        <w:rPr>
          <w:noProof/>
        </w:rPr>
      </w:pPr>
      <w:r>
        <w:rPr>
          <w:noProof/>
        </w:rPr>
        <w:t>„й)</w:t>
      </w:r>
      <w:r>
        <w:rPr>
          <w:noProof/>
        </w:rPr>
        <w:tab/>
        <w:t xml:space="preserve">изграждане, управление и поддръжка на rescEU в съответствие с член 12;“ </w:t>
      </w:r>
    </w:p>
    <w:p w:rsidR="00271729" w:rsidRDefault="00AD0727">
      <w:pPr>
        <w:pStyle w:val="Point1"/>
        <w:rPr>
          <w:noProof/>
        </w:rPr>
      </w:pPr>
      <w:r>
        <w:rPr>
          <w:noProof/>
        </w:rPr>
        <w:t>б)</w:t>
      </w:r>
      <w:r>
        <w:rPr>
          <w:noProof/>
        </w:rPr>
        <w:tab/>
        <w:t>Параграф 2 се изменя, както следва:</w:t>
      </w:r>
    </w:p>
    <w:p w:rsidR="00271729" w:rsidRDefault="00AD0727">
      <w:pPr>
        <w:pStyle w:val="Point1"/>
        <w:rPr>
          <w:noProof/>
        </w:rPr>
      </w:pPr>
      <w:r>
        <w:rPr>
          <w:noProof/>
        </w:rPr>
        <w:tab/>
        <w:t>i) буква в) се заменя със следнот</w:t>
      </w:r>
      <w:r>
        <w:rPr>
          <w:noProof/>
        </w:rPr>
        <w:t>о:</w:t>
      </w:r>
    </w:p>
    <w:p w:rsidR="00271729" w:rsidRDefault="00AD0727">
      <w:pPr>
        <w:pStyle w:val="Point1"/>
        <w:rPr>
          <w:noProof/>
        </w:rPr>
      </w:pPr>
      <w:r>
        <w:rPr>
          <w:noProof/>
        </w:rPr>
        <w:t>„в)</w:t>
      </w:r>
      <w:r>
        <w:rPr>
          <w:noProof/>
        </w:rPr>
        <w:tab/>
      </w:r>
      <w:r>
        <w:rPr>
          <w:noProof/>
        </w:rPr>
        <w:t>разходите, необходими за модернизиране или ремонтиране на активите, включени в способностите за реагиране, до състояние на готовност и наличност, което ги прави годни за използване като част от Европейския резерв за гражданска защита, в съответствие с изис</w:t>
      </w:r>
      <w:r>
        <w:rPr>
          <w:noProof/>
        </w:rPr>
        <w:t>кванията за качество на Европейския резерв за гражданска защита и, доколкото е приложимо, с препоръките, формулирани в процеса на сертифициране („разходи за адаптиране“). Тези разходи може да включват разходи, свързани с оперативността, оперативната съвмес</w:t>
      </w:r>
      <w:r>
        <w:rPr>
          <w:noProof/>
        </w:rPr>
        <w:t>тимост на модулите и на другите способности за реагиране, автономността, самостоятелността, годността за транспортиране, опаковането и други необходими разходи, при условие че тези разходи са конкретно свързани с участието на способностите в Европейския ре</w:t>
      </w:r>
      <w:r>
        <w:rPr>
          <w:noProof/>
        </w:rPr>
        <w:t xml:space="preserve">зерв за гражданска защита. </w:t>
      </w:r>
    </w:p>
    <w:p w:rsidR="00271729" w:rsidRDefault="00AD0727">
      <w:pPr>
        <w:pStyle w:val="Point1"/>
        <w:ind w:firstLine="0"/>
        <w:rPr>
          <w:noProof/>
        </w:rPr>
      </w:pPr>
      <w:r>
        <w:rPr>
          <w:noProof/>
        </w:rPr>
        <w:t>Разходите за адаптиране може да покриват:</w:t>
      </w:r>
    </w:p>
    <w:p w:rsidR="00271729" w:rsidRDefault="00AD0727">
      <w:pPr>
        <w:pStyle w:val="Point1"/>
        <w:ind w:firstLine="0"/>
        <w:rPr>
          <w:noProof/>
        </w:rPr>
      </w:pPr>
      <w:r>
        <w:rPr>
          <w:noProof/>
        </w:rPr>
        <w:t xml:space="preserve">i) 75 % от допустимите разходи в случай на модернизация, при условие че те не надвишават 50 % от средните разходи за развиване на способността; </w:t>
      </w:r>
    </w:p>
    <w:p w:rsidR="00271729" w:rsidRDefault="00AD0727">
      <w:pPr>
        <w:pStyle w:val="Point1"/>
        <w:ind w:firstLine="0"/>
        <w:rPr>
          <w:noProof/>
        </w:rPr>
      </w:pPr>
      <w:r>
        <w:rPr>
          <w:noProof/>
        </w:rPr>
        <w:t xml:space="preserve">ii) 75 % от допустимите разходи в случай </w:t>
      </w:r>
      <w:r>
        <w:rPr>
          <w:noProof/>
        </w:rPr>
        <w:t>на ремонт.</w:t>
      </w:r>
    </w:p>
    <w:p w:rsidR="00271729" w:rsidRDefault="00AD0727">
      <w:pPr>
        <w:pStyle w:val="Point1"/>
        <w:ind w:firstLine="0"/>
        <w:rPr>
          <w:noProof/>
        </w:rPr>
      </w:pPr>
      <w:r>
        <w:rPr>
          <w:noProof/>
        </w:rPr>
        <w:t>Способностите за реагиране, за които се отпуска финансиране по точки i) и ii), се предоставят на разположение като част от Европейския резерв за гражданска защита за минимален срок от съответно 5 и 10 години, освен когато полезният им живот е по</w:t>
      </w:r>
      <w:r>
        <w:rPr>
          <w:noProof/>
        </w:rPr>
        <w:t>-кратък.</w:t>
      </w:r>
    </w:p>
    <w:p w:rsidR="00271729" w:rsidRDefault="00AD0727">
      <w:pPr>
        <w:pStyle w:val="Point1"/>
        <w:ind w:firstLine="0"/>
        <w:rPr>
          <w:noProof/>
        </w:rPr>
      </w:pPr>
      <w:r>
        <w:rPr>
          <w:noProof/>
        </w:rPr>
        <w:t>Разходите за адаптиране може да се състоят от единични разходи или еднократни суми, определени в зависимост от вида способности.“</w:t>
      </w:r>
    </w:p>
    <w:p w:rsidR="00271729" w:rsidRDefault="00AD0727">
      <w:pPr>
        <w:pStyle w:val="Point1"/>
        <w:rPr>
          <w:noProof/>
        </w:rPr>
      </w:pPr>
      <w:r>
        <w:rPr>
          <w:noProof/>
        </w:rPr>
        <w:tab/>
        <w:t>ii) буква г) се заличава.</w:t>
      </w:r>
    </w:p>
    <w:p w:rsidR="00271729" w:rsidRDefault="00AD0727">
      <w:pPr>
        <w:pStyle w:val="Point1"/>
        <w:rPr>
          <w:noProof/>
        </w:rPr>
      </w:pPr>
      <w:r>
        <w:rPr>
          <w:noProof/>
        </w:rPr>
        <w:t>в) добавят се следните параграфи:</w:t>
      </w:r>
    </w:p>
    <w:p w:rsidR="00271729" w:rsidRDefault="00AD0727">
      <w:pPr>
        <w:pStyle w:val="Point1"/>
        <w:rPr>
          <w:noProof/>
        </w:rPr>
      </w:pPr>
      <w:r>
        <w:rPr>
          <w:noProof/>
        </w:rPr>
        <w:t>„3.</w:t>
      </w:r>
      <w:r>
        <w:rPr>
          <w:noProof/>
        </w:rPr>
        <w:tab/>
        <w:t>Финансовата помощ за действието, посочено в параграф</w:t>
      </w:r>
      <w:r>
        <w:rPr>
          <w:noProof/>
        </w:rPr>
        <w:t> 1 буква й), покрива всички разходи, необходими, за да се гарантират наличността и възможността за използване на способностите на rescEU по линия на Механизма на Съюза, когато тези способности се използват при бедствие или непосредствена заплаха от бедстви</w:t>
      </w:r>
      <w:r>
        <w:rPr>
          <w:noProof/>
        </w:rPr>
        <w:t>е в Съюза или в участваща държава.</w:t>
      </w:r>
    </w:p>
    <w:p w:rsidR="00271729" w:rsidRDefault="00AD0727">
      <w:pPr>
        <w:pStyle w:val="Text2"/>
        <w:rPr>
          <w:noProof/>
        </w:rPr>
      </w:pPr>
      <w:r>
        <w:rPr>
          <w:noProof/>
        </w:rPr>
        <w:t>Разходите, посочени в първата алинея включват, доколкото е целесъобразно:</w:t>
      </w:r>
    </w:p>
    <w:p w:rsidR="00271729" w:rsidRDefault="00AD0727">
      <w:pPr>
        <w:pStyle w:val="Point2"/>
        <w:rPr>
          <w:noProof/>
        </w:rPr>
      </w:pPr>
      <w:r>
        <w:rPr>
          <w:noProof/>
        </w:rPr>
        <w:t>а)</w:t>
      </w:r>
      <w:r>
        <w:rPr>
          <w:noProof/>
        </w:rPr>
        <w:tab/>
        <w:t xml:space="preserve">разходите, свързани със закупуване, вземане под наем и/или на лизинг на способностите, влизащи в състава на rescEU; </w:t>
      </w:r>
    </w:p>
    <w:p w:rsidR="00271729" w:rsidRDefault="00AD0727">
      <w:pPr>
        <w:pStyle w:val="Point2"/>
        <w:rPr>
          <w:noProof/>
        </w:rPr>
      </w:pPr>
      <w:r>
        <w:rPr>
          <w:noProof/>
        </w:rPr>
        <w:t>б)</w:t>
      </w:r>
      <w:r>
        <w:rPr>
          <w:noProof/>
        </w:rPr>
        <w:tab/>
        <w:t>разходите, свързани с ек</w:t>
      </w:r>
      <w:r>
        <w:rPr>
          <w:noProof/>
        </w:rPr>
        <w:t>сплоатацията на способностите на rescEU, включително превоз;</w:t>
      </w:r>
    </w:p>
    <w:p w:rsidR="00271729" w:rsidRDefault="00AD0727">
      <w:pPr>
        <w:pStyle w:val="Point2"/>
        <w:rPr>
          <w:noProof/>
        </w:rPr>
      </w:pPr>
      <w:r>
        <w:rPr>
          <w:noProof/>
        </w:rPr>
        <w:t>в)</w:t>
      </w:r>
      <w:r>
        <w:rPr>
          <w:noProof/>
        </w:rPr>
        <w:tab/>
        <w:t>разходите, свързани с предоставянето от публични или частни субекти на услуги, необходими за експлоатацията на способностите на rescEU.</w:t>
      </w:r>
    </w:p>
    <w:p w:rsidR="00271729" w:rsidRDefault="00AD0727">
      <w:pPr>
        <w:pStyle w:val="Point1"/>
        <w:rPr>
          <w:noProof/>
        </w:rPr>
      </w:pPr>
      <w:r>
        <w:rPr>
          <w:noProof/>
        </w:rPr>
        <w:t>4.</w:t>
      </w:r>
      <w:r>
        <w:rPr>
          <w:noProof/>
        </w:rPr>
        <w:tab/>
        <w:t>Разходите, посочени в параграф 3, буква а), може се с</w:t>
      </w:r>
      <w:r>
        <w:rPr>
          <w:noProof/>
        </w:rPr>
        <w:t>ъстоят от единични разходи, еднократни суми или фиксирани ставки, определени според категорията или вида способности, по целесъобразност.“</w:t>
      </w:r>
    </w:p>
    <w:p w:rsidR="00271729" w:rsidRDefault="00AD0727">
      <w:pPr>
        <w:pStyle w:val="Point0"/>
        <w:rPr>
          <w:noProof/>
        </w:rPr>
      </w:pPr>
      <w:r>
        <w:rPr>
          <w:noProof/>
        </w:rPr>
        <w:t>15)</w:t>
      </w:r>
      <w:r>
        <w:rPr>
          <w:noProof/>
        </w:rPr>
        <w:tab/>
        <w:t>Член 23 се изменя, както следва:</w:t>
      </w:r>
    </w:p>
    <w:p w:rsidR="00271729" w:rsidRDefault="00AD0727">
      <w:pPr>
        <w:pStyle w:val="Point1"/>
        <w:ind w:left="130" w:firstLine="720"/>
        <w:rPr>
          <w:noProof/>
        </w:rPr>
      </w:pPr>
      <w:r>
        <w:rPr>
          <w:noProof/>
        </w:rPr>
        <w:t>а) заглавието се заменя със следното:</w:t>
      </w:r>
    </w:p>
    <w:p w:rsidR="00271729" w:rsidRDefault="00AD0727">
      <w:pPr>
        <w:pStyle w:val="Point1"/>
        <w:ind w:left="130" w:firstLine="720"/>
        <w:jc w:val="center"/>
        <w:rPr>
          <w:b/>
          <w:noProof/>
        </w:rPr>
      </w:pPr>
      <w:r>
        <w:rPr>
          <w:b/>
          <w:noProof/>
        </w:rPr>
        <w:t xml:space="preserve">„Допустими действия, свързани с </w:t>
      </w:r>
      <w:r>
        <w:rPr>
          <w:b/>
          <w:noProof/>
        </w:rPr>
        <w:t>оборудването и операциите“</w:t>
      </w:r>
    </w:p>
    <w:p w:rsidR="00271729" w:rsidRDefault="00AD0727">
      <w:pPr>
        <w:pStyle w:val="Point1"/>
        <w:ind w:left="130" w:firstLine="720"/>
        <w:rPr>
          <w:noProof/>
        </w:rPr>
      </w:pPr>
      <w:r>
        <w:rPr>
          <w:noProof/>
        </w:rPr>
        <w:t>б) параграфи 2, 3 и 4 се заменят със следното:</w:t>
      </w:r>
    </w:p>
    <w:p w:rsidR="00271729" w:rsidRDefault="00AD0727">
      <w:pPr>
        <w:pStyle w:val="Point1"/>
        <w:rPr>
          <w:noProof/>
        </w:rPr>
      </w:pPr>
      <w:r>
        <w:rPr>
          <w:noProof/>
        </w:rPr>
        <w:t xml:space="preserve">„2. </w:t>
      </w:r>
      <w:r>
        <w:rPr>
          <w:noProof/>
        </w:rPr>
        <w:tab/>
        <w:t>Размерът на финансовата помощ от Съюза за активите, заделени за Европейския резерв за гражданска защита, е ограничен до максимум 75 % от разходите за експлоатацията на способнос</w:t>
      </w:r>
      <w:r>
        <w:rPr>
          <w:noProof/>
        </w:rPr>
        <w:t>тите, включително превоз, в случай на бедствие или непосредствена заплаха от бедствие в Съюза или в участваща държава.</w:t>
      </w:r>
    </w:p>
    <w:p w:rsidR="00271729" w:rsidRDefault="00AD0727">
      <w:pPr>
        <w:pStyle w:val="Point1"/>
        <w:rPr>
          <w:noProof/>
        </w:rPr>
      </w:pPr>
      <w:r>
        <w:rPr>
          <w:noProof/>
        </w:rPr>
        <w:t xml:space="preserve">3. </w:t>
      </w:r>
      <w:r>
        <w:rPr>
          <w:noProof/>
        </w:rPr>
        <w:tab/>
        <w:t>Финансовото подпомагане от Съюза за превоз може да покрива максимум 75 % от общите допустими разходи, свързани с превоза на способнос</w:t>
      </w:r>
      <w:r>
        <w:rPr>
          <w:noProof/>
        </w:rPr>
        <w:t>тите, които са предварително заделени за Европейския резерв за гражданска защита, когато тези способности се използват в случай на бедствие или непосредствена заплаха от бедствие извън Съюза, съгласно предвиденото в член 16.</w:t>
      </w:r>
    </w:p>
    <w:p w:rsidR="00271729" w:rsidRDefault="00AD0727">
      <w:pPr>
        <w:pStyle w:val="Point1"/>
        <w:rPr>
          <w:noProof/>
        </w:rPr>
      </w:pPr>
      <w:r>
        <w:rPr>
          <w:noProof/>
        </w:rPr>
        <w:t xml:space="preserve">4. </w:t>
      </w:r>
      <w:r>
        <w:rPr>
          <w:noProof/>
        </w:rPr>
        <w:tab/>
        <w:t xml:space="preserve">Финансовото подпомагане от </w:t>
      </w:r>
      <w:r>
        <w:rPr>
          <w:noProof/>
        </w:rPr>
        <w:t>Съюза за транспортни ресурси, свързани със способностите, които са предварително заделени за Европейския резерв за гражданска защита в съответствие с член 11, може да покрива също до 100 % от общите допустими разходи по точки а), б), в) и г), ако това е не</w:t>
      </w:r>
      <w:r>
        <w:rPr>
          <w:noProof/>
        </w:rPr>
        <w:t>обходимо за осигуряване на оперативната ефективност на обединената помощ от държавите членки и ако разходите са свързани с някое от следните действия:</w:t>
      </w:r>
    </w:p>
    <w:p w:rsidR="00271729" w:rsidRDefault="00AD0727">
      <w:pPr>
        <w:pStyle w:val="Point2"/>
        <w:rPr>
          <w:noProof/>
        </w:rPr>
      </w:pPr>
      <w:r>
        <w:rPr>
          <w:noProof/>
        </w:rPr>
        <w:t>а)</w:t>
      </w:r>
      <w:r>
        <w:rPr>
          <w:noProof/>
        </w:rPr>
        <w:tab/>
        <w:t>краткосрочно наемане на складови съоръжения за временно съхранение на помощта от държавите членки с це</w:t>
      </w:r>
      <w:r>
        <w:rPr>
          <w:noProof/>
        </w:rPr>
        <w:t>л улесняване на координирания ѝ превоз;</w:t>
      </w:r>
    </w:p>
    <w:p w:rsidR="00271729" w:rsidRDefault="00AD0727">
      <w:pPr>
        <w:pStyle w:val="Point2"/>
        <w:rPr>
          <w:noProof/>
        </w:rPr>
      </w:pPr>
      <w:r>
        <w:rPr>
          <w:noProof/>
        </w:rPr>
        <w:t xml:space="preserve">б) </w:t>
      </w:r>
      <w:r>
        <w:rPr>
          <w:noProof/>
        </w:rPr>
        <w:tab/>
        <w:t>превоз от държавата членка, предоставяща помощта, до държавата членка, улесняваща нейния координиран превоз;</w:t>
      </w:r>
    </w:p>
    <w:p w:rsidR="00271729" w:rsidRDefault="00AD0727">
      <w:pPr>
        <w:pStyle w:val="Point2"/>
        <w:rPr>
          <w:noProof/>
        </w:rPr>
      </w:pPr>
      <w:r>
        <w:rPr>
          <w:noProof/>
        </w:rPr>
        <w:t>в)</w:t>
      </w:r>
      <w:r>
        <w:rPr>
          <w:noProof/>
        </w:rPr>
        <w:tab/>
        <w:t>преопаковане на помощта от държавите членки с цел максимално оползотворяване на наличния транспортен</w:t>
      </w:r>
      <w:r>
        <w:rPr>
          <w:noProof/>
        </w:rPr>
        <w:t xml:space="preserve"> капацитет или за да се спазят конкретни оперативни изисквания; или</w:t>
      </w:r>
    </w:p>
    <w:p w:rsidR="00271729" w:rsidRDefault="00AD0727">
      <w:pPr>
        <w:pStyle w:val="Point2"/>
        <w:rPr>
          <w:noProof/>
        </w:rPr>
      </w:pPr>
      <w:r>
        <w:rPr>
          <w:noProof/>
        </w:rPr>
        <w:t>г)</w:t>
      </w:r>
      <w:r>
        <w:rPr>
          <w:noProof/>
        </w:rPr>
        <w:tab/>
        <w:t>превоз на място, транзит и складиране на обединена помощ с цел да се осигури координирана доставка до крайното местоназначение в държавата, поискала помощта.“</w:t>
      </w:r>
    </w:p>
    <w:p w:rsidR="00271729" w:rsidRDefault="00AD0727">
      <w:pPr>
        <w:pStyle w:val="Point1"/>
        <w:rPr>
          <w:noProof/>
        </w:rPr>
      </w:pPr>
      <w:r>
        <w:rPr>
          <w:noProof/>
        </w:rPr>
        <w:t xml:space="preserve">д) добавя се следният </w:t>
      </w:r>
      <w:r>
        <w:rPr>
          <w:noProof/>
        </w:rPr>
        <w:t>параграф:</w:t>
      </w:r>
    </w:p>
    <w:p w:rsidR="00271729" w:rsidRDefault="00AD0727">
      <w:pPr>
        <w:spacing w:after="240"/>
        <w:ind w:left="1440" w:hanging="590"/>
        <w:rPr>
          <w:noProof/>
        </w:rPr>
      </w:pPr>
      <w:r>
        <w:rPr>
          <w:noProof/>
        </w:rPr>
        <w:t>„8.</w:t>
      </w:r>
      <w:r>
        <w:rPr>
          <w:noProof/>
        </w:rPr>
        <w:tab/>
        <w:t>Транспортните разходи може да се състоят от единични разходи, еднократни суми или фиксирани ставки, определени за всяка категория разходи.“</w:t>
      </w:r>
    </w:p>
    <w:p w:rsidR="00271729" w:rsidRDefault="00AD0727">
      <w:pPr>
        <w:pStyle w:val="Point0"/>
        <w:rPr>
          <w:noProof/>
        </w:rPr>
      </w:pPr>
      <w:r>
        <w:rPr>
          <w:noProof/>
        </w:rPr>
        <w:t xml:space="preserve">16) </w:t>
      </w:r>
      <w:r>
        <w:rPr>
          <w:noProof/>
        </w:rPr>
        <w:tab/>
        <w:t>В член 26 параграфи 1 и 2 се заменят със следното:</w:t>
      </w:r>
    </w:p>
    <w:p w:rsidR="00271729" w:rsidRDefault="00AD0727">
      <w:pPr>
        <w:pStyle w:val="Text1"/>
        <w:ind w:left="1435" w:hanging="585"/>
        <w:rPr>
          <w:noProof/>
        </w:rPr>
      </w:pPr>
      <w:r>
        <w:rPr>
          <w:noProof/>
        </w:rPr>
        <w:t>„1.</w:t>
      </w:r>
      <w:r>
        <w:rPr>
          <w:noProof/>
        </w:rPr>
        <w:tab/>
        <w:t>За дейностите, за които се отпуска финансо</w:t>
      </w:r>
      <w:r>
        <w:rPr>
          <w:noProof/>
        </w:rPr>
        <w:t>ва помощ съгласно настоящото решение, не се отпуска помощ съгласно други финансови инструменти на Съюза. Чрез дерогация финансова помощ, предоставена съгласно членове 21, 22 и 23 от настоящото решение, не възпрепятства финансирането съгласно други инструме</w:t>
      </w:r>
      <w:r>
        <w:rPr>
          <w:noProof/>
        </w:rPr>
        <w:t xml:space="preserve">нти на Съюза в съответствие с изискванията, предвидени в тях. </w:t>
      </w:r>
    </w:p>
    <w:p w:rsidR="00271729" w:rsidRDefault="00AD0727">
      <w:pPr>
        <w:pStyle w:val="Text1"/>
        <w:ind w:left="1435"/>
        <w:rPr>
          <w:noProof/>
        </w:rPr>
      </w:pPr>
      <w:r>
        <w:rPr>
          <w:noProof/>
        </w:rPr>
        <w:t>Комисията следи за това кандидатите за финансова помощ съгласно настоящото решение и бенефициерите на такава помощ да ѝ предоставят информация за финансовата помощ, получавана от други източниц</w:t>
      </w:r>
      <w:r>
        <w:rPr>
          <w:noProof/>
        </w:rPr>
        <w:t>и, включително от общия бюджет на Съюза, както и за текущи искания за такава помощ.</w:t>
      </w:r>
    </w:p>
    <w:p w:rsidR="00271729" w:rsidRDefault="00AD0727">
      <w:pPr>
        <w:pStyle w:val="Text1"/>
        <w:ind w:left="1435" w:hanging="585"/>
        <w:rPr>
          <w:noProof/>
        </w:rPr>
      </w:pPr>
      <w:r>
        <w:rPr>
          <w:noProof/>
        </w:rPr>
        <w:t xml:space="preserve">2. </w:t>
      </w:r>
      <w:r>
        <w:rPr>
          <w:noProof/>
        </w:rPr>
        <w:tab/>
        <w:t xml:space="preserve">Търси се полезно взаимодействие и взаимно допълване с други инструменти на Съюза, като например тези в подкрепа на политиките в областта на сближаването, развитието на </w:t>
      </w:r>
      <w:r>
        <w:rPr>
          <w:noProof/>
        </w:rPr>
        <w:t>селските райони, изследователската дейност, здравеопазването, както и миграцията и сигурността. При реагиране на хуманитарни кризи в трети държави Комисията осигурява взаимното допълване и съгласуваността на действията, финансирани съгласно настоящото реше</w:t>
      </w:r>
      <w:r>
        <w:rPr>
          <w:noProof/>
        </w:rPr>
        <w:t>ние, с тези, финансирани по силата на Регламент (ЕО) № 1257/96.“</w:t>
      </w:r>
    </w:p>
    <w:p w:rsidR="00271729" w:rsidRDefault="00AD0727">
      <w:pPr>
        <w:pStyle w:val="Point0"/>
        <w:rPr>
          <w:noProof/>
        </w:rPr>
      </w:pPr>
      <w:r>
        <w:rPr>
          <w:noProof/>
        </w:rPr>
        <w:t>17)</w:t>
      </w:r>
      <w:r>
        <w:rPr>
          <w:noProof/>
        </w:rPr>
        <w:tab/>
        <w:t>В член 28 параграф 3 се заменя със следното:</w:t>
      </w:r>
    </w:p>
    <w:p w:rsidR="00271729" w:rsidRDefault="00AD0727">
      <w:pPr>
        <w:spacing w:after="240"/>
        <w:ind w:left="720"/>
        <w:rPr>
          <w:noProof/>
          <w:szCs w:val="24"/>
        </w:rPr>
      </w:pPr>
      <w:r>
        <w:rPr>
          <w:noProof/>
        </w:rPr>
        <w:t xml:space="preserve">„3. </w:t>
      </w:r>
      <w:r>
        <w:rPr>
          <w:noProof/>
        </w:rPr>
        <w:tab/>
        <w:t xml:space="preserve">Международни организации, регионални организации или държави, които участват в европейската политика за съседство, могат да дават принос </w:t>
      </w:r>
      <w:r>
        <w:rPr>
          <w:noProof/>
        </w:rPr>
        <w:t>към дейности в рамките на Механизма на Съюза, когато съответните двустранни или многостранни споразумения позволяват това.“</w:t>
      </w:r>
    </w:p>
    <w:p w:rsidR="00271729" w:rsidRDefault="00AD0727">
      <w:pPr>
        <w:pStyle w:val="Point0"/>
        <w:rPr>
          <w:noProof/>
        </w:rPr>
      </w:pPr>
      <w:r>
        <w:rPr>
          <w:noProof/>
        </w:rPr>
        <w:t>18)</w:t>
      </w:r>
      <w:r>
        <w:rPr>
          <w:noProof/>
        </w:rPr>
        <w:tab/>
        <w:t>В член 32, параграф 1 букви ж) и з) се заменят със следното:</w:t>
      </w:r>
    </w:p>
    <w:p w:rsidR="00271729" w:rsidRDefault="00AD0727">
      <w:pPr>
        <w:spacing w:after="240"/>
        <w:ind w:left="1440" w:hanging="720"/>
        <w:rPr>
          <w:noProof/>
        </w:rPr>
      </w:pPr>
      <w:r>
        <w:rPr>
          <w:noProof/>
        </w:rPr>
        <w:t>„ж)</w:t>
      </w:r>
      <w:r>
        <w:rPr>
          <w:noProof/>
        </w:rPr>
        <w:tab/>
        <w:t>изграждането, управлението и поддръжката на rescEU съгласно пре</w:t>
      </w:r>
      <w:r>
        <w:rPr>
          <w:noProof/>
        </w:rPr>
        <w:t>двиденото в член 12, включително критериите за решенията относно използването и оперативните процедури;</w:t>
      </w:r>
    </w:p>
    <w:p w:rsidR="00271729" w:rsidRDefault="00AD0727">
      <w:pPr>
        <w:spacing w:after="240"/>
        <w:ind w:left="1440" w:hanging="720"/>
        <w:rPr>
          <w:noProof/>
        </w:rPr>
      </w:pPr>
      <w:r>
        <w:rPr>
          <w:noProof/>
        </w:rPr>
        <w:t>з)</w:t>
      </w:r>
      <w:r>
        <w:rPr>
          <w:noProof/>
        </w:rPr>
        <w:tab/>
        <w:t>изграждането и организацията на Мрежата на Съюза за знания в областта на гражданската защита съгласно предвиденото в член 13;“</w:t>
      </w:r>
    </w:p>
    <w:p w:rsidR="00271729" w:rsidRDefault="00AD0727">
      <w:pPr>
        <w:pStyle w:val="Titrearticle"/>
        <w:rPr>
          <w:noProof/>
        </w:rPr>
      </w:pPr>
      <w:r>
        <w:rPr>
          <w:noProof/>
        </w:rPr>
        <w:t>Член 2</w:t>
      </w:r>
    </w:p>
    <w:p w:rsidR="00271729" w:rsidRDefault="00AD0727">
      <w:pPr>
        <w:keepNext/>
        <w:keepLines/>
        <w:rPr>
          <w:noProof/>
        </w:rPr>
      </w:pPr>
      <w:r>
        <w:rPr>
          <w:noProof/>
        </w:rPr>
        <w:t>Адресати на нас</w:t>
      </w:r>
      <w:r>
        <w:rPr>
          <w:noProof/>
        </w:rPr>
        <w:t>тоящото решение са държавите членки.</w:t>
      </w:r>
    </w:p>
    <w:p w:rsidR="00271729" w:rsidRDefault="002C541A" w:rsidP="002C541A">
      <w:pPr>
        <w:pStyle w:val="Fait"/>
        <w:rPr>
          <w:noProof/>
        </w:rPr>
      </w:pPr>
      <w:r w:rsidRPr="002C541A">
        <w:t>Съставено в Брюксел на  година.</w:t>
      </w:r>
    </w:p>
    <w:p w:rsidR="00271729" w:rsidRDefault="00AD0727">
      <w:pPr>
        <w:pStyle w:val="Institutionquisigne"/>
        <w:rPr>
          <w:noProof/>
        </w:rPr>
      </w:pPr>
      <w:r>
        <w:rPr>
          <w:noProof/>
        </w:rPr>
        <w:t>За Европейския парламент</w:t>
      </w:r>
      <w:r>
        <w:rPr>
          <w:noProof/>
        </w:rPr>
        <w:tab/>
        <w:t>За Съвета</w:t>
      </w:r>
    </w:p>
    <w:p w:rsidR="00271729" w:rsidRDefault="00AD0727">
      <w:pPr>
        <w:pStyle w:val="Personnequisigne"/>
        <w:rPr>
          <w:noProof/>
        </w:rPr>
      </w:pPr>
      <w:r>
        <w:rPr>
          <w:noProof/>
        </w:rPr>
        <w:t>Председател</w:t>
      </w:r>
      <w:r>
        <w:rPr>
          <w:noProof/>
        </w:rPr>
        <w:tab/>
        <w:t>Председател</w:t>
      </w:r>
    </w:p>
    <w:p w:rsidR="00271729" w:rsidRDefault="00271729">
      <w:pPr>
        <w:rPr>
          <w:noProof/>
        </w:rPr>
        <w:sectPr w:rsidR="00271729" w:rsidSect="002C541A">
          <w:pgSz w:w="11907" w:h="16839"/>
          <w:pgMar w:top="1134" w:right="1417" w:bottom="1134" w:left="1417" w:header="709" w:footer="709" w:gutter="0"/>
          <w:cols w:space="708"/>
          <w:docGrid w:linePitch="360"/>
        </w:sectPr>
      </w:pPr>
    </w:p>
    <w:p w:rsidR="00271729" w:rsidRDefault="00AD0727">
      <w:pPr>
        <w:pStyle w:val="Fichefinanciretitre"/>
        <w:rPr>
          <w:noProof/>
        </w:rPr>
      </w:pPr>
      <w:r>
        <w:rPr>
          <w:noProof/>
        </w:rPr>
        <w:t>ЗАКОНОДАТЕЛНА ФИНАНСОВА ОБОСНОВКА</w:t>
      </w:r>
    </w:p>
    <w:p w:rsidR="00271729" w:rsidRDefault="00AD0727">
      <w:pPr>
        <w:pStyle w:val="ManualHeading1"/>
        <w:rPr>
          <w:noProof/>
        </w:rPr>
      </w:pPr>
      <w:r>
        <w:rPr>
          <w:noProof/>
        </w:rPr>
        <w:t>1.</w:t>
      </w:r>
      <w:r>
        <w:rPr>
          <w:noProof/>
        </w:rPr>
        <w:tab/>
        <w:t xml:space="preserve">РАМКА НА ПРЕДЛОЖЕНИЕТО/ИНИЦИАТИВАТА </w:t>
      </w:r>
    </w:p>
    <w:p w:rsidR="00271729" w:rsidRDefault="00AD0727">
      <w:pPr>
        <w:pStyle w:val="ManualHeading2"/>
        <w:rPr>
          <w:b w:val="0"/>
          <w:noProof/>
        </w:rPr>
      </w:pPr>
      <w:r>
        <w:rPr>
          <w:noProof/>
        </w:rPr>
        <w:tab/>
      </w:r>
      <w:r>
        <w:rPr>
          <w:b w:val="0"/>
          <w:noProof/>
        </w:rPr>
        <w:t>1.1.</w:t>
      </w:r>
      <w:r>
        <w:rPr>
          <w:noProof/>
        </w:rPr>
        <w:tab/>
      </w:r>
      <w:r>
        <w:rPr>
          <w:b w:val="0"/>
          <w:noProof/>
        </w:rPr>
        <w:t>Наименование на предложение</w:t>
      </w:r>
      <w:r>
        <w:rPr>
          <w:b w:val="0"/>
          <w:noProof/>
        </w:rPr>
        <w:t xml:space="preserve">то/инициативата </w:t>
      </w:r>
    </w:p>
    <w:p w:rsidR="00271729" w:rsidRDefault="00AD0727">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271729" w:rsidRDefault="00AD0727">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271729" w:rsidRDefault="00AD0727">
      <w:pPr>
        <w:pStyle w:val="ManualHeading2"/>
        <w:rPr>
          <w:b w:val="0"/>
          <w:noProof/>
        </w:rPr>
      </w:pPr>
      <w:r>
        <w:rPr>
          <w:noProof/>
        </w:rPr>
        <w:tab/>
      </w:r>
      <w:r>
        <w:rPr>
          <w:b w:val="0"/>
          <w:noProof/>
        </w:rPr>
        <w:t>1.4.</w:t>
      </w:r>
      <w:r>
        <w:rPr>
          <w:noProof/>
        </w:rPr>
        <w:tab/>
      </w:r>
      <w:r>
        <w:rPr>
          <w:b w:val="0"/>
          <w:noProof/>
        </w:rPr>
        <w:t xml:space="preserve">Цели </w:t>
      </w:r>
    </w:p>
    <w:p w:rsidR="00271729" w:rsidRDefault="00AD0727">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271729" w:rsidRDefault="00AD0727">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rsidR="00271729" w:rsidRDefault="00AD0727">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rsidR="00271729" w:rsidRDefault="00AD0727">
      <w:pPr>
        <w:pStyle w:val="ManualHeading1"/>
        <w:rPr>
          <w:noProof/>
        </w:rPr>
      </w:pPr>
      <w:r>
        <w:rPr>
          <w:noProof/>
        </w:rPr>
        <w:t>2.</w:t>
      </w:r>
      <w:r>
        <w:rPr>
          <w:noProof/>
        </w:rPr>
        <w:tab/>
        <w:t xml:space="preserve">МЕРКИ ЗА УПРАВЛЕНИЕ </w:t>
      </w:r>
    </w:p>
    <w:p w:rsidR="00271729" w:rsidRDefault="00AD0727">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271729" w:rsidRDefault="00AD0727">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271729" w:rsidRDefault="00AD0727">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271729" w:rsidRDefault="00AD0727">
      <w:pPr>
        <w:pStyle w:val="ManualHeading1"/>
        <w:rPr>
          <w:noProof/>
        </w:rPr>
      </w:pPr>
      <w:r>
        <w:rPr>
          <w:noProof/>
        </w:rPr>
        <w:t>3.</w:t>
      </w:r>
      <w:r>
        <w:rPr>
          <w:noProof/>
        </w:rPr>
        <w:tab/>
        <w:t xml:space="preserve">ОЧАКВАНО ФИНАНСОВО ОТРАЖЕНИЕ НА ПРЕДЛОЖЕНИЕТО/ИНИЦИАТИВАТА </w:t>
      </w:r>
    </w:p>
    <w:p w:rsidR="00271729" w:rsidRDefault="00AD0727">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271729" w:rsidRDefault="00AD0727">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271729" w:rsidRDefault="00AD0727">
      <w:pPr>
        <w:pStyle w:val="ManualHeading3"/>
        <w:rPr>
          <w:noProof/>
        </w:rPr>
      </w:pPr>
      <w:r>
        <w:rPr>
          <w:noProof/>
        </w:rPr>
        <w:tab/>
        <w:t>3.2.1.</w:t>
      </w:r>
      <w:r>
        <w:rPr>
          <w:noProof/>
        </w:rPr>
        <w:tab/>
        <w:t xml:space="preserve">Обобщение на очакваното отражение върху разходите </w:t>
      </w:r>
    </w:p>
    <w:p w:rsidR="00271729" w:rsidRDefault="00AD0727">
      <w:pPr>
        <w:pStyle w:val="ManualHeading3"/>
        <w:rPr>
          <w:noProof/>
        </w:rPr>
      </w:pPr>
      <w:r>
        <w:rPr>
          <w:noProof/>
        </w:rPr>
        <w:tab/>
        <w:t>3.2.2.</w:t>
      </w:r>
      <w:r>
        <w:rPr>
          <w:noProof/>
        </w:rPr>
        <w:tab/>
        <w:t>Очаквано отражение върху бюджетните кредити за оперативни раз</w:t>
      </w:r>
      <w:r>
        <w:rPr>
          <w:noProof/>
        </w:rPr>
        <w:t xml:space="preserve">ходи </w:t>
      </w:r>
    </w:p>
    <w:p w:rsidR="00271729" w:rsidRDefault="00AD0727">
      <w:pPr>
        <w:pStyle w:val="ManualHeading3"/>
        <w:rPr>
          <w:noProof/>
        </w:rPr>
      </w:pPr>
      <w:r>
        <w:rPr>
          <w:noProof/>
        </w:rPr>
        <w:tab/>
        <w:t>3.2.3.</w:t>
      </w:r>
      <w:r>
        <w:rPr>
          <w:noProof/>
        </w:rPr>
        <w:tab/>
        <w:t>Очаквано отражение върху бюджетните кредити за административни разходи</w:t>
      </w:r>
    </w:p>
    <w:p w:rsidR="00271729" w:rsidRDefault="00AD0727">
      <w:pPr>
        <w:pStyle w:val="ManualHeading3"/>
        <w:rPr>
          <w:noProof/>
        </w:rPr>
      </w:pPr>
      <w:r>
        <w:rPr>
          <w:noProof/>
        </w:rPr>
        <w:tab/>
        <w:t>3.2.4.</w:t>
      </w:r>
      <w:r>
        <w:rPr>
          <w:noProof/>
        </w:rPr>
        <w:tab/>
        <w:t>Съвместимост с настоящата многогодишна финансова рамка</w:t>
      </w:r>
    </w:p>
    <w:p w:rsidR="00271729" w:rsidRDefault="00AD0727">
      <w:pPr>
        <w:pStyle w:val="ManualHeading3"/>
        <w:rPr>
          <w:noProof/>
        </w:rPr>
      </w:pPr>
      <w:r>
        <w:rPr>
          <w:noProof/>
        </w:rPr>
        <w:tab/>
        <w:t>3.2.5.</w:t>
      </w:r>
      <w:r>
        <w:rPr>
          <w:noProof/>
        </w:rPr>
        <w:tab/>
        <w:t xml:space="preserve">Участие на трети страни във финансирането </w:t>
      </w:r>
    </w:p>
    <w:p w:rsidR="00271729" w:rsidRDefault="00AD0727">
      <w:pPr>
        <w:pStyle w:val="ManualHeading3"/>
        <w:rPr>
          <w:b/>
          <w:i w:val="0"/>
          <w:smallCaps/>
          <w:noProof/>
        </w:rPr>
      </w:pPr>
      <w:r>
        <w:rPr>
          <w:noProof/>
        </w:rPr>
        <w:tab/>
      </w:r>
      <w:r>
        <w:rPr>
          <w:i w:val="0"/>
          <w:noProof/>
        </w:rPr>
        <w:t>3.3.</w:t>
      </w:r>
      <w:r>
        <w:rPr>
          <w:noProof/>
        </w:rPr>
        <w:tab/>
      </w:r>
      <w:r>
        <w:rPr>
          <w:i w:val="0"/>
          <w:noProof/>
        </w:rPr>
        <w:t>Очаквано отражение върху приходите</w:t>
      </w:r>
    </w:p>
    <w:p w:rsidR="00271729" w:rsidRDefault="00271729">
      <w:pPr>
        <w:keepNext/>
        <w:tabs>
          <w:tab w:val="left" w:pos="850"/>
        </w:tabs>
        <w:jc w:val="left"/>
        <w:outlineLvl w:val="1"/>
        <w:rPr>
          <w:noProof/>
        </w:rPr>
        <w:sectPr w:rsidR="00271729" w:rsidSect="002C541A">
          <w:pgSz w:w="11907" w:h="16840" w:code="9"/>
          <w:pgMar w:top="1134" w:right="1418" w:bottom="1134" w:left="1418" w:header="709" w:footer="709" w:gutter="0"/>
          <w:cols w:space="708"/>
          <w:docGrid w:linePitch="360"/>
        </w:sectPr>
      </w:pPr>
    </w:p>
    <w:p w:rsidR="00271729" w:rsidRDefault="00AD0727">
      <w:pPr>
        <w:jc w:val="center"/>
        <w:rPr>
          <w:noProof/>
        </w:rPr>
      </w:pPr>
      <w:r>
        <w:rPr>
          <w:b/>
          <w:noProof/>
          <w:u w:val="single"/>
        </w:rPr>
        <w:t>ЗАКОНОДАТЕЛНА ФИНАНСОВА ОБОСНОВКА</w:t>
      </w:r>
    </w:p>
    <w:p w:rsidR="00271729" w:rsidRDefault="00AD0727">
      <w:pPr>
        <w:pStyle w:val="ManualNumPar1"/>
        <w:rPr>
          <w:noProof/>
        </w:rPr>
      </w:pPr>
      <w:r>
        <w:t>1.</w:t>
      </w:r>
      <w:r>
        <w:tab/>
      </w:r>
      <w:r>
        <w:rPr>
          <w:noProof/>
        </w:rPr>
        <w:t xml:space="preserve">РАМКА НА ПРЕДЛОЖЕНИЕТО/ИНИЦИАТИВАТА </w:t>
      </w:r>
    </w:p>
    <w:p w:rsidR="00271729" w:rsidRDefault="00AD0727">
      <w:pPr>
        <w:pStyle w:val="ManualNumPar2"/>
        <w:rPr>
          <w:noProof/>
        </w:rPr>
      </w:pPr>
      <w:r>
        <w:t>1.</w:t>
      </w:r>
      <w:proofErr w:type="spellStart"/>
      <w:r>
        <w:t>1</w:t>
      </w:r>
      <w:proofErr w:type="spellEnd"/>
      <w:r>
        <w:t>.</w:t>
      </w:r>
      <w:r>
        <w:tab/>
      </w:r>
      <w:r>
        <w:rPr>
          <w:noProof/>
        </w:rPr>
        <w:t xml:space="preserve">Наименование на предложението/инициативата </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sz w:val="23"/>
        </w:rPr>
        <w:t>Предложение за изменение на Решение № 1313/2013/ЕС на Европейския парламент и на Съвета относно Механизъм за</w:t>
      </w:r>
      <w:r>
        <w:rPr>
          <w:noProof/>
          <w:sz w:val="23"/>
        </w:rPr>
        <w:t xml:space="preserve"> гражданска защита на Съюза</w:t>
      </w:r>
    </w:p>
    <w:p w:rsidR="00271729" w:rsidRDefault="00271729">
      <w:pPr>
        <w:pBdr>
          <w:top w:val="single" w:sz="4" w:space="1" w:color="auto"/>
          <w:left w:val="single" w:sz="4" w:space="4" w:color="auto"/>
          <w:bottom w:val="single" w:sz="4" w:space="1" w:color="auto"/>
          <w:right w:val="single" w:sz="4" w:space="4" w:color="auto"/>
        </w:pBdr>
        <w:ind w:left="850"/>
        <w:rPr>
          <w:noProof/>
        </w:rPr>
      </w:pPr>
    </w:p>
    <w:p w:rsidR="00271729" w:rsidRDefault="00AD0727">
      <w:pPr>
        <w:pStyle w:val="ManualNumPar2"/>
        <w:rPr>
          <w:noProof/>
        </w:rPr>
      </w:pPr>
      <w:r>
        <w:t>1.2.</w:t>
      </w:r>
      <w:r>
        <w:tab/>
      </w:r>
      <w:r>
        <w:rPr>
          <w:noProof/>
        </w:rPr>
        <w:t>Съответни области на политиката в структурата на УД/БД</w:t>
      </w:r>
      <w:r>
        <w:rPr>
          <w:rStyle w:val="FootnoteReference"/>
          <w:noProof/>
        </w:rPr>
        <w:footnoteReference w:id="17"/>
      </w:r>
      <w:r>
        <w:rPr>
          <w:i/>
          <w:noProof/>
        </w:rPr>
        <w:t xml:space="preserve"> </w:t>
      </w:r>
    </w:p>
    <w:p w:rsidR="00271729" w:rsidRDefault="00AD0727">
      <w:pPr>
        <w:pBdr>
          <w:top w:val="single" w:sz="4" w:space="1" w:color="auto"/>
          <w:left w:val="single" w:sz="4" w:space="4" w:color="auto"/>
          <w:bottom w:val="single" w:sz="4" w:space="1" w:color="auto"/>
          <w:right w:val="single" w:sz="4" w:space="4" w:color="auto"/>
        </w:pBdr>
        <w:ind w:left="850"/>
        <w:rPr>
          <w:noProof/>
          <w:color w:val="0000FF"/>
        </w:rPr>
      </w:pPr>
      <w:r>
        <w:rPr>
          <w:noProof/>
        </w:rPr>
        <w:t>23 01 – АДМИНИСТРАТИВНИ РАЗХОДИ В ОБЛАСТ НА ПОЛИТИКАТА „ХУМАНИТАРНА ПОМОЩ И ГРАЖДАНСКА ЗАЩИТА“</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 xml:space="preserve">23 03 – МЕХАНИЗЪМ ЗА ГРАЖДАНСКА ЗАЩИТА НА СЪЮЗА </w:t>
      </w:r>
    </w:p>
    <w:p w:rsidR="00271729" w:rsidRDefault="00AD0727">
      <w:pPr>
        <w:pStyle w:val="ManualNumPar2"/>
        <w:rPr>
          <w:noProof/>
        </w:rPr>
      </w:pPr>
      <w:r>
        <w:t>1.3.</w:t>
      </w:r>
      <w:r>
        <w:tab/>
      </w:r>
      <w:r>
        <w:rPr>
          <w:noProof/>
        </w:rPr>
        <w:t xml:space="preserve">Естество на предложението/инициативата </w:t>
      </w:r>
    </w:p>
    <w:p w:rsidR="00271729" w:rsidRDefault="00AD0727">
      <w:pPr>
        <w:ind w:left="850"/>
        <w:rPr>
          <w:b/>
          <w:noProof/>
          <w:sz w:val="22"/>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rsidR="00271729" w:rsidRDefault="00AD0727">
      <w:pPr>
        <w:ind w:left="850"/>
        <w:rPr>
          <w:noProof/>
          <w:sz w:val="22"/>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8"/>
      </w:r>
      <w:r>
        <w:rPr>
          <w:noProof/>
          <w:sz w:val="22"/>
        </w:rPr>
        <w:t xml:space="preserve"> </w:t>
      </w:r>
    </w:p>
    <w:p w:rsidR="00271729" w:rsidRDefault="00AD0727">
      <w:pPr>
        <w:ind w:left="850"/>
        <w:rPr>
          <w:noProof/>
          <w:sz w:val="22"/>
        </w:rPr>
      </w:pPr>
      <w:r>
        <w:rPr>
          <w:noProof/>
          <w:sz w:val="22"/>
        </w:rPr>
        <w:t>X</w:t>
      </w:r>
      <w:r>
        <w:rPr>
          <w:i/>
          <w:noProof/>
          <w:sz w:val="22"/>
        </w:rPr>
        <w:t xml:space="preserve"> </w:t>
      </w:r>
      <w:r>
        <w:rPr>
          <w:noProof/>
        </w:rPr>
        <w:t xml:space="preserve">Предложението/инициативата е във връзка с </w:t>
      </w:r>
      <w:r>
        <w:rPr>
          <w:b/>
          <w:noProof/>
        </w:rPr>
        <w:t xml:space="preserve">продължаване </w:t>
      </w:r>
      <w:r>
        <w:rPr>
          <w:b/>
          <w:noProof/>
        </w:rPr>
        <w:t>на съществуваща дейност</w:t>
      </w:r>
      <w:r>
        <w:rPr>
          <w:noProof/>
          <w:sz w:val="22"/>
        </w:rPr>
        <w:t xml:space="preserve"> </w:t>
      </w:r>
    </w:p>
    <w:p w:rsidR="00271729" w:rsidRDefault="00AD0727">
      <w:pPr>
        <w:ind w:left="850"/>
        <w:rPr>
          <w:noProof/>
        </w:rPr>
      </w:pPr>
      <w:r>
        <w:rPr>
          <w:noProof/>
          <w:sz w:val="22"/>
        </w:rPr>
        <w:sym w:font="Wingdings" w:char="F0A8"/>
      </w:r>
      <w:r>
        <w:rPr>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rsidR="00271729" w:rsidRDefault="00AD0727">
      <w:pPr>
        <w:pStyle w:val="ManualNumPar2"/>
        <w:rPr>
          <w:noProof/>
        </w:rPr>
      </w:pPr>
      <w:r>
        <w:t>1.4.</w:t>
      </w:r>
      <w:r>
        <w:tab/>
      </w:r>
      <w:r>
        <w:rPr>
          <w:noProof/>
        </w:rPr>
        <w:t>Цели</w:t>
      </w:r>
    </w:p>
    <w:p w:rsidR="00271729" w:rsidRDefault="00AD0727">
      <w:pPr>
        <w:pStyle w:val="ManualNumPar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Общата цел на настоящ</w:t>
      </w:r>
      <w:r>
        <w:rPr>
          <w:noProof/>
        </w:rPr>
        <w:t>ото решение е да се укрепи сътрудничеството между Съюза и държавите членки и да се улесни координацията в областта на гражданската защита при превенцията, подготовката за и реагирането при природни и причинени от човека бедствия</w:t>
      </w:r>
    </w:p>
    <w:p w:rsidR="00271729" w:rsidRDefault="00AD0727">
      <w:pPr>
        <w:pStyle w:val="ManualNumPar3"/>
        <w:rPr>
          <w:noProof/>
        </w:rPr>
      </w:pPr>
      <w:r>
        <w:t>1.4.2.</w:t>
      </w:r>
      <w:r>
        <w:tab/>
      </w:r>
      <w:r>
        <w:rPr>
          <w:noProof/>
        </w:rPr>
        <w:t>Конкретни цели и съо</w:t>
      </w:r>
      <w:r>
        <w:rPr>
          <w:noProof/>
        </w:rPr>
        <w:t xml:space="preserve">тветни дейности във връзка с УД/БД </w:t>
      </w:r>
    </w:p>
    <w:p w:rsidR="00271729" w:rsidRDefault="00AD0727">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1</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Да се постигне високо ниво на защита срещу бедствия чрез предотвратяване или ограничаване на потенциалните им въздействия, чрез насърчаване на култура на превенция и чрез подобряване на сътрудничеството</w:t>
      </w:r>
      <w:r>
        <w:rPr>
          <w:noProof/>
        </w:rPr>
        <w:t xml:space="preserve"> между службите за гражданска защита и съответни други служби.</w:t>
      </w:r>
    </w:p>
    <w:p w:rsidR="00271729" w:rsidRDefault="00AD0727">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2</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Да се повиши степента на готовност за реагиране при бедствия на равнището на държавите членки и на равнището на Съюза.</w:t>
      </w:r>
    </w:p>
    <w:p w:rsidR="00271729" w:rsidRDefault="00AD0727">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3</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Да се улесни бързото и ефикасно реагир</w:t>
      </w:r>
      <w:r>
        <w:rPr>
          <w:noProof/>
        </w:rPr>
        <w:t>ане при бедствия или непосредствена заплаха от такива.</w:t>
      </w:r>
    </w:p>
    <w:p w:rsidR="00271729" w:rsidRDefault="00AD0727">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4</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Да се увеличи обществената осведоменост и готовност за бедствия.</w:t>
      </w:r>
    </w:p>
    <w:p w:rsidR="00271729" w:rsidRDefault="00271729">
      <w:pPr>
        <w:pBdr>
          <w:top w:val="single" w:sz="4" w:space="1" w:color="auto"/>
          <w:left w:val="single" w:sz="4" w:space="4" w:color="auto"/>
          <w:bottom w:val="single" w:sz="4" w:space="1" w:color="auto"/>
          <w:right w:val="single" w:sz="4" w:space="4" w:color="auto"/>
        </w:pBdr>
        <w:ind w:left="850"/>
        <w:rPr>
          <w:noProof/>
        </w:rPr>
      </w:pPr>
    </w:p>
    <w:p w:rsidR="00271729" w:rsidRDefault="00AD0727">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 xml:space="preserve">23 01 – АДМИНИСТРАТИВНИ РАЗХОДИ В ОБЛАСТ НА ПОЛИТИКАТА „ХУМАНИТАРНА ПОМОЩ И </w:t>
      </w:r>
      <w:r>
        <w:rPr>
          <w:noProof/>
        </w:rPr>
        <w:t>ГРАЖДАНСКА ЗАЩИТА“</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rPr>
        <w:t xml:space="preserve">23 03 – МЕХАНИЗЪМ ЗА ГРАЖДАНСКА ЗАЩИТА НА СЪЮЗА </w:t>
      </w:r>
    </w:p>
    <w:p w:rsidR="00271729" w:rsidRDefault="00AD0727">
      <w:pPr>
        <w:spacing w:before="0" w:after="200" w:line="276" w:lineRule="auto"/>
        <w:jc w:val="left"/>
        <w:rPr>
          <w:i/>
          <w:noProof/>
        </w:rPr>
      </w:pPr>
      <w:r>
        <w:rPr>
          <w:i/>
          <w:noProof/>
        </w:rPr>
        <w:br w:type="page"/>
      </w:r>
    </w:p>
    <w:p w:rsidR="00271729" w:rsidRDefault="00AD0727">
      <w:pPr>
        <w:pStyle w:val="ManualNumPar3"/>
        <w:rPr>
          <w:noProof/>
        </w:rPr>
      </w:pPr>
      <w:r>
        <w:t>1.4.3.</w:t>
      </w:r>
      <w:r>
        <w:tab/>
      </w:r>
      <w:r>
        <w:rPr>
          <w:noProof/>
        </w:rPr>
        <w:t>Очаквани резултати и отражение</w:t>
      </w:r>
    </w:p>
    <w:p w:rsidR="00271729" w:rsidRDefault="00AD0727">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rsidR="00271729" w:rsidRDefault="00AD072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Предложението ще</w:t>
      </w:r>
      <w:r>
        <w:rPr>
          <w:noProof/>
        </w:rPr>
        <w:tab/>
      </w:r>
    </w:p>
    <w:p w:rsidR="00271729" w:rsidRDefault="00AD072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позволи</w:t>
      </w:r>
      <w:r>
        <w:rPr>
          <w:noProof/>
          <w:color w:val="000000"/>
          <w:sz w:val="23"/>
        </w:rPr>
        <w:t xml:space="preserve"> на Съюза да подпомага, координира и допълва действията на държавите членки в областта на гражданската защита чрез Механизма за гражданска защита на Съюза (МГЗС или „Механизмът“) по време на действието на МФР за периода 2014—2020 г., включително по-конкрет</w:t>
      </w:r>
      <w:r>
        <w:rPr>
          <w:noProof/>
          <w:color w:val="000000"/>
          <w:sz w:val="23"/>
        </w:rPr>
        <w:t>но чрез:</w:t>
      </w:r>
    </w:p>
    <w:p w:rsidR="00271729" w:rsidRDefault="00AD072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а) мерки за предотвратяване или намаляване на последствията от бедствията; както и</w:t>
      </w:r>
    </w:p>
    <w:p w:rsidR="00271729" w:rsidRDefault="00AD072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б) действия, насочени към повишаване степента на готовност на ЕС за реагиране при бедствия, включително действия за подобряване осведомеността на гражданите на ЕС;</w:t>
      </w:r>
    </w:p>
    <w:p w:rsidR="00271729" w:rsidRDefault="00AD072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в) действия по линия на Механизма в областта на операциите за подпомагане при бедствия.</w:t>
      </w:r>
    </w:p>
    <w:p w:rsidR="00271729" w:rsidRDefault="00AD072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Действащият Механизъм показа, че е добър инструмент за мобилизиране и координиране на помощта, предоставяна от участващите държави за реагиране при бедствия в рамките н</w:t>
      </w:r>
      <w:r>
        <w:rPr>
          <w:noProof/>
          <w:color w:val="000000"/>
          <w:sz w:val="23"/>
        </w:rPr>
        <w:t>а Съюза и извън него. Опирайки се на тези силни страни, настоящото предложение ще укрепи някои от разпоредбите на действащата уредба с цел да повиши колективната способност на държавите членки за реагиране при бедствия, чрез създаване на по-солиден европей</w:t>
      </w:r>
      <w:r>
        <w:rPr>
          <w:noProof/>
          <w:color w:val="000000"/>
          <w:sz w:val="23"/>
        </w:rPr>
        <w:t>ски капацитет за гражданска защита, който следва да бъде известен като rescEU. Този нов резервен капацитет, както и по-високите проценти на съфинансиране за Европейския резерв за гражданска защита (известен досега като Европейски капацитет за реагиране при</w:t>
      </w:r>
      <w:r>
        <w:rPr>
          <w:noProof/>
          <w:color w:val="000000"/>
          <w:sz w:val="23"/>
        </w:rPr>
        <w:t xml:space="preserve"> извънредни ситуации — EERC) ще преодолеят структурните и възникващите пропуски, свързани с критичните пропуски при реагиране. Настоящата инициатива ще спомогне също така за укрепване на вътрешната съгласуваност на Механизма и за повишаване на ефикасността</w:t>
      </w:r>
      <w:r>
        <w:rPr>
          <w:noProof/>
          <w:color w:val="000000"/>
          <w:sz w:val="23"/>
        </w:rPr>
        <w:t xml:space="preserve"> чрез насоченост към административно опростяване и рационализиране на процедурите.</w:t>
      </w:r>
    </w:p>
    <w:p w:rsidR="00271729" w:rsidRDefault="00AD0727">
      <w:pPr>
        <w:pStyle w:val="ManualNumPar3"/>
        <w:rPr>
          <w:noProof/>
        </w:rPr>
      </w:pPr>
      <w:r>
        <w:t>1.4.</w:t>
      </w:r>
      <w:proofErr w:type="spellStart"/>
      <w:r>
        <w:t>4</w:t>
      </w:r>
      <w:proofErr w:type="spellEnd"/>
      <w:r>
        <w:t>.</w:t>
      </w:r>
      <w:r>
        <w:tab/>
      </w:r>
      <w:r>
        <w:rPr>
          <w:noProof/>
        </w:rPr>
        <w:t xml:space="preserve">Показатели за резултатите и за отражението </w:t>
      </w:r>
    </w:p>
    <w:p w:rsidR="00271729" w:rsidRDefault="00AD0727">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271729" w:rsidRDefault="00AD0727">
      <w:pPr>
        <w:pBdr>
          <w:top w:val="single" w:sz="4" w:space="1" w:color="auto"/>
          <w:left w:val="single" w:sz="4" w:space="4" w:color="auto"/>
          <w:bottom w:val="single" w:sz="4" w:space="1" w:color="auto"/>
          <w:right w:val="single" w:sz="4" w:space="4" w:color="auto"/>
        </w:pBdr>
        <w:spacing w:after="0"/>
        <w:ind w:left="851"/>
        <w:rPr>
          <w:noProof/>
        </w:rPr>
      </w:pPr>
      <w:r>
        <w:rPr>
          <w:noProof/>
          <w:color w:val="000000"/>
          <w:sz w:val="23"/>
          <w:u w:val="single"/>
        </w:rPr>
        <w:t>Специфична цел</w:t>
      </w:r>
      <w:r>
        <w:rPr>
          <w:noProof/>
          <w:color w:val="000000"/>
          <w:sz w:val="23"/>
        </w:rPr>
        <w:t>:</w:t>
      </w:r>
      <w:r>
        <w:rPr>
          <w:noProof/>
        </w:rPr>
        <w:t xml:space="preserve"> </w:t>
      </w:r>
      <w:r>
        <w:rPr>
          <w:noProof/>
          <w:u w:val="single"/>
        </w:rPr>
        <w:t>да</w:t>
      </w:r>
      <w:r>
        <w:rPr>
          <w:noProof/>
          <w:u w:val="single"/>
        </w:rPr>
        <w:t xml:space="preserve"> се постигне високо ниво на защита срещу бедствия чрез предотвратяване или намаляване на техните въздействия и чрез насърчаване на култура на превенция</w:t>
      </w:r>
      <w:r>
        <w:rPr>
          <w:noProof/>
        </w:rPr>
        <w:t>:</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Брой на държавите членки, представили национални оценки на риска и способност за управление на риска</w:t>
      </w:r>
      <w:r>
        <w:rPr>
          <w:noProof/>
          <w:color w:val="000000"/>
          <w:sz w:val="23"/>
        </w:rPr>
        <w:t xml:space="preserve"> от бедствия;</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Брой на държавите членки, представили обобщение на планирането си за управлението при бедствия.</w:t>
      </w:r>
    </w:p>
    <w:p w:rsidR="00271729" w:rsidRDefault="00271729">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u w:val="single"/>
        </w:rPr>
      </w:pPr>
      <w:r>
        <w:rPr>
          <w:noProof/>
          <w:color w:val="000000"/>
          <w:u w:val="single"/>
        </w:rPr>
        <w:t>Специфична цел</w:t>
      </w:r>
      <w:r>
        <w:rPr>
          <w:noProof/>
          <w:color w:val="000000"/>
        </w:rPr>
        <w:t xml:space="preserve">: </w:t>
      </w:r>
      <w:r>
        <w:rPr>
          <w:noProof/>
          <w:color w:val="000000"/>
          <w:u w:val="single"/>
        </w:rPr>
        <w:t>да се повиши степента на готовност на Съюза за реагиране при бедствия:</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Брой експерти, обучени по линия на Механизма за граж</w:t>
      </w:r>
      <w:r>
        <w:rPr>
          <w:noProof/>
          <w:color w:val="000000"/>
          <w:sz w:val="23"/>
        </w:rPr>
        <w:t>данска защита на Съюза, които са изпратени на мисия за реагиране  по линия на МГЗС;</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Брой на обмените на експерти в рамките на ЕС и със съседни държави;</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3.</w:t>
      </w:r>
      <w:r>
        <w:rPr>
          <w:noProof/>
        </w:rPr>
        <w:tab/>
      </w:r>
      <w:r>
        <w:rPr>
          <w:noProof/>
          <w:color w:val="000000"/>
          <w:sz w:val="23"/>
        </w:rPr>
        <w:t>Брой и вид на активите, придобити с цел да бъдат част от rescEU;</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4.</w:t>
      </w:r>
      <w:r>
        <w:rPr>
          <w:noProof/>
        </w:rPr>
        <w:tab/>
      </w:r>
      <w:r>
        <w:rPr>
          <w:noProof/>
          <w:color w:val="000000"/>
          <w:sz w:val="23"/>
        </w:rPr>
        <w:t xml:space="preserve">Брой и вид на активите, </w:t>
      </w:r>
      <w:r>
        <w:rPr>
          <w:noProof/>
          <w:color w:val="000000"/>
          <w:sz w:val="23"/>
        </w:rPr>
        <w:t>сертифицирани да се присъединят към Европейския резерв за гражданска защита;</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5.</w:t>
      </w:r>
      <w:r>
        <w:rPr>
          <w:noProof/>
        </w:rPr>
        <w:tab/>
      </w:r>
      <w:r>
        <w:rPr>
          <w:noProof/>
          <w:color w:val="000000"/>
          <w:sz w:val="23"/>
        </w:rPr>
        <w:t>Брой на държавите членки, които предоставят активи за Европейския резерв за гражданска защита;</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6.</w:t>
      </w:r>
      <w:r>
        <w:rPr>
          <w:noProof/>
        </w:rPr>
        <w:tab/>
      </w:r>
      <w:r>
        <w:rPr>
          <w:noProof/>
          <w:color w:val="000000"/>
          <w:sz w:val="23"/>
        </w:rPr>
        <w:t xml:space="preserve">Брой на мисиите на rescEU спрямо общия брой мисии за реагиране на Европейския </w:t>
      </w:r>
      <w:r>
        <w:rPr>
          <w:noProof/>
          <w:color w:val="000000"/>
          <w:sz w:val="23"/>
        </w:rPr>
        <w:t>резерв за гражданска защита.</w:t>
      </w:r>
    </w:p>
    <w:p w:rsidR="00271729" w:rsidRDefault="00271729">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u w:val="single"/>
        </w:rPr>
        <w:t>Специфична цел</w:t>
      </w:r>
      <w:r>
        <w:rPr>
          <w:noProof/>
          <w:color w:val="000000"/>
        </w:rPr>
        <w:t xml:space="preserve">: </w:t>
      </w:r>
      <w:r>
        <w:rPr>
          <w:noProof/>
          <w:color w:val="000000"/>
          <w:u w:val="single"/>
        </w:rPr>
        <w:t>улесняване на бързи и ефикасни операции за спешно реагиране при големи бедствия или непосредствена заплаха от такива бедствия:</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1.</w:t>
      </w:r>
      <w:r>
        <w:rPr>
          <w:noProof/>
        </w:rPr>
        <w:tab/>
      </w:r>
      <w:r>
        <w:rPr>
          <w:noProof/>
          <w:sz w:val="22"/>
        </w:rPr>
        <w:t>Бързина на операциите: времето, изтекло между подаването на искане за помощ и ра</w:t>
      </w:r>
      <w:r>
        <w:rPr>
          <w:noProof/>
          <w:sz w:val="22"/>
        </w:rPr>
        <w:t>зполагането на помощта на място, както и пълната готовност за действие на екипите за оценка/координация;</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2.</w:t>
      </w:r>
      <w:r>
        <w:rPr>
          <w:noProof/>
        </w:rPr>
        <w:tab/>
      </w:r>
      <w:r>
        <w:rPr>
          <w:noProof/>
          <w:sz w:val="22"/>
        </w:rPr>
        <w:t>Съотношение между активите, изпратени на място от rescEU, и тези, изпратени от Европейския резерв за гражданска защита;</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3.</w:t>
      </w:r>
      <w:r>
        <w:rPr>
          <w:noProof/>
        </w:rPr>
        <w:tab/>
      </w:r>
      <w:r>
        <w:rPr>
          <w:noProof/>
          <w:sz w:val="22"/>
        </w:rPr>
        <w:t>Брой на безвъзмездните ср</w:t>
      </w:r>
      <w:r>
        <w:rPr>
          <w:noProof/>
          <w:sz w:val="22"/>
        </w:rPr>
        <w:t>едства за транспорт и транспортните услуги;</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4.</w:t>
      </w:r>
      <w:r>
        <w:rPr>
          <w:noProof/>
        </w:rPr>
        <w:tab/>
      </w:r>
      <w:r>
        <w:rPr>
          <w:noProof/>
          <w:sz w:val="22"/>
        </w:rPr>
        <w:t>Размери на финансирането от ЕС за операции на rescEU в Европа и извън Европа (оперативни и транспортни разходи при изключителни обстоятелства);</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5.</w:t>
      </w:r>
      <w:r>
        <w:rPr>
          <w:noProof/>
        </w:rPr>
        <w:tab/>
      </w:r>
      <w:r>
        <w:rPr>
          <w:noProof/>
          <w:sz w:val="22"/>
        </w:rPr>
        <w:t>Размери на съфинансирането от ЕС за операции на Европейския ре</w:t>
      </w:r>
      <w:r>
        <w:rPr>
          <w:noProof/>
          <w:sz w:val="22"/>
        </w:rPr>
        <w:t>зерв за гражданска защита в Европа и извън Европа (транспортни операции);</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6.</w:t>
      </w:r>
      <w:r>
        <w:rPr>
          <w:noProof/>
        </w:rPr>
        <w:tab/>
      </w:r>
      <w:r>
        <w:rPr>
          <w:noProof/>
          <w:sz w:val="22"/>
        </w:rPr>
        <w:t>Общ размер на съфинансирането от ЕС, предоставено на ДЧ;</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7.</w:t>
      </w:r>
      <w:r>
        <w:rPr>
          <w:noProof/>
        </w:rPr>
        <w:tab/>
      </w:r>
      <w:r>
        <w:rPr>
          <w:noProof/>
          <w:sz w:val="22"/>
        </w:rPr>
        <w:t>Брой на случаите, при които е било използвано обединяване на помощта, спрямо общия брой мисии по линия на МГЗС.</w:t>
      </w:r>
    </w:p>
    <w:p w:rsidR="00271729" w:rsidRDefault="00271729">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pacing w:val="-6"/>
          <w:szCs w:val="23"/>
          <w:u w:val="single"/>
        </w:rPr>
      </w:pPr>
      <w:r>
        <w:rPr>
          <w:noProof/>
          <w:color w:val="000000"/>
          <w:spacing w:val="-6"/>
          <w:u w:val="single"/>
        </w:rPr>
        <w:t>Конкре</w:t>
      </w:r>
      <w:r>
        <w:rPr>
          <w:noProof/>
          <w:color w:val="000000"/>
          <w:spacing w:val="-6"/>
          <w:u w:val="single"/>
        </w:rPr>
        <w:t>тна цел 4: Да се увеличи обществената осведоменост и готовност за бедствия.</w:t>
      </w:r>
    </w:p>
    <w:p w:rsidR="00271729" w:rsidRDefault="00AD0727">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rPr>
        <w:t>1.</w:t>
      </w:r>
      <w:r>
        <w:rPr>
          <w:noProof/>
        </w:rPr>
        <w:tab/>
      </w:r>
      <w:r>
        <w:rPr>
          <w:noProof/>
          <w:color w:val="000000"/>
        </w:rPr>
        <w:t>Брой на участниците в/посетителите на уебсайтове за повишаване на осведомеността относно рисковете, поддържани от ПЧП, финансирани от МГЗС;</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color w:val="000000"/>
        </w:rPr>
        <w:t>2.</w:t>
      </w:r>
      <w:r>
        <w:rPr>
          <w:noProof/>
        </w:rPr>
        <w:tab/>
      </w:r>
      <w:r>
        <w:rPr>
          <w:noProof/>
          <w:color w:val="000000"/>
        </w:rPr>
        <w:t xml:space="preserve">Осведоменост на гражданите на ЕС </w:t>
      </w:r>
      <w:r>
        <w:rPr>
          <w:noProof/>
          <w:color w:val="000000"/>
        </w:rPr>
        <w:t>относно МГЗС (проучване сред граждани на ЕС).</w:t>
      </w:r>
    </w:p>
    <w:p w:rsidR="00271729" w:rsidRDefault="00AD0727">
      <w:pPr>
        <w:pStyle w:val="ManualNumPar2"/>
        <w:rPr>
          <w:noProof/>
        </w:rPr>
      </w:pPr>
      <w:r>
        <w:t>1.5.</w:t>
      </w:r>
      <w:r>
        <w:tab/>
      </w:r>
      <w:r>
        <w:rPr>
          <w:noProof/>
        </w:rPr>
        <w:t xml:space="preserve">Мотиви за предложението/инициативата </w:t>
      </w:r>
    </w:p>
    <w:p w:rsidR="00271729" w:rsidRDefault="00AD0727">
      <w:pPr>
        <w:pStyle w:val="ManualNumPar3"/>
        <w:rPr>
          <w:noProof/>
        </w:rPr>
      </w:pPr>
      <w:r>
        <w:t>1.5.1.</w:t>
      </w:r>
      <w:r>
        <w:tab/>
      </w:r>
      <w:r>
        <w:rPr>
          <w:noProof/>
        </w:rPr>
        <w:t xml:space="preserve">Нужди, които трябва да бъдат задоволени в краткосрочен или дългосрочен план </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Европейската гражданска защита се разви бързо през последните години. От </w:t>
      </w:r>
      <w:r>
        <w:rPr>
          <w:noProof/>
          <w:sz w:val="22"/>
        </w:rPr>
        <w:t>създаването на първия механизъм през 2001 г. (Механизъм за гражданска защита на Общността) досега гражданската защита на равнището на ЕС се сдоби с по-солидна нормативна уредба (специално упоменаване в Договорите след Договора от Лисабон от 2009 г.), а опе</w:t>
      </w:r>
      <w:r>
        <w:rPr>
          <w:noProof/>
          <w:sz w:val="22"/>
        </w:rPr>
        <w:t>ративният ѝ капацитет бе засилен (създаване на EERC/ЕМС, Координационния център за реагиране при извънредни ситуации (ERCC) и др.). Настоящият МГЗС предостави над 80 пъти помощ при извънредни ситуации — както в Европа, така и извън нея, допринесе за развив</w:t>
      </w:r>
      <w:r>
        <w:rPr>
          <w:noProof/>
          <w:sz w:val="22"/>
        </w:rPr>
        <w:t>ането и разпространението на ноу-хау и експертен опит в областта на управлението при бедствия и насърчаваше изграждането на култура на превенция сред участващите държави.</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При извършената наскоро междинна оценка обаче, както и според други ключови доклади и</w:t>
      </w:r>
      <w:r>
        <w:rPr>
          <w:noProof/>
          <w:sz w:val="22"/>
        </w:rPr>
        <w:t xml:space="preserve"> документи, бяха установени няколко области, в които биха могли да се направят подобрения. Предвид това настоящото предложение има за цел да измени действащото законодателство с оглед постигане на следните цели:</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а) повишаване на колективната способност на </w:t>
      </w:r>
      <w:r>
        <w:rPr>
          <w:noProof/>
          <w:sz w:val="22"/>
        </w:rPr>
        <w:t>Съюза и държавите членки за реагиране при бедствия, както и отстраняване на често повтарящите се и новопоявяващите се слабости в капацитета, особено посредством създаването на специален резерв от способности за реагиране, който следва да бъде известен като</w:t>
      </w:r>
      <w:r>
        <w:rPr>
          <w:noProof/>
          <w:sz w:val="22"/>
        </w:rPr>
        <w:t xml:space="preserve"> rescEU;</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б) засилване на акцента върху превантивните действия като част от цикъла на управление на риска от бедствия, както и укрепване на съгласуваността с други ключови политики на ЕС, действащи в областта на предотвратяването на бедствия и реакцията при</w:t>
      </w:r>
      <w:r>
        <w:rPr>
          <w:noProof/>
          <w:sz w:val="22"/>
        </w:rPr>
        <w:t xml:space="preserve"> бедствия;</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в) осигуряване на гаранции за гъвкавостта и ефективността на Механизма на Съюза при осъществяването на административните процедури в подкрепа на извънредни ситуации.</w:t>
      </w:r>
    </w:p>
    <w:p w:rsidR="00271729" w:rsidRDefault="00AD0727">
      <w:pPr>
        <w:pStyle w:val="ManualNumPar3"/>
        <w:rPr>
          <w:noProof/>
        </w:rPr>
      </w:pPr>
      <w:r>
        <w:t>1.5.2.</w:t>
      </w:r>
      <w:r>
        <w:tab/>
      </w:r>
      <w:r>
        <w:rPr>
          <w:noProof/>
        </w:rPr>
        <w:t>Добавена стойност от намесата на ЕС</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Добавената стойност на ЕС се явява п</w:t>
      </w:r>
      <w:r>
        <w:rPr>
          <w:noProof/>
          <w:sz w:val="22"/>
        </w:rPr>
        <w:t>од формата на:</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намаляване на загубата на човешки живот, ограничаване на пораженията върху околната среда и на икономическите и материалните вреди;</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по-добра координация на дейностите по гражданска защита, тъй като всички предложения за помощ се съобщава</w:t>
      </w:r>
      <w:r>
        <w:rPr>
          <w:noProof/>
          <w:sz w:val="22"/>
        </w:rPr>
        <w:t>т чрез ERCC за приемане от органите на засегнатата държава;</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ефективност от гледна точка на разходите, тъй като помощта, приета от засегнатата държава, може да бъде съчетана с помощта от други държави чрез процедурата за превоз;</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по-голяма ефикасност чре</w:t>
      </w:r>
      <w:r>
        <w:rPr>
          <w:noProof/>
          <w:sz w:val="22"/>
        </w:rPr>
        <w:t>з повишено ниво на готовност и по-добра съгласуваност на политиката за управление на риска от бедствия;</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съгласувана и ефективна реакция чрез създаването на rescEU, който при необходимост е в готовност за оказване на помощ навсякъде в ЕС и в участващите д</w:t>
      </w:r>
      <w:r>
        <w:rPr>
          <w:noProof/>
          <w:sz w:val="22"/>
        </w:rPr>
        <w:t>ържави;</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по-добра видимост на реакцията на ЕС при бедствия;</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по-добро използване на оскъдните ресурси чрез споделяне на средствата, финансирани от ЕС;</w:t>
      </w:r>
    </w:p>
    <w:p w:rsidR="00271729" w:rsidRDefault="00AD072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засилена координация и споделяне на знания на регионално равнище чрез разработването на мрежа от цент</w:t>
      </w:r>
      <w:r>
        <w:rPr>
          <w:noProof/>
          <w:sz w:val="22"/>
        </w:rPr>
        <w:t>рове на ЕС за гражданска защита.</w:t>
      </w:r>
    </w:p>
    <w:p w:rsidR="00271729" w:rsidRDefault="00AD0727">
      <w:pPr>
        <w:pStyle w:val="ManualNumPar3"/>
        <w:rPr>
          <w:noProof/>
        </w:rPr>
      </w:pPr>
      <w:r>
        <w:t>1.5.3.</w:t>
      </w:r>
      <w:r>
        <w:tab/>
      </w:r>
      <w:r>
        <w:rPr>
          <w:noProof/>
          <w:color w:val="0000FF"/>
        </w:rPr>
        <w:t xml:space="preserve"> </w:t>
      </w:r>
      <w:r>
        <w:rPr>
          <w:noProof/>
        </w:rPr>
        <w:t>Изводи от подобен опит в миналото</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Тези предложения се основават на: </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междинна оценка на МГЗС (2014—2016 г.), изготвена от външен консултант, август 2017 г.;</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Европейска сметна палата, „Механизъм за гражданска </w:t>
      </w:r>
      <w:r>
        <w:rPr>
          <w:noProof/>
          <w:sz w:val="22"/>
        </w:rPr>
        <w:t>защита на Съюза: координацията на действията за реагиране при бедствия извън ЕС като цяло е била ефективна“, Специален доклад № 33/2016;</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Работен документ на службите на Комисията „Overview of Natural and Man-made Disaster Risks the European Union may fac</w:t>
      </w:r>
      <w:r>
        <w:rPr>
          <w:noProof/>
          <w:sz w:val="22"/>
        </w:rPr>
        <w:t>e“ (Преглед на природните и предизвиканите от човека рискове от бедствия, с които Европейският съюз може да се сблъска), SWD(2017)176 final, 23.5.2017 г.;</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Доклад на Комисията до Европейския парламент и Съвета относно постигнатия напредък и оставащите про</w:t>
      </w:r>
      <w:r>
        <w:rPr>
          <w:noProof/>
          <w:sz w:val="22"/>
        </w:rPr>
        <w:t>пуски в Европейския капацитет за реагиране при извънредни ситуации, COM(2017)78 final, 17.2.2017 г.; – опитът, натрупан при извънредните ситуации, при които е бил използван Механизмът на Съюза от неговото създаване през 2001 г. досега;</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натрупаният опит в</w:t>
      </w:r>
      <w:r>
        <w:rPr>
          <w:noProof/>
          <w:sz w:val="22"/>
        </w:rPr>
        <w:t xml:space="preserve"> резултат на проектите, финансирани в рамките на процедурите за покани за предложения, стартирани от 2013 г. насам в областта на готовността и превенцията;</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натрупаният опит в резултат на пилотния проект, финансиран в рамките на стартираната през 2008 г. </w:t>
      </w:r>
      <w:r>
        <w:rPr>
          <w:noProof/>
          <w:sz w:val="22"/>
        </w:rPr>
        <w:t>„Покана за предложения за пилотен проект за засилване на сътрудничеството между държавите членки в борбата с горските пожари“.</w:t>
      </w:r>
    </w:p>
    <w:p w:rsidR="00271729" w:rsidRDefault="00AD0727">
      <w:pPr>
        <w:pStyle w:val="ManualNumPar3"/>
        <w:rPr>
          <w:noProof/>
        </w:rPr>
      </w:pPr>
      <w:r>
        <w:t>1.5.4.</w:t>
      </w:r>
      <w:r>
        <w:tab/>
      </w:r>
      <w:r>
        <w:rPr>
          <w:noProof/>
        </w:rPr>
        <w:t>Съгласуваност и евентуална синергия с други актове</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Съгласуваност с: </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(ЕО) № 1257/96 на Съвета от 20 юни 1996 г</w:t>
      </w:r>
      <w:r>
        <w:rPr>
          <w:noProof/>
          <w:sz w:val="22"/>
        </w:rPr>
        <w:t>. относно хуманитарната помощ;</w:t>
      </w:r>
      <w:r>
        <w:rPr>
          <w:noProof/>
        </w:rPr>
        <w:tab/>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Регламент (ЕО) № 1406/2002 на Европейския парламент и на Съвета от 27 юни 2002 г. за създаване на Европейска агенция за морска безопасност; </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(EО) № 2012/2002 на Съвета от 11 ноември 2002 г. за създаване на фонд</w:t>
      </w:r>
      <w:r>
        <w:rPr>
          <w:noProof/>
          <w:sz w:val="22"/>
        </w:rPr>
        <w:t xml:space="preserve"> „Солидарност“ на Европейския съюз; </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(ЕО) № 1717/2006 на Европейския парламент и на Съвета от 15 ноември 2006 г. за установяване на Инструмент за стабилност;</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Решение № 1313/2013/ЕС на Европейския парламент и на Съвета от 17 декември 2013 г. о</w:t>
      </w:r>
      <w:r>
        <w:rPr>
          <w:noProof/>
          <w:sz w:val="22"/>
        </w:rPr>
        <w:t>тносно Механизъм за гражданска защита на Съюза;</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w:t>
      </w:r>
    </w:p>
    <w:p w:rsidR="00271729" w:rsidRDefault="00AD0727">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(ЕС) 2016/369 на Съвета от 15 март 2016 г. относно предоставянето на спешна подкрепа в рамките на Съюза.</w:t>
      </w:r>
    </w:p>
    <w:p w:rsidR="00271729" w:rsidRDefault="00AD0727">
      <w:pPr>
        <w:pStyle w:val="ManualNumPar2"/>
        <w:rPr>
          <w:noProof/>
        </w:rPr>
      </w:pPr>
      <w:r>
        <w:rPr>
          <w:noProof/>
        </w:rPr>
        <w:br w:type="page"/>
      </w:r>
      <w:r>
        <w:t>1.6.</w:t>
      </w:r>
      <w:r>
        <w:tab/>
      </w:r>
      <w:r>
        <w:rPr>
          <w:noProof/>
        </w:rPr>
        <w:t xml:space="preserve">Срок на действие и финансово отражение </w:t>
      </w:r>
    </w:p>
    <w:p w:rsidR="00271729" w:rsidRDefault="00AD0727">
      <w:pPr>
        <w:ind w:left="850"/>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Предложение/инициатива в сила от [ДД/ММ]ГГГГ до [ДД/ММ]ГГГГ </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Финансово отражение от [ДД/ММ]ГГГГ до [ДД/ММ]ГГГГ</w:t>
      </w:r>
    </w:p>
    <w:p w:rsidR="00271729" w:rsidRDefault="00AD0727">
      <w:pPr>
        <w:ind w:left="850"/>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rsidR="00271729" w:rsidRDefault="00AD0727">
      <w:pPr>
        <w:tabs>
          <w:tab w:val="num" w:pos="1134"/>
        </w:tabs>
        <w:ind w:left="1134" w:hanging="283"/>
        <w:rPr>
          <w:rFonts w:eastAsia="Times New Roman"/>
          <w:noProof/>
        </w:rPr>
      </w:pPr>
      <w:r>
        <w:rPr>
          <w:noProof/>
        </w:rPr>
        <w:t>Х Осъществяване с период на започване на дейност от 1.1.2018 г. до 31.12.2020 г.,</w:t>
      </w:r>
    </w:p>
    <w:p w:rsidR="00271729" w:rsidRDefault="00AD0727">
      <w:pPr>
        <w:tabs>
          <w:tab w:val="num" w:pos="1134"/>
        </w:tabs>
        <w:ind w:left="1134" w:hanging="283"/>
        <w:rPr>
          <w:rFonts w:eastAsia="Times New Roman"/>
          <w:noProof/>
        </w:rPr>
      </w:pPr>
      <w:r>
        <w:rPr>
          <w:noProof/>
        </w:rPr>
        <w:t>после</w:t>
      </w:r>
      <w:r>
        <w:rPr>
          <w:noProof/>
        </w:rPr>
        <w:t>дван от функциониране с пълен капацитет.</w:t>
      </w:r>
    </w:p>
    <w:p w:rsidR="00271729" w:rsidRDefault="00AD0727">
      <w:pPr>
        <w:pStyle w:val="ManualNumPar2"/>
        <w:rPr>
          <w:noProof/>
        </w:rPr>
      </w:pPr>
      <w:r>
        <w:t>1.7.</w:t>
      </w:r>
      <w:r>
        <w:tab/>
      </w:r>
      <w:r>
        <w:rPr>
          <w:noProof/>
        </w:rPr>
        <w:t>Предвидени методи на управление</w:t>
      </w:r>
      <w:r>
        <w:rPr>
          <w:rStyle w:val="FootnoteReference"/>
          <w:noProof/>
        </w:rPr>
        <w:footnoteReference w:id="19"/>
      </w:r>
      <w:r>
        <w:rPr>
          <w:noProof/>
          <w:vertAlign w:val="superscript"/>
        </w:rPr>
        <w:t xml:space="preserve"> </w:t>
      </w:r>
    </w:p>
    <w:p w:rsidR="00271729" w:rsidRDefault="00AD0727">
      <w:pPr>
        <w:ind w:left="850"/>
        <w:rPr>
          <w:noProof/>
        </w:rPr>
      </w:pPr>
      <w:r>
        <w:rPr>
          <w:noProof/>
        </w:rPr>
        <w:t>X</w:t>
      </w:r>
      <w:r>
        <w:rPr>
          <w:i/>
          <w:noProof/>
        </w:rPr>
        <w:t xml:space="preserve"> </w:t>
      </w:r>
      <w:r>
        <w:rPr>
          <w:b/>
          <w:noProof/>
        </w:rPr>
        <w:t>Пряко управление</w:t>
      </w:r>
      <w:r>
        <w:rPr>
          <w:noProof/>
        </w:rPr>
        <w:t xml:space="preserve"> от Комисията</w:t>
      </w:r>
    </w:p>
    <w:p w:rsidR="00271729" w:rsidRDefault="00AD0727">
      <w:pPr>
        <w:tabs>
          <w:tab w:val="num" w:pos="1134"/>
        </w:tabs>
        <w:ind w:left="1134" w:hanging="283"/>
        <w:rPr>
          <w:rFonts w:eastAsia="Times New Roman" w:cs="EUAlbertina"/>
          <w:noProof/>
        </w:rPr>
      </w:pPr>
      <w:r>
        <w:rPr>
          <w:noProof/>
        </w:rPr>
        <w:t xml:space="preserve">X посредством нейните отдели, включително от нейния персонал в делегациите на Съюза; </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от изпълнителните агенции </w:t>
      </w:r>
    </w:p>
    <w:p w:rsidR="00271729" w:rsidRDefault="00AD0727">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271729" w:rsidRDefault="00AD0727">
      <w:pPr>
        <w:ind w:left="850"/>
        <w:rPr>
          <w:noProof/>
        </w:rPr>
      </w:pPr>
      <w:r>
        <w:rPr>
          <w:noProof/>
        </w:rPr>
        <w:t>X</w:t>
      </w:r>
      <w:r>
        <w:rPr>
          <w:i/>
          <w:noProof/>
        </w:rPr>
        <w:t xml:space="preserve"> </w:t>
      </w:r>
      <w:r>
        <w:rPr>
          <w:b/>
          <w:noProof/>
        </w:rPr>
        <w:t>Непряко управление</w:t>
      </w:r>
      <w:r>
        <w:rPr>
          <w:noProof/>
        </w:rPr>
        <w:t xml:space="preserve"> чрез делегиране на задачи по изпълнението на бюджета на:</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трети държави или на органите, определени от тях;</w:t>
      </w:r>
    </w:p>
    <w:p w:rsidR="00271729" w:rsidRDefault="00AD0727">
      <w:pPr>
        <w:tabs>
          <w:tab w:val="num" w:pos="1134"/>
        </w:tabs>
        <w:ind w:left="1134" w:hanging="283"/>
        <w:rPr>
          <w:rFonts w:eastAsia="Times New Roman"/>
          <w:noProof/>
        </w:rPr>
      </w:pPr>
      <w:r>
        <w:rPr>
          <w:noProof/>
        </w:rPr>
        <w:t>X международни организации и техните агенции (да се уточни);</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ЕИБ и Европейския инвестиционен фонд;</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ор</w:t>
      </w:r>
      <w:r>
        <w:rPr>
          <w:noProof/>
        </w:rPr>
        <w:t>ганите, посочени в членове 208 и 209 от Финансовия регламент;</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публичноправни органи;</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частноправни органи в държава членка, на които е възложе</w:t>
      </w:r>
      <w:r>
        <w:rPr>
          <w:noProof/>
        </w:rPr>
        <w:t>но осъществяването на публично-частно партньорство и които предоставят подходящи финансови гаранции;</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271729" w:rsidRDefault="00AD0727">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rsidR="00271729" w:rsidRDefault="00AD0727">
      <w:pPr>
        <w:rPr>
          <w:noProof/>
        </w:rPr>
      </w:pPr>
      <w:r>
        <w:rPr>
          <w:noProof/>
        </w:rPr>
        <w:t xml:space="preserve">Забележки </w:t>
      </w:r>
    </w:p>
    <w:p w:rsidR="00271729" w:rsidRDefault="00AD0727">
      <w:pPr>
        <w:pBdr>
          <w:top w:val="single" w:sz="4" w:space="1" w:color="auto"/>
          <w:left w:val="single" w:sz="4" w:space="4" w:color="auto"/>
          <w:bottom w:val="single" w:sz="4" w:space="1" w:color="auto"/>
          <w:right w:val="single" w:sz="4" w:space="4" w:color="auto"/>
        </w:pBdr>
        <w:rPr>
          <w:noProof/>
        </w:rPr>
      </w:pPr>
      <w:r>
        <w:rPr>
          <w:noProof/>
          <w:color w:val="0000FF"/>
        </w:rPr>
        <w:t>[…]</w:t>
      </w:r>
    </w:p>
    <w:p w:rsidR="00271729" w:rsidRDefault="00AD0727">
      <w:pPr>
        <w:pBdr>
          <w:top w:val="single" w:sz="4" w:space="1" w:color="auto"/>
          <w:left w:val="single" w:sz="4" w:space="4" w:color="auto"/>
          <w:bottom w:val="single" w:sz="4" w:space="1" w:color="auto"/>
          <w:right w:val="single" w:sz="4" w:space="4" w:color="auto"/>
        </w:pBdr>
        <w:rPr>
          <w:noProof/>
        </w:rPr>
      </w:pPr>
      <w:r>
        <w:rPr>
          <w:noProof/>
          <w:color w:val="0000FF"/>
        </w:rPr>
        <w:t>[…]</w:t>
      </w:r>
    </w:p>
    <w:p w:rsidR="00271729" w:rsidRDefault="00271729">
      <w:pPr>
        <w:rPr>
          <w:noProof/>
        </w:rPr>
        <w:sectPr w:rsidR="00271729" w:rsidSect="002C541A">
          <w:pgSz w:w="11907" w:h="16840" w:code="9"/>
          <w:pgMar w:top="1134" w:right="1418" w:bottom="1134" w:left="1418" w:header="709" w:footer="709" w:gutter="0"/>
          <w:cols w:space="708"/>
          <w:docGrid w:linePitch="360"/>
        </w:sectPr>
      </w:pPr>
    </w:p>
    <w:p w:rsidR="00271729" w:rsidRDefault="00AD0727">
      <w:pPr>
        <w:pStyle w:val="ManualNumPar1"/>
        <w:rPr>
          <w:noProof/>
        </w:rPr>
      </w:pPr>
      <w:r>
        <w:t>2.</w:t>
      </w:r>
      <w:r>
        <w:tab/>
      </w:r>
      <w:r>
        <w:rPr>
          <w:noProof/>
        </w:rPr>
        <w:t xml:space="preserve">МЕРКИ ЗА УПРАВЛЕНИЕ </w:t>
      </w:r>
    </w:p>
    <w:p w:rsidR="00271729" w:rsidRDefault="00AD0727">
      <w:pPr>
        <w:pStyle w:val="ManualNumPar2"/>
        <w:rPr>
          <w:noProof/>
        </w:rPr>
      </w:pPr>
      <w:r>
        <w:t>2.1.</w:t>
      </w:r>
      <w:r>
        <w:tab/>
      </w:r>
      <w:r>
        <w:rPr>
          <w:noProof/>
        </w:rPr>
        <w:t xml:space="preserve">Правила за мониторинг и докладване </w:t>
      </w:r>
    </w:p>
    <w:p w:rsidR="00271729" w:rsidRDefault="00AD0727">
      <w:pPr>
        <w:ind w:left="850"/>
        <w:rPr>
          <w:i/>
          <w:noProof/>
          <w:sz w:val="20"/>
          <w:u w:val="single"/>
        </w:rPr>
      </w:pPr>
      <w:r>
        <w:rPr>
          <w:i/>
          <w:noProof/>
          <w:sz w:val="20"/>
        </w:rPr>
        <w:t>Да се посочат честотата и условията.</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Дейностите и мерките, за които се отпуска финансова помощ съгласно настоящите решения, се подлагат на редовен мониторинг. </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Комисията изготвя и представя на Европейския парламент и на Съвета:</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 доклад за междинна оценка – не по-късно от 30 юни 2017 г. (вече</w:t>
      </w:r>
      <w:r>
        <w:rPr>
          <w:noProof/>
          <w:sz w:val="22"/>
        </w:rPr>
        <w:t xml:space="preserve"> изпълнено);</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 съобщение за продължаващото изпълнение на настоящото решение – не по-късно от 31 декември 2018 г.;</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sz w:val="22"/>
        </w:rPr>
        <w:t>– доклад за последваща оценка – не по-късно от 31 декември 2021 г.</w:t>
      </w:r>
    </w:p>
    <w:p w:rsidR="00271729" w:rsidRDefault="00AD0727">
      <w:pPr>
        <w:pStyle w:val="ManualNumPar2"/>
        <w:rPr>
          <w:noProof/>
        </w:rPr>
      </w:pPr>
      <w:r>
        <w:t>2.</w:t>
      </w:r>
      <w:proofErr w:type="spellStart"/>
      <w:r>
        <w:t>2</w:t>
      </w:r>
      <w:proofErr w:type="spellEnd"/>
      <w:r>
        <w:t>.</w:t>
      </w:r>
      <w:r>
        <w:tab/>
      </w:r>
      <w:r>
        <w:rPr>
          <w:noProof/>
        </w:rPr>
        <w:t xml:space="preserve">Система за управление и контрол </w:t>
      </w:r>
    </w:p>
    <w:p w:rsidR="00271729" w:rsidRDefault="00AD0727">
      <w:pPr>
        <w:pStyle w:val="ManualNumPar3"/>
        <w:rPr>
          <w:noProof/>
        </w:rPr>
      </w:pPr>
      <w:r>
        <w:t>2.</w:t>
      </w:r>
      <w:proofErr w:type="spellStart"/>
      <w:r>
        <w:t>2</w:t>
      </w:r>
      <w:proofErr w:type="spellEnd"/>
      <w:r>
        <w:t>.1.</w:t>
      </w:r>
      <w:r>
        <w:tab/>
      </w:r>
      <w:r>
        <w:rPr>
          <w:noProof/>
        </w:rPr>
        <w:t xml:space="preserve">Установени рискове </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Предвид по</w:t>
      </w:r>
      <w:r>
        <w:rPr>
          <w:noProof/>
          <w:sz w:val="22"/>
        </w:rPr>
        <w:t xml:space="preserve">-широкообхватната роля, която се възлага на Координационния център за реагиране при извънредни ситуации, ако не се осигурят достатъчно постове, недостигът на персонал може да доведе до риск центърът да не може: </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 да реагира на всички предизвикателства, въ</w:t>
      </w:r>
      <w:r>
        <w:rPr>
          <w:noProof/>
          <w:sz w:val="22"/>
        </w:rPr>
        <w:t>зникващи в следствие нарастването на броя на операциите за гражданска защита, и да отговаря на всички политически изисквания по линия на докладването относно интегрираната реакция на политическо равнище в кризисни ситуации (IPCR) и клаузата за солидарност;</w:t>
      </w:r>
      <w:r>
        <w:rPr>
          <w:noProof/>
          <w:sz w:val="22"/>
        </w:rPr>
        <w:tab/>
      </w:r>
      <w:r>
        <w:rPr>
          <w:noProof/>
          <w:sz w:val="22"/>
        </w:rPr>
        <w:br/>
        <w:t>– да разработва/добавя дейности;</w:t>
      </w:r>
      <w:r>
        <w:rPr>
          <w:noProof/>
          <w:sz w:val="22"/>
        </w:rPr>
        <w:tab/>
      </w:r>
      <w:r>
        <w:rPr>
          <w:noProof/>
          <w:sz w:val="22"/>
        </w:rPr>
        <w:br/>
        <w:t>– да се възползва от нови технологични системи, които осигуряват достъп без прекъсване или да разработва такива;</w:t>
      </w:r>
      <w:r>
        <w:rPr>
          <w:noProof/>
          <w:sz w:val="22"/>
        </w:rPr>
        <w:tab/>
      </w:r>
      <w:r>
        <w:rPr>
          <w:noProof/>
          <w:sz w:val="22"/>
        </w:rPr>
        <w:br/>
        <w:t>–  да реагира по подходящ начин при непосредствена опасност от извънредни ситуации, свързани с гражданскат</w:t>
      </w:r>
      <w:r>
        <w:rPr>
          <w:noProof/>
          <w:sz w:val="22"/>
        </w:rPr>
        <w:t>а защита;</w:t>
      </w:r>
      <w:r>
        <w:rPr>
          <w:noProof/>
          <w:sz w:val="22"/>
        </w:rPr>
        <w:tab/>
      </w:r>
      <w:r>
        <w:rPr>
          <w:noProof/>
          <w:sz w:val="22"/>
        </w:rPr>
        <w:br/>
        <w:t>– да прилага по подходящ начин системата за вътрешен контрол, описана в точка 2.2.2.</w:t>
      </w:r>
    </w:p>
    <w:p w:rsidR="00271729" w:rsidRDefault="00AD0727">
      <w:pPr>
        <w:pStyle w:val="ManualNumPar3"/>
        <w:rPr>
          <w:noProof/>
        </w:rPr>
      </w:pPr>
      <w:r>
        <w:t>2.</w:t>
      </w:r>
      <w:proofErr w:type="spellStart"/>
      <w:r>
        <w:t>2</w:t>
      </w:r>
      <w:proofErr w:type="spellEnd"/>
      <w:r>
        <w:t>.2.</w:t>
      </w:r>
      <w:r>
        <w:tab/>
      </w:r>
      <w:r>
        <w:rPr>
          <w:noProof/>
        </w:rPr>
        <w:t>Информация за структурата на системата за вътрешен контрол</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Предвижда се използване на съществуващата система за вътрешен контрол на ГД „Европейска гражда</w:t>
      </w:r>
      <w:r>
        <w:rPr>
          <w:noProof/>
          <w:sz w:val="22"/>
        </w:rPr>
        <w:t xml:space="preserve">нска защита и европейски операции за хуманитарна помощ“, за да се гарантира, че наличните средства по линия на новия инструмент се използват по подходящ начин и в съответствие с приложимото законодателство. </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Настоящата система е организирана, както следва:</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1. Екип за вътрешен контрол в рамките на ГД „Европейска гражданска защита и европейски операции за хуманитарна помощ“, чиято работа е фокусирана върху спазването на приложимите административни процедури и действащото законодателство в областта на гражданс</w:t>
      </w:r>
      <w:r>
        <w:rPr>
          <w:noProof/>
          <w:sz w:val="22"/>
        </w:rPr>
        <w:t xml:space="preserve">ката защита. За тази цел се ползва рамката за вътрешен контрол на Комисията. </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2. Редовни одити на отпуснатите безвъзмездни средства и договорите, сключени съгласно Инструмента, които се извършват от външни одитори на ГД „Европейска гражданска защита и евро</w:t>
      </w:r>
      <w:r>
        <w:rPr>
          <w:noProof/>
          <w:sz w:val="22"/>
        </w:rPr>
        <w:t>пейски операции за хуманитарна помощ“ и са изцяло включени в годишния одитен план на Генералната дирекция;</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3. Оценка на дейностите от външни партньори.</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Одит на действията може да се извършва и от OLAF (случаи на измама) и Сметната палата.</w:t>
      </w:r>
    </w:p>
    <w:p w:rsidR="00271729" w:rsidRDefault="00AD0727">
      <w:pPr>
        <w:pStyle w:val="ManualNumPar3"/>
        <w:rPr>
          <w:noProof/>
        </w:rPr>
      </w:pPr>
      <w:r>
        <w:t>2.</w:t>
      </w:r>
      <w:proofErr w:type="spellStart"/>
      <w:r>
        <w:t>2</w:t>
      </w:r>
      <w:proofErr w:type="spellEnd"/>
      <w:r>
        <w:t>.3.</w:t>
      </w:r>
      <w:r>
        <w:tab/>
      </w:r>
      <w:r>
        <w:rPr>
          <w:noProof/>
        </w:rPr>
        <w:t xml:space="preserve">Оценка на </w:t>
      </w:r>
      <w:r>
        <w:rPr>
          <w:noProof/>
        </w:rPr>
        <w:t xml:space="preserve">разходите и ползите от проверките и на очакваната степен на риск от грешка </w:t>
      </w:r>
    </w:p>
    <w:p w:rsidR="00271729" w:rsidRDefault="00AD0727">
      <w:pPr>
        <w:pBdr>
          <w:top w:val="single" w:sz="4" w:space="1" w:color="auto"/>
          <w:left w:val="single" w:sz="4" w:space="0" w:color="auto"/>
          <w:bottom w:val="single" w:sz="4" w:space="1" w:color="auto"/>
          <w:right w:val="single" w:sz="4" w:space="4" w:color="auto"/>
        </w:pBdr>
        <w:ind w:left="709"/>
        <w:rPr>
          <w:noProof/>
        </w:rPr>
      </w:pPr>
      <w:r>
        <w:rPr>
          <w:noProof/>
        </w:rPr>
        <w:t>Очакваните разходи за стратегията за контрол на ГД „Европейска гражданска защита и европейски операции за хуманитарна помощ“ представляват 1,9 % от бюджета за 2016 г. Основните еле</w:t>
      </w:r>
      <w:r>
        <w:rPr>
          <w:noProof/>
        </w:rPr>
        <w:t>менти на този показател са:</w:t>
      </w:r>
    </w:p>
    <w:p w:rsidR="00271729" w:rsidRDefault="00AD0727">
      <w:pPr>
        <w:pBdr>
          <w:top w:val="single" w:sz="4" w:space="1" w:color="auto"/>
          <w:left w:val="single" w:sz="4" w:space="0" w:color="auto"/>
          <w:bottom w:val="single" w:sz="4" w:space="1" w:color="auto"/>
          <w:right w:val="single" w:sz="4" w:space="4" w:color="auto"/>
        </w:pBdr>
        <w:ind w:left="709"/>
        <w:rPr>
          <w:noProof/>
        </w:rPr>
      </w:pPr>
      <w:r>
        <w:rPr>
          <w:noProof/>
        </w:rPr>
        <w:t>– общите разходи за персонал за експерти на ГД „Европейска гражданска защита и европейски операции за хуманитарна помощ“ в тази област плюс разходите на финансовите и оперативните отдели, умножени по прогнозирания период от врем</w:t>
      </w:r>
      <w:r>
        <w:rPr>
          <w:noProof/>
        </w:rPr>
        <w:t>е (50 %), посветен на дейности, свързани с гарантиране на качеството, контрол и мониторинг;</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 общите ресурси в сектора за външен одит на ГД „Европейска гражданска защита и европейски операции за хуманитарна помощ“, посветени на одит и проверки.</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Като се </w:t>
      </w:r>
      <w:r>
        <w:rPr>
          <w:noProof/>
          <w:sz w:val="22"/>
        </w:rPr>
        <w:t>имат предвид особено ниските разходи за тези проверки и свързаните с тях количествено измерими (корекции и възстановявания) и количествено неизмерими (възпиращ ефект и ефект на гарантиране на качеството в резултат на проверките) ползи, Комисията може да за</w:t>
      </w:r>
      <w:r>
        <w:rPr>
          <w:noProof/>
          <w:sz w:val="22"/>
        </w:rPr>
        <w:t>ключи, че количествено измеримите и количествено неизмеримите ползи от проверките са много по-големи от ограничените разходи за тях.</w:t>
      </w:r>
    </w:p>
    <w:p w:rsidR="00271729" w:rsidRDefault="00AD0727">
      <w:pPr>
        <w:pBdr>
          <w:top w:val="single" w:sz="4" w:space="1" w:color="auto"/>
          <w:left w:val="single" w:sz="4" w:space="0" w:color="auto"/>
          <w:bottom w:val="single" w:sz="4" w:space="1" w:color="auto"/>
          <w:right w:val="single" w:sz="4" w:space="4" w:color="auto"/>
        </w:pBdr>
        <w:ind w:left="709"/>
        <w:rPr>
          <w:noProof/>
          <w:sz w:val="22"/>
        </w:rPr>
      </w:pPr>
      <w:r>
        <w:rPr>
          <w:noProof/>
          <w:sz w:val="22"/>
        </w:rPr>
        <w:t>Това се потвърждава от факта, че многогодишният процент на остатъчна грешка, докладван от Комисията през 2016 г. за нейната</w:t>
      </w:r>
      <w:r>
        <w:rPr>
          <w:noProof/>
          <w:sz w:val="22"/>
        </w:rPr>
        <w:t xml:space="preserve"> структура за хуманитарна помощ и гражданска защита, е 1,02 %.</w:t>
      </w:r>
    </w:p>
    <w:p w:rsidR="00271729" w:rsidRDefault="00271729">
      <w:pPr>
        <w:keepNext/>
        <w:ind w:left="850"/>
        <w:outlineLvl w:val="1"/>
        <w:rPr>
          <w:b/>
          <w:noProof/>
        </w:rPr>
      </w:pPr>
    </w:p>
    <w:p w:rsidR="00271729" w:rsidRDefault="00AD0727">
      <w:pPr>
        <w:pStyle w:val="ManualNumPar2"/>
        <w:rPr>
          <w:noProof/>
        </w:rPr>
      </w:pPr>
      <w:r>
        <w:t>2.3.</w:t>
      </w:r>
      <w:r>
        <w:tab/>
      </w:r>
      <w:r>
        <w:rPr>
          <w:noProof/>
        </w:rPr>
        <w:t xml:space="preserve">Мерки за предотвратяване на измами и нередности </w:t>
      </w:r>
    </w:p>
    <w:p w:rsidR="00271729" w:rsidRDefault="00AD0727">
      <w:pPr>
        <w:ind w:left="850"/>
        <w:rPr>
          <w:i/>
          <w:noProof/>
          <w:sz w:val="20"/>
        </w:rPr>
      </w:pPr>
      <w:r>
        <w:rPr>
          <w:i/>
          <w:noProof/>
          <w:sz w:val="20"/>
        </w:rPr>
        <w:t>Да се посочат съществуващите или планираните мерки за превенция и защита.</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Стратегията на ГД „Европейска гражданска защита и европейски </w:t>
      </w:r>
      <w:r>
        <w:rPr>
          <w:noProof/>
          <w:sz w:val="22"/>
        </w:rPr>
        <w:t>операции за хуманитарна помощ“ за борба с измамите е в съответствие със стратегията на Комисията за борба с измамите (СКБИ) и се използва, наред с другото, за да се гарантира, че:</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 вътрешните проверки на ГД „Европейска гражданска защита и европейски опера</w:t>
      </w:r>
      <w:r>
        <w:rPr>
          <w:noProof/>
          <w:sz w:val="22"/>
        </w:rPr>
        <w:t>ции за хуманитарна помощ“, свързани с борбата с измамите, са напълно съобразени със СКБИ;</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подходът на ГД „Европейска гражданска защита и европейски операции за хуманитарна помощ“ за управление на риска от измами е пригоден за установяване на областите с </w:t>
      </w:r>
      <w:r>
        <w:rPr>
          <w:noProof/>
          <w:sz w:val="22"/>
        </w:rPr>
        <w:t xml:space="preserve">риск от измами и на подходяща </w:t>
      </w:r>
      <w:r>
        <w:rPr>
          <w:noProof/>
        </w:rPr>
        <w:tab/>
      </w:r>
      <w:r>
        <w:rPr>
          <w:noProof/>
          <w:sz w:val="22"/>
        </w:rPr>
        <w:t>реакция.</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Системите, използвани за разходване на средствата на ЕС в трети държави, предоставят възможност съответните данни да бъдат събрани с цел да могат да се използват при управлението на риска от измами (напр. установяван</w:t>
      </w:r>
      <w:r>
        <w:rPr>
          <w:noProof/>
          <w:sz w:val="22"/>
        </w:rPr>
        <w:t>е на двойно финансиране).</w:t>
      </w:r>
    </w:p>
    <w:p w:rsidR="00271729" w:rsidRDefault="00AD0727">
      <w:pPr>
        <w:pBdr>
          <w:top w:val="single" w:sz="4" w:space="1" w:color="auto"/>
          <w:left w:val="single" w:sz="4" w:space="4" w:color="auto"/>
          <w:bottom w:val="single" w:sz="4" w:space="1" w:color="auto"/>
          <w:right w:val="single" w:sz="4" w:space="4" w:color="auto"/>
        </w:pBdr>
        <w:ind w:left="850"/>
        <w:rPr>
          <w:noProof/>
          <w:sz w:val="22"/>
        </w:rPr>
      </w:pPr>
      <w:r>
        <w:rPr>
          <w:noProof/>
          <w:sz w:val="22"/>
        </w:rPr>
        <w:t>При необходимост може да бъдат създадени групи за връзка и подходящи ИТ инструменти, чието предназначение ще бъде да анализират случаи на измами, свързани със сектора.</w:t>
      </w:r>
    </w:p>
    <w:p w:rsidR="00271729" w:rsidRDefault="00271729">
      <w:pPr>
        <w:rPr>
          <w:noProof/>
        </w:rPr>
        <w:sectPr w:rsidR="00271729" w:rsidSect="002C541A">
          <w:pgSz w:w="11907" w:h="16840" w:code="9"/>
          <w:pgMar w:top="1134" w:right="1418" w:bottom="1134" w:left="1418" w:header="709" w:footer="709" w:gutter="0"/>
          <w:cols w:space="708"/>
          <w:docGrid w:linePitch="360"/>
        </w:sectPr>
      </w:pPr>
    </w:p>
    <w:p w:rsidR="00271729" w:rsidRDefault="00AD0727">
      <w:pPr>
        <w:pStyle w:val="ManualNumPar1"/>
        <w:rPr>
          <w:noProof/>
        </w:rPr>
      </w:pPr>
      <w:r>
        <w:t>3.</w:t>
      </w:r>
      <w:r>
        <w:tab/>
      </w:r>
      <w:r>
        <w:rPr>
          <w:noProof/>
        </w:rPr>
        <w:t>ОЧАКВАНО ФИНАНСОВО ОТРАЖЕНИЕ НА ПРЕ</w:t>
      </w:r>
      <w:r>
        <w:rPr>
          <w:noProof/>
        </w:rPr>
        <w:t xml:space="preserve">ДЛОЖЕНИЕТО/ИНИЦИАТИВАТА </w:t>
      </w:r>
    </w:p>
    <w:p w:rsidR="00271729" w:rsidRDefault="00AD0727">
      <w:pPr>
        <w:pStyle w:val="ManualNumPar2"/>
        <w:rPr>
          <w:noProof/>
        </w:rPr>
      </w:pPr>
      <w:r>
        <w:t>3.1.</w:t>
      </w:r>
      <w:r>
        <w:tab/>
      </w:r>
      <w:r>
        <w:rPr>
          <w:noProof/>
        </w:rPr>
        <w:t xml:space="preserve">Съответни функции от многогодишната финансова рамка и разходни бюджетни редове </w:t>
      </w:r>
    </w:p>
    <w:p w:rsidR="00271729" w:rsidRDefault="00AD0727">
      <w:pPr>
        <w:tabs>
          <w:tab w:val="num" w:pos="1134"/>
        </w:tabs>
        <w:ind w:left="1134" w:hanging="283"/>
        <w:rPr>
          <w:rFonts w:eastAsia="Times New Roman"/>
          <w:noProof/>
        </w:rPr>
      </w:pPr>
      <w:r>
        <w:rPr>
          <w:noProof/>
        </w:rPr>
        <w:t xml:space="preserve">Съществуващи бюджетни редове </w:t>
      </w:r>
    </w:p>
    <w:p w:rsidR="00271729" w:rsidRDefault="00AD0727">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71729">
        <w:tc>
          <w:tcPr>
            <w:tcW w:w="1080" w:type="dxa"/>
            <w:vMerge w:val="restart"/>
            <w:tcBorders>
              <w:top w:val="single" w:sz="4" w:space="0" w:color="auto"/>
              <w:left w:val="single" w:sz="4" w:space="0" w:color="auto"/>
              <w:bottom w:val="single" w:sz="4" w:space="0" w:color="auto"/>
              <w:right w:val="single" w:sz="4" w:space="0" w:color="auto"/>
            </w:tcBorders>
            <w:vAlign w:val="center"/>
          </w:tcPr>
          <w:p w:rsidR="00271729" w:rsidRDefault="00AD0727">
            <w:pPr>
              <w:spacing w:before="60" w:after="60"/>
              <w:jc w:val="center"/>
              <w:rPr>
                <w:noProof/>
                <w:sz w:val="18"/>
              </w:rPr>
            </w:pPr>
            <w:r>
              <w:rPr>
                <w:noProof/>
                <w:sz w:val="18"/>
              </w:rPr>
              <w:t xml:space="preserve">Функция от многогодишната финансова </w:t>
            </w:r>
            <w:r>
              <w:rPr>
                <w:noProof/>
                <w:sz w:val="18"/>
              </w:rPr>
              <w:t>рамка</w:t>
            </w:r>
          </w:p>
        </w:tc>
        <w:tc>
          <w:tcPr>
            <w:tcW w:w="3960" w:type="dxa"/>
            <w:tcBorders>
              <w:top w:val="single" w:sz="4" w:space="0" w:color="auto"/>
              <w:left w:val="single" w:sz="4" w:space="0" w:color="auto"/>
              <w:bottom w:val="single" w:sz="4" w:space="0" w:color="auto"/>
              <w:right w:val="single" w:sz="4" w:space="0" w:color="auto"/>
            </w:tcBorders>
            <w:vAlign w:val="center"/>
          </w:tcPr>
          <w:p w:rsidR="00271729" w:rsidRDefault="00AD0727">
            <w:pPr>
              <w:spacing w:before="60" w:after="60"/>
              <w:jc w:val="center"/>
              <w:rPr>
                <w:noProof/>
                <w:sz w:val="20"/>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tcPr>
          <w:p w:rsidR="00271729" w:rsidRDefault="00AD0727">
            <w:pPr>
              <w:spacing w:before="60" w:after="60"/>
              <w:jc w:val="center"/>
              <w:rPr>
                <w:noProof/>
                <w:sz w:val="18"/>
              </w:rPr>
            </w:pPr>
            <w:r>
              <w:rPr>
                <w:noProof/>
                <w:sz w:val="18"/>
              </w:rPr>
              <w:t xml:space="preserve">Вид на </w:t>
            </w:r>
            <w:r>
              <w:rPr>
                <w:noProof/>
                <w:sz w:val="18"/>
              </w:rPr>
              <w:b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tcPr>
          <w:p w:rsidR="00271729" w:rsidRDefault="00AD0727">
            <w:pPr>
              <w:spacing w:before="60" w:after="60"/>
              <w:jc w:val="center"/>
              <w:rPr>
                <w:noProof/>
                <w:sz w:val="20"/>
              </w:rPr>
            </w:pPr>
            <w:r>
              <w:rPr>
                <w:noProof/>
                <w:sz w:val="20"/>
              </w:rPr>
              <w:t xml:space="preserve">Вноска </w:t>
            </w:r>
          </w:p>
        </w:tc>
      </w:tr>
      <w:tr w:rsidR="00271729">
        <w:tc>
          <w:tcPr>
            <w:tcW w:w="1080" w:type="dxa"/>
            <w:vMerge/>
            <w:vAlign w:val="center"/>
          </w:tcPr>
          <w:p w:rsidR="00271729" w:rsidRDefault="00271729">
            <w:pPr>
              <w:jc w:val="center"/>
              <w:rPr>
                <w:noProof/>
                <w:sz w:val="22"/>
              </w:rPr>
            </w:pPr>
          </w:p>
        </w:tc>
        <w:tc>
          <w:tcPr>
            <w:tcW w:w="3960" w:type="dxa"/>
            <w:vAlign w:val="center"/>
          </w:tcPr>
          <w:p w:rsidR="00271729" w:rsidRDefault="00AD0727">
            <w:pPr>
              <w:rPr>
                <w:noProof/>
                <w:sz w:val="22"/>
              </w:rPr>
            </w:pPr>
            <w:r>
              <w:rPr>
                <w:noProof/>
                <w:sz w:val="20"/>
              </w:rPr>
              <w:t>Номер и наименование</w:t>
            </w:r>
          </w:p>
        </w:tc>
        <w:tc>
          <w:tcPr>
            <w:tcW w:w="1080" w:type="dxa"/>
            <w:vAlign w:val="center"/>
          </w:tcPr>
          <w:p w:rsidR="00271729" w:rsidRDefault="00AD0727">
            <w:pPr>
              <w:jc w:val="center"/>
              <w:rPr>
                <w:noProof/>
                <w:sz w:val="22"/>
              </w:rPr>
            </w:pPr>
            <w:r>
              <w:rPr>
                <w:noProof/>
                <w:sz w:val="18"/>
              </w:rPr>
              <w:t>Многогод./Едногод.</w:t>
            </w:r>
            <w:r>
              <w:rPr>
                <w:rStyle w:val="FootnoteReference"/>
                <w:noProof/>
              </w:rPr>
              <w:footnoteReference w:id="20"/>
            </w:r>
          </w:p>
        </w:tc>
        <w:tc>
          <w:tcPr>
            <w:tcW w:w="956" w:type="dxa"/>
            <w:vAlign w:val="center"/>
          </w:tcPr>
          <w:p w:rsidR="00271729" w:rsidRDefault="00AD0727">
            <w:pPr>
              <w:jc w:val="center"/>
              <w:rPr>
                <w:noProof/>
                <w:sz w:val="22"/>
              </w:rPr>
            </w:pPr>
            <w:r>
              <w:rPr>
                <w:noProof/>
                <w:sz w:val="18"/>
              </w:rPr>
              <w:t>от държави от ЕАСТ</w:t>
            </w:r>
            <w:r>
              <w:rPr>
                <w:rStyle w:val="FootnoteReference"/>
                <w:noProof/>
              </w:rPr>
              <w:footnoteReference w:id="21"/>
            </w:r>
          </w:p>
          <w:p w:rsidR="00271729" w:rsidRDefault="00271729">
            <w:pPr>
              <w:spacing w:before="0" w:after="0"/>
              <w:jc w:val="center"/>
              <w:rPr>
                <w:b/>
                <w:noProof/>
                <w:sz w:val="18"/>
              </w:rPr>
            </w:pPr>
          </w:p>
        </w:tc>
        <w:tc>
          <w:tcPr>
            <w:tcW w:w="1080" w:type="dxa"/>
            <w:vAlign w:val="center"/>
          </w:tcPr>
          <w:p w:rsidR="00271729" w:rsidRDefault="00AD0727">
            <w:pPr>
              <w:jc w:val="center"/>
              <w:rPr>
                <w:noProof/>
                <w:sz w:val="22"/>
              </w:rPr>
            </w:pPr>
            <w:r>
              <w:rPr>
                <w:noProof/>
                <w:sz w:val="18"/>
              </w:rPr>
              <w:t>от държави кандидатки</w:t>
            </w:r>
            <w:r>
              <w:rPr>
                <w:rStyle w:val="FootnoteReference"/>
                <w:noProof/>
              </w:rPr>
              <w:footnoteReference w:id="22"/>
            </w:r>
          </w:p>
          <w:p w:rsidR="00271729" w:rsidRDefault="00271729">
            <w:pPr>
              <w:spacing w:before="0" w:after="0"/>
              <w:jc w:val="center"/>
              <w:rPr>
                <w:noProof/>
                <w:sz w:val="18"/>
              </w:rPr>
            </w:pPr>
          </w:p>
        </w:tc>
        <w:tc>
          <w:tcPr>
            <w:tcW w:w="956" w:type="dxa"/>
            <w:vAlign w:val="center"/>
          </w:tcPr>
          <w:p w:rsidR="00271729" w:rsidRDefault="00AD0727">
            <w:pPr>
              <w:jc w:val="center"/>
              <w:rPr>
                <w:noProof/>
                <w:sz w:val="18"/>
              </w:rPr>
            </w:pPr>
            <w:r>
              <w:rPr>
                <w:noProof/>
                <w:sz w:val="18"/>
              </w:rPr>
              <w:t>от трети държави</w:t>
            </w:r>
          </w:p>
        </w:tc>
        <w:tc>
          <w:tcPr>
            <w:tcW w:w="1448" w:type="dxa"/>
            <w:vAlign w:val="center"/>
          </w:tcPr>
          <w:p w:rsidR="00271729" w:rsidRDefault="00AD0727">
            <w:pPr>
              <w:jc w:val="center"/>
              <w:rPr>
                <w:noProof/>
                <w:sz w:val="22"/>
              </w:rPr>
            </w:pPr>
            <w:r>
              <w:rPr>
                <w:noProof/>
                <w:sz w:val="16"/>
              </w:rPr>
              <w:t xml:space="preserve">по смисъла на член 21, параграф 2, буква б) от Финансовия регламент </w:t>
            </w:r>
          </w:p>
        </w:tc>
      </w:tr>
      <w:tr w:rsidR="00271729">
        <w:tc>
          <w:tcPr>
            <w:tcW w:w="1080" w:type="dxa"/>
            <w:vAlign w:val="center"/>
          </w:tcPr>
          <w:p w:rsidR="00271729" w:rsidRDefault="00AD0727">
            <w:pPr>
              <w:jc w:val="center"/>
              <w:rPr>
                <w:noProof/>
                <w:sz w:val="22"/>
              </w:rPr>
            </w:pPr>
            <w:r>
              <w:rPr>
                <w:noProof/>
                <w:sz w:val="22"/>
              </w:rPr>
              <w:t>3</w:t>
            </w:r>
          </w:p>
        </w:tc>
        <w:tc>
          <w:tcPr>
            <w:tcW w:w="3960" w:type="dxa"/>
            <w:vAlign w:val="center"/>
          </w:tcPr>
          <w:p w:rsidR="00271729" w:rsidRDefault="00AD0727">
            <w:pPr>
              <w:autoSpaceDE w:val="0"/>
              <w:autoSpaceDN w:val="0"/>
              <w:adjustRightInd w:val="0"/>
              <w:spacing w:before="0" w:after="0"/>
              <w:jc w:val="left"/>
              <w:rPr>
                <w:noProof/>
                <w:sz w:val="22"/>
              </w:rPr>
            </w:pPr>
            <w:r>
              <w:rPr>
                <w:noProof/>
                <w:sz w:val="22"/>
              </w:rPr>
              <w:t xml:space="preserve">23 03 01 01 – Предотвратяване на </w:t>
            </w:r>
            <w:r>
              <w:rPr>
                <w:noProof/>
                <w:sz w:val="22"/>
              </w:rPr>
              <w:t>бедствия и</w:t>
            </w:r>
          </w:p>
          <w:p w:rsidR="00271729" w:rsidRDefault="00AD0727">
            <w:pPr>
              <w:autoSpaceDE w:val="0"/>
              <w:autoSpaceDN w:val="0"/>
              <w:adjustRightInd w:val="0"/>
              <w:spacing w:before="0" w:after="0"/>
              <w:jc w:val="left"/>
              <w:rPr>
                <w:noProof/>
                <w:sz w:val="22"/>
              </w:rPr>
            </w:pPr>
            <w:r>
              <w:rPr>
                <w:noProof/>
                <w:sz w:val="22"/>
              </w:rPr>
              <w:t xml:space="preserve">готовност за реагиране при бедствия в рамките на Съюза </w:t>
            </w:r>
          </w:p>
        </w:tc>
        <w:tc>
          <w:tcPr>
            <w:tcW w:w="1080" w:type="dxa"/>
            <w:vAlign w:val="center"/>
          </w:tcPr>
          <w:p w:rsidR="00271729" w:rsidRDefault="00AD0727">
            <w:pPr>
              <w:jc w:val="center"/>
              <w:rPr>
                <w:noProof/>
                <w:color w:val="0000FF"/>
                <w:spacing w:val="-16"/>
                <w:sz w:val="22"/>
              </w:rPr>
            </w:pPr>
            <w:r>
              <w:rPr>
                <w:noProof/>
                <w:spacing w:val="-16"/>
                <w:sz w:val="22"/>
              </w:rPr>
              <w:t>Многогод.</w:t>
            </w:r>
          </w:p>
        </w:tc>
        <w:tc>
          <w:tcPr>
            <w:tcW w:w="956" w:type="dxa"/>
            <w:vAlign w:val="center"/>
          </w:tcPr>
          <w:p w:rsidR="00271729" w:rsidRDefault="00AD0727">
            <w:pPr>
              <w:jc w:val="center"/>
              <w:rPr>
                <w:noProof/>
                <w:sz w:val="22"/>
              </w:rPr>
            </w:pPr>
            <w:r>
              <w:rPr>
                <w:noProof/>
                <w:sz w:val="22"/>
              </w:rPr>
              <w:t>ДА</w:t>
            </w:r>
          </w:p>
        </w:tc>
        <w:tc>
          <w:tcPr>
            <w:tcW w:w="1080" w:type="dxa"/>
            <w:vAlign w:val="center"/>
          </w:tcPr>
          <w:p w:rsidR="00271729" w:rsidRDefault="00AD0727">
            <w:pPr>
              <w:jc w:val="center"/>
              <w:rPr>
                <w:noProof/>
                <w:sz w:val="22"/>
              </w:rPr>
            </w:pPr>
            <w:r>
              <w:rPr>
                <w:noProof/>
                <w:sz w:val="22"/>
              </w:rPr>
              <w:t>ДА</w:t>
            </w:r>
          </w:p>
        </w:tc>
        <w:tc>
          <w:tcPr>
            <w:tcW w:w="956" w:type="dxa"/>
            <w:vAlign w:val="center"/>
          </w:tcPr>
          <w:p w:rsidR="00271729" w:rsidRDefault="00AD0727">
            <w:pPr>
              <w:jc w:val="center"/>
              <w:rPr>
                <w:noProof/>
                <w:sz w:val="22"/>
              </w:rPr>
            </w:pPr>
            <w:r>
              <w:rPr>
                <w:noProof/>
                <w:sz w:val="22"/>
              </w:rPr>
              <w:t>НЕ</w:t>
            </w:r>
          </w:p>
        </w:tc>
        <w:tc>
          <w:tcPr>
            <w:tcW w:w="1448" w:type="dxa"/>
            <w:vAlign w:val="center"/>
          </w:tcPr>
          <w:p w:rsidR="00271729" w:rsidRDefault="00AD0727">
            <w:pPr>
              <w:jc w:val="center"/>
              <w:rPr>
                <w:noProof/>
                <w:sz w:val="22"/>
              </w:rPr>
            </w:pPr>
            <w:r>
              <w:rPr>
                <w:noProof/>
                <w:sz w:val="22"/>
              </w:rPr>
              <w:t>НЕ</w:t>
            </w:r>
          </w:p>
        </w:tc>
      </w:tr>
      <w:tr w:rsidR="00271729">
        <w:tc>
          <w:tcPr>
            <w:tcW w:w="1080" w:type="dxa"/>
            <w:vAlign w:val="center"/>
          </w:tcPr>
          <w:p w:rsidR="00271729" w:rsidRDefault="00AD0727">
            <w:pPr>
              <w:jc w:val="center"/>
              <w:rPr>
                <w:noProof/>
                <w:sz w:val="22"/>
              </w:rPr>
            </w:pPr>
            <w:r>
              <w:rPr>
                <w:noProof/>
                <w:sz w:val="22"/>
              </w:rPr>
              <w:t>4</w:t>
            </w:r>
          </w:p>
        </w:tc>
        <w:tc>
          <w:tcPr>
            <w:tcW w:w="3960" w:type="dxa"/>
            <w:vAlign w:val="center"/>
          </w:tcPr>
          <w:p w:rsidR="00271729" w:rsidRDefault="00AD0727">
            <w:pPr>
              <w:autoSpaceDE w:val="0"/>
              <w:autoSpaceDN w:val="0"/>
              <w:adjustRightInd w:val="0"/>
              <w:spacing w:before="0" w:after="0"/>
              <w:jc w:val="left"/>
              <w:rPr>
                <w:noProof/>
                <w:sz w:val="22"/>
              </w:rPr>
            </w:pPr>
            <w:r>
              <w:rPr>
                <w:noProof/>
                <w:sz w:val="22"/>
              </w:rPr>
              <w:t>23 03 01 01 – Предотвратяване на бедствия и</w:t>
            </w:r>
          </w:p>
          <w:p w:rsidR="00271729" w:rsidRDefault="00AD0727">
            <w:pPr>
              <w:autoSpaceDE w:val="0"/>
              <w:autoSpaceDN w:val="0"/>
              <w:adjustRightInd w:val="0"/>
              <w:spacing w:before="0" w:after="0"/>
              <w:jc w:val="left"/>
              <w:rPr>
                <w:noProof/>
                <w:sz w:val="22"/>
              </w:rPr>
            </w:pPr>
            <w:r>
              <w:rPr>
                <w:noProof/>
                <w:sz w:val="22"/>
              </w:rPr>
              <w:t>готовност за реагиране при бедствия в трети държави</w:t>
            </w:r>
          </w:p>
        </w:tc>
        <w:tc>
          <w:tcPr>
            <w:tcW w:w="1080" w:type="dxa"/>
            <w:vAlign w:val="center"/>
          </w:tcPr>
          <w:p w:rsidR="00271729" w:rsidRDefault="00AD0727">
            <w:pPr>
              <w:jc w:val="center"/>
              <w:rPr>
                <w:noProof/>
                <w:color w:val="0000FF"/>
                <w:spacing w:val="-16"/>
                <w:sz w:val="22"/>
              </w:rPr>
            </w:pPr>
            <w:r>
              <w:rPr>
                <w:noProof/>
                <w:spacing w:val="-16"/>
                <w:sz w:val="22"/>
              </w:rPr>
              <w:t>Многогод.</w:t>
            </w:r>
          </w:p>
        </w:tc>
        <w:tc>
          <w:tcPr>
            <w:tcW w:w="956" w:type="dxa"/>
            <w:vAlign w:val="center"/>
          </w:tcPr>
          <w:p w:rsidR="00271729" w:rsidRDefault="00AD0727">
            <w:pPr>
              <w:jc w:val="center"/>
              <w:rPr>
                <w:noProof/>
                <w:sz w:val="22"/>
              </w:rPr>
            </w:pPr>
            <w:r>
              <w:rPr>
                <w:noProof/>
                <w:sz w:val="22"/>
              </w:rPr>
              <w:t>ДА</w:t>
            </w:r>
          </w:p>
        </w:tc>
        <w:tc>
          <w:tcPr>
            <w:tcW w:w="1080" w:type="dxa"/>
            <w:vAlign w:val="center"/>
          </w:tcPr>
          <w:p w:rsidR="00271729" w:rsidRDefault="00AD0727">
            <w:pPr>
              <w:jc w:val="center"/>
              <w:rPr>
                <w:noProof/>
                <w:sz w:val="22"/>
              </w:rPr>
            </w:pPr>
            <w:r>
              <w:rPr>
                <w:noProof/>
                <w:sz w:val="22"/>
              </w:rPr>
              <w:t>ДА</w:t>
            </w:r>
          </w:p>
        </w:tc>
        <w:tc>
          <w:tcPr>
            <w:tcW w:w="956" w:type="dxa"/>
            <w:vAlign w:val="center"/>
          </w:tcPr>
          <w:p w:rsidR="00271729" w:rsidRDefault="00AD0727">
            <w:pPr>
              <w:jc w:val="center"/>
              <w:rPr>
                <w:noProof/>
                <w:sz w:val="22"/>
              </w:rPr>
            </w:pPr>
            <w:r>
              <w:rPr>
                <w:noProof/>
                <w:sz w:val="22"/>
              </w:rPr>
              <w:t>НЕ</w:t>
            </w:r>
          </w:p>
        </w:tc>
        <w:tc>
          <w:tcPr>
            <w:tcW w:w="1448" w:type="dxa"/>
            <w:vAlign w:val="center"/>
          </w:tcPr>
          <w:p w:rsidR="00271729" w:rsidRDefault="00AD0727">
            <w:pPr>
              <w:jc w:val="center"/>
              <w:rPr>
                <w:noProof/>
                <w:sz w:val="22"/>
              </w:rPr>
            </w:pPr>
            <w:r>
              <w:rPr>
                <w:noProof/>
                <w:sz w:val="22"/>
              </w:rPr>
              <w:t>НЕ</w:t>
            </w:r>
          </w:p>
        </w:tc>
      </w:tr>
      <w:tr w:rsidR="00271729">
        <w:tc>
          <w:tcPr>
            <w:tcW w:w="1080" w:type="dxa"/>
            <w:vAlign w:val="center"/>
          </w:tcPr>
          <w:p w:rsidR="00271729" w:rsidRDefault="00AD0727">
            <w:pPr>
              <w:jc w:val="center"/>
              <w:rPr>
                <w:noProof/>
                <w:sz w:val="22"/>
              </w:rPr>
            </w:pPr>
            <w:r>
              <w:rPr>
                <w:noProof/>
                <w:sz w:val="22"/>
              </w:rPr>
              <w:t>3</w:t>
            </w:r>
          </w:p>
        </w:tc>
        <w:tc>
          <w:tcPr>
            <w:tcW w:w="3960" w:type="dxa"/>
            <w:vAlign w:val="center"/>
          </w:tcPr>
          <w:p w:rsidR="00271729" w:rsidRDefault="00AD0727">
            <w:pPr>
              <w:autoSpaceDE w:val="0"/>
              <w:autoSpaceDN w:val="0"/>
              <w:adjustRightInd w:val="0"/>
              <w:spacing w:before="0" w:after="0"/>
              <w:jc w:val="left"/>
              <w:rPr>
                <w:noProof/>
                <w:sz w:val="22"/>
              </w:rPr>
            </w:pPr>
            <w:r>
              <w:rPr>
                <w:noProof/>
                <w:sz w:val="22"/>
              </w:rPr>
              <w:t xml:space="preserve">23 03 02 01 – Бързи и ефикасни операции за </w:t>
            </w:r>
            <w:r>
              <w:rPr>
                <w:noProof/>
                <w:sz w:val="22"/>
              </w:rPr>
              <w:t>спешно реагиране при големи бедствия в рамките на Съюза</w:t>
            </w:r>
          </w:p>
        </w:tc>
        <w:tc>
          <w:tcPr>
            <w:tcW w:w="1080" w:type="dxa"/>
            <w:vAlign w:val="center"/>
          </w:tcPr>
          <w:p w:rsidR="00271729" w:rsidRDefault="00AD0727">
            <w:pPr>
              <w:jc w:val="center"/>
              <w:rPr>
                <w:noProof/>
                <w:color w:val="0000FF"/>
                <w:spacing w:val="-16"/>
                <w:sz w:val="22"/>
              </w:rPr>
            </w:pPr>
            <w:r>
              <w:rPr>
                <w:noProof/>
                <w:spacing w:val="-16"/>
                <w:sz w:val="22"/>
              </w:rPr>
              <w:t>Многогод.</w:t>
            </w:r>
          </w:p>
        </w:tc>
        <w:tc>
          <w:tcPr>
            <w:tcW w:w="956" w:type="dxa"/>
            <w:vAlign w:val="center"/>
          </w:tcPr>
          <w:p w:rsidR="00271729" w:rsidRDefault="00AD0727">
            <w:pPr>
              <w:jc w:val="center"/>
              <w:rPr>
                <w:noProof/>
                <w:sz w:val="22"/>
              </w:rPr>
            </w:pPr>
            <w:r>
              <w:rPr>
                <w:noProof/>
                <w:sz w:val="22"/>
              </w:rPr>
              <w:t>ДА</w:t>
            </w:r>
          </w:p>
        </w:tc>
        <w:tc>
          <w:tcPr>
            <w:tcW w:w="1080" w:type="dxa"/>
            <w:vAlign w:val="center"/>
          </w:tcPr>
          <w:p w:rsidR="00271729" w:rsidRDefault="00AD0727">
            <w:pPr>
              <w:jc w:val="center"/>
              <w:rPr>
                <w:noProof/>
                <w:sz w:val="22"/>
              </w:rPr>
            </w:pPr>
            <w:r>
              <w:rPr>
                <w:noProof/>
                <w:sz w:val="22"/>
              </w:rPr>
              <w:t>ДА</w:t>
            </w:r>
          </w:p>
        </w:tc>
        <w:tc>
          <w:tcPr>
            <w:tcW w:w="956" w:type="dxa"/>
            <w:vAlign w:val="center"/>
          </w:tcPr>
          <w:p w:rsidR="00271729" w:rsidRDefault="00AD0727">
            <w:pPr>
              <w:jc w:val="center"/>
              <w:rPr>
                <w:noProof/>
                <w:sz w:val="22"/>
              </w:rPr>
            </w:pPr>
            <w:r>
              <w:rPr>
                <w:noProof/>
                <w:sz w:val="22"/>
              </w:rPr>
              <w:t>НЕ</w:t>
            </w:r>
          </w:p>
        </w:tc>
        <w:tc>
          <w:tcPr>
            <w:tcW w:w="1448" w:type="dxa"/>
            <w:vAlign w:val="center"/>
          </w:tcPr>
          <w:p w:rsidR="00271729" w:rsidRDefault="00AD0727">
            <w:pPr>
              <w:jc w:val="center"/>
              <w:rPr>
                <w:noProof/>
                <w:sz w:val="22"/>
              </w:rPr>
            </w:pPr>
            <w:r>
              <w:rPr>
                <w:noProof/>
                <w:sz w:val="22"/>
              </w:rPr>
              <w:t>НЕ</w:t>
            </w:r>
          </w:p>
        </w:tc>
      </w:tr>
      <w:tr w:rsidR="00271729">
        <w:tc>
          <w:tcPr>
            <w:tcW w:w="1080" w:type="dxa"/>
            <w:vAlign w:val="center"/>
          </w:tcPr>
          <w:p w:rsidR="00271729" w:rsidRDefault="00AD0727">
            <w:pPr>
              <w:jc w:val="center"/>
              <w:rPr>
                <w:noProof/>
                <w:sz w:val="22"/>
              </w:rPr>
            </w:pPr>
            <w:r>
              <w:rPr>
                <w:noProof/>
                <w:sz w:val="22"/>
              </w:rPr>
              <w:t>4</w:t>
            </w:r>
          </w:p>
        </w:tc>
        <w:tc>
          <w:tcPr>
            <w:tcW w:w="3960" w:type="dxa"/>
            <w:vAlign w:val="center"/>
          </w:tcPr>
          <w:p w:rsidR="00271729" w:rsidRDefault="00AD0727">
            <w:pPr>
              <w:autoSpaceDE w:val="0"/>
              <w:autoSpaceDN w:val="0"/>
              <w:adjustRightInd w:val="0"/>
              <w:spacing w:before="0" w:after="0"/>
              <w:jc w:val="left"/>
              <w:rPr>
                <w:noProof/>
                <w:sz w:val="22"/>
              </w:rPr>
            </w:pPr>
            <w:r>
              <w:rPr>
                <w:noProof/>
                <w:sz w:val="22"/>
              </w:rPr>
              <w:t>23 03 02 02 – Бързи и ефикасни операции за спешно реагиране при големи бедствия в трети държави</w:t>
            </w:r>
          </w:p>
        </w:tc>
        <w:tc>
          <w:tcPr>
            <w:tcW w:w="1080" w:type="dxa"/>
            <w:vAlign w:val="center"/>
          </w:tcPr>
          <w:p w:rsidR="00271729" w:rsidRDefault="00AD0727">
            <w:pPr>
              <w:jc w:val="center"/>
              <w:rPr>
                <w:noProof/>
                <w:color w:val="0000FF"/>
                <w:spacing w:val="-16"/>
                <w:sz w:val="22"/>
              </w:rPr>
            </w:pPr>
            <w:r>
              <w:rPr>
                <w:noProof/>
                <w:spacing w:val="-16"/>
                <w:sz w:val="22"/>
              </w:rPr>
              <w:t>Многогод.</w:t>
            </w:r>
          </w:p>
        </w:tc>
        <w:tc>
          <w:tcPr>
            <w:tcW w:w="956" w:type="dxa"/>
            <w:vAlign w:val="center"/>
          </w:tcPr>
          <w:p w:rsidR="00271729" w:rsidRDefault="00AD0727">
            <w:pPr>
              <w:jc w:val="center"/>
              <w:rPr>
                <w:noProof/>
                <w:sz w:val="22"/>
              </w:rPr>
            </w:pPr>
            <w:r>
              <w:rPr>
                <w:noProof/>
                <w:sz w:val="22"/>
              </w:rPr>
              <w:t>ДА</w:t>
            </w:r>
          </w:p>
        </w:tc>
        <w:tc>
          <w:tcPr>
            <w:tcW w:w="1080" w:type="dxa"/>
            <w:vAlign w:val="center"/>
          </w:tcPr>
          <w:p w:rsidR="00271729" w:rsidRDefault="00AD0727">
            <w:pPr>
              <w:jc w:val="center"/>
              <w:rPr>
                <w:noProof/>
                <w:sz w:val="22"/>
              </w:rPr>
            </w:pPr>
            <w:r>
              <w:rPr>
                <w:noProof/>
                <w:sz w:val="22"/>
              </w:rPr>
              <w:t>ДА</w:t>
            </w:r>
          </w:p>
        </w:tc>
        <w:tc>
          <w:tcPr>
            <w:tcW w:w="956" w:type="dxa"/>
            <w:vAlign w:val="center"/>
          </w:tcPr>
          <w:p w:rsidR="00271729" w:rsidRDefault="00AD0727">
            <w:pPr>
              <w:jc w:val="center"/>
              <w:rPr>
                <w:noProof/>
                <w:sz w:val="22"/>
              </w:rPr>
            </w:pPr>
            <w:r>
              <w:rPr>
                <w:noProof/>
                <w:sz w:val="22"/>
              </w:rPr>
              <w:t>НЕ</w:t>
            </w:r>
          </w:p>
        </w:tc>
        <w:tc>
          <w:tcPr>
            <w:tcW w:w="1448" w:type="dxa"/>
            <w:vAlign w:val="center"/>
          </w:tcPr>
          <w:p w:rsidR="00271729" w:rsidRDefault="00AD0727">
            <w:pPr>
              <w:jc w:val="center"/>
              <w:rPr>
                <w:noProof/>
                <w:sz w:val="22"/>
              </w:rPr>
            </w:pPr>
            <w:r>
              <w:rPr>
                <w:noProof/>
                <w:sz w:val="22"/>
              </w:rPr>
              <w:t>НЕ</w:t>
            </w:r>
          </w:p>
        </w:tc>
      </w:tr>
      <w:tr w:rsidR="00271729">
        <w:tc>
          <w:tcPr>
            <w:tcW w:w="1080" w:type="dxa"/>
            <w:vAlign w:val="center"/>
          </w:tcPr>
          <w:p w:rsidR="00271729" w:rsidRDefault="00AD0727">
            <w:pPr>
              <w:jc w:val="center"/>
              <w:rPr>
                <w:noProof/>
                <w:sz w:val="22"/>
              </w:rPr>
            </w:pPr>
            <w:r>
              <w:rPr>
                <w:noProof/>
                <w:sz w:val="22"/>
              </w:rPr>
              <w:t>4</w:t>
            </w:r>
          </w:p>
        </w:tc>
        <w:tc>
          <w:tcPr>
            <w:tcW w:w="3960" w:type="dxa"/>
            <w:vAlign w:val="center"/>
          </w:tcPr>
          <w:p w:rsidR="00271729" w:rsidRDefault="00AD0727">
            <w:pPr>
              <w:autoSpaceDE w:val="0"/>
              <w:autoSpaceDN w:val="0"/>
              <w:adjustRightInd w:val="0"/>
              <w:spacing w:before="0" w:after="0"/>
              <w:jc w:val="left"/>
              <w:rPr>
                <w:noProof/>
                <w:sz w:val="22"/>
              </w:rPr>
            </w:pPr>
            <w:r>
              <w:rPr>
                <w:noProof/>
                <w:sz w:val="22"/>
              </w:rPr>
              <w:t xml:space="preserve">23 01 04 – Разходи за подкрепа на дейностите и </w:t>
            </w:r>
            <w:r>
              <w:rPr>
                <w:noProof/>
                <w:sz w:val="22"/>
              </w:rPr>
              <w:t>програмите в област на политиката „Хуманитарна помощ и гражданска защита“</w:t>
            </w:r>
          </w:p>
        </w:tc>
        <w:tc>
          <w:tcPr>
            <w:tcW w:w="1080" w:type="dxa"/>
            <w:vAlign w:val="center"/>
          </w:tcPr>
          <w:p w:rsidR="00271729" w:rsidRDefault="00AD0727">
            <w:pPr>
              <w:jc w:val="center"/>
              <w:rPr>
                <w:noProof/>
                <w:sz w:val="22"/>
              </w:rPr>
            </w:pPr>
            <w:r>
              <w:rPr>
                <w:noProof/>
                <w:sz w:val="22"/>
              </w:rPr>
              <w:t>Едногод.</w:t>
            </w:r>
          </w:p>
        </w:tc>
        <w:tc>
          <w:tcPr>
            <w:tcW w:w="956" w:type="dxa"/>
            <w:vAlign w:val="center"/>
          </w:tcPr>
          <w:p w:rsidR="00271729" w:rsidRDefault="00AD0727">
            <w:pPr>
              <w:jc w:val="center"/>
              <w:rPr>
                <w:noProof/>
                <w:sz w:val="22"/>
              </w:rPr>
            </w:pPr>
            <w:r>
              <w:rPr>
                <w:noProof/>
                <w:sz w:val="22"/>
              </w:rPr>
              <w:t>НЕ</w:t>
            </w:r>
          </w:p>
        </w:tc>
        <w:tc>
          <w:tcPr>
            <w:tcW w:w="1080" w:type="dxa"/>
            <w:vAlign w:val="center"/>
          </w:tcPr>
          <w:p w:rsidR="00271729" w:rsidRDefault="00AD0727">
            <w:pPr>
              <w:jc w:val="center"/>
              <w:rPr>
                <w:noProof/>
                <w:sz w:val="22"/>
              </w:rPr>
            </w:pPr>
            <w:r>
              <w:rPr>
                <w:noProof/>
                <w:sz w:val="22"/>
              </w:rPr>
              <w:t>НЕ</w:t>
            </w:r>
          </w:p>
        </w:tc>
        <w:tc>
          <w:tcPr>
            <w:tcW w:w="956" w:type="dxa"/>
            <w:vAlign w:val="center"/>
          </w:tcPr>
          <w:p w:rsidR="00271729" w:rsidRDefault="00AD0727">
            <w:pPr>
              <w:jc w:val="center"/>
              <w:rPr>
                <w:noProof/>
                <w:sz w:val="22"/>
              </w:rPr>
            </w:pPr>
            <w:r>
              <w:rPr>
                <w:noProof/>
                <w:sz w:val="22"/>
              </w:rPr>
              <w:t>НЕ</w:t>
            </w:r>
          </w:p>
        </w:tc>
        <w:tc>
          <w:tcPr>
            <w:tcW w:w="1448" w:type="dxa"/>
            <w:vAlign w:val="center"/>
          </w:tcPr>
          <w:p w:rsidR="00271729" w:rsidRDefault="00AD0727">
            <w:pPr>
              <w:jc w:val="center"/>
              <w:rPr>
                <w:noProof/>
                <w:sz w:val="22"/>
              </w:rPr>
            </w:pPr>
            <w:r>
              <w:rPr>
                <w:noProof/>
                <w:sz w:val="22"/>
              </w:rPr>
              <w:t>НЕ</w:t>
            </w:r>
          </w:p>
        </w:tc>
      </w:tr>
    </w:tbl>
    <w:p w:rsidR="00271729" w:rsidRDefault="00271729">
      <w:pPr>
        <w:rPr>
          <w:noProof/>
        </w:rPr>
        <w:sectPr w:rsidR="00271729" w:rsidSect="002C541A">
          <w:pgSz w:w="11907" w:h="16840" w:code="1"/>
          <w:pgMar w:top="1134" w:right="1418" w:bottom="1134" w:left="1418" w:header="709" w:footer="709" w:gutter="0"/>
          <w:cols w:space="708"/>
          <w:docGrid w:linePitch="360"/>
        </w:sectPr>
      </w:pPr>
    </w:p>
    <w:p w:rsidR="00271729" w:rsidRDefault="00AD0727">
      <w:pPr>
        <w:pStyle w:val="ManualNumPar2"/>
        <w:rPr>
          <w:noProof/>
        </w:rPr>
      </w:pPr>
      <w:r>
        <w:t>3.2.</w:t>
      </w:r>
      <w:r>
        <w:tab/>
      </w:r>
      <w:r>
        <w:rPr>
          <w:noProof/>
        </w:rPr>
        <w:t xml:space="preserve">Очаквано отражение върху разходите </w:t>
      </w:r>
    </w:p>
    <w:p w:rsidR="00271729" w:rsidRDefault="00AD0727">
      <w:pPr>
        <w:pStyle w:val="ManualNumPar3"/>
        <w:rPr>
          <w:noProof/>
          <w:u w:val="single"/>
        </w:rPr>
      </w:pPr>
      <w:r>
        <w:t>3.2.1.</w:t>
      </w:r>
      <w:r>
        <w:tab/>
      </w:r>
      <w:r>
        <w:rPr>
          <w:noProof/>
        </w:rPr>
        <w:t xml:space="preserve">Обобщение на очакваното отражение върху разходите </w:t>
      </w:r>
    </w:p>
    <w:p w:rsidR="00271729" w:rsidRDefault="00AD0727">
      <w:pPr>
        <w:jc w:val="right"/>
        <w:rPr>
          <w:noProof/>
          <w:sz w:val="20"/>
        </w:rPr>
      </w:pPr>
      <w:r>
        <w:rPr>
          <w:noProof/>
          <w:sz w:val="20"/>
        </w:rPr>
        <w:t xml:space="preserve">млн. EUR (до 3-тия знак след </w:t>
      </w:r>
      <w:r>
        <w:rPr>
          <w:noProof/>
          <w:sz w:val="20"/>
        </w:rPr>
        <w:t>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71729">
        <w:trPr>
          <w:jc w:val="center"/>
        </w:trPr>
        <w:tc>
          <w:tcPr>
            <w:tcW w:w="4744" w:type="dxa"/>
            <w:shd w:val="thinDiagStripe" w:color="C0C0C0" w:fill="auto"/>
            <w:vAlign w:val="center"/>
          </w:tcPr>
          <w:p w:rsidR="00271729" w:rsidRDefault="00AD0727">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271729" w:rsidRDefault="00AD0727">
            <w:pPr>
              <w:spacing w:before="60" w:after="60"/>
              <w:jc w:val="center"/>
              <w:rPr>
                <w:noProof/>
                <w:sz w:val="22"/>
              </w:rPr>
            </w:pPr>
            <w:r>
              <w:rPr>
                <w:noProof/>
                <w:sz w:val="22"/>
              </w:rPr>
              <w:t>Номер</w:t>
            </w:r>
          </w:p>
        </w:tc>
        <w:tc>
          <w:tcPr>
            <w:tcW w:w="7817" w:type="dxa"/>
            <w:vAlign w:val="center"/>
          </w:tcPr>
          <w:p w:rsidR="00271729" w:rsidRDefault="00AD0727">
            <w:pPr>
              <w:spacing w:before="60" w:after="60"/>
              <w:rPr>
                <w:noProof/>
                <w:sz w:val="22"/>
              </w:rPr>
            </w:pPr>
            <w:r>
              <w:rPr>
                <w:noProof/>
              </w:rPr>
              <w:t>Функция 3 „Сигурност и гражданство“</w:t>
            </w:r>
          </w:p>
        </w:tc>
      </w:tr>
    </w:tbl>
    <w:p w:rsidR="00271729" w:rsidRDefault="00271729">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271729">
        <w:trPr>
          <w:jc w:val="center"/>
        </w:trPr>
        <w:tc>
          <w:tcPr>
            <w:tcW w:w="5543" w:type="dxa"/>
            <w:vAlign w:val="center"/>
          </w:tcPr>
          <w:p w:rsidR="00271729" w:rsidRDefault="00AD0727">
            <w:pPr>
              <w:jc w:val="center"/>
              <w:rPr>
                <w:b/>
                <w:noProof/>
                <w:sz w:val="22"/>
              </w:rPr>
            </w:pPr>
            <w:r>
              <w:rPr>
                <w:b/>
                <w:noProof/>
                <w:sz w:val="22"/>
              </w:rPr>
              <w:t>ГД: „Европейска гражданска защита и европейски операции за хуманитарна помощ“</w:t>
            </w:r>
          </w:p>
        </w:tc>
        <w:tc>
          <w:tcPr>
            <w:tcW w:w="1417" w:type="dxa"/>
          </w:tcPr>
          <w:p w:rsidR="00271729" w:rsidRDefault="00271729">
            <w:pPr>
              <w:rPr>
                <w:noProof/>
                <w:sz w:val="20"/>
              </w:rPr>
            </w:pPr>
          </w:p>
        </w:tc>
        <w:tc>
          <w:tcPr>
            <w:tcW w:w="851" w:type="dxa"/>
          </w:tcPr>
          <w:p w:rsidR="00271729" w:rsidRDefault="00271729">
            <w:pPr>
              <w:jc w:val="center"/>
              <w:rPr>
                <w:noProof/>
                <w:sz w:val="20"/>
              </w:rPr>
            </w:pPr>
          </w:p>
        </w:tc>
        <w:tc>
          <w:tcPr>
            <w:tcW w:w="1134" w:type="dxa"/>
            <w:vAlign w:val="center"/>
          </w:tcPr>
          <w:p w:rsidR="00271729" w:rsidRDefault="00AD0727">
            <w:pPr>
              <w:jc w:val="center"/>
              <w:rPr>
                <w:noProof/>
                <w:sz w:val="20"/>
              </w:rPr>
            </w:pPr>
            <w:r>
              <w:rPr>
                <w:noProof/>
                <w:sz w:val="20"/>
              </w:rPr>
              <w:t>2018 г.</w:t>
            </w:r>
          </w:p>
        </w:tc>
        <w:tc>
          <w:tcPr>
            <w:tcW w:w="1134" w:type="dxa"/>
            <w:vAlign w:val="center"/>
          </w:tcPr>
          <w:p w:rsidR="00271729" w:rsidRDefault="00AD0727">
            <w:pPr>
              <w:jc w:val="center"/>
              <w:rPr>
                <w:noProof/>
                <w:sz w:val="20"/>
              </w:rPr>
            </w:pPr>
            <w:r>
              <w:rPr>
                <w:noProof/>
                <w:sz w:val="20"/>
              </w:rPr>
              <w:t>2019 г.</w:t>
            </w:r>
          </w:p>
        </w:tc>
        <w:tc>
          <w:tcPr>
            <w:tcW w:w="1134" w:type="dxa"/>
            <w:vAlign w:val="center"/>
          </w:tcPr>
          <w:p w:rsidR="00271729" w:rsidRDefault="00AD0727">
            <w:pPr>
              <w:jc w:val="center"/>
              <w:rPr>
                <w:noProof/>
                <w:sz w:val="20"/>
              </w:rPr>
            </w:pPr>
            <w:r>
              <w:rPr>
                <w:noProof/>
                <w:sz w:val="20"/>
              </w:rPr>
              <w:t>2020 г.</w:t>
            </w:r>
          </w:p>
        </w:tc>
        <w:tc>
          <w:tcPr>
            <w:tcW w:w="1777" w:type="dxa"/>
            <w:vAlign w:val="center"/>
          </w:tcPr>
          <w:p w:rsidR="00271729" w:rsidRDefault="00AD0727">
            <w:pPr>
              <w:jc w:val="center"/>
              <w:rPr>
                <w:b/>
                <w:noProof/>
                <w:sz w:val="20"/>
              </w:rPr>
            </w:pPr>
            <w:r>
              <w:rPr>
                <w:b/>
                <w:noProof/>
                <w:sz w:val="20"/>
              </w:rPr>
              <w:t>ОБЩО</w:t>
            </w:r>
          </w:p>
        </w:tc>
      </w:tr>
      <w:tr w:rsidR="00271729">
        <w:trPr>
          <w:trHeight w:val="213"/>
          <w:jc w:val="center"/>
        </w:trPr>
        <w:tc>
          <w:tcPr>
            <w:tcW w:w="7811" w:type="dxa"/>
            <w:gridSpan w:val="3"/>
            <w:vAlign w:val="center"/>
          </w:tcPr>
          <w:p w:rsidR="00271729" w:rsidRDefault="00AD0727">
            <w:pPr>
              <w:spacing w:before="20" w:after="20"/>
              <w:rPr>
                <w:noProof/>
                <w:sz w:val="21"/>
              </w:rPr>
            </w:pPr>
            <w:r>
              <w:rPr>
                <w:noProof/>
                <w:sz w:val="21"/>
              </w:rPr>
              <w:sym w:font="Wingdings" w:char="F09F"/>
            </w:r>
            <w:r>
              <w:rPr>
                <w:noProof/>
                <w:sz w:val="21"/>
              </w:rPr>
              <w:t xml:space="preserve">Бюджетни кредити за оперативни </w:t>
            </w:r>
            <w:r>
              <w:rPr>
                <w:noProof/>
                <w:sz w:val="21"/>
              </w:rPr>
              <w:t>разходи</w:t>
            </w:r>
          </w:p>
        </w:tc>
        <w:tc>
          <w:tcPr>
            <w:tcW w:w="1134" w:type="dxa"/>
            <w:vAlign w:val="center"/>
          </w:tcPr>
          <w:p w:rsidR="00271729" w:rsidRDefault="00271729">
            <w:pPr>
              <w:rPr>
                <w:noProof/>
                <w:sz w:val="20"/>
              </w:rPr>
            </w:pPr>
          </w:p>
        </w:tc>
        <w:tc>
          <w:tcPr>
            <w:tcW w:w="1134" w:type="dxa"/>
            <w:vAlign w:val="center"/>
          </w:tcPr>
          <w:p w:rsidR="00271729" w:rsidRDefault="00271729">
            <w:pPr>
              <w:rPr>
                <w:noProof/>
                <w:sz w:val="20"/>
              </w:rPr>
            </w:pPr>
          </w:p>
        </w:tc>
        <w:tc>
          <w:tcPr>
            <w:tcW w:w="1134" w:type="dxa"/>
            <w:vAlign w:val="center"/>
          </w:tcPr>
          <w:p w:rsidR="00271729" w:rsidRDefault="00271729">
            <w:pPr>
              <w:rPr>
                <w:noProof/>
                <w:sz w:val="20"/>
              </w:rPr>
            </w:pPr>
          </w:p>
        </w:tc>
        <w:tc>
          <w:tcPr>
            <w:tcW w:w="1777" w:type="dxa"/>
            <w:vAlign w:val="center"/>
          </w:tcPr>
          <w:p w:rsidR="00271729" w:rsidRDefault="00271729">
            <w:pPr>
              <w:rPr>
                <w:b/>
                <w:noProof/>
                <w:sz w:val="20"/>
              </w:rPr>
            </w:pPr>
          </w:p>
        </w:tc>
      </w:tr>
      <w:tr w:rsidR="00271729">
        <w:trPr>
          <w:trHeight w:val="277"/>
          <w:jc w:val="center"/>
        </w:trPr>
        <w:tc>
          <w:tcPr>
            <w:tcW w:w="5543" w:type="dxa"/>
            <w:vMerge w:val="restart"/>
            <w:vAlign w:val="center"/>
          </w:tcPr>
          <w:p w:rsidR="00271729" w:rsidRDefault="00AD0727">
            <w:pPr>
              <w:rPr>
                <w:noProof/>
                <w:sz w:val="22"/>
              </w:rPr>
            </w:pPr>
            <w:r>
              <w:rPr>
                <w:noProof/>
                <w:sz w:val="20"/>
              </w:rPr>
              <w:t>23 03 01 01</w:t>
            </w:r>
          </w:p>
        </w:tc>
        <w:tc>
          <w:tcPr>
            <w:tcW w:w="1417" w:type="dxa"/>
            <w:vAlign w:val="center"/>
          </w:tcPr>
          <w:p w:rsidR="00271729" w:rsidRDefault="00AD0727">
            <w:pPr>
              <w:spacing w:before="20" w:after="20"/>
              <w:rPr>
                <w:noProof/>
                <w:sz w:val="18"/>
              </w:rPr>
            </w:pPr>
            <w:r>
              <w:rPr>
                <w:noProof/>
                <w:sz w:val="18"/>
              </w:rPr>
              <w:t>Поети задължения</w:t>
            </w:r>
          </w:p>
        </w:tc>
        <w:tc>
          <w:tcPr>
            <w:tcW w:w="851" w:type="dxa"/>
            <w:vAlign w:val="center"/>
          </w:tcPr>
          <w:p w:rsidR="00271729" w:rsidRDefault="00AD0727">
            <w:pPr>
              <w:spacing w:before="20" w:after="20"/>
              <w:jc w:val="center"/>
              <w:rPr>
                <w:noProof/>
                <w:sz w:val="14"/>
              </w:rPr>
            </w:pPr>
            <w:r>
              <w:rPr>
                <w:noProof/>
                <w:sz w:val="14"/>
              </w:rPr>
              <w:t>(1)</w:t>
            </w:r>
          </w:p>
        </w:tc>
        <w:tc>
          <w:tcPr>
            <w:tcW w:w="1134" w:type="dxa"/>
            <w:vAlign w:val="bottom"/>
          </w:tcPr>
          <w:p w:rsidR="00271729" w:rsidRDefault="00AD0727">
            <w:pPr>
              <w:spacing w:before="20" w:after="20"/>
              <w:jc w:val="right"/>
              <w:rPr>
                <w:noProof/>
                <w:sz w:val="20"/>
              </w:rPr>
            </w:pPr>
            <w:r>
              <w:rPr>
                <w:noProof/>
                <w:sz w:val="20"/>
              </w:rPr>
              <w:t>14,000</w:t>
            </w:r>
          </w:p>
        </w:tc>
        <w:tc>
          <w:tcPr>
            <w:tcW w:w="1134" w:type="dxa"/>
            <w:vAlign w:val="bottom"/>
          </w:tcPr>
          <w:p w:rsidR="00271729" w:rsidRDefault="00AD0727">
            <w:pPr>
              <w:spacing w:before="20" w:after="20"/>
              <w:jc w:val="right"/>
              <w:rPr>
                <w:noProof/>
                <w:sz w:val="20"/>
              </w:rPr>
            </w:pPr>
            <w:r>
              <w:rPr>
                <w:noProof/>
                <w:sz w:val="20"/>
              </w:rPr>
              <w:t>105,900</w:t>
            </w:r>
          </w:p>
        </w:tc>
        <w:tc>
          <w:tcPr>
            <w:tcW w:w="1134" w:type="dxa"/>
            <w:vAlign w:val="bottom"/>
          </w:tcPr>
          <w:p w:rsidR="00271729" w:rsidRDefault="00AD0727">
            <w:pPr>
              <w:spacing w:before="20" w:after="20"/>
              <w:jc w:val="right"/>
              <w:rPr>
                <w:noProof/>
                <w:sz w:val="20"/>
              </w:rPr>
            </w:pPr>
            <w:r>
              <w:rPr>
                <w:noProof/>
                <w:sz w:val="20"/>
              </w:rPr>
              <w:t>109,279</w:t>
            </w:r>
          </w:p>
        </w:tc>
        <w:tc>
          <w:tcPr>
            <w:tcW w:w="1777" w:type="dxa"/>
            <w:vAlign w:val="bottom"/>
          </w:tcPr>
          <w:p w:rsidR="00271729" w:rsidRDefault="00AD0727">
            <w:pPr>
              <w:spacing w:before="20" w:after="20"/>
              <w:jc w:val="right"/>
              <w:rPr>
                <w:b/>
                <w:noProof/>
                <w:sz w:val="20"/>
              </w:rPr>
            </w:pPr>
            <w:r>
              <w:rPr>
                <w:b/>
                <w:noProof/>
                <w:sz w:val="20"/>
              </w:rPr>
              <w:t>229,179</w:t>
            </w:r>
          </w:p>
        </w:tc>
      </w:tr>
      <w:tr w:rsidR="00271729">
        <w:trPr>
          <w:jc w:val="center"/>
        </w:trPr>
        <w:tc>
          <w:tcPr>
            <w:tcW w:w="5543" w:type="dxa"/>
            <w:vMerge/>
          </w:tcPr>
          <w:p w:rsidR="00271729" w:rsidRDefault="00271729">
            <w:pPr>
              <w:jc w:val="center"/>
              <w:rPr>
                <w:noProof/>
                <w:sz w:val="20"/>
              </w:rPr>
            </w:pPr>
          </w:p>
        </w:tc>
        <w:tc>
          <w:tcPr>
            <w:tcW w:w="1417" w:type="dxa"/>
            <w:vAlign w:val="center"/>
          </w:tcPr>
          <w:p w:rsidR="00271729" w:rsidRDefault="00AD0727">
            <w:pPr>
              <w:spacing w:before="20" w:after="20"/>
              <w:rPr>
                <w:noProof/>
                <w:sz w:val="18"/>
              </w:rPr>
            </w:pPr>
            <w:r>
              <w:rPr>
                <w:noProof/>
                <w:sz w:val="18"/>
              </w:rPr>
              <w:t>Плащания</w:t>
            </w:r>
          </w:p>
        </w:tc>
        <w:tc>
          <w:tcPr>
            <w:tcW w:w="851" w:type="dxa"/>
            <w:vAlign w:val="center"/>
          </w:tcPr>
          <w:p w:rsidR="00271729" w:rsidRDefault="00AD0727">
            <w:pPr>
              <w:spacing w:before="20" w:after="20"/>
              <w:jc w:val="center"/>
              <w:rPr>
                <w:noProof/>
                <w:sz w:val="14"/>
              </w:rPr>
            </w:pPr>
            <w:r>
              <w:rPr>
                <w:noProof/>
                <w:sz w:val="14"/>
              </w:rPr>
              <w:t>(2)</w:t>
            </w:r>
          </w:p>
        </w:tc>
        <w:tc>
          <w:tcPr>
            <w:tcW w:w="1134" w:type="dxa"/>
            <w:vAlign w:val="bottom"/>
          </w:tcPr>
          <w:p w:rsidR="00271729" w:rsidRDefault="00AD0727">
            <w:pPr>
              <w:spacing w:before="20" w:after="20"/>
              <w:jc w:val="right"/>
              <w:rPr>
                <w:noProof/>
                <w:sz w:val="20"/>
              </w:rPr>
            </w:pPr>
            <w:r>
              <w:rPr>
                <w:noProof/>
                <w:sz w:val="20"/>
              </w:rPr>
              <w:t>7,000</w:t>
            </w:r>
          </w:p>
        </w:tc>
        <w:tc>
          <w:tcPr>
            <w:tcW w:w="1134" w:type="dxa"/>
            <w:vAlign w:val="bottom"/>
          </w:tcPr>
          <w:p w:rsidR="00271729" w:rsidRDefault="00AD0727">
            <w:pPr>
              <w:spacing w:before="20" w:after="20"/>
              <w:jc w:val="right"/>
              <w:rPr>
                <w:noProof/>
                <w:sz w:val="20"/>
              </w:rPr>
            </w:pPr>
            <w:r>
              <w:rPr>
                <w:noProof/>
                <w:sz w:val="20"/>
              </w:rPr>
              <w:t>46,560</w:t>
            </w:r>
          </w:p>
        </w:tc>
        <w:tc>
          <w:tcPr>
            <w:tcW w:w="1134" w:type="dxa"/>
            <w:vAlign w:val="bottom"/>
          </w:tcPr>
          <w:p w:rsidR="00271729" w:rsidRDefault="00AD0727">
            <w:pPr>
              <w:spacing w:before="20" w:after="20"/>
              <w:jc w:val="right"/>
              <w:rPr>
                <w:noProof/>
                <w:sz w:val="20"/>
              </w:rPr>
            </w:pPr>
            <w:r>
              <w:rPr>
                <w:noProof/>
                <w:sz w:val="20"/>
              </w:rPr>
              <w:t>104,395</w:t>
            </w:r>
          </w:p>
        </w:tc>
        <w:tc>
          <w:tcPr>
            <w:tcW w:w="1777" w:type="dxa"/>
            <w:vAlign w:val="bottom"/>
          </w:tcPr>
          <w:p w:rsidR="00271729" w:rsidRDefault="00AD0727">
            <w:pPr>
              <w:spacing w:before="20" w:after="20"/>
              <w:jc w:val="right"/>
              <w:rPr>
                <w:b/>
                <w:noProof/>
                <w:sz w:val="20"/>
              </w:rPr>
            </w:pPr>
            <w:r>
              <w:rPr>
                <w:b/>
                <w:noProof/>
                <w:sz w:val="20"/>
              </w:rPr>
              <w:t>157,955</w:t>
            </w:r>
          </w:p>
        </w:tc>
      </w:tr>
      <w:tr w:rsidR="00271729">
        <w:trPr>
          <w:jc w:val="center"/>
        </w:trPr>
        <w:tc>
          <w:tcPr>
            <w:tcW w:w="5543" w:type="dxa"/>
            <w:vMerge w:val="restart"/>
            <w:vAlign w:val="center"/>
          </w:tcPr>
          <w:p w:rsidR="00271729" w:rsidRDefault="00AD0727">
            <w:pPr>
              <w:rPr>
                <w:noProof/>
                <w:sz w:val="22"/>
              </w:rPr>
            </w:pPr>
            <w:r>
              <w:rPr>
                <w:noProof/>
                <w:sz w:val="20"/>
              </w:rPr>
              <w:t>23 03 02 01</w:t>
            </w:r>
          </w:p>
        </w:tc>
        <w:tc>
          <w:tcPr>
            <w:tcW w:w="1417" w:type="dxa"/>
            <w:vAlign w:val="center"/>
          </w:tcPr>
          <w:p w:rsidR="00271729" w:rsidRDefault="00AD0727">
            <w:pPr>
              <w:spacing w:before="20" w:after="20"/>
              <w:rPr>
                <w:noProof/>
                <w:sz w:val="18"/>
              </w:rPr>
            </w:pPr>
            <w:r>
              <w:rPr>
                <w:noProof/>
                <w:sz w:val="18"/>
              </w:rPr>
              <w:t>Поети задължения</w:t>
            </w:r>
          </w:p>
        </w:tc>
        <w:tc>
          <w:tcPr>
            <w:tcW w:w="851" w:type="dxa"/>
            <w:vAlign w:val="center"/>
          </w:tcPr>
          <w:p w:rsidR="00271729" w:rsidRDefault="00AD0727">
            <w:pPr>
              <w:spacing w:before="20" w:after="20"/>
              <w:jc w:val="center"/>
              <w:rPr>
                <w:noProof/>
                <w:sz w:val="14"/>
              </w:rPr>
            </w:pPr>
            <w:r>
              <w:rPr>
                <w:noProof/>
                <w:sz w:val="14"/>
              </w:rPr>
              <w:t>(1а)</w:t>
            </w:r>
          </w:p>
        </w:tc>
        <w:tc>
          <w:tcPr>
            <w:tcW w:w="1134" w:type="dxa"/>
          </w:tcPr>
          <w:p w:rsidR="00271729" w:rsidRDefault="00AD0727">
            <w:pPr>
              <w:spacing w:before="20" w:after="20"/>
              <w:jc w:val="right"/>
              <w:rPr>
                <w:noProof/>
                <w:sz w:val="20"/>
              </w:rPr>
            </w:pPr>
            <w:r>
              <w:rPr>
                <w:noProof/>
                <w:sz w:val="20"/>
              </w:rPr>
              <w:t>5,157</w:t>
            </w:r>
          </w:p>
        </w:tc>
        <w:tc>
          <w:tcPr>
            <w:tcW w:w="1134" w:type="dxa"/>
          </w:tcPr>
          <w:p w:rsidR="00271729" w:rsidRDefault="00AD0727">
            <w:pPr>
              <w:spacing w:before="20" w:after="20"/>
              <w:jc w:val="right"/>
              <w:rPr>
                <w:noProof/>
                <w:sz w:val="20"/>
              </w:rPr>
            </w:pPr>
            <w:r>
              <w:rPr>
                <w:noProof/>
                <w:sz w:val="20"/>
              </w:rPr>
              <w:t>9,300</w:t>
            </w:r>
          </w:p>
        </w:tc>
        <w:tc>
          <w:tcPr>
            <w:tcW w:w="1134" w:type="dxa"/>
          </w:tcPr>
          <w:p w:rsidR="00271729" w:rsidRDefault="00AD0727">
            <w:pPr>
              <w:spacing w:before="20" w:after="20"/>
              <w:jc w:val="right"/>
              <w:rPr>
                <w:noProof/>
                <w:sz w:val="20"/>
              </w:rPr>
            </w:pPr>
            <w:r>
              <w:rPr>
                <w:noProof/>
                <w:sz w:val="20"/>
              </w:rPr>
              <w:t>13,218</w:t>
            </w:r>
          </w:p>
        </w:tc>
        <w:tc>
          <w:tcPr>
            <w:tcW w:w="1777" w:type="dxa"/>
          </w:tcPr>
          <w:p w:rsidR="00271729" w:rsidRDefault="00AD0727">
            <w:pPr>
              <w:spacing w:before="20" w:after="20"/>
              <w:jc w:val="right"/>
              <w:rPr>
                <w:b/>
                <w:noProof/>
                <w:sz w:val="20"/>
              </w:rPr>
            </w:pPr>
            <w:r>
              <w:rPr>
                <w:b/>
                <w:noProof/>
                <w:sz w:val="20"/>
              </w:rPr>
              <w:t>27,675</w:t>
            </w:r>
          </w:p>
        </w:tc>
      </w:tr>
      <w:tr w:rsidR="00271729">
        <w:trPr>
          <w:jc w:val="center"/>
        </w:trPr>
        <w:tc>
          <w:tcPr>
            <w:tcW w:w="5543" w:type="dxa"/>
            <w:vMerge/>
          </w:tcPr>
          <w:p w:rsidR="00271729" w:rsidRDefault="00271729">
            <w:pPr>
              <w:jc w:val="center"/>
              <w:rPr>
                <w:noProof/>
                <w:sz w:val="20"/>
              </w:rPr>
            </w:pPr>
          </w:p>
        </w:tc>
        <w:tc>
          <w:tcPr>
            <w:tcW w:w="1417" w:type="dxa"/>
            <w:vAlign w:val="center"/>
          </w:tcPr>
          <w:p w:rsidR="00271729" w:rsidRDefault="00AD0727">
            <w:pPr>
              <w:spacing w:before="20" w:after="20"/>
              <w:rPr>
                <w:noProof/>
                <w:sz w:val="18"/>
              </w:rPr>
            </w:pPr>
            <w:r>
              <w:rPr>
                <w:noProof/>
                <w:sz w:val="18"/>
              </w:rPr>
              <w:t>Плащания</w:t>
            </w:r>
          </w:p>
        </w:tc>
        <w:tc>
          <w:tcPr>
            <w:tcW w:w="851" w:type="dxa"/>
            <w:vAlign w:val="center"/>
          </w:tcPr>
          <w:p w:rsidR="00271729" w:rsidRDefault="00AD0727">
            <w:pPr>
              <w:spacing w:before="20" w:after="20"/>
              <w:jc w:val="center"/>
              <w:rPr>
                <w:noProof/>
                <w:sz w:val="14"/>
              </w:rPr>
            </w:pPr>
            <w:r>
              <w:rPr>
                <w:noProof/>
                <w:sz w:val="14"/>
              </w:rPr>
              <w:t>(2а)</w:t>
            </w:r>
          </w:p>
        </w:tc>
        <w:tc>
          <w:tcPr>
            <w:tcW w:w="1134" w:type="dxa"/>
          </w:tcPr>
          <w:p w:rsidR="00271729" w:rsidRDefault="00AD0727">
            <w:pPr>
              <w:spacing w:before="20" w:after="20"/>
              <w:jc w:val="right"/>
              <w:rPr>
                <w:noProof/>
                <w:sz w:val="20"/>
              </w:rPr>
            </w:pPr>
            <w:r>
              <w:rPr>
                <w:noProof/>
                <w:sz w:val="20"/>
              </w:rPr>
              <w:t>4,000</w:t>
            </w:r>
          </w:p>
        </w:tc>
        <w:tc>
          <w:tcPr>
            <w:tcW w:w="1134" w:type="dxa"/>
          </w:tcPr>
          <w:p w:rsidR="00271729" w:rsidRDefault="00AD0727">
            <w:pPr>
              <w:spacing w:before="20" w:after="20"/>
              <w:jc w:val="right"/>
              <w:rPr>
                <w:noProof/>
                <w:sz w:val="20"/>
              </w:rPr>
            </w:pPr>
            <w:r>
              <w:rPr>
                <w:noProof/>
                <w:sz w:val="20"/>
              </w:rPr>
              <w:t>10,000</w:t>
            </w:r>
          </w:p>
        </w:tc>
        <w:tc>
          <w:tcPr>
            <w:tcW w:w="1134" w:type="dxa"/>
          </w:tcPr>
          <w:p w:rsidR="00271729" w:rsidRDefault="00AD0727">
            <w:pPr>
              <w:spacing w:before="20" w:after="20"/>
              <w:jc w:val="right"/>
              <w:rPr>
                <w:noProof/>
                <w:sz w:val="20"/>
              </w:rPr>
            </w:pPr>
            <w:r>
              <w:rPr>
                <w:noProof/>
                <w:sz w:val="20"/>
              </w:rPr>
              <w:t>11,000</w:t>
            </w:r>
          </w:p>
        </w:tc>
        <w:tc>
          <w:tcPr>
            <w:tcW w:w="1777" w:type="dxa"/>
          </w:tcPr>
          <w:p w:rsidR="00271729" w:rsidRDefault="00AD0727">
            <w:pPr>
              <w:spacing w:before="20" w:after="20"/>
              <w:jc w:val="right"/>
              <w:rPr>
                <w:b/>
                <w:noProof/>
                <w:sz w:val="20"/>
              </w:rPr>
            </w:pPr>
            <w:r>
              <w:rPr>
                <w:b/>
                <w:noProof/>
                <w:sz w:val="20"/>
              </w:rPr>
              <w:t>25,000</w:t>
            </w:r>
          </w:p>
        </w:tc>
      </w:tr>
      <w:tr w:rsidR="00271729">
        <w:trPr>
          <w:trHeight w:val="231"/>
          <w:jc w:val="center"/>
        </w:trPr>
        <w:tc>
          <w:tcPr>
            <w:tcW w:w="7811" w:type="dxa"/>
            <w:gridSpan w:val="3"/>
            <w:vAlign w:val="center"/>
          </w:tcPr>
          <w:p w:rsidR="00271729" w:rsidRDefault="00AD0727">
            <w:pPr>
              <w:spacing w:before="20" w:after="20"/>
              <w:rPr>
                <w:noProof/>
                <w:sz w:val="22"/>
              </w:rPr>
            </w:pPr>
            <w:r>
              <w:rPr>
                <w:noProof/>
                <w:sz w:val="21"/>
              </w:rPr>
              <w:t xml:space="preserve">Бюджетни кредити за </w:t>
            </w:r>
            <w:r>
              <w:rPr>
                <w:noProof/>
                <w:sz w:val="21"/>
              </w:rPr>
              <w:t>административни разходи, финансирани от пакета за определени програми</w:t>
            </w:r>
            <w:r>
              <w:rPr>
                <w:rStyle w:val="FootnoteReference"/>
                <w:noProof/>
              </w:rPr>
              <w:footnoteReference w:id="23"/>
            </w:r>
            <w:r>
              <w:rPr>
                <w:noProof/>
                <w:sz w:val="21"/>
              </w:rPr>
              <w:t xml:space="preserve"> </w:t>
            </w:r>
          </w:p>
          <w:p w:rsidR="00271729" w:rsidRDefault="00271729">
            <w:pPr>
              <w:spacing w:before="0" w:after="0"/>
              <w:rPr>
                <w:noProof/>
                <w:sz w:val="22"/>
              </w:rPr>
            </w:pPr>
          </w:p>
        </w:tc>
        <w:tc>
          <w:tcPr>
            <w:tcW w:w="1134" w:type="dxa"/>
            <w:vAlign w:val="center"/>
          </w:tcPr>
          <w:p w:rsidR="00271729" w:rsidRDefault="00271729">
            <w:pPr>
              <w:rPr>
                <w:b/>
                <w:noProof/>
                <w:sz w:val="20"/>
              </w:rPr>
            </w:pPr>
          </w:p>
        </w:tc>
        <w:tc>
          <w:tcPr>
            <w:tcW w:w="1134" w:type="dxa"/>
            <w:vAlign w:val="center"/>
          </w:tcPr>
          <w:p w:rsidR="00271729" w:rsidRDefault="00271729">
            <w:pPr>
              <w:rPr>
                <w:b/>
                <w:noProof/>
                <w:sz w:val="20"/>
              </w:rPr>
            </w:pPr>
          </w:p>
        </w:tc>
        <w:tc>
          <w:tcPr>
            <w:tcW w:w="1134" w:type="dxa"/>
            <w:vAlign w:val="center"/>
          </w:tcPr>
          <w:p w:rsidR="00271729" w:rsidRDefault="00271729">
            <w:pPr>
              <w:rPr>
                <w:b/>
                <w:noProof/>
                <w:sz w:val="20"/>
              </w:rPr>
            </w:pPr>
          </w:p>
        </w:tc>
        <w:tc>
          <w:tcPr>
            <w:tcW w:w="1777" w:type="dxa"/>
            <w:vAlign w:val="center"/>
          </w:tcPr>
          <w:p w:rsidR="00271729" w:rsidRDefault="00271729">
            <w:pPr>
              <w:rPr>
                <w:b/>
                <w:noProof/>
                <w:sz w:val="20"/>
              </w:rPr>
            </w:pPr>
          </w:p>
        </w:tc>
      </w:tr>
      <w:tr w:rsidR="00271729">
        <w:trPr>
          <w:trHeight w:val="319"/>
          <w:jc w:val="center"/>
        </w:trPr>
        <w:tc>
          <w:tcPr>
            <w:tcW w:w="5543" w:type="dxa"/>
            <w:vAlign w:val="center"/>
          </w:tcPr>
          <w:p w:rsidR="00271729" w:rsidRDefault="00AD0727">
            <w:pPr>
              <w:spacing w:before="60" w:after="60"/>
              <w:rPr>
                <w:noProof/>
                <w:sz w:val="22"/>
              </w:rPr>
            </w:pPr>
            <w:r>
              <w:rPr>
                <w:noProof/>
                <w:sz w:val="20"/>
              </w:rPr>
              <w:t>Номер на бюджетния ред</w:t>
            </w:r>
          </w:p>
        </w:tc>
        <w:tc>
          <w:tcPr>
            <w:tcW w:w="1417" w:type="dxa"/>
            <w:vAlign w:val="center"/>
          </w:tcPr>
          <w:p w:rsidR="00271729" w:rsidRDefault="00271729">
            <w:pPr>
              <w:spacing w:before="40" w:after="40"/>
              <w:jc w:val="right"/>
              <w:rPr>
                <w:noProof/>
                <w:sz w:val="18"/>
              </w:rPr>
            </w:pPr>
          </w:p>
        </w:tc>
        <w:tc>
          <w:tcPr>
            <w:tcW w:w="851" w:type="dxa"/>
            <w:vAlign w:val="center"/>
          </w:tcPr>
          <w:p w:rsidR="00271729" w:rsidRDefault="00AD0727">
            <w:pPr>
              <w:spacing w:before="40" w:after="40"/>
              <w:jc w:val="center"/>
              <w:rPr>
                <w:noProof/>
                <w:sz w:val="14"/>
              </w:rPr>
            </w:pPr>
            <w:r>
              <w:rPr>
                <w:noProof/>
                <w:sz w:val="14"/>
              </w:rPr>
              <w:t>(3)</w:t>
            </w:r>
          </w:p>
        </w:tc>
        <w:tc>
          <w:tcPr>
            <w:tcW w:w="1134" w:type="dxa"/>
            <w:vAlign w:val="center"/>
          </w:tcPr>
          <w:p w:rsidR="00271729" w:rsidRDefault="00AD0727">
            <w:pPr>
              <w:jc w:val="center"/>
              <w:rPr>
                <w:noProof/>
                <w:sz w:val="20"/>
              </w:rPr>
            </w:pPr>
            <w:r>
              <w:rPr>
                <w:noProof/>
                <w:sz w:val="20"/>
              </w:rPr>
              <w:t>2018 г.</w:t>
            </w:r>
          </w:p>
        </w:tc>
        <w:tc>
          <w:tcPr>
            <w:tcW w:w="1134" w:type="dxa"/>
            <w:vAlign w:val="center"/>
          </w:tcPr>
          <w:p w:rsidR="00271729" w:rsidRDefault="00AD0727">
            <w:pPr>
              <w:jc w:val="center"/>
              <w:rPr>
                <w:noProof/>
                <w:sz w:val="20"/>
              </w:rPr>
            </w:pPr>
            <w:r>
              <w:rPr>
                <w:noProof/>
                <w:sz w:val="20"/>
              </w:rPr>
              <w:t>2019 г.</w:t>
            </w:r>
          </w:p>
        </w:tc>
        <w:tc>
          <w:tcPr>
            <w:tcW w:w="1134" w:type="dxa"/>
            <w:vAlign w:val="center"/>
          </w:tcPr>
          <w:p w:rsidR="00271729" w:rsidRDefault="00AD0727">
            <w:pPr>
              <w:jc w:val="center"/>
              <w:rPr>
                <w:noProof/>
                <w:sz w:val="20"/>
              </w:rPr>
            </w:pPr>
            <w:r>
              <w:rPr>
                <w:noProof/>
                <w:sz w:val="20"/>
              </w:rPr>
              <w:t>2020 г.</w:t>
            </w:r>
          </w:p>
        </w:tc>
        <w:tc>
          <w:tcPr>
            <w:tcW w:w="1777" w:type="dxa"/>
            <w:vAlign w:val="center"/>
          </w:tcPr>
          <w:p w:rsidR="00271729" w:rsidRDefault="00AD0727">
            <w:pPr>
              <w:jc w:val="center"/>
              <w:rPr>
                <w:b/>
                <w:noProof/>
                <w:sz w:val="20"/>
              </w:rPr>
            </w:pPr>
            <w:r>
              <w:rPr>
                <w:b/>
                <w:noProof/>
                <w:sz w:val="20"/>
              </w:rPr>
              <w:t>ОБЩО</w:t>
            </w:r>
          </w:p>
        </w:tc>
      </w:tr>
      <w:tr w:rsidR="00271729">
        <w:trPr>
          <w:jc w:val="center"/>
        </w:trPr>
        <w:tc>
          <w:tcPr>
            <w:tcW w:w="5543" w:type="dxa"/>
            <w:vMerge w:val="restart"/>
            <w:vAlign w:val="center"/>
          </w:tcPr>
          <w:p w:rsidR="00271729" w:rsidRDefault="00AD0727">
            <w:pPr>
              <w:jc w:val="center"/>
              <w:rPr>
                <w:b/>
                <w:noProof/>
                <w:sz w:val="22"/>
              </w:rPr>
            </w:pPr>
            <w:r>
              <w:rPr>
                <w:b/>
                <w:noProof/>
                <w:sz w:val="22"/>
              </w:rPr>
              <w:t>ОБЩО бюджетни кредити</w:t>
            </w:r>
            <w:r>
              <w:rPr>
                <w:b/>
                <w:noProof/>
                <w:sz w:val="22"/>
              </w:rPr>
              <w:br/>
              <w:t>За ГД „Европейска гражданска защита и европейски операции за хуманитарна помощ“</w:t>
            </w:r>
          </w:p>
        </w:tc>
        <w:tc>
          <w:tcPr>
            <w:tcW w:w="1417" w:type="dxa"/>
            <w:vAlign w:val="center"/>
          </w:tcPr>
          <w:p w:rsidR="00271729" w:rsidRDefault="00AD0727">
            <w:pPr>
              <w:rPr>
                <w:noProof/>
                <w:sz w:val="18"/>
              </w:rPr>
            </w:pPr>
            <w:r>
              <w:rPr>
                <w:noProof/>
                <w:sz w:val="18"/>
              </w:rPr>
              <w:t>Поети задължения</w:t>
            </w:r>
          </w:p>
        </w:tc>
        <w:tc>
          <w:tcPr>
            <w:tcW w:w="851" w:type="dxa"/>
            <w:vAlign w:val="center"/>
          </w:tcPr>
          <w:p w:rsidR="00271729" w:rsidRDefault="00AD0727">
            <w:pPr>
              <w:jc w:val="center"/>
              <w:rPr>
                <w:noProof/>
                <w:sz w:val="14"/>
              </w:rPr>
            </w:pPr>
            <w:r>
              <w:rPr>
                <w:noProof/>
                <w:sz w:val="14"/>
              </w:rPr>
              <w:t>=1+1a +3</w:t>
            </w:r>
          </w:p>
        </w:tc>
        <w:tc>
          <w:tcPr>
            <w:tcW w:w="1134" w:type="dxa"/>
            <w:vAlign w:val="bottom"/>
          </w:tcPr>
          <w:p w:rsidR="00271729" w:rsidRDefault="00AD0727">
            <w:pPr>
              <w:spacing w:before="20" w:after="20"/>
              <w:jc w:val="right"/>
              <w:rPr>
                <w:noProof/>
                <w:sz w:val="20"/>
              </w:rPr>
            </w:pPr>
            <w:r>
              <w:rPr>
                <w:noProof/>
                <w:sz w:val="20"/>
              </w:rPr>
              <w:t>19,157</w:t>
            </w:r>
          </w:p>
        </w:tc>
        <w:tc>
          <w:tcPr>
            <w:tcW w:w="1134" w:type="dxa"/>
            <w:vAlign w:val="bottom"/>
          </w:tcPr>
          <w:p w:rsidR="00271729" w:rsidRDefault="00AD0727">
            <w:pPr>
              <w:spacing w:before="20" w:after="20"/>
              <w:jc w:val="right"/>
              <w:rPr>
                <w:noProof/>
                <w:sz w:val="20"/>
              </w:rPr>
            </w:pPr>
            <w:r>
              <w:rPr>
                <w:noProof/>
                <w:sz w:val="20"/>
              </w:rPr>
              <w:t>115,200</w:t>
            </w:r>
          </w:p>
        </w:tc>
        <w:tc>
          <w:tcPr>
            <w:tcW w:w="1134" w:type="dxa"/>
            <w:vAlign w:val="bottom"/>
          </w:tcPr>
          <w:p w:rsidR="00271729" w:rsidRDefault="00AD0727">
            <w:pPr>
              <w:spacing w:before="20" w:after="20"/>
              <w:jc w:val="right"/>
              <w:rPr>
                <w:noProof/>
                <w:sz w:val="20"/>
              </w:rPr>
            </w:pPr>
            <w:r>
              <w:rPr>
                <w:noProof/>
                <w:sz w:val="20"/>
              </w:rPr>
              <w:t>122,497</w:t>
            </w:r>
          </w:p>
        </w:tc>
        <w:tc>
          <w:tcPr>
            <w:tcW w:w="1777" w:type="dxa"/>
            <w:vAlign w:val="bottom"/>
          </w:tcPr>
          <w:p w:rsidR="00271729" w:rsidRDefault="00AD0727">
            <w:pPr>
              <w:spacing w:before="20" w:after="20"/>
              <w:jc w:val="right"/>
              <w:rPr>
                <w:b/>
                <w:noProof/>
                <w:sz w:val="20"/>
              </w:rPr>
            </w:pPr>
            <w:r>
              <w:rPr>
                <w:b/>
                <w:noProof/>
                <w:sz w:val="20"/>
              </w:rPr>
              <w:t>256,854</w:t>
            </w:r>
          </w:p>
        </w:tc>
      </w:tr>
      <w:tr w:rsidR="00271729">
        <w:trPr>
          <w:jc w:val="center"/>
        </w:trPr>
        <w:tc>
          <w:tcPr>
            <w:tcW w:w="5543" w:type="dxa"/>
            <w:vMerge/>
          </w:tcPr>
          <w:p w:rsidR="00271729" w:rsidRDefault="00271729">
            <w:pPr>
              <w:rPr>
                <w:noProof/>
                <w:sz w:val="20"/>
              </w:rPr>
            </w:pPr>
          </w:p>
        </w:tc>
        <w:tc>
          <w:tcPr>
            <w:tcW w:w="1417" w:type="dxa"/>
            <w:vAlign w:val="center"/>
          </w:tcPr>
          <w:p w:rsidR="00271729" w:rsidRDefault="00AD0727">
            <w:pPr>
              <w:rPr>
                <w:noProof/>
                <w:sz w:val="18"/>
              </w:rPr>
            </w:pPr>
            <w:r>
              <w:rPr>
                <w:noProof/>
                <w:sz w:val="18"/>
              </w:rPr>
              <w:t>Плащания</w:t>
            </w:r>
          </w:p>
        </w:tc>
        <w:tc>
          <w:tcPr>
            <w:tcW w:w="851" w:type="dxa"/>
            <w:vAlign w:val="center"/>
          </w:tcPr>
          <w:p w:rsidR="00271729" w:rsidRDefault="00AD0727">
            <w:pPr>
              <w:jc w:val="center"/>
              <w:rPr>
                <w:noProof/>
                <w:sz w:val="14"/>
              </w:rPr>
            </w:pPr>
            <w:r>
              <w:rPr>
                <w:noProof/>
                <w:sz w:val="14"/>
              </w:rPr>
              <w:t>=2+2a</w:t>
            </w:r>
          </w:p>
          <w:p w:rsidR="00271729" w:rsidRDefault="00AD0727">
            <w:pPr>
              <w:jc w:val="center"/>
              <w:rPr>
                <w:noProof/>
                <w:sz w:val="14"/>
              </w:rPr>
            </w:pPr>
            <w:r>
              <w:rPr>
                <w:noProof/>
                <w:sz w:val="14"/>
              </w:rPr>
              <w:t>+3</w:t>
            </w:r>
          </w:p>
        </w:tc>
        <w:tc>
          <w:tcPr>
            <w:tcW w:w="1134" w:type="dxa"/>
            <w:vAlign w:val="bottom"/>
          </w:tcPr>
          <w:p w:rsidR="00271729" w:rsidRDefault="00AD0727">
            <w:pPr>
              <w:spacing w:before="20" w:after="20"/>
              <w:jc w:val="right"/>
              <w:rPr>
                <w:noProof/>
                <w:sz w:val="20"/>
              </w:rPr>
            </w:pPr>
            <w:r>
              <w:rPr>
                <w:noProof/>
                <w:sz w:val="20"/>
              </w:rPr>
              <w:t>11,000</w:t>
            </w:r>
          </w:p>
        </w:tc>
        <w:tc>
          <w:tcPr>
            <w:tcW w:w="1134" w:type="dxa"/>
            <w:vAlign w:val="bottom"/>
          </w:tcPr>
          <w:p w:rsidR="00271729" w:rsidRDefault="00AD0727">
            <w:pPr>
              <w:spacing w:before="20" w:after="20"/>
              <w:jc w:val="right"/>
              <w:rPr>
                <w:noProof/>
                <w:sz w:val="20"/>
              </w:rPr>
            </w:pPr>
            <w:r>
              <w:rPr>
                <w:noProof/>
                <w:sz w:val="20"/>
              </w:rPr>
              <w:t>56,560</w:t>
            </w:r>
          </w:p>
        </w:tc>
        <w:tc>
          <w:tcPr>
            <w:tcW w:w="1134" w:type="dxa"/>
            <w:vAlign w:val="bottom"/>
          </w:tcPr>
          <w:p w:rsidR="00271729" w:rsidRDefault="00AD0727">
            <w:pPr>
              <w:spacing w:before="20" w:after="20"/>
              <w:jc w:val="right"/>
              <w:rPr>
                <w:noProof/>
                <w:sz w:val="20"/>
              </w:rPr>
            </w:pPr>
            <w:r>
              <w:rPr>
                <w:noProof/>
                <w:sz w:val="20"/>
              </w:rPr>
              <w:t>115,395</w:t>
            </w:r>
          </w:p>
        </w:tc>
        <w:tc>
          <w:tcPr>
            <w:tcW w:w="1777" w:type="dxa"/>
            <w:vAlign w:val="bottom"/>
          </w:tcPr>
          <w:p w:rsidR="00271729" w:rsidRDefault="00AD0727">
            <w:pPr>
              <w:spacing w:before="20" w:after="20"/>
              <w:jc w:val="right"/>
              <w:rPr>
                <w:b/>
                <w:noProof/>
                <w:sz w:val="20"/>
              </w:rPr>
            </w:pPr>
            <w:r>
              <w:rPr>
                <w:b/>
                <w:noProof/>
                <w:sz w:val="20"/>
              </w:rPr>
              <w:t>182,955</w:t>
            </w:r>
          </w:p>
        </w:tc>
      </w:tr>
    </w:tbl>
    <w:p w:rsidR="00271729" w:rsidRDefault="00AD0727">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271729">
        <w:trPr>
          <w:trHeight w:val="277"/>
        </w:trPr>
        <w:tc>
          <w:tcPr>
            <w:tcW w:w="5529" w:type="dxa"/>
            <w:vMerge w:val="restart"/>
            <w:vAlign w:val="center"/>
          </w:tcPr>
          <w:p w:rsidR="00271729" w:rsidRDefault="00AD0727">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17" w:type="dxa"/>
            <w:vAlign w:val="center"/>
          </w:tcPr>
          <w:p w:rsidR="00271729" w:rsidRDefault="00AD0727">
            <w:pPr>
              <w:spacing w:beforeLines="20" w:before="48" w:afterLines="20" w:after="48"/>
              <w:rPr>
                <w:noProof/>
                <w:sz w:val="18"/>
              </w:rPr>
            </w:pPr>
            <w:r>
              <w:rPr>
                <w:noProof/>
                <w:sz w:val="18"/>
              </w:rPr>
              <w:t>Поети задължения</w:t>
            </w:r>
          </w:p>
        </w:tc>
        <w:tc>
          <w:tcPr>
            <w:tcW w:w="851" w:type="dxa"/>
            <w:vAlign w:val="center"/>
          </w:tcPr>
          <w:p w:rsidR="00271729" w:rsidRDefault="00AD0727">
            <w:pPr>
              <w:spacing w:beforeLines="20" w:before="48" w:afterLines="20" w:after="48"/>
              <w:jc w:val="center"/>
              <w:rPr>
                <w:noProof/>
                <w:sz w:val="14"/>
              </w:rPr>
            </w:pPr>
            <w:r>
              <w:rPr>
                <w:noProof/>
                <w:sz w:val="14"/>
              </w:rPr>
              <w:t>(4)</w:t>
            </w:r>
          </w:p>
        </w:tc>
        <w:tc>
          <w:tcPr>
            <w:tcW w:w="1134" w:type="dxa"/>
            <w:vAlign w:val="bottom"/>
          </w:tcPr>
          <w:p w:rsidR="00271729" w:rsidRDefault="00AD0727">
            <w:pPr>
              <w:spacing w:before="20" w:after="20"/>
              <w:jc w:val="right"/>
              <w:rPr>
                <w:noProof/>
                <w:sz w:val="20"/>
              </w:rPr>
            </w:pPr>
            <w:r>
              <w:rPr>
                <w:noProof/>
                <w:sz w:val="20"/>
              </w:rPr>
              <w:t>19,157</w:t>
            </w:r>
          </w:p>
        </w:tc>
        <w:tc>
          <w:tcPr>
            <w:tcW w:w="1134" w:type="dxa"/>
            <w:vAlign w:val="bottom"/>
          </w:tcPr>
          <w:p w:rsidR="00271729" w:rsidRDefault="00AD0727">
            <w:pPr>
              <w:spacing w:before="20" w:after="20"/>
              <w:jc w:val="right"/>
              <w:rPr>
                <w:noProof/>
                <w:sz w:val="20"/>
              </w:rPr>
            </w:pPr>
            <w:r>
              <w:rPr>
                <w:noProof/>
                <w:sz w:val="20"/>
              </w:rPr>
              <w:t>115,200</w:t>
            </w:r>
          </w:p>
        </w:tc>
        <w:tc>
          <w:tcPr>
            <w:tcW w:w="1134" w:type="dxa"/>
            <w:vAlign w:val="bottom"/>
          </w:tcPr>
          <w:p w:rsidR="00271729" w:rsidRDefault="00AD0727">
            <w:pPr>
              <w:spacing w:before="20" w:after="20"/>
              <w:jc w:val="right"/>
              <w:rPr>
                <w:noProof/>
                <w:sz w:val="20"/>
              </w:rPr>
            </w:pPr>
            <w:r>
              <w:rPr>
                <w:noProof/>
                <w:sz w:val="20"/>
              </w:rPr>
              <w:t>122,497</w:t>
            </w:r>
          </w:p>
        </w:tc>
        <w:tc>
          <w:tcPr>
            <w:tcW w:w="1701" w:type="dxa"/>
            <w:vAlign w:val="bottom"/>
          </w:tcPr>
          <w:p w:rsidR="00271729" w:rsidRDefault="00AD0727">
            <w:pPr>
              <w:spacing w:before="20" w:after="20"/>
              <w:jc w:val="right"/>
              <w:rPr>
                <w:b/>
                <w:noProof/>
                <w:sz w:val="20"/>
              </w:rPr>
            </w:pPr>
            <w:r>
              <w:rPr>
                <w:b/>
                <w:noProof/>
                <w:sz w:val="20"/>
              </w:rPr>
              <w:t>256,854</w:t>
            </w:r>
          </w:p>
        </w:tc>
      </w:tr>
      <w:tr w:rsidR="00271729">
        <w:tc>
          <w:tcPr>
            <w:tcW w:w="5529" w:type="dxa"/>
            <w:vMerge/>
          </w:tcPr>
          <w:p w:rsidR="00271729" w:rsidRDefault="00271729">
            <w:pPr>
              <w:jc w:val="center"/>
              <w:rPr>
                <w:noProof/>
                <w:sz w:val="20"/>
              </w:rPr>
            </w:pPr>
          </w:p>
        </w:tc>
        <w:tc>
          <w:tcPr>
            <w:tcW w:w="1417" w:type="dxa"/>
            <w:vAlign w:val="center"/>
          </w:tcPr>
          <w:p w:rsidR="00271729" w:rsidRDefault="00AD0727">
            <w:pPr>
              <w:spacing w:beforeLines="20" w:before="48" w:afterLines="20" w:after="48"/>
              <w:rPr>
                <w:noProof/>
                <w:sz w:val="18"/>
              </w:rPr>
            </w:pPr>
            <w:r>
              <w:rPr>
                <w:noProof/>
                <w:sz w:val="18"/>
              </w:rPr>
              <w:t>Плащания</w:t>
            </w:r>
          </w:p>
        </w:tc>
        <w:tc>
          <w:tcPr>
            <w:tcW w:w="851" w:type="dxa"/>
            <w:vAlign w:val="center"/>
          </w:tcPr>
          <w:p w:rsidR="00271729" w:rsidRDefault="00AD0727">
            <w:pPr>
              <w:spacing w:beforeLines="20" w:before="48" w:afterLines="20" w:after="48"/>
              <w:jc w:val="center"/>
              <w:rPr>
                <w:noProof/>
                <w:sz w:val="14"/>
              </w:rPr>
            </w:pPr>
            <w:r>
              <w:rPr>
                <w:noProof/>
                <w:sz w:val="14"/>
              </w:rPr>
              <w:t>(5)</w:t>
            </w:r>
          </w:p>
        </w:tc>
        <w:tc>
          <w:tcPr>
            <w:tcW w:w="1134" w:type="dxa"/>
            <w:vAlign w:val="bottom"/>
          </w:tcPr>
          <w:p w:rsidR="00271729" w:rsidRDefault="00AD0727">
            <w:pPr>
              <w:spacing w:before="20" w:after="20"/>
              <w:jc w:val="right"/>
              <w:rPr>
                <w:noProof/>
                <w:sz w:val="20"/>
              </w:rPr>
            </w:pPr>
            <w:r>
              <w:rPr>
                <w:noProof/>
                <w:sz w:val="20"/>
              </w:rPr>
              <w:t>11,000</w:t>
            </w:r>
          </w:p>
        </w:tc>
        <w:tc>
          <w:tcPr>
            <w:tcW w:w="1134" w:type="dxa"/>
            <w:vAlign w:val="bottom"/>
          </w:tcPr>
          <w:p w:rsidR="00271729" w:rsidRDefault="00AD0727">
            <w:pPr>
              <w:spacing w:before="20" w:after="20"/>
              <w:jc w:val="right"/>
              <w:rPr>
                <w:noProof/>
                <w:sz w:val="20"/>
              </w:rPr>
            </w:pPr>
            <w:r>
              <w:rPr>
                <w:noProof/>
                <w:sz w:val="20"/>
              </w:rPr>
              <w:t>56,560</w:t>
            </w:r>
          </w:p>
        </w:tc>
        <w:tc>
          <w:tcPr>
            <w:tcW w:w="1134" w:type="dxa"/>
            <w:vAlign w:val="bottom"/>
          </w:tcPr>
          <w:p w:rsidR="00271729" w:rsidRDefault="00AD0727">
            <w:pPr>
              <w:spacing w:before="20" w:after="20"/>
              <w:jc w:val="right"/>
              <w:rPr>
                <w:noProof/>
                <w:sz w:val="20"/>
              </w:rPr>
            </w:pPr>
            <w:r>
              <w:rPr>
                <w:noProof/>
                <w:sz w:val="20"/>
              </w:rPr>
              <w:t>115,395</w:t>
            </w:r>
          </w:p>
        </w:tc>
        <w:tc>
          <w:tcPr>
            <w:tcW w:w="1701" w:type="dxa"/>
            <w:vAlign w:val="bottom"/>
          </w:tcPr>
          <w:p w:rsidR="00271729" w:rsidRDefault="00AD0727">
            <w:pPr>
              <w:spacing w:before="20" w:after="20"/>
              <w:jc w:val="right"/>
              <w:rPr>
                <w:b/>
                <w:noProof/>
                <w:sz w:val="20"/>
              </w:rPr>
            </w:pPr>
            <w:r>
              <w:rPr>
                <w:b/>
                <w:noProof/>
                <w:sz w:val="20"/>
              </w:rPr>
              <w:t>182,955</w:t>
            </w:r>
          </w:p>
        </w:tc>
      </w:tr>
      <w:tr w:rsidR="00271729">
        <w:trPr>
          <w:trHeight w:val="533"/>
        </w:trPr>
        <w:tc>
          <w:tcPr>
            <w:tcW w:w="6946" w:type="dxa"/>
            <w:gridSpan w:val="2"/>
            <w:vAlign w:val="center"/>
          </w:tcPr>
          <w:p w:rsidR="00271729" w:rsidRDefault="00AD0727">
            <w:pPr>
              <w:spacing w:beforeLines="20" w:before="48" w:afterLines="20" w:after="48"/>
              <w:rPr>
                <w:noProof/>
                <w:sz w:val="22"/>
              </w:rPr>
            </w:pPr>
            <w:r>
              <w:rPr>
                <w:noProof/>
                <w:sz w:val="21"/>
              </w:rPr>
              <w:sym w:font="Wingdings" w:char="F09F"/>
            </w:r>
            <w:r>
              <w:rPr>
                <w:noProof/>
                <w:sz w:val="21"/>
              </w:rPr>
              <w:t xml:space="preserve">ОБЩО бюджетни </w:t>
            </w:r>
            <w:r>
              <w:rPr>
                <w:noProof/>
                <w:sz w:val="21"/>
              </w:rPr>
              <w:t>кредити за административни разходи, финансирани от пакета за определени програми</w:t>
            </w:r>
          </w:p>
        </w:tc>
        <w:tc>
          <w:tcPr>
            <w:tcW w:w="851" w:type="dxa"/>
            <w:vAlign w:val="center"/>
          </w:tcPr>
          <w:p w:rsidR="00271729" w:rsidRDefault="00AD0727">
            <w:pPr>
              <w:spacing w:beforeLines="20" w:before="48" w:afterLines="20" w:after="48"/>
              <w:jc w:val="center"/>
              <w:rPr>
                <w:noProof/>
                <w:sz w:val="14"/>
              </w:rPr>
            </w:pPr>
            <w:r>
              <w:rPr>
                <w:noProof/>
                <w:sz w:val="14"/>
              </w:rPr>
              <w:t>(6)</w:t>
            </w:r>
          </w:p>
        </w:tc>
        <w:tc>
          <w:tcPr>
            <w:tcW w:w="1134" w:type="dxa"/>
            <w:vAlign w:val="center"/>
          </w:tcPr>
          <w:p w:rsidR="00271729" w:rsidRDefault="00AD0727">
            <w:pPr>
              <w:jc w:val="center"/>
              <w:rPr>
                <w:noProof/>
                <w:sz w:val="20"/>
              </w:rPr>
            </w:pPr>
            <w:r>
              <w:rPr>
                <w:noProof/>
                <w:sz w:val="20"/>
              </w:rPr>
              <w:t>0</w:t>
            </w:r>
          </w:p>
        </w:tc>
        <w:tc>
          <w:tcPr>
            <w:tcW w:w="1134" w:type="dxa"/>
            <w:vAlign w:val="center"/>
          </w:tcPr>
          <w:p w:rsidR="00271729" w:rsidRDefault="00AD0727">
            <w:pPr>
              <w:jc w:val="center"/>
              <w:rPr>
                <w:noProof/>
                <w:sz w:val="20"/>
              </w:rPr>
            </w:pPr>
            <w:r>
              <w:rPr>
                <w:noProof/>
                <w:sz w:val="20"/>
              </w:rPr>
              <w:t>0</w:t>
            </w:r>
          </w:p>
        </w:tc>
        <w:tc>
          <w:tcPr>
            <w:tcW w:w="1134" w:type="dxa"/>
            <w:vAlign w:val="center"/>
          </w:tcPr>
          <w:p w:rsidR="00271729" w:rsidRDefault="00AD0727">
            <w:pPr>
              <w:jc w:val="center"/>
              <w:rPr>
                <w:noProof/>
                <w:sz w:val="20"/>
              </w:rPr>
            </w:pPr>
            <w:r>
              <w:rPr>
                <w:noProof/>
                <w:sz w:val="20"/>
              </w:rPr>
              <w:t>0</w:t>
            </w:r>
          </w:p>
        </w:tc>
        <w:tc>
          <w:tcPr>
            <w:tcW w:w="1701" w:type="dxa"/>
            <w:vAlign w:val="center"/>
          </w:tcPr>
          <w:p w:rsidR="00271729" w:rsidRDefault="00AD0727">
            <w:pPr>
              <w:jc w:val="center"/>
              <w:rPr>
                <w:b/>
                <w:noProof/>
                <w:sz w:val="20"/>
              </w:rPr>
            </w:pPr>
            <w:r>
              <w:rPr>
                <w:b/>
                <w:noProof/>
                <w:sz w:val="20"/>
              </w:rPr>
              <w:t>ОБЩО</w:t>
            </w:r>
          </w:p>
        </w:tc>
      </w:tr>
      <w:tr w:rsidR="00271729">
        <w:tc>
          <w:tcPr>
            <w:tcW w:w="5529" w:type="dxa"/>
            <w:vMerge w:val="restart"/>
            <w:shd w:val="thinDiagStripe" w:color="C0C0C0" w:fill="auto"/>
            <w:vAlign w:val="center"/>
          </w:tcPr>
          <w:p w:rsidR="00271729" w:rsidRDefault="00AD0727">
            <w:pPr>
              <w:jc w:val="center"/>
              <w:rPr>
                <w:b/>
                <w:noProof/>
                <w:sz w:val="22"/>
              </w:rPr>
            </w:pPr>
            <w:r>
              <w:rPr>
                <w:b/>
                <w:noProof/>
                <w:sz w:val="22"/>
              </w:rPr>
              <w:t>ОБЩО бюджетни кредити</w:t>
            </w:r>
            <w:r>
              <w:rPr>
                <w:noProof/>
                <w:sz w:val="22"/>
              </w:rPr>
              <w:br/>
            </w:r>
            <w:r>
              <w:rPr>
                <w:b/>
                <w:noProof/>
                <w:sz w:val="22"/>
              </w:rPr>
              <w:t>за ФУНКЦИЯ 3</w:t>
            </w:r>
            <w:r>
              <w:rPr>
                <w:noProof/>
                <w:sz w:val="22"/>
              </w:rPr>
              <w:br/>
              <w:t>от многогодишната финансова рамка</w:t>
            </w:r>
          </w:p>
        </w:tc>
        <w:tc>
          <w:tcPr>
            <w:tcW w:w="1417" w:type="dxa"/>
            <w:vAlign w:val="center"/>
          </w:tcPr>
          <w:p w:rsidR="00271729" w:rsidRDefault="00AD0727">
            <w:pPr>
              <w:rPr>
                <w:noProof/>
                <w:sz w:val="18"/>
              </w:rPr>
            </w:pPr>
            <w:r>
              <w:rPr>
                <w:noProof/>
                <w:sz w:val="18"/>
              </w:rPr>
              <w:t>Поети задължения</w:t>
            </w:r>
          </w:p>
        </w:tc>
        <w:tc>
          <w:tcPr>
            <w:tcW w:w="851" w:type="dxa"/>
            <w:vAlign w:val="center"/>
          </w:tcPr>
          <w:p w:rsidR="00271729" w:rsidRDefault="00AD0727">
            <w:pPr>
              <w:jc w:val="center"/>
              <w:rPr>
                <w:noProof/>
                <w:sz w:val="14"/>
              </w:rPr>
            </w:pPr>
            <w:r>
              <w:rPr>
                <w:noProof/>
                <w:sz w:val="14"/>
              </w:rPr>
              <w:t>=4+ 6</w:t>
            </w:r>
          </w:p>
        </w:tc>
        <w:tc>
          <w:tcPr>
            <w:tcW w:w="1134" w:type="dxa"/>
            <w:vAlign w:val="bottom"/>
          </w:tcPr>
          <w:p w:rsidR="00271729" w:rsidRDefault="00AD0727">
            <w:pPr>
              <w:spacing w:before="20" w:after="20"/>
              <w:jc w:val="right"/>
              <w:rPr>
                <w:noProof/>
                <w:sz w:val="20"/>
              </w:rPr>
            </w:pPr>
            <w:r>
              <w:rPr>
                <w:noProof/>
                <w:sz w:val="20"/>
              </w:rPr>
              <w:t>19,157</w:t>
            </w:r>
          </w:p>
        </w:tc>
        <w:tc>
          <w:tcPr>
            <w:tcW w:w="1134" w:type="dxa"/>
            <w:vAlign w:val="bottom"/>
          </w:tcPr>
          <w:p w:rsidR="00271729" w:rsidRDefault="00AD0727">
            <w:pPr>
              <w:spacing w:before="20" w:after="20"/>
              <w:jc w:val="right"/>
              <w:rPr>
                <w:noProof/>
                <w:sz w:val="20"/>
              </w:rPr>
            </w:pPr>
            <w:r>
              <w:rPr>
                <w:noProof/>
                <w:sz w:val="20"/>
              </w:rPr>
              <w:t>115,200</w:t>
            </w:r>
          </w:p>
        </w:tc>
        <w:tc>
          <w:tcPr>
            <w:tcW w:w="1134" w:type="dxa"/>
            <w:vAlign w:val="bottom"/>
          </w:tcPr>
          <w:p w:rsidR="00271729" w:rsidRDefault="00AD0727">
            <w:pPr>
              <w:spacing w:before="20" w:after="20"/>
              <w:jc w:val="right"/>
              <w:rPr>
                <w:noProof/>
                <w:sz w:val="20"/>
              </w:rPr>
            </w:pPr>
            <w:r>
              <w:rPr>
                <w:noProof/>
                <w:sz w:val="20"/>
              </w:rPr>
              <w:t>122,497</w:t>
            </w:r>
          </w:p>
        </w:tc>
        <w:tc>
          <w:tcPr>
            <w:tcW w:w="1701" w:type="dxa"/>
            <w:vAlign w:val="bottom"/>
          </w:tcPr>
          <w:p w:rsidR="00271729" w:rsidRDefault="00AD0727">
            <w:pPr>
              <w:spacing w:before="20" w:after="20"/>
              <w:jc w:val="right"/>
              <w:rPr>
                <w:b/>
                <w:noProof/>
                <w:sz w:val="20"/>
              </w:rPr>
            </w:pPr>
            <w:r>
              <w:rPr>
                <w:b/>
                <w:noProof/>
                <w:sz w:val="20"/>
              </w:rPr>
              <w:t>256,854</w:t>
            </w:r>
          </w:p>
        </w:tc>
      </w:tr>
      <w:tr w:rsidR="00271729">
        <w:tc>
          <w:tcPr>
            <w:tcW w:w="5529" w:type="dxa"/>
            <w:vMerge/>
            <w:shd w:val="thinDiagStripe" w:color="C0C0C0" w:fill="auto"/>
          </w:tcPr>
          <w:p w:rsidR="00271729" w:rsidRDefault="00271729">
            <w:pPr>
              <w:rPr>
                <w:noProof/>
                <w:sz w:val="20"/>
              </w:rPr>
            </w:pPr>
          </w:p>
        </w:tc>
        <w:tc>
          <w:tcPr>
            <w:tcW w:w="1417" w:type="dxa"/>
            <w:vAlign w:val="center"/>
          </w:tcPr>
          <w:p w:rsidR="00271729" w:rsidRDefault="00AD0727">
            <w:pPr>
              <w:rPr>
                <w:noProof/>
                <w:sz w:val="18"/>
              </w:rPr>
            </w:pPr>
            <w:r>
              <w:rPr>
                <w:noProof/>
                <w:sz w:val="18"/>
              </w:rPr>
              <w:t>Плащания</w:t>
            </w:r>
          </w:p>
        </w:tc>
        <w:tc>
          <w:tcPr>
            <w:tcW w:w="851" w:type="dxa"/>
            <w:vAlign w:val="center"/>
          </w:tcPr>
          <w:p w:rsidR="00271729" w:rsidRDefault="00AD0727">
            <w:pPr>
              <w:jc w:val="center"/>
              <w:rPr>
                <w:noProof/>
                <w:sz w:val="14"/>
              </w:rPr>
            </w:pPr>
            <w:r>
              <w:rPr>
                <w:noProof/>
                <w:sz w:val="14"/>
              </w:rPr>
              <w:t>=5+ 6</w:t>
            </w:r>
          </w:p>
        </w:tc>
        <w:tc>
          <w:tcPr>
            <w:tcW w:w="1134" w:type="dxa"/>
            <w:vAlign w:val="bottom"/>
          </w:tcPr>
          <w:p w:rsidR="00271729" w:rsidRDefault="00AD0727">
            <w:pPr>
              <w:spacing w:before="20" w:after="20"/>
              <w:jc w:val="right"/>
              <w:rPr>
                <w:noProof/>
                <w:sz w:val="20"/>
              </w:rPr>
            </w:pPr>
            <w:r>
              <w:rPr>
                <w:noProof/>
                <w:sz w:val="20"/>
              </w:rPr>
              <w:t>11,000</w:t>
            </w:r>
          </w:p>
        </w:tc>
        <w:tc>
          <w:tcPr>
            <w:tcW w:w="1134" w:type="dxa"/>
            <w:vAlign w:val="bottom"/>
          </w:tcPr>
          <w:p w:rsidR="00271729" w:rsidRDefault="00AD0727">
            <w:pPr>
              <w:spacing w:before="20" w:after="20"/>
              <w:jc w:val="right"/>
              <w:rPr>
                <w:noProof/>
                <w:sz w:val="20"/>
              </w:rPr>
            </w:pPr>
            <w:r>
              <w:rPr>
                <w:noProof/>
                <w:sz w:val="20"/>
              </w:rPr>
              <w:t>56,560</w:t>
            </w:r>
          </w:p>
        </w:tc>
        <w:tc>
          <w:tcPr>
            <w:tcW w:w="1134" w:type="dxa"/>
            <w:vAlign w:val="bottom"/>
          </w:tcPr>
          <w:p w:rsidR="00271729" w:rsidRDefault="00AD0727">
            <w:pPr>
              <w:spacing w:before="20" w:after="20"/>
              <w:jc w:val="right"/>
              <w:rPr>
                <w:noProof/>
                <w:sz w:val="20"/>
              </w:rPr>
            </w:pPr>
            <w:r>
              <w:rPr>
                <w:noProof/>
                <w:sz w:val="20"/>
              </w:rPr>
              <w:t>115,395</w:t>
            </w:r>
          </w:p>
        </w:tc>
        <w:tc>
          <w:tcPr>
            <w:tcW w:w="1701" w:type="dxa"/>
            <w:vAlign w:val="bottom"/>
          </w:tcPr>
          <w:p w:rsidR="00271729" w:rsidRDefault="00AD0727">
            <w:pPr>
              <w:spacing w:before="20" w:after="20"/>
              <w:jc w:val="right"/>
              <w:rPr>
                <w:b/>
                <w:noProof/>
                <w:sz w:val="20"/>
              </w:rPr>
            </w:pPr>
            <w:r>
              <w:rPr>
                <w:b/>
                <w:noProof/>
                <w:sz w:val="20"/>
              </w:rPr>
              <w:t>182,955</w:t>
            </w:r>
          </w:p>
        </w:tc>
      </w:tr>
    </w:tbl>
    <w:p w:rsidR="00271729" w:rsidRDefault="00271729">
      <w:pPr>
        <w:rPr>
          <w:noProof/>
        </w:rPr>
      </w:pPr>
    </w:p>
    <w:p w:rsidR="00271729" w:rsidRDefault="00271729">
      <w:pPr>
        <w:rPr>
          <w:noProof/>
        </w:rPr>
      </w:pPr>
    </w:p>
    <w:p w:rsidR="00271729" w:rsidRDefault="00AD0727">
      <w:pPr>
        <w:jc w:val="right"/>
        <w:rPr>
          <w:noProof/>
          <w:sz w:val="20"/>
        </w:rPr>
      </w:pPr>
      <w:r>
        <w:rPr>
          <w:noProof/>
          <w:sz w:val="20"/>
        </w:rPr>
        <w:t>млн. EUR (до 3-тия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71729">
        <w:trPr>
          <w:jc w:val="center"/>
        </w:trPr>
        <w:tc>
          <w:tcPr>
            <w:tcW w:w="4744" w:type="dxa"/>
            <w:shd w:val="thinDiagStripe" w:color="C0C0C0" w:fill="auto"/>
            <w:vAlign w:val="center"/>
          </w:tcPr>
          <w:p w:rsidR="00271729" w:rsidRDefault="00AD0727">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rsidR="00271729" w:rsidRDefault="00AD0727">
            <w:pPr>
              <w:spacing w:before="60" w:after="60"/>
              <w:jc w:val="center"/>
              <w:rPr>
                <w:noProof/>
                <w:sz w:val="22"/>
              </w:rPr>
            </w:pPr>
            <w:r>
              <w:rPr>
                <w:noProof/>
                <w:sz w:val="22"/>
              </w:rPr>
              <w:t>Номер</w:t>
            </w:r>
          </w:p>
        </w:tc>
        <w:tc>
          <w:tcPr>
            <w:tcW w:w="7817" w:type="dxa"/>
            <w:vAlign w:val="center"/>
          </w:tcPr>
          <w:p w:rsidR="00271729" w:rsidRDefault="00AD0727">
            <w:pPr>
              <w:spacing w:before="60" w:after="60"/>
              <w:rPr>
                <w:noProof/>
                <w:sz w:val="22"/>
              </w:rPr>
            </w:pPr>
            <w:r>
              <w:rPr>
                <w:noProof/>
              </w:rPr>
              <w:t>Функция 4 — Глобална Европа</w:t>
            </w:r>
          </w:p>
        </w:tc>
      </w:tr>
    </w:tbl>
    <w:p w:rsidR="00271729" w:rsidRDefault="00271729">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271729">
        <w:trPr>
          <w:jc w:val="center"/>
        </w:trPr>
        <w:tc>
          <w:tcPr>
            <w:tcW w:w="5543" w:type="dxa"/>
            <w:vAlign w:val="center"/>
          </w:tcPr>
          <w:p w:rsidR="00271729" w:rsidRDefault="00AD0727">
            <w:pPr>
              <w:jc w:val="center"/>
              <w:rPr>
                <w:b/>
                <w:noProof/>
                <w:sz w:val="22"/>
              </w:rPr>
            </w:pPr>
            <w:r>
              <w:rPr>
                <w:b/>
                <w:noProof/>
                <w:sz w:val="22"/>
              </w:rPr>
              <w:t>ГД: „Европейска гражданска защита и европейски операции за хуманитарна помощ“</w:t>
            </w:r>
          </w:p>
        </w:tc>
        <w:tc>
          <w:tcPr>
            <w:tcW w:w="1417" w:type="dxa"/>
          </w:tcPr>
          <w:p w:rsidR="00271729" w:rsidRDefault="00271729">
            <w:pPr>
              <w:rPr>
                <w:noProof/>
                <w:sz w:val="20"/>
              </w:rPr>
            </w:pPr>
          </w:p>
        </w:tc>
        <w:tc>
          <w:tcPr>
            <w:tcW w:w="851" w:type="dxa"/>
          </w:tcPr>
          <w:p w:rsidR="00271729" w:rsidRDefault="00271729">
            <w:pPr>
              <w:jc w:val="center"/>
              <w:rPr>
                <w:noProof/>
                <w:sz w:val="20"/>
              </w:rPr>
            </w:pPr>
          </w:p>
        </w:tc>
        <w:tc>
          <w:tcPr>
            <w:tcW w:w="1134" w:type="dxa"/>
            <w:vAlign w:val="center"/>
          </w:tcPr>
          <w:p w:rsidR="00271729" w:rsidRDefault="00AD0727">
            <w:pPr>
              <w:jc w:val="center"/>
              <w:rPr>
                <w:noProof/>
                <w:sz w:val="20"/>
              </w:rPr>
            </w:pPr>
            <w:r>
              <w:rPr>
                <w:noProof/>
                <w:sz w:val="20"/>
              </w:rPr>
              <w:t>2018 г.</w:t>
            </w:r>
          </w:p>
        </w:tc>
        <w:tc>
          <w:tcPr>
            <w:tcW w:w="1134" w:type="dxa"/>
            <w:vAlign w:val="center"/>
          </w:tcPr>
          <w:p w:rsidR="00271729" w:rsidRDefault="00AD0727">
            <w:pPr>
              <w:jc w:val="center"/>
              <w:rPr>
                <w:noProof/>
                <w:sz w:val="20"/>
              </w:rPr>
            </w:pPr>
            <w:r>
              <w:rPr>
                <w:noProof/>
                <w:sz w:val="20"/>
              </w:rPr>
              <w:t>2019 г.</w:t>
            </w:r>
          </w:p>
        </w:tc>
        <w:tc>
          <w:tcPr>
            <w:tcW w:w="1134" w:type="dxa"/>
            <w:vAlign w:val="center"/>
          </w:tcPr>
          <w:p w:rsidR="00271729" w:rsidRDefault="00AD0727">
            <w:pPr>
              <w:jc w:val="center"/>
              <w:rPr>
                <w:noProof/>
                <w:sz w:val="20"/>
              </w:rPr>
            </w:pPr>
            <w:r>
              <w:rPr>
                <w:noProof/>
                <w:sz w:val="20"/>
              </w:rPr>
              <w:t>2020 г.</w:t>
            </w:r>
          </w:p>
        </w:tc>
        <w:tc>
          <w:tcPr>
            <w:tcW w:w="1777" w:type="dxa"/>
            <w:vAlign w:val="center"/>
          </w:tcPr>
          <w:p w:rsidR="00271729" w:rsidRDefault="00AD0727">
            <w:pPr>
              <w:jc w:val="center"/>
              <w:rPr>
                <w:b/>
                <w:noProof/>
                <w:sz w:val="20"/>
              </w:rPr>
            </w:pPr>
            <w:r>
              <w:rPr>
                <w:b/>
                <w:noProof/>
                <w:sz w:val="20"/>
              </w:rPr>
              <w:t>ОБЩО</w:t>
            </w:r>
          </w:p>
        </w:tc>
      </w:tr>
      <w:tr w:rsidR="00271729">
        <w:trPr>
          <w:trHeight w:val="213"/>
          <w:jc w:val="center"/>
        </w:trPr>
        <w:tc>
          <w:tcPr>
            <w:tcW w:w="7811" w:type="dxa"/>
            <w:gridSpan w:val="3"/>
            <w:vAlign w:val="center"/>
          </w:tcPr>
          <w:p w:rsidR="00271729" w:rsidRDefault="00AD0727">
            <w:pPr>
              <w:spacing w:before="20" w:after="20"/>
              <w:rPr>
                <w:noProof/>
                <w:sz w:val="21"/>
              </w:rPr>
            </w:pPr>
            <w:r>
              <w:rPr>
                <w:noProof/>
                <w:sz w:val="21"/>
              </w:rPr>
              <w:sym w:font="Wingdings" w:char="F09F"/>
            </w:r>
            <w:r>
              <w:rPr>
                <w:noProof/>
                <w:sz w:val="21"/>
              </w:rPr>
              <w:t>Бюджетни кредити за оперативни разходи</w:t>
            </w:r>
          </w:p>
        </w:tc>
        <w:tc>
          <w:tcPr>
            <w:tcW w:w="1134" w:type="dxa"/>
            <w:vAlign w:val="center"/>
          </w:tcPr>
          <w:p w:rsidR="00271729" w:rsidRDefault="00271729">
            <w:pPr>
              <w:rPr>
                <w:noProof/>
                <w:sz w:val="20"/>
              </w:rPr>
            </w:pPr>
          </w:p>
        </w:tc>
        <w:tc>
          <w:tcPr>
            <w:tcW w:w="1134" w:type="dxa"/>
            <w:vAlign w:val="center"/>
          </w:tcPr>
          <w:p w:rsidR="00271729" w:rsidRDefault="00271729">
            <w:pPr>
              <w:rPr>
                <w:noProof/>
                <w:sz w:val="20"/>
              </w:rPr>
            </w:pPr>
          </w:p>
        </w:tc>
        <w:tc>
          <w:tcPr>
            <w:tcW w:w="1134" w:type="dxa"/>
            <w:vAlign w:val="center"/>
          </w:tcPr>
          <w:p w:rsidR="00271729" w:rsidRDefault="00271729">
            <w:pPr>
              <w:rPr>
                <w:noProof/>
                <w:sz w:val="20"/>
              </w:rPr>
            </w:pPr>
          </w:p>
        </w:tc>
        <w:tc>
          <w:tcPr>
            <w:tcW w:w="1777" w:type="dxa"/>
            <w:vAlign w:val="center"/>
          </w:tcPr>
          <w:p w:rsidR="00271729" w:rsidRDefault="00271729">
            <w:pPr>
              <w:rPr>
                <w:b/>
                <w:noProof/>
                <w:sz w:val="20"/>
              </w:rPr>
            </w:pPr>
          </w:p>
        </w:tc>
      </w:tr>
      <w:tr w:rsidR="00271729">
        <w:trPr>
          <w:trHeight w:val="277"/>
          <w:jc w:val="center"/>
        </w:trPr>
        <w:tc>
          <w:tcPr>
            <w:tcW w:w="5543" w:type="dxa"/>
            <w:vMerge w:val="restart"/>
            <w:vAlign w:val="center"/>
          </w:tcPr>
          <w:p w:rsidR="00271729" w:rsidRDefault="00AD0727">
            <w:pPr>
              <w:rPr>
                <w:noProof/>
                <w:sz w:val="22"/>
              </w:rPr>
            </w:pPr>
            <w:r>
              <w:rPr>
                <w:noProof/>
                <w:sz w:val="20"/>
              </w:rPr>
              <w:t>23 03 01 02</w:t>
            </w:r>
          </w:p>
        </w:tc>
        <w:tc>
          <w:tcPr>
            <w:tcW w:w="1417" w:type="dxa"/>
            <w:vAlign w:val="center"/>
          </w:tcPr>
          <w:p w:rsidR="00271729" w:rsidRDefault="00AD0727">
            <w:pPr>
              <w:spacing w:before="20" w:after="20"/>
              <w:rPr>
                <w:noProof/>
                <w:sz w:val="18"/>
              </w:rPr>
            </w:pPr>
            <w:r>
              <w:rPr>
                <w:noProof/>
                <w:sz w:val="18"/>
              </w:rPr>
              <w:t>Поети задължения</w:t>
            </w:r>
          </w:p>
        </w:tc>
        <w:tc>
          <w:tcPr>
            <w:tcW w:w="851" w:type="dxa"/>
            <w:vAlign w:val="center"/>
          </w:tcPr>
          <w:p w:rsidR="00271729" w:rsidRDefault="00AD0727">
            <w:pPr>
              <w:spacing w:before="20" w:after="20"/>
              <w:jc w:val="center"/>
              <w:rPr>
                <w:noProof/>
                <w:sz w:val="14"/>
              </w:rPr>
            </w:pPr>
            <w:r>
              <w:rPr>
                <w:noProof/>
                <w:sz w:val="14"/>
              </w:rPr>
              <w:t>(1)</w:t>
            </w:r>
          </w:p>
        </w:tc>
        <w:tc>
          <w:tcPr>
            <w:tcW w:w="1134" w:type="dxa"/>
            <w:vAlign w:val="center"/>
          </w:tcPr>
          <w:p w:rsidR="00271729" w:rsidRDefault="00AD0727">
            <w:pPr>
              <w:spacing w:before="20" w:after="20"/>
              <w:jc w:val="right"/>
              <w:rPr>
                <w:noProof/>
                <w:sz w:val="20"/>
              </w:rPr>
            </w:pPr>
            <w:r>
              <w:rPr>
                <w:noProof/>
                <w:sz w:val="20"/>
              </w:rPr>
              <w:t>-</w:t>
            </w:r>
          </w:p>
        </w:tc>
        <w:tc>
          <w:tcPr>
            <w:tcW w:w="1134" w:type="dxa"/>
            <w:vAlign w:val="center"/>
          </w:tcPr>
          <w:p w:rsidR="00271729" w:rsidRDefault="00AD0727">
            <w:pPr>
              <w:spacing w:before="20" w:after="20"/>
              <w:jc w:val="right"/>
              <w:rPr>
                <w:noProof/>
                <w:sz w:val="20"/>
              </w:rPr>
            </w:pPr>
            <w:r>
              <w:rPr>
                <w:noProof/>
                <w:sz w:val="20"/>
              </w:rPr>
              <w:t>-</w:t>
            </w:r>
          </w:p>
        </w:tc>
        <w:tc>
          <w:tcPr>
            <w:tcW w:w="1134" w:type="dxa"/>
            <w:vAlign w:val="center"/>
          </w:tcPr>
          <w:p w:rsidR="00271729" w:rsidRDefault="00AD0727">
            <w:pPr>
              <w:spacing w:before="20" w:after="20"/>
              <w:jc w:val="right"/>
              <w:rPr>
                <w:noProof/>
                <w:sz w:val="20"/>
              </w:rPr>
            </w:pPr>
            <w:r>
              <w:rPr>
                <w:noProof/>
                <w:sz w:val="20"/>
              </w:rPr>
              <w:t>-</w:t>
            </w:r>
          </w:p>
        </w:tc>
        <w:tc>
          <w:tcPr>
            <w:tcW w:w="1777" w:type="dxa"/>
            <w:vAlign w:val="center"/>
          </w:tcPr>
          <w:p w:rsidR="00271729" w:rsidRDefault="00AD0727">
            <w:pPr>
              <w:spacing w:before="20" w:after="20"/>
              <w:jc w:val="right"/>
              <w:rPr>
                <w:b/>
                <w:noProof/>
                <w:sz w:val="20"/>
              </w:rPr>
            </w:pPr>
            <w:r>
              <w:rPr>
                <w:b/>
                <w:noProof/>
                <w:sz w:val="20"/>
              </w:rPr>
              <w:t>-</w:t>
            </w:r>
          </w:p>
        </w:tc>
      </w:tr>
      <w:tr w:rsidR="00271729">
        <w:trPr>
          <w:jc w:val="center"/>
        </w:trPr>
        <w:tc>
          <w:tcPr>
            <w:tcW w:w="5543" w:type="dxa"/>
            <w:vMerge/>
          </w:tcPr>
          <w:p w:rsidR="00271729" w:rsidRDefault="00271729">
            <w:pPr>
              <w:jc w:val="center"/>
              <w:rPr>
                <w:noProof/>
                <w:sz w:val="20"/>
              </w:rPr>
            </w:pPr>
          </w:p>
        </w:tc>
        <w:tc>
          <w:tcPr>
            <w:tcW w:w="1417" w:type="dxa"/>
            <w:vAlign w:val="center"/>
          </w:tcPr>
          <w:p w:rsidR="00271729" w:rsidRDefault="00AD0727">
            <w:pPr>
              <w:spacing w:before="20" w:after="20"/>
              <w:rPr>
                <w:noProof/>
                <w:sz w:val="18"/>
              </w:rPr>
            </w:pPr>
            <w:r>
              <w:rPr>
                <w:noProof/>
                <w:sz w:val="18"/>
              </w:rPr>
              <w:t>Плащания</w:t>
            </w:r>
          </w:p>
        </w:tc>
        <w:tc>
          <w:tcPr>
            <w:tcW w:w="851" w:type="dxa"/>
            <w:vAlign w:val="center"/>
          </w:tcPr>
          <w:p w:rsidR="00271729" w:rsidRDefault="00AD0727">
            <w:pPr>
              <w:spacing w:before="20" w:after="20"/>
              <w:jc w:val="center"/>
              <w:rPr>
                <w:noProof/>
                <w:sz w:val="14"/>
              </w:rPr>
            </w:pPr>
            <w:r>
              <w:rPr>
                <w:noProof/>
                <w:sz w:val="14"/>
              </w:rPr>
              <w:t>(2)</w:t>
            </w:r>
          </w:p>
        </w:tc>
        <w:tc>
          <w:tcPr>
            <w:tcW w:w="1134" w:type="dxa"/>
            <w:vAlign w:val="center"/>
          </w:tcPr>
          <w:p w:rsidR="00271729" w:rsidRDefault="00AD0727">
            <w:pPr>
              <w:spacing w:before="20" w:after="20"/>
              <w:jc w:val="right"/>
              <w:rPr>
                <w:noProof/>
                <w:sz w:val="20"/>
              </w:rPr>
            </w:pPr>
            <w:r>
              <w:rPr>
                <w:noProof/>
                <w:sz w:val="20"/>
              </w:rPr>
              <w:t>-</w:t>
            </w:r>
          </w:p>
        </w:tc>
        <w:tc>
          <w:tcPr>
            <w:tcW w:w="1134" w:type="dxa"/>
            <w:vAlign w:val="center"/>
          </w:tcPr>
          <w:p w:rsidR="00271729" w:rsidRDefault="00AD0727">
            <w:pPr>
              <w:spacing w:before="20" w:after="20"/>
              <w:jc w:val="right"/>
              <w:rPr>
                <w:noProof/>
                <w:sz w:val="20"/>
              </w:rPr>
            </w:pPr>
            <w:r>
              <w:rPr>
                <w:noProof/>
                <w:sz w:val="20"/>
              </w:rPr>
              <w:t>-</w:t>
            </w:r>
          </w:p>
        </w:tc>
        <w:tc>
          <w:tcPr>
            <w:tcW w:w="1134" w:type="dxa"/>
            <w:vAlign w:val="center"/>
          </w:tcPr>
          <w:p w:rsidR="00271729" w:rsidRDefault="00AD0727">
            <w:pPr>
              <w:spacing w:before="20" w:after="20"/>
              <w:jc w:val="right"/>
              <w:rPr>
                <w:noProof/>
                <w:sz w:val="20"/>
              </w:rPr>
            </w:pPr>
            <w:r>
              <w:rPr>
                <w:noProof/>
                <w:sz w:val="20"/>
              </w:rPr>
              <w:t>-</w:t>
            </w:r>
          </w:p>
        </w:tc>
        <w:tc>
          <w:tcPr>
            <w:tcW w:w="1777" w:type="dxa"/>
            <w:vAlign w:val="center"/>
          </w:tcPr>
          <w:p w:rsidR="00271729" w:rsidRDefault="00AD0727">
            <w:pPr>
              <w:spacing w:before="20" w:after="20"/>
              <w:jc w:val="right"/>
              <w:rPr>
                <w:b/>
                <w:noProof/>
                <w:sz w:val="20"/>
              </w:rPr>
            </w:pPr>
            <w:r>
              <w:rPr>
                <w:b/>
                <w:noProof/>
                <w:sz w:val="20"/>
              </w:rPr>
              <w:t>-</w:t>
            </w:r>
          </w:p>
        </w:tc>
      </w:tr>
      <w:tr w:rsidR="00271729">
        <w:trPr>
          <w:jc w:val="center"/>
        </w:trPr>
        <w:tc>
          <w:tcPr>
            <w:tcW w:w="5543" w:type="dxa"/>
            <w:vMerge w:val="restart"/>
            <w:vAlign w:val="center"/>
          </w:tcPr>
          <w:p w:rsidR="00271729" w:rsidRDefault="00AD0727">
            <w:pPr>
              <w:rPr>
                <w:noProof/>
                <w:sz w:val="22"/>
              </w:rPr>
            </w:pPr>
            <w:r>
              <w:rPr>
                <w:noProof/>
                <w:sz w:val="20"/>
              </w:rPr>
              <w:t>23 03 02 02</w:t>
            </w:r>
          </w:p>
        </w:tc>
        <w:tc>
          <w:tcPr>
            <w:tcW w:w="1417" w:type="dxa"/>
            <w:vAlign w:val="center"/>
          </w:tcPr>
          <w:p w:rsidR="00271729" w:rsidRDefault="00AD0727">
            <w:pPr>
              <w:spacing w:before="20" w:after="20"/>
              <w:rPr>
                <w:noProof/>
                <w:sz w:val="18"/>
              </w:rPr>
            </w:pPr>
            <w:r>
              <w:rPr>
                <w:noProof/>
                <w:sz w:val="18"/>
              </w:rPr>
              <w:t>Поети задължения</w:t>
            </w:r>
          </w:p>
        </w:tc>
        <w:tc>
          <w:tcPr>
            <w:tcW w:w="851" w:type="dxa"/>
            <w:vAlign w:val="center"/>
          </w:tcPr>
          <w:p w:rsidR="00271729" w:rsidRDefault="00AD0727">
            <w:pPr>
              <w:spacing w:before="20" w:after="20"/>
              <w:jc w:val="center"/>
              <w:rPr>
                <w:noProof/>
                <w:sz w:val="14"/>
              </w:rPr>
            </w:pPr>
            <w:r>
              <w:rPr>
                <w:noProof/>
                <w:sz w:val="14"/>
              </w:rPr>
              <w:t>(1а)</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2,284</w:t>
            </w:r>
          </w:p>
        </w:tc>
        <w:tc>
          <w:tcPr>
            <w:tcW w:w="1777" w:type="dxa"/>
            <w:vAlign w:val="center"/>
          </w:tcPr>
          <w:p w:rsidR="00271729" w:rsidRDefault="00AD0727">
            <w:pPr>
              <w:spacing w:before="20" w:after="20"/>
              <w:jc w:val="right"/>
              <w:rPr>
                <w:b/>
                <w:noProof/>
                <w:sz w:val="20"/>
              </w:rPr>
            </w:pPr>
            <w:r>
              <w:rPr>
                <w:b/>
                <w:noProof/>
                <w:sz w:val="20"/>
              </w:rPr>
              <w:t>6,284</w:t>
            </w:r>
          </w:p>
        </w:tc>
      </w:tr>
      <w:tr w:rsidR="00271729">
        <w:trPr>
          <w:jc w:val="center"/>
        </w:trPr>
        <w:tc>
          <w:tcPr>
            <w:tcW w:w="5543" w:type="dxa"/>
            <w:vMerge/>
          </w:tcPr>
          <w:p w:rsidR="00271729" w:rsidRDefault="00271729">
            <w:pPr>
              <w:jc w:val="center"/>
              <w:rPr>
                <w:noProof/>
                <w:sz w:val="20"/>
              </w:rPr>
            </w:pPr>
          </w:p>
        </w:tc>
        <w:tc>
          <w:tcPr>
            <w:tcW w:w="1417" w:type="dxa"/>
            <w:vAlign w:val="center"/>
          </w:tcPr>
          <w:p w:rsidR="00271729" w:rsidRDefault="00AD0727">
            <w:pPr>
              <w:spacing w:before="20" w:after="20"/>
              <w:rPr>
                <w:noProof/>
                <w:sz w:val="18"/>
              </w:rPr>
            </w:pPr>
            <w:r>
              <w:rPr>
                <w:noProof/>
                <w:sz w:val="18"/>
              </w:rPr>
              <w:t>Плащания</w:t>
            </w:r>
          </w:p>
        </w:tc>
        <w:tc>
          <w:tcPr>
            <w:tcW w:w="851" w:type="dxa"/>
            <w:vAlign w:val="center"/>
          </w:tcPr>
          <w:p w:rsidR="00271729" w:rsidRDefault="00AD0727">
            <w:pPr>
              <w:spacing w:before="20" w:after="20"/>
              <w:jc w:val="center"/>
              <w:rPr>
                <w:noProof/>
                <w:sz w:val="14"/>
              </w:rPr>
            </w:pPr>
            <w:r>
              <w:rPr>
                <w:noProof/>
                <w:sz w:val="14"/>
              </w:rPr>
              <w:t>(2а)</w:t>
            </w:r>
          </w:p>
        </w:tc>
        <w:tc>
          <w:tcPr>
            <w:tcW w:w="1134" w:type="dxa"/>
            <w:vAlign w:val="bottom"/>
          </w:tcPr>
          <w:p w:rsidR="00271729" w:rsidRDefault="00AD0727">
            <w:pPr>
              <w:spacing w:before="20" w:after="20"/>
              <w:jc w:val="right"/>
              <w:rPr>
                <w:noProof/>
                <w:sz w:val="20"/>
              </w:rPr>
            </w:pPr>
            <w:r>
              <w:rPr>
                <w:noProof/>
                <w:sz w:val="20"/>
              </w:rPr>
              <w:t>0,8</w:t>
            </w:r>
          </w:p>
        </w:tc>
        <w:tc>
          <w:tcPr>
            <w:tcW w:w="1134" w:type="dxa"/>
            <w:vAlign w:val="bottom"/>
          </w:tcPr>
          <w:p w:rsidR="00271729" w:rsidRDefault="00AD0727">
            <w:pPr>
              <w:spacing w:before="20" w:after="20"/>
              <w:jc w:val="right"/>
              <w:rPr>
                <w:noProof/>
                <w:sz w:val="20"/>
              </w:rPr>
            </w:pPr>
            <w:r>
              <w:rPr>
                <w:noProof/>
                <w:sz w:val="20"/>
              </w:rPr>
              <w:t>1,8</w:t>
            </w:r>
          </w:p>
        </w:tc>
        <w:tc>
          <w:tcPr>
            <w:tcW w:w="1134" w:type="dxa"/>
            <w:vAlign w:val="bottom"/>
          </w:tcPr>
          <w:p w:rsidR="00271729" w:rsidRDefault="00AD0727">
            <w:pPr>
              <w:spacing w:before="20" w:after="20"/>
              <w:jc w:val="right"/>
              <w:rPr>
                <w:noProof/>
                <w:sz w:val="20"/>
              </w:rPr>
            </w:pPr>
            <w:r>
              <w:rPr>
                <w:noProof/>
                <w:sz w:val="20"/>
              </w:rPr>
              <w:t>2,014</w:t>
            </w:r>
          </w:p>
        </w:tc>
        <w:tc>
          <w:tcPr>
            <w:tcW w:w="1777" w:type="dxa"/>
            <w:vAlign w:val="center"/>
          </w:tcPr>
          <w:p w:rsidR="00271729" w:rsidRDefault="00AD0727">
            <w:pPr>
              <w:spacing w:before="20" w:after="20"/>
              <w:jc w:val="right"/>
              <w:rPr>
                <w:b/>
                <w:noProof/>
                <w:sz w:val="20"/>
              </w:rPr>
            </w:pPr>
            <w:r>
              <w:rPr>
                <w:b/>
                <w:noProof/>
                <w:sz w:val="20"/>
              </w:rPr>
              <w:t>4,614</w:t>
            </w:r>
          </w:p>
        </w:tc>
      </w:tr>
      <w:tr w:rsidR="00271729">
        <w:trPr>
          <w:trHeight w:val="231"/>
          <w:jc w:val="center"/>
        </w:trPr>
        <w:tc>
          <w:tcPr>
            <w:tcW w:w="7811" w:type="dxa"/>
            <w:gridSpan w:val="3"/>
            <w:vAlign w:val="center"/>
          </w:tcPr>
          <w:p w:rsidR="00271729" w:rsidRDefault="00AD0727">
            <w:pPr>
              <w:spacing w:before="20" w:after="20"/>
              <w:rPr>
                <w:noProof/>
                <w:sz w:val="22"/>
              </w:rPr>
            </w:pPr>
            <w:r>
              <w:rPr>
                <w:noProof/>
                <w:sz w:val="21"/>
              </w:rPr>
              <w:t xml:space="preserve">Бюджетни кредити за административни разходи, финансирани </w:t>
            </w:r>
            <w:r>
              <w:rPr>
                <w:noProof/>
                <w:sz w:val="21"/>
              </w:rPr>
              <w:t>от пакета за определени програми</w:t>
            </w:r>
            <w:r>
              <w:rPr>
                <w:rStyle w:val="FootnoteReference"/>
                <w:noProof/>
              </w:rPr>
              <w:footnoteReference w:id="24"/>
            </w:r>
            <w:r>
              <w:rPr>
                <w:noProof/>
                <w:sz w:val="21"/>
              </w:rPr>
              <w:t xml:space="preserve"> </w:t>
            </w:r>
          </w:p>
          <w:p w:rsidR="00271729" w:rsidRDefault="00271729">
            <w:pPr>
              <w:spacing w:before="0" w:after="0"/>
              <w:rPr>
                <w:noProof/>
                <w:sz w:val="22"/>
              </w:rPr>
            </w:pPr>
          </w:p>
        </w:tc>
        <w:tc>
          <w:tcPr>
            <w:tcW w:w="1134" w:type="dxa"/>
            <w:vAlign w:val="center"/>
          </w:tcPr>
          <w:p w:rsidR="00271729" w:rsidRDefault="00271729">
            <w:pPr>
              <w:rPr>
                <w:b/>
                <w:noProof/>
                <w:sz w:val="20"/>
              </w:rPr>
            </w:pPr>
          </w:p>
        </w:tc>
        <w:tc>
          <w:tcPr>
            <w:tcW w:w="1134" w:type="dxa"/>
            <w:vAlign w:val="center"/>
          </w:tcPr>
          <w:p w:rsidR="00271729" w:rsidRDefault="00271729">
            <w:pPr>
              <w:rPr>
                <w:b/>
                <w:noProof/>
                <w:sz w:val="20"/>
              </w:rPr>
            </w:pPr>
          </w:p>
        </w:tc>
        <w:tc>
          <w:tcPr>
            <w:tcW w:w="1134" w:type="dxa"/>
            <w:vAlign w:val="center"/>
          </w:tcPr>
          <w:p w:rsidR="00271729" w:rsidRDefault="00271729">
            <w:pPr>
              <w:rPr>
                <w:b/>
                <w:noProof/>
                <w:sz w:val="20"/>
              </w:rPr>
            </w:pPr>
          </w:p>
        </w:tc>
        <w:tc>
          <w:tcPr>
            <w:tcW w:w="1777" w:type="dxa"/>
            <w:vAlign w:val="center"/>
          </w:tcPr>
          <w:p w:rsidR="00271729" w:rsidRDefault="00271729">
            <w:pPr>
              <w:rPr>
                <w:b/>
                <w:noProof/>
                <w:sz w:val="20"/>
              </w:rPr>
            </w:pPr>
          </w:p>
        </w:tc>
      </w:tr>
      <w:tr w:rsidR="00271729">
        <w:trPr>
          <w:trHeight w:val="319"/>
          <w:jc w:val="center"/>
        </w:trPr>
        <w:tc>
          <w:tcPr>
            <w:tcW w:w="5543" w:type="dxa"/>
            <w:vAlign w:val="center"/>
          </w:tcPr>
          <w:p w:rsidR="00271729" w:rsidRDefault="00AD0727">
            <w:pPr>
              <w:spacing w:before="60" w:after="60"/>
              <w:rPr>
                <w:noProof/>
                <w:sz w:val="22"/>
              </w:rPr>
            </w:pPr>
            <w:r>
              <w:rPr>
                <w:noProof/>
                <w:sz w:val="20"/>
              </w:rPr>
              <w:t>Номер на бюджетния ред</w:t>
            </w:r>
          </w:p>
        </w:tc>
        <w:tc>
          <w:tcPr>
            <w:tcW w:w="1417" w:type="dxa"/>
            <w:vAlign w:val="center"/>
          </w:tcPr>
          <w:p w:rsidR="00271729" w:rsidRDefault="00271729">
            <w:pPr>
              <w:spacing w:before="40" w:after="40"/>
              <w:jc w:val="right"/>
              <w:rPr>
                <w:noProof/>
                <w:sz w:val="18"/>
              </w:rPr>
            </w:pPr>
          </w:p>
        </w:tc>
        <w:tc>
          <w:tcPr>
            <w:tcW w:w="851" w:type="dxa"/>
            <w:vAlign w:val="center"/>
          </w:tcPr>
          <w:p w:rsidR="00271729" w:rsidRDefault="00AD0727">
            <w:pPr>
              <w:spacing w:before="40" w:after="40"/>
              <w:jc w:val="center"/>
              <w:rPr>
                <w:noProof/>
                <w:sz w:val="14"/>
              </w:rPr>
            </w:pPr>
            <w:r>
              <w:rPr>
                <w:noProof/>
                <w:sz w:val="14"/>
              </w:rPr>
              <w:t>(3)</w:t>
            </w:r>
          </w:p>
        </w:tc>
        <w:tc>
          <w:tcPr>
            <w:tcW w:w="1134" w:type="dxa"/>
            <w:vAlign w:val="center"/>
          </w:tcPr>
          <w:p w:rsidR="00271729" w:rsidRDefault="00AD0727">
            <w:pPr>
              <w:jc w:val="center"/>
              <w:rPr>
                <w:noProof/>
                <w:sz w:val="20"/>
              </w:rPr>
            </w:pPr>
            <w:r>
              <w:rPr>
                <w:noProof/>
                <w:sz w:val="20"/>
              </w:rPr>
              <w:t>2018 г.</w:t>
            </w:r>
          </w:p>
        </w:tc>
        <w:tc>
          <w:tcPr>
            <w:tcW w:w="1134" w:type="dxa"/>
            <w:vAlign w:val="center"/>
          </w:tcPr>
          <w:p w:rsidR="00271729" w:rsidRDefault="00AD0727">
            <w:pPr>
              <w:jc w:val="center"/>
              <w:rPr>
                <w:noProof/>
                <w:sz w:val="20"/>
              </w:rPr>
            </w:pPr>
            <w:r>
              <w:rPr>
                <w:noProof/>
                <w:sz w:val="20"/>
              </w:rPr>
              <w:t>2019 г.</w:t>
            </w:r>
          </w:p>
        </w:tc>
        <w:tc>
          <w:tcPr>
            <w:tcW w:w="1134" w:type="dxa"/>
            <w:vAlign w:val="center"/>
          </w:tcPr>
          <w:p w:rsidR="00271729" w:rsidRDefault="00AD0727">
            <w:pPr>
              <w:jc w:val="center"/>
              <w:rPr>
                <w:noProof/>
                <w:sz w:val="20"/>
              </w:rPr>
            </w:pPr>
            <w:r>
              <w:rPr>
                <w:noProof/>
                <w:sz w:val="20"/>
              </w:rPr>
              <w:t>2020 г.</w:t>
            </w:r>
          </w:p>
        </w:tc>
        <w:tc>
          <w:tcPr>
            <w:tcW w:w="1777" w:type="dxa"/>
            <w:vAlign w:val="center"/>
          </w:tcPr>
          <w:p w:rsidR="00271729" w:rsidRDefault="00AD0727">
            <w:pPr>
              <w:jc w:val="center"/>
              <w:rPr>
                <w:b/>
                <w:noProof/>
                <w:sz w:val="20"/>
              </w:rPr>
            </w:pPr>
            <w:r>
              <w:rPr>
                <w:b/>
                <w:noProof/>
                <w:sz w:val="20"/>
              </w:rPr>
              <w:t>ОБЩО</w:t>
            </w:r>
          </w:p>
        </w:tc>
      </w:tr>
      <w:tr w:rsidR="00271729">
        <w:trPr>
          <w:jc w:val="center"/>
        </w:trPr>
        <w:tc>
          <w:tcPr>
            <w:tcW w:w="5543" w:type="dxa"/>
            <w:vMerge w:val="restart"/>
            <w:vAlign w:val="center"/>
          </w:tcPr>
          <w:p w:rsidR="00271729" w:rsidRDefault="00AD0727">
            <w:pPr>
              <w:jc w:val="center"/>
              <w:rPr>
                <w:b/>
                <w:noProof/>
                <w:sz w:val="22"/>
              </w:rPr>
            </w:pPr>
            <w:r>
              <w:rPr>
                <w:b/>
                <w:noProof/>
                <w:sz w:val="22"/>
              </w:rPr>
              <w:t>ОБЩО бюджетни кредити</w:t>
            </w:r>
            <w:r>
              <w:rPr>
                <w:b/>
                <w:noProof/>
                <w:sz w:val="22"/>
              </w:rPr>
              <w:br/>
              <w:t>за ГД „Европейска гражданска защита и европейски операции за хуманитарна помощ“</w:t>
            </w:r>
          </w:p>
        </w:tc>
        <w:tc>
          <w:tcPr>
            <w:tcW w:w="1417" w:type="dxa"/>
            <w:vAlign w:val="center"/>
          </w:tcPr>
          <w:p w:rsidR="00271729" w:rsidRDefault="00AD0727">
            <w:pPr>
              <w:rPr>
                <w:noProof/>
                <w:sz w:val="18"/>
              </w:rPr>
            </w:pPr>
            <w:r>
              <w:rPr>
                <w:noProof/>
                <w:sz w:val="18"/>
              </w:rPr>
              <w:t>Поети задължения</w:t>
            </w:r>
          </w:p>
        </w:tc>
        <w:tc>
          <w:tcPr>
            <w:tcW w:w="851" w:type="dxa"/>
            <w:vAlign w:val="center"/>
          </w:tcPr>
          <w:p w:rsidR="00271729" w:rsidRDefault="00AD0727">
            <w:pPr>
              <w:jc w:val="center"/>
              <w:rPr>
                <w:noProof/>
                <w:sz w:val="14"/>
              </w:rPr>
            </w:pPr>
            <w:r>
              <w:rPr>
                <w:noProof/>
                <w:sz w:val="14"/>
              </w:rPr>
              <w:t>=1+1a +3</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2,284</w:t>
            </w:r>
          </w:p>
        </w:tc>
        <w:tc>
          <w:tcPr>
            <w:tcW w:w="1777" w:type="dxa"/>
            <w:vAlign w:val="center"/>
          </w:tcPr>
          <w:p w:rsidR="00271729" w:rsidRDefault="00AD0727">
            <w:pPr>
              <w:spacing w:before="20" w:after="20"/>
              <w:jc w:val="right"/>
              <w:rPr>
                <w:b/>
                <w:noProof/>
                <w:sz w:val="20"/>
              </w:rPr>
            </w:pPr>
            <w:r>
              <w:rPr>
                <w:b/>
                <w:noProof/>
                <w:sz w:val="20"/>
              </w:rPr>
              <w:t>6,284</w:t>
            </w:r>
          </w:p>
        </w:tc>
      </w:tr>
      <w:tr w:rsidR="00271729">
        <w:trPr>
          <w:jc w:val="center"/>
        </w:trPr>
        <w:tc>
          <w:tcPr>
            <w:tcW w:w="5543" w:type="dxa"/>
            <w:vMerge/>
          </w:tcPr>
          <w:p w:rsidR="00271729" w:rsidRDefault="00271729">
            <w:pPr>
              <w:rPr>
                <w:noProof/>
                <w:sz w:val="20"/>
              </w:rPr>
            </w:pPr>
          </w:p>
        </w:tc>
        <w:tc>
          <w:tcPr>
            <w:tcW w:w="1417" w:type="dxa"/>
            <w:vAlign w:val="center"/>
          </w:tcPr>
          <w:p w:rsidR="00271729" w:rsidRDefault="00AD0727">
            <w:pPr>
              <w:rPr>
                <w:noProof/>
                <w:sz w:val="18"/>
              </w:rPr>
            </w:pPr>
            <w:r>
              <w:rPr>
                <w:noProof/>
                <w:sz w:val="18"/>
              </w:rPr>
              <w:t>Плащания</w:t>
            </w:r>
          </w:p>
        </w:tc>
        <w:tc>
          <w:tcPr>
            <w:tcW w:w="851" w:type="dxa"/>
            <w:vAlign w:val="center"/>
          </w:tcPr>
          <w:p w:rsidR="00271729" w:rsidRDefault="00AD0727">
            <w:pPr>
              <w:jc w:val="center"/>
              <w:rPr>
                <w:noProof/>
                <w:sz w:val="14"/>
              </w:rPr>
            </w:pPr>
            <w:r>
              <w:rPr>
                <w:noProof/>
                <w:sz w:val="14"/>
              </w:rPr>
              <w:t>=2+2a</w:t>
            </w:r>
          </w:p>
          <w:p w:rsidR="00271729" w:rsidRDefault="00AD0727">
            <w:pPr>
              <w:jc w:val="center"/>
              <w:rPr>
                <w:noProof/>
                <w:sz w:val="14"/>
              </w:rPr>
            </w:pPr>
            <w:r>
              <w:rPr>
                <w:noProof/>
                <w:sz w:val="14"/>
              </w:rPr>
              <w:t>+3</w:t>
            </w:r>
          </w:p>
        </w:tc>
        <w:tc>
          <w:tcPr>
            <w:tcW w:w="1134" w:type="dxa"/>
            <w:vAlign w:val="center"/>
          </w:tcPr>
          <w:p w:rsidR="00271729" w:rsidRDefault="00AD0727">
            <w:pPr>
              <w:spacing w:before="20" w:after="20"/>
              <w:jc w:val="right"/>
              <w:rPr>
                <w:noProof/>
                <w:sz w:val="20"/>
              </w:rPr>
            </w:pPr>
            <w:r>
              <w:rPr>
                <w:noProof/>
                <w:sz w:val="20"/>
              </w:rPr>
              <w:t>0,8</w:t>
            </w:r>
          </w:p>
        </w:tc>
        <w:tc>
          <w:tcPr>
            <w:tcW w:w="1134" w:type="dxa"/>
            <w:vAlign w:val="center"/>
          </w:tcPr>
          <w:p w:rsidR="00271729" w:rsidRDefault="00AD0727">
            <w:pPr>
              <w:spacing w:before="20" w:after="20"/>
              <w:jc w:val="right"/>
              <w:rPr>
                <w:noProof/>
                <w:sz w:val="20"/>
              </w:rPr>
            </w:pPr>
            <w:r>
              <w:rPr>
                <w:noProof/>
                <w:sz w:val="20"/>
              </w:rPr>
              <w:t>1,8</w:t>
            </w:r>
          </w:p>
        </w:tc>
        <w:tc>
          <w:tcPr>
            <w:tcW w:w="1134" w:type="dxa"/>
            <w:vAlign w:val="center"/>
          </w:tcPr>
          <w:p w:rsidR="00271729" w:rsidRDefault="00AD0727">
            <w:pPr>
              <w:spacing w:before="20" w:after="20"/>
              <w:jc w:val="right"/>
              <w:rPr>
                <w:noProof/>
                <w:sz w:val="20"/>
              </w:rPr>
            </w:pPr>
            <w:r>
              <w:rPr>
                <w:noProof/>
                <w:sz w:val="20"/>
              </w:rPr>
              <w:t>2,014</w:t>
            </w:r>
          </w:p>
        </w:tc>
        <w:tc>
          <w:tcPr>
            <w:tcW w:w="1777" w:type="dxa"/>
            <w:vAlign w:val="center"/>
          </w:tcPr>
          <w:p w:rsidR="00271729" w:rsidRDefault="00AD0727">
            <w:pPr>
              <w:spacing w:before="20" w:after="20"/>
              <w:jc w:val="right"/>
              <w:rPr>
                <w:b/>
                <w:noProof/>
                <w:sz w:val="20"/>
              </w:rPr>
            </w:pPr>
            <w:r>
              <w:rPr>
                <w:b/>
                <w:noProof/>
                <w:sz w:val="20"/>
              </w:rPr>
              <w:t>4,614</w:t>
            </w:r>
          </w:p>
        </w:tc>
      </w:tr>
    </w:tbl>
    <w:p w:rsidR="00271729" w:rsidRDefault="00AD0727">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271729">
        <w:trPr>
          <w:trHeight w:val="277"/>
        </w:trPr>
        <w:tc>
          <w:tcPr>
            <w:tcW w:w="5529" w:type="dxa"/>
            <w:vMerge w:val="restart"/>
            <w:vAlign w:val="center"/>
          </w:tcPr>
          <w:p w:rsidR="00271729" w:rsidRDefault="00AD0727">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17" w:type="dxa"/>
            <w:vAlign w:val="center"/>
          </w:tcPr>
          <w:p w:rsidR="00271729" w:rsidRDefault="00AD0727">
            <w:pPr>
              <w:spacing w:beforeLines="20" w:before="48" w:afterLines="20" w:after="48"/>
              <w:rPr>
                <w:noProof/>
                <w:sz w:val="18"/>
              </w:rPr>
            </w:pPr>
            <w:r>
              <w:rPr>
                <w:noProof/>
                <w:sz w:val="18"/>
              </w:rPr>
              <w:t>Поети задължения</w:t>
            </w:r>
          </w:p>
        </w:tc>
        <w:tc>
          <w:tcPr>
            <w:tcW w:w="851" w:type="dxa"/>
            <w:vAlign w:val="center"/>
          </w:tcPr>
          <w:p w:rsidR="00271729" w:rsidRDefault="00AD0727">
            <w:pPr>
              <w:spacing w:beforeLines="20" w:before="48" w:afterLines="20" w:after="48"/>
              <w:jc w:val="center"/>
              <w:rPr>
                <w:noProof/>
                <w:sz w:val="14"/>
              </w:rPr>
            </w:pPr>
            <w:r>
              <w:rPr>
                <w:noProof/>
                <w:sz w:val="14"/>
              </w:rPr>
              <w:t>(4)</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2,284</w:t>
            </w:r>
          </w:p>
        </w:tc>
        <w:tc>
          <w:tcPr>
            <w:tcW w:w="1701" w:type="dxa"/>
            <w:vAlign w:val="center"/>
          </w:tcPr>
          <w:p w:rsidR="00271729" w:rsidRDefault="00AD0727">
            <w:pPr>
              <w:spacing w:before="20" w:after="20"/>
              <w:jc w:val="right"/>
              <w:rPr>
                <w:b/>
                <w:noProof/>
                <w:sz w:val="20"/>
              </w:rPr>
            </w:pPr>
            <w:r>
              <w:rPr>
                <w:b/>
                <w:noProof/>
                <w:sz w:val="20"/>
              </w:rPr>
              <w:t>6,284</w:t>
            </w:r>
          </w:p>
        </w:tc>
      </w:tr>
      <w:tr w:rsidR="00271729">
        <w:tc>
          <w:tcPr>
            <w:tcW w:w="5529" w:type="dxa"/>
            <w:vMerge/>
          </w:tcPr>
          <w:p w:rsidR="00271729" w:rsidRDefault="00271729">
            <w:pPr>
              <w:jc w:val="center"/>
              <w:rPr>
                <w:noProof/>
                <w:sz w:val="20"/>
              </w:rPr>
            </w:pPr>
          </w:p>
        </w:tc>
        <w:tc>
          <w:tcPr>
            <w:tcW w:w="1417" w:type="dxa"/>
            <w:vAlign w:val="center"/>
          </w:tcPr>
          <w:p w:rsidR="00271729" w:rsidRDefault="00AD0727">
            <w:pPr>
              <w:spacing w:beforeLines="20" w:before="48" w:afterLines="20" w:after="48"/>
              <w:rPr>
                <w:noProof/>
                <w:sz w:val="18"/>
              </w:rPr>
            </w:pPr>
            <w:r>
              <w:rPr>
                <w:noProof/>
                <w:sz w:val="18"/>
              </w:rPr>
              <w:t>Плащания</w:t>
            </w:r>
          </w:p>
        </w:tc>
        <w:tc>
          <w:tcPr>
            <w:tcW w:w="851" w:type="dxa"/>
            <w:vAlign w:val="center"/>
          </w:tcPr>
          <w:p w:rsidR="00271729" w:rsidRDefault="00AD0727">
            <w:pPr>
              <w:spacing w:beforeLines="20" w:before="48" w:afterLines="20" w:after="48"/>
              <w:jc w:val="center"/>
              <w:rPr>
                <w:noProof/>
                <w:sz w:val="14"/>
              </w:rPr>
            </w:pPr>
            <w:r>
              <w:rPr>
                <w:noProof/>
                <w:sz w:val="14"/>
              </w:rPr>
              <w:t>(5)</w:t>
            </w:r>
          </w:p>
        </w:tc>
        <w:tc>
          <w:tcPr>
            <w:tcW w:w="1134" w:type="dxa"/>
            <w:vAlign w:val="center"/>
          </w:tcPr>
          <w:p w:rsidR="00271729" w:rsidRDefault="00AD0727">
            <w:pPr>
              <w:spacing w:before="20" w:after="20"/>
              <w:jc w:val="right"/>
              <w:rPr>
                <w:noProof/>
                <w:sz w:val="20"/>
              </w:rPr>
            </w:pPr>
            <w:r>
              <w:rPr>
                <w:noProof/>
                <w:sz w:val="20"/>
              </w:rPr>
              <w:t>0,8</w:t>
            </w:r>
          </w:p>
        </w:tc>
        <w:tc>
          <w:tcPr>
            <w:tcW w:w="1134" w:type="dxa"/>
            <w:vAlign w:val="center"/>
          </w:tcPr>
          <w:p w:rsidR="00271729" w:rsidRDefault="00AD0727">
            <w:pPr>
              <w:spacing w:before="20" w:after="20"/>
              <w:jc w:val="right"/>
              <w:rPr>
                <w:noProof/>
                <w:sz w:val="20"/>
              </w:rPr>
            </w:pPr>
            <w:r>
              <w:rPr>
                <w:noProof/>
                <w:sz w:val="20"/>
              </w:rPr>
              <w:t>1,8</w:t>
            </w:r>
          </w:p>
        </w:tc>
        <w:tc>
          <w:tcPr>
            <w:tcW w:w="1134" w:type="dxa"/>
            <w:vAlign w:val="center"/>
          </w:tcPr>
          <w:p w:rsidR="00271729" w:rsidRDefault="00AD0727">
            <w:pPr>
              <w:spacing w:before="20" w:after="20"/>
              <w:jc w:val="right"/>
              <w:rPr>
                <w:noProof/>
                <w:sz w:val="20"/>
              </w:rPr>
            </w:pPr>
            <w:r>
              <w:rPr>
                <w:noProof/>
                <w:sz w:val="20"/>
              </w:rPr>
              <w:t>2,014</w:t>
            </w:r>
          </w:p>
        </w:tc>
        <w:tc>
          <w:tcPr>
            <w:tcW w:w="1701" w:type="dxa"/>
            <w:vAlign w:val="center"/>
          </w:tcPr>
          <w:p w:rsidR="00271729" w:rsidRDefault="00AD0727">
            <w:pPr>
              <w:spacing w:before="20" w:after="20"/>
              <w:jc w:val="right"/>
              <w:rPr>
                <w:b/>
                <w:noProof/>
                <w:sz w:val="20"/>
              </w:rPr>
            </w:pPr>
            <w:r>
              <w:rPr>
                <w:b/>
                <w:noProof/>
                <w:sz w:val="20"/>
              </w:rPr>
              <w:t>4,614</w:t>
            </w:r>
          </w:p>
        </w:tc>
      </w:tr>
      <w:tr w:rsidR="00271729">
        <w:trPr>
          <w:trHeight w:val="533"/>
        </w:trPr>
        <w:tc>
          <w:tcPr>
            <w:tcW w:w="6946" w:type="dxa"/>
            <w:gridSpan w:val="2"/>
            <w:vAlign w:val="center"/>
          </w:tcPr>
          <w:p w:rsidR="00271729" w:rsidRDefault="00AD0727">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851" w:type="dxa"/>
            <w:vAlign w:val="center"/>
          </w:tcPr>
          <w:p w:rsidR="00271729" w:rsidRDefault="00AD0727">
            <w:pPr>
              <w:spacing w:beforeLines="20" w:before="48" w:afterLines="20" w:after="48"/>
              <w:jc w:val="center"/>
              <w:rPr>
                <w:noProof/>
                <w:sz w:val="14"/>
              </w:rPr>
            </w:pPr>
            <w:r>
              <w:rPr>
                <w:noProof/>
                <w:sz w:val="14"/>
              </w:rPr>
              <w:t>(6)</w:t>
            </w:r>
          </w:p>
        </w:tc>
        <w:tc>
          <w:tcPr>
            <w:tcW w:w="1134" w:type="dxa"/>
            <w:vAlign w:val="center"/>
          </w:tcPr>
          <w:p w:rsidR="00271729" w:rsidRDefault="00AD0727">
            <w:pPr>
              <w:jc w:val="center"/>
              <w:rPr>
                <w:noProof/>
                <w:sz w:val="20"/>
              </w:rPr>
            </w:pPr>
            <w:r>
              <w:rPr>
                <w:noProof/>
                <w:sz w:val="20"/>
              </w:rPr>
              <w:t>0</w:t>
            </w:r>
          </w:p>
        </w:tc>
        <w:tc>
          <w:tcPr>
            <w:tcW w:w="1134" w:type="dxa"/>
            <w:vAlign w:val="center"/>
          </w:tcPr>
          <w:p w:rsidR="00271729" w:rsidRDefault="00AD0727">
            <w:pPr>
              <w:jc w:val="center"/>
              <w:rPr>
                <w:noProof/>
                <w:sz w:val="20"/>
              </w:rPr>
            </w:pPr>
            <w:r>
              <w:rPr>
                <w:noProof/>
                <w:sz w:val="20"/>
              </w:rPr>
              <w:t>0</w:t>
            </w:r>
          </w:p>
        </w:tc>
        <w:tc>
          <w:tcPr>
            <w:tcW w:w="1134" w:type="dxa"/>
            <w:vAlign w:val="center"/>
          </w:tcPr>
          <w:p w:rsidR="00271729" w:rsidRDefault="00AD0727">
            <w:pPr>
              <w:jc w:val="center"/>
              <w:rPr>
                <w:noProof/>
                <w:sz w:val="20"/>
              </w:rPr>
            </w:pPr>
            <w:r>
              <w:rPr>
                <w:noProof/>
                <w:sz w:val="20"/>
              </w:rPr>
              <w:t>0</w:t>
            </w:r>
          </w:p>
        </w:tc>
        <w:tc>
          <w:tcPr>
            <w:tcW w:w="1701" w:type="dxa"/>
            <w:vAlign w:val="center"/>
          </w:tcPr>
          <w:p w:rsidR="00271729" w:rsidRDefault="00AD0727">
            <w:pPr>
              <w:jc w:val="center"/>
              <w:rPr>
                <w:b/>
                <w:noProof/>
                <w:sz w:val="20"/>
              </w:rPr>
            </w:pPr>
            <w:r>
              <w:rPr>
                <w:b/>
                <w:noProof/>
                <w:sz w:val="20"/>
              </w:rPr>
              <w:t>ОБЩО</w:t>
            </w:r>
          </w:p>
        </w:tc>
      </w:tr>
      <w:tr w:rsidR="00271729">
        <w:tc>
          <w:tcPr>
            <w:tcW w:w="5529" w:type="dxa"/>
            <w:vMerge w:val="restart"/>
            <w:shd w:val="thinDiagStripe" w:color="C0C0C0" w:fill="auto"/>
            <w:vAlign w:val="center"/>
          </w:tcPr>
          <w:p w:rsidR="00271729" w:rsidRDefault="00AD0727">
            <w:pPr>
              <w:jc w:val="center"/>
              <w:rPr>
                <w:b/>
                <w:noProof/>
                <w:sz w:val="22"/>
              </w:rPr>
            </w:pPr>
            <w:r>
              <w:rPr>
                <w:b/>
                <w:noProof/>
                <w:sz w:val="22"/>
              </w:rPr>
              <w:t>ОБЩО бюджетни кредити</w:t>
            </w:r>
            <w:r>
              <w:rPr>
                <w:noProof/>
                <w:sz w:val="22"/>
              </w:rPr>
              <w:br/>
            </w:r>
            <w:r>
              <w:rPr>
                <w:b/>
                <w:noProof/>
                <w:sz w:val="22"/>
              </w:rPr>
              <w:t>за ФУНКЦИЯ 4</w:t>
            </w:r>
            <w:r>
              <w:rPr>
                <w:noProof/>
                <w:sz w:val="22"/>
              </w:rPr>
              <w:br/>
              <w:t>от многогодишната финансова рамка</w:t>
            </w:r>
          </w:p>
        </w:tc>
        <w:tc>
          <w:tcPr>
            <w:tcW w:w="1417" w:type="dxa"/>
            <w:vAlign w:val="center"/>
          </w:tcPr>
          <w:p w:rsidR="00271729" w:rsidRDefault="00AD0727">
            <w:pPr>
              <w:rPr>
                <w:noProof/>
                <w:sz w:val="18"/>
              </w:rPr>
            </w:pPr>
            <w:r>
              <w:rPr>
                <w:noProof/>
                <w:sz w:val="18"/>
              </w:rPr>
              <w:t>Поети задължения</w:t>
            </w:r>
          </w:p>
        </w:tc>
        <w:tc>
          <w:tcPr>
            <w:tcW w:w="851" w:type="dxa"/>
            <w:vAlign w:val="center"/>
          </w:tcPr>
          <w:p w:rsidR="00271729" w:rsidRDefault="00AD0727">
            <w:pPr>
              <w:jc w:val="center"/>
              <w:rPr>
                <w:noProof/>
                <w:sz w:val="14"/>
              </w:rPr>
            </w:pPr>
            <w:r>
              <w:rPr>
                <w:noProof/>
                <w:sz w:val="14"/>
              </w:rPr>
              <w:t>=4+ 6</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w:t>
            </w:r>
          </w:p>
        </w:tc>
        <w:tc>
          <w:tcPr>
            <w:tcW w:w="1134" w:type="dxa"/>
            <w:vAlign w:val="center"/>
          </w:tcPr>
          <w:p w:rsidR="00271729" w:rsidRDefault="00AD0727">
            <w:pPr>
              <w:spacing w:before="20" w:after="20"/>
              <w:jc w:val="right"/>
              <w:rPr>
                <w:noProof/>
                <w:sz w:val="20"/>
              </w:rPr>
            </w:pPr>
            <w:r>
              <w:rPr>
                <w:noProof/>
                <w:sz w:val="20"/>
              </w:rPr>
              <w:t>2,284</w:t>
            </w:r>
          </w:p>
        </w:tc>
        <w:tc>
          <w:tcPr>
            <w:tcW w:w="1701" w:type="dxa"/>
            <w:vAlign w:val="center"/>
          </w:tcPr>
          <w:p w:rsidR="00271729" w:rsidRDefault="00AD0727">
            <w:pPr>
              <w:spacing w:before="20" w:after="20"/>
              <w:jc w:val="right"/>
              <w:rPr>
                <w:b/>
                <w:noProof/>
                <w:sz w:val="20"/>
              </w:rPr>
            </w:pPr>
            <w:r>
              <w:rPr>
                <w:b/>
                <w:noProof/>
                <w:sz w:val="20"/>
              </w:rPr>
              <w:t>6,284</w:t>
            </w:r>
          </w:p>
        </w:tc>
      </w:tr>
      <w:tr w:rsidR="00271729">
        <w:tc>
          <w:tcPr>
            <w:tcW w:w="5529" w:type="dxa"/>
            <w:vMerge/>
            <w:shd w:val="thinDiagStripe" w:color="C0C0C0" w:fill="auto"/>
          </w:tcPr>
          <w:p w:rsidR="00271729" w:rsidRDefault="00271729">
            <w:pPr>
              <w:rPr>
                <w:noProof/>
                <w:sz w:val="20"/>
              </w:rPr>
            </w:pPr>
          </w:p>
        </w:tc>
        <w:tc>
          <w:tcPr>
            <w:tcW w:w="1417" w:type="dxa"/>
            <w:vAlign w:val="center"/>
          </w:tcPr>
          <w:p w:rsidR="00271729" w:rsidRDefault="00AD0727">
            <w:pPr>
              <w:rPr>
                <w:noProof/>
                <w:sz w:val="18"/>
              </w:rPr>
            </w:pPr>
            <w:r>
              <w:rPr>
                <w:noProof/>
                <w:sz w:val="18"/>
              </w:rPr>
              <w:t>Плащания</w:t>
            </w:r>
          </w:p>
        </w:tc>
        <w:tc>
          <w:tcPr>
            <w:tcW w:w="851" w:type="dxa"/>
            <w:vAlign w:val="center"/>
          </w:tcPr>
          <w:p w:rsidR="00271729" w:rsidRDefault="00AD0727">
            <w:pPr>
              <w:jc w:val="center"/>
              <w:rPr>
                <w:noProof/>
                <w:sz w:val="14"/>
              </w:rPr>
            </w:pPr>
            <w:r>
              <w:rPr>
                <w:noProof/>
                <w:sz w:val="14"/>
              </w:rPr>
              <w:t>=5+ 6</w:t>
            </w:r>
          </w:p>
        </w:tc>
        <w:tc>
          <w:tcPr>
            <w:tcW w:w="1134" w:type="dxa"/>
            <w:vAlign w:val="center"/>
          </w:tcPr>
          <w:p w:rsidR="00271729" w:rsidRDefault="00AD0727">
            <w:pPr>
              <w:spacing w:before="20" w:after="20"/>
              <w:jc w:val="right"/>
              <w:rPr>
                <w:noProof/>
                <w:sz w:val="20"/>
              </w:rPr>
            </w:pPr>
            <w:r>
              <w:rPr>
                <w:noProof/>
                <w:sz w:val="20"/>
              </w:rPr>
              <w:t>0,8</w:t>
            </w:r>
          </w:p>
        </w:tc>
        <w:tc>
          <w:tcPr>
            <w:tcW w:w="1134" w:type="dxa"/>
            <w:vAlign w:val="center"/>
          </w:tcPr>
          <w:p w:rsidR="00271729" w:rsidRDefault="00AD0727">
            <w:pPr>
              <w:spacing w:before="20" w:after="20"/>
              <w:jc w:val="right"/>
              <w:rPr>
                <w:noProof/>
                <w:sz w:val="20"/>
              </w:rPr>
            </w:pPr>
            <w:r>
              <w:rPr>
                <w:noProof/>
                <w:sz w:val="20"/>
              </w:rPr>
              <w:t>1,8</w:t>
            </w:r>
          </w:p>
        </w:tc>
        <w:tc>
          <w:tcPr>
            <w:tcW w:w="1134" w:type="dxa"/>
            <w:vAlign w:val="center"/>
          </w:tcPr>
          <w:p w:rsidR="00271729" w:rsidRDefault="00AD0727">
            <w:pPr>
              <w:spacing w:before="20" w:after="20"/>
              <w:jc w:val="right"/>
              <w:rPr>
                <w:noProof/>
                <w:sz w:val="20"/>
              </w:rPr>
            </w:pPr>
            <w:r>
              <w:rPr>
                <w:noProof/>
                <w:sz w:val="20"/>
              </w:rPr>
              <w:t>2,014</w:t>
            </w:r>
          </w:p>
        </w:tc>
        <w:tc>
          <w:tcPr>
            <w:tcW w:w="1701" w:type="dxa"/>
            <w:vAlign w:val="center"/>
          </w:tcPr>
          <w:p w:rsidR="00271729" w:rsidRDefault="00AD0727">
            <w:pPr>
              <w:spacing w:before="20" w:after="20"/>
              <w:jc w:val="right"/>
              <w:rPr>
                <w:b/>
                <w:noProof/>
                <w:sz w:val="20"/>
              </w:rPr>
            </w:pPr>
            <w:r>
              <w:rPr>
                <w:b/>
                <w:noProof/>
                <w:sz w:val="20"/>
              </w:rPr>
              <w:t>4,614</w:t>
            </w:r>
          </w:p>
        </w:tc>
      </w:tr>
    </w:tbl>
    <w:p w:rsidR="00271729" w:rsidRDefault="00271729">
      <w:pPr>
        <w:rPr>
          <w:noProof/>
        </w:rPr>
      </w:pPr>
    </w:p>
    <w:p w:rsidR="00271729" w:rsidRDefault="00271729">
      <w:pPr>
        <w:rPr>
          <w:noProof/>
        </w:rPr>
      </w:pPr>
    </w:p>
    <w:p w:rsidR="00271729" w:rsidRDefault="00271729">
      <w:pPr>
        <w:rPr>
          <w:noProof/>
        </w:rPr>
      </w:pPr>
    </w:p>
    <w:p w:rsidR="00271729" w:rsidRDefault="00271729">
      <w:pPr>
        <w:rPr>
          <w:noProof/>
        </w:rPr>
      </w:pPr>
    </w:p>
    <w:p w:rsidR="00271729" w:rsidRDefault="00271729">
      <w:pPr>
        <w:rPr>
          <w:noProof/>
        </w:rPr>
      </w:pPr>
    </w:p>
    <w:p w:rsidR="00271729" w:rsidRDefault="00271729">
      <w:pPr>
        <w:rPr>
          <w:noProof/>
        </w:rPr>
      </w:pPr>
    </w:p>
    <w:p w:rsidR="00271729" w:rsidRDefault="00271729">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71729">
        <w:trPr>
          <w:jc w:val="center"/>
        </w:trPr>
        <w:tc>
          <w:tcPr>
            <w:tcW w:w="4744" w:type="dxa"/>
            <w:shd w:val="thinDiagStripe" w:color="C0C0C0" w:fill="auto"/>
            <w:vAlign w:val="center"/>
          </w:tcPr>
          <w:p w:rsidR="00271729" w:rsidRDefault="00AD0727">
            <w:pPr>
              <w:spacing w:before="60" w:after="60"/>
              <w:jc w:val="cente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rsidR="00271729" w:rsidRDefault="00AD0727">
            <w:pPr>
              <w:spacing w:before="60" w:after="60"/>
              <w:jc w:val="center"/>
              <w:rPr>
                <w:noProof/>
                <w:sz w:val="22"/>
              </w:rPr>
            </w:pPr>
            <w:r>
              <w:rPr>
                <w:b/>
                <w:noProof/>
                <w:sz w:val="22"/>
              </w:rPr>
              <w:t>5</w:t>
            </w:r>
          </w:p>
        </w:tc>
        <w:tc>
          <w:tcPr>
            <w:tcW w:w="7817" w:type="dxa"/>
            <w:vAlign w:val="center"/>
          </w:tcPr>
          <w:p w:rsidR="00271729" w:rsidRDefault="00AD0727">
            <w:pPr>
              <w:spacing w:before="60" w:after="60"/>
              <w:rPr>
                <w:noProof/>
                <w:sz w:val="22"/>
              </w:rPr>
            </w:pPr>
            <w:r>
              <w:rPr>
                <w:noProof/>
                <w:sz w:val="22"/>
              </w:rPr>
              <w:t>„Административни разходи“</w:t>
            </w:r>
          </w:p>
        </w:tc>
      </w:tr>
    </w:tbl>
    <w:p w:rsidR="00271729" w:rsidRDefault="00AD0727">
      <w:pPr>
        <w:jc w:val="right"/>
        <w:rPr>
          <w:noProof/>
          <w:sz w:val="20"/>
        </w:rPr>
      </w:pPr>
      <w:r>
        <w:rPr>
          <w:noProof/>
          <w:sz w:val="20"/>
        </w:rPr>
        <w:t xml:space="preserve">млн. EUR (до 3-тия </w:t>
      </w:r>
      <w:r>
        <w:rPr>
          <w:noProof/>
          <w:sz w:val="20"/>
        </w:rPr>
        <w:t>знак след десетичната запетая)</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496"/>
        <w:gridCol w:w="236"/>
        <w:gridCol w:w="2032"/>
        <w:gridCol w:w="1134"/>
        <w:gridCol w:w="1134"/>
        <w:gridCol w:w="1134"/>
        <w:gridCol w:w="1984"/>
      </w:tblGrid>
      <w:tr w:rsidR="00271729">
        <w:tc>
          <w:tcPr>
            <w:tcW w:w="6456" w:type="dxa"/>
            <w:gridSpan w:val="2"/>
            <w:tcBorders>
              <w:top w:val="nil"/>
              <w:left w:val="nil"/>
              <w:right w:val="nil"/>
            </w:tcBorders>
            <w:vAlign w:val="center"/>
          </w:tcPr>
          <w:p w:rsidR="00271729" w:rsidRDefault="00271729">
            <w:pPr>
              <w:jc w:val="center"/>
              <w:rPr>
                <w:noProof/>
                <w:sz w:val="22"/>
              </w:rPr>
            </w:pPr>
          </w:p>
        </w:tc>
        <w:tc>
          <w:tcPr>
            <w:tcW w:w="236" w:type="dxa"/>
            <w:tcBorders>
              <w:top w:val="nil"/>
              <w:left w:val="nil"/>
              <w:right w:val="nil"/>
            </w:tcBorders>
          </w:tcPr>
          <w:p w:rsidR="00271729" w:rsidRDefault="00271729">
            <w:pPr>
              <w:rPr>
                <w:noProof/>
                <w:sz w:val="20"/>
              </w:rPr>
            </w:pPr>
          </w:p>
        </w:tc>
        <w:tc>
          <w:tcPr>
            <w:tcW w:w="2032" w:type="dxa"/>
            <w:tcBorders>
              <w:top w:val="nil"/>
              <w:left w:val="nil"/>
            </w:tcBorders>
          </w:tcPr>
          <w:p w:rsidR="00271729" w:rsidRDefault="00271729">
            <w:pPr>
              <w:jc w:val="center"/>
              <w:rPr>
                <w:noProof/>
                <w:sz w:val="20"/>
              </w:rPr>
            </w:pPr>
          </w:p>
        </w:tc>
        <w:tc>
          <w:tcPr>
            <w:tcW w:w="1134" w:type="dxa"/>
            <w:vAlign w:val="center"/>
          </w:tcPr>
          <w:p w:rsidR="00271729" w:rsidRDefault="00AD0727">
            <w:pPr>
              <w:jc w:val="center"/>
              <w:rPr>
                <w:noProof/>
                <w:sz w:val="20"/>
              </w:rPr>
            </w:pPr>
            <w:r>
              <w:rPr>
                <w:noProof/>
                <w:sz w:val="20"/>
              </w:rPr>
              <w:t>2018 г.</w:t>
            </w:r>
          </w:p>
        </w:tc>
        <w:tc>
          <w:tcPr>
            <w:tcW w:w="1134" w:type="dxa"/>
            <w:vAlign w:val="center"/>
          </w:tcPr>
          <w:p w:rsidR="00271729" w:rsidRDefault="00AD0727">
            <w:pPr>
              <w:jc w:val="center"/>
              <w:rPr>
                <w:noProof/>
                <w:sz w:val="20"/>
              </w:rPr>
            </w:pPr>
            <w:r>
              <w:rPr>
                <w:noProof/>
                <w:sz w:val="20"/>
              </w:rPr>
              <w:t>2019 г.</w:t>
            </w:r>
          </w:p>
        </w:tc>
        <w:tc>
          <w:tcPr>
            <w:tcW w:w="1134" w:type="dxa"/>
            <w:vAlign w:val="center"/>
          </w:tcPr>
          <w:p w:rsidR="00271729" w:rsidRDefault="00AD0727">
            <w:pPr>
              <w:jc w:val="center"/>
              <w:rPr>
                <w:noProof/>
                <w:sz w:val="20"/>
              </w:rPr>
            </w:pPr>
            <w:r>
              <w:rPr>
                <w:noProof/>
                <w:sz w:val="20"/>
              </w:rPr>
              <w:t>2020 г.</w:t>
            </w:r>
          </w:p>
        </w:tc>
        <w:tc>
          <w:tcPr>
            <w:tcW w:w="1984" w:type="dxa"/>
            <w:vAlign w:val="center"/>
          </w:tcPr>
          <w:p w:rsidR="00271729" w:rsidRDefault="00AD0727">
            <w:pPr>
              <w:jc w:val="center"/>
              <w:rPr>
                <w:b/>
                <w:noProof/>
                <w:sz w:val="20"/>
              </w:rPr>
            </w:pPr>
            <w:r>
              <w:rPr>
                <w:b/>
                <w:noProof/>
                <w:sz w:val="20"/>
              </w:rPr>
              <w:t>ОБЩО</w:t>
            </w:r>
          </w:p>
        </w:tc>
      </w:tr>
      <w:tr w:rsidR="00271729">
        <w:trPr>
          <w:gridAfter w:val="6"/>
          <w:wAfter w:w="7654" w:type="dxa"/>
        </w:trPr>
        <w:tc>
          <w:tcPr>
            <w:tcW w:w="6456" w:type="dxa"/>
            <w:gridSpan w:val="2"/>
            <w:vAlign w:val="center"/>
          </w:tcPr>
          <w:p w:rsidR="00271729" w:rsidRDefault="00AD0727">
            <w:pPr>
              <w:spacing w:before="60" w:after="60"/>
              <w:jc w:val="center"/>
              <w:rPr>
                <w:noProof/>
                <w:sz w:val="22"/>
              </w:rPr>
            </w:pPr>
            <w:r>
              <w:rPr>
                <w:b/>
                <w:noProof/>
                <w:sz w:val="22"/>
              </w:rPr>
              <w:t>ГД: „Европейска гражданска защита и европейски операции за хуманитарна помощ“</w:t>
            </w:r>
          </w:p>
        </w:tc>
      </w:tr>
      <w:tr w:rsidR="00271729">
        <w:trPr>
          <w:trHeight w:val="313"/>
        </w:trPr>
        <w:tc>
          <w:tcPr>
            <w:tcW w:w="8724" w:type="dxa"/>
            <w:gridSpan w:val="4"/>
            <w:vAlign w:val="center"/>
          </w:tcPr>
          <w:p w:rsidR="00271729" w:rsidRDefault="00AD0727">
            <w:pPr>
              <w:spacing w:before="20" w:after="20"/>
              <w:rPr>
                <w:noProof/>
                <w:sz w:val="22"/>
              </w:rPr>
            </w:pPr>
            <w:r>
              <w:rPr>
                <w:noProof/>
                <w:sz w:val="22"/>
              </w:rPr>
              <w:sym w:font="Wingdings" w:char="F09F"/>
            </w:r>
            <w:r>
              <w:rPr>
                <w:noProof/>
                <w:sz w:val="22"/>
              </w:rPr>
              <w:t>Човешки ресурси</w:t>
            </w:r>
          </w:p>
        </w:tc>
        <w:tc>
          <w:tcPr>
            <w:tcW w:w="1134" w:type="dxa"/>
            <w:vAlign w:val="bottom"/>
          </w:tcPr>
          <w:p w:rsidR="00271729" w:rsidRDefault="00AD0727">
            <w:pPr>
              <w:spacing w:before="20" w:after="20"/>
              <w:jc w:val="right"/>
              <w:rPr>
                <w:noProof/>
                <w:sz w:val="20"/>
              </w:rPr>
            </w:pPr>
            <w:r>
              <w:rPr>
                <w:noProof/>
                <w:sz w:val="20"/>
              </w:rPr>
              <w:t xml:space="preserve">            1,682 </w:t>
            </w:r>
          </w:p>
        </w:tc>
        <w:tc>
          <w:tcPr>
            <w:tcW w:w="1134" w:type="dxa"/>
            <w:vAlign w:val="bottom"/>
          </w:tcPr>
          <w:p w:rsidR="00271729" w:rsidRDefault="00AD0727">
            <w:pPr>
              <w:spacing w:before="20" w:after="20"/>
              <w:jc w:val="right"/>
              <w:rPr>
                <w:noProof/>
                <w:sz w:val="20"/>
              </w:rPr>
            </w:pPr>
            <w:r>
              <w:rPr>
                <w:noProof/>
                <w:sz w:val="20"/>
              </w:rPr>
              <w:t xml:space="preserve">     5,034 </w:t>
            </w:r>
          </w:p>
        </w:tc>
        <w:tc>
          <w:tcPr>
            <w:tcW w:w="1134" w:type="dxa"/>
            <w:vAlign w:val="bottom"/>
          </w:tcPr>
          <w:p w:rsidR="00271729" w:rsidRDefault="00AD0727">
            <w:pPr>
              <w:spacing w:before="20" w:after="20"/>
              <w:jc w:val="right"/>
              <w:rPr>
                <w:noProof/>
                <w:sz w:val="20"/>
              </w:rPr>
            </w:pPr>
            <w:r>
              <w:rPr>
                <w:noProof/>
                <w:sz w:val="20"/>
              </w:rPr>
              <w:t xml:space="preserve">       9,436 </w:t>
            </w:r>
          </w:p>
        </w:tc>
        <w:tc>
          <w:tcPr>
            <w:tcW w:w="1984" w:type="dxa"/>
            <w:vAlign w:val="bottom"/>
          </w:tcPr>
          <w:p w:rsidR="00271729" w:rsidRDefault="00AD0727">
            <w:pPr>
              <w:spacing w:before="20" w:after="20"/>
              <w:jc w:val="right"/>
              <w:rPr>
                <w:b/>
                <w:noProof/>
                <w:sz w:val="20"/>
              </w:rPr>
            </w:pPr>
            <w:r>
              <w:rPr>
                <w:b/>
                <w:noProof/>
                <w:sz w:val="20"/>
              </w:rPr>
              <w:t xml:space="preserve">                       16,152 </w:t>
            </w:r>
          </w:p>
        </w:tc>
      </w:tr>
      <w:tr w:rsidR="00271729">
        <w:trPr>
          <w:trHeight w:val="351"/>
        </w:trPr>
        <w:tc>
          <w:tcPr>
            <w:tcW w:w="8724" w:type="dxa"/>
            <w:gridSpan w:val="4"/>
            <w:vAlign w:val="center"/>
          </w:tcPr>
          <w:p w:rsidR="00271729" w:rsidRDefault="00AD0727">
            <w:pPr>
              <w:spacing w:before="20" w:after="20"/>
              <w:rPr>
                <w:noProof/>
                <w:sz w:val="22"/>
              </w:rPr>
            </w:pPr>
            <w:r>
              <w:rPr>
                <w:noProof/>
                <w:sz w:val="22"/>
              </w:rPr>
              <w:sym w:font="Wingdings" w:char="F09F"/>
            </w:r>
            <w:r>
              <w:rPr>
                <w:noProof/>
                <w:sz w:val="22"/>
              </w:rPr>
              <w:t xml:space="preserve">Други </w:t>
            </w:r>
            <w:r>
              <w:rPr>
                <w:noProof/>
                <w:sz w:val="22"/>
              </w:rPr>
              <w:t>административни разходи</w:t>
            </w:r>
          </w:p>
        </w:tc>
        <w:tc>
          <w:tcPr>
            <w:tcW w:w="1134" w:type="dxa"/>
            <w:vAlign w:val="bottom"/>
          </w:tcPr>
          <w:p w:rsidR="00271729" w:rsidRDefault="00AD0727">
            <w:pPr>
              <w:spacing w:before="20" w:after="20"/>
              <w:jc w:val="right"/>
              <w:rPr>
                <w:noProof/>
                <w:sz w:val="20"/>
              </w:rPr>
            </w:pPr>
            <w:r>
              <w:rPr>
                <w:noProof/>
                <w:sz w:val="20"/>
              </w:rPr>
              <w:t>0,1500</w:t>
            </w:r>
          </w:p>
        </w:tc>
        <w:tc>
          <w:tcPr>
            <w:tcW w:w="1134" w:type="dxa"/>
            <w:vAlign w:val="bottom"/>
          </w:tcPr>
          <w:p w:rsidR="00271729" w:rsidRDefault="00AD0727">
            <w:pPr>
              <w:spacing w:before="20" w:after="20"/>
              <w:jc w:val="right"/>
              <w:rPr>
                <w:noProof/>
                <w:sz w:val="20"/>
              </w:rPr>
            </w:pPr>
            <w:r>
              <w:rPr>
                <w:noProof/>
                <w:sz w:val="20"/>
              </w:rPr>
              <w:t>0,230</w:t>
            </w:r>
          </w:p>
        </w:tc>
        <w:tc>
          <w:tcPr>
            <w:tcW w:w="1134" w:type="dxa"/>
            <w:vAlign w:val="bottom"/>
          </w:tcPr>
          <w:p w:rsidR="00271729" w:rsidRDefault="00AD0727">
            <w:pPr>
              <w:spacing w:before="20" w:after="20"/>
              <w:jc w:val="right"/>
              <w:rPr>
                <w:noProof/>
                <w:sz w:val="20"/>
              </w:rPr>
            </w:pPr>
            <w:r>
              <w:rPr>
                <w:noProof/>
                <w:sz w:val="20"/>
              </w:rPr>
              <w:t>0,330</w:t>
            </w:r>
          </w:p>
        </w:tc>
        <w:tc>
          <w:tcPr>
            <w:tcW w:w="1984" w:type="dxa"/>
            <w:vAlign w:val="center"/>
          </w:tcPr>
          <w:p w:rsidR="00271729" w:rsidRDefault="00AD0727">
            <w:pPr>
              <w:spacing w:before="20" w:after="20"/>
              <w:jc w:val="right"/>
              <w:rPr>
                <w:b/>
                <w:noProof/>
                <w:sz w:val="20"/>
              </w:rPr>
            </w:pPr>
            <w:r>
              <w:rPr>
                <w:b/>
                <w:noProof/>
                <w:sz w:val="20"/>
              </w:rPr>
              <w:t>0,710</w:t>
            </w:r>
          </w:p>
        </w:tc>
      </w:tr>
      <w:tr w:rsidR="00271729">
        <w:tc>
          <w:tcPr>
            <w:tcW w:w="3960" w:type="dxa"/>
            <w:vAlign w:val="center"/>
          </w:tcPr>
          <w:p w:rsidR="00271729" w:rsidRDefault="00AD0727">
            <w:pPr>
              <w:jc w:val="center"/>
              <w:rPr>
                <w:b/>
                <w:noProof/>
                <w:sz w:val="22"/>
              </w:rPr>
            </w:pPr>
            <w:r>
              <w:rPr>
                <w:b/>
                <w:noProof/>
                <w:sz w:val="22"/>
              </w:rPr>
              <w:t>ОБЩО</w:t>
            </w:r>
            <w:r>
              <w:rPr>
                <w:noProof/>
              </w:rPr>
              <w:t xml:space="preserve"> за </w:t>
            </w:r>
            <w:r>
              <w:rPr>
                <w:noProof/>
                <w:sz w:val="22"/>
              </w:rPr>
              <w:t>ГД „Европейска гражданска защита и европейски операции за хуманитарна помощ“</w:t>
            </w:r>
          </w:p>
        </w:tc>
        <w:tc>
          <w:tcPr>
            <w:tcW w:w="4764" w:type="dxa"/>
            <w:gridSpan w:val="3"/>
            <w:vAlign w:val="center"/>
          </w:tcPr>
          <w:p w:rsidR="00271729" w:rsidRDefault="00AD0727">
            <w:pPr>
              <w:rPr>
                <w:noProof/>
                <w:sz w:val="14"/>
              </w:rPr>
            </w:pPr>
            <w:r>
              <w:rPr>
                <w:noProof/>
                <w:sz w:val="18"/>
              </w:rPr>
              <w:t xml:space="preserve">Бюджетни кредити </w:t>
            </w:r>
          </w:p>
        </w:tc>
        <w:tc>
          <w:tcPr>
            <w:tcW w:w="1134" w:type="dxa"/>
            <w:vAlign w:val="bottom"/>
          </w:tcPr>
          <w:p w:rsidR="00271729" w:rsidRDefault="00AD0727">
            <w:pPr>
              <w:spacing w:before="20" w:after="20"/>
              <w:jc w:val="right"/>
              <w:rPr>
                <w:noProof/>
                <w:sz w:val="20"/>
              </w:rPr>
            </w:pPr>
            <w:r>
              <w:rPr>
                <w:noProof/>
                <w:sz w:val="20"/>
              </w:rPr>
              <w:t xml:space="preserve">              1,832 </w:t>
            </w:r>
          </w:p>
        </w:tc>
        <w:tc>
          <w:tcPr>
            <w:tcW w:w="1134" w:type="dxa"/>
            <w:vAlign w:val="bottom"/>
          </w:tcPr>
          <w:p w:rsidR="00271729" w:rsidRDefault="00AD0727">
            <w:pPr>
              <w:spacing w:before="20" w:after="20"/>
              <w:jc w:val="right"/>
              <w:rPr>
                <w:noProof/>
                <w:sz w:val="20"/>
              </w:rPr>
            </w:pPr>
            <w:r>
              <w:rPr>
                <w:noProof/>
                <w:sz w:val="20"/>
              </w:rPr>
              <w:t xml:space="preserve">      5,264 </w:t>
            </w:r>
          </w:p>
        </w:tc>
        <w:tc>
          <w:tcPr>
            <w:tcW w:w="1134" w:type="dxa"/>
            <w:vAlign w:val="bottom"/>
          </w:tcPr>
          <w:p w:rsidR="00271729" w:rsidRDefault="00AD0727">
            <w:pPr>
              <w:spacing w:before="20" w:after="20"/>
              <w:jc w:val="right"/>
              <w:rPr>
                <w:noProof/>
                <w:sz w:val="20"/>
              </w:rPr>
            </w:pPr>
            <w:r>
              <w:rPr>
                <w:noProof/>
                <w:sz w:val="20"/>
              </w:rPr>
              <w:t xml:space="preserve">        9,766 </w:t>
            </w:r>
          </w:p>
        </w:tc>
        <w:tc>
          <w:tcPr>
            <w:tcW w:w="1984" w:type="dxa"/>
            <w:vAlign w:val="bottom"/>
          </w:tcPr>
          <w:p w:rsidR="00271729" w:rsidRDefault="00AD0727">
            <w:pPr>
              <w:spacing w:before="20" w:after="20"/>
              <w:jc w:val="right"/>
              <w:rPr>
                <w:b/>
                <w:noProof/>
                <w:sz w:val="20"/>
              </w:rPr>
            </w:pPr>
            <w:r>
              <w:rPr>
                <w:noProof/>
                <w:sz w:val="20"/>
              </w:rPr>
              <w:t xml:space="preserve">               </w:t>
            </w:r>
            <w:r>
              <w:rPr>
                <w:b/>
                <w:noProof/>
                <w:sz w:val="20"/>
              </w:rPr>
              <w:t xml:space="preserve">16,862 </w:t>
            </w:r>
          </w:p>
        </w:tc>
      </w:tr>
    </w:tbl>
    <w:p w:rsidR="00271729" w:rsidRDefault="0027172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764"/>
        <w:gridCol w:w="1134"/>
        <w:gridCol w:w="1134"/>
        <w:gridCol w:w="1134"/>
        <w:gridCol w:w="1984"/>
      </w:tblGrid>
      <w:tr w:rsidR="00271729">
        <w:tc>
          <w:tcPr>
            <w:tcW w:w="3960" w:type="dxa"/>
            <w:shd w:val="thinDiagStripe" w:color="C0C0C0" w:fill="auto"/>
            <w:vAlign w:val="center"/>
          </w:tcPr>
          <w:p w:rsidR="00271729" w:rsidRDefault="00AD0727">
            <w:pPr>
              <w:jc w:val="center"/>
              <w:rPr>
                <w:b/>
                <w:noProof/>
                <w:sz w:val="22"/>
              </w:rPr>
            </w:pPr>
            <w:r>
              <w:rPr>
                <w:b/>
                <w:noProof/>
                <w:sz w:val="22"/>
              </w:rPr>
              <w:t>ОБЩО бюджетни кредити</w:t>
            </w:r>
            <w:r>
              <w:rPr>
                <w:noProof/>
                <w:sz w:val="22"/>
              </w:rPr>
              <w:br/>
            </w:r>
            <w:r>
              <w:rPr>
                <w:b/>
                <w:noProof/>
                <w:sz w:val="22"/>
              </w:rPr>
              <w:t xml:space="preserve">за </w:t>
            </w:r>
            <w:r>
              <w:rPr>
                <w:b/>
                <w:noProof/>
                <w:sz w:val="22"/>
              </w:rPr>
              <w:t>ФУНКЦИЯ 5</w:t>
            </w:r>
            <w:r>
              <w:rPr>
                <w:noProof/>
                <w:sz w:val="22"/>
              </w:rPr>
              <w:br/>
              <w:t>от многогодишната финансова рамка</w:t>
            </w:r>
            <w:r>
              <w:rPr>
                <w:b/>
                <w:noProof/>
                <w:sz w:val="22"/>
              </w:rPr>
              <w:t xml:space="preserve"> </w:t>
            </w:r>
          </w:p>
        </w:tc>
        <w:tc>
          <w:tcPr>
            <w:tcW w:w="4764" w:type="dxa"/>
            <w:vAlign w:val="center"/>
          </w:tcPr>
          <w:p w:rsidR="00271729" w:rsidRDefault="00AD0727">
            <w:pPr>
              <w:spacing w:before="40" w:after="40"/>
              <w:rPr>
                <w:noProof/>
                <w:sz w:val="22"/>
              </w:rPr>
            </w:pPr>
            <w:r>
              <w:rPr>
                <w:noProof/>
                <w:sz w:val="18"/>
              </w:rPr>
              <w:t>(Общо поети задължения = Общо плащания)</w:t>
            </w:r>
          </w:p>
        </w:tc>
        <w:tc>
          <w:tcPr>
            <w:tcW w:w="1134" w:type="dxa"/>
            <w:vAlign w:val="center"/>
          </w:tcPr>
          <w:p w:rsidR="00271729" w:rsidRDefault="00AD0727">
            <w:pPr>
              <w:spacing w:before="20" w:after="20"/>
              <w:jc w:val="right"/>
              <w:rPr>
                <w:noProof/>
                <w:sz w:val="20"/>
              </w:rPr>
            </w:pPr>
            <w:r>
              <w:rPr>
                <w:noProof/>
                <w:sz w:val="20"/>
              </w:rPr>
              <w:t>1,832</w:t>
            </w:r>
          </w:p>
        </w:tc>
        <w:tc>
          <w:tcPr>
            <w:tcW w:w="1134" w:type="dxa"/>
            <w:vAlign w:val="center"/>
          </w:tcPr>
          <w:p w:rsidR="00271729" w:rsidRDefault="00AD0727">
            <w:pPr>
              <w:spacing w:before="20" w:after="20"/>
              <w:jc w:val="right"/>
              <w:rPr>
                <w:noProof/>
                <w:sz w:val="20"/>
              </w:rPr>
            </w:pPr>
            <w:r>
              <w:rPr>
                <w:noProof/>
                <w:sz w:val="20"/>
              </w:rPr>
              <w:t>5,264</w:t>
            </w:r>
          </w:p>
        </w:tc>
        <w:tc>
          <w:tcPr>
            <w:tcW w:w="1134" w:type="dxa"/>
            <w:vAlign w:val="center"/>
          </w:tcPr>
          <w:p w:rsidR="00271729" w:rsidRDefault="00AD0727">
            <w:pPr>
              <w:spacing w:before="20" w:after="20"/>
              <w:jc w:val="right"/>
              <w:rPr>
                <w:noProof/>
                <w:sz w:val="20"/>
              </w:rPr>
            </w:pPr>
            <w:r>
              <w:rPr>
                <w:noProof/>
                <w:sz w:val="20"/>
              </w:rPr>
              <w:t>9,766</w:t>
            </w:r>
          </w:p>
        </w:tc>
        <w:tc>
          <w:tcPr>
            <w:tcW w:w="1984" w:type="dxa"/>
            <w:vAlign w:val="center"/>
          </w:tcPr>
          <w:p w:rsidR="00271729" w:rsidRDefault="00AD0727">
            <w:pPr>
              <w:spacing w:before="20" w:after="20"/>
              <w:jc w:val="right"/>
              <w:rPr>
                <w:b/>
                <w:noProof/>
                <w:sz w:val="20"/>
              </w:rPr>
            </w:pPr>
            <w:r>
              <w:rPr>
                <w:b/>
                <w:noProof/>
                <w:sz w:val="20"/>
              </w:rPr>
              <w:t>16,862</w:t>
            </w:r>
          </w:p>
        </w:tc>
      </w:tr>
    </w:tbl>
    <w:p w:rsidR="00271729" w:rsidRDefault="00AD0727">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3204"/>
        <w:gridCol w:w="1134"/>
        <w:gridCol w:w="1134"/>
        <w:gridCol w:w="1134"/>
        <w:gridCol w:w="1984"/>
      </w:tblGrid>
      <w:tr w:rsidR="00271729">
        <w:tc>
          <w:tcPr>
            <w:tcW w:w="3960" w:type="dxa"/>
            <w:tcBorders>
              <w:top w:val="nil"/>
              <w:left w:val="nil"/>
              <w:right w:val="nil"/>
            </w:tcBorders>
            <w:vAlign w:val="center"/>
          </w:tcPr>
          <w:p w:rsidR="00271729" w:rsidRDefault="00271729">
            <w:pPr>
              <w:jc w:val="center"/>
              <w:rPr>
                <w:noProof/>
                <w:sz w:val="22"/>
              </w:rPr>
            </w:pPr>
          </w:p>
        </w:tc>
        <w:tc>
          <w:tcPr>
            <w:tcW w:w="1560" w:type="dxa"/>
            <w:tcBorders>
              <w:top w:val="nil"/>
              <w:left w:val="nil"/>
              <w:right w:val="nil"/>
            </w:tcBorders>
          </w:tcPr>
          <w:p w:rsidR="00271729" w:rsidRDefault="00271729">
            <w:pPr>
              <w:rPr>
                <w:noProof/>
                <w:sz w:val="20"/>
              </w:rPr>
            </w:pPr>
          </w:p>
        </w:tc>
        <w:tc>
          <w:tcPr>
            <w:tcW w:w="3204" w:type="dxa"/>
            <w:tcBorders>
              <w:top w:val="nil"/>
              <w:left w:val="nil"/>
            </w:tcBorders>
          </w:tcPr>
          <w:p w:rsidR="00271729" w:rsidRDefault="00271729">
            <w:pPr>
              <w:jc w:val="center"/>
              <w:rPr>
                <w:noProof/>
                <w:sz w:val="20"/>
              </w:rPr>
            </w:pPr>
          </w:p>
        </w:tc>
        <w:tc>
          <w:tcPr>
            <w:tcW w:w="1134" w:type="dxa"/>
            <w:vAlign w:val="center"/>
          </w:tcPr>
          <w:p w:rsidR="00271729" w:rsidRDefault="00AD0727">
            <w:pPr>
              <w:jc w:val="center"/>
              <w:rPr>
                <w:noProof/>
                <w:sz w:val="20"/>
              </w:rPr>
            </w:pPr>
            <w:r>
              <w:rPr>
                <w:noProof/>
                <w:sz w:val="20"/>
              </w:rPr>
              <w:t>2018 г.</w:t>
            </w:r>
          </w:p>
        </w:tc>
        <w:tc>
          <w:tcPr>
            <w:tcW w:w="1134" w:type="dxa"/>
            <w:vAlign w:val="center"/>
          </w:tcPr>
          <w:p w:rsidR="00271729" w:rsidRDefault="00AD0727">
            <w:pPr>
              <w:jc w:val="center"/>
              <w:rPr>
                <w:noProof/>
                <w:sz w:val="20"/>
              </w:rPr>
            </w:pPr>
            <w:r>
              <w:rPr>
                <w:noProof/>
                <w:sz w:val="20"/>
              </w:rPr>
              <w:t>2019 г.</w:t>
            </w:r>
          </w:p>
        </w:tc>
        <w:tc>
          <w:tcPr>
            <w:tcW w:w="1134" w:type="dxa"/>
            <w:vAlign w:val="center"/>
          </w:tcPr>
          <w:p w:rsidR="00271729" w:rsidRDefault="00AD0727">
            <w:pPr>
              <w:jc w:val="center"/>
              <w:rPr>
                <w:noProof/>
                <w:sz w:val="20"/>
              </w:rPr>
            </w:pPr>
            <w:r>
              <w:rPr>
                <w:noProof/>
                <w:sz w:val="20"/>
              </w:rPr>
              <w:t>2020 г.</w:t>
            </w:r>
          </w:p>
        </w:tc>
        <w:tc>
          <w:tcPr>
            <w:tcW w:w="1984" w:type="dxa"/>
            <w:vAlign w:val="center"/>
          </w:tcPr>
          <w:p w:rsidR="00271729" w:rsidRDefault="00AD0727">
            <w:pPr>
              <w:jc w:val="center"/>
              <w:rPr>
                <w:b/>
                <w:noProof/>
                <w:sz w:val="20"/>
              </w:rPr>
            </w:pPr>
            <w:r>
              <w:rPr>
                <w:b/>
                <w:noProof/>
                <w:sz w:val="20"/>
              </w:rPr>
              <w:t>ОБЩО</w:t>
            </w:r>
          </w:p>
        </w:tc>
      </w:tr>
      <w:tr w:rsidR="00271729">
        <w:tc>
          <w:tcPr>
            <w:tcW w:w="3960" w:type="dxa"/>
            <w:vMerge w:val="restart"/>
            <w:shd w:val="clear" w:color="auto" w:fill="C0C0C0"/>
            <w:vAlign w:val="center"/>
          </w:tcPr>
          <w:p w:rsidR="00271729" w:rsidRDefault="00AD0727">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 xml:space="preserve">от многогодишната </w:t>
            </w:r>
            <w:r>
              <w:rPr>
                <w:noProof/>
                <w:sz w:val="22"/>
              </w:rPr>
              <w:t>финансова рамка</w:t>
            </w:r>
            <w:r>
              <w:rPr>
                <w:b/>
                <w:noProof/>
                <w:sz w:val="22"/>
              </w:rPr>
              <w:t xml:space="preserve"> </w:t>
            </w:r>
          </w:p>
        </w:tc>
        <w:tc>
          <w:tcPr>
            <w:tcW w:w="4764" w:type="dxa"/>
            <w:gridSpan w:val="2"/>
            <w:vAlign w:val="center"/>
          </w:tcPr>
          <w:p w:rsidR="00271729" w:rsidRDefault="00AD0727">
            <w:pPr>
              <w:rPr>
                <w:noProof/>
                <w:sz w:val="14"/>
              </w:rPr>
            </w:pPr>
            <w:r>
              <w:rPr>
                <w:noProof/>
                <w:sz w:val="18"/>
              </w:rPr>
              <w:t>Поети задължения</w:t>
            </w:r>
          </w:p>
        </w:tc>
        <w:tc>
          <w:tcPr>
            <w:tcW w:w="1134" w:type="dxa"/>
            <w:vAlign w:val="center"/>
          </w:tcPr>
          <w:p w:rsidR="00271729" w:rsidRDefault="00AD0727">
            <w:pPr>
              <w:spacing w:before="20" w:after="20"/>
              <w:jc w:val="right"/>
              <w:rPr>
                <w:noProof/>
                <w:sz w:val="20"/>
              </w:rPr>
            </w:pPr>
            <w:r>
              <w:rPr>
                <w:noProof/>
                <w:sz w:val="20"/>
              </w:rPr>
              <w:t>22,989</w:t>
            </w:r>
          </w:p>
        </w:tc>
        <w:tc>
          <w:tcPr>
            <w:tcW w:w="1134" w:type="dxa"/>
            <w:vAlign w:val="center"/>
          </w:tcPr>
          <w:p w:rsidR="00271729" w:rsidRDefault="00AD0727">
            <w:pPr>
              <w:spacing w:before="20" w:after="20"/>
              <w:jc w:val="right"/>
              <w:rPr>
                <w:noProof/>
                <w:sz w:val="20"/>
              </w:rPr>
            </w:pPr>
            <w:r>
              <w:rPr>
                <w:noProof/>
                <w:sz w:val="20"/>
              </w:rPr>
              <w:t>122,464</w:t>
            </w:r>
          </w:p>
        </w:tc>
        <w:tc>
          <w:tcPr>
            <w:tcW w:w="1134" w:type="dxa"/>
            <w:vAlign w:val="center"/>
          </w:tcPr>
          <w:p w:rsidR="00271729" w:rsidRDefault="00AD0727">
            <w:pPr>
              <w:spacing w:before="20" w:after="20"/>
              <w:jc w:val="right"/>
              <w:rPr>
                <w:noProof/>
                <w:sz w:val="20"/>
              </w:rPr>
            </w:pPr>
            <w:r>
              <w:rPr>
                <w:noProof/>
                <w:sz w:val="20"/>
              </w:rPr>
              <w:t>134,547</w:t>
            </w:r>
          </w:p>
        </w:tc>
        <w:tc>
          <w:tcPr>
            <w:tcW w:w="1984" w:type="dxa"/>
            <w:vAlign w:val="center"/>
          </w:tcPr>
          <w:p w:rsidR="00271729" w:rsidRDefault="00AD0727">
            <w:pPr>
              <w:spacing w:before="20" w:after="20"/>
              <w:jc w:val="right"/>
              <w:rPr>
                <w:b/>
                <w:noProof/>
                <w:sz w:val="20"/>
              </w:rPr>
            </w:pPr>
            <w:r>
              <w:rPr>
                <w:b/>
                <w:noProof/>
                <w:sz w:val="20"/>
              </w:rPr>
              <w:t>280,000</w:t>
            </w:r>
          </w:p>
        </w:tc>
      </w:tr>
      <w:tr w:rsidR="00271729">
        <w:tc>
          <w:tcPr>
            <w:tcW w:w="3960" w:type="dxa"/>
            <w:vMerge/>
            <w:shd w:val="clear" w:color="auto" w:fill="C0C0C0"/>
          </w:tcPr>
          <w:p w:rsidR="00271729" w:rsidRDefault="00271729">
            <w:pPr>
              <w:rPr>
                <w:noProof/>
                <w:sz w:val="20"/>
              </w:rPr>
            </w:pPr>
          </w:p>
        </w:tc>
        <w:tc>
          <w:tcPr>
            <w:tcW w:w="4764" w:type="dxa"/>
            <w:gridSpan w:val="2"/>
            <w:vAlign w:val="center"/>
          </w:tcPr>
          <w:p w:rsidR="00271729" w:rsidRDefault="00AD0727">
            <w:pPr>
              <w:rPr>
                <w:noProof/>
                <w:sz w:val="14"/>
              </w:rPr>
            </w:pPr>
            <w:r>
              <w:rPr>
                <w:noProof/>
                <w:sz w:val="18"/>
              </w:rPr>
              <w:t>Плащания</w:t>
            </w:r>
          </w:p>
        </w:tc>
        <w:tc>
          <w:tcPr>
            <w:tcW w:w="1134" w:type="dxa"/>
            <w:vAlign w:val="center"/>
          </w:tcPr>
          <w:p w:rsidR="00271729" w:rsidRDefault="00AD0727">
            <w:pPr>
              <w:spacing w:before="20" w:after="20"/>
              <w:jc w:val="right"/>
              <w:rPr>
                <w:noProof/>
                <w:sz w:val="20"/>
              </w:rPr>
            </w:pPr>
            <w:r>
              <w:rPr>
                <w:noProof/>
                <w:sz w:val="20"/>
              </w:rPr>
              <w:t>13,632</w:t>
            </w:r>
          </w:p>
        </w:tc>
        <w:tc>
          <w:tcPr>
            <w:tcW w:w="1134" w:type="dxa"/>
            <w:vAlign w:val="center"/>
          </w:tcPr>
          <w:p w:rsidR="00271729" w:rsidRDefault="00AD0727">
            <w:pPr>
              <w:spacing w:before="20" w:after="20"/>
              <w:jc w:val="right"/>
              <w:rPr>
                <w:noProof/>
                <w:sz w:val="20"/>
              </w:rPr>
            </w:pPr>
            <w:r>
              <w:rPr>
                <w:noProof/>
                <w:sz w:val="20"/>
              </w:rPr>
              <w:t>63,624</w:t>
            </w:r>
          </w:p>
        </w:tc>
        <w:tc>
          <w:tcPr>
            <w:tcW w:w="1134" w:type="dxa"/>
            <w:vAlign w:val="center"/>
          </w:tcPr>
          <w:p w:rsidR="00271729" w:rsidRDefault="00AD0727">
            <w:pPr>
              <w:spacing w:before="20" w:after="20"/>
              <w:jc w:val="right"/>
              <w:rPr>
                <w:noProof/>
                <w:sz w:val="20"/>
              </w:rPr>
            </w:pPr>
            <w:r>
              <w:rPr>
                <w:noProof/>
                <w:sz w:val="20"/>
              </w:rPr>
              <w:t>127,174</w:t>
            </w:r>
          </w:p>
        </w:tc>
        <w:tc>
          <w:tcPr>
            <w:tcW w:w="1984" w:type="dxa"/>
            <w:vAlign w:val="center"/>
          </w:tcPr>
          <w:p w:rsidR="00271729" w:rsidRDefault="00AD0727">
            <w:pPr>
              <w:spacing w:before="20" w:after="20"/>
              <w:jc w:val="right"/>
              <w:rPr>
                <w:b/>
                <w:noProof/>
                <w:sz w:val="20"/>
              </w:rPr>
            </w:pPr>
            <w:r>
              <w:rPr>
                <w:b/>
                <w:noProof/>
                <w:sz w:val="20"/>
              </w:rPr>
              <w:t>204,430</w:t>
            </w:r>
          </w:p>
        </w:tc>
      </w:tr>
    </w:tbl>
    <w:p w:rsidR="00271729" w:rsidRDefault="00271729">
      <w:pPr>
        <w:rPr>
          <w:noProof/>
        </w:rPr>
        <w:sectPr w:rsidR="00271729" w:rsidSect="002C541A">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rsidR="00271729" w:rsidRDefault="00AD0727">
      <w:pPr>
        <w:pStyle w:val="ManualNumPar3"/>
        <w:rPr>
          <w:noProof/>
        </w:rPr>
      </w:pPr>
      <w:r>
        <w:t>3.2.</w:t>
      </w:r>
      <w:proofErr w:type="spellStart"/>
      <w:r>
        <w:t>2</w:t>
      </w:r>
      <w:proofErr w:type="spellEnd"/>
      <w:r>
        <w:t>.</w:t>
      </w:r>
      <w:r>
        <w:tab/>
      </w:r>
      <w:r>
        <w:rPr>
          <w:noProof/>
        </w:rPr>
        <w:t xml:space="preserve">Очаквано отражение върху бюджетните кредити за оперативни разходи </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ab/>
      </w:r>
      <w:r>
        <w:rPr>
          <w:noProof/>
        </w:rPr>
        <w:t xml:space="preserve">Предложението/инициативата не налага използване на бюджетни кредити за оперативни разходи </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rsidR="00271729" w:rsidRDefault="00AD0727">
      <w:pPr>
        <w:jc w:val="right"/>
        <w:rPr>
          <w:noProof/>
          <w:sz w:val="20"/>
        </w:rPr>
      </w:pPr>
      <w:r>
        <w:rPr>
          <w:noProof/>
          <w:sz w:val="20"/>
        </w:rPr>
        <w:t>Бюджетни кредити за поети задължения в млн. ев</w:t>
      </w:r>
      <w:r>
        <w:rPr>
          <w:noProof/>
          <w:sz w:val="20"/>
        </w:rPr>
        <w:t>ро (до 3-тия знак след десетичната запетая)</w:t>
      </w:r>
    </w:p>
    <w:p w:rsidR="00271729" w:rsidRDefault="00271729">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25"/>
        <w:gridCol w:w="103"/>
        <w:gridCol w:w="701"/>
        <w:gridCol w:w="504"/>
        <w:gridCol w:w="720"/>
        <w:gridCol w:w="540"/>
        <w:gridCol w:w="720"/>
        <w:gridCol w:w="720"/>
        <w:gridCol w:w="720"/>
        <w:gridCol w:w="900"/>
        <w:gridCol w:w="38"/>
        <w:gridCol w:w="682"/>
        <w:gridCol w:w="10"/>
        <w:gridCol w:w="31"/>
        <w:gridCol w:w="499"/>
        <w:gridCol w:w="648"/>
        <w:gridCol w:w="539"/>
        <w:gridCol w:w="613"/>
        <w:gridCol w:w="540"/>
        <w:gridCol w:w="720"/>
        <w:gridCol w:w="878"/>
        <w:gridCol w:w="236"/>
      </w:tblGrid>
      <w:tr w:rsidR="00271729">
        <w:trPr>
          <w:gridAfter w:val="10"/>
          <w:wAfter w:w="4714" w:type="dxa"/>
          <w:jc w:val="center"/>
        </w:trPr>
        <w:tc>
          <w:tcPr>
            <w:tcW w:w="1218" w:type="dxa"/>
            <w:vMerge w:val="restart"/>
            <w:vAlign w:val="center"/>
          </w:tcPr>
          <w:p w:rsidR="00271729" w:rsidRDefault="00AD0727">
            <w:pPr>
              <w:ind w:right="-29"/>
              <w:jc w:val="center"/>
              <w:rPr>
                <w:b/>
                <w:bCs/>
                <w:noProof/>
                <w:sz w:val="18"/>
                <w:szCs w:val="18"/>
              </w:rPr>
            </w:pPr>
            <w:r>
              <w:rPr>
                <w:b/>
                <w:noProof/>
                <w:sz w:val="18"/>
              </w:rPr>
              <w:t xml:space="preserve">Да се посочат целите и резултатите </w:t>
            </w:r>
          </w:p>
          <w:p w:rsidR="00271729" w:rsidRDefault="00271729">
            <w:pPr>
              <w:ind w:right="-29"/>
              <w:jc w:val="center"/>
              <w:rPr>
                <w:b/>
                <w:bCs/>
                <w:noProof/>
                <w:sz w:val="18"/>
                <w:szCs w:val="18"/>
              </w:rPr>
            </w:pPr>
          </w:p>
          <w:p w:rsidR="00271729" w:rsidRDefault="00AD0727">
            <w:pPr>
              <w:ind w:right="-29"/>
              <w:jc w:val="center"/>
              <w:rPr>
                <w:noProof/>
                <w:sz w:val="18"/>
                <w:szCs w:val="18"/>
              </w:rPr>
            </w:pPr>
            <w:r>
              <w:rPr>
                <w:noProof/>
                <w:sz w:val="18"/>
                <w:szCs w:val="18"/>
              </w:rPr>
              <w:sym w:font="Wingdings" w:char="F0F2"/>
            </w:r>
          </w:p>
        </w:tc>
        <w:tc>
          <w:tcPr>
            <w:tcW w:w="1028" w:type="dxa"/>
            <w:gridSpan w:val="2"/>
            <w:vAlign w:val="center"/>
          </w:tcPr>
          <w:p w:rsidR="00271729" w:rsidRDefault="00271729">
            <w:pPr>
              <w:ind w:right="-29"/>
              <w:jc w:val="center"/>
              <w:rPr>
                <w:noProof/>
                <w:sz w:val="18"/>
                <w:szCs w:val="18"/>
              </w:rPr>
            </w:pPr>
          </w:p>
        </w:tc>
        <w:tc>
          <w:tcPr>
            <w:tcW w:w="701" w:type="dxa"/>
            <w:vAlign w:val="center"/>
          </w:tcPr>
          <w:p w:rsidR="00271729" w:rsidRDefault="00271729">
            <w:pPr>
              <w:ind w:right="-29"/>
              <w:jc w:val="center"/>
              <w:rPr>
                <w:noProof/>
                <w:sz w:val="18"/>
                <w:szCs w:val="18"/>
              </w:rPr>
            </w:pPr>
          </w:p>
        </w:tc>
        <w:tc>
          <w:tcPr>
            <w:tcW w:w="1224" w:type="dxa"/>
            <w:gridSpan w:val="2"/>
            <w:tcBorders>
              <w:left w:val="nil"/>
            </w:tcBorders>
            <w:vAlign w:val="center"/>
          </w:tcPr>
          <w:p w:rsidR="00271729" w:rsidRDefault="00AD0727">
            <w:pPr>
              <w:jc w:val="center"/>
              <w:rPr>
                <w:b/>
                <w:noProof/>
                <w:sz w:val="18"/>
                <w:szCs w:val="18"/>
              </w:rPr>
            </w:pPr>
            <w:r>
              <w:rPr>
                <w:noProof/>
                <w:sz w:val="18"/>
              </w:rPr>
              <w:t>Година</w:t>
            </w:r>
            <w:r>
              <w:rPr>
                <w:noProof/>
                <w:sz w:val="18"/>
                <w:szCs w:val="18"/>
              </w:rPr>
              <w:br/>
            </w:r>
            <w:r>
              <w:rPr>
                <w:b/>
                <w:noProof/>
                <w:sz w:val="18"/>
              </w:rPr>
              <w:t>2018</w:t>
            </w:r>
          </w:p>
        </w:tc>
        <w:tc>
          <w:tcPr>
            <w:tcW w:w="1260" w:type="dxa"/>
            <w:gridSpan w:val="2"/>
            <w:vAlign w:val="center"/>
          </w:tcPr>
          <w:p w:rsidR="00271729" w:rsidRDefault="00AD0727">
            <w:pPr>
              <w:jc w:val="center"/>
              <w:rPr>
                <w:b/>
                <w:noProof/>
                <w:sz w:val="18"/>
                <w:szCs w:val="18"/>
              </w:rPr>
            </w:pPr>
            <w:r>
              <w:rPr>
                <w:noProof/>
                <w:sz w:val="18"/>
              </w:rPr>
              <w:t>Година</w:t>
            </w:r>
            <w:r>
              <w:rPr>
                <w:noProof/>
                <w:sz w:val="18"/>
                <w:szCs w:val="18"/>
              </w:rPr>
              <w:br/>
            </w:r>
            <w:r>
              <w:rPr>
                <w:b/>
                <w:noProof/>
                <w:sz w:val="18"/>
              </w:rPr>
              <w:t>2019</w:t>
            </w:r>
          </w:p>
        </w:tc>
        <w:tc>
          <w:tcPr>
            <w:tcW w:w="1440" w:type="dxa"/>
            <w:gridSpan w:val="2"/>
            <w:vAlign w:val="center"/>
          </w:tcPr>
          <w:p w:rsidR="00271729" w:rsidRDefault="00AD0727">
            <w:pPr>
              <w:jc w:val="center"/>
              <w:rPr>
                <w:b/>
                <w:noProof/>
                <w:sz w:val="18"/>
                <w:szCs w:val="18"/>
              </w:rPr>
            </w:pPr>
            <w:r>
              <w:rPr>
                <w:noProof/>
                <w:sz w:val="18"/>
              </w:rPr>
              <w:t>Година</w:t>
            </w:r>
            <w:r>
              <w:rPr>
                <w:noProof/>
                <w:sz w:val="18"/>
                <w:szCs w:val="18"/>
              </w:rPr>
              <w:br/>
            </w:r>
            <w:r>
              <w:rPr>
                <w:b/>
                <w:noProof/>
                <w:sz w:val="18"/>
              </w:rPr>
              <w:t>2020</w:t>
            </w:r>
          </w:p>
        </w:tc>
        <w:tc>
          <w:tcPr>
            <w:tcW w:w="1620" w:type="dxa"/>
            <w:gridSpan w:val="3"/>
            <w:vAlign w:val="center"/>
          </w:tcPr>
          <w:p w:rsidR="00271729" w:rsidRDefault="00AD0727">
            <w:pPr>
              <w:ind w:right="-29"/>
              <w:jc w:val="center"/>
              <w:rPr>
                <w:noProof/>
                <w:sz w:val="18"/>
                <w:szCs w:val="18"/>
              </w:rPr>
            </w:pPr>
            <w:r>
              <w:rPr>
                <w:b/>
                <w:noProof/>
                <w:sz w:val="18"/>
              </w:rPr>
              <w:t>ОБЩО</w:t>
            </w:r>
          </w:p>
        </w:tc>
      </w:tr>
      <w:tr w:rsidR="00271729">
        <w:trPr>
          <w:gridAfter w:val="9"/>
          <w:wAfter w:w="4704" w:type="dxa"/>
          <w:jc w:val="center"/>
        </w:trPr>
        <w:tc>
          <w:tcPr>
            <w:tcW w:w="1218" w:type="dxa"/>
            <w:vMerge/>
            <w:vAlign w:val="center"/>
          </w:tcPr>
          <w:p w:rsidR="00271729" w:rsidRDefault="00271729">
            <w:pPr>
              <w:rPr>
                <w:noProof/>
                <w:sz w:val="18"/>
                <w:szCs w:val="18"/>
              </w:rPr>
            </w:pPr>
          </w:p>
        </w:tc>
        <w:tc>
          <w:tcPr>
            <w:tcW w:w="7283" w:type="dxa"/>
            <w:gridSpan w:val="13"/>
            <w:vAlign w:val="center"/>
          </w:tcPr>
          <w:p w:rsidR="00271729" w:rsidRDefault="00AD0727">
            <w:pPr>
              <w:spacing w:before="60" w:after="60"/>
              <w:ind w:right="-29"/>
              <w:jc w:val="center"/>
              <w:rPr>
                <w:noProof/>
                <w:color w:val="FF0000"/>
                <w:sz w:val="18"/>
                <w:szCs w:val="18"/>
              </w:rPr>
            </w:pPr>
            <w:r>
              <w:rPr>
                <w:b/>
                <w:noProof/>
                <w:color w:val="FF0000"/>
                <w:sz w:val="18"/>
              </w:rPr>
              <w:t>РЕЗУЛТАТИ</w:t>
            </w:r>
          </w:p>
        </w:tc>
      </w:tr>
      <w:tr w:rsidR="00271729">
        <w:trPr>
          <w:gridAfter w:val="10"/>
          <w:wAfter w:w="4714" w:type="dxa"/>
          <w:cantSplit/>
          <w:trHeight w:val="1134"/>
          <w:jc w:val="center"/>
        </w:trPr>
        <w:tc>
          <w:tcPr>
            <w:tcW w:w="1218" w:type="dxa"/>
            <w:vMerge/>
            <w:vAlign w:val="center"/>
          </w:tcPr>
          <w:p w:rsidR="00271729" w:rsidRDefault="00271729">
            <w:pPr>
              <w:rPr>
                <w:noProof/>
                <w:sz w:val="18"/>
                <w:szCs w:val="18"/>
              </w:rPr>
            </w:pPr>
          </w:p>
        </w:tc>
        <w:tc>
          <w:tcPr>
            <w:tcW w:w="925" w:type="dxa"/>
            <w:vAlign w:val="center"/>
          </w:tcPr>
          <w:p w:rsidR="00271729" w:rsidRDefault="00AD0727">
            <w:pPr>
              <w:ind w:right="-263"/>
              <w:rPr>
                <w:noProof/>
                <w:sz w:val="18"/>
                <w:szCs w:val="18"/>
              </w:rPr>
            </w:pPr>
            <w:r>
              <w:rPr>
                <w:noProof/>
                <w:sz w:val="18"/>
              </w:rPr>
              <w:t>Вид резултат</w:t>
            </w:r>
            <w:r>
              <w:rPr>
                <w:rStyle w:val="FootnoteReference"/>
                <w:noProof/>
              </w:rPr>
              <w:footnoteReference w:id="25"/>
            </w:r>
          </w:p>
        </w:tc>
        <w:tc>
          <w:tcPr>
            <w:tcW w:w="804" w:type="dxa"/>
            <w:gridSpan w:val="2"/>
            <w:vAlign w:val="center"/>
          </w:tcPr>
          <w:p w:rsidR="00271729" w:rsidRDefault="00AD0727">
            <w:pPr>
              <w:jc w:val="center"/>
              <w:rPr>
                <w:noProof/>
                <w:sz w:val="18"/>
                <w:szCs w:val="18"/>
              </w:rPr>
            </w:pPr>
            <w:r>
              <w:rPr>
                <w:noProof/>
                <w:sz w:val="18"/>
              </w:rPr>
              <w:t xml:space="preserve">Среден разход </w:t>
            </w:r>
            <w:r>
              <w:rPr>
                <w:noProof/>
                <w:sz w:val="18"/>
                <w:szCs w:val="18"/>
              </w:rPr>
              <w:br/>
            </w:r>
            <w:r>
              <w:rPr>
                <w:noProof/>
                <w:sz w:val="18"/>
              </w:rPr>
              <w:t>за резултата</w:t>
            </w:r>
          </w:p>
        </w:tc>
        <w:tc>
          <w:tcPr>
            <w:tcW w:w="504" w:type="dxa"/>
            <w:tcBorders>
              <w:left w:val="nil"/>
              <w:right w:val="dashSmallGap" w:sz="4" w:space="0" w:color="auto"/>
            </w:tcBorders>
            <w:shd w:val="pct10" w:color="auto" w:fill="auto"/>
            <w:textDirection w:val="btLr"/>
            <w:vAlign w:val="center"/>
          </w:tcPr>
          <w:p w:rsidR="00271729" w:rsidRDefault="00AD0727">
            <w:pPr>
              <w:ind w:left="113" w:right="113"/>
              <w:jc w:val="center"/>
              <w:rPr>
                <w:noProof/>
                <w:sz w:val="18"/>
                <w:szCs w:val="18"/>
              </w:rPr>
            </w:pPr>
            <w:r>
              <w:rPr>
                <w:noProof/>
                <w:sz w:val="18"/>
              </w:rPr>
              <w:t>Брой</w:t>
            </w:r>
            <w:r>
              <w:rPr>
                <w:noProof/>
                <w:sz w:val="18"/>
                <w:szCs w:val="18"/>
              </w:rPr>
              <w:br/>
            </w:r>
            <w:r>
              <w:rPr>
                <w:noProof/>
                <w:sz w:val="18"/>
              </w:rPr>
              <w:t>резултати</w:t>
            </w:r>
          </w:p>
        </w:tc>
        <w:tc>
          <w:tcPr>
            <w:tcW w:w="720" w:type="dxa"/>
            <w:tcBorders>
              <w:left w:val="dashSmallGap" w:sz="4" w:space="0" w:color="auto"/>
            </w:tcBorders>
            <w:shd w:val="pct10" w:color="auto" w:fill="auto"/>
            <w:vAlign w:val="center"/>
          </w:tcPr>
          <w:p w:rsidR="00271729" w:rsidRDefault="00AD0727">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271729" w:rsidRDefault="00AD0727">
            <w:pPr>
              <w:ind w:left="113" w:right="113"/>
              <w:jc w:val="center"/>
              <w:rPr>
                <w:noProof/>
                <w:sz w:val="18"/>
                <w:szCs w:val="18"/>
              </w:rPr>
            </w:pPr>
            <w:r>
              <w:rPr>
                <w:noProof/>
                <w:sz w:val="18"/>
              </w:rPr>
              <w:t>Брой</w:t>
            </w:r>
            <w:r>
              <w:rPr>
                <w:noProof/>
                <w:sz w:val="18"/>
                <w:szCs w:val="18"/>
              </w:rPr>
              <w:br/>
            </w:r>
            <w:r>
              <w:rPr>
                <w:noProof/>
                <w:sz w:val="18"/>
              </w:rPr>
              <w:t>резултати</w:t>
            </w:r>
          </w:p>
        </w:tc>
        <w:tc>
          <w:tcPr>
            <w:tcW w:w="720" w:type="dxa"/>
            <w:tcBorders>
              <w:left w:val="dashSmallGap" w:sz="4" w:space="0" w:color="auto"/>
            </w:tcBorders>
            <w:shd w:val="pct10" w:color="auto" w:fill="auto"/>
            <w:vAlign w:val="center"/>
          </w:tcPr>
          <w:p w:rsidR="00271729" w:rsidRDefault="00AD0727">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271729" w:rsidRDefault="00AD0727">
            <w:pPr>
              <w:ind w:left="113" w:right="113"/>
              <w:jc w:val="center"/>
              <w:rPr>
                <w:noProof/>
                <w:sz w:val="18"/>
                <w:szCs w:val="18"/>
              </w:rPr>
            </w:pPr>
            <w:r>
              <w:rPr>
                <w:noProof/>
                <w:sz w:val="18"/>
              </w:rPr>
              <w:t>Брой</w:t>
            </w:r>
            <w:r>
              <w:rPr>
                <w:noProof/>
                <w:sz w:val="18"/>
                <w:szCs w:val="18"/>
              </w:rPr>
              <w:br/>
            </w:r>
            <w:r>
              <w:rPr>
                <w:noProof/>
                <w:sz w:val="18"/>
              </w:rPr>
              <w:t>резултати</w:t>
            </w:r>
          </w:p>
        </w:tc>
        <w:tc>
          <w:tcPr>
            <w:tcW w:w="720" w:type="dxa"/>
            <w:tcBorders>
              <w:left w:val="dashSmallGap" w:sz="4" w:space="0" w:color="auto"/>
            </w:tcBorders>
            <w:shd w:val="pct10" w:color="auto" w:fill="auto"/>
            <w:vAlign w:val="center"/>
          </w:tcPr>
          <w:p w:rsidR="00271729" w:rsidRDefault="00AD0727">
            <w:pPr>
              <w:jc w:val="center"/>
              <w:rPr>
                <w:noProof/>
                <w:sz w:val="18"/>
                <w:szCs w:val="18"/>
              </w:rPr>
            </w:pPr>
            <w:r>
              <w:rPr>
                <w:noProof/>
                <w:sz w:val="18"/>
              </w:rPr>
              <w:t>Разходи</w:t>
            </w:r>
          </w:p>
        </w:tc>
        <w:tc>
          <w:tcPr>
            <w:tcW w:w="900" w:type="dxa"/>
            <w:tcBorders>
              <w:right w:val="dashSmallGap" w:sz="4" w:space="0" w:color="auto"/>
            </w:tcBorders>
            <w:shd w:val="pct10" w:color="auto" w:fill="auto"/>
            <w:vAlign w:val="center"/>
          </w:tcPr>
          <w:p w:rsidR="00271729" w:rsidRDefault="00AD0727">
            <w:pPr>
              <w:jc w:val="center"/>
              <w:rPr>
                <w:noProof/>
                <w:sz w:val="18"/>
                <w:szCs w:val="18"/>
              </w:rPr>
            </w:pPr>
            <w:r>
              <w:rPr>
                <w:noProof/>
                <w:sz w:val="18"/>
              </w:rPr>
              <w:t xml:space="preserve">Общ </w:t>
            </w:r>
            <w:r>
              <w:rPr>
                <w:noProof/>
                <w:sz w:val="18"/>
              </w:rPr>
              <w:t>брой на резултатите</w:t>
            </w:r>
          </w:p>
        </w:tc>
        <w:tc>
          <w:tcPr>
            <w:tcW w:w="720" w:type="dxa"/>
            <w:gridSpan w:val="2"/>
            <w:tcBorders>
              <w:left w:val="dashSmallGap" w:sz="4" w:space="0" w:color="auto"/>
            </w:tcBorders>
            <w:shd w:val="pct10" w:color="auto" w:fill="auto"/>
            <w:vAlign w:val="center"/>
          </w:tcPr>
          <w:p w:rsidR="00271729" w:rsidRDefault="00AD0727">
            <w:pPr>
              <w:jc w:val="center"/>
              <w:rPr>
                <w:noProof/>
                <w:sz w:val="18"/>
                <w:szCs w:val="18"/>
              </w:rPr>
            </w:pPr>
            <w:r>
              <w:rPr>
                <w:noProof/>
                <w:sz w:val="18"/>
              </w:rPr>
              <w:t xml:space="preserve">Общо </w:t>
            </w:r>
            <w:r>
              <w:rPr>
                <w:noProof/>
                <w:sz w:val="18"/>
                <w:szCs w:val="18"/>
              </w:rPr>
              <w:br/>
            </w:r>
            <w:r>
              <w:rPr>
                <w:noProof/>
                <w:sz w:val="18"/>
              </w:rPr>
              <w:t>разходи</w:t>
            </w:r>
          </w:p>
        </w:tc>
      </w:tr>
      <w:tr w:rsidR="00271729">
        <w:trPr>
          <w:jc w:val="center"/>
        </w:trPr>
        <w:tc>
          <w:tcPr>
            <w:tcW w:w="2947" w:type="dxa"/>
            <w:gridSpan w:val="4"/>
            <w:vAlign w:val="center"/>
          </w:tcPr>
          <w:p w:rsidR="00271729" w:rsidRDefault="00AD0727">
            <w:pPr>
              <w:spacing w:before="60" w:after="60"/>
              <w:ind w:right="-29"/>
              <w:jc w:val="center"/>
              <w:rPr>
                <w:noProof/>
                <w:sz w:val="18"/>
                <w:szCs w:val="18"/>
              </w:rPr>
            </w:pPr>
            <w:r>
              <w:rPr>
                <w:noProof/>
                <w:sz w:val="18"/>
              </w:rPr>
              <w:t>КОНКРЕТНА ЦЕЛ № 1 — Превенция</w:t>
            </w:r>
            <w:r>
              <w:rPr>
                <w:rStyle w:val="FootnoteReference"/>
                <w:noProof/>
              </w:rPr>
              <w:footnoteReference w:id="26"/>
            </w:r>
            <w:r>
              <w:rPr>
                <w:noProof/>
                <w:sz w:val="18"/>
              </w:rPr>
              <w:t>…</w:t>
            </w:r>
          </w:p>
        </w:tc>
        <w:tc>
          <w:tcPr>
            <w:tcW w:w="504" w:type="dxa"/>
            <w:tcBorders>
              <w:top w:val="nil"/>
              <w:left w:val="nil"/>
              <w:bottom w:val="nil"/>
              <w:right w:val="nil"/>
            </w:tcBorders>
          </w:tcPr>
          <w:p w:rsidR="00271729" w:rsidRDefault="00271729">
            <w:pPr>
              <w:spacing w:before="60" w:after="60"/>
              <w:ind w:right="-29"/>
              <w:jc w:val="center"/>
              <w:rPr>
                <w:noProof/>
                <w:color w:val="FF0000"/>
                <w:sz w:val="18"/>
                <w:szCs w:val="18"/>
              </w:rPr>
            </w:pPr>
          </w:p>
        </w:tc>
        <w:tc>
          <w:tcPr>
            <w:tcW w:w="720" w:type="dxa"/>
            <w:tcBorders>
              <w:top w:val="nil"/>
              <w:left w:val="nil"/>
              <w:bottom w:val="nil"/>
              <w:right w:val="nil"/>
            </w:tcBorders>
          </w:tcPr>
          <w:p w:rsidR="00271729" w:rsidRDefault="00271729">
            <w:pPr>
              <w:spacing w:before="60" w:after="60"/>
              <w:ind w:right="-29"/>
              <w:jc w:val="center"/>
              <w:rPr>
                <w:noProof/>
                <w:color w:val="FF0000"/>
                <w:sz w:val="18"/>
                <w:szCs w:val="18"/>
              </w:rPr>
            </w:pPr>
          </w:p>
        </w:tc>
        <w:tc>
          <w:tcPr>
            <w:tcW w:w="540" w:type="dxa"/>
            <w:tcBorders>
              <w:top w:val="nil"/>
              <w:left w:val="nil"/>
              <w:bottom w:val="nil"/>
              <w:right w:val="nil"/>
            </w:tcBorders>
          </w:tcPr>
          <w:p w:rsidR="00271729" w:rsidRDefault="00271729">
            <w:pPr>
              <w:spacing w:before="60" w:after="60"/>
              <w:ind w:right="-29"/>
              <w:jc w:val="center"/>
              <w:rPr>
                <w:noProof/>
                <w:color w:val="FF0000"/>
                <w:sz w:val="18"/>
                <w:szCs w:val="18"/>
              </w:rPr>
            </w:pPr>
          </w:p>
        </w:tc>
        <w:tc>
          <w:tcPr>
            <w:tcW w:w="720" w:type="dxa"/>
            <w:tcBorders>
              <w:top w:val="nil"/>
              <w:left w:val="nil"/>
              <w:bottom w:val="nil"/>
              <w:right w:val="nil"/>
            </w:tcBorders>
          </w:tcPr>
          <w:p w:rsidR="00271729" w:rsidRDefault="00271729">
            <w:pPr>
              <w:spacing w:before="60" w:after="60"/>
              <w:ind w:right="-29"/>
              <w:jc w:val="center"/>
              <w:rPr>
                <w:noProof/>
                <w:color w:val="FF0000"/>
                <w:sz w:val="18"/>
                <w:szCs w:val="18"/>
              </w:rPr>
            </w:pPr>
          </w:p>
        </w:tc>
        <w:tc>
          <w:tcPr>
            <w:tcW w:w="720" w:type="dxa"/>
            <w:tcBorders>
              <w:top w:val="nil"/>
              <w:left w:val="nil"/>
              <w:bottom w:val="nil"/>
              <w:right w:val="nil"/>
            </w:tcBorders>
          </w:tcPr>
          <w:p w:rsidR="00271729" w:rsidRDefault="00271729">
            <w:pPr>
              <w:spacing w:before="60" w:after="60"/>
              <w:ind w:right="-29"/>
              <w:jc w:val="center"/>
              <w:rPr>
                <w:noProof/>
                <w:color w:val="FF0000"/>
                <w:sz w:val="18"/>
                <w:szCs w:val="18"/>
              </w:rPr>
            </w:pPr>
          </w:p>
        </w:tc>
        <w:tc>
          <w:tcPr>
            <w:tcW w:w="720" w:type="dxa"/>
            <w:tcBorders>
              <w:top w:val="nil"/>
              <w:left w:val="nil"/>
              <w:bottom w:val="nil"/>
              <w:right w:val="nil"/>
            </w:tcBorders>
          </w:tcPr>
          <w:p w:rsidR="00271729" w:rsidRDefault="00271729">
            <w:pPr>
              <w:spacing w:before="60" w:after="60"/>
              <w:ind w:right="-29"/>
              <w:jc w:val="center"/>
              <w:rPr>
                <w:noProof/>
                <w:color w:val="FF0000"/>
                <w:sz w:val="18"/>
                <w:szCs w:val="18"/>
              </w:rPr>
            </w:pPr>
          </w:p>
        </w:tc>
        <w:tc>
          <w:tcPr>
            <w:tcW w:w="900" w:type="dxa"/>
            <w:tcBorders>
              <w:top w:val="nil"/>
              <w:left w:val="nil"/>
              <w:bottom w:val="nil"/>
              <w:right w:val="nil"/>
            </w:tcBorders>
          </w:tcPr>
          <w:p w:rsidR="00271729" w:rsidRDefault="00271729">
            <w:pPr>
              <w:spacing w:before="60" w:after="60"/>
              <w:ind w:right="-29"/>
              <w:jc w:val="center"/>
              <w:rPr>
                <w:noProof/>
                <w:color w:val="FF0000"/>
                <w:sz w:val="18"/>
                <w:szCs w:val="18"/>
              </w:rPr>
            </w:pPr>
          </w:p>
        </w:tc>
        <w:tc>
          <w:tcPr>
            <w:tcW w:w="720" w:type="dxa"/>
            <w:gridSpan w:val="2"/>
            <w:tcBorders>
              <w:top w:val="nil"/>
              <w:left w:val="nil"/>
              <w:bottom w:val="nil"/>
              <w:right w:val="nil"/>
            </w:tcBorders>
          </w:tcPr>
          <w:p w:rsidR="00271729" w:rsidRDefault="00271729">
            <w:pPr>
              <w:spacing w:before="60" w:after="60"/>
              <w:ind w:right="-29"/>
              <w:jc w:val="center"/>
              <w:rPr>
                <w:noProof/>
                <w:color w:val="FF0000"/>
                <w:sz w:val="18"/>
                <w:szCs w:val="18"/>
              </w:rPr>
            </w:pPr>
          </w:p>
        </w:tc>
        <w:tc>
          <w:tcPr>
            <w:tcW w:w="540" w:type="dxa"/>
            <w:gridSpan w:val="3"/>
            <w:tcBorders>
              <w:top w:val="nil"/>
              <w:left w:val="nil"/>
              <w:bottom w:val="nil"/>
              <w:right w:val="nil"/>
            </w:tcBorders>
          </w:tcPr>
          <w:p w:rsidR="00271729" w:rsidRDefault="00271729">
            <w:pPr>
              <w:spacing w:before="60" w:after="60"/>
              <w:ind w:right="-29"/>
              <w:jc w:val="center"/>
              <w:rPr>
                <w:noProof/>
                <w:sz w:val="18"/>
                <w:szCs w:val="18"/>
              </w:rPr>
            </w:pPr>
          </w:p>
        </w:tc>
        <w:tc>
          <w:tcPr>
            <w:tcW w:w="648" w:type="dxa"/>
            <w:tcBorders>
              <w:top w:val="nil"/>
              <w:left w:val="nil"/>
              <w:bottom w:val="nil"/>
              <w:right w:val="nil"/>
            </w:tcBorders>
          </w:tcPr>
          <w:p w:rsidR="00271729" w:rsidRDefault="00271729">
            <w:pPr>
              <w:spacing w:before="60" w:after="60"/>
              <w:ind w:right="-29"/>
              <w:jc w:val="center"/>
              <w:rPr>
                <w:noProof/>
                <w:sz w:val="18"/>
                <w:szCs w:val="18"/>
              </w:rPr>
            </w:pPr>
          </w:p>
        </w:tc>
        <w:tc>
          <w:tcPr>
            <w:tcW w:w="539" w:type="dxa"/>
            <w:tcBorders>
              <w:top w:val="nil"/>
              <w:left w:val="nil"/>
              <w:bottom w:val="nil"/>
              <w:right w:val="nil"/>
            </w:tcBorders>
          </w:tcPr>
          <w:p w:rsidR="00271729" w:rsidRDefault="00271729">
            <w:pPr>
              <w:spacing w:before="60" w:after="60"/>
              <w:ind w:right="-29"/>
              <w:jc w:val="center"/>
              <w:rPr>
                <w:noProof/>
                <w:sz w:val="18"/>
                <w:szCs w:val="18"/>
              </w:rPr>
            </w:pPr>
          </w:p>
        </w:tc>
        <w:tc>
          <w:tcPr>
            <w:tcW w:w="613"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878" w:type="dxa"/>
            <w:tcBorders>
              <w:top w:val="nil"/>
              <w:left w:val="nil"/>
              <w:bottom w:val="nil"/>
              <w:right w:val="nil"/>
            </w:tcBorders>
          </w:tcPr>
          <w:p w:rsidR="00271729" w:rsidRDefault="00271729">
            <w:pPr>
              <w:spacing w:before="60" w:after="60"/>
              <w:ind w:right="-29"/>
              <w:jc w:val="center"/>
              <w:rPr>
                <w:noProof/>
                <w:sz w:val="18"/>
                <w:szCs w:val="18"/>
              </w:rPr>
            </w:pPr>
          </w:p>
        </w:tc>
        <w:tc>
          <w:tcPr>
            <w:tcW w:w="236" w:type="dxa"/>
            <w:tcBorders>
              <w:top w:val="nil"/>
              <w:left w:val="nil"/>
              <w:bottom w:val="nil"/>
              <w:right w:val="nil"/>
            </w:tcBorders>
          </w:tcPr>
          <w:p w:rsidR="00271729" w:rsidRDefault="00271729">
            <w:pPr>
              <w:spacing w:before="60" w:after="60"/>
              <w:ind w:right="-29"/>
              <w:jc w:val="center"/>
              <w:rPr>
                <w:noProof/>
                <w:sz w:val="18"/>
                <w:szCs w:val="18"/>
              </w:rPr>
            </w:pPr>
          </w:p>
        </w:tc>
      </w:tr>
      <w:tr w:rsidR="00271729">
        <w:trPr>
          <w:gridAfter w:val="10"/>
          <w:wAfter w:w="4714" w:type="dxa"/>
          <w:trHeight w:hRule="exact" w:val="1570"/>
          <w:jc w:val="center"/>
        </w:trPr>
        <w:tc>
          <w:tcPr>
            <w:tcW w:w="1218" w:type="dxa"/>
          </w:tcPr>
          <w:p w:rsidR="00271729" w:rsidRDefault="00AD0727">
            <w:pPr>
              <w:ind w:right="-29"/>
              <w:rPr>
                <w:noProof/>
                <w:sz w:val="18"/>
                <w:szCs w:val="18"/>
              </w:rPr>
            </w:pPr>
            <w:r>
              <w:rPr>
                <w:noProof/>
                <w:sz w:val="18"/>
              </w:rPr>
              <w:t>Брой финансирани проекти в областта на превенцията</w:t>
            </w:r>
          </w:p>
        </w:tc>
        <w:tc>
          <w:tcPr>
            <w:tcW w:w="1028" w:type="dxa"/>
            <w:gridSpan w:val="2"/>
          </w:tcPr>
          <w:p w:rsidR="00271729" w:rsidRDefault="00AD0727">
            <w:pPr>
              <w:ind w:right="-29"/>
              <w:rPr>
                <w:noProof/>
                <w:sz w:val="18"/>
                <w:szCs w:val="18"/>
              </w:rPr>
            </w:pPr>
            <w:r>
              <w:rPr>
                <w:noProof/>
                <w:sz w:val="18"/>
              </w:rPr>
              <w:t>Споразумения за отпускане на безвъзмездни средства</w:t>
            </w:r>
          </w:p>
        </w:tc>
        <w:tc>
          <w:tcPr>
            <w:tcW w:w="701" w:type="dxa"/>
          </w:tcPr>
          <w:p w:rsidR="00271729" w:rsidRDefault="00AD0727">
            <w:pPr>
              <w:ind w:right="-29"/>
              <w:rPr>
                <w:noProof/>
                <w:sz w:val="18"/>
                <w:szCs w:val="18"/>
              </w:rPr>
            </w:pPr>
            <w:r>
              <w:rPr>
                <w:noProof/>
                <w:sz w:val="18"/>
              </w:rPr>
              <w:t>0,3</w:t>
            </w:r>
          </w:p>
        </w:tc>
        <w:tc>
          <w:tcPr>
            <w:tcW w:w="504" w:type="dxa"/>
            <w:tcBorders>
              <w:right w:val="dashSmallGap" w:sz="4" w:space="0" w:color="auto"/>
            </w:tcBorders>
          </w:tcPr>
          <w:p w:rsidR="00271729" w:rsidRDefault="00AD0727">
            <w:pPr>
              <w:ind w:right="-29"/>
              <w:rPr>
                <w:noProof/>
                <w:sz w:val="18"/>
                <w:szCs w:val="18"/>
              </w:rPr>
            </w:pPr>
            <w:r>
              <w:rPr>
                <w:noProof/>
                <w:sz w:val="18"/>
              </w:rPr>
              <w:t>15</w:t>
            </w:r>
          </w:p>
        </w:tc>
        <w:tc>
          <w:tcPr>
            <w:tcW w:w="720" w:type="dxa"/>
            <w:tcBorders>
              <w:left w:val="dashSmallGap" w:sz="4" w:space="0" w:color="auto"/>
            </w:tcBorders>
          </w:tcPr>
          <w:p w:rsidR="00271729" w:rsidRDefault="00AD0727">
            <w:pPr>
              <w:ind w:right="-29"/>
              <w:rPr>
                <w:noProof/>
                <w:sz w:val="18"/>
                <w:szCs w:val="18"/>
              </w:rPr>
            </w:pPr>
            <w:r>
              <w:rPr>
                <w:noProof/>
                <w:sz w:val="18"/>
              </w:rPr>
              <w:t>3</w:t>
            </w:r>
          </w:p>
        </w:tc>
        <w:tc>
          <w:tcPr>
            <w:tcW w:w="540" w:type="dxa"/>
            <w:tcBorders>
              <w:right w:val="dashSmallGap" w:sz="4" w:space="0" w:color="auto"/>
            </w:tcBorders>
          </w:tcPr>
          <w:p w:rsidR="00271729" w:rsidRDefault="00AD0727">
            <w:pPr>
              <w:ind w:right="-29"/>
              <w:rPr>
                <w:noProof/>
                <w:sz w:val="18"/>
                <w:szCs w:val="18"/>
              </w:rPr>
            </w:pPr>
            <w:r>
              <w:rPr>
                <w:noProof/>
                <w:sz w:val="18"/>
              </w:rPr>
              <w:t>15</w:t>
            </w:r>
          </w:p>
        </w:tc>
        <w:tc>
          <w:tcPr>
            <w:tcW w:w="720" w:type="dxa"/>
            <w:tcBorders>
              <w:left w:val="dashSmallGap" w:sz="4" w:space="0" w:color="auto"/>
            </w:tcBorders>
          </w:tcPr>
          <w:p w:rsidR="00271729" w:rsidRDefault="00AD0727">
            <w:pPr>
              <w:ind w:right="-29"/>
              <w:rPr>
                <w:noProof/>
                <w:sz w:val="18"/>
                <w:szCs w:val="18"/>
              </w:rPr>
            </w:pPr>
            <w:r>
              <w:rPr>
                <w:noProof/>
                <w:sz w:val="18"/>
              </w:rPr>
              <w:t>3</w:t>
            </w:r>
          </w:p>
        </w:tc>
        <w:tc>
          <w:tcPr>
            <w:tcW w:w="720" w:type="dxa"/>
            <w:tcBorders>
              <w:right w:val="dashSmallGap" w:sz="4" w:space="0" w:color="auto"/>
            </w:tcBorders>
          </w:tcPr>
          <w:p w:rsidR="00271729" w:rsidRDefault="00AD0727">
            <w:pPr>
              <w:ind w:right="-29"/>
              <w:rPr>
                <w:noProof/>
                <w:sz w:val="18"/>
                <w:szCs w:val="18"/>
              </w:rPr>
            </w:pPr>
            <w:r>
              <w:rPr>
                <w:noProof/>
                <w:sz w:val="18"/>
              </w:rPr>
              <w:t>15</w:t>
            </w:r>
          </w:p>
        </w:tc>
        <w:tc>
          <w:tcPr>
            <w:tcW w:w="720" w:type="dxa"/>
            <w:tcBorders>
              <w:left w:val="dashSmallGap" w:sz="4" w:space="0" w:color="auto"/>
            </w:tcBorders>
          </w:tcPr>
          <w:p w:rsidR="00271729" w:rsidRDefault="00AD0727">
            <w:pPr>
              <w:ind w:right="-29"/>
              <w:rPr>
                <w:noProof/>
                <w:sz w:val="18"/>
                <w:szCs w:val="18"/>
              </w:rPr>
            </w:pPr>
            <w:r>
              <w:rPr>
                <w:noProof/>
                <w:sz w:val="18"/>
              </w:rPr>
              <w:t>3</w:t>
            </w:r>
          </w:p>
        </w:tc>
        <w:tc>
          <w:tcPr>
            <w:tcW w:w="900" w:type="dxa"/>
            <w:tcBorders>
              <w:right w:val="dashSmallGap" w:sz="4" w:space="0" w:color="auto"/>
            </w:tcBorders>
          </w:tcPr>
          <w:p w:rsidR="00271729" w:rsidRDefault="00AD0727">
            <w:pPr>
              <w:ind w:right="-29"/>
              <w:rPr>
                <w:noProof/>
                <w:sz w:val="18"/>
                <w:szCs w:val="18"/>
              </w:rPr>
            </w:pPr>
            <w:r>
              <w:rPr>
                <w:noProof/>
                <w:sz w:val="18"/>
              </w:rPr>
              <w:t>45</w:t>
            </w:r>
          </w:p>
        </w:tc>
        <w:tc>
          <w:tcPr>
            <w:tcW w:w="720" w:type="dxa"/>
            <w:gridSpan w:val="2"/>
            <w:tcBorders>
              <w:left w:val="dashSmallGap" w:sz="4" w:space="0" w:color="auto"/>
            </w:tcBorders>
          </w:tcPr>
          <w:p w:rsidR="00271729" w:rsidRDefault="00AD0727">
            <w:pPr>
              <w:ind w:right="-29"/>
              <w:jc w:val="center"/>
              <w:rPr>
                <w:noProof/>
                <w:sz w:val="18"/>
                <w:szCs w:val="18"/>
              </w:rPr>
            </w:pPr>
            <w:r>
              <w:rPr>
                <w:noProof/>
                <w:sz w:val="18"/>
              </w:rPr>
              <w:t>9</w:t>
            </w:r>
          </w:p>
        </w:tc>
      </w:tr>
      <w:tr w:rsidR="00271729">
        <w:trPr>
          <w:gridAfter w:val="10"/>
          <w:wAfter w:w="4714" w:type="dxa"/>
          <w:trHeight w:hRule="exact" w:val="719"/>
          <w:jc w:val="center"/>
        </w:trPr>
        <w:tc>
          <w:tcPr>
            <w:tcW w:w="1218" w:type="dxa"/>
          </w:tcPr>
          <w:p w:rsidR="00271729" w:rsidRDefault="00AD0727">
            <w:pPr>
              <w:ind w:right="-29"/>
              <w:rPr>
                <w:noProof/>
                <w:sz w:val="18"/>
                <w:szCs w:val="18"/>
              </w:rPr>
            </w:pPr>
            <w:r>
              <w:rPr>
                <w:noProof/>
                <w:sz w:val="18"/>
              </w:rPr>
              <w:t>Проучвания</w:t>
            </w:r>
          </w:p>
        </w:tc>
        <w:tc>
          <w:tcPr>
            <w:tcW w:w="1028" w:type="dxa"/>
            <w:gridSpan w:val="2"/>
          </w:tcPr>
          <w:p w:rsidR="00271729" w:rsidRDefault="00AD0727">
            <w:pPr>
              <w:ind w:right="-29"/>
              <w:rPr>
                <w:noProof/>
                <w:sz w:val="18"/>
                <w:szCs w:val="18"/>
              </w:rPr>
            </w:pPr>
            <w:r>
              <w:rPr>
                <w:noProof/>
                <w:sz w:val="18"/>
              </w:rPr>
              <w:t>Брой договори</w:t>
            </w:r>
          </w:p>
        </w:tc>
        <w:tc>
          <w:tcPr>
            <w:tcW w:w="701" w:type="dxa"/>
          </w:tcPr>
          <w:p w:rsidR="00271729" w:rsidRDefault="00AD0727">
            <w:pPr>
              <w:ind w:right="-29"/>
              <w:jc w:val="center"/>
              <w:rPr>
                <w:noProof/>
                <w:sz w:val="18"/>
                <w:szCs w:val="18"/>
              </w:rPr>
            </w:pPr>
            <w:r>
              <w:rPr>
                <w:noProof/>
                <w:sz w:val="18"/>
              </w:rPr>
              <w:t>0,1</w:t>
            </w:r>
          </w:p>
        </w:tc>
        <w:tc>
          <w:tcPr>
            <w:tcW w:w="504" w:type="dxa"/>
          </w:tcPr>
          <w:p w:rsidR="00271729" w:rsidRDefault="00AD0727">
            <w:pPr>
              <w:ind w:right="-29"/>
              <w:jc w:val="center"/>
              <w:rPr>
                <w:noProof/>
                <w:sz w:val="18"/>
                <w:szCs w:val="18"/>
              </w:rPr>
            </w:pPr>
            <w:r>
              <w:rPr>
                <w:noProof/>
                <w:sz w:val="18"/>
              </w:rPr>
              <w:t>5</w:t>
            </w:r>
          </w:p>
        </w:tc>
        <w:tc>
          <w:tcPr>
            <w:tcW w:w="720" w:type="dxa"/>
          </w:tcPr>
          <w:p w:rsidR="00271729" w:rsidRDefault="00AD0727">
            <w:pPr>
              <w:ind w:right="-29"/>
              <w:jc w:val="center"/>
              <w:rPr>
                <w:noProof/>
                <w:sz w:val="18"/>
                <w:szCs w:val="18"/>
              </w:rPr>
            </w:pPr>
            <w:r>
              <w:rPr>
                <w:noProof/>
                <w:sz w:val="18"/>
              </w:rPr>
              <w:t>0,5</w:t>
            </w:r>
          </w:p>
        </w:tc>
        <w:tc>
          <w:tcPr>
            <w:tcW w:w="540" w:type="dxa"/>
          </w:tcPr>
          <w:p w:rsidR="00271729" w:rsidRDefault="00AD0727">
            <w:pPr>
              <w:ind w:right="-29"/>
              <w:jc w:val="center"/>
              <w:rPr>
                <w:noProof/>
                <w:sz w:val="18"/>
                <w:szCs w:val="18"/>
              </w:rPr>
            </w:pPr>
            <w:r>
              <w:rPr>
                <w:noProof/>
                <w:sz w:val="18"/>
              </w:rPr>
              <w:t>5</w:t>
            </w:r>
          </w:p>
        </w:tc>
        <w:tc>
          <w:tcPr>
            <w:tcW w:w="720" w:type="dxa"/>
          </w:tcPr>
          <w:p w:rsidR="00271729" w:rsidRDefault="00AD0727">
            <w:pPr>
              <w:ind w:right="-29"/>
              <w:jc w:val="center"/>
              <w:rPr>
                <w:noProof/>
                <w:sz w:val="18"/>
                <w:szCs w:val="18"/>
              </w:rPr>
            </w:pPr>
            <w:r>
              <w:rPr>
                <w:noProof/>
                <w:sz w:val="18"/>
              </w:rPr>
              <w:t>0,5</w:t>
            </w:r>
          </w:p>
        </w:tc>
        <w:tc>
          <w:tcPr>
            <w:tcW w:w="720" w:type="dxa"/>
          </w:tcPr>
          <w:p w:rsidR="00271729" w:rsidRDefault="00AD0727">
            <w:pPr>
              <w:ind w:right="-29"/>
              <w:jc w:val="center"/>
              <w:rPr>
                <w:noProof/>
                <w:sz w:val="18"/>
                <w:szCs w:val="18"/>
              </w:rPr>
            </w:pPr>
            <w:r>
              <w:rPr>
                <w:noProof/>
                <w:sz w:val="18"/>
              </w:rPr>
              <w:t>5</w:t>
            </w:r>
          </w:p>
        </w:tc>
        <w:tc>
          <w:tcPr>
            <w:tcW w:w="720" w:type="dxa"/>
          </w:tcPr>
          <w:p w:rsidR="00271729" w:rsidRDefault="00AD0727">
            <w:pPr>
              <w:ind w:right="-29"/>
              <w:jc w:val="center"/>
              <w:rPr>
                <w:noProof/>
                <w:sz w:val="18"/>
                <w:szCs w:val="18"/>
              </w:rPr>
            </w:pPr>
            <w:r>
              <w:rPr>
                <w:noProof/>
                <w:sz w:val="18"/>
              </w:rPr>
              <w:t>0,5</w:t>
            </w:r>
          </w:p>
        </w:tc>
        <w:tc>
          <w:tcPr>
            <w:tcW w:w="900" w:type="dxa"/>
          </w:tcPr>
          <w:p w:rsidR="00271729" w:rsidRDefault="00AD0727">
            <w:pPr>
              <w:ind w:right="-29"/>
              <w:jc w:val="center"/>
              <w:rPr>
                <w:noProof/>
                <w:sz w:val="18"/>
                <w:szCs w:val="18"/>
              </w:rPr>
            </w:pPr>
            <w:r>
              <w:rPr>
                <w:noProof/>
                <w:sz w:val="18"/>
              </w:rPr>
              <w:t>15</w:t>
            </w:r>
          </w:p>
        </w:tc>
        <w:tc>
          <w:tcPr>
            <w:tcW w:w="720" w:type="dxa"/>
            <w:gridSpan w:val="2"/>
          </w:tcPr>
          <w:p w:rsidR="00271729" w:rsidRDefault="00AD0727">
            <w:pPr>
              <w:ind w:right="-29"/>
              <w:jc w:val="center"/>
              <w:rPr>
                <w:noProof/>
                <w:sz w:val="18"/>
                <w:szCs w:val="18"/>
              </w:rPr>
            </w:pPr>
            <w:r>
              <w:rPr>
                <w:noProof/>
                <w:sz w:val="18"/>
              </w:rPr>
              <w:t>1,5</w:t>
            </w:r>
          </w:p>
        </w:tc>
      </w:tr>
      <w:tr w:rsidR="00271729">
        <w:trPr>
          <w:gridAfter w:val="10"/>
          <w:wAfter w:w="4714" w:type="dxa"/>
          <w:trHeight w:val="1060"/>
          <w:jc w:val="center"/>
        </w:trPr>
        <w:tc>
          <w:tcPr>
            <w:tcW w:w="2947" w:type="dxa"/>
            <w:gridSpan w:val="4"/>
            <w:vAlign w:val="center"/>
          </w:tcPr>
          <w:p w:rsidR="00271729" w:rsidRDefault="00AD0727">
            <w:pPr>
              <w:ind w:right="-29"/>
              <w:jc w:val="center"/>
              <w:rPr>
                <w:noProof/>
                <w:sz w:val="18"/>
                <w:szCs w:val="18"/>
              </w:rPr>
            </w:pPr>
            <w:r>
              <w:rPr>
                <w:noProof/>
                <w:sz w:val="18"/>
              </w:rPr>
              <w:t>Междинен сбор за конкретна цел № 1</w:t>
            </w:r>
          </w:p>
        </w:tc>
        <w:tc>
          <w:tcPr>
            <w:tcW w:w="504" w:type="dxa"/>
          </w:tcPr>
          <w:p w:rsidR="00271729" w:rsidRDefault="00AD0727">
            <w:pPr>
              <w:ind w:right="-29"/>
              <w:jc w:val="center"/>
              <w:rPr>
                <w:noProof/>
                <w:sz w:val="18"/>
                <w:szCs w:val="18"/>
              </w:rPr>
            </w:pPr>
            <w:r>
              <w:rPr>
                <w:noProof/>
                <w:sz w:val="18"/>
              </w:rPr>
              <w:t>20</w:t>
            </w:r>
          </w:p>
        </w:tc>
        <w:tc>
          <w:tcPr>
            <w:tcW w:w="720" w:type="dxa"/>
            <w:tcBorders>
              <w:bottom w:val="single" w:sz="12" w:space="0" w:color="auto"/>
            </w:tcBorders>
          </w:tcPr>
          <w:p w:rsidR="00271729" w:rsidRDefault="00AD0727">
            <w:pPr>
              <w:ind w:right="-29"/>
              <w:jc w:val="center"/>
              <w:rPr>
                <w:noProof/>
                <w:sz w:val="18"/>
                <w:szCs w:val="18"/>
              </w:rPr>
            </w:pPr>
            <w:r>
              <w:rPr>
                <w:noProof/>
                <w:sz w:val="18"/>
              </w:rPr>
              <w:t>3,5</w:t>
            </w:r>
          </w:p>
        </w:tc>
        <w:tc>
          <w:tcPr>
            <w:tcW w:w="540" w:type="dxa"/>
            <w:tcBorders>
              <w:bottom w:val="single" w:sz="12" w:space="0" w:color="auto"/>
            </w:tcBorders>
          </w:tcPr>
          <w:p w:rsidR="00271729" w:rsidRDefault="00AD0727">
            <w:pPr>
              <w:ind w:right="-29"/>
              <w:jc w:val="center"/>
              <w:rPr>
                <w:noProof/>
                <w:sz w:val="18"/>
                <w:szCs w:val="18"/>
              </w:rPr>
            </w:pPr>
            <w:r>
              <w:rPr>
                <w:noProof/>
                <w:sz w:val="18"/>
              </w:rPr>
              <w:t>20</w:t>
            </w:r>
          </w:p>
        </w:tc>
        <w:tc>
          <w:tcPr>
            <w:tcW w:w="720" w:type="dxa"/>
            <w:tcBorders>
              <w:bottom w:val="single" w:sz="12" w:space="0" w:color="auto"/>
            </w:tcBorders>
          </w:tcPr>
          <w:p w:rsidR="00271729" w:rsidRDefault="00AD0727">
            <w:pPr>
              <w:ind w:right="-29"/>
              <w:jc w:val="center"/>
              <w:rPr>
                <w:noProof/>
                <w:sz w:val="18"/>
                <w:szCs w:val="18"/>
              </w:rPr>
            </w:pPr>
            <w:r>
              <w:rPr>
                <w:noProof/>
                <w:sz w:val="18"/>
              </w:rPr>
              <w:t>3,5</w:t>
            </w:r>
          </w:p>
        </w:tc>
        <w:tc>
          <w:tcPr>
            <w:tcW w:w="720" w:type="dxa"/>
            <w:tcBorders>
              <w:bottom w:val="single" w:sz="12" w:space="0" w:color="auto"/>
            </w:tcBorders>
          </w:tcPr>
          <w:p w:rsidR="00271729" w:rsidRDefault="00AD0727">
            <w:pPr>
              <w:ind w:right="-29"/>
              <w:jc w:val="center"/>
              <w:rPr>
                <w:noProof/>
                <w:sz w:val="18"/>
                <w:szCs w:val="18"/>
              </w:rPr>
            </w:pPr>
            <w:r>
              <w:rPr>
                <w:noProof/>
                <w:sz w:val="18"/>
              </w:rPr>
              <w:t>20</w:t>
            </w:r>
          </w:p>
        </w:tc>
        <w:tc>
          <w:tcPr>
            <w:tcW w:w="720" w:type="dxa"/>
            <w:tcBorders>
              <w:bottom w:val="single" w:sz="12" w:space="0" w:color="auto"/>
            </w:tcBorders>
          </w:tcPr>
          <w:p w:rsidR="00271729" w:rsidRDefault="00AD0727">
            <w:pPr>
              <w:ind w:right="-29"/>
              <w:jc w:val="center"/>
              <w:rPr>
                <w:noProof/>
                <w:sz w:val="18"/>
                <w:szCs w:val="18"/>
              </w:rPr>
            </w:pPr>
            <w:r>
              <w:rPr>
                <w:noProof/>
                <w:sz w:val="18"/>
              </w:rPr>
              <w:t>3,5</w:t>
            </w:r>
          </w:p>
        </w:tc>
        <w:tc>
          <w:tcPr>
            <w:tcW w:w="900" w:type="dxa"/>
            <w:tcBorders>
              <w:bottom w:val="single" w:sz="12" w:space="0" w:color="auto"/>
            </w:tcBorders>
          </w:tcPr>
          <w:p w:rsidR="00271729" w:rsidRDefault="00AD0727">
            <w:pPr>
              <w:ind w:right="-29"/>
              <w:jc w:val="center"/>
              <w:rPr>
                <w:noProof/>
                <w:sz w:val="18"/>
                <w:szCs w:val="18"/>
              </w:rPr>
            </w:pPr>
            <w:r>
              <w:rPr>
                <w:noProof/>
                <w:sz w:val="18"/>
              </w:rPr>
              <w:t>60</w:t>
            </w:r>
          </w:p>
        </w:tc>
        <w:tc>
          <w:tcPr>
            <w:tcW w:w="720" w:type="dxa"/>
            <w:gridSpan w:val="2"/>
            <w:tcBorders>
              <w:bottom w:val="single" w:sz="12" w:space="0" w:color="auto"/>
            </w:tcBorders>
          </w:tcPr>
          <w:p w:rsidR="00271729" w:rsidRDefault="00AD0727">
            <w:pPr>
              <w:ind w:right="-29"/>
              <w:jc w:val="center"/>
              <w:rPr>
                <w:noProof/>
                <w:sz w:val="18"/>
                <w:szCs w:val="18"/>
              </w:rPr>
            </w:pPr>
            <w:r>
              <w:rPr>
                <w:noProof/>
                <w:sz w:val="18"/>
              </w:rPr>
              <w:t>10,5</w:t>
            </w:r>
          </w:p>
        </w:tc>
      </w:tr>
      <w:tr w:rsidR="00271729">
        <w:trPr>
          <w:trHeight w:val="1402"/>
          <w:jc w:val="center"/>
        </w:trPr>
        <w:tc>
          <w:tcPr>
            <w:tcW w:w="2947" w:type="dxa"/>
            <w:gridSpan w:val="4"/>
            <w:tcBorders>
              <w:top w:val="nil"/>
              <w:left w:val="nil"/>
              <w:bottom w:val="nil"/>
              <w:right w:val="nil"/>
            </w:tcBorders>
            <w:vAlign w:val="center"/>
          </w:tcPr>
          <w:p w:rsidR="00271729" w:rsidRDefault="00271729">
            <w:pPr>
              <w:spacing w:before="60" w:after="60"/>
              <w:ind w:right="-29"/>
              <w:rPr>
                <w:noProof/>
                <w:sz w:val="18"/>
                <w:szCs w:val="18"/>
              </w:rPr>
            </w:pPr>
          </w:p>
        </w:tc>
        <w:tc>
          <w:tcPr>
            <w:tcW w:w="504"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90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gridSpan w:val="2"/>
            <w:tcBorders>
              <w:top w:val="nil"/>
              <w:left w:val="nil"/>
              <w:bottom w:val="nil"/>
              <w:right w:val="nil"/>
            </w:tcBorders>
          </w:tcPr>
          <w:p w:rsidR="00271729" w:rsidRDefault="00271729">
            <w:pPr>
              <w:spacing w:before="60" w:after="60"/>
              <w:ind w:right="-29"/>
              <w:jc w:val="center"/>
              <w:rPr>
                <w:noProof/>
                <w:sz w:val="18"/>
                <w:szCs w:val="18"/>
              </w:rPr>
            </w:pPr>
          </w:p>
        </w:tc>
        <w:tc>
          <w:tcPr>
            <w:tcW w:w="540" w:type="dxa"/>
            <w:gridSpan w:val="3"/>
            <w:tcBorders>
              <w:top w:val="nil"/>
              <w:left w:val="nil"/>
              <w:bottom w:val="nil"/>
              <w:right w:val="nil"/>
            </w:tcBorders>
          </w:tcPr>
          <w:p w:rsidR="00271729" w:rsidRDefault="00271729">
            <w:pPr>
              <w:spacing w:before="60" w:after="60"/>
              <w:ind w:right="-29"/>
              <w:jc w:val="center"/>
              <w:rPr>
                <w:noProof/>
                <w:sz w:val="18"/>
                <w:szCs w:val="18"/>
              </w:rPr>
            </w:pPr>
          </w:p>
        </w:tc>
        <w:tc>
          <w:tcPr>
            <w:tcW w:w="648" w:type="dxa"/>
            <w:tcBorders>
              <w:top w:val="nil"/>
              <w:left w:val="nil"/>
              <w:bottom w:val="nil"/>
              <w:right w:val="nil"/>
            </w:tcBorders>
          </w:tcPr>
          <w:p w:rsidR="00271729" w:rsidRDefault="00271729">
            <w:pPr>
              <w:spacing w:before="60" w:after="60"/>
              <w:ind w:right="-29"/>
              <w:jc w:val="center"/>
              <w:rPr>
                <w:noProof/>
                <w:sz w:val="18"/>
                <w:szCs w:val="18"/>
              </w:rPr>
            </w:pPr>
          </w:p>
        </w:tc>
        <w:tc>
          <w:tcPr>
            <w:tcW w:w="539" w:type="dxa"/>
            <w:tcBorders>
              <w:top w:val="nil"/>
              <w:left w:val="nil"/>
              <w:bottom w:val="nil"/>
              <w:right w:val="nil"/>
            </w:tcBorders>
          </w:tcPr>
          <w:p w:rsidR="00271729" w:rsidRDefault="00271729">
            <w:pPr>
              <w:spacing w:before="60" w:after="60"/>
              <w:ind w:right="-29"/>
              <w:jc w:val="center"/>
              <w:rPr>
                <w:noProof/>
                <w:sz w:val="18"/>
                <w:szCs w:val="18"/>
              </w:rPr>
            </w:pPr>
          </w:p>
        </w:tc>
        <w:tc>
          <w:tcPr>
            <w:tcW w:w="613"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878" w:type="dxa"/>
            <w:tcBorders>
              <w:top w:val="nil"/>
              <w:left w:val="nil"/>
              <w:bottom w:val="nil"/>
              <w:right w:val="nil"/>
            </w:tcBorders>
          </w:tcPr>
          <w:p w:rsidR="00271729" w:rsidRDefault="00271729">
            <w:pPr>
              <w:spacing w:before="60" w:after="60"/>
              <w:ind w:right="-29"/>
              <w:jc w:val="center"/>
              <w:rPr>
                <w:noProof/>
                <w:sz w:val="18"/>
                <w:szCs w:val="18"/>
              </w:rPr>
            </w:pPr>
          </w:p>
        </w:tc>
        <w:tc>
          <w:tcPr>
            <w:tcW w:w="236" w:type="dxa"/>
            <w:tcBorders>
              <w:top w:val="nil"/>
              <w:left w:val="nil"/>
              <w:bottom w:val="nil"/>
              <w:right w:val="nil"/>
            </w:tcBorders>
          </w:tcPr>
          <w:p w:rsidR="00271729" w:rsidRDefault="00271729">
            <w:pPr>
              <w:spacing w:before="60" w:after="60"/>
              <w:ind w:right="-29"/>
              <w:jc w:val="center"/>
              <w:rPr>
                <w:noProof/>
                <w:sz w:val="18"/>
                <w:szCs w:val="18"/>
              </w:rPr>
            </w:pPr>
          </w:p>
        </w:tc>
      </w:tr>
      <w:tr w:rsidR="00271729">
        <w:trPr>
          <w:jc w:val="center"/>
        </w:trPr>
        <w:tc>
          <w:tcPr>
            <w:tcW w:w="2947" w:type="dxa"/>
            <w:gridSpan w:val="4"/>
            <w:tcBorders>
              <w:top w:val="nil"/>
            </w:tcBorders>
            <w:vAlign w:val="center"/>
          </w:tcPr>
          <w:p w:rsidR="00271729" w:rsidRDefault="00AD0727">
            <w:pPr>
              <w:spacing w:before="60" w:after="60"/>
              <w:ind w:right="-29"/>
              <w:rPr>
                <w:noProof/>
                <w:sz w:val="18"/>
                <w:szCs w:val="18"/>
              </w:rPr>
            </w:pPr>
            <w:r>
              <w:rPr>
                <w:noProof/>
                <w:sz w:val="18"/>
              </w:rPr>
              <w:t>КОНКРЕТНА ЦЕЛ № 2 — Готовност</w:t>
            </w:r>
          </w:p>
        </w:tc>
        <w:tc>
          <w:tcPr>
            <w:tcW w:w="504"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90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gridSpan w:val="2"/>
            <w:tcBorders>
              <w:top w:val="nil"/>
              <w:left w:val="nil"/>
              <w:bottom w:val="nil"/>
              <w:right w:val="nil"/>
            </w:tcBorders>
          </w:tcPr>
          <w:p w:rsidR="00271729" w:rsidRDefault="00271729">
            <w:pPr>
              <w:spacing w:before="60" w:after="60"/>
              <w:ind w:right="-29"/>
              <w:jc w:val="center"/>
              <w:rPr>
                <w:noProof/>
                <w:sz w:val="18"/>
                <w:szCs w:val="18"/>
              </w:rPr>
            </w:pPr>
          </w:p>
        </w:tc>
        <w:tc>
          <w:tcPr>
            <w:tcW w:w="540" w:type="dxa"/>
            <w:gridSpan w:val="3"/>
            <w:tcBorders>
              <w:top w:val="nil"/>
              <w:left w:val="nil"/>
              <w:bottom w:val="nil"/>
              <w:right w:val="nil"/>
            </w:tcBorders>
          </w:tcPr>
          <w:p w:rsidR="00271729" w:rsidRDefault="00271729">
            <w:pPr>
              <w:spacing w:before="60" w:after="60"/>
              <w:ind w:right="-29"/>
              <w:jc w:val="center"/>
              <w:rPr>
                <w:noProof/>
                <w:sz w:val="18"/>
                <w:szCs w:val="18"/>
              </w:rPr>
            </w:pPr>
          </w:p>
        </w:tc>
        <w:tc>
          <w:tcPr>
            <w:tcW w:w="648" w:type="dxa"/>
            <w:tcBorders>
              <w:top w:val="nil"/>
              <w:left w:val="nil"/>
              <w:bottom w:val="nil"/>
              <w:right w:val="nil"/>
            </w:tcBorders>
          </w:tcPr>
          <w:p w:rsidR="00271729" w:rsidRDefault="00271729">
            <w:pPr>
              <w:spacing w:before="60" w:after="60"/>
              <w:ind w:right="-29"/>
              <w:jc w:val="center"/>
              <w:rPr>
                <w:noProof/>
                <w:sz w:val="18"/>
                <w:szCs w:val="18"/>
              </w:rPr>
            </w:pPr>
          </w:p>
        </w:tc>
        <w:tc>
          <w:tcPr>
            <w:tcW w:w="539" w:type="dxa"/>
            <w:tcBorders>
              <w:top w:val="nil"/>
              <w:left w:val="nil"/>
              <w:bottom w:val="nil"/>
              <w:right w:val="nil"/>
            </w:tcBorders>
          </w:tcPr>
          <w:p w:rsidR="00271729" w:rsidRDefault="00271729">
            <w:pPr>
              <w:spacing w:before="60" w:after="60"/>
              <w:ind w:right="-29"/>
              <w:jc w:val="center"/>
              <w:rPr>
                <w:noProof/>
                <w:sz w:val="18"/>
                <w:szCs w:val="18"/>
              </w:rPr>
            </w:pPr>
          </w:p>
        </w:tc>
        <w:tc>
          <w:tcPr>
            <w:tcW w:w="613"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878" w:type="dxa"/>
            <w:tcBorders>
              <w:top w:val="nil"/>
              <w:left w:val="nil"/>
              <w:bottom w:val="nil"/>
              <w:right w:val="nil"/>
            </w:tcBorders>
          </w:tcPr>
          <w:p w:rsidR="00271729" w:rsidRDefault="00271729">
            <w:pPr>
              <w:spacing w:before="60" w:after="60"/>
              <w:ind w:right="-29"/>
              <w:jc w:val="center"/>
              <w:rPr>
                <w:noProof/>
                <w:sz w:val="18"/>
                <w:szCs w:val="18"/>
              </w:rPr>
            </w:pPr>
          </w:p>
        </w:tc>
        <w:tc>
          <w:tcPr>
            <w:tcW w:w="236" w:type="dxa"/>
            <w:tcBorders>
              <w:top w:val="nil"/>
              <w:left w:val="nil"/>
              <w:bottom w:val="nil"/>
              <w:right w:val="nil"/>
            </w:tcBorders>
          </w:tcPr>
          <w:p w:rsidR="00271729" w:rsidRDefault="00271729">
            <w:pPr>
              <w:spacing w:before="60" w:after="60"/>
              <w:ind w:right="-29"/>
              <w:jc w:val="center"/>
              <w:rPr>
                <w:noProof/>
                <w:sz w:val="18"/>
                <w:szCs w:val="18"/>
              </w:rPr>
            </w:pPr>
          </w:p>
        </w:tc>
      </w:tr>
      <w:tr w:rsidR="00271729">
        <w:trPr>
          <w:gridAfter w:val="10"/>
          <w:wAfter w:w="4714" w:type="dxa"/>
          <w:trHeight w:hRule="exact" w:val="1795"/>
          <w:jc w:val="center"/>
        </w:trPr>
        <w:tc>
          <w:tcPr>
            <w:tcW w:w="1218" w:type="dxa"/>
          </w:tcPr>
          <w:p w:rsidR="00271729" w:rsidRDefault="00AD0727">
            <w:pPr>
              <w:ind w:right="-29"/>
              <w:rPr>
                <w:noProof/>
                <w:sz w:val="18"/>
                <w:szCs w:val="18"/>
              </w:rPr>
            </w:pPr>
            <w:r>
              <w:rPr>
                <w:noProof/>
                <w:sz w:val="18"/>
              </w:rPr>
              <w:t>Брой финансирани проекти в областта на готовността (вкл. обучение и учения)</w:t>
            </w:r>
          </w:p>
        </w:tc>
        <w:tc>
          <w:tcPr>
            <w:tcW w:w="1028" w:type="dxa"/>
            <w:gridSpan w:val="2"/>
          </w:tcPr>
          <w:p w:rsidR="00271729" w:rsidRDefault="00AD0727">
            <w:pPr>
              <w:ind w:right="-29"/>
              <w:rPr>
                <w:noProof/>
                <w:sz w:val="18"/>
                <w:szCs w:val="18"/>
              </w:rPr>
            </w:pPr>
            <w:r>
              <w:rPr>
                <w:noProof/>
                <w:sz w:val="18"/>
              </w:rPr>
              <w:t xml:space="preserve">Споразумения за отпускане на безвъзмездни </w:t>
            </w:r>
            <w:r>
              <w:rPr>
                <w:noProof/>
                <w:sz w:val="18"/>
              </w:rPr>
              <w:t>средства и договори</w:t>
            </w:r>
          </w:p>
        </w:tc>
        <w:tc>
          <w:tcPr>
            <w:tcW w:w="701" w:type="dxa"/>
          </w:tcPr>
          <w:p w:rsidR="00271729" w:rsidRDefault="00AD0727">
            <w:pPr>
              <w:ind w:right="-29"/>
              <w:jc w:val="center"/>
              <w:rPr>
                <w:noProof/>
                <w:sz w:val="18"/>
                <w:szCs w:val="18"/>
              </w:rPr>
            </w:pPr>
            <w:r>
              <w:rPr>
                <w:noProof/>
                <w:sz w:val="18"/>
              </w:rPr>
              <w:t>0,5</w:t>
            </w:r>
          </w:p>
        </w:tc>
        <w:tc>
          <w:tcPr>
            <w:tcW w:w="504" w:type="dxa"/>
            <w:tcBorders>
              <w:right w:val="dashSmallGap" w:sz="4" w:space="0" w:color="auto"/>
            </w:tcBorders>
          </w:tcPr>
          <w:p w:rsidR="00271729" w:rsidRDefault="00AD0727">
            <w:pPr>
              <w:ind w:right="-29"/>
              <w:jc w:val="center"/>
              <w:rPr>
                <w:noProof/>
                <w:sz w:val="18"/>
                <w:szCs w:val="18"/>
              </w:rPr>
            </w:pPr>
            <w:r>
              <w:rPr>
                <w:noProof/>
                <w:sz w:val="18"/>
              </w:rPr>
              <w:t>100</w:t>
            </w:r>
          </w:p>
        </w:tc>
        <w:tc>
          <w:tcPr>
            <w:tcW w:w="720" w:type="dxa"/>
            <w:tcBorders>
              <w:left w:val="dashSmallGap" w:sz="4" w:space="0" w:color="auto"/>
            </w:tcBorders>
          </w:tcPr>
          <w:p w:rsidR="00271729" w:rsidRDefault="00AD0727">
            <w:pPr>
              <w:ind w:right="-29"/>
              <w:jc w:val="center"/>
              <w:rPr>
                <w:noProof/>
                <w:sz w:val="18"/>
                <w:szCs w:val="18"/>
              </w:rPr>
            </w:pPr>
            <w:r>
              <w:rPr>
                <w:noProof/>
                <w:sz w:val="18"/>
              </w:rPr>
              <w:t>5</w:t>
            </w:r>
          </w:p>
        </w:tc>
        <w:tc>
          <w:tcPr>
            <w:tcW w:w="540" w:type="dxa"/>
            <w:tcBorders>
              <w:right w:val="dashSmallGap" w:sz="4" w:space="0" w:color="auto"/>
            </w:tcBorders>
          </w:tcPr>
          <w:p w:rsidR="00271729" w:rsidRDefault="00AD0727">
            <w:pPr>
              <w:ind w:right="-29"/>
              <w:jc w:val="center"/>
              <w:rPr>
                <w:noProof/>
                <w:sz w:val="18"/>
                <w:szCs w:val="18"/>
              </w:rPr>
            </w:pPr>
            <w:r>
              <w:rPr>
                <w:noProof/>
                <w:sz w:val="18"/>
              </w:rPr>
              <w:t>100</w:t>
            </w:r>
          </w:p>
        </w:tc>
        <w:tc>
          <w:tcPr>
            <w:tcW w:w="720" w:type="dxa"/>
            <w:tcBorders>
              <w:left w:val="dashSmallGap" w:sz="4" w:space="0" w:color="auto"/>
            </w:tcBorders>
          </w:tcPr>
          <w:p w:rsidR="00271729" w:rsidRDefault="00AD0727">
            <w:pPr>
              <w:ind w:right="-29"/>
              <w:jc w:val="center"/>
              <w:rPr>
                <w:noProof/>
                <w:sz w:val="18"/>
                <w:szCs w:val="18"/>
              </w:rPr>
            </w:pPr>
            <w:r>
              <w:rPr>
                <w:noProof/>
                <w:sz w:val="18"/>
              </w:rPr>
              <w:t>5</w:t>
            </w:r>
          </w:p>
        </w:tc>
        <w:tc>
          <w:tcPr>
            <w:tcW w:w="720" w:type="dxa"/>
            <w:tcBorders>
              <w:right w:val="dashSmallGap" w:sz="4" w:space="0" w:color="auto"/>
            </w:tcBorders>
          </w:tcPr>
          <w:p w:rsidR="00271729" w:rsidRDefault="00AD0727">
            <w:pPr>
              <w:ind w:right="-29"/>
              <w:jc w:val="center"/>
              <w:rPr>
                <w:noProof/>
                <w:sz w:val="18"/>
                <w:szCs w:val="18"/>
              </w:rPr>
            </w:pPr>
            <w:r>
              <w:rPr>
                <w:noProof/>
                <w:sz w:val="18"/>
              </w:rPr>
              <w:t>100</w:t>
            </w:r>
          </w:p>
        </w:tc>
        <w:tc>
          <w:tcPr>
            <w:tcW w:w="720" w:type="dxa"/>
            <w:tcBorders>
              <w:left w:val="dashSmallGap" w:sz="4" w:space="0" w:color="auto"/>
            </w:tcBorders>
          </w:tcPr>
          <w:p w:rsidR="00271729" w:rsidRDefault="00AD0727">
            <w:pPr>
              <w:ind w:right="-29"/>
              <w:jc w:val="center"/>
              <w:rPr>
                <w:noProof/>
                <w:sz w:val="18"/>
                <w:szCs w:val="18"/>
              </w:rPr>
            </w:pPr>
            <w:r>
              <w:rPr>
                <w:noProof/>
                <w:sz w:val="18"/>
              </w:rPr>
              <w:t>5</w:t>
            </w:r>
          </w:p>
        </w:tc>
        <w:tc>
          <w:tcPr>
            <w:tcW w:w="900" w:type="dxa"/>
            <w:tcBorders>
              <w:right w:val="dashSmallGap" w:sz="4" w:space="0" w:color="auto"/>
            </w:tcBorders>
          </w:tcPr>
          <w:p w:rsidR="00271729" w:rsidRDefault="00AD0727">
            <w:pPr>
              <w:ind w:right="-29"/>
              <w:jc w:val="center"/>
              <w:rPr>
                <w:noProof/>
                <w:sz w:val="18"/>
                <w:szCs w:val="18"/>
              </w:rPr>
            </w:pPr>
            <w:r>
              <w:rPr>
                <w:noProof/>
                <w:sz w:val="18"/>
              </w:rPr>
              <w:t>300</w:t>
            </w:r>
          </w:p>
        </w:tc>
        <w:tc>
          <w:tcPr>
            <w:tcW w:w="720" w:type="dxa"/>
            <w:gridSpan w:val="2"/>
            <w:tcBorders>
              <w:left w:val="dashSmallGap" w:sz="4" w:space="0" w:color="auto"/>
            </w:tcBorders>
          </w:tcPr>
          <w:p w:rsidR="00271729" w:rsidRDefault="00AD0727">
            <w:pPr>
              <w:ind w:right="-29"/>
              <w:jc w:val="center"/>
              <w:rPr>
                <w:noProof/>
                <w:sz w:val="18"/>
                <w:szCs w:val="18"/>
              </w:rPr>
            </w:pPr>
            <w:r>
              <w:rPr>
                <w:noProof/>
                <w:sz w:val="18"/>
              </w:rPr>
              <w:t>15</w:t>
            </w:r>
          </w:p>
        </w:tc>
      </w:tr>
      <w:tr w:rsidR="00271729">
        <w:trPr>
          <w:gridAfter w:val="10"/>
          <w:wAfter w:w="4714" w:type="dxa"/>
          <w:trHeight w:hRule="exact" w:val="984"/>
          <w:jc w:val="center"/>
        </w:trPr>
        <w:tc>
          <w:tcPr>
            <w:tcW w:w="1218" w:type="dxa"/>
          </w:tcPr>
          <w:p w:rsidR="00271729" w:rsidRDefault="00AD0727">
            <w:pPr>
              <w:ind w:right="-29"/>
              <w:rPr>
                <w:noProof/>
                <w:sz w:val="18"/>
                <w:szCs w:val="18"/>
              </w:rPr>
            </w:pPr>
            <w:r>
              <w:rPr>
                <w:noProof/>
                <w:sz w:val="18"/>
              </w:rPr>
              <w:t>Системи за ранно предупреждение</w:t>
            </w:r>
          </w:p>
        </w:tc>
        <w:tc>
          <w:tcPr>
            <w:tcW w:w="1028" w:type="dxa"/>
            <w:gridSpan w:val="2"/>
          </w:tcPr>
          <w:p w:rsidR="00271729" w:rsidRDefault="00AD0727">
            <w:pPr>
              <w:ind w:right="-29"/>
              <w:rPr>
                <w:noProof/>
                <w:sz w:val="18"/>
                <w:szCs w:val="18"/>
              </w:rPr>
            </w:pPr>
            <w:r>
              <w:rPr>
                <w:noProof/>
                <w:sz w:val="18"/>
              </w:rPr>
              <w:t>Брой админ. споразум.</w:t>
            </w:r>
          </w:p>
        </w:tc>
        <w:tc>
          <w:tcPr>
            <w:tcW w:w="701" w:type="dxa"/>
          </w:tcPr>
          <w:p w:rsidR="00271729" w:rsidRDefault="00AD0727">
            <w:pPr>
              <w:ind w:right="-29"/>
              <w:rPr>
                <w:noProof/>
                <w:sz w:val="18"/>
                <w:szCs w:val="18"/>
              </w:rPr>
            </w:pPr>
            <w:r>
              <w:rPr>
                <w:noProof/>
                <w:sz w:val="18"/>
              </w:rPr>
              <w:t>1,25</w:t>
            </w:r>
          </w:p>
        </w:tc>
        <w:tc>
          <w:tcPr>
            <w:tcW w:w="504" w:type="dxa"/>
            <w:tcBorders>
              <w:right w:val="dashSmallGap" w:sz="4" w:space="0" w:color="auto"/>
            </w:tcBorders>
          </w:tcPr>
          <w:p w:rsidR="00271729" w:rsidRDefault="00AD0727">
            <w:pPr>
              <w:ind w:right="-29"/>
              <w:jc w:val="center"/>
              <w:rPr>
                <w:noProof/>
                <w:sz w:val="18"/>
                <w:szCs w:val="18"/>
              </w:rPr>
            </w:pPr>
            <w:r>
              <w:rPr>
                <w:noProof/>
                <w:sz w:val="18"/>
              </w:rPr>
              <w:t>2</w:t>
            </w:r>
          </w:p>
        </w:tc>
        <w:tc>
          <w:tcPr>
            <w:tcW w:w="720" w:type="dxa"/>
            <w:tcBorders>
              <w:left w:val="dashSmallGap" w:sz="4" w:space="0" w:color="auto"/>
            </w:tcBorders>
          </w:tcPr>
          <w:p w:rsidR="00271729" w:rsidRDefault="00AD0727">
            <w:pPr>
              <w:ind w:right="-29"/>
              <w:jc w:val="center"/>
              <w:rPr>
                <w:noProof/>
                <w:sz w:val="18"/>
                <w:szCs w:val="18"/>
              </w:rPr>
            </w:pPr>
            <w:r>
              <w:rPr>
                <w:noProof/>
                <w:sz w:val="18"/>
              </w:rPr>
              <w:t>2,5</w:t>
            </w:r>
          </w:p>
        </w:tc>
        <w:tc>
          <w:tcPr>
            <w:tcW w:w="540" w:type="dxa"/>
            <w:tcBorders>
              <w:right w:val="dashSmallGap" w:sz="4" w:space="0" w:color="auto"/>
            </w:tcBorders>
          </w:tcPr>
          <w:p w:rsidR="00271729" w:rsidRDefault="00AD0727">
            <w:pPr>
              <w:ind w:right="-29"/>
              <w:jc w:val="center"/>
              <w:rPr>
                <w:noProof/>
                <w:sz w:val="18"/>
                <w:szCs w:val="18"/>
              </w:rPr>
            </w:pPr>
            <w:r>
              <w:rPr>
                <w:noProof/>
                <w:sz w:val="18"/>
              </w:rPr>
              <w:t>2</w:t>
            </w:r>
          </w:p>
        </w:tc>
        <w:tc>
          <w:tcPr>
            <w:tcW w:w="720" w:type="dxa"/>
            <w:tcBorders>
              <w:left w:val="dashSmallGap" w:sz="4" w:space="0" w:color="auto"/>
            </w:tcBorders>
          </w:tcPr>
          <w:p w:rsidR="00271729" w:rsidRDefault="00AD0727">
            <w:pPr>
              <w:ind w:right="-29"/>
              <w:jc w:val="center"/>
              <w:rPr>
                <w:noProof/>
                <w:sz w:val="18"/>
                <w:szCs w:val="18"/>
              </w:rPr>
            </w:pPr>
            <w:r>
              <w:rPr>
                <w:noProof/>
                <w:sz w:val="18"/>
              </w:rPr>
              <w:t>2,5</w:t>
            </w:r>
          </w:p>
        </w:tc>
        <w:tc>
          <w:tcPr>
            <w:tcW w:w="720" w:type="dxa"/>
            <w:tcBorders>
              <w:right w:val="dashSmallGap" w:sz="4" w:space="0" w:color="auto"/>
            </w:tcBorders>
          </w:tcPr>
          <w:p w:rsidR="00271729" w:rsidRDefault="00AD0727">
            <w:pPr>
              <w:ind w:right="-29"/>
              <w:jc w:val="center"/>
              <w:rPr>
                <w:noProof/>
                <w:sz w:val="18"/>
                <w:szCs w:val="18"/>
              </w:rPr>
            </w:pPr>
            <w:r>
              <w:rPr>
                <w:noProof/>
                <w:sz w:val="18"/>
              </w:rPr>
              <w:t>2</w:t>
            </w:r>
          </w:p>
        </w:tc>
        <w:tc>
          <w:tcPr>
            <w:tcW w:w="720" w:type="dxa"/>
            <w:tcBorders>
              <w:left w:val="dashSmallGap" w:sz="4" w:space="0" w:color="auto"/>
            </w:tcBorders>
          </w:tcPr>
          <w:p w:rsidR="00271729" w:rsidRDefault="00AD0727">
            <w:pPr>
              <w:ind w:right="-29"/>
              <w:jc w:val="center"/>
              <w:rPr>
                <w:noProof/>
                <w:sz w:val="18"/>
                <w:szCs w:val="18"/>
              </w:rPr>
            </w:pPr>
            <w:r>
              <w:rPr>
                <w:noProof/>
                <w:sz w:val="18"/>
              </w:rPr>
              <w:t>2,5</w:t>
            </w:r>
          </w:p>
        </w:tc>
        <w:tc>
          <w:tcPr>
            <w:tcW w:w="900" w:type="dxa"/>
            <w:tcBorders>
              <w:right w:val="dashSmallGap" w:sz="4" w:space="0" w:color="auto"/>
            </w:tcBorders>
          </w:tcPr>
          <w:p w:rsidR="00271729" w:rsidRDefault="00AD0727">
            <w:pPr>
              <w:ind w:right="-29"/>
              <w:jc w:val="center"/>
              <w:rPr>
                <w:noProof/>
                <w:sz w:val="18"/>
                <w:szCs w:val="18"/>
              </w:rPr>
            </w:pPr>
            <w:r>
              <w:rPr>
                <w:noProof/>
                <w:sz w:val="18"/>
              </w:rPr>
              <w:t>6</w:t>
            </w:r>
          </w:p>
        </w:tc>
        <w:tc>
          <w:tcPr>
            <w:tcW w:w="720" w:type="dxa"/>
            <w:gridSpan w:val="2"/>
            <w:tcBorders>
              <w:left w:val="dashSmallGap" w:sz="4" w:space="0" w:color="auto"/>
            </w:tcBorders>
          </w:tcPr>
          <w:p w:rsidR="00271729" w:rsidRDefault="00AD0727">
            <w:pPr>
              <w:ind w:right="-29"/>
              <w:jc w:val="center"/>
              <w:rPr>
                <w:noProof/>
                <w:sz w:val="18"/>
                <w:szCs w:val="18"/>
              </w:rPr>
            </w:pPr>
            <w:r>
              <w:rPr>
                <w:noProof/>
                <w:sz w:val="18"/>
              </w:rPr>
              <w:t>7,5</w:t>
            </w:r>
          </w:p>
        </w:tc>
      </w:tr>
      <w:tr w:rsidR="00271729">
        <w:trPr>
          <w:gridAfter w:val="10"/>
          <w:wAfter w:w="4714" w:type="dxa"/>
          <w:trHeight w:hRule="exact" w:val="1410"/>
          <w:jc w:val="center"/>
        </w:trPr>
        <w:tc>
          <w:tcPr>
            <w:tcW w:w="1218" w:type="dxa"/>
          </w:tcPr>
          <w:p w:rsidR="00271729" w:rsidRDefault="00AD0727">
            <w:pPr>
              <w:ind w:right="-29"/>
              <w:rPr>
                <w:noProof/>
                <w:sz w:val="18"/>
                <w:szCs w:val="18"/>
              </w:rPr>
            </w:pPr>
            <w:r>
              <w:rPr>
                <w:noProof/>
                <w:sz w:val="18"/>
              </w:rPr>
              <w:t>Капацитет за реагиране при извънредни ситуации</w:t>
            </w:r>
          </w:p>
        </w:tc>
        <w:tc>
          <w:tcPr>
            <w:tcW w:w="1028" w:type="dxa"/>
            <w:gridSpan w:val="2"/>
          </w:tcPr>
          <w:p w:rsidR="00271729" w:rsidRDefault="00AD0727">
            <w:pPr>
              <w:ind w:right="-29"/>
              <w:rPr>
                <w:noProof/>
                <w:sz w:val="18"/>
                <w:szCs w:val="18"/>
              </w:rPr>
            </w:pPr>
            <w:r>
              <w:rPr>
                <w:noProof/>
                <w:sz w:val="18"/>
              </w:rPr>
              <w:t>Брой споразум. за отп. на безв. средства + договори</w:t>
            </w:r>
          </w:p>
        </w:tc>
        <w:tc>
          <w:tcPr>
            <w:tcW w:w="701" w:type="dxa"/>
          </w:tcPr>
          <w:p w:rsidR="00271729" w:rsidRDefault="00AD0727">
            <w:pPr>
              <w:ind w:right="-29"/>
              <w:jc w:val="center"/>
              <w:rPr>
                <w:noProof/>
                <w:sz w:val="18"/>
                <w:szCs w:val="18"/>
              </w:rPr>
            </w:pPr>
            <w:r>
              <w:rPr>
                <w:noProof/>
                <w:sz w:val="18"/>
              </w:rPr>
              <w:t>1</w:t>
            </w:r>
          </w:p>
        </w:tc>
        <w:tc>
          <w:tcPr>
            <w:tcW w:w="504" w:type="dxa"/>
          </w:tcPr>
          <w:p w:rsidR="00271729" w:rsidRDefault="00AD0727">
            <w:pPr>
              <w:ind w:right="-29"/>
              <w:jc w:val="center"/>
              <w:rPr>
                <w:noProof/>
                <w:sz w:val="18"/>
                <w:szCs w:val="18"/>
              </w:rPr>
            </w:pPr>
            <w:r>
              <w:rPr>
                <w:noProof/>
                <w:sz w:val="18"/>
              </w:rPr>
              <w:t>7</w:t>
            </w:r>
          </w:p>
        </w:tc>
        <w:tc>
          <w:tcPr>
            <w:tcW w:w="720" w:type="dxa"/>
          </w:tcPr>
          <w:p w:rsidR="00271729" w:rsidRDefault="00AD0727">
            <w:pPr>
              <w:ind w:right="-29"/>
              <w:jc w:val="center"/>
              <w:rPr>
                <w:noProof/>
                <w:sz w:val="18"/>
                <w:szCs w:val="18"/>
              </w:rPr>
            </w:pPr>
            <w:r>
              <w:rPr>
                <w:noProof/>
                <w:sz w:val="18"/>
              </w:rPr>
              <w:t>7</w:t>
            </w:r>
          </w:p>
        </w:tc>
        <w:tc>
          <w:tcPr>
            <w:tcW w:w="540" w:type="dxa"/>
          </w:tcPr>
          <w:p w:rsidR="00271729" w:rsidRDefault="00AD0727">
            <w:pPr>
              <w:ind w:right="-29"/>
              <w:jc w:val="center"/>
              <w:rPr>
                <w:noProof/>
                <w:sz w:val="18"/>
                <w:szCs w:val="18"/>
              </w:rPr>
            </w:pPr>
            <w:r>
              <w:rPr>
                <w:noProof/>
                <w:sz w:val="18"/>
              </w:rPr>
              <w:t>13</w:t>
            </w:r>
          </w:p>
        </w:tc>
        <w:tc>
          <w:tcPr>
            <w:tcW w:w="720" w:type="dxa"/>
          </w:tcPr>
          <w:p w:rsidR="00271729" w:rsidRDefault="00AD0727">
            <w:pPr>
              <w:ind w:right="-29"/>
              <w:jc w:val="center"/>
              <w:rPr>
                <w:noProof/>
                <w:sz w:val="18"/>
                <w:szCs w:val="18"/>
              </w:rPr>
            </w:pPr>
            <w:r>
              <w:rPr>
                <w:noProof/>
                <w:sz w:val="18"/>
              </w:rPr>
              <w:t>13</w:t>
            </w:r>
          </w:p>
        </w:tc>
        <w:tc>
          <w:tcPr>
            <w:tcW w:w="720" w:type="dxa"/>
          </w:tcPr>
          <w:p w:rsidR="00271729" w:rsidRDefault="00AD0727">
            <w:pPr>
              <w:ind w:right="-29"/>
              <w:jc w:val="center"/>
              <w:rPr>
                <w:noProof/>
                <w:sz w:val="18"/>
                <w:szCs w:val="18"/>
              </w:rPr>
            </w:pPr>
            <w:r>
              <w:rPr>
                <w:noProof/>
                <w:sz w:val="18"/>
              </w:rPr>
              <w:t>20</w:t>
            </w:r>
          </w:p>
        </w:tc>
        <w:tc>
          <w:tcPr>
            <w:tcW w:w="720" w:type="dxa"/>
          </w:tcPr>
          <w:p w:rsidR="00271729" w:rsidRDefault="00AD0727">
            <w:pPr>
              <w:ind w:right="-29"/>
              <w:jc w:val="center"/>
              <w:rPr>
                <w:noProof/>
                <w:sz w:val="18"/>
                <w:szCs w:val="18"/>
              </w:rPr>
            </w:pPr>
            <w:r>
              <w:rPr>
                <w:noProof/>
                <w:sz w:val="18"/>
              </w:rPr>
              <w:t>20</w:t>
            </w:r>
          </w:p>
        </w:tc>
        <w:tc>
          <w:tcPr>
            <w:tcW w:w="900" w:type="dxa"/>
          </w:tcPr>
          <w:p w:rsidR="00271729" w:rsidRDefault="00AD0727">
            <w:pPr>
              <w:ind w:right="-29"/>
              <w:jc w:val="center"/>
              <w:rPr>
                <w:noProof/>
                <w:sz w:val="18"/>
                <w:szCs w:val="18"/>
              </w:rPr>
            </w:pPr>
            <w:r>
              <w:rPr>
                <w:noProof/>
                <w:sz w:val="18"/>
              </w:rPr>
              <w:t>40</w:t>
            </w:r>
          </w:p>
        </w:tc>
        <w:tc>
          <w:tcPr>
            <w:tcW w:w="720" w:type="dxa"/>
            <w:gridSpan w:val="2"/>
          </w:tcPr>
          <w:p w:rsidR="00271729" w:rsidRDefault="00AD0727">
            <w:pPr>
              <w:ind w:right="-29"/>
              <w:jc w:val="center"/>
              <w:rPr>
                <w:noProof/>
                <w:sz w:val="18"/>
                <w:szCs w:val="18"/>
              </w:rPr>
            </w:pPr>
            <w:r>
              <w:rPr>
                <w:noProof/>
                <w:sz w:val="18"/>
              </w:rPr>
              <w:t>40</w:t>
            </w:r>
          </w:p>
        </w:tc>
      </w:tr>
      <w:tr w:rsidR="00271729">
        <w:trPr>
          <w:gridAfter w:val="10"/>
          <w:wAfter w:w="4714" w:type="dxa"/>
          <w:jc w:val="center"/>
        </w:trPr>
        <w:tc>
          <w:tcPr>
            <w:tcW w:w="2947" w:type="dxa"/>
            <w:gridSpan w:val="4"/>
            <w:tcBorders>
              <w:bottom w:val="single" w:sz="12" w:space="0" w:color="auto"/>
            </w:tcBorders>
            <w:vAlign w:val="center"/>
          </w:tcPr>
          <w:p w:rsidR="00271729" w:rsidRDefault="00AD0727">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rsidR="00271729" w:rsidRDefault="00AD0727">
            <w:pPr>
              <w:ind w:right="-29"/>
              <w:jc w:val="center"/>
              <w:rPr>
                <w:noProof/>
                <w:sz w:val="18"/>
                <w:szCs w:val="18"/>
              </w:rPr>
            </w:pPr>
            <w:r>
              <w:rPr>
                <w:noProof/>
                <w:sz w:val="18"/>
              </w:rPr>
              <w:t>109</w:t>
            </w:r>
          </w:p>
        </w:tc>
        <w:tc>
          <w:tcPr>
            <w:tcW w:w="720" w:type="dxa"/>
            <w:tcBorders>
              <w:bottom w:val="single" w:sz="12" w:space="0" w:color="auto"/>
            </w:tcBorders>
          </w:tcPr>
          <w:p w:rsidR="00271729" w:rsidRDefault="00AD0727">
            <w:pPr>
              <w:ind w:right="-29"/>
              <w:jc w:val="center"/>
              <w:rPr>
                <w:noProof/>
                <w:sz w:val="18"/>
                <w:szCs w:val="18"/>
              </w:rPr>
            </w:pPr>
            <w:r>
              <w:rPr>
                <w:noProof/>
                <w:sz w:val="18"/>
              </w:rPr>
              <w:t>14,5</w:t>
            </w:r>
          </w:p>
        </w:tc>
        <w:tc>
          <w:tcPr>
            <w:tcW w:w="540" w:type="dxa"/>
            <w:tcBorders>
              <w:bottom w:val="single" w:sz="12" w:space="0" w:color="auto"/>
            </w:tcBorders>
          </w:tcPr>
          <w:p w:rsidR="00271729" w:rsidRDefault="00AD0727">
            <w:pPr>
              <w:ind w:right="-29"/>
              <w:jc w:val="center"/>
              <w:rPr>
                <w:noProof/>
                <w:sz w:val="18"/>
                <w:szCs w:val="18"/>
              </w:rPr>
            </w:pPr>
            <w:r>
              <w:rPr>
                <w:noProof/>
                <w:sz w:val="18"/>
              </w:rPr>
              <w:t>115</w:t>
            </w:r>
          </w:p>
        </w:tc>
        <w:tc>
          <w:tcPr>
            <w:tcW w:w="720" w:type="dxa"/>
            <w:tcBorders>
              <w:bottom w:val="single" w:sz="12" w:space="0" w:color="auto"/>
            </w:tcBorders>
          </w:tcPr>
          <w:p w:rsidR="00271729" w:rsidRDefault="00AD0727">
            <w:pPr>
              <w:ind w:right="-29"/>
              <w:jc w:val="center"/>
              <w:rPr>
                <w:noProof/>
                <w:sz w:val="18"/>
                <w:szCs w:val="18"/>
              </w:rPr>
            </w:pPr>
            <w:r>
              <w:rPr>
                <w:noProof/>
                <w:sz w:val="18"/>
              </w:rPr>
              <w:t>20,5</w:t>
            </w:r>
          </w:p>
        </w:tc>
        <w:tc>
          <w:tcPr>
            <w:tcW w:w="720" w:type="dxa"/>
            <w:tcBorders>
              <w:bottom w:val="single" w:sz="12" w:space="0" w:color="auto"/>
            </w:tcBorders>
          </w:tcPr>
          <w:p w:rsidR="00271729" w:rsidRDefault="00AD0727">
            <w:pPr>
              <w:ind w:right="-29"/>
              <w:jc w:val="center"/>
              <w:rPr>
                <w:noProof/>
                <w:sz w:val="18"/>
                <w:szCs w:val="18"/>
              </w:rPr>
            </w:pPr>
            <w:r>
              <w:rPr>
                <w:noProof/>
                <w:sz w:val="18"/>
              </w:rPr>
              <w:t>122</w:t>
            </w:r>
          </w:p>
        </w:tc>
        <w:tc>
          <w:tcPr>
            <w:tcW w:w="720" w:type="dxa"/>
            <w:tcBorders>
              <w:bottom w:val="single" w:sz="12" w:space="0" w:color="auto"/>
            </w:tcBorders>
          </w:tcPr>
          <w:p w:rsidR="00271729" w:rsidRDefault="00AD0727">
            <w:pPr>
              <w:ind w:right="-29"/>
              <w:jc w:val="center"/>
              <w:rPr>
                <w:noProof/>
                <w:sz w:val="18"/>
                <w:szCs w:val="18"/>
              </w:rPr>
            </w:pPr>
            <w:r>
              <w:rPr>
                <w:noProof/>
                <w:sz w:val="18"/>
              </w:rPr>
              <w:t>27,5</w:t>
            </w:r>
          </w:p>
        </w:tc>
        <w:tc>
          <w:tcPr>
            <w:tcW w:w="938" w:type="dxa"/>
            <w:gridSpan w:val="2"/>
            <w:tcBorders>
              <w:bottom w:val="single" w:sz="12" w:space="0" w:color="auto"/>
            </w:tcBorders>
          </w:tcPr>
          <w:p w:rsidR="00271729" w:rsidRDefault="00AD0727">
            <w:pPr>
              <w:ind w:right="-29"/>
              <w:jc w:val="center"/>
              <w:rPr>
                <w:noProof/>
                <w:sz w:val="18"/>
                <w:szCs w:val="18"/>
              </w:rPr>
            </w:pPr>
            <w:r>
              <w:rPr>
                <w:noProof/>
                <w:sz w:val="18"/>
              </w:rPr>
              <w:t>346</w:t>
            </w:r>
          </w:p>
        </w:tc>
        <w:tc>
          <w:tcPr>
            <w:tcW w:w="682" w:type="dxa"/>
            <w:tcBorders>
              <w:bottom w:val="single" w:sz="12" w:space="0" w:color="auto"/>
            </w:tcBorders>
          </w:tcPr>
          <w:p w:rsidR="00271729" w:rsidRDefault="00AD0727">
            <w:pPr>
              <w:ind w:right="-29"/>
              <w:jc w:val="center"/>
              <w:rPr>
                <w:noProof/>
                <w:sz w:val="18"/>
                <w:szCs w:val="18"/>
              </w:rPr>
            </w:pPr>
            <w:r>
              <w:rPr>
                <w:noProof/>
                <w:sz w:val="18"/>
              </w:rPr>
              <w:t>62,5</w:t>
            </w:r>
          </w:p>
        </w:tc>
      </w:tr>
      <w:tr w:rsidR="00271729">
        <w:trPr>
          <w:jc w:val="center"/>
        </w:trPr>
        <w:tc>
          <w:tcPr>
            <w:tcW w:w="2947" w:type="dxa"/>
            <w:gridSpan w:val="4"/>
            <w:vAlign w:val="center"/>
          </w:tcPr>
          <w:p w:rsidR="00271729" w:rsidRDefault="00271729">
            <w:pPr>
              <w:spacing w:before="60" w:after="60"/>
              <w:ind w:right="-29"/>
              <w:jc w:val="center"/>
              <w:rPr>
                <w:noProof/>
                <w:sz w:val="18"/>
                <w:szCs w:val="18"/>
              </w:rPr>
            </w:pPr>
          </w:p>
        </w:tc>
        <w:tc>
          <w:tcPr>
            <w:tcW w:w="504"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90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gridSpan w:val="2"/>
            <w:tcBorders>
              <w:top w:val="nil"/>
              <w:left w:val="nil"/>
              <w:bottom w:val="nil"/>
              <w:right w:val="nil"/>
            </w:tcBorders>
          </w:tcPr>
          <w:p w:rsidR="00271729" w:rsidRDefault="00271729">
            <w:pPr>
              <w:spacing w:before="60" w:after="60"/>
              <w:ind w:right="-29"/>
              <w:jc w:val="center"/>
              <w:rPr>
                <w:noProof/>
                <w:sz w:val="18"/>
                <w:szCs w:val="18"/>
              </w:rPr>
            </w:pPr>
          </w:p>
        </w:tc>
        <w:tc>
          <w:tcPr>
            <w:tcW w:w="540" w:type="dxa"/>
            <w:gridSpan w:val="3"/>
            <w:tcBorders>
              <w:top w:val="nil"/>
              <w:left w:val="nil"/>
              <w:bottom w:val="nil"/>
              <w:right w:val="nil"/>
            </w:tcBorders>
          </w:tcPr>
          <w:p w:rsidR="00271729" w:rsidRDefault="00271729">
            <w:pPr>
              <w:spacing w:before="60" w:after="60"/>
              <w:ind w:right="-29"/>
              <w:jc w:val="center"/>
              <w:rPr>
                <w:noProof/>
                <w:sz w:val="18"/>
                <w:szCs w:val="18"/>
              </w:rPr>
            </w:pPr>
          </w:p>
        </w:tc>
        <w:tc>
          <w:tcPr>
            <w:tcW w:w="648" w:type="dxa"/>
            <w:tcBorders>
              <w:top w:val="nil"/>
              <w:left w:val="nil"/>
              <w:bottom w:val="nil"/>
              <w:right w:val="nil"/>
            </w:tcBorders>
          </w:tcPr>
          <w:p w:rsidR="00271729" w:rsidRDefault="00271729">
            <w:pPr>
              <w:spacing w:before="60" w:after="60"/>
              <w:ind w:right="-29"/>
              <w:jc w:val="center"/>
              <w:rPr>
                <w:noProof/>
                <w:sz w:val="18"/>
                <w:szCs w:val="18"/>
              </w:rPr>
            </w:pPr>
          </w:p>
        </w:tc>
        <w:tc>
          <w:tcPr>
            <w:tcW w:w="539" w:type="dxa"/>
            <w:tcBorders>
              <w:top w:val="nil"/>
              <w:left w:val="nil"/>
              <w:bottom w:val="nil"/>
              <w:right w:val="nil"/>
            </w:tcBorders>
          </w:tcPr>
          <w:p w:rsidR="00271729" w:rsidRDefault="00271729">
            <w:pPr>
              <w:spacing w:before="60" w:after="60"/>
              <w:ind w:right="-29"/>
              <w:jc w:val="center"/>
              <w:rPr>
                <w:noProof/>
                <w:sz w:val="18"/>
                <w:szCs w:val="18"/>
              </w:rPr>
            </w:pPr>
          </w:p>
        </w:tc>
        <w:tc>
          <w:tcPr>
            <w:tcW w:w="613"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878" w:type="dxa"/>
            <w:tcBorders>
              <w:top w:val="nil"/>
              <w:left w:val="nil"/>
              <w:bottom w:val="nil"/>
              <w:right w:val="nil"/>
            </w:tcBorders>
          </w:tcPr>
          <w:p w:rsidR="00271729" w:rsidRDefault="00271729">
            <w:pPr>
              <w:spacing w:before="60" w:after="60"/>
              <w:ind w:right="-29"/>
              <w:jc w:val="center"/>
              <w:rPr>
                <w:noProof/>
                <w:sz w:val="18"/>
                <w:szCs w:val="18"/>
              </w:rPr>
            </w:pPr>
          </w:p>
        </w:tc>
        <w:tc>
          <w:tcPr>
            <w:tcW w:w="236" w:type="dxa"/>
            <w:tcBorders>
              <w:top w:val="nil"/>
              <w:left w:val="nil"/>
              <w:bottom w:val="nil"/>
              <w:right w:val="nil"/>
            </w:tcBorders>
          </w:tcPr>
          <w:p w:rsidR="00271729" w:rsidRDefault="00271729">
            <w:pPr>
              <w:spacing w:before="60" w:after="60"/>
              <w:ind w:right="-29"/>
              <w:jc w:val="center"/>
              <w:rPr>
                <w:noProof/>
                <w:sz w:val="18"/>
                <w:szCs w:val="18"/>
              </w:rPr>
            </w:pPr>
          </w:p>
        </w:tc>
      </w:tr>
      <w:tr w:rsidR="00271729">
        <w:trPr>
          <w:jc w:val="center"/>
        </w:trPr>
        <w:tc>
          <w:tcPr>
            <w:tcW w:w="2947" w:type="dxa"/>
            <w:gridSpan w:val="4"/>
            <w:vAlign w:val="center"/>
          </w:tcPr>
          <w:p w:rsidR="00271729" w:rsidRDefault="00AD0727">
            <w:pPr>
              <w:spacing w:before="60" w:after="60"/>
              <w:ind w:right="-29"/>
              <w:jc w:val="center"/>
              <w:rPr>
                <w:noProof/>
                <w:sz w:val="18"/>
                <w:szCs w:val="18"/>
              </w:rPr>
            </w:pPr>
            <w:r>
              <w:rPr>
                <w:noProof/>
                <w:sz w:val="18"/>
              </w:rPr>
              <w:t>КОНКРЕТНА ЦЕЛ № 3 — Реагиране</w:t>
            </w:r>
            <w:r>
              <w:rPr>
                <w:rStyle w:val="FootnoteReference"/>
                <w:noProof/>
              </w:rPr>
              <w:footnoteReference w:id="27"/>
            </w:r>
          </w:p>
        </w:tc>
        <w:tc>
          <w:tcPr>
            <w:tcW w:w="504"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90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gridSpan w:val="2"/>
            <w:tcBorders>
              <w:top w:val="nil"/>
              <w:left w:val="nil"/>
              <w:bottom w:val="nil"/>
              <w:right w:val="nil"/>
            </w:tcBorders>
          </w:tcPr>
          <w:p w:rsidR="00271729" w:rsidRDefault="00271729">
            <w:pPr>
              <w:spacing w:before="60" w:after="60"/>
              <w:ind w:right="-29"/>
              <w:jc w:val="center"/>
              <w:rPr>
                <w:noProof/>
                <w:sz w:val="18"/>
                <w:szCs w:val="18"/>
              </w:rPr>
            </w:pPr>
          </w:p>
        </w:tc>
        <w:tc>
          <w:tcPr>
            <w:tcW w:w="540" w:type="dxa"/>
            <w:gridSpan w:val="3"/>
            <w:tcBorders>
              <w:top w:val="nil"/>
              <w:left w:val="nil"/>
              <w:bottom w:val="nil"/>
              <w:right w:val="nil"/>
            </w:tcBorders>
          </w:tcPr>
          <w:p w:rsidR="00271729" w:rsidRDefault="00271729">
            <w:pPr>
              <w:spacing w:before="60" w:after="60"/>
              <w:ind w:right="-29"/>
              <w:jc w:val="center"/>
              <w:rPr>
                <w:noProof/>
                <w:sz w:val="18"/>
                <w:szCs w:val="18"/>
              </w:rPr>
            </w:pPr>
          </w:p>
        </w:tc>
        <w:tc>
          <w:tcPr>
            <w:tcW w:w="648" w:type="dxa"/>
            <w:tcBorders>
              <w:top w:val="nil"/>
              <w:left w:val="nil"/>
              <w:bottom w:val="nil"/>
              <w:right w:val="nil"/>
            </w:tcBorders>
          </w:tcPr>
          <w:p w:rsidR="00271729" w:rsidRDefault="00271729">
            <w:pPr>
              <w:spacing w:before="60" w:after="60"/>
              <w:ind w:right="-29"/>
              <w:jc w:val="center"/>
              <w:rPr>
                <w:noProof/>
                <w:sz w:val="18"/>
                <w:szCs w:val="18"/>
              </w:rPr>
            </w:pPr>
          </w:p>
        </w:tc>
        <w:tc>
          <w:tcPr>
            <w:tcW w:w="539" w:type="dxa"/>
            <w:tcBorders>
              <w:top w:val="nil"/>
              <w:left w:val="nil"/>
              <w:bottom w:val="nil"/>
              <w:right w:val="nil"/>
            </w:tcBorders>
          </w:tcPr>
          <w:p w:rsidR="00271729" w:rsidRDefault="00271729">
            <w:pPr>
              <w:spacing w:before="60" w:after="60"/>
              <w:ind w:right="-29"/>
              <w:jc w:val="center"/>
              <w:rPr>
                <w:noProof/>
                <w:sz w:val="18"/>
                <w:szCs w:val="18"/>
              </w:rPr>
            </w:pPr>
          </w:p>
        </w:tc>
        <w:tc>
          <w:tcPr>
            <w:tcW w:w="613" w:type="dxa"/>
            <w:tcBorders>
              <w:top w:val="nil"/>
              <w:left w:val="nil"/>
              <w:bottom w:val="nil"/>
              <w:right w:val="nil"/>
            </w:tcBorders>
          </w:tcPr>
          <w:p w:rsidR="00271729" w:rsidRDefault="00271729">
            <w:pPr>
              <w:spacing w:before="60" w:after="60"/>
              <w:ind w:right="-29"/>
              <w:jc w:val="center"/>
              <w:rPr>
                <w:noProof/>
                <w:sz w:val="18"/>
                <w:szCs w:val="18"/>
              </w:rPr>
            </w:pPr>
          </w:p>
        </w:tc>
        <w:tc>
          <w:tcPr>
            <w:tcW w:w="540" w:type="dxa"/>
            <w:tcBorders>
              <w:top w:val="nil"/>
              <w:left w:val="nil"/>
              <w:bottom w:val="nil"/>
              <w:right w:val="nil"/>
            </w:tcBorders>
          </w:tcPr>
          <w:p w:rsidR="00271729" w:rsidRDefault="00271729">
            <w:pPr>
              <w:spacing w:before="60" w:after="60"/>
              <w:ind w:right="-29"/>
              <w:jc w:val="center"/>
              <w:rPr>
                <w:noProof/>
                <w:sz w:val="18"/>
                <w:szCs w:val="18"/>
              </w:rPr>
            </w:pPr>
          </w:p>
        </w:tc>
        <w:tc>
          <w:tcPr>
            <w:tcW w:w="720" w:type="dxa"/>
            <w:tcBorders>
              <w:top w:val="nil"/>
              <w:left w:val="nil"/>
              <w:bottom w:val="nil"/>
              <w:right w:val="nil"/>
            </w:tcBorders>
          </w:tcPr>
          <w:p w:rsidR="00271729" w:rsidRDefault="00271729">
            <w:pPr>
              <w:spacing w:before="60" w:after="60"/>
              <w:ind w:right="-29"/>
              <w:jc w:val="center"/>
              <w:rPr>
                <w:noProof/>
                <w:sz w:val="18"/>
                <w:szCs w:val="18"/>
              </w:rPr>
            </w:pPr>
          </w:p>
        </w:tc>
        <w:tc>
          <w:tcPr>
            <w:tcW w:w="878" w:type="dxa"/>
            <w:tcBorders>
              <w:top w:val="nil"/>
              <w:left w:val="nil"/>
              <w:bottom w:val="nil"/>
              <w:right w:val="nil"/>
            </w:tcBorders>
          </w:tcPr>
          <w:p w:rsidR="00271729" w:rsidRDefault="00271729">
            <w:pPr>
              <w:spacing w:before="60" w:after="60"/>
              <w:ind w:right="-29"/>
              <w:jc w:val="center"/>
              <w:rPr>
                <w:noProof/>
                <w:sz w:val="18"/>
                <w:szCs w:val="18"/>
              </w:rPr>
            </w:pPr>
          </w:p>
        </w:tc>
        <w:tc>
          <w:tcPr>
            <w:tcW w:w="236" w:type="dxa"/>
            <w:tcBorders>
              <w:top w:val="nil"/>
              <w:left w:val="nil"/>
              <w:bottom w:val="nil"/>
              <w:right w:val="nil"/>
            </w:tcBorders>
          </w:tcPr>
          <w:p w:rsidR="00271729" w:rsidRDefault="00271729">
            <w:pPr>
              <w:spacing w:before="60" w:after="60"/>
              <w:ind w:right="-29"/>
              <w:jc w:val="center"/>
              <w:rPr>
                <w:noProof/>
                <w:sz w:val="18"/>
                <w:szCs w:val="18"/>
              </w:rPr>
            </w:pPr>
          </w:p>
        </w:tc>
      </w:tr>
      <w:tr w:rsidR="00271729">
        <w:trPr>
          <w:gridAfter w:val="10"/>
          <w:wAfter w:w="4714" w:type="dxa"/>
          <w:trHeight w:hRule="exact" w:val="628"/>
          <w:jc w:val="center"/>
        </w:trPr>
        <w:tc>
          <w:tcPr>
            <w:tcW w:w="1218" w:type="dxa"/>
          </w:tcPr>
          <w:p w:rsidR="00271729" w:rsidRDefault="00AD0727">
            <w:pPr>
              <w:ind w:right="-29"/>
              <w:rPr>
                <w:noProof/>
                <w:sz w:val="18"/>
                <w:szCs w:val="18"/>
              </w:rPr>
            </w:pPr>
            <w:r>
              <w:rPr>
                <w:noProof/>
                <w:sz w:val="18"/>
              </w:rPr>
              <w:t xml:space="preserve">Изпращане на експерти </w:t>
            </w:r>
          </w:p>
        </w:tc>
        <w:tc>
          <w:tcPr>
            <w:tcW w:w="1028" w:type="dxa"/>
            <w:gridSpan w:val="2"/>
          </w:tcPr>
          <w:p w:rsidR="00271729" w:rsidRDefault="00AD0727">
            <w:pPr>
              <w:ind w:right="-160"/>
              <w:jc w:val="center"/>
              <w:rPr>
                <w:noProof/>
                <w:sz w:val="18"/>
                <w:szCs w:val="18"/>
              </w:rPr>
            </w:pPr>
            <w:r>
              <w:rPr>
                <w:noProof/>
                <w:sz w:val="18"/>
              </w:rPr>
              <w:t>Брой договори</w:t>
            </w:r>
          </w:p>
        </w:tc>
        <w:tc>
          <w:tcPr>
            <w:tcW w:w="701" w:type="dxa"/>
          </w:tcPr>
          <w:p w:rsidR="00271729" w:rsidRDefault="00AD0727">
            <w:pPr>
              <w:ind w:left="-56" w:right="-29"/>
              <w:jc w:val="center"/>
              <w:rPr>
                <w:noProof/>
                <w:sz w:val="18"/>
                <w:szCs w:val="18"/>
              </w:rPr>
            </w:pPr>
            <w:r>
              <w:rPr>
                <w:noProof/>
                <w:sz w:val="18"/>
              </w:rPr>
              <w:t>0,005</w:t>
            </w:r>
          </w:p>
        </w:tc>
        <w:tc>
          <w:tcPr>
            <w:tcW w:w="504" w:type="dxa"/>
            <w:tcBorders>
              <w:right w:val="dashSmallGap" w:sz="4" w:space="0" w:color="auto"/>
            </w:tcBorders>
          </w:tcPr>
          <w:p w:rsidR="00271729" w:rsidRDefault="00AD0727">
            <w:pPr>
              <w:ind w:right="-29"/>
              <w:jc w:val="center"/>
              <w:rPr>
                <w:noProof/>
                <w:sz w:val="18"/>
                <w:szCs w:val="18"/>
              </w:rPr>
            </w:pPr>
            <w:r>
              <w:rPr>
                <w:noProof/>
                <w:sz w:val="18"/>
              </w:rPr>
              <w:t>200</w:t>
            </w:r>
          </w:p>
        </w:tc>
        <w:tc>
          <w:tcPr>
            <w:tcW w:w="720" w:type="dxa"/>
            <w:tcBorders>
              <w:left w:val="dashSmallGap" w:sz="4" w:space="0" w:color="auto"/>
            </w:tcBorders>
          </w:tcPr>
          <w:p w:rsidR="00271729" w:rsidRDefault="00AD0727">
            <w:pPr>
              <w:ind w:right="-29"/>
              <w:jc w:val="center"/>
              <w:rPr>
                <w:noProof/>
                <w:sz w:val="18"/>
                <w:szCs w:val="18"/>
              </w:rPr>
            </w:pPr>
            <w:r>
              <w:rPr>
                <w:noProof/>
                <w:sz w:val="18"/>
              </w:rPr>
              <w:t>1</w:t>
            </w:r>
          </w:p>
        </w:tc>
        <w:tc>
          <w:tcPr>
            <w:tcW w:w="540" w:type="dxa"/>
            <w:tcBorders>
              <w:right w:val="dashSmallGap" w:sz="4" w:space="0" w:color="auto"/>
            </w:tcBorders>
          </w:tcPr>
          <w:p w:rsidR="00271729" w:rsidRDefault="00AD0727">
            <w:pPr>
              <w:ind w:right="-29"/>
              <w:jc w:val="center"/>
              <w:rPr>
                <w:noProof/>
                <w:sz w:val="18"/>
                <w:szCs w:val="18"/>
              </w:rPr>
            </w:pPr>
            <w:r>
              <w:rPr>
                <w:noProof/>
                <w:sz w:val="18"/>
              </w:rPr>
              <w:t>200</w:t>
            </w:r>
          </w:p>
        </w:tc>
        <w:tc>
          <w:tcPr>
            <w:tcW w:w="720" w:type="dxa"/>
            <w:tcBorders>
              <w:left w:val="dashSmallGap" w:sz="4" w:space="0" w:color="auto"/>
            </w:tcBorders>
          </w:tcPr>
          <w:p w:rsidR="00271729" w:rsidRDefault="00AD0727">
            <w:pPr>
              <w:ind w:right="-29"/>
              <w:jc w:val="center"/>
              <w:rPr>
                <w:noProof/>
                <w:sz w:val="18"/>
                <w:szCs w:val="18"/>
              </w:rPr>
            </w:pPr>
            <w:r>
              <w:rPr>
                <w:noProof/>
                <w:sz w:val="18"/>
              </w:rPr>
              <w:t>1</w:t>
            </w:r>
          </w:p>
        </w:tc>
        <w:tc>
          <w:tcPr>
            <w:tcW w:w="720" w:type="dxa"/>
            <w:tcBorders>
              <w:right w:val="dashSmallGap" w:sz="4" w:space="0" w:color="auto"/>
            </w:tcBorders>
          </w:tcPr>
          <w:p w:rsidR="00271729" w:rsidRDefault="00AD0727">
            <w:pPr>
              <w:ind w:right="-29"/>
              <w:jc w:val="center"/>
              <w:rPr>
                <w:noProof/>
                <w:sz w:val="18"/>
                <w:szCs w:val="18"/>
              </w:rPr>
            </w:pPr>
            <w:r>
              <w:rPr>
                <w:noProof/>
                <w:sz w:val="18"/>
              </w:rPr>
              <w:t>200</w:t>
            </w:r>
          </w:p>
        </w:tc>
        <w:tc>
          <w:tcPr>
            <w:tcW w:w="720" w:type="dxa"/>
            <w:tcBorders>
              <w:left w:val="dashSmallGap" w:sz="4" w:space="0" w:color="auto"/>
            </w:tcBorders>
          </w:tcPr>
          <w:p w:rsidR="00271729" w:rsidRDefault="00AD0727">
            <w:pPr>
              <w:ind w:right="-29"/>
              <w:jc w:val="center"/>
              <w:rPr>
                <w:noProof/>
                <w:sz w:val="18"/>
                <w:szCs w:val="18"/>
              </w:rPr>
            </w:pPr>
            <w:r>
              <w:rPr>
                <w:noProof/>
                <w:sz w:val="18"/>
              </w:rPr>
              <w:t>1</w:t>
            </w:r>
          </w:p>
        </w:tc>
        <w:tc>
          <w:tcPr>
            <w:tcW w:w="900" w:type="dxa"/>
            <w:tcBorders>
              <w:right w:val="dashSmallGap" w:sz="4" w:space="0" w:color="auto"/>
            </w:tcBorders>
          </w:tcPr>
          <w:p w:rsidR="00271729" w:rsidRDefault="00AD0727">
            <w:pPr>
              <w:ind w:right="-29"/>
              <w:jc w:val="center"/>
              <w:rPr>
                <w:noProof/>
                <w:sz w:val="18"/>
                <w:szCs w:val="18"/>
              </w:rPr>
            </w:pPr>
            <w:r>
              <w:rPr>
                <w:noProof/>
                <w:sz w:val="18"/>
              </w:rPr>
              <w:t>600</w:t>
            </w:r>
          </w:p>
        </w:tc>
        <w:tc>
          <w:tcPr>
            <w:tcW w:w="720" w:type="dxa"/>
            <w:gridSpan w:val="2"/>
            <w:tcBorders>
              <w:left w:val="dashSmallGap" w:sz="4" w:space="0" w:color="auto"/>
            </w:tcBorders>
          </w:tcPr>
          <w:p w:rsidR="00271729" w:rsidRDefault="00AD0727">
            <w:pPr>
              <w:ind w:right="-29"/>
              <w:jc w:val="center"/>
              <w:rPr>
                <w:noProof/>
                <w:sz w:val="18"/>
                <w:szCs w:val="18"/>
              </w:rPr>
            </w:pPr>
            <w:r>
              <w:rPr>
                <w:noProof/>
                <w:sz w:val="18"/>
              </w:rPr>
              <w:t>3</w:t>
            </w:r>
          </w:p>
        </w:tc>
      </w:tr>
      <w:tr w:rsidR="00271729">
        <w:trPr>
          <w:gridAfter w:val="10"/>
          <w:wAfter w:w="4714" w:type="dxa"/>
          <w:trHeight w:hRule="exact" w:val="2181"/>
          <w:jc w:val="center"/>
        </w:trPr>
        <w:tc>
          <w:tcPr>
            <w:tcW w:w="1218" w:type="dxa"/>
          </w:tcPr>
          <w:p w:rsidR="00271729" w:rsidRDefault="00AD0727">
            <w:pPr>
              <w:ind w:right="-29"/>
              <w:rPr>
                <w:noProof/>
                <w:sz w:val="18"/>
                <w:szCs w:val="18"/>
              </w:rPr>
            </w:pPr>
            <w:r>
              <w:rPr>
                <w:noProof/>
                <w:sz w:val="18"/>
              </w:rPr>
              <w:t xml:space="preserve"> Брой операции в рамките на ЕС</w:t>
            </w:r>
          </w:p>
        </w:tc>
        <w:tc>
          <w:tcPr>
            <w:tcW w:w="1028" w:type="dxa"/>
            <w:gridSpan w:val="2"/>
          </w:tcPr>
          <w:p w:rsidR="00271729" w:rsidRDefault="00AD0727">
            <w:pPr>
              <w:ind w:right="-29"/>
              <w:rPr>
                <w:noProof/>
                <w:sz w:val="18"/>
                <w:szCs w:val="18"/>
              </w:rPr>
            </w:pPr>
            <w:r>
              <w:rPr>
                <w:noProof/>
                <w:sz w:val="18"/>
              </w:rPr>
              <w:t xml:space="preserve">Споразумение за </w:t>
            </w:r>
            <w:r>
              <w:rPr>
                <w:noProof/>
                <w:sz w:val="18"/>
              </w:rPr>
              <w:t>отпускане на безвъзмездни средства/договор за услуги</w:t>
            </w:r>
          </w:p>
        </w:tc>
        <w:tc>
          <w:tcPr>
            <w:tcW w:w="701" w:type="dxa"/>
          </w:tcPr>
          <w:p w:rsidR="00271729" w:rsidRDefault="00AD0727">
            <w:pPr>
              <w:ind w:right="-29"/>
              <w:jc w:val="center"/>
              <w:rPr>
                <w:noProof/>
                <w:sz w:val="18"/>
                <w:szCs w:val="18"/>
              </w:rPr>
            </w:pPr>
            <w:r>
              <w:rPr>
                <w:noProof/>
                <w:sz w:val="18"/>
              </w:rPr>
              <w:t>0,1</w:t>
            </w:r>
          </w:p>
        </w:tc>
        <w:tc>
          <w:tcPr>
            <w:tcW w:w="504" w:type="dxa"/>
          </w:tcPr>
          <w:p w:rsidR="00271729" w:rsidRDefault="00AD0727">
            <w:pPr>
              <w:ind w:right="-29"/>
              <w:jc w:val="center"/>
              <w:rPr>
                <w:noProof/>
                <w:sz w:val="18"/>
                <w:szCs w:val="18"/>
              </w:rPr>
            </w:pPr>
            <w:r>
              <w:rPr>
                <w:noProof/>
                <w:sz w:val="18"/>
              </w:rPr>
              <w:t>80</w:t>
            </w:r>
          </w:p>
        </w:tc>
        <w:tc>
          <w:tcPr>
            <w:tcW w:w="720" w:type="dxa"/>
          </w:tcPr>
          <w:p w:rsidR="00271729" w:rsidRDefault="00AD0727">
            <w:pPr>
              <w:ind w:right="-29"/>
              <w:jc w:val="center"/>
              <w:rPr>
                <w:noProof/>
                <w:sz w:val="18"/>
                <w:szCs w:val="18"/>
              </w:rPr>
            </w:pPr>
            <w:r>
              <w:rPr>
                <w:noProof/>
                <w:sz w:val="18"/>
              </w:rPr>
              <w:t>8</w:t>
            </w:r>
          </w:p>
        </w:tc>
        <w:tc>
          <w:tcPr>
            <w:tcW w:w="540" w:type="dxa"/>
          </w:tcPr>
          <w:p w:rsidR="00271729" w:rsidRDefault="00AD0727">
            <w:pPr>
              <w:ind w:right="-29"/>
              <w:jc w:val="center"/>
              <w:rPr>
                <w:noProof/>
                <w:sz w:val="18"/>
                <w:szCs w:val="18"/>
              </w:rPr>
            </w:pPr>
            <w:r>
              <w:rPr>
                <w:noProof/>
                <w:sz w:val="18"/>
              </w:rPr>
              <w:t>80</w:t>
            </w:r>
          </w:p>
        </w:tc>
        <w:tc>
          <w:tcPr>
            <w:tcW w:w="720" w:type="dxa"/>
          </w:tcPr>
          <w:p w:rsidR="00271729" w:rsidRDefault="00AD0727">
            <w:pPr>
              <w:ind w:right="-29"/>
              <w:jc w:val="center"/>
              <w:rPr>
                <w:noProof/>
                <w:sz w:val="18"/>
                <w:szCs w:val="18"/>
              </w:rPr>
            </w:pPr>
            <w:r>
              <w:rPr>
                <w:noProof/>
                <w:sz w:val="18"/>
              </w:rPr>
              <w:t>8</w:t>
            </w:r>
          </w:p>
        </w:tc>
        <w:tc>
          <w:tcPr>
            <w:tcW w:w="720" w:type="dxa"/>
          </w:tcPr>
          <w:p w:rsidR="00271729" w:rsidRDefault="00AD0727">
            <w:pPr>
              <w:ind w:right="-29"/>
              <w:jc w:val="center"/>
              <w:rPr>
                <w:noProof/>
                <w:sz w:val="18"/>
                <w:szCs w:val="18"/>
              </w:rPr>
            </w:pPr>
            <w:r>
              <w:rPr>
                <w:noProof/>
                <w:sz w:val="18"/>
              </w:rPr>
              <w:t>80</w:t>
            </w:r>
          </w:p>
        </w:tc>
        <w:tc>
          <w:tcPr>
            <w:tcW w:w="720" w:type="dxa"/>
          </w:tcPr>
          <w:p w:rsidR="00271729" w:rsidRDefault="00AD0727">
            <w:pPr>
              <w:ind w:right="-29"/>
              <w:jc w:val="center"/>
              <w:rPr>
                <w:noProof/>
                <w:sz w:val="18"/>
                <w:szCs w:val="18"/>
              </w:rPr>
            </w:pPr>
            <w:r>
              <w:rPr>
                <w:noProof/>
                <w:sz w:val="18"/>
              </w:rPr>
              <w:t>8</w:t>
            </w:r>
          </w:p>
        </w:tc>
        <w:tc>
          <w:tcPr>
            <w:tcW w:w="900" w:type="dxa"/>
          </w:tcPr>
          <w:p w:rsidR="00271729" w:rsidRDefault="00AD0727">
            <w:pPr>
              <w:ind w:right="-29"/>
              <w:jc w:val="center"/>
              <w:rPr>
                <w:noProof/>
                <w:sz w:val="18"/>
                <w:szCs w:val="18"/>
              </w:rPr>
            </w:pPr>
            <w:r>
              <w:rPr>
                <w:noProof/>
                <w:sz w:val="18"/>
              </w:rPr>
              <w:t>240</w:t>
            </w:r>
          </w:p>
        </w:tc>
        <w:tc>
          <w:tcPr>
            <w:tcW w:w="720" w:type="dxa"/>
            <w:gridSpan w:val="2"/>
          </w:tcPr>
          <w:p w:rsidR="00271729" w:rsidRDefault="00AD0727">
            <w:pPr>
              <w:ind w:right="-29"/>
              <w:jc w:val="center"/>
              <w:rPr>
                <w:noProof/>
                <w:sz w:val="18"/>
                <w:szCs w:val="18"/>
              </w:rPr>
            </w:pPr>
            <w:r>
              <w:rPr>
                <w:noProof/>
                <w:sz w:val="18"/>
              </w:rPr>
              <w:t>24</w:t>
            </w:r>
          </w:p>
        </w:tc>
      </w:tr>
      <w:tr w:rsidR="00271729">
        <w:trPr>
          <w:gridAfter w:val="10"/>
          <w:wAfter w:w="4714" w:type="dxa"/>
          <w:trHeight w:hRule="exact" w:val="2113"/>
          <w:jc w:val="center"/>
        </w:trPr>
        <w:tc>
          <w:tcPr>
            <w:tcW w:w="1218" w:type="dxa"/>
          </w:tcPr>
          <w:p w:rsidR="00271729" w:rsidRDefault="00AD0727">
            <w:pPr>
              <w:ind w:right="-29"/>
              <w:rPr>
                <w:noProof/>
                <w:sz w:val="18"/>
                <w:szCs w:val="18"/>
              </w:rPr>
            </w:pPr>
            <w:r>
              <w:rPr>
                <w:noProof/>
                <w:sz w:val="18"/>
              </w:rPr>
              <w:t xml:space="preserve"> Брой транспортни операции извън ЕС</w:t>
            </w:r>
          </w:p>
        </w:tc>
        <w:tc>
          <w:tcPr>
            <w:tcW w:w="1028" w:type="dxa"/>
            <w:gridSpan w:val="2"/>
          </w:tcPr>
          <w:p w:rsidR="00271729" w:rsidRDefault="00AD0727">
            <w:pPr>
              <w:ind w:right="-29"/>
              <w:rPr>
                <w:noProof/>
                <w:sz w:val="18"/>
                <w:szCs w:val="18"/>
              </w:rPr>
            </w:pPr>
            <w:r>
              <w:rPr>
                <w:noProof/>
                <w:sz w:val="18"/>
              </w:rPr>
              <w:t>Споразумение за отпускане на безвъзмездни средства/договор за услуги</w:t>
            </w:r>
          </w:p>
        </w:tc>
        <w:tc>
          <w:tcPr>
            <w:tcW w:w="701" w:type="dxa"/>
          </w:tcPr>
          <w:p w:rsidR="00271729" w:rsidRDefault="00AD0727">
            <w:pPr>
              <w:ind w:right="-29"/>
              <w:rPr>
                <w:noProof/>
                <w:sz w:val="18"/>
                <w:szCs w:val="18"/>
              </w:rPr>
            </w:pPr>
            <w:r>
              <w:rPr>
                <w:noProof/>
                <w:sz w:val="18"/>
              </w:rPr>
              <w:t>0,13</w:t>
            </w:r>
          </w:p>
        </w:tc>
        <w:tc>
          <w:tcPr>
            <w:tcW w:w="504" w:type="dxa"/>
          </w:tcPr>
          <w:p w:rsidR="00271729" w:rsidRDefault="00AD0727">
            <w:pPr>
              <w:ind w:right="-29"/>
              <w:jc w:val="center"/>
              <w:rPr>
                <w:noProof/>
                <w:sz w:val="18"/>
                <w:szCs w:val="18"/>
              </w:rPr>
            </w:pPr>
            <w:r>
              <w:rPr>
                <w:noProof/>
                <w:sz w:val="18"/>
              </w:rPr>
              <w:t>40</w:t>
            </w:r>
          </w:p>
        </w:tc>
        <w:tc>
          <w:tcPr>
            <w:tcW w:w="720" w:type="dxa"/>
          </w:tcPr>
          <w:p w:rsidR="00271729" w:rsidRDefault="00AD0727">
            <w:pPr>
              <w:ind w:right="-29"/>
              <w:jc w:val="center"/>
              <w:rPr>
                <w:noProof/>
                <w:sz w:val="18"/>
                <w:szCs w:val="18"/>
              </w:rPr>
            </w:pPr>
            <w:r>
              <w:rPr>
                <w:noProof/>
                <w:sz w:val="18"/>
              </w:rPr>
              <w:t>5,2</w:t>
            </w:r>
          </w:p>
        </w:tc>
        <w:tc>
          <w:tcPr>
            <w:tcW w:w="540" w:type="dxa"/>
          </w:tcPr>
          <w:p w:rsidR="00271729" w:rsidRDefault="00AD0727">
            <w:pPr>
              <w:ind w:right="-29"/>
              <w:jc w:val="center"/>
              <w:rPr>
                <w:noProof/>
                <w:sz w:val="18"/>
                <w:szCs w:val="18"/>
              </w:rPr>
            </w:pPr>
            <w:r>
              <w:rPr>
                <w:noProof/>
                <w:sz w:val="18"/>
              </w:rPr>
              <w:t>40</w:t>
            </w:r>
          </w:p>
        </w:tc>
        <w:tc>
          <w:tcPr>
            <w:tcW w:w="720" w:type="dxa"/>
          </w:tcPr>
          <w:p w:rsidR="00271729" w:rsidRDefault="00AD0727">
            <w:pPr>
              <w:ind w:right="-29"/>
              <w:rPr>
                <w:noProof/>
                <w:sz w:val="18"/>
                <w:szCs w:val="18"/>
              </w:rPr>
            </w:pPr>
            <w:r>
              <w:rPr>
                <w:noProof/>
                <w:sz w:val="18"/>
              </w:rPr>
              <w:t>5,2</w:t>
            </w:r>
          </w:p>
        </w:tc>
        <w:tc>
          <w:tcPr>
            <w:tcW w:w="720" w:type="dxa"/>
          </w:tcPr>
          <w:p w:rsidR="00271729" w:rsidRDefault="00AD0727">
            <w:pPr>
              <w:ind w:right="-29"/>
              <w:jc w:val="center"/>
              <w:rPr>
                <w:noProof/>
                <w:sz w:val="18"/>
                <w:szCs w:val="18"/>
              </w:rPr>
            </w:pPr>
            <w:r>
              <w:rPr>
                <w:noProof/>
                <w:sz w:val="18"/>
              </w:rPr>
              <w:t>40</w:t>
            </w:r>
          </w:p>
        </w:tc>
        <w:tc>
          <w:tcPr>
            <w:tcW w:w="720" w:type="dxa"/>
          </w:tcPr>
          <w:p w:rsidR="00271729" w:rsidRDefault="00AD0727">
            <w:pPr>
              <w:ind w:right="-29"/>
              <w:jc w:val="center"/>
              <w:rPr>
                <w:noProof/>
                <w:sz w:val="18"/>
                <w:szCs w:val="18"/>
              </w:rPr>
            </w:pPr>
            <w:r>
              <w:rPr>
                <w:noProof/>
                <w:sz w:val="18"/>
              </w:rPr>
              <w:t>5,2</w:t>
            </w:r>
          </w:p>
        </w:tc>
        <w:tc>
          <w:tcPr>
            <w:tcW w:w="900" w:type="dxa"/>
          </w:tcPr>
          <w:p w:rsidR="00271729" w:rsidRDefault="00AD0727">
            <w:pPr>
              <w:ind w:right="-29"/>
              <w:jc w:val="center"/>
              <w:rPr>
                <w:noProof/>
                <w:sz w:val="18"/>
                <w:szCs w:val="18"/>
              </w:rPr>
            </w:pPr>
            <w:r>
              <w:rPr>
                <w:noProof/>
                <w:sz w:val="18"/>
              </w:rPr>
              <w:t>120</w:t>
            </w:r>
          </w:p>
        </w:tc>
        <w:tc>
          <w:tcPr>
            <w:tcW w:w="720" w:type="dxa"/>
            <w:gridSpan w:val="2"/>
          </w:tcPr>
          <w:p w:rsidR="00271729" w:rsidRDefault="00AD0727">
            <w:pPr>
              <w:ind w:right="-29"/>
              <w:jc w:val="center"/>
              <w:rPr>
                <w:noProof/>
                <w:sz w:val="18"/>
                <w:szCs w:val="18"/>
              </w:rPr>
            </w:pPr>
            <w:r>
              <w:rPr>
                <w:noProof/>
                <w:sz w:val="18"/>
              </w:rPr>
              <w:t>15,6</w:t>
            </w:r>
          </w:p>
        </w:tc>
      </w:tr>
      <w:tr w:rsidR="00271729">
        <w:trPr>
          <w:gridAfter w:val="10"/>
          <w:wAfter w:w="4714" w:type="dxa"/>
          <w:jc w:val="center"/>
        </w:trPr>
        <w:tc>
          <w:tcPr>
            <w:tcW w:w="2947" w:type="dxa"/>
            <w:gridSpan w:val="4"/>
            <w:tcBorders>
              <w:bottom w:val="single" w:sz="12" w:space="0" w:color="auto"/>
            </w:tcBorders>
            <w:vAlign w:val="center"/>
          </w:tcPr>
          <w:p w:rsidR="00271729" w:rsidRDefault="00AD0727">
            <w:pPr>
              <w:jc w:val="center"/>
              <w:rPr>
                <w:noProof/>
                <w:sz w:val="18"/>
                <w:szCs w:val="18"/>
              </w:rPr>
            </w:pPr>
            <w:r>
              <w:rPr>
                <w:noProof/>
                <w:sz w:val="18"/>
              </w:rPr>
              <w:t>Междинен сбор за конкретна цел № 3</w:t>
            </w:r>
          </w:p>
        </w:tc>
        <w:tc>
          <w:tcPr>
            <w:tcW w:w="504" w:type="dxa"/>
            <w:tcBorders>
              <w:bottom w:val="single" w:sz="12" w:space="0" w:color="auto"/>
            </w:tcBorders>
          </w:tcPr>
          <w:p w:rsidR="00271729" w:rsidRDefault="00AD0727">
            <w:pPr>
              <w:ind w:right="-29"/>
              <w:jc w:val="center"/>
              <w:rPr>
                <w:noProof/>
                <w:sz w:val="18"/>
                <w:szCs w:val="18"/>
              </w:rPr>
            </w:pPr>
            <w:r>
              <w:rPr>
                <w:noProof/>
                <w:sz w:val="18"/>
              </w:rPr>
              <w:t>320</w:t>
            </w:r>
          </w:p>
        </w:tc>
        <w:tc>
          <w:tcPr>
            <w:tcW w:w="720" w:type="dxa"/>
            <w:tcBorders>
              <w:bottom w:val="single" w:sz="12" w:space="0" w:color="auto"/>
            </w:tcBorders>
          </w:tcPr>
          <w:p w:rsidR="00271729" w:rsidRDefault="00AD0727">
            <w:pPr>
              <w:ind w:right="-29"/>
              <w:jc w:val="center"/>
              <w:rPr>
                <w:noProof/>
                <w:sz w:val="18"/>
                <w:szCs w:val="18"/>
              </w:rPr>
            </w:pPr>
            <w:r>
              <w:rPr>
                <w:noProof/>
                <w:sz w:val="18"/>
              </w:rPr>
              <w:t>14,2</w:t>
            </w:r>
          </w:p>
        </w:tc>
        <w:tc>
          <w:tcPr>
            <w:tcW w:w="540" w:type="dxa"/>
            <w:tcBorders>
              <w:bottom w:val="single" w:sz="12" w:space="0" w:color="auto"/>
            </w:tcBorders>
          </w:tcPr>
          <w:p w:rsidR="00271729" w:rsidRDefault="00AD0727">
            <w:pPr>
              <w:ind w:right="-29"/>
              <w:jc w:val="center"/>
              <w:rPr>
                <w:noProof/>
                <w:sz w:val="18"/>
                <w:szCs w:val="18"/>
              </w:rPr>
            </w:pPr>
            <w:r>
              <w:rPr>
                <w:noProof/>
                <w:sz w:val="18"/>
              </w:rPr>
              <w:t>320</w:t>
            </w:r>
          </w:p>
        </w:tc>
        <w:tc>
          <w:tcPr>
            <w:tcW w:w="720" w:type="dxa"/>
            <w:tcBorders>
              <w:bottom w:val="single" w:sz="12" w:space="0" w:color="auto"/>
            </w:tcBorders>
          </w:tcPr>
          <w:p w:rsidR="00271729" w:rsidRDefault="00AD0727">
            <w:pPr>
              <w:ind w:right="-29"/>
              <w:jc w:val="center"/>
              <w:rPr>
                <w:noProof/>
                <w:sz w:val="18"/>
                <w:szCs w:val="18"/>
              </w:rPr>
            </w:pPr>
            <w:r>
              <w:rPr>
                <w:noProof/>
                <w:sz w:val="18"/>
              </w:rPr>
              <w:t>14,2</w:t>
            </w:r>
          </w:p>
        </w:tc>
        <w:tc>
          <w:tcPr>
            <w:tcW w:w="720" w:type="dxa"/>
            <w:tcBorders>
              <w:bottom w:val="single" w:sz="12" w:space="0" w:color="auto"/>
            </w:tcBorders>
          </w:tcPr>
          <w:p w:rsidR="00271729" w:rsidRDefault="00AD0727">
            <w:pPr>
              <w:ind w:right="-29"/>
              <w:jc w:val="center"/>
              <w:rPr>
                <w:noProof/>
                <w:sz w:val="18"/>
                <w:szCs w:val="18"/>
              </w:rPr>
            </w:pPr>
            <w:r>
              <w:rPr>
                <w:noProof/>
                <w:sz w:val="18"/>
              </w:rPr>
              <w:t>320</w:t>
            </w:r>
          </w:p>
        </w:tc>
        <w:tc>
          <w:tcPr>
            <w:tcW w:w="720" w:type="dxa"/>
            <w:tcBorders>
              <w:bottom w:val="single" w:sz="12" w:space="0" w:color="auto"/>
            </w:tcBorders>
          </w:tcPr>
          <w:p w:rsidR="00271729" w:rsidRDefault="00AD0727">
            <w:pPr>
              <w:ind w:right="-29"/>
              <w:jc w:val="center"/>
              <w:rPr>
                <w:noProof/>
                <w:sz w:val="18"/>
                <w:szCs w:val="18"/>
              </w:rPr>
            </w:pPr>
            <w:r>
              <w:rPr>
                <w:noProof/>
                <w:sz w:val="18"/>
              </w:rPr>
              <w:t>14,2</w:t>
            </w:r>
          </w:p>
        </w:tc>
        <w:tc>
          <w:tcPr>
            <w:tcW w:w="938" w:type="dxa"/>
            <w:gridSpan w:val="2"/>
            <w:tcBorders>
              <w:bottom w:val="single" w:sz="12" w:space="0" w:color="auto"/>
            </w:tcBorders>
          </w:tcPr>
          <w:p w:rsidR="00271729" w:rsidRDefault="00AD0727">
            <w:pPr>
              <w:ind w:right="-29"/>
              <w:jc w:val="center"/>
              <w:rPr>
                <w:noProof/>
                <w:sz w:val="18"/>
                <w:szCs w:val="18"/>
              </w:rPr>
            </w:pPr>
            <w:r>
              <w:rPr>
                <w:noProof/>
                <w:sz w:val="18"/>
              </w:rPr>
              <w:t>960</w:t>
            </w:r>
          </w:p>
        </w:tc>
        <w:tc>
          <w:tcPr>
            <w:tcW w:w="682" w:type="dxa"/>
            <w:tcBorders>
              <w:bottom w:val="single" w:sz="12" w:space="0" w:color="auto"/>
            </w:tcBorders>
          </w:tcPr>
          <w:p w:rsidR="00271729" w:rsidRDefault="00AD0727">
            <w:pPr>
              <w:ind w:right="-29"/>
              <w:jc w:val="center"/>
              <w:rPr>
                <w:noProof/>
                <w:sz w:val="18"/>
                <w:szCs w:val="18"/>
              </w:rPr>
            </w:pPr>
            <w:r>
              <w:rPr>
                <w:noProof/>
                <w:sz w:val="18"/>
              </w:rPr>
              <w:t>42,6</w:t>
            </w:r>
          </w:p>
        </w:tc>
      </w:tr>
      <w:tr w:rsidR="00271729">
        <w:trPr>
          <w:gridAfter w:val="10"/>
          <w:wAfter w:w="4714" w:type="dxa"/>
          <w:jc w:val="center"/>
        </w:trPr>
        <w:tc>
          <w:tcPr>
            <w:tcW w:w="2947" w:type="dxa"/>
            <w:gridSpan w:val="4"/>
            <w:tcBorders>
              <w:top w:val="single" w:sz="12" w:space="0" w:color="auto"/>
              <w:left w:val="single" w:sz="12" w:space="0" w:color="auto"/>
              <w:bottom w:val="single" w:sz="12" w:space="0" w:color="auto"/>
            </w:tcBorders>
            <w:vAlign w:val="center"/>
          </w:tcPr>
          <w:p w:rsidR="00271729" w:rsidRDefault="00AD0727">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449</w:t>
            </w:r>
          </w:p>
        </w:tc>
        <w:tc>
          <w:tcPr>
            <w:tcW w:w="720" w:type="dxa"/>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32,2</w:t>
            </w:r>
          </w:p>
        </w:tc>
        <w:tc>
          <w:tcPr>
            <w:tcW w:w="540" w:type="dxa"/>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455</w:t>
            </w:r>
          </w:p>
        </w:tc>
        <w:tc>
          <w:tcPr>
            <w:tcW w:w="720" w:type="dxa"/>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38,2</w:t>
            </w:r>
          </w:p>
        </w:tc>
        <w:tc>
          <w:tcPr>
            <w:tcW w:w="720" w:type="dxa"/>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462</w:t>
            </w:r>
          </w:p>
        </w:tc>
        <w:tc>
          <w:tcPr>
            <w:tcW w:w="720" w:type="dxa"/>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45,2</w:t>
            </w:r>
          </w:p>
        </w:tc>
        <w:tc>
          <w:tcPr>
            <w:tcW w:w="900" w:type="dxa"/>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1366</w:t>
            </w:r>
          </w:p>
        </w:tc>
        <w:tc>
          <w:tcPr>
            <w:tcW w:w="720" w:type="dxa"/>
            <w:gridSpan w:val="2"/>
            <w:tcBorders>
              <w:top w:val="single" w:sz="12" w:space="0" w:color="auto"/>
              <w:bottom w:val="single" w:sz="12" w:space="0" w:color="auto"/>
            </w:tcBorders>
          </w:tcPr>
          <w:p w:rsidR="00271729" w:rsidRDefault="00AD0727">
            <w:pPr>
              <w:spacing w:before="180" w:after="180"/>
              <w:ind w:right="-29"/>
              <w:jc w:val="center"/>
              <w:rPr>
                <w:noProof/>
                <w:sz w:val="18"/>
                <w:szCs w:val="18"/>
              </w:rPr>
            </w:pPr>
            <w:r>
              <w:rPr>
                <w:noProof/>
                <w:sz w:val="18"/>
              </w:rPr>
              <w:t>115,6</w:t>
            </w:r>
          </w:p>
        </w:tc>
      </w:tr>
      <w:tr w:rsidR="00271729">
        <w:trPr>
          <w:gridAfter w:val="8"/>
          <w:wAfter w:w="4673" w:type="dxa"/>
          <w:jc w:val="center"/>
        </w:trPr>
        <w:tc>
          <w:tcPr>
            <w:tcW w:w="8532" w:type="dxa"/>
            <w:gridSpan w:val="15"/>
            <w:vAlign w:val="center"/>
          </w:tcPr>
          <w:p w:rsidR="00271729" w:rsidRDefault="00271729">
            <w:pPr>
              <w:spacing w:before="60" w:after="60"/>
              <w:ind w:right="-29"/>
              <w:rPr>
                <w:noProof/>
                <w:sz w:val="18"/>
                <w:szCs w:val="18"/>
              </w:rPr>
            </w:pPr>
          </w:p>
        </w:tc>
      </w:tr>
    </w:tbl>
    <w:p w:rsidR="00271729" w:rsidRDefault="00271729">
      <w:pPr>
        <w:rPr>
          <w:noProof/>
        </w:rPr>
        <w:sectPr w:rsidR="00271729" w:rsidSect="002C541A">
          <w:pgSz w:w="16840" w:h="11907" w:orient="landscape" w:code="9"/>
          <w:pgMar w:top="1134" w:right="1418" w:bottom="567" w:left="1418" w:header="709" w:footer="709" w:gutter="0"/>
          <w:cols w:space="708"/>
          <w:docGrid w:linePitch="360"/>
        </w:sectPr>
      </w:pPr>
    </w:p>
    <w:p w:rsidR="00271729" w:rsidRDefault="00AD0727">
      <w:pPr>
        <w:pStyle w:val="ManualNumPar3"/>
        <w:rPr>
          <w:noProof/>
        </w:rPr>
      </w:pPr>
      <w:r>
        <w:t>3.2.3.</w:t>
      </w:r>
      <w:r>
        <w:tab/>
      </w:r>
      <w:r>
        <w:rPr>
          <w:noProof/>
        </w:rPr>
        <w:t>Очаквано отражение върху бюджетните кредити за административни разходи</w:t>
      </w:r>
    </w:p>
    <w:p w:rsidR="00271729" w:rsidRDefault="00AD0727">
      <w:pPr>
        <w:pStyle w:val="ManualNumPar4"/>
        <w:rPr>
          <w:noProof/>
        </w:rPr>
      </w:pPr>
      <w:r>
        <w:t>3.2.3.1.</w:t>
      </w:r>
      <w:r>
        <w:tab/>
      </w:r>
      <w:r>
        <w:rPr>
          <w:noProof/>
        </w:rPr>
        <w:t xml:space="preserve">Обобщение </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271729" w:rsidRDefault="00AD0727">
      <w:pPr>
        <w:tabs>
          <w:tab w:val="num" w:pos="1134"/>
        </w:tabs>
        <w:ind w:left="1134" w:hanging="283"/>
        <w:rPr>
          <w:rFonts w:eastAsia="Times New Roman"/>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rsidR="00271729" w:rsidRDefault="00AD0727">
      <w:pPr>
        <w:rPr>
          <w:noProof/>
          <w:sz w:val="20"/>
        </w:rPr>
      </w:pPr>
      <w:r>
        <w:rPr>
          <w:noProof/>
          <w:sz w:val="20"/>
        </w:rPr>
        <w:t>млн. EUR (до 3-тия знак след десетич</w:t>
      </w:r>
      <w:r>
        <w:rPr>
          <w:noProof/>
          <w:sz w:val="20"/>
        </w:rPr>
        <w:t>ната запетая)</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271729">
        <w:trPr>
          <w:trHeight w:val="585"/>
        </w:trPr>
        <w:tc>
          <w:tcPr>
            <w:tcW w:w="1980" w:type="dxa"/>
          </w:tcPr>
          <w:p w:rsidR="00271729" w:rsidRDefault="00271729">
            <w:pPr>
              <w:spacing w:before="60" w:after="60" w:line="200" w:lineRule="exact"/>
              <w:rPr>
                <w:noProof/>
                <w:sz w:val="16"/>
                <w:szCs w:val="16"/>
              </w:rPr>
            </w:pPr>
          </w:p>
        </w:tc>
        <w:tc>
          <w:tcPr>
            <w:tcW w:w="1080" w:type="dxa"/>
            <w:vAlign w:val="center"/>
          </w:tcPr>
          <w:p w:rsidR="00271729" w:rsidRDefault="00AD0727">
            <w:pPr>
              <w:spacing w:before="60" w:after="60" w:line="200" w:lineRule="exact"/>
              <w:jc w:val="center"/>
              <w:rPr>
                <w:noProof/>
                <w:sz w:val="16"/>
                <w:szCs w:val="16"/>
              </w:rPr>
            </w:pPr>
            <w:r>
              <w:rPr>
                <w:noProof/>
                <w:sz w:val="16"/>
              </w:rPr>
              <w:t>2018 г.</w:t>
            </w:r>
          </w:p>
        </w:tc>
        <w:tc>
          <w:tcPr>
            <w:tcW w:w="1080" w:type="dxa"/>
            <w:vAlign w:val="center"/>
          </w:tcPr>
          <w:p w:rsidR="00271729" w:rsidRDefault="00AD0727">
            <w:pPr>
              <w:spacing w:before="60" w:after="60" w:line="200" w:lineRule="exact"/>
              <w:jc w:val="center"/>
              <w:rPr>
                <w:noProof/>
                <w:sz w:val="16"/>
                <w:szCs w:val="16"/>
              </w:rPr>
            </w:pPr>
            <w:r>
              <w:rPr>
                <w:noProof/>
                <w:sz w:val="16"/>
              </w:rPr>
              <w:t>2019 г.</w:t>
            </w:r>
          </w:p>
        </w:tc>
        <w:tc>
          <w:tcPr>
            <w:tcW w:w="1080" w:type="dxa"/>
            <w:vAlign w:val="center"/>
          </w:tcPr>
          <w:p w:rsidR="00271729" w:rsidRDefault="00AD0727">
            <w:pPr>
              <w:spacing w:before="60" w:after="60" w:line="200" w:lineRule="exact"/>
              <w:jc w:val="center"/>
              <w:rPr>
                <w:noProof/>
                <w:sz w:val="16"/>
                <w:szCs w:val="16"/>
              </w:rPr>
            </w:pPr>
            <w:r>
              <w:rPr>
                <w:noProof/>
                <w:sz w:val="16"/>
              </w:rPr>
              <w:t>2020 г.</w:t>
            </w:r>
          </w:p>
        </w:tc>
        <w:tc>
          <w:tcPr>
            <w:tcW w:w="1080" w:type="dxa"/>
            <w:vAlign w:val="center"/>
          </w:tcPr>
          <w:p w:rsidR="00271729" w:rsidRDefault="00AD0727">
            <w:pPr>
              <w:spacing w:before="60" w:after="60" w:line="200" w:lineRule="exact"/>
              <w:jc w:val="center"/>
              <w:rPr>
                <w:noProof/>
                <w:sz w:val="16"/>
                <w:szCs w:val="16"/>
              </w:rPr>
            </w:pPr>
            <w:r>
              <w:rPr>
                <w:b/>
                <w:noProof/>
                <w:sz w:val="16"/>
              </w:rPr>
              <w:t>ОБЩО</w:t>
            </w:r>
          </w:p>
        </w:tc>
      </w:tr>
    </w:tbl>
    <w:p w:rsidR="00271729" w:rsidRDefault="00271729">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271729">
        <w:trPr>
          <w:trHeight w:val="585"/>
        </w:trPr>
        <w:tc>
          <w:tcPr>
            <w:tcW w:w="1980" w:type="dxa"/>
            <w:shd w:val="clear" w:color="auto" w:fill="CCCCCC"/>
            <w:vAlign w:val="center"/>
          </w:tcPr>
          <w:p w:rsidR="00271729" w:rsidRDefault="00AD0727">
            <w:pPr>
              <w:spacing w:before="60" w:after="60" w:line="200" w:lineRule="exact"/>
              <w:jc w:val="center"/>
              <w:rPr>
                <w:b/>
                <w:noProof/>
                <w:sz w:val="16"/>
                <w:szCs w:val="16"/>
              </w:rPr>
            </w:pPr>
            <w:r>
              <w:rPr>
                <w:b/>
                <w:noProof/>
                <w:sz w:val="16"/>
              </w:rPr>
              <w:t>ФУНКЦИЯ 5от многогодишната финансова рамка</w:t>
            </w: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r>
      <w:tr w:rsidR="00271729">
        <w:trPr>
          <w:trHeight w:val="585"/>
        </w:trPr>
        <w:tc>
          <w:tcPr>
            <w:tcW w:w="1980" w:type="dxa"/>
            <w:vAlign w:val="center"/>
          </w:tcPr>
          <w:p w:rsidR="00271729" w:rsidRDefault="00AD072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271729" w:rsidRDefault="00AD0727">
            <w:pPr>
              <w:spacing w:before="20" w:after="20"/>
              <w:jc w:val="center"/>
              <w:rPr>
                <w:noProof/>
                <w:sz w:val="20"/>
              </w:rPr>
            </w:pPr>
            <w:r>
              <w:rPr>
                <w:noProof/>
                <w:sz w:val="20"/>
              </w:rPr>
              <w:t>1,682</w:t>
            </w:r>
          </w:p>
        </w:tc>
        <w:tc>
          <w:tcPr>
            <w:tcW w:w="1080" w:type="dxa"/>
            <w:vAlign w:val="center"/>
          </w:tcPr>
          <w:p w:rsidR="00271729" w:rsidRDefault="00AD0727">
            <w:pPr>
              <w:spacing w:before="20" w:after="20"/>
              <w:jc w:val="center"/>
              <w:rPr>
                <w:noProof/>
                <w:sz w:val="20"/>
              </w:rPr>
            </w:pPr>
            <w:r>
              <w:rPr>
                <w:noProof/>
                <w:sz w:val="20"/>
              </w:rPr>
              <w:t>5,034</w:t>
            </w:r>
          </w:p>
        </w:tc>
        <w:tc>
          <w:tcPr>
            <w:tcW w:w="1080" w:type="dxa"/>
            <w:vAlign w:val="center"/>
          </w:tcPr>
          <w:p w:rsidR="00271729" w:rsidRDefault="00AD0727">
            <w:pPr>
              <w:spacing w:before="20" w:after="20"/>
              <w:jc w:val="center"/>
              <w:rPr>
                <w:noProof/>
                <w:sz w:val="20"/>
              </w:rPr>
            </w:pPr>
            <w:r>
              <w:rPr>
                <w:noProof/>
                <w:sz w:val="20"/>
              </w:rPr>
              <w:t>9,436</w:t>
            </w:r>
          </w:p>
        </w:tc>
        <w:tc>
          <w:tcPr>
            <w:tcW w:w="1080" w:type="dxa"/>
            <w:vAlign w:val="center"/>
          </w:tcPr>
          <w:p w:rsidR="00271729" w:rsidRDefault="00AD0727">
            <w:pPr>
              <w:spacing w:before="20" w:after="20"/>
              <w:jc w:val="center"/>
              <w:rPr>
                <w:b/>
                <w:noProof/>
                <w:sz w:val="20"/>
              </w:rPr>
            </w:pPr>
            <w:r>
              <w:rPr>
                <w:b/>
                <w:noProof/>
                <w:sz w:val="20"/>
              </w:rPr>
              <w:t>16,152</w:t>
            </w:r>
          </w:p>
        </w:tc>
      </w:tr>
      <w:tr w:rsidR="00271729">
        <w:trPr>
          <w:trHeight w:val="585"/>
        </w:trPr>
        <w:tc>
          <w:tcPr>
            <w:tcW w:w="1980" w:type="dxa"/>
            <w:vAlign w:val="center"/>
          </w:tcPr>
          <w:p w:rsidR="00271729" w:rsidRDefault="00AD0727">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271729" w:rsidRDefault="00AD0727">
            <w:pPr>
              <w:spacing w:before="20" w:after="20"/>
              <w:jc w:val="center"/>
              <w:rPr>
                <w:noProof/>
                <w:sz w:val="20"/>
              </w:rPr>
            </w:pPr>
            <w:r>
              <w:rPr>
                <w:noProof/>
                <w:sz w:val="20"/>
              </w:rPr>
              <w:t>0,15</w:t>
            </w:r>
          </w:p>
        </w:tc>
        <w:tc>
          <w:tcPr>
            <w:tcW w:w="1080" w:type="dxa"/>
            <w:vAlign w:val="center"/>
          </w:tcPr>
          <w:p w:rsidR="00271729" w:rsidRDefault="00AD0727">
            <w:pPr>
              <w:spacing w:before="20" w:after="20"/>
              <w:jc w:val="center"/>
              <w:rPr>
                <w:noProof/>
                <w:sz w:val="20"/>
              </w:rPr>
            </w:pPr>
            <w:r>
              <w:rPr>
                <w:noProof/>
                <w:sz w:val="20"/>
              </w:rPr>
              <w:t>0,23</w:t>
            </w:r>
          </w:p>
        </w:tc>
        <w:tc>
          <w:tcPr>
            <w:tcW w:w="1080" w:type="dxa"/>
            <w:vAlign w:val="center"/>
          </w:tcPr>
          <w:p w:rsidR="00271729" w:rsidRDefault="00AD0727">
            <w:pPr>
              <w:spacing w:before="20" w:after="20"/>
              <w:jc w:val="center"/>
              <w:rPr>
                <w:noProof/>
                <w:sz w:val="20"/>
              </w:rPr>
            </w:pPr>
            <w:r>
              <w:rPr>
                <w:noProof/>
                <w:sz w:val="20"/>
              </w:rPr>
              <w:t>0,33</w:t>
            </w:r>
          </w:p>
        </w:tc>
        <w:tc>
          <w:tcPr>
            <w:tcW w:w="1080" w:type="dxa"/>
            <w:vAlign w:val="center"/>
          </w:tcPr>
          <w:p w:rsidR="00271729" w:rsidRDefault="00AD0727">
            <w:pPr>
              <w:spacing w:before="20" w:after="20"/>
              <w:jc w:val="center"/>
              <w:rPr>
                <w:b/>
                <w:noProof/>
                <w:sz w:val="20"/>
              </w:rPr>
            </w:pPr>
            <w:r>
              <w:rPr>
                <w:b/>
                <w:noProof/>
                <w:sz w:val="20"/>
              </w:rPr>
              <w:t>0,710</w:t>
            </w:r>
          </w:p>
        </w:tc>
      </w:tr>
      <w:tr w:rsidR="00271729">
        <w:trPr>
          <w:trHeight w:val="585"/>
        </w:trPr>
        <w:tc>
          <w:tcPr>
            <w:tcW w:w="1980" w:type="dxa"/>
            <w:shd w:val="clear" w:color="auto" w:fill="CCCCCC"/>
            <w:vAlign w:val="center"/>
          </w:tcPr>
          <w:p w:rsidR="00271729" w:rsidRDefault="00AD0727">
            <w:pPr>
              <w:spacing w:before="60" w:after="60" w:line="200" w:lineRule="exact"/>
              <w:jc w:val="center"/>
              <w:rPr>
                <w:b/>
                <w:noProof/>
                <w:sz w:val="16"/>
                <w:szCs w:val="16"/>
              </w:rPr>
            </w:pPr>
            <w:r>
              <w:rPr>
                <w:b/>
                <w:noProof/>
                <w:sz w:val="16"/>
              </w:rPr>
              <w:t xml:space="preserve">Междинен сбор за ФУНКЦИЯ 5от многогодишната финансова рамка </w:t>
            </w:r>
          </w:p>
        </w:tc>
        <w:tc>
          <w:tcPr>
            <w:tcW w:w="1080" w:type="dxa"/>
            <w:vAlign w:val="center"/>
          </w:tcPr>
          <w:p w:rsidR="00271729" w:rsidRDefault="00AD0727">
            <w:pPr>
              <w:spacing w:before="20" w:after="20"/>
              <w:jc w:val="center"/>
              <w:rPr>
                <w:noProof/>
                <w:sz w:val="20"/>
              </w:rPr>
            </w:pPr>
            <w:r>
              <w:rPr>
                <w:noProof/>
                <w:sz w:val="20"/>
              </w:rPr>
              <w:t>1,832</w:t>
            </w:r>
          </w:p>
        </w:tc>
        <w:tc>
          <w:tcPr>
            <w:tcW w:w="1080" w:type="dxa"/>
            <w:vAlign w:val="center"/>
          </w:tcPr>
          <w:p w:rsidR="00271729" w:rsidRDefault="00AD0727">
            <w:pPr>
              <w:spacing w:before="20" w:after="20"/>
              <w:jc w:val="center"/>
              <w:rPr>
                <w:noProof/>
                <w:sz w:val="20"/>
              </w:rPr>
            </w:pPr>
            <w:r>
              <w:rPr>
                <w:noProof/>
                <w:sz w:val="20"/>
              </w:rPr>
              <w:t>5,264</w:t>
            </w:r>
          </w:p>
        </w:tc>
        <w:tc>
          <w:tcPr>
            <w:tcW w:w="1080" w:type="dxa"/>
            <w:vAlign w:val="center"/>
          </w:tcPr>
          <w:p w:rsidR="00271729" w:rsidRDefault="00AD0727">
            <w:pPr>
              <w:spacing w:before="20" w:after="20"/>
              <w:jc w:val="center"/>
              <w:rPr>
                <w:noProof/>
                <w:sz w:val="20"/>
              </w:rPr>
            </w:pPr>
            <w:r>
              <w:rPr>
                <w:noProof/>
                <w:sz w:val="20"/>
              </w:rPr>
              <w:t>9,766</w:t>
            </w:r>
          </w:p>
        </w:tc>
        <w:tc>
          <w:tcPr>
            <w:tcW w:w="1080" w:type="dxa"/>
            <w:vAlign w:val="center"/>
          </w:tcPr>
          <w:p w:rsidR="00271729" w:rsidRDefault="00AD0727">
            <w:pPr>
              <w:spacing w:before="20" w:after="20"/>
              <w:jc w:val="center"/>
              <w:rPr>
                <w:b/>
                <w:noProof/>
                <w:sz w:val="20"/>
              </w:rPr>
            </w:pPr>
            <w:r>
              <w:rPr>
                <w:b/>
                <w:noProof/>
                <w:sz w:val="20"/>
              </w:rPr>
              <w:t>16,862</w:t>
            </w:r>
          </w:p>
        </w:tc>
      </w:tr>
    </w:tbl>
    <w:p w:rsidR="00271729" w:rsidRDefault="00271729">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271729">
        <w:trPr>
          <w:trHeight w:val="585"/>
        </w:trPr>
        <w:tc>
          <w:tcPr>
            <w:tcW w:w="1980" w:type="dxa"/>
            <w:shd w:val="clear" w:color="auto" w:fill="CCCCCC"/>
            <w:vAlign w:val="center"/>
          </w:tcPr>
          <w:p w:rsidR="00271729" w:rsidRDefault="00AD0727">
            <w:pPr>
              <w:spacing w:before="60" w:after="60" w:line="200" w:lineRule="exact"/>
              <w:jc w:val="center"/>
              <w:rPr>
                <w:noProof/>
                <w:sz w:val="16"/>
                <w:szCs w:val="16"/>
              </w:rPr>
            </w:pPr>
            <w:r>
              <w:rPr>
                <w:b/>
                <w:noProof/>
                <w:sz w:val="16"/>
              </w:rPr>
              <w:t>Извън ФУНКЦИЯ 5</w:t>
            </w:r>
            <w:r>
              <w:rPr>
                <w:rStyle w:val="FootnoteReference"/>
                <w:noProof/>
              </w:rPr>
              <w:footnoteReference w:id="28"/>
            </w:r>
            <w:r>
              <w:rPr>
                <w:b/>
                <w:noProof/>
                <w:sz w:val="16"/>
              </w:rPr>
              <w:t xml:space="preserve">от многогодишната финансова рамка </w:t>
            </w:r>
          </w:p>
          <w:p w:rsidR="00271729" w:rsidRDefault="00271729">
            <w:pPr>
              <w:spacing w:before="0" w:after="0" w:line="200" w:lineRule="exact"/>
              <w:jc w:val="center"/>
              <w:rPr>
                <w:b/>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r>
      <w:tr w:rsidR="00271729">
        <w:trPr>
          <w:trHeight w:val="585"/>
        </w:trPr>
        <w:tc>
          <w:tcPr>
            <w:tcW w:w="1980" w:type="dxa"/>
            <w:vAlign w:val="center"/>
          </w:tcPr>
          <w:p w:rsidR="00271729" w:rsidRDefault="00AD0727">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r>
      <w:tr w:rsidR="00271729">
        <w:trPr>
          <w:trHeight w:val="585"/>
        </w:trPr>
        <w:tc>
          <w:tcPr>
            <w:tcW w:w="1980" w:type="dxa"/>
            <w:vAlign w:val="center"/>
          </w:tcPr>
          <w:p w:rsidR="00271729" w:rsidRDefault="00AD0727">
            <w:pPr>
              <w:spacing w:before="60" w:after="60" w:line="200" w:lineRule="exact"/>
              <w:ind w:left="72"/>
              <w:jc w:val="left"/>
              <w:rPr>
                <w:noProof/>
                <w:sz w:val="16"/>
                <w:szCs w:val="16"/>
              </w:rPr>
            </w:pPr>
            <w:r>
              <w:rPr>
                <w:noProof/>
                <w:sz w:val="16"/>
              </w:rPr>
              <w:t>Други разходис административен характер</w:t>
            </w: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c>
          <w:tcPr>
            <w:tcW w:w="1080" w:type="dxa"/>
            <w:vAlign w:val="center"/>
          </w:tcPr>
          <w:p w:rsidR="00271729" w:rsidRDefault="00271729">
            <w:pPr>
              <w:spacing w:before="60" w:after="60" w:line="200" w:lineRule="exact"/>
              <w:jc w:val="right"/>
              <w:rPr>
                <w:noProof/>
                <w:sz w:val="16"/>
                <w:szCs w:val="16"/>
              </w:rPr>
            </w:pPr>
          </w:p>
        </w:tc>
      </w:tr>
      <w:tr w:rsidR="00271729">
        <w:trPr>
          <w:trHeight w:val="585"/>
        </w:trPr>
        <w:tc>
          <w:tcPr>
            <w:tcW w:w="1980" w:type="dxa"/>
            <w:shd w:val="clear" w:color="auto" w:fill="CCCCCC"/>
            <w:vAlign w:val="center"/>
          </w:tcPr>
          <w:p w:rsidR="00271729" w:rsidRDefault="00AD0727">
            <w:pPr>
              <w:spacing w:before="60" w:after="60" w:line="200" w:lineRule="exact"/>
              <w:jc w:val="center"/>
              <w:rPr>
                <w:b/>
                <w:noProof/>
                <w:sz w:val="16"/>
                <w:szCs w:val="16"/>
              </w:rPr>
            </w:pPr>
            <w:r>
              <w:rPr>
                <w:b/>
                <w:noProof/>
                <w:sz w:val="16"/>
              </w:rPr>
              <w:t xml:space="preserve">Междинен сборизвън ФУНКЦИЯ 5от многогодишната финансова рамка </w:t>
            </w:r>
          </w:p>
        </w:tc>
        <w:tc>
          <w:tcPr>
            <w:tcW w:w="1080" w:type="dxa"/>
            <w:vAlign w:val="center"/>
          </w:tcPr>
          <w:p w:rsidR="00271729" w:rsidRDefault="00AD0727">
            <w:pPr>
              <w:spacing w:before="60" w:after="60" w:line="200" w:lineRule="exact"/>
              <w:jc w:val="right"/>
              <w:rPr>
                <w:noProof/>
                <w:sz w:val="16"/>
                <w:szCs w:val="16"/>
              </w:rPr>
            </w:pPr>
            <w:r>
              <w:rPr>
                <w:noProof/>
                <w:sz w:val="16"/>
              </w:rPr>
              <w:t>0</w:t>
            </w:r>
          </w:p>
        </w:tc>
        <w:tc>
          <w:tcPr>
            <w:tcW w:w="1080" w:type="dxa"/>
            <w:vAlign w:val="center"/>
          </w:tcPr>
          <w:p w:rsidR="00271729" w:rsidRDefault="00AD0727">
            <w:pPr>
              <w:spacing w:before="60" w:after="60" w:line="200" w:lineRule="exact"/>
              <w:jc w:val="right"/>
              <w:rPr>
                <w:noProof/>
                <w:sz w:val="16"/>
                <w:szCs w:val="16"/>
              </w:rPr>
            </w:pPr>
            <w:r>
              <w:rPr>
                <w:noProof/>
                <w:sz w:val="16"/>
              </w:rPr>
              <w:t>0</w:t>
            </w:r>
          </w:p>
        </w:tc>
        <w:tc>
          <w:tcPr>
            <w:tcW w:w="1080" w:type="dxa"/>
            <w:vAlign w:val="center"/>
          </w:tcPr>
          <w:p w:rsidR="00271729" w:rsidRDefault="00AD0727">
            <w:pPr>
              <w:spacing w:before="60" w:after="60" w:line="200" w:lineRule="exact"/>
              <w:jc w:val="right"/>
              <w:rPr>
                <w:noProof/>
                <w:sz w:val="16"/>
                <w:szCs w:val="16"/>
              </w:rPr>
            </w:pPr>
            <w:r>
              <w:rPr>
                <w:noProof/>
                <w:sz w:val="16"/>
              </w:rPr>
              <w:t>0</w:t>
            </w:r>
          </w:p>
        </w:tc>
        <w:tc>
          <w:tcPr>
            <w:tcW w:w="1080" w:type="dxa"/>
            <w:vAlign w:val="center"/>
          </w:tcPr>
          <w:p w:rsidR="00271729" w:rsidRDefault="00AD0727">
            <w:pPr>
              <w:spacing w:before="60" w:after="60" w:line="200" w:lineRule="exact"/>
              <w:jc w:val="right"/>
              <w:rPr>
                <w:noProof/>
                <w:sz w:val="16"/>
                <w:szCs w:val="16"/>
              </w:rPr>
            </w:pPr>
            <w:r>
              <w:rPr>
                <w:noProof/>
                <w:sz w:val="16"/>
              </w:rPr>
              <w:t>0</w:t>
            </w:r>
          </w:p>
        </w:tc>
      </w:tr>
    </w:tbl>
    <w:p w:rsidR="00271729" w:rsidRDefault="00271729">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27172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71729" w:rsidRDefault="00AD0727">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271729" w:rsidRDefault="00AD0727">
            <w:pPr>
              <w:spacing w:before="20" w:after="20"/>
              <w:jc w:val="center"/>
              <w:rPr>
                <w:noProof/>
                <w:sz w:val="20"/>
              </w:rPr>
            </w:pPr>
            <w:r>
              <w:rPr>
                <w:noProof/>
                <w:sz w:val="20"/>
              </w:rPr>
              <w:t>1,832</w:t>
            </w:r>
          </w:p>
        </w:tc>
        <w:tc>
          <w:tcPr>
            <w:tcW w:w="1080" w:type="dxa"/>
            <w:tcBorders>
              <w:top w:val="single" w:sz="12" w:space="0" w:color="auto"/>
              <w:left w:val="single" w:sz="2" w:space="0" w:color="auto"/>
              <w:bottom w:val="single" w:sz="12" w:space="0" w:color="auto"/>
              <w:right w:val="single" w:sz="2" w:space="0" w:color="auto"/>
            </w:tcBorders>
            <w:vAlign w:val="center"/>
          </w:tcPr>
          <w:p w:rsidR="00271729" w:rsidRDefault="00AD0727">
            <w:pPr>
              <w:spacing w:before="20" w:after="20"/>
              <w:jc w:val="center"/>
              <w:rPr>
                <w:noProof/>
                <w:sz w:val="20"/>
              </w:rPr>
            </w:pPr>
            <w:r>
              <w:rPr>
                <w:noProof/>
                <w:sz w:val="20"/>
              </w:rPr>
              <w:t>5,264</w:t>
            </w:r>
          </w:p>
        </w:tc>
        <w:tc>
          <w:tcPr>
            <w:tcW w:w="1080" w:type="dxa"/>
            <w:tcBorders>
              <w:top w:val="single" w:sz="12" w:space="0" w:color="auto"/>
              <w:left w:val="single" w:sz="2" w:space="0" w:color="auto"/>
              <w:bottom w:val="single" w:sz="12" w:space="0" w:color="auto"/>
              <w:right w:val="single" w:sz="2" w:space="0" w:color="auto"/>
            </w:tcBorders>
            <w:vAlign w:val="center"/>
          </w:tcPr>
          <w:p w:rsidR="00271729" w:rsidRDefault="00AD0727">
            <w:pPr>
              <w:spacing w:before="20" w:after="20"/>
              <w:jc w:val="center"/>
              <w:rPr>
                <w:noProof/>
                <w:sz w:val="20"/>
              </w:rPr>
            </w:pPr>
            <w:r>
              <w:rPr>
                <w:noProof/>
                <w:sz w:val="20"/>
              </w:rPr>
              <w:t>9,766</w:t>
            </w:r>
          </w:p>
        </w:tc>
        <w:tc>
          <w:tcPr>
            <w:tcW w:w="1080" w:type="dxa"/>
            <w:tcBorders>
              <w:top w:val="single" w:sz="12" w:space="0" w:color="auto"/>
              <w:left w:val="single" w:sz="2" w:space="0" w:color="auto"/>
              <w:bottom w:val="single" w:sz="12" w:space="0" w:color="auto"/>
              <w:right w:val="single" w:sz="2" w:space="0" w:color="auto"/>
            </w:tcBorders>
            <w:vAlign w:val="center"/>
          </w:tcPr>
          <w:p w:rsidR="00271729" w:rsidRDefault="00AD0727">
            <w:pPr>
              <w:spacing w:before="20" w:after="20"/>
              <w:jc w:val="center"/>
              <w:rPr>
                <w:b/>
                <w:noProof/>
                <w:sz w:val="20"/>
              </w:rPr>
            </w:pPr>
            <w:r>
              <w:rPr>
                <w:b/>
                <w:noProof/>
                <w:sz w:val="20"/>
              </w:rPr>
              <w:t>16,862</w:t>
            </w:r>
          </w:p>
        </w:tc>
      </w:tr>
    </w:tbl>
    <w:p w:rsidR="00271729" w:rsidRDefault="00AD0727">
      <w:pPr>
        <w:rPr>
          <w:noProof/>
          <w:sz w:val="18"/>
        </w:rPr>
        <w:sectPr w:rsidR="00271729" w:rsidSect="002C541A">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от административен характер ще бъдат покрити с бюджетните кредити на ГД, които вече са отпуснати за управлението на дейността и/или к</w:t>
      </w:r>
      <w:r>
        <w:rPr>
          <w:noProof/>
          <w:sz w:val="18"/>
        </w:rPr>
        <w:t>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sz w:val="18"/>
        </w:rPr>
        <w:tab/>
      </w:r>
    </w:p>
    <w:p w:rsidR="00271729" w:rsidRDefault="00AD0727">
      <w:pPr>
        <w:pStyle w:val="ManualNumPar4"/>
        <w:rPr>
          <w:noProof/>
          <w:szCs w:val="24"/>
        </w:rPr>
      </w:pPr>
      <w:r>
        <w:t>3.2.3.2.</w:t>
      </w:r>
      <w:r>
        <w:tab/>
      </w:r>
      <w:r>
        <w:rPr>
          <w:noProof/>
        </w:rPr>
        <w:t>Очаквани нужди от човешки ресурси</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човешки ресурси </w:t>
      </w:r>
    </w:p>
    <w:p w:rsidR="00271729" w:rsidRDefault="00AD0727">
      <w:pPr>
        <w:tabs>
          <w:tab w:val="num" w:pos="1134"/>
        </w:tabs>
        <w:ind w:left="1134" w:hanging="283"/>
        <w:rPr>
          <w:rFonts w:eastAsia="Times New Roman"/>
          <w:noProof/>
        </w:rPr>
      </w:pPr>
      <w:r>
        <w:rPr>
          <w:noProof/>
        </w:rPr>
        <w:t>X</w:t>
      </w:r>
      <w:r>
        <w:rPr>
          <w:noProof/>
        </w:rPr>
        <w:tab/>
        <w:t>Предложението/инициативата налага използване на човешки ресурси съгласно обяснението по-долу:</w:t>
      </w:r>
      <w:r>
        <w:rPr>
          <w:noProof/>
          <w:sz w:val="28"/>
        </w:rPr>
        <w:t>*</w:t>
      </w:r>
    </w:p>
    <w:p w:rsidR="00271729" w:rsidRDefault="00AD0727">
      <w:pPr>
        <w:spacing w:after="60"/>
        <w:jc w:val="right"/>
        <w:rPr>
          <w:i/>
          <w:noProof/>
          <w:sz w:val="20"/>
        </w:rPr>
      </w:pPr>
      <w:r>
        <w:rPr>
          <w:i/>
          <w:noProof/>
          <w:sz w:val="20"/>
        </w:rPr>
        <w:t xml:space="preserve">Оценката се посочва в еквиваленти на пълно </w:t>
      </w:r>
      <w:r>
        <w:rPr>
          <w:i/>
          <w:noProof/>
          <w:sz w:val="20"/>
        </w:rPr>
        <w:t>работно време</w:t>
      </w:r>
    </w:p>
    <w:tbl>
      <w:tblPr>
        <w:tblW w:w="3096" w:type="pct"/>
        <w:jc w:val="center"/>
        <w:tblInd w:w="-1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1"/>
        <w:gridCol w:w="2306"/>
        <w:gridCol w:w="796"/>
        <w:gridCol w:w="32"/>
        <w:gridCol w:w="733"/>
        <w:gridCol w:w="67"/>
        <w:gridCol w:w="748"/>
        <w:gridCol w:w="33"/>
        <w:gridCol w:w="20"/>
      </w:tblGrid>
      <w:tr w:rsidR="00271729">
        <w:trPr>
          <w:trHeight w:val="289"/>
          <w:jc w:val="center"/>
        </w:trPr>
        <w:tc>
          <w:tcPr>
            <w:tcW w:w="3382" w:type="pct"/>
            <w:gridSpan w:val="2"/>
            <w:shd w:val="clear" w:color="auto" w:fill="auto"/>
          </w:tcPr>
          <w:p w:rsidR="00271729" w:rsidRDefault="00271729">
            <w:pPr>
              <w:spacing w:before="40" w:after="40"/>
              <w:jc w:val="center"/>
              <w:rPr>
                <w:i/>
                <w:noProof/>
                <w:sz w:val="20"/>
                <w:szCs w:val="20"/>
              </w:rPr>
            </w:pPr>
          </w:p>
        </w:tc>
        <w:tc>
          <w:tcPr>
            <w:tcW w:w="536" w:type="pct"/>
            <w:gridSpan w:val="2"/>
            <w:shd w:val="clear" w:color="auto" w:fill="auto"/>
            <w:vAlign w:val="center"/>
          </w:tcPr>
          <w:p w:rsidR="00271729" w:rsidRDefault="00AD0727">
            <w:pPr>
              <w:spacing w:before="20" w:after="20"/>
              <w:jc w:val="center"/>
              <w:rPr>
                <w:noProof/>
                <w:sz w:val="16"/>
                <w:szCs w:val="16"/>
              </w:rPr>
            </w:pPr>
            <w:r>
              <w:rPr>
                <w:noProof/>
                <w:sz w:val="16"/>
              </w:rPr>
              <w:t>Година</w:t>
            </w:r>
            <w:r>
              <w:rPr>
                <w:b/>
                <w:noProof/>
                <w:sz w:val="16"/>
              </w:rPr>
              <w:t>N</w:t>
            </w:r>
          </w:p>
        </w:tc>
        <w:tc>
          <w:tcPr>
            <w:tcW w:w="537" w:type="pct"/>
            <w:gridSpan w:val="2"/>
            <w:shd w:val="clear" w:color="auto" w:fill="auto"/>
            <w:vAlign w:val="center"/>
          </w:tcPr>
          <w:p w:rsidR="00271729" w:rsidRDefault="00AD0727">
            <w:pPr>
              <w:spacing w:before="20" w:after="20"/>
              <w:jc w:val="center"/>
              <w:rPr>
                <w:noProof/>
                <w:sz w:val="16"/>
                <w:szCs w:val="16"/>
              </w:rPr>
            </w:pPr>
            <w:r>
              <w:rPr>
                <w:noProof/>
                <w:sz w:val="16"/>
              </w:rPr>
              <w:t xml:space="preserve">Година </w:t>
            </w:r>
            <w:r>
              <w:rPr>
                <w:b/>
                <w:noProof/>
                <w:sz w:val="16"/>
              </w:rPr>
              <w:t>N+1</w:t>
            </w:r>
          </w:p>
        </w:tc>
        <w:tc>
          <w:tcPr>
            <w:tcW w:w="545" w:type="pct"/>
            <w:gridSpan w:val="3"/>
            <w:shd w:val="clear" w:color="auto" w:fill="auto"/>
            <w:vAlign w:val="center"/>
          </w:tcPr>
          <w:p w:rsidR="00271729" w:rsidRDefault="00AD0727">
            <w:pPr>
              <w:spacing w:before="20" w:after="20"/>
              <w:jc w:val="center"/>
              <w:rPr>
                <w:noProof/>
                <w:sz w:val="16"/>
                <w:szCs w:val="16"/>
              </w:rPr>
            </w:pPr>
            <w:r>
              <w:rPr>
                <w:noProof/>
                <w:sz w:val="16"/>
              </w:rPr>
              <w:t xml:space="preserve">Година </w:t>
            </w:r>
            <w:r>
              <w:rPr>
                <w:b/>
                <w:noProof/>
                <w:sz w:val="16"/>
              </w:rPr>
              <w:t>N+2</w:t>
            </w:r>
          </w:p>
        </w:tc>
      </w:tr>
      <w:tr w:rsidR="00271729">
        <w:trPr>
          <w:trHeight w:val="289"/>
          <w:jc w:val="center"/>
        </w:trPr>
        <w:tc>
          <w:tcPr>
            <w:tcW w:w="3382" w:type="pct"/>
            <w:gridSpan w:val="2"/>
            <w:shd w:val="clear" w:color="auto" w:fill="auto"/>
          </w:tcPr>
          <w:p w:rsidR="00271729" w:rsidRDefault="00271729">
            <w:pPr>
              <w:spacing w:before="40" w:after="40"/>
              <w:jc w:val="center"/>
              <w:rPr>
                <w:i/>
                <w:noProof/>
                <w:sz w:val="20"/>
                <w:szCs w:val="20"/>
              </w:rPr>
            </w:pPr>
          </w:p>
        </w:tc>
        <w:tc>
          <w:tcPr>
            <w:tcW w:w="536" w:type="pct"/>
            <w:gridSpan w:val="2"/>
            <w:shd w:val="clear" w:color="auto" w:fill="auto"/>
            <w:vAlign w:val="center"/>
          </w:tcPr>
          <w:p w:rsidR="00271729" w:rsidRDefault="00AD0727">
            <w:pPr>
              <w:jc w:val="center"/>
              <w:rPr>
                <w:noProof/>
                <w:sz w:val="20"/>
                <w:szCs w:val="20"/>
              </w:rPr>
            </w:pPr>
            <w:r>
              <w:rPr>
                <w:noProof/>
                <w:sz w:val="20"/>
              </w:rPr>
              <w:t>2018 г.</w:t>
            </w:r>
          </w:p>
        </w:tc>
        <w:tc>
          <w:tcPr>
            <w:tcW w:w="537" w:type="pct"/>
            <w:gridSpan w:val="2"/>
            <w:shd w:val="clear" w:color="auto" w:fill="auto"/>
            <w:vAlign w:val="center"/>
          </w:tcPr>
          <w:p w:rsidR="00271729" w:rsidRDefault="00AD0727">
            <w:pPr>
              <w:jc w:val="center"/>
              <w:rPr>
                <w:noProof/>
                <w:sz w:val="20"/>
                <w:szCs w:val="20"/>
              </w:rPr>
            </w:pPr>
            <w:r>
              <w:rPr>
                <w:noProof/>
                <w:sz w:val="20"/>
              </w:rPr>
              <w:t>2019 г.</w:t>
            </w:r>
          </w:p>
        </w:tc>
        <w:tc>
          <w:tcPr>
            <w:tcW w:w="545" w:type="pct"/>
            <w:gridSpan w:val="3"/>
            <w:shd w:val="clear" w:color="auto" w:fill="auto"/>
            <w:vAlign w:val="center"/>
          </w:tcPr>
          <w:p w:rsidR="00271729" w:rsidRDefault="00AD0727">
            <w:pPr>
              <w:jc w:val="center"/>
              <w:rPr>
                <w:noProof/>
                <w:sz w:val="20"/>
                <w:szCs w:val="20"/>
              </w:rPr>
            </w:pPr>
            <w:r>
              <w:rPr>
                <w:noProof/>
                <w:sz w:val="20"/>
              </w:rPr>
              <w:t>2020 г.</w:t>
            </w:r>
          </w:p>
        </w:tc>
      </w:tr>
      <w:tr w:rsidR="00271729">
        <w:trPr>
          <w:trHeight w:val="289"/>
          <w:jc w:val="center"/>
        </w:trPr>
        <w:tc>
          <w:tcPr>
            <w:tcW w:w="5000" w:type="pct"/>
            <w:gridSpan w:val="9"/>
            <w:shd w:val="clear" w:color="auto" w:fill="auto"/>
            <w:vAlign w:val="center"/>
          </w:tcPr>
          <w:p w:rsidR="00271729" w:rsidRDefault="00AD0727">
            <w:pPr>
              <w:spacing w:before="60" w:after="60"/>
              <w:jc w:val="left"/>
              <w:rPr>
                <w:i/>
                <w:noProof/>
                <w:sz w:val="20"/>
                <w:szCs w:val="20"/>
              </w:rPr>
            </w:pPr>
            <w:r>
              <w:rPr>
                <w:b/>
                <w:noProof/>
                <w:sz w:val="20"/>
                <w:szCs w:val="20"/>
              </w:rPr>
              <w:sym w:font="Wingdings" w:char="F09F"/>
            </w:r>
            <w:r>
              <w:rPr>
                <w:b/>
                <w:noProof/>
                <w:sz w:val="20"/>
              </w:rPr>
              <w:t xml:space="preserve"> Длъжности в щатното разписание (длъжностни лица и временно наети лица)</w:t>
            </w:r>
          </w:p>
        </w:tc>
      </w:tr>
      <w:tr w:rsidR="00271729">
        <w:trPr>
          <w:trHeight w:val="289"/>
          <w:jc w:val="center"/>
        </w:trPr>
        <w:tc>
          <w:tcPr>
            <w:tcW w:w="3382" w:type="pct"/>
            <w:gridSpan w:val="2"/>
            <w:shd w:val="clear" w:color="auto" w:fill="auto"/>
            <w:vAlign w:val="center"/>
          </w:tcPr>
          <w:p w:rsidR="00271729" w:rsidRDefault="00AD0727">
            <w:pPr>
              <w:spacing w:beforeLines="20" w:before="48" w:afterLines="20" w:after="48"/>
              <w:ind w:left="984"/>
              <w:jc w:val="left"/>
              <w:rPr>
                <w:b/>
                <w:noProof/>
                <w:sz w:val="20"/>
                <w:szCs w:val="20"/>
              </w:rPr>
            </w:pPr>
            <w:r>
              <w:rPr>
                <w:noProof/>
                <w:sz w:val="20"/>
              </w:rPr>
              <w:t>23 01 01 01 (Централа и представителства на Комисията)</w:t>
            </w:r>
          </w:p>
        </w:tc>
        <w:tc>
          <w:tcPr>
            <w:tcW w:w="536" w:type="pct"/>
            <w:gridSpan w:val="2"/>
            <w:shd w:val="clear" w:color="auto" w:fill="auto"/>
            <w:vAlign w:val="center"/>
          </w:tcPr>
          <w:p w:rsidR="00271729" w:rsidRDefault="00AD0727">
            <w:pPr>
              <w:spacing w:beforeLines="20" w:before="48" w:afterLines="20" w:after="48"/>
              <w:jc w:val="center"/>
              <w:rPr>
                <w:noProof/>
                <w:sz w:val="20"/>
                <w:szCs w:val="20"/>
              </w:rPr>
            </w:pPr>
            <w:r>
              <w:rPr>
                <w:noProof/>
                <w:sz w:val="20"/>
              </w:rPr>
              <w:t>7</w:t>
            </w:r>
          </w:p>
        </w:tc>
        <w:tc>
          <w:tcPr>
            <w:tcW w:w="537" w:type="pct"/>
            <w:gridSpan w:val="2"/>
            <w:shd w:val="clear" w:color="auto" w:fill="auto"/>
            <w:vAlign w:val="center"/>
          </w:tcPr>
          <w:p w:rsidR="00271729" w:rsidRDefault="00AD0727">
            <w:pPr>
              <w:spacing w:beforeLines="20" w:before="48" w:afterLines="20" w:after="48"/>
              <w:jc w:val="center"/>
              <w:rPr>
                <w:noProof/>
                <w:sz w:val="20"/>
                <w:szCs w:val="20"/>
              </w:rPr>
            </w:pPr>
            <w:r>
              <w:rPr>
                <w:noProof/>
                <w:sz w:val="20"/>
              </w:rPr>
              <w:t>12</w:t>
            </w:r>
          </w:p>
        </w:tc>
        <w:tc>
          <w:tcPr>
            <w:tcW w:w="545" w:type="pct"/>
            <w:gridSpan w:val="3"/>
            <w:shd w:val="clear" w:color="auto" w:fill="auto"/>
            <w:vAlign w:val="center"/>
          </w:tcPr>
          <w:p w:rsidR="00271729" w:rsidRDefault="00AD0727">
            <w:pPr>
              <w:spacing w:beforeLines="20" w:before="48" w:afterLines="20" w:after="48"/>
              <w:jc w:val="center"/>
              <w:rPr>
                <w:noProof/>
                <w:sz w:val="20"/>
                <w:szCs w:val="20"/>
              </w:rPr>
            </w:pPr>
            <w:r>
              <w:rPr>
                <w:noProof/>
                <w:sz w:val="20"/>
              </w:rPr>
              <w:t>16</w:t>
            </w:r>
          </w:p>
        </w:tc>
      </w:tr>
      <w:tr w:rsidR="00271729">
        <w:trPr>
          <w:trHeight w:val="289"/>
          <w:jc w:val="center"/>
        </w:trPr>
        <w:tc>
          <w:tcPr>
            <w:tcW w:w="3382" w:type="pct"/>
            <w:gridSpan w:val="2"/>
            <w:shd w:val="clear" w:color="auto" w:fill="auto"/>
            <w:vAlign w:val="center"/>
          </w:tcPr>
          <w:p w:rsidR="00271729" w:rsidRDefault="00AD0727">
            <w:pPr>
              <w:spacing w:beforeLines="20" w:before="48" w:afterLines="20" w:after="48"/>
              <w:ind w:left="984"/>
              <w:jc w:val="left"/>
              <w:rPr>
                <w:noProof/>
                <w:sz w:val="20"/>
                <w:szCs w:val="20"/>
              </w:rPr>
            </w:pPr>
            <w:r>
              <w:rPr>
                <w:noProof/>
                <w:sz w:val="20"/>
              </w:rPr>
              <w:t>XX 01 01 02 (Делегации)</w:t>
            </w:r>
          </w:p>
        </w:tc>
        <w:tc>
          <w:tcPr>
            <w:tcW w:w="536" w:type="pct"/>
            <w:gridSpan w:val="2"/>
            <w:shd w:val="clear" w:color="auto" w:fill="auto"/>
            <w:vAlign w:val="center"/>
          </w:tcPr>
          <w:p w:rsidR="00271729" w:rsidRDefault="00271729">
            <w:pPr>
              <w:spacing w:beforeLines="20" w:before="48" w:afterLines="20" w:after="48"/>
              <w:jc w:val="center"/>
              <w:rPr>
                <w:noProof/>
                <w:sz w:val="20"/>
                <w:szCs w:val="20"/>
              </w:rPr>
            </w:pPr>
          </w:p>
        </w:tc>
        <w:tc>
          <w:tcPr>
            <w:tcW w:w="537" w:type="pct"/>
            <w:gridSpan w:val="2"/>
            <w:shd w:val="clear" w:color="auto" w:fill="auto"/>
            <w:vAlign w:val="center"/>
          </w:tcPr>
          <w:p w:rsidR="00271729" w:rsidRDefault="00271729">
            <w:pPr>
              <w:spacing w:beforeLines="20" w:before="48" w:afterLines="20" w:after="48"/>
              <w:jc w:val="center"/>
              <w:rPr>
                <w:noProof/>
                <w:sz w:val="20"/>
                <w:szCs w:val="20"/>
              </w:rPr>
            </w:pPr>
          </w:p>
        </w:tc>
        <w:tc>
          <w:tcPr>
            <w:tcW w:w="545"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trHeight w:val="289"/>
          <w:jc w:val="center"/>
        </w:trPr>
        <w:tc>
          <w:tcPr>
            <w:tcW w:w="3382" w:type="pct"/>
            <w:gridSpan w:val="2"/>
            <w:shd w:val="clear" w:color="auto" w:fill="auto"/>
            <w:vAlign w:val="center"/>
          </w:tcPr>
          <w:p w:rsidR="00271729" w:rsidRDefault="00AD0727">
            <w:pPr>
              <w:spacing w:beforeLines="20" w:before="48" w:afterLines="20" w:after="48"/>
              <w:ind w:left="984"/>
              <w:jc w:val="left"/>
              <w:rPr>
                <w:noProof/>
                <w:sz w:val="20"/>
                <w:szCs w:val="20"/>
              </w:rPr>
            </w:pPr>
            <w:r>
              <w:rPr>
                <w:noProof/>
                <w:sz w:val="20"/>
              </w:rPr>
              <w:t xml:space="preserve">XX 01 05 01 </w:t>
            </w:r>
            <w:r>
              <w:rPr>
                <w:noProof/>
                <w:sz w:val="20"/>
              </w:rPr>
              <w:t>(Непреки научни изследвания)</w:t>
            </w:r>
          </w:p>
        </w:tc>
        <w:tc>
          <w:tcPr>
            <w:tcW w:w="536" w:type="pct"/>
            <w:gridSpan w:val="2"/>
            <w:shd w:val="clear" w:color="auto" w:fill="auto"/>
            <w:vAlign w:val="center"/>
          </w:tcPr>
          <w:p w:rsidR="00271729" w:rsidRDefault="00271729">
            <w:pPr>
              <w:spacing w:beforeLines="20" w:before="48" w:afterLines="20" w:after="48"/>
              <w:jc w:val="center"/>
              <w:rPr>
                <w:noProof/>
                <w:sz w:val="20"/>
                <w:szCs w:val="20"/>
              </w:rPr>
            </w:pPr>
          </w:p>
        </w:tc>
        <w:tc>
          <w:tcPr>
            <w:tcW w:w="537" w:type="pct"/>
            <w:gridSpan w:val="2"/>
            <w:shd w:val="clear" w:color="auto" w:fill="auto"/>
            <w:vAlign w:val="center"/>
          </w:tcPr>
          <w:p w:rsidR="00271729" w:rsidRDefault="00271729">
            <w:pPr>
              <w:spacing w:beforeLines="20" w:before="48" w:afterLines="20" w:after="48"/>
              <w:jc w:val="center"/>
              <w:rPr>
                <w:noProof/>
                <w:sz w:val="20"/>
                <w:szCs w:val="20"/>
              </w:rPr>
            </w:pPr>
          </w:p>
        </w:tc>
        <w:tc>
          <w:tcPr>
            <w:tcW w:w="545"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trHeight w:val="289"/>
          <w:jc w:val="center"/>
        </w:trPr>
        <w:tc>
          <w:tcPr>
            <w:tcW w:w="3382" w:type="pct"/>
            <w:gridSpan w:val="2"/>
            <w:shd w:val="clear" w:color="auto" w:fill="auto"/>
            <w:vAlign w:val="center"/>
          </w:tcPr>
          <w:p w:rsidR="00271729" w:rsidRDefault="00AD0727">
            <w:pPr>
              <w:spacing w:beforeLines="20" w:before="48" w:afterLines="20" w:after="48"/>
              <w:ind w:left="984"/>
              <w:jc w:val="left"/>
              <w:rPr>
                <w:noProof/>
                <w:sz w:val="20"/>
                <w:szCs w:val="20"/>
              </w:rPr>
            </w:pPr>
            <w:r>
              <w:rPr>
                <w:noProof/>
                <w:sz w:val="20"/>
              </w:rPr>
              <w:t>10 01 05 01 (Преки научни изследвания)</w:t>
            </w:r>
          </w:p>
        </w:tc>
        <w:tc>
          <w:tcPr>
            <w:tcW w:w="536" w:type="pct"/>
            <w:gridSpan w:val="2"/>
            <w:shd w:val="clear" w:color="auto" w:fill="auto"/>
            <w:vAlign w:val="center"/>
          </w:tcPr>
          <w:p w:rsidR="00271729" w:rsidRDefault="00271729">
            <w:pPr>
              <w:spacing w:beforeLines="20" w:before="48" w:afterLines="20" w:after="48"/>
              <w:jc w:val="center"/>
              <w:rPr>
                <w:noProof/>
                <w:sz w:val="20"/>
                <w:szCs w:val="20"/>
              </w:rPr>
            </w:pPr>
          </w:p>
        </w:tc>
        <w:tc>
          <w:tcPr>
            <w:tcW w:w="537" w:type="pct"/>
            <w:gridSpan w:val="2"/>
            <w:shd w:val="clear" w:color="auto" w:fill="auto"/>
            <w:vAlign w:val="center"/>
          </w:tcPr>
          <w:p w:rsidR="00271729" w:rsidRDefault="00271729">
            <w:pPr>
              <w:spacing w:beforeLines="20" w:before="48" w:afterLines="20" w:after="48"/>
              <w:jc w:val="center"/>
              <w:rPr>
                <w:noProof/>
                <w:sz w:val="20"/>
                <w:szCs w:val="20"/>
              </w:rPr>
            </w:pPr>
          </w:p>
        </w:tc>
        <w:tc>
          <w:tcPr>
            <w:tcW w:w="545"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trHeight w:val="289"/>
          <w:jc w:val="center"/>
        </w:trPr>
        <w:tc>
          <w:tcPr>
            <w:tcW w:w="5000" w:type="pct"/>
            <w:gridSpan w:val="9"/>
            <w:shd w:val="clear" w:color="auto" w:fill="auto"/>
            <w:vAlign w:val="center"/>
          </w:tcPr>
          <w:p w:rsidR="00271729" w:rsidRDefault="00AD0727">
            <w:pPr>
              <w:spacing w:beforeLines="20" w:before="48" w:afterLines="20" w:after="48"/>
              <w:jc w:val="left"/>
              <w:rPr>
                <w:noProof/>
                <w:spacing w:val="-6"/>
                <w:sz w:val="20"/>
                <w:szCs w:val="20"/>
              </w:rPr>
            </w:pPr>
            <w:r>
              <w:rPr>
                <w:b/>
                <w:noProof/>
                <w:spacing w:val="-6"/>
                <w:sz w:val="20"/>
                <w:szCs w:val="20"/>
              </w:rPr>
              <w:sym w:font="Wingdings" w:char="F09F"/>
            </w:r>
            <w:r>
              <w:rPr>
                <w:b/>
                <w:noProof/>
                <w:spacing w:val="-6"/>
                <w:sz w:val="20"/>
              </w:rPr>
              <w:t>Външен персонал (в еквивалент на пълно работно време— ЕПРВ)</w:t>
            </w:r>
            <w:r>
              <w:rPr>
                <w:rStyle w:val="FootnoteReference"/>
                <w:b/>
                <w:noProof/>
                <w:spacing w:val="-6"/>
                <w:sz w:val="20"/>
              </w:rPr>
              <w:footnoteReference w:id="29"/>
            </w:r>
          </w:p>
        </w:tc>
      </w:tr>
      <w:tr w:rsidR="00271729">
        <w:trPr>
          <w:gridAfter w:val="1"/>
          <w:wAfter w:w="12" w:type="pct"/>
          <w:trHeight w:val="289"/>
          <w:jc w:val="center"/>
        </w:trPr>
        <w:tc>
          <w:tcPr>
            <w:tcW w:w="3382" w:type="pct"/>
            <w:gridSpan w:val="2"/>
            <w:shd w:val="clear" w:color="auto" w:fill="auto"/>
            <w:vAlign w:val="center"/>
          </w:tcPr>
          <w:p w:rsidR="00271729" w:rsidRDefault="00AD0727">
            <w:pPr>
              <w:spacing w:beforeLines="20" w:before="48" w:afterLines="20" w:after="48"/>
              <w:ind w:left="986"/>
              <w:jc w:val="left"/>
              <w:rPr>
                <w:b/>
                <w:noProof/>
                <w:sz w:val="20"/>
                <w:szCs w:val="20"/>
              </w:rPr>
            </w:pPr>
            <w:r>
              <w:rPr>
                <w:noProof/>
                <w:sz w:val="20"/>
              </w:rPr>
              <w:t>23 01 02 01 (ДНП, ПНА, КНЕ от общия финансов пакет)</w:t>
            </w:r>
          </w:p>
        </w:tc>
        <w:tc>
          <w:tcPr>
            <w:tcW w:w="515" w:type="pct"/>
            <w:shd w:val="clear" w:color="auto" w:fill="auto"/>
            <w:vAlign w:val="center"/>
          </w:tcPr>
          <w:p w:rsidR="00271729" w:rsidRDefault="00AD0727">
            <w:pPr>
              <w:spacing w:beforeLines="20" w:before="48" w:afterLines="20" w:after="48"/>
              <w:jc w:val="center"/>
              <w:rPr>
                <w:noProof/>
                <w:sz w:val="20"/>
                <w:szCs w:val="20"/>
              </w:rPr>
            </w:pPr>
            <w:r>
              <w:rPr>
                <w:noProof/>
                <w:sz w:val="20"/>
              </w:rPr>
              <w:t>10</w:t>
            </w:r>
          </w:p>
        </w:tc>
        <w:tc>
          <w:tcPr>
            <w:tcW w:w="513" w:type="pct"/>
            <w:gridSpan w:val="2"/>
            <w:shd w:val="clear" w:color="auto" w:fill="auto"/>
            <w:vAlign w:val="center"/>
          </w:tcPr>
          <w:p w:rsidR="00271729" w:rsidRDefault="00AD0727">
            <w:pPr>
              <w:spacing w:beforeLines="20" w:before="48" w:afterLines="20" w:after="48"/>
              <w:jc w:val="center"/>
              <w:rPr>
                <w:noProof/>
                <w:sz w:val="20"/>
                <w:szCs w:val="20"/>
              </w:rPr>
            </w:pPr>
            <w:r>
              <w:rPr>
                <w:noProof/>
                <w:sz w:val="20"/>
              </w:rPr>
              <w:t>24</w:t>
            </w:r>
          </w:p>
        </w:tc>
        <w:tc>
          <w:tcPr>
            <w:tcW w:w="578" w:type="pct"/>
            <w:gridSpan w:val="3"/>
            <w:shd w:val="clear" w:color="auto" w:fill="auto"/>
            <w:vAlign w:val="center"/>
          </w:tcPr>
          <w:p w:rsidR="00271729" w:rsidRDefault="00AD0727">
            <w:pPr>
              <w:spacing w:beforeLines="20" w:before="48" w:afterLines="20" w:after="48"/>
              <w:jc w:val="center"/>
              <w:rPr>
                <w:noProof/>
                <w:sz w:val="20"/>
                <w:szCs w:val="20"/>
              </w:rPr>
            </w:pPr>
            <w:r>
              <w:rPr>
                <w:noProof/>
                <w:sz w:val="20"/>
              </w:rPr>
              <w:t>31</w:t>
            </w:r>
          </w:p>
        </w:tc>
      </w:tr>
      <w:tr w:rsidR="00271729">
        <w:trPr>
          <w:gridAfter w:val="1"/>
          <w:wAfter w:w="12" w:type="pct"/>
          <w:trHeight w:val="289"/>
          <w:jc w:val="center"/>
        </w:trPr>
        <w:tc>
          <w:tcPr>
            <w:tcW w:w="3382" w:type="pct"/>
            <w:gridSpan w:val="2"/>
            <w:shd w:val="clear" w:color="auto" w:fill="auto"/>
            <w:vAlign w:val="center"/>
          </w:tcPr>
          <w:p w:rsidR="00271729" w:rsidRDefault="00AD0727">
            <w:pPr>
              <w:spacing w:beforeLines="20" w:before="48" w:afterLines="20" w:after="48"/>
              <w:ind w:left="986"/>
              <w:jc w:val="left"/>
              <w:rPr>
                <w:noProof/>
                <w:sz w:val="20"/>
                <w:szCs w:val="20"/>
              </w:rPr>
            </w:pPr>
            <w:r>
              <w:rPr>
                <w:noProof/>
                <w:sz w:val="20"/>
              </w:rPr>
              <w:t>XX 01 02 02 (ДНП, ПНА, МЕД, МП и КНЕ в делегациите)</w:t>
            </w:r>
          </w:p>
        </w:tc>
        <w:tc>
          <w:tcPr>
            <w:tcW w:w="515" w:type="pct"/>
            <w:shd w:val="clear" w:color="auto" w:fill="auto"/>
            <w:vAlign w:val="center"/>
          </w:tcPr>
          <w:p w:rsidR="00271729" w:rsidRDefault="00271729">
            <w:pPr>
              <w:spacing w:beforeLines="20" w:before="48" w:afterLines="20" w:after="48"/>
              <w:jc w:val="center"/>
              <w:rPr>
                <w:noProof/>
                <w:sz w:val="20"/>
                <w:szCs w:val="20"/>
              </w:rPr>
            </w:pPr>
          </w:p>
        </w:tc>
        <w:tc>
          <w:tcPr>
            <w:tcW w:w="513" w:type="pct"/>
            <w:gridSpan w:val="2"/>
            <w:shd w:val="clear" w:color="auto" w:fill="auto"/>
            <w:vAlign w:val="center"/>
          </w:tcPr>
          <w:p w:rsidR="00271729" w:rsidRDefault="00271729">
            <w:pPr>
              <w:spacing w:beforeLines="20" w:before="48" w:afterLines="20" w:after="48"/>
              <w:jc w:val="center"/>
              <w:rPr>
                <w:noProof/>
                <w:sz w:val="20"/>
                <w:szCs w:val="20"/>
              </w:rPr>
            </w:pPr>
          </w:p>
        </w:tc>
        <w:tc>
          <w:tcPr>
            <w:tcW w:w="578"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gridAfter w:val="1"/>
          <w:wAfter w:w="12" w:type="pct"/>
          <w:trHeight w:val="289"/>
          <w:jc w:val="center"/>
        </w:trPr>
        <w:tc>
          <w:tcPr>
            <w:tcW w:w="1296" w:type="pct"/>
            <w:vMerge w:val="restart"/>
            <w:shd w:val="clear" w:color="auto" w:fill="auto"/>
            <w:vAlign w:val="center"/>
          </w:tcPr>
          <w:p w:rsidR="00271729" w:rsidRDefault="00AD0727">
            <w:pPr>
              <w:spacing w:beforeLines="20" w:before="48" w:afterLines="20" w:after="48"/>
              <w:ind w:left="986"/>
              <w:jc w:val="left"/>
              <w:rPr>
                <w:b/>
                <w:noProof/>
                <w:sz w:val="20"/>
                <w:szCs w:val="20"/>
              </w:rPr>
            </w:pPr>
            <w:r>
              <w:rPr>
                <w:b/>
                <w:noProof/>
                <w:sz w:val="20"/>
              </w:rPr>
              <w:t>XX</w:t>
            </w:r>
            <w:r>
              <w:rPr>
                <w:noProof/>
                <w:sz w:val="20"/>
              </w:rPr>
              <w:t xml:space="preserve"> 01 04 </w:t>
            </w:r>
            <w:r>
              <w:rPr>
                <w:b/>
                <w:i/>
                <w:noProof/>
                <w:sz w:val="20"/>
              </w:rPr>
              <w:t xml:space="preserve">yy </w:t>
            </w:r>
            <w:r>
              <w:rPr>
                <w:rStyle w:val="FootnoteReference"/>
                <w:noProof/>
              </w:rPr>
              <w:footnoteReference w:id="30"/>
            </w:r>
          </w:p>
        </w:tc>
        <w:tc>
          <w:tcPr>
            <w:tcW w:w="2086" w:type="pct"/>
            <w:shd w:val="clear" w:color="auto" w:fill="auto"/>
            <w:vAlign w:val="center"/>
          </w:tcPr>
          <w:p w:rsidR="00271729" w:rsidRDefault="00AD0727">
            <w:pPr>
              <w:spacing w:beforeLines="20" w:before="48" w:afterLines="20" w:after="48"/>
              <w:ind w:left="986"/>
              <w:jc w:val="left"/>
              <w:rPr>
                <w:b/>
                <w:noProof/>
                <w:sz w:val="20"/>
                <w:szCs w:val="20"/>
              </w:rPr>
            </w:pPr>
            <w:r>
              <w:rPr>
                <w:noProof/>
                <w:sz w:val="20"/>
              </w:rPr>
              <w:t>- в централата</w:t>
            </w:r>
            <w:r>
              <w:rPr>
                <w:rStyle w:val="FootnoteReference"/>
                <w:noProof/>
              </w:rPr>
              <w:footnoteReference w:id="31"/>
            </w:r>
          </w:p>
        </w:tc>
        <w:tc>
          <w:tcPr>
            <w:tcW w:w="515" w:type="pct"/>
            <w:shd w:val="clear" w:color="auto" w:fill="auto"/>
            <w:vAlign w:val="center"/>
          </w:tcPr>
          <w:p w:rsidR="00271729" w:rsidRDefault="00271729">
            <w:pPr>
              <w:spacing w:beforeLines="20" w:before="48" w:afterLines="20" w:after="48"/>
              <w:jc w:val="center"/>
              <w:rPr>
                <w:noProof/>
                <w:sz w:val="20"/>
                <w:szCs w:val="20"/>
              </w:rPr>
            </w:pPr>
          </w:p>
        </w:tc>
        <w:tc>
          <w:tcPr>
            <w:tcW w:w="513" w:type="pct"/>
            <w:gridSpan w:val="2"/>
            <w:shd w:val="clear" w:color="auto" w:fill="auto"/>
            <w:vAlign w:val="center"/>
          </w:tcPr>
          <w:p w:rsidR="00271729" w:rsidRDefault="00271729">
            <w:pPr>
              <w:spacing w:beforeLines="20" w:before="48" w:afterLines="20" w:after="48"/>
              <w:jc w:val="center"/>
              <w:rPr>
                <w:noProof/>
                <w:sz w:val="20"/>
                <w:szCs w:val="20"/>
              </w:rPr>
            </w:pPr>
          </w:p>
        </w:tc>
        <w:tc>
          <w:tcPr>
            <w:tcW w:w="578"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gridAfter w:val="1"/>
          <w:wAfter w:w="12" w:type="pct"/>
          <w:trHeight w:val="289"/>
          <w:jc w:val="center"/>
        </w:trPr>
        <w:tc>
          <w:tcPr>
            <w:tcW w:w="0" w:type="auto"/>
            <w:vMerge/>
            <w:shd w:val="clear" w:color="auto" w:fill="auto"/>
            <w:vAlign w:val="center"/>
          </w:tcPr>
          <w:p w:rsidR="00271729" w:rsidRDefault="00271729">
            <w:pPr>
              <w:rPr>
                <w:b/>
                <w:noProof/>
                <w:sz w:val="20"/>
                <w:szCs w:val="20"/>
              </w:rPr>
            </w:pPr>
          </w:p>
        </w:tc>
        <w:tc>
          <w:tcPr>
            <w:tcW w:w="2086" w:type="pct"/>
            <w:shd w:val="clear" w:color="auto" w:fill="auto"/>
            <w:vAlign w:val="center"/>
          </w:tcPr>
          <w:p w:rsidR="00271729" w:rsidRDefault="00AD0727">
            <w:pPr>
              <w:spacing w:beforeLines="20" w:before="48" w:afterLines="20" w:after="48"/>
              <w:ind w:left="986"/>
              <w:jc w:val="left"/>
              <w:rPr>
                <w:b/>
                <w:noProof/>
                <w:sz w:val="20"/>
                <w:szCs w:val="20"/>
              </w:rPr>
            </w:pPr>
            <w:r>
              <w:rPr>
                <w:noProof/>
                <w:sz w:val="20"/>
              </w:rPr>
              <w:t xml:space="preserve">- в делегациите </w:t>
            </w:r>
          </w:p>
        </w:tc>
        <w:tc>
          <w:tcPr>
            <w:tcW w:w="515" w:type="pct"/>
            <w:shd w:val="clear" w:color="auto" w:fill="auto"/>
            <w:vAlign w:val="center"/>
          </w:tcPr>
          <w:p w:rsidR="00271729" w:rsidRDefault="00271729">
            <w:pPr>
              <w:spacing w:beforeLines="20" w:before="48" w:afterLines="20" w:after="48"/>
              <w:jc w:val="center"/>
              <w:rPr>
                <w:noProof/>
                <w:sz w:val="20"/>
                <w:szCs w:val="20"/>
              </w:rPr>
            </w:pPr>
          </w:p>
        </w:tc>
        <w:tc>
          <w:tcPr>
            <w:tcW w:w="513" w:type="pct"/>
            <w:gridSpan w:val="2"/>
            <w:shd w:val="clear" w:color="auto" w:fill="auto"/>
            <w:vAlign w:val="center"/>
          </w:tcPr>
          <w:p w:rsidR="00271729" w:rsidRDefault="00271729">
            <w:pPr>
              <w:spacing w:beforeLines="20" w:before="48" w:afterLines="20" w:after="48"/>
              <w:jc w:val="center"/>
              <w:rPr>
                <w:noProof/>
                <w:sz w:val="20"/>
                <w:szCs w:val="20"/>
              </w:rPr>
            </w:pPr>
          </w:p>
        </w:tc>
        <w:tc>
          <w:tcPr>
            <w:tcW w:w="578"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gridAfter w:val="1"/>
          <w:wAfter w:w="12" w:type="pct"/>
          <w:trHeight w:val="289"/>
          <w:jc w:val="center"/>
        </w:trPr>
        <w:tc>
          <w:tcPr>
            <w:tcW w:w="3382" w:type="pct"/>
            <w:gridSpan w:val="2"/>
            <w:shd w:val="clear" w:color="auto" w:fill="auto"/>
            <w:vAlign w:val="center"/>
          </w:tcPr>
          <w:p w:rsidR="00271729" w:rsidRDefault="00AD0727">
            <w:pPr>
              <w:spacing w:beforeLines="20" w:before="48" w:afterLines="20" w:after="48"/>
              <w:ind w:left="986"/>
              <w:jc w:val="left"/>
              <w:rPr>
                <w:noProof/>
                <w:sz w:val="20"/>
                <w:szCs w:val="20"/>
              </w:rPr>
            </w:pPr>
            <w:r>
              <w:rPr>
                <w:b/>
                <w:noProof/>
                <w:sz w:val="20"/>
              </w:rPr>
              <w:t>XX</w:t>
            </w:r>
            <w:r>
              <w:rPr>
                <w:i/>
                <w:noProof/>
                <w:sz w:val="20"/>
              </w:rPr>
              <w:t xml:space="preserve"> </w:t>
            </w:r>
            <w:r>
              <w:rPr>
                <w:noProof/>
                <w:sz w:val="20"/>
              </w:rPr>
              <w:t>01 05 02 (ДНП, ПНА, КНЕ — Непреки научни изследвания)</w:t>
            </w:r>
          </w:p>
        </w:tc>
        <w:tc>
          <w:tcPr>
            <w:tcW w:w="515" w:type="pct"/>
            <w:shd w:val="clear" w:color="auto" w:fill="auto"/>
            <w:vAlign w:val="center"/>
          </w:tcPr>
          <w:p w:rsidR="00271729" w:rsidRDefault="00271729">
            <w:pPr>
              <w:spacing w:beforeLines="20" w:before="48" w:afterLines="20" w:after="48"/>
              <w:jc w:val="center"/>
              <w:rPr>
                <w:noProof/>
                <w:sz w:val="20"/>
                <w:szCs w:val="20"/>
              </w:rPr>
            </w:pPr>
          </w:p>
        </w:tc>
        <w:tc>
          <w:tcPr>
            <w:tcW w:w="513" w:type="pct"/>
            <w:gridSpan w:val="2"/>
            <w:shd w:val="clear" w:color="auto" w:fill="auto"/>
            <w:vAlign w:val="center"/>
          </w:tcPr>
          <w:p w:rsidR="00271729" w:rsidRDefault="00271729">
            <w:pPr>
              <w:spacing w:beforeLines="20" w:before="48" w:afterLines="20" w:after="48"/>
              <w:jc w:val="center"/>
              <w:rPr>
                <w:noProof/>
                <w:sz w:val="20"/>
                <w:szCs w:val="20"/>
              </w:rPr>
            </w:pPr>
          </w:p>
        </w:tc>
        <w:tc>
          <w:tcPr>
            <w:tcW w:w="578"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gridAfter w:val="1"/>
          <w:wAfter w:w="12" w:type="pct"/>
          <w:trHeight w:val="289"/>
          <w:jc w:val="center"/>
        </w:trPr>
        <w:tc>
          <w:tcPr>
            <w:tcW w:w="3382" w:type="pct"/>
            <w:gridSpan w:val="2"/>
            <w:shd w:val="clear" w:color="auto" w:fill="auto"/>
            <w:vAlign w:val="center"/>
          </w:tcPr>
          <w:p w:rsidR="00271729" w:rsidRDefault="00AD0727">
            <w:pPr>
              <w:spacing w:beforeLines="20" w:before="48" w:afterLines="20" w:after="48"/>
              <w:ind w:left="986"/>
              <w:jc w:val="left"/>
              <w:rPr>
                <w:noProof/>
                <w:sz w:val="20"/>
                <w:szCs w:val="20"/>
              </w:rPr>
            </w:pPr>
            <w:r>
              <w:rPr>
                <w:noProof/>
                <w:sz w:val="20"/>
              </w:rPr>
              <w:t>10 01 05 02 (ДНП, ПНА, КНЕ — Преки научни изследвания)</w:t>
            </w:r>
          </w:p>
        </w:tc>
        <w:tc>
          <w:tcPr>
            <w:tcW w:w="515" w:type="pct"/>
            <w:shd w:val="clear" w:color="auto" w:fill="auto"/>
            <w:vAlign w:val="center"/>
          </w:tcPr>
          <w:p w:rsidR="00271729" w:rsidRDefault="00271729">
            <w:pPr>
              <w:spacing w:beforeLines="20" w:before="48" w:afterLines="20" w:after="48"/>
              <w:jc w:val="center"/>
              <w:rPr>
                <w:noProof/>
                <w:sz w:val="20"/>
                <w:szCs w:val="20"/>
              </w:rPr>
            </w:pPr>
          </w:p>
        </w:tc>
        <w:tc>
          <w:tcPr>
            <w:tcW w:w="513" w:type="pct"/>
            <w:gridSpan w:val="2"/>
            <w:shd w:val="clear" w:color="auto" w:fill="auto"/>
            <w:vAlign w:val="center"/>
          </w:tcPr>
          <w:p w:rsidR="00271729" w:rsidRDefault="00271729">
            <w:pPr>
              <w:spacing w:beforeLines="20" w:before="48" w:afterLines="20" w:after="48"/>
              <w:jc w:val="center"/>
              <w:rPr>
                <w:noProof/>
                <w:sz w:val="20"/>
                <w:szCs w:val="20"/>
              </w:rPr>
            </w:pPr>
          </w:p>
        </w:tc>
        <w:tc>
          <w:tcPr>
            <w:tcW w:w="578" w:type="pct"/>
            <w:gridSpan w:val="3"/>
            <w:shd w:val="clear" w:color="auto" w:fill="auto"/>
            <w:vAlign w:val="center"/>
          </w:tcPr>
          <w:p w:rsidR="00271729" w:rsidRDefault="00271729">
            <w:pPr>
              <w:spacing w:beforeLines="20" w:before="48" w:afterLines="20" w:after="48"/>
              <w:jc w:val="center"/>
              <w:rPr>
                <w:noProof/>
                <w:sz w:val="20"/>
                <w:szCs w:val="20"/>
              </w:rPr>
            </w:pPr>
          </w:p>
        </w:tc>
      </w:tr>
      <w:tr w:rsidR="00271729">
        <w:trPr>
          <w:gridAfter w:val="1"/>
          <w:wAfter w:w="12" w:type="pct"/>
          <w:trHeight w:val="289"/>
          <w:jc w:val="center"/>
        </w:trPr>
        <w:tc>
          <w:tcPr>
            <w:tcW w:w="3382" w:type="pct"/>
            <w:gridSpan w:val="2"/>
            <w:tcBorders>
              <w:bottom w:val="double" w:sz="4" w:space="0" w:color="auto"/>
            </w:tcBorders>
            <w:shd w:val="clear" w:color="auto" w:fill="auto"/>
            <w:vAlign w:val="center"/>
          </w:tcPr>
          <w:p w:rsidR="00271729" w:rsidRDefault="00AD0727">
            <w:pPr>
              <w:spacing w:beforeLines="20" w:before="48" w:afterLines="20" w:after="48"/>
              <w:ind w:left="984"/>
              <w:jc w:val="left"/>
              <w:rPr>
                <w:noProof/>
                <w:sz w:val="20"/>
                <w:szCs w:val="20"/>
              </w:rPr>
            </w:pPr>
            <w:r>
              <w:rPr>
                <w:noProof/>
                <w:sz w:val="20"/>
              </w:rPr>
              <w:t>Други бюджетни редове (да се посочат)</w:t>
            </w:r>
          </w:p>
        </w:tc>
        <w:tc>
          <w:tcPr>
            <w:tcW w:w="515" w:type="pct"/>
            <w:tcBorders>
              <w:bottom w:val="double" w:sz="4" w:space="0" w:color="auto"/>
            </w:tcBorders>
            <w:shd w:val="clear" w:color="auto" w:fill="auto"/>
            <w:vAlign w:val="center"/>
          </w:tcPr>
          <w:p w:rsidR="00271729" w:rsidRDefault="00271729">
            <w:pPr>
              <w:spacing w:beforeLines="20" w:before="48" w:afterLines="20" w:after="48"/>
              <w:jc w:val="center"/>
              <w:rPr>
                <w:noProof/>
                <w:sz w:val="20"/>
                <w:szCs w:val="20"/>
              </w:rPr>
            </w:pPr>
          </w:p>
        </w:tc>
        <w:tc>
          <w:tcPr>
            <w:tcW w:w="513" w:type="pct"/>
            <w:gridSpan w:val="2"/>
            <w:tcBorders>
              <w:bottom w:val="double" w:sz="4" w:space="0" w:color="auto"/>
            </w:tcBorders>
            <w:shd w:val="clear" w:color="auto" w:fill="auto"/>
            <w:vAlign w:val="center"/>
          </w:tcPr>
          <w:p w:rsidR="00271729" w:rsidRDefault="00271729">
            <w:pPr>
              <w:spacing w:beforeLines="20" w:before="48" w:afterLines="20" w:after="48"/>
              <w:jc w:val="center"/>
              <w:rPr>
                <w:noProof/>
                <w:sz w:val="20"/>
                <w:szCs w:val="20"/>
              </w:rPr>
            </w:pPr>
          </w:p>
        </w:tc>
        <w:tc>
          <w:tcPr>
            <w:tcW w:w="578" w:type="pct"/>
            <w:gridSpan w:val="3"/>
            <w:tcBorders>
              <w:bottom w:val="double" w:sz="4" w:space="0" w:color="auto"/>
            </w:tcBorders>
            <w:shd w:val="clear" w:color="auto" w:fill="auto"/>
            <w:vAlign w:val="center"/>
          </w:tcPr>
          <w:p w:rsidR="00271729" w:rsidRDefault="00271729">
            <w:pPr>
              <w:spacing w:beforeLines="20" w:before="48" w:afterLines="20" w:after="48"/>
              <w:jc w:val="center"/>
              <w:rPr>
                <w:noProof/>
                <w:sz w:val="20"/>
                <w:szCs w:val="20"/>
              </w:rPr>
            </w:pPr>
          </w:p>
        </w:tc>
      </w:tr>
      <w:tr w:rsidR="00271729">
        <w:trPr>
          <w:gridAfter w:val="2"/>
          <w:wAfter w:w="35" w:type="pct"/>
          <w:trHeight w:val="289"/>
          <w:jc w:val="center"/>
        </w:trPr>
        <w:tc>
          <w:tcPr>
            <w:tcW w:w="3382" w:type="pct"/>
            <w:gridSpan w:val="2"/>
            <w:tcBorders>
              <w:top w:val="double" w:sz="4" w:space="0" w:color="auto"/>
            </w:tcBorders>
            <w:shd w:val="clear" w:color="auto" w:fill="auto"/>
            <w:vAlign w:val="center"/>
          </w:tcPr>
          <w:p w:rsidR="00271729" w:rsidRDefault="00AD0727">
            <w:pPr>
              <w:spacing w:beforeLines="20" w:before="48" w:afterLines="20" w:after="48"/>
              <w:ind w:left="986"/>
              <w:jc w:val="left"/>
              <w:rPr>
                <w:noProof/>
                <w:sz w:val="20"/>
                <w:szCs w:val="20"/>
              </w:rPr>
            </w:pPr>
            <w:r>
              <w:rPr>
                <w:b/>
                <w:noProof/>
                <w:sz w:val="20"/>
              </w:rPr>
              <w:t>ОБЩО</w:t>
            </w:r>
          </w:p>
        </w:tc>
        <w:tc>
          <w:tcPr>
            <w:tcW w:w="515" w:type="pct"/>
            <w:tcBorders>
              <w:top w:val="double" w:sz="4" w:space="0" w:color="auto"/>
            </w:tcBorders>
            <w:shd w:val="clear" w:color="auto" w:fill="auto"/>
            <w:vAlign w:val="center"/>
          </w:tcPr>
          <w:p w:rsidR="00271729" w:rsidRDefault="00AD0727">
            <w:pPr>
              <w:spacing w:beforeLines="20" w:before="48" w:afterLines="20" w:after="48"/>
              <w:jc w:val="center"/>
              <w:rPr>
                <w:b/>
                <w:noProof/>
                <w:sz w:val="20"/>
                <w:szCs w:val="20"/>
              </w:rPr>
            </w:pPr>
            <w:r>
              <w:rPr>
                <w:b/>
                <w:noProof/>
                <w:sz w:val="20"/>
              </w:rPr>
              <w:t>17</w:t>
            </w:r>
          </w:p>
        </w:tc>
        <w:tc>
          <w:tcPr>
            <w:tcW w:w="513" w:type="pct"/>
            <w:gridSpan w:val="2"/>
            <w:tcBorders>
              <w:top w:val="double" w:sz="4" w:space="0" w:color="auto"/>
            </w:tcBorders>
            <w:shd w:val="clear" w:color="auto" w:fill="auto"/>
            <w:vAlign w:val="center"/>
          </w:tcPr>
          <w:p w:rsidR="00271729" w:rsidRDefault="00AD0727">
            <w:pPr>
              <w:spacing w:beforeLines="20" w:before="48" w:afterLines="20" w:after="48"/>
              <w:jc w:val="center"/>
              <w:rPr>
                <w:b/>
                <w:noProof/>
                <w:sz w:val="20"/>
                <w:szCs w:val="20"/>
              </w:rPr>
            </w:pPr>
            <w:r>
              <w:rPr>
                <w:b/>
                <w:noProof/>
                <w:sz w:val="20"/>
              </w:rPr>
              <w:t>36</w:t>
            </w:r>
          </w:p>
        </w:tc>
        <w:tc>
          <w:tcPr>
            <w:tcW w:w="556" w:type="pct"/>
            <w:gridSpan w:val="2"/>
            <w:tcBorders>
              <w:top w:val="double" w:sz="4" w:space="0" w:color="auto"/>
            </w:tcBorders>
            <w:shd w:val="clear" w:color="auto" w:fill="auto"/>
            <w:vAlign w:val="center"/>
          </w:tcPr>
          <w:p w:rsidR="00271729" w:rsidRDefault="00AD0727">
            <w:pPr>
              <w:spacing w:beforeLines="20" w:before="48" w:afterLines="20" w:after="48"/>
              <w:jc w:val="center"/>
              <w:rPr>
                <w:b/>
                <w:noProof/>
                <w:sz w:val="20"/>
                <w:szCs w:val="20"/>
              </w:rPr>
            </w:pPr>
            <w:r>
              <w:rPr>
                <w:b/>
                <w:noProof/>
                <w:sz w:val="20"/>
              </w:rPr>
              <w:t>47</w:t>
            </w:r>
          </w:p>
        </w:tc>
      </w:tr>
    </w:tbl>
    <w:p w:rsidR="00271729" w:rsidRDefault="00AD0727">
      <w:pPr>
        <w:spacing w:after="60"/>
        <w:jc w:val="left"/>
        <w:rPr>
          <w:i/>
          <w:noProof/>
          <w:sz w:val="20"/>
        </w:rPr>
      </w:pPr>
      <w:r>
        <w:rPr>
          <w:i/>
          <w:noProof/>
          <w:sz w:val="22"/>
        </w:rPr>
        <w:t>*</w:t>
      </w:r>
      <w:r>
        <w:rPr>
          <w:noProof/>
        </w:rPr>
        <w:t xml:space="preserve"> </w:t>
      </w:r>
      <w:r>
        <w:rPr>
          <w:i/>
          <w:noProof/>
          <w:sz w:val="20"/>
        </w:rPr>
        <w:t xml:space="preserve">Този брой може да </w:t>
      </w:r>
      <w:r>
        <w:rPr>
          <w:i/>
          <w:noProof/>
          <w:sz w:val="20"/>
        </w:rPr>
        <w:t>бъде допълнен с още 15 ЕПРВ, които ще бъдат осигурени чрез преразпределение от други генерални дирекции чрез покана за изразяване на интерес.</w:t>
      </w:r>
    </w:p>
    <w:p w:rsidR="00271729" w:rsidRDefault="00271729">
      <w:pPr>
        <w:spacing w:after="60"/>
        <w:jc w:val="left"/>
        <w:rPr>
          <w:i/>
          <w:noProof/>
          <w:sz w:val="20"/>
        </w:rPr>
      </w:pPr>
    </w:p>
    <w:p w:rsidR="00271729" w:rsidRDefault="00AD0727">
      <w:pPr>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rsidR="00271729" w:rsidRDefault="00AD0727">
      <w:pPr>
        <w:ind w:left="850"/>
        <w:rPr>
          <w:noProof/>
          <w:sz w:val="18"/>
          <w:szCs w:val="18"/>
        </w:rPr>
      </w:pPr>
      <w:r>
        <w:rPr>
          <w:noProof/>
          <w:sz w:val="18"/>
        </w:rPr>
        <w:t xml:space="preserve">Нуждите от човешки ресурси ще бъдат покрити от персонала </w:t>
      </w:r>
      <w:r>
        <w:rPr>
          <w:noProof/>
          <w:sz w:val="18"/>
        </w:rPr>
        <w:t>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w:t>
      </w:r>
      <w:r>
        <w:rPr>
          <w:noProof/>
          <w:sz w:val="18"/>
        </w:rPr>
        <w:t xml:space="preserve"> за отпускане на средства и като се имат предвид бюджетните ограничения.</w:t>
      </w:r>
    </w:p>
    <w:p w:rsidR="00271729" w:rsidRDefault="00AD0727">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271729">
        <w:tc>
          <w:tcPr>
            <w:tcW w:w="3240" w:type="dxa"/>
          </w:tcPr>
          <w:p w:rsidR="00271729" w:rsidRDefault="00AD0727">
            <w:pPr>
              <w:rPr>
                <w:noProof/>
                <w:sz w:val="20"/>
              </w:rPr>
            </w:pPr>
            <w:r>
              <w:rPr>
                <w:noProof/>
                <w:sz w:val="20"/>
              </w:rPr>
              <w:t>Длъжностни лица и временно наети служители</w:t>
            </w:r>
          </w:p>
        </w:tc>
        <w:tc>
          <w:tcPr>
            <w:tcW w:w="7200" w:type="dxa"/>
          </w:tcPr>
          <w:p w:rsidR="00271729" w:rsidRDefault="00AD0727">
            <w:pPr>
              <w:rPr>
                <w:noProof/>
                <w:sz w:val="20"/>
                <w:szCs w:val="20"/>
              </w:rPr>
            </w:pPr>
            <w:r>
              <w:rPr>
                <w:noProof/>
                <w:sz w:val="20"/>
              </w:rPr>
              <w:t>Допълнителният персонал, поискан за периода 2018—2020 г., е необходим за изпълнение на сл</w:t>
            </w:r>
            <w:r>
              <w:rPr>
                <w:noProof/>
                <w:sz w:val="20"/>
              </w:rPr>
              <w:t>едните задачи: а) развиване и управление на новосъздадения капацитет RescEU; б) укрепване на доброволния резерв; в) подпомагане на политическите отдели, включително превантивни дейности; г) разработване на концепцията за Европейска академия за гражданска з</w:t>
            </w:r>
            <w:r>
              <w:rPr>
                <w:noProof/>
                <w:sz w:val="20"/>
              </w:rPr>
              <w:t>ащита; и д) изпълнение на дейности по управление и спомагателни дейности.</w:t>
            </w:r>
          </w:p>
          <w:p w:rsidR="00271729" w:rsidRDefault="00AD0727">
            <w:pPr>
              <w:rPr>
                <w:noProof/>
                <w:sz w:val="20"/>
              </w:rPr>
            </w:pPr>
            <w:r>
              <w:rPr>
                <w:noProof/>
                <w:sz w:val="20"/>
              </w:rPr>
              <w:t>Повечето от хората, с които ще бъде увеличен персоналът, ще работят по развиването на RescEU и ще изпълняват задачи като например извършване на придобиването и/или вземането на лизин</w:t>
            </w:r>
            <w:r>
              <w:rPr>
                <w:noProof/>
                <w:sz w:val="20"/>
              </w:rPr>
              <w:t>г на активи (договори), управление на активите, задачи, свързани с мониторинга и координацията, както и дейности в областта на комуникациите.</w:t>
            </w:r>
          </w:p>
        </w:tc>
      </w:tr>
      <w:tr w:rsidR="00271729">
        <w:tc>
          <w:tcPr>
            <w:tcW w:w="3240" w:type="dxa"/>
          </w:tcPr>
          <w:p w:rsidR="00271729" w:rsidRDefault="00AD0727">
            <w:pPr>
              <w:spacing w:before="60" w:after="60"/>
              <w:rPr>
                <w:noProof/>
                <w:sz w:val="20"/>
              </w:rPr>
            </w:pPr>
            <w:r>
              <w:rPr>
                <w:noProof/>
                <w:sz w:val="20"/>
              </w:rPr>
              <w:t>Външен персонал</w:t>
            </w:r>
          </w:p>
        </w:tc>
        <w:tc>
          <w:tcPr>
            <w:tcW w:w="7200" w:type="dxa"/>
          </w:tcPr>
          <w:p w:rsidR="00271729" w:rsidRDefault="00AD0727">
            <w:pPr>
              <w:rPr>
                <w:noProof/>
                <w:sz w:val="20"/>
              </w:rPr>
            </w:pPr>
            <w:r>
              <w:rPr>
                <w:noProof/>
                <w:sz w:val="20"/>
              </w:rPr>
              <w:t xml:space="preserve">Осигуряване на оперативност 24 часа на ден и 7 дни в седмицата на Центъра за спешно реагиране; </w:t>
            </w:r>
            <w:r>
              <w:rPr>
                <w:noProof/>
                <w:sz w:val="20"/>
              </w:rPr>
              <w:t>извършване на необходимите дейности на място; административна помощ.</w:t>
            </w:r>
          </w:p>
        </w:tc>
      </w:tr>
    </w:tbl>
    <w:p w:rsidR="00271729" w:rsidRDefault="00271729">
      <w:pPr>
        <w:rPr>
          <w:noProof/>
        </w:rPr>
        <w:sectPr w:rsidR="00271729" w:rsidSect="002C541A">
          <w:pgSz w:w="11907" w:h="16840"/>
          <w:pgMar w:top="1134" w:right="1418" w:bottom="1134" w:left="1418" w:header="709" w:footer="709" w:gutter="0"/>
          <w:cols w:space="708"/>
          <w:docGrid w:linePitch="360"/>
        </w:sectPr>
      </w:pPr>
    </w:p>
    <w:p w:rsidR="00271729" w:rsidRDefault="00AD0727">
      <w:pPr>
        <w:pStyle w:val="ManualNumPar3"/>
        <w:rPr>
          <w:noProof/>
        </w:rPr>
      </w:pPr>
      <w:r>
        <w:t>3.2.4.</w:t>
      </w:r>
      <w:r>
        <w:tab/>
      </w:r>
      <w:r>
        <w:rPr>
          <w:noProof/>
        </w:rPr>
        <w:t xml:space="preserve">Съвместимост с настоящата многогодишна финансова рамка </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е съвместимо(а) с настоящата многогодишна финансова рамка.</w:t>
      </w:r>
    </w:p>
    <w:p w:rsidR="00271729" w:rsidRDefault="00AD0727">
      <w:pPr>
        <w:tabs>
          <w:tab w:val="num" w:pos="1134"/>
        </w:tabs>
        <w:ind w:left="1134" w:hanging="283"/>
        <w:rPr>
          <w:rFonts w:eastAsia="Times New Roman"/>
          <w:noProof/>
        </w:rPr>
      </w:pPr>
      <w:r>
        <w:rPr>
          <w:noProof/>
        </w:rPr>
        <w:t>X</w:t>
      </w:r>
      <w:r>
        <w:rPr>
          <w:noProof/>
        </w:rPr>
        <w:tab/>
        <w:t>Предложение</w:t>
      </w:r>
      <w:r>
        <w:rPr>
          <w:noProof/>
        </w:rPr>
        <w:t>то/инициативата налага препрограмиране на съответната функция от многогодишната финансова рамка. Ще бъдат преразпределени следните суми:</w:t>
      </w:r>
    </w:p>
    <w:tbl>
      <w:tblPr>
        <w:tblW w:w="8378" w:type="dxa"/>
        <w:tblInd w:w="93" w:type="dxa"/>
        <w:tblLook w:val="04A0" w:firstRow="1" w:lastRow="0" w:firstColumn="1" w:lastColumn="0" w:noHBand="0" w:noVBand="1"/>
      </w:tblPr>
      <w:tblGrid>
        <w:gridCol w:w="1164"/>
        <w:gridCol w:w="3560"/>
        <w:gridCol w:w="960"/>
        <w:gridCol w:w="960"/>
        <w:gridCol w:w="960"/>
        <w:gridCol w:w="960"/>
      </w:tblGrid>
      <w:tr w:rsidR="00271729">
        <w:trPr>
          <w:trHeight w:val="300"/>
        </w:trPr>
        <w:tc>
          <w:tcPr>
            <w:tcW w:w="978" w:type="dxa"/>
            <w:tcBorders>
              <w:top w:val="single" w:sz="8" w:space="0" w:color="auto"/>
              <w:left w:val="single" w:sz="8" w:space="0" w:color="auto"/>
              <w:bottom w:val="nil"/>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8" w:space="0" w:color="auto"/>
              <w:left w:val="nil"/>
              <w:bottom w:val="nil"/>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b/>
                <w:bCs/>
                <w:noProof/>
                <w:color w:val="000000"/>
                <w:sz w:val="22"/>
              </w:rPr>
            </w:pPr>
            <w:r>
              <w:rPr>
                <w:rFonts w:ascii="Calibri" w:hAnsi="Calibri"/>
                <w:b/>
                <w:noProof/>
                <w:color w:val="000000"/>
                <w:sz w:val="22"/>
              </w:rPr>
              <w:t>Функция 3</w:t>
            </w:r>
          </w:p>
        </w:tc>
        <w:tc>
          <w:tcPr>
            <w:tcW w:w="960" w:type="dxa"/>
            <w:tcBorders>
              <w:top w:val="single" w:sz="8" w:space="0" w:color="auto"/>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2018 г.</w:t>
            </w:r>
          </w:p>
        </w:tc>
        <w:tc>
          <w:tcPr>
            <w:tcW w:w="960" w:type="dxa"/>
            <w:tcBorders>
              <w:top w:val="single" w:sz="8" w:space="0" w:color="auto"/>
              <w:left w:val="nil"/>
              <w:bottom w:val="nil"/>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2019 г.</w:t>
            </w:r>
          </w:p>
        </w:tc>
        <w:tc>
          <w:tcPr>
            <w:tcW w:w="960" w:type="dxa"/>
            <w:tcBorders>
              <w:top w:val="single" w:sz="8" w:space="0" w:color="auto"/>
              <w:left w:val="nil"/>
              <w:bottom w:val="nil"/>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2020 г.</w:t>
            </w:r>
          </w:p>
        </w:tc>
        <w:tc>
          <w:tcPr>
            <w:tcW w:w="960" w:type="dxa"/>
            <w:tcBorders>
              <w:top w:val="single" w:sz="8" w:space="0" w:color="auto"/>
              <w:left w:val="nil"/>
              <w:bottom w:val="nil"/>
              <w:right w:val="single" w:sz="8"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Общо</w:t>
            </w:r>
          </w:p>
        </w:tc>
      </w:tr>
      <w:tr w:rsidR="00271729">
        <w:trPr>
          <w:trHeight w:val="300"/>
        </w:trPr>
        <w:tc>
          <w:tcPr>
            <w:tcW w:w="978" w:type="dxa"/>
            <w:tcBorders>
              <w:top w:val="single" w:sz="4" w:space="0" w:color="auto"/>
              <w:left w:val="single" w:sz="4" w:space="0" w:color="auto"/>
              <w:bottom w:val="single" w:sz="4" w:space="0" w:color="auto"/>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Права, равенство и гражданство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r>
      <w:tr w:rsidR="00271729">
        <w:trPr>
          <w:trHeight w:val="600"/>
        </w:trPr>
        <w:tc>
          <w:tcPr>
            <w:tcW w:w="978" w:type="dxa"/>
            <w:tcBorders>
              <w:top w:val="nil"/>
              <w:left w:val="single" w:sz="4" w:space="0" w:color="auto"/>
              <w:bottom w:val="nil"/>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33.0201</w:t>
            </w:r>
          </w:p>
        </w:tc>
        <w:tc>
          <w:tcPr>
            <w:tcW w:w="3560" w:type="dxa"/>
            <w:tcBorders>
              <w:top w:val="nil"/>
              <w:left w:val="nil"/>
              <w:bottom w:val="nil"/>
              <w:right w:val="single" w:sz="4" w:space="0" w:color="auto"/>
            </w:tcBorders>
            <w:shd w:val="clear" w:color="auto" w:fill="auto"/>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xml:space="preserve">Осигуряване на защитата на </w:t>
            </w:r>
            <w:r>
              <w:rPr>
                <w:rFonts w:ascii="Calibri" w:hAnsi="Calibri"/>
                <w:noProof/>
                <w:color w:val="000000"/>
                <w:sz w:val="22"/>
              </w:rPr>
              <w:t>правата и предоставяне на гражданите на възможност за действие</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1,34</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1,55</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2,89</w:t>
            </w:r>
          </w:p>
        </w:tc>
      </w:tr>
      <w:tr w:rsidR="00271729">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33.0202</w:t>
            </w:r>
          </w:p>
        </w:tc>
        <w:tc>
          <w:tcPr>
            <w:tcW w:w="3560" w:type="dxa"/>
            <w:tcBorders>
              <w:top w:val="nil"/>
              <w:left w:val="nil"/>
              <w:bottom w:val="single" w:sz="4" w:space="0" w:color="auto"/>
              <w:right w:val="single" w:sz="4" w:space="0" w:color="auto"/>
            </w:tcBorders>
            <w:shd w:val="clear" w:color="auto" w:fill="auto"/>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Насърчаване на недопускането на дискриминация и на равенството</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0,98</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1,22</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2,2</w:t>
            </w:r>
          </w:p>
        </w:tc>
      </w:tr>
      <w:tr w:rsidR="00271729">
        <w:trPr>
          <w:trHeight w:val="300"/>
        </w:trPr>
        <w:tc>
          <w:tcPr>
            <w:tcW w:w="978" w:type="dxa"/>
            <w:tcBorders>
              <w:top w:val="nil"/>
              <w:left w:val="single" w:sz="4" w:space="0" w:color="auto"/>
              <w:bottom w:val="single" w:sz="4" w:space="0" w:color="auto"/>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4" w:space="0" w:color="auto"/>
              <w:right w:val="single" w:sz="4" w:space="0" w:color="auto"/>
            </w:tcBorders>
            <w:shd w:val="clear" w:color="auto" w:fill="auto"/>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Правосъдие</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r>
      <w:tr w:rsidR="00271729">
        <w:trPr>
          <w:trHeight w:val="600"/>
        </w:trPr>
        <w:tc>
          <w:tcPr>
            <w:tcW w:w="978" w:type="dxa"/>
            <w:tcBorders>
              <w:top w:val="nil"/>
              <w:left w:val="single" w:sz="4" w:space="0" w:color="auto"/>
              <w:bottom w:val="nil"/>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33.0301</w:t>
            </w:r>
          </w:p>
        </w:tc>
        <w:tc>
          <w:tcPr>
            <w:tcW w:w="3560" w:type="dxa"/>
            <w:tcBorders>
              <w:top w:val="nil"/>
              <w:left w:val="nil"/>
              <w:bottom w:val="nil"/>
              <w:right w:val="single" w:sz="4" w:space="0" w:color="auto"/>
            </w:tcBorders>
            <w:shd w:val="clear" w:color="auto" w:fill="auto"/>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Подпомагане и насърчаване на съдебното обучение</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4,93</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5,25</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10,18</w:t>
            </w:r>
          </w:p>
        </w:tc>
      </w:tr>
      <w:tr w:rsidR="00271729">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33.0302</w:t>
            </w:r>
          </w:p>
        </w:tc>
        <w:tc>
          <w:tcPr>
            <w:tcW w:w="3560" w:type="dxa"/>
            <w:tcBorders>
              <w:top w:val="nil"/>
              <w:left w:val="nil"/>
              <w:bottom w:val="single" w:sz="4" w:space="0" w:color="auto"/>
              <w:right w:val="single" w:sz="4" w:space="0" w:color="auto"/>
            </w:tcBorders>
            <w:shd w:val="clear" w:color="auto" w:fill="auto"/>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Улесняване и подкрепа за съдебното сътрудничество по гражданскоправни и наказателноправни въпроси</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4,77</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5,02</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9,79</w:t>
            </w:r>
          </w:p>
        </w:tc>
      </w:tr>
      <w:tr w:rsidR="00271729">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rsidR="00271729" w:rsidRDefault="00AD0727">
            <w:pPr>
              <w:spacing w:before="0" w:after="0"/>
              <w:jc w:val="left"/>
              <w:rPr>
                <w:rFonts w:ascii="Calibri" w:eastAsia="Times New Roman" w:hAnsi="Calibri"/>
                <w:b/>
                <w:bCs/>
                <w:noProof/>
                <w:color w:val="000000"/>
                <w:sz w:val="22"/>
              </w:rPr>
            </w:pPr>
            <w:r>
              <w:rPr>
                <w:rFonts w:ascii="Calibri" w:hAnsi="Calibri"/>
                <w:b/>
                <w:noProof/>
                <w:color w:val="000000"/>
                <w:sz w:val="22"/>
              </w:rPr>
              <w:t>Общо за функция 3</w:t>
            </w:r>
          </w:p>
        </w:tc>
        <w:tc>
          <w:tcPr>
            <w:tcW w:w="960" w:type="dxa"/>
            <w:tcBorders>
              <w:top w:val="nil"/>
              <w:left w:val="nil"/>
              <w:bottom w:val="single" w:sz="8"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8"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b/>
                <w:bCs/>
                <w:noProof/>
                <w:color w:val="000000"/>
                <w:sz w:val="22"/>
              </w:rPr>
            </w:pPr>
            <w:r>
              <w:rPr>
                <w:rFonts w:ascii="Calibri" w:hAnsi="Calibri"/>
                <w:b/>
                <w:noProof/>
                <w:color w:val="000000"/>
                <w:sz w:val="22"/>
              </w:rPr>
              <w:t>12,02</w:t>
            </w:r>
          </w:p>
        </w:tc>
        <w:tc>
          <w:tcPr>
            <w:tcW w:w="960" w:type="dxa"/>
            <w:tcBorders>
              <w:top w:val="nil"/>
              <w:left w:val="nil"/>
              <w:bottom w:val="single" w:sz="8"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b/>
                <w:bCs/>
                <w:noProof/>
                <w:color w:val="000000"/>
                <w:sz w:val="22"/>
              </w:rPr>
            </w:pPr>
            <w:r>
              <w:rPr>
                <w:rFonts w:ascii="Calibri" w:hAnsi="Calibri"/>
                <w:b/>
                <w:noProof/>
                <w:color w:val="000000"/>
                <w:sz w:val="22"/>
              </w:rPr>
              <w:t>13,04</w:t>
            </w:r>
          </w:p>
        </w:tc>
        <w:tc>
          <w:tcPr>
            <w:tcW w:w="960" w:type="dxa"/>
            <w:tcBorders>
              <w:top w:val="nil"/>
              <w:left w:val="nil"/>
              <w:bottom w:val="single" w:sz="8" w:space="0" w:color="auto"/>
              <w:right w:val="single" w:sz="8" w:space="0" w:color="auto"/>
            </w:tcBorders>
            <w:shd w:val="clear" w:color="auto" w:fill="auto"/>
            <w:noWrap/>
            <w:vAlign w:val="bottom"/>
            <w:hideMark/>
          </w:tcPr>
          <w:p w:rsidR="00271729" w:rsidRDefault="00AD0727">
            <w:pPr>
              <w:spacing w:before="0" w:after="0"/>
              <w:jc w:val="right"/>
              <w:rPr>
                <w:rFonts w:ascii="Calibri" w:eastAsia="Times New Roman" w:hAnsi="Calibri"/>
                <w:b/>
                <w:bCs/>
                <w:noProof/>
                <w:color w:val="000000"/>
                <w:sz w:val="22"/>
              </w:rPr>
            </w:pPr>
            <w:r>
              <w:rPr>
                <w:rFonts w:ascii="Calibri" w:hAnsi="Calibri"/>
                <w:b/>
                <w:noProof/>
                <w:color w:val="000000"/>
                <w:sz w:val="22"/>
              </w:rPr>
              <w:t>25,06</w:t>
            </w:r>
          </w:p>
        </w:tc>
      </w:tr>
      <w:tr w:rsidR="00271729">
        <w:trPr>
          <w:trHeight w:val="300"/>
        </w:trPr>
        <w:tc>
          <w:tcPr>
            <w:tcW w:w="978" w:type="dxa"/>
            <w:tcBorders>
              <w:top w:val="nil"/>
              <w:left w:val="single" w:sz="8" w:space="0" w:color="auto"/>
              <w:bottom w:val="nil"/>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nil"/>
              <w:right w:val="single" w:sz="4" w:space="0" w:color="auto"/>
            </w:tcBorders>
            <w:shd w:val="clear" w:color="auto" w:fill="auto"/>
            <w:vAlign w:val="bottom"/>
            <w:hideMark/>
          </w:tcPr>
          <w:p w:rsidR="00271729" w:rsidRDefault="00AD0727">
            <w:pPr>
              <w:spacing w:before="0" w:after="0"/>
              <w:jc w:val="left"/>
              <w:rPr>
                <w:rFonts w:ascii="Calibri" w:eastAsia="Times New Roman" w:hAnsi="Calibri"/>
                <w:b/>
                <w:bCs/>
                <w:noProof/>
                <w:color w:val="000000"/>
                <w:sz w:val="22"/>
              </w:rPr>
            </w:pPr>
            <w:r>
              <w:rPr>
                <w:rFonts w:ascii="Calibri" w:hAnsi="Calibri"/>
                <w:b/>
                <w:noProof/>
                <w:color w:val="000000"/>
                <w:sz w:val="22"/>
              </w:rPr>
              <w:t>Функция 4</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2018 г.</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2019 г.</w:t>
            </w:r>
          </w:p>
        </w:tc>
        <w:tc>
          <w:tcPr>
            <w:tcW w:w="960" w:type="dxa"/>
            <w:tcBorders>
              <w:top w:val="nil"/>
              <w:left w:val="nil"/>
              <w:bottom w:val="nil"/>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2020 г.</w:t>
            </w:r>
          </w:p>
        </w:tc>
        <w:tc>
          <w:tcPr>
            <w:tcW w:w="960" w:type="dxa"/>
            <w:tcBorders>
              <w:top w:val="nil"/>
              <w:left w:val="nil"/>
              <w:bottom w:val="nil"/>
              <w:right w:val="single" w:sz="8"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Общо</w:t>
            </w:r>
          </w:p>
        </w:tc>
      </w:tr>
      <w:tr w:rsidR="00271729">
        <w:trPr>
          <w:trHeight w:val="300"/>
        </w:trPr>
        <w:tc>
          <w:tcPr>
            <w:tcW w:w="978" w:type="dxa"/>
            <w:tcBorders>
              <w:top w:val="single" w:sz="4" w:space="0" w:color="auto"/>
              <w:left w:val="single" w:sz="4" w:space="0" w:color="auto"/>
              <w:bottom w:val="nil"/>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21.020703</w:t>
            </w:r>
          </w:p>
        </w:tc>
        <w:tc>
          <w:tcPr>
            <w:tcW w:w="3560" w:type="dxa"/>
            <w:tcBorders>
              <w:top w:val="single" w:sz="4" w:space="0" w:color="auto"/>
              <w:left w:val="nil"/>
              <w:bottom w:val="nil"/>
              <w:right w:val="single" w:sz="4" w:space="0" w:color="auto"/>
            </w:tcBorders>
            <w:shd w:val="clear" w:color="auto" w:fill="auto"/>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Човешко развитие (ИСР)</w:t>
            </w:r>
          </w:p>
        </w:tc>
        <w:tc>
          <w:tcPr>
            <w:tcW w:w="960" w:type="dxa"/>
            <w:tcBorders>
              <w:top w:val="single" w:sz="4" w:space="0" w:color="auto"/>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single" w:sz="4" w:space="0" w:color="auto"/>
              <w:left w:val="nil"/>
              <w:bottom w:val="nil"/>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2,00</w:t>
            </w:r>
          </w:p>
        </w:tc>
      </w:tr>
      <w:tr w:rsidR="00271729">
        <w:trPr>
          <w:trHeight w:val="930"/>
        </w:trPr>
        <w:tc>
          <w:tcPr>
            <w:tcW w:w="978" w:type="dxa"/>
            <w:tcBorders>
              <w:top w:val="nil"/>
              <w:left w:val="single" w:sz="4" w:space="0" w:color="auto"/>
              <w:bottom w:val="single" w:sz="4" w:space="0" w:color="auto"/>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22.020302</w:t>
            </w:r>
          </w:p>
        </w:tc>
        <w:tc>
          <w:tcPr>
            <w:tcW w:w="3560" w:type="dxa"/>
            <w:tcBorders>
              <w:top w:val="nil"/>
              <w:left w:val="nil"/>
              <w:bottom w:val="single" w:sz="4" w:space="0" w:color="auto"/>
              <w:right w:val="single" w:sz="4" w:space="0" w:color="auto"/>
            </w:tcBorders>
            <w:shd w:val="clear" w:color="auto" w:fill="auto"/>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Подкрепа за Турция — икономическо, социално и териториално развитие, както и постепенно привеждане в съответствие с достиженията на правото на ЕС (ИПП II — Турция)</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2,28</w:t>
            </w:r>
          </w:p>
        </w:tc>
        <w:tc>
          <w:tcPr>
            <w:tcW w:w="960" w:type="dxa"/>
            <w:tcBorders>
              <w:top w:val="nil"/>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4,284</w:t>
            </w:r>
          </w:p>
        </w:tc>
      </w:tr>
      <w:tr w:rsidR="00271729">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rsidR="00271729" w:rsidRDefault="00AD0727">
            <w:pPr>
              <w:spacing w:before="0" w:after="0"/>
              <w:jc w:val="left"/>
              <w:rPr>
                <w:rFonts w:ascii="Calibri" w:eastAsia="Times New Roman" w:hAnsi="Calibri"/>
                <w:b/>
                <w:bCs/>
                <w:noProof/>
                <w:color w:val="000000"/>
                <w:sz w:val="22"/>
              </w:rPr>
            </w:pPr>
            <w:r>
              <w:rPr>
                <w:rFonts w:ascii="Calibri" w:hAnsi="Calibri"/>
                <w:b/>
                <w:noProof/>
                <w:color w:val="000000"/>
                <w:sz w:val="22"/>
              </w:rPr>
              <w:t>Общо за функция 4</w:t>
            </w:r>
          </w:p>
        </w:tc>
        <w:tc>
          <w:tcPr>
            <w:tcW w:w="960" w:type="dxa"/>
            <w:tcBorders>
              <w:top w:val="nil"/>
              <w:left w:val="nil"/>
              <w:bottom w:val="single" w:sz="8"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b/>
                <w:bCs/>
                <w:noProof/>
                <w:color w:val="000000"/>
                <w:sz w:val="22"/>
              </w:rPr>
            </w:pPr>
            <w:r>
              <w:rPr>
                <w:rFonts w:ascii="Calibri" w:hAnsi="Calibri"/>
                <w:b/>
                <w:noProof/>
                <w:color w:val="000000"/>
                <w:sz w:val="22"/>
              </w:rPr>
              <w:t>2,28</w:t>
            </w:r>
          </w:p>
        </w:tc>
        <w:tc>
          <w:tcPr>
            <w:tcW w:w="960" w:type="dxa"/>
            <w:tcBorders>
              <w:top w:val="nil"/>
              <w:left w:val="nil"/>
              <w:bottom w:val="single" w:sz="8" w:space="0" w:color="auto"/>
              <w:right w:val="single" w:sz="8" w:space="0" w:color="auto"/>
            </w:tcBorders>
            <w:shd w:val="clear" w:color="auto" w:fill="auto"/>
            <w:noWrap/>
            <w:vAlign w:val="bottom"/>
            <w:hideMark/>
          </w:tcPr>
          <w:p w:rsidR="00271729" w:rsidRDefault="00AD0727">
            <w:pPr>
              <w:spacing w:before="0" w:after="0"/>
              <w:jc w:val="right"/>
              <w:rPr>
                <w:rFonts w:ascii="Calibri" w:eastAsia="Times New Roman" w:hAnsi="Calibri"/>
                <w:b/>
                <w:bCs/>
                <w:noProof/>
                <w:color w:val="000000"/>
                <w:sz w:val="22"/>
              </w:rPr>
            </w:pPr>
            <w:r>
              <w:rPr>
                <w:rFonts w:ascii="Calibri" w:hAnsi="Calibri"/>
                <w:b/>
                <w:noProof/>
                <w:color w:val="000000"/>
                <w:sz w:val="22"/>
              </w:rPr>
              <w:t>6,284</w:t>
            </w:r>
          </w:p>
        </w:tc>
      </w:tr>
    </w:tbl>
    <w:p w:rsidR="00271729" w:rsidRDefault="00271729">
      <w:pPr>
        <w:ind w:left="283" w:hanging="283"/>
        <w:rPr>
          <w:rFonts w:eastAsia="Times New Roman"/>
          <w:noProof/>
        </w:rPr>
      </w:pPr>
    </w:p>
    <w:p w:rsidR="00271729" w:rsidRDefault="00AD0727">
      <w:pPr>
        <w:ind w:left="851"/>
        <w:rPr>
          <w:rFonts w:eastAsia="Times New Roman"/>
          <w:noProof/>
        </w:rPr>
      </w:pPr>
      <w:r>
        <w:rPr>
          <w:noProof/>
        </w:rPr>
        <w:t>X</w:t>
      </w:r>
      <w:r>
        <w:rPr>
          <w:noProof/>
        </w:rPr>
        <w:tab/>
      </w:r>
      <w:r>
        <w:rPr>
          <w:noProof/>
        </w:rPr>
        <w:t>Предложението/инициативата налага прилагане на инструмента за гъвкавост.</w:t>
      </w:r>
    </w:p>
    <w:tbl>
      <w:tblPr>
        <w:tblW w:w="9855" w:type="dxa"/>
        <w:tblInd w:w="93" w:type="dxa"/>
        <w:tblLook w:val="04A0" w:firstRow="1" w:lastRow="0" w:firstColumn="1" w:lastColumn="0" w:noHBand="0" w:noVBand="1"/>
      </w:tblPr>
      <w:tblGrid>
        <w:gridCol w:w="5415"/>
        <w:gridCol w:w="2280"/>
        <w:gridCol w:w="1080"/>
        <w:gridCol w:w="120"/>
        <w:gridCol w:w="960"/>
      </w:tblGrid>
      <w:tr w:rsidR="00271729">
        <w:trPr>
          <w:trHeight w:val="300"/>
        </w:trPr>
        <w:tc>
          <w:tcPr>
            <w:tcW w:w="5415" w:type="dxa"/>
            <w:tcBorders>
              <w:top w:val="single" w:sz="4" w:space="0" w:color="auto"/>
              <w:left w:val="single" w:sz="4" w:space="0" w:color="auto"/>
              <w:bottom w:val="nil"/>
              <w:right w:val="nil"/>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 xml:space="preserve">       2018 г.</w:t>
            </w:r>
          </w:p>
        </w:tc>
        <w:tc>
          <w:tcPr>
            <w:tcW w:w="1200" w:type="dxa"/>
            <w:gridSpan w:val="2"/>
            <w:tcBorders>
              <w:top w:val="single" w:sz="4" w:space="0" w:color="auto"/>
              <w:left w:val="nil"/>
              <w:bottom w:val="single" w:sz="4" w:space="0" w:color="auto"/>
              <w:right w:val="nil"/>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 xml:space="preserve">       2019 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2020 г.</w:t>
            </w:r>
          </w:p>
        </w:tc>
      </w:tr>
      <w:tr w:rsidR="00271729">
        <w:trPr>
          <w:trHeight w:val="300"/>
        </w:trPr>
        <w:tc>
          <w:tcPr>
            <w:tcW w:w="5415" w:type="dxa"/>
            <w:tcBorders>
              <w:top w:val="nil"/>
              <w:left w:val="single" w:sz="4" w:space="0" w:color="auto"/>
              <w:bottom w:val="single" w:sz="4" w:space="0" w:color="auto"/>
              <w:right w:val="single" w:sz="4" w:space="0" w:color="auto"/>
            </w:tcBorders>
            <w:shd w:val="clear" w:color="auto" w:fill="auto"/>
            <w:noWrap/>
            <w:vAlign w:val="bottom"/>
            <w:hideMark/>
          </w:tcPr>
          <w:p w:rsidR="00271729" w:rsidRDefault="00AD0727">
            <w:pPr>
              <w:spacing w:before="0" w:after="0"/>
              <w:jc w:val="left"/>
              <w:rPr>
                <w:rFonts w:ascii="Calibri" w:eastAsia="Times New Roman" w:hAnsi="Calibri"/>
                <w:noProof/>
                <w:color w:val="000000"/>
                <w:sz w:val="22"/>
              </w:rPr>
            </w:pPr>
            <w:r>
              <w:rPr>
                <w:rFonts w:ascii="Calibri" w:hAnsi="Calibri"/>
                <w:noProof/>
                <w:color w:val="000000"/>
                <w:sz w:val="22"/>
              </w:rPr>
              <w:t>Използване на инструмента за гъвкавост</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271729" w:rsidRDefault="00AD0727">
            <w:pPr>
              <w:spacing w:before="0" w:after="0"/>
              <w:jc w:val="center"/>
              <w:rPr>
                <w:rFonts w:ascii="Calibri" w:eastAsia="Times New Roman" w:hAnsi="Calibri"/>
                <w:noProof/>
                <w:color w:val="000000"/>
                <w:sz w:val="22"/>
              </w:rPr>
            </w:pPr>
            <w:r>
              <w:rPr>
                <w:rFonts w:ascii="Calibri" w:hAnsi="Calibri"/>
                <w:noProof/>
                <w:color w:val="000000"/>
                <w:sz w:val="22"/>
              </w:rPr>
              <w:t>19,157</w:t>
            </w:r>
          </w:p>
        </w:tc>
        <w:tc>
          <w:tcPr>
            <w:tcW w:w="1080" w:type="dxa"/>
            <w:tcBorders>
              <w:top w:val="single" w:sz="4" w:space="0" w:color="auto"/>
              <w:left w:val="nil"/>
              <w:bottom w:val="single" w:sz="4" w:space="0" w:color="auto"/>
              <w:right w:val="nil"/>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103,18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71729" w:rsidRDefault="00AD0727">
            <w:pPr>
              <w:spacing w:before="0" w:after="0"/>
              <w:jc w:val="right"/>
              <w:rPr>
                <w:rFonts w:ascii="Calibri" w:eastAsia="Times New Roman" w:hAnsi="Calibri"/>
                <w:noProof/>
                <w:color w:val="000000"/>
                <w:sz w:val="22"/>
              </w:rPr>
            </w:pPr>
            <w:r>
              <w:rPr>
                <w:rFonts w:ascii="Calibri" w:hAnsi="Calibri"/>
                <w:noProof/>
                <w:color w:val="000000"/>
                <w:sz w:val="22"/>
              </w:rPr>
              <w:t>109,457</w:t>
            </w:r>
          </w:p>
        </w:tc>
      </w:tr>
    </w:tbl>
    <w:p w:rsidR="00271729" w:rsidRDefault="00271729">
      <w:pPr>
        <w:rPr>
          <w:rFonts w:eastAsia="Times New Roman"/>
          <w:noProof/>
        </w:rPr>
      </w:pPr>
    </w:p>
    <w:p w:rsidR="00271729" w:rsidRDefault="00AD0727">
      <w:pPr>
        <w:pStyle w:val="ManualNumPar3"/>
        <w:rPr>
          <w:noProof/>
        </w:rPr>
      </w:pPr>
      <w:r>
        <w:t>3.2.5.</w:t>
      </w:r>
      <w:r>
        <w:tab/>
      </w:r>
      <w:r>
        <w:rPr>
          <w:noProof/>
        </w:rPr>
        <w:t xml:space="preserve">Участие на трети страни във финансирането </w:t>
      </w:r>
    </w:p>
    <w:p w:rsidR="00271729" w:rsidRDefault="00AD0727">
      <w:pPr>
        <w:tabs>
          <w:tab w:val="num" w:pos="1134"/>
        </w:tabs>
        <w:ind w:left="1134" w:hanging="283"/>
        <w:rPr>
          <w:rFonts w:eastAsia="Times New Roman"/>
          <w:noProof/>
        </w:rPr>
      </w:pPr>
      <w:r>
        <w:rPr>
          <w:noProof/>
        </w:rPr>
        <w:t xml:space="preserve">Предложението/инициативата не предвижда съфинансиране от трети страни. </w:t>
      </w:r>
    </w:p>
    <w:p w:rsidR="00271729" w:rsidRDefault="00AD0727">
      <w:pPr>
        <w:tabs>
          <w:tab w:val="num" w:pos="1134"/>
        </w:tabs>
        <w:ind w:left="1134" w:hanging="283"/>
        <w:rPr>
          <w:rFonts w:eastAsia="Times New Roman"/>
          <w:noProof/>
        </w:rPr>
      </w:pPr>
      <w:r>
        <w:rPr>
          <w:noProof/>
        </w:rPr>
        <w:t>Предложението/инициативата предвижда съфинансиране съгласно следните прогнози:</w:t>
      </w:r>
    </w:p>
    <w:p w:rsidR="00271729" w:rsidRDefault="00AD0727">
      <w:pPr>
        <w:spacing w:before="960"/>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71729">
        <w:trPr>
          <w:cantSplit/>
        </w:trPr>
        <w:tc>
          <w:tcPr>
            <w:tcW w:w="2340" w:type="dxa"/>
          </w:tcPr>
          <w:p w:rsidR="00271729" w:rsidRDefault="00271729">
            <w:pPr>
              <w:spacing w:before="60" w:after="60"/>
              <w:rPr>
                <w:noProof/>
                <w:sz w:val="20"/>
              </w:rPr>
            </w:pPr>
          </w:p>
        </w:tc>
        <w:tc>
          <w:tcPr>
            <w:tcW w:w="964" w:type="dxa"/>
            <w:vAlign w:val="center"/>
          </w:tcPr>
          <w:p w:rsidR="00271729" w:rsidRDefault="00AD0727">
            <w:pPr>
              <w:jc w:val="center"/>
              <w:rPr>
                <w:noProof/>
                <w:sz w:val="20"/>
              </w:rPr>
            </w:pPr>
            <w:r>
              <w:rPr>
                <w:noProof/>
                <w:sz w:val="20"/>
              </w:rPr>
              <w:t>Година</w:t>
            </w:r>
            <w:r>
              <w:rPr>
                <w:b/>
                <w:noProof/>
                <w:sz w:val="20"/>
              </w:rPr>
              <w:t>N</w:t>
            </w:r>
          </w:p>
        </w:tc>
        <w:tc>
          <w:tcPr>
            <w:tcW w:w="964" w:type="dxa"/>
            <w:vAlign w:val="center"/>
          </w:tcPr>
          <w:p w:rsidR="00271729" w:rsidRDefault="00AD0727">
            <w:pPr>
              <w:jc w:val="center"/>
              <w:rPr>
                <w:noProof/>
                <w:sz w:val="20"/>
              </w:rPr>
            </w:pPr>
            <w:r>
              <w:rPr>
                <w:noProof/>
                <w:sz w:val="20"/>
              </w:rPr>
              <w:t>Година</w:t>
            </w:r>
            <w:r>
              <w:rPr>
                <w:b/>
                <w:noProof/>
                <w:sz w:val="20"/>
              </w:rPr>
              <w:t>N+1</w:t>
            </w:r>
          </w:p>
        </w:tc>
        <w:tc>
          <w:tcPr>
            <w:tcW w:w="964" w:type="dxa"/>
            <w:vAlign w:val="center"/>
          </w:tcPr>
          <w:p w:rsidR="00271729" w:rsidRDefault="00AD0727">
            <w:pPr>
              <w:jc w:val="center"/>
              <w:rPr>
                <w:noProof/>
                <w:sz w:val="20"/>
              </w:rPr>
            </w:pPr>
            <w:r>
              <w:rPr>
                <w:noProof/>
                <w:sz w:val="20"/>
              </w:rPr>
              <w:t>Година</w:t>
            </w:r>
            <w:r>
              <w:rPr>
                <w:b/>
                <w:noProof/>
                <w:sz w:val="20"/>
              </w:rPr>
              <w:t>N+2</w:t>
            </w:r>
          </w:p>
        </w:tc>
        <w:tc>
          <w:tcPr>
            <w:tcW w:w="964" w:type="dxa"/>
            <w:vAlign w:val="center"/>
          </w:tcPr>
          <w:p w:rsidR="00271729" w:rsidRDefault="00AD0727">
            <w:pPr>
              <w:jc w:val="center"/>
              <w:rPr>
                <w:noProof/>
                <w:sz w:val="20"/>
              </w:rPr>
            </w:pPr>
            <w:r>
              <w:rPr>
                <w:noProof/>
                <w:sz w:val="20"/>
              </w:rPr>
              <w:t>Година</w:t>
            </w:r>
            <w:r>
              <w:rPr>
                <w:b/>
                <w:noProof/>
                <w:sz w:val="20"/>
              </w:rPr>
              <w:t>N+3</w:t>
            </w:r>
          </w:p>
        </w:tc>
        <w:tc>
          <w:tcPr>
            <w:tcW w:w="2892" w:type="dxa"/>
            <w:gridSpan w:val="3"/>
            <w:vAlign w:val="center"/>
          </w:tcPr>
          <w:p w:rsidR="00271729" w:rsidRDefault="00AD0727">
            <w:pPr>
              <w:jc w:val="center"/>
              <w:rPr>
                <w:b/>
                <w:noProof/>
                <w:sz w:val="20"/>
              </w:rPr>
            </w:pPr>
            <w:r>
              <w:rPr>
                <w:noProof/>
                <w:sz w:val="20"/>
              </w:rPr>
              <w:t>... 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271729" w:rsidRDefault="00AD0727">
            <w:pPr>
              <w:spacing w:before="60" w:after="60"/>
              <w:jc w:val="center"/>
              <w:rPr>
                <w:noProof/>
                <w:sz w:val="20"/>
              </w:rPr>
            </w:pPr>
            <w:r>
              <w:rPr>
                <w:noProof/>
                <w:sz w:val="20"/>
              </w:rPr>
              <w:t>Общо</w:t>
            </w:r>
          </w:p>
        </w:tc>
      </w:tr>
      <w:tr w:rsidR="00271729">
        <w:trPr>
          <w:cantSplit/>
        </w:trPr>
        <w:tc>
          <w:tcPr>
            <w:tcW w:w="2340" w:type="dxa"/>
          </w:tcPr>
          <w:p w:rsidR="00271729" w:rsidRDefault="00AD0727">
            <w:pPr>
              <w:rPr>
                <w:noProof/>
                <w:sz w:val="22"/>
              </w:rPr>
            </w:pPr>
            <w:r>
              <w:rPr>
                <w:noProof/>
                <w:sz w:val="20"/>
              </w:rPr>
              <w:t>Да се посочи съфинансиращият орган</w:t>
            </w:r>
            <w:r>
              <w:rPr>
                <w:i/>
                <w:noProof/>
                <w:sz w:val="20"/>
              </w:rPr>
              <w:t xml:space="preserve"> </w:t>
            </w: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1158" w:type="dxa"/>
            <w:vAlign w:val="center"/>
          </w:tcPr>
          <w:p w:rsidR="00271729" w:rsidRDefault="00271729">
            <w:pPr>
              <w:spacing w:before="60" w:after="60"/>
              <w:jc w:val="center"/>
              <w:rPr>
                <w:noProof/>
                <w:sz w:val="20"/>
              </w:rPr>
            </w:pPr>
          </w:p>
        </w:tc>
      </w:tr>
      <w:tr w:rsidR="00271729">
        <w:trPr>
          <w:cantSplit/>
        </w:trPr>
        <w:tc>
          <w:tcPr>
            <w:tcW w:w="2340" w:type="dxa"/>
          </w:tcPr>
          <w:p w:rsidR="00271729" w:rsidRDefault="00AD0727">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964" w:type="dxa"/>
            <w:vAlign w:val="center"/>
          </w:tcPr>
          <w:p w:rsidR="00271729" w:rsidRDefault="00271729">
            <w:pPr>
              <w:spacing w:before="60" w:after="60"/>
              <w:jc w:val="center"/>
              <w:rPr>
                <w:noProof/>
                <w:sz w:val="20"/>
              </w:rPr>
            </w:pPr>
          </w:p>
        </w:tc>
        <w:tc>
          <w:tcPr>
            <w:tcW w:w="1158" w:type="dxa"/>
            <w:vAlign w:val="center"/>
          </w:tcPr>
          <w:p w:rsidR="00271729" w:rsidRDefault="00271729">
            <w:pPr>
              <w:spacing w:before="60" w:after="60"/>
              <w:jc w:val="center"/>
              <w:rPr>
                <w:noProof/>
                <w:sz w:val="20"/>
              </w:rPr>
            </w:pPr>
          </w:p>
        </w:tc>
      </w:tr>
    </w:tbl>
    <w:p w:rsidR="00271729" w:rsidRDefault="00AD0727">
      <w:pPr>
        <w:rPr>
          <w:noProof/>
        </w:rPr>
      </w:pPr>
      <w:r>
        <w:rPr>
          <w:noProof/>
        </w:rPr>
        <w:br/>
      </w:r>
    </w:p>
    <w:p w:rsidR="00271729" w:rsidRDefault="00AD0727">
      <w:pPr>
        <w:pStyle w:val="ManualNumPar2"/>
        <w:rPr>
          <w:noProof/>
        </w:rPr>
      </w:pPr>
      <w:r>
        <w:rPr>
          <w:noProof/>
        </w:rPr>
        <w:br w:type="page"/>
      </w:r>
      <w:r>
        <w:t>3.</w:t>
      </w:r>
      <w:proofErr w:type="spellStart"/>
      <w:r>
        <w:t>3</w:t>
      </w:r>
      <w:proofErr w:type="spellEnd"/>
      <w:r>
        <w:t>.</w:t>
      </w:r>
      <w:r>
        <w:tab/>
      </w:r>
      <w:r>
        <w:rPr>
          <w:noProof/>
        </w:rPr>
        <w:t xml:space="preserve">Очаквано отражение върху приходите </w:t>
      </w:r>
    </w:p>
    <w:p w:rsidR="00271729" w:rsidRDefault="00AD0727">
      <w:pPr>
        <w:tabs>
          <w:tab w:val="num" w:pos="1134"/>
        </w:tabs>
        <w:ind w:left="1134" w:hanging="283"/>
        <w:rPr>
          <w:rFonts w:eastAsia="Times New Roman"/>
          <w:noProof/>
        </w:rPr>
      </w:pPr>
      <w:r>
        <w:rPr>
          <w:noProof/>
        </w:rPr>
        <w:t>X</w:t>
      </w:r>
      <w:r>
        <w:rPr>
          <w:noProof/>
        </w:rPr>
        <w:tab/>
        <w:t>Предложението/инициативата няма финансово отражение върху приходите.</w:t>
      </w:r>
    </w:p>
    <w:p w:rsidR="00271729" w:rsidRDefault="00AD0727">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има следното финансово отражение:</w:t>
      </w:r>
    </w:p>
    <w:p w:rsidR="00271729" w:rsidRDefault="00AD0727">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собствените ресурси </w:t>
      </w:r>
    </w:p>
    <w:p w:rsidR="00271729" w:rsidRDefault="00AD0727">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разните приходи </w:t>
      </w:r>
    </w:p>
    <w:p w:rsidR="00271729" w:rsidRDefault="00AD0727">
      <w:pPr>
        <w:jc w:val="right"/>
        <w:rPr>
          <w:i/>
          <w:noProof/>
          <w:sz w:val="20"/>
        </w:rPr>
      </w:pPr>
      <w:r>
        <w:rPr>
          <w:noProof/>
        </w:rPr>
        <w:t>млн. EUR (до 3-тия знак след дес</w:t>
      </w:r>
      <w:r>
        <w:rPr>
          <w:noProof/>
        </w:rPr>
        <w:t>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271729">
        <w:trPr>
          <w:trHeight w:val="388"/>
        </w:trPr>
        <w:tc>
          <w:tcPr>
            <w:tcW w:w="2144" w:type="dxa"/>
            <w:vMerge w:val="restart"/>
            <w:vAlign w:val="center"/>
          </w:tcPr>
          <w:p w:rsidR="00271729" w:rsidRDefault="00AD0727">
            <w:pPr>
              <w:spacing w:before="40" w:after="40"/>
              <w:rPr>
                <w:noProof/>
                <w:sz w:val="18"/>
              </w:rPr>
            </w:pPr>
            <w:r>
              <w:rPr>
                <w:noProof/>
                <w:sz w:val="18"/>
              </w:rPr>
              <w:t>Приходен бюджетен ред:</w:t>
            </w:r>
          </w:p>
        </w:tc>
        <w:tc>
          <w:tcPr>
            <w:tcW w:w="1276" w:type="dxa"/>
            <w:vMerge w:val="restart"/>
            <w:vAlign w:val="center"/>
          </w:tcPr>
          <w:p w:rsidR="00271729" w:rsidRDefault="00AD0727">
            <w:pPr>
              <w:jc w:val="center"/>
              <w:rPr>
                <w:noProof/>
                <w:sz w:val="18"/>
              </w:rPr>
            </w:pPr>
            <w:r>
              <w:rPr>
                <w:noProof/>
                <w:sz w:val="18"/>
              </w:rPr>
              <w:t>Налични бюджетни кредити за текущата бюджетна година</w:t>
            </w:r>
          </w:p>
        </w:tc>
        <w:tc>
          <w:tcPr>
            <w:tcW w:w="7200" w:type="dxa"/>
            <w:gridSpan w:val="7"/>
            <w:vAlign w:val="center"/>
          </w:tcPr>
          <w:p w:rsidR="00271729" w:rsidRDefault="00AD0727">
            <w:pPr>
              <w:jc w:val="center"/>
              <w:rPr>
                <w:noProof/>
                <w:sz w:val="18"/>
              </w:rPr>
            </w:pPr>
            <w:r>
              <w:rPr>
                <w:noProof/>
                <w:sz w:val="18"/>
              </w:rPr>
              <w:t>Отражение на предложението/инициативата</w:t>
            </w:r>
            <w:r>
              <w:rPr>
                <w:rStyle w:val="FootnoteReference"/>
                <w:noProof/>
              </w:rPr>
              <w:footnoteReference w:id="32"/>
            </w:r>
          </w:p>
        </w:tc>
      </w:tr>
      <w:tr w:rsidR="00271729">
        <w:trPr>
          <w:trHeight w:val="388"/>
        </w:trPr>
        <w:tc>
          <w:tcPr>
            <w:tcW w:w="2144" w:type="dxa"/>
            <w:vMerge/>
          </w:tcPr>
          <w:p w:rsidR="00271729" w:rsidRDefault="00271729">
            <w:pPr>
              <w:spacing w:before="40" w:after="40"/>
              <w:rPr>
                <w:noProof/>
                <w:sz w:val="18"/>
              </w:rPr>
            </w:pPr>
          </w:p>
        </w:tc>
        <w:tc>
          <w:tcPr>
            <w:tcW w:w="1276" w:type="dxa"/>
            <w:vMerge/>
          </w:tcPr>
          <w:p w:rsidR="00271729" w:rsidRDefault="00271729">
            <w:pPr>
              <w:spacing w:beforeLines="40" w:before="96" w:afterLines="40" w:after="96"/>
              <w:rPr>
                <w:i/>
                <w:noProof/>
                <w:sz w:val="18"/>
              </w:rPr>
            </w:pPr>
          </w:p>
        </w:tc>
        <w:tc>
          <w:tcPr>
            <w:tcW w:w="1080" w:type="dxa"/>
            <w:vAlign w:val="center"/>
          </w:tcPr>
          <w:p w:rsidR="00271729" w:rsidRDefault="00AD0727">
            <w:pPr>
              <w:jc w:val="center"/>
              <w:rPr>
                <w:noProof/>
                <w:sz w:val="18"/>
              </w:rPr>
            </w:pPr>
            <w:r>
              <w:rPr>
                <w:noProof/>
                <w:sz w:val="18"/>
              </w:rPr>
              <w:t>Година</w:t>
            </w:r>
            <w:r>
              <w:rPr>
                <w:b/>
                <w:noProof/>
                <w:sz w:val="18"/>
              </w:rPr>
              <w:t>N</w:t>
            </w:r>
          </w:p>
        </w:tc>
        <w:tc>
          <w:tcPr>
            <w:tcW w:w="900" w:type="dxa"/>
            <w:vAlign w:val="center"/>
          </w:tcPr>
          <w:p w:rsidR="00271729" w:rsidRDefault="00AD0727">
            <w:pPr>
              <w:jc w:val="center"/>
              <w:rPr>
                <w:noProof/>
                <w:sz w:val="18"/>
              </w:rPr>
            </w:pPr>
            <w:r>
              <w:rPr>
                <w:noProof/>
                <w:sz w:val="18"/>
              </w:rPr>
              <w:t>Година</w:t>
            </w:r>
            <w:r>
              <w:rPr>
                <w:b/>
                <w:noProof/>
                <w:sz w:val="18"/>
              </w:rPr>
              <w:t>N+1</w:t>
            </w:r>
          </w:p>
        </w:tc>
        <w:tc>
          <w:tcPr>
            <w:tcW w:w="900" w:type="dxa"/>
            <w:vAlign w:val="center"/>
          </w:tcPr>
          <w:p w:rsidR="00271729" w:rsidRDefault="00AD0727">
            <w:pPr>
              <w:jc w:val="center"/>
              <w:rPr>
                <w:noProof/>
                <w:sz w:val="18"/>
              </w:rPr>
            </w:pPr>
            <w:r>
              <w:rPr>
                <w:noProof/>
                <w:sz w:val="18"/>
              </w:rPr>
              <w:t>Година</w:t>
            </w:r>
            <w:r>
              <w:rPr>
                <w:b/>
                <w:noProof/>
                <w:sz w:val="18"/>
              </w:rPr>
              <w:t>N+2</w:t>
            </w:r>
          </w:p>
        </w:tc>
        <w:tc>
          <w:tcPr>
            <w:tcW w:w="1080" w:type="dxa"/>
            <w:vAlign w:val="center"/>
          </w:tcPr>
          <w:p w:rsidR="00271729" w:rsidRDefault="00AD0727">
            <w:pPr>
              <w:jc w:val="center"/>
              <w:rPr>
                <w:noProof/>
                <w:sz w:val="18"/>
              </w:rPr>
            </w:pPr>
            <w:r>
              <w:rPr>
                <w:noProof/>
                <w:sz w:val="18"/>
              </w:rPr>
              <w:t>Година</w:t>
            </w:r>
            <w:r>
              <w:rPr>
                <w:b/>
                <w:noProof/>
                <w:sz w:val="18"/>
              </w:rPr>
              <w:t>N+3</w:t>
            </w:r>
          </w:p>
        </w:tc>
        <w:tc>
          <w:tcPr>
            <w:tcW w:w="3240" w:type="dxa"/>
            <w:gridSpan w:val="3"/>
            <w:vAlign w:val="center"/>
          </w:tcPr>
          <w:p w:rsidR="00271729" w:rsidRDefault="00AD0727">
            <w:pPr>
              <w:jc w:val="center"/>
              <w:rPr>
                <w:b/>
                <w:noProof/>
                <w:sz w:val="18"/>
              </w:rPr>
            </w:pPr>
            <w:r>
              <w:rPr>
                <w:noProof/>
                <w:sz w:val="18"/>
              </w:rPr>
              <w:t xml:space="preserve">... да се добавят толкова години, колкото е необходимо, за да се обхване </w:t>
            </w:r>
            <w:r>
              <w:rPr>
                <w:noProof/>
                <w:sz w:val="18"/>
              </w:rPr>
              <w:t>продължителността на отражението (вж. точка 1.6)</w:t>
            </w:r>
          </w:p>
        </w:tc>
      </w:tr>
      <w:tr w:rsidR="00271729">
        <w:trPr>
          <w:trHeight w:val="388"/>
        </w:trPr>
        <w:tc>
          <w:tcPr>
            <w:tcW w:w="2144" w:type="dxa"/>
            <w:vAlign w:val="center"/>
          </w:tcPr>
          <w:p w:rsidR="00271729" w:rsidRDefault="00AD0727">
            <w:pPr>
              <w:spacing w:before="40" w:after="40"/>
              <w:rPr>
                <w:noProof/>
                <w:sz w:val="18"/>
              </w:rPr>
            </w:pPr>
            <w:r>
              <w:rPr>
                <w:noProof/>
                <w:sz w:val="18"/>
              </w:rPr>
              <w:t>Статия …………</w:t>
            </w:r>
          </w:p>
        </w:tc>
        <w:tc>
          <w:tcPr>
            <w:tcW w:w="1276" w:type="dxa"/>
          </w:tcPr>
          <w:p w:rsidR="00271729" w:rsidRDefault="00271729">
            <w:pPr>
              <w:spacing w:beforeLines="40" w:before="96" w:afterLines="40" w:after="96"/>
              <w:jc w:val="center"/>
              <w:rPr>
                <w:i/>
                <w:noProof/>
                <w:sz w:val="18"/>
              </w:rPr>
            </w:pPr>
          </w:p>
        </w:tc>
        <w:tc>
          <w:tcPr>
            <w:tcW w:w="1080" w:type="dxa"/>
          </w:tcPr>
          <w:p w:rsidR="00271729" w:rsidRDefault="00271729">
            <w:pPr>
              <w:spacing w:beforeLines="40" w:before="96" w:afterLines="40" w:after="96"/>
              <w:jc w:val="center"/>
              <w:rPr>
                <w:noProof/>
                <w:sz w:val="18"/>
              </w:rPr>
            </w:pPr>
          </w:p>
        </w:tc>
        <w:tc>
          <w:tcPr>
            <w:tcW w:w="900" w:type="dxa"/>
          </w:tcPr>
          <w:p w:rsidR="00271729" w:rsidRDefault="00271729">
            <w:pPr>
              <w:spacing w:beforeLines="40" w:before="96" w:afterLines="40" w:after="96"/>
              <w:jc w:val="center"/>
              <w:rPr>
                <w:noProof/>
                <w:sz w:val="18"/>
              </w:rPr>
            </w:pPr>
          </w:p>
        </w:tc>
        <w:tc>
          <w:tcPr>
            <w:tcW w:w="900" w:type="dxa"/>
          </w:tcPr>
          <w:p w:rsidR="00271729" w:rsidRDefault="00271729">
            <w:pPr>
              <w:spacing w:beforeLines="40" w:before="96" w:afterLines="40" w:after="96"/>
              <w:jc w:val="center"/>
              <w:rPr>
                <w:noProof/>
                <w:sz w:val="18"/>
              </w:rPr>
            </w:pPr>
          </w:p>
        </w:tc>
        <w:tc>
          <w:tcPr>
            <w:tcW w:w="1080" w:type="dxa"/>
          </w:tcPr>
          <w:p w:rsidR="00271729" w:rsidRDefault="00271729">
            <w:pPr>
              <w:spacing w:beforeLines="40" w:before="96" w:afterLines="40" w:after="96"/>
              <w:jc w:val="center"/>
              <w:rPr>
                <w:noProof/>
                <w:sz w:val="18"/>
              </w:rPr>
            </w:pPr>
          </w:p>
        </w:tc>
        <w:tc>
          <w:tcPr>
            <w:tcW w:w="1080" w:type="dxa"/>
          </w:tcPr>
          <w:p w:rsidR="00271729" w:rsidRDefault="00271729">
            <w:pPr>
              <w:spacing w:beforeLines="40" w:before="96" w:afterLines="40" w:after="96"/>
              <w:jc w:val="center"/>
              <w:rPr>
                <w:noProof/>
                <w:sz w:val="18"/>
              </w:rPr>
            </w:pPr>
          </w:p>
        </w:tc>
        <w:tc>
          <w:tcPr>
            <w:tcW w:w="1080" w:type="dxa"/>
          </w:tcPr>
          <w:p w:rsidR="00271729" w:rsidRDefault="00271729">
            <w:pPr>
              <w:spacing w:beforeLines="40" w:before="96" w:afterLines="40" w:after="96"/>
              <w:jc w:val="center"/>
              <w:rPr>
                <w:noProof/>
                <w:sz w:val="18"/>
              </w:rPr>
            </w:pPr>
          </w:p>
        </w:tc>
        <w:tc>
          <w:tcPr>
            <w:tcW w:w="1080" w:type="dxa"/>
          </w:tcPr>
          <w:p w:rsidR="00271729" w:rsidRDefault="00271729">
            <w:pPr>
              <w:spacing w:beforeLines="40" w:before="96" w:afterLines="40" w:after="96"/>
              <w:jc w:val="center"/>
              <w:rPr>
                <w:noProof/>
                <w:sz w:val="18"/>
              </w:rPr>
            </w:pPr>
          </w:p>
        </w:tc>
      </w:tr>
    </w:tbl>
    <w:p w:rsidR="00271729" w:rsidRDefault="00AD0727">
      <w:pPr>
        <w:ind w:left="850"/>
        <w:rPr>
          <w:noProof/>
          <w:sz w:val="20"/>
        </w:rPr>
      </w:pPr>
      <w:r>
        <w:rPr>
          <w:noProof/>
          <w:sz w:val="20"/>
        </w:rPr>
        <w:t>За разните целеви приходи да се посочат съответните разходни бюджетни редове.</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271729" w:rsidRDefault="00AD0727">
      <w:pPr>
        <w:ind w:left="850"/>
        <w:rPr>
          <w:noProof/>
          <w:sz w:val="20"/>
        </w:rPr>
      </w:pPr>
      <w:r>
        <w:rPr>
          <w:noProof/>
          <w:sz w:val="20"/>
        </w:rPr>
        <w:t>Да се посочи методът за изчисляване на отражението върху приходите.</w:t>
      </w:r>
    </w:p>
    <w:p w:rsidR="00271729" w:rsidRDefault="00AD0727">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271729" w:rsidRPr="002C541A" w:rsidRDefault="00271729">
      <w:pPr>
        <w:rPr>
          <w:noProof/>
        </w:rPr>
      </w:pPr>
    </w:p>
    <w:sectPr w:rsidR="00271729" w:rsidRPr="002C541A" w:rsidSect="002C541A">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29" w:rsidRDefault="00AD0727">
      <w:pPr>
        <w:spacing w:before="0" w:after="0"/>
      </w:pPr>
      <w:r>
        <w:separator/>
      </w:r>
    </w:p>
  </w:endnote>
  <w:endnote w:type="continuationSeparator" w:id="0">
    <w:p w:rsidR="00271729" w:rsidRDefault="00AD0727">
      <w:pPr>
        <w:spacing w:before="0" w:after="0"/>
      </w:pPr>
      <w:r>
        <w:continuationSeparator/>
      </w:r>
    </w:p>
  </w:endnote>
  <w:endnote w:type="continuationNotice" w:id="1">
    <w:p w:rsidR="00271729" w:rsidRDefault="002717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1A" w:rsidRPr="002C541A" w:rsidRDefault="002C541A" w:rsidP="002C541A">
    <w:pPr>
      <w:pStyle w:val="Footer"/>
      <w:rPr>
        <w:rFonts w:ascii="Arial" w:hAnsi="Arial" w:cs="Arial"/>
        <w:b/>
        <w:sz w:val="48"/>
      </w:rPr>
    </w:pPr>
    <w:r w:rsidRPr="002C541A">
      <w:rPr>
        <w:rFonts w:ascii="Arial" w:hAnsi="Arial" w:cs="Arial"/>
        <w:b/>
        <w:sz w:val="48"/>
      </w:rPr>
      <w:t>BG</w:t>
    </w:r>
    <w:r w:rsidRPr="002C541A">
      <w:rPr>
        <w:rFonts w:ascii="Arial" w:hAnsi="Arial" w:cs="Arial"/>
        <w:b/>
        <w:sz w:val="48"/>
      </w:rPr>
      <w:tab/>
    </w:r>
    <w:r w:rsidRPr="002C541A">
      <w:rPr>
        <w:rFonts w:ascii="Arial" w:hAnsi="Arial" w:cs="Arial"/>
        <w:b/>
        <w:sz w:val="48"/>
      </w:rPr>
      <w:tab/>
    </w:r>
    <w:r w:rsidRPr="002C541A">
      <w:tab/>
    </w:r>
    <w:proofErr w:type="spellStart"/>
    <w:r w:rsidRPr="002C541A">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1A" w:rsidRPr="002C541A" w:rsidRDefault="002C541A" w:rsidP="002C541A">
    <w:pPr>
      <w:pStyle w:val="Footer"/>
      <w:rPr>
        <w:rFonts w:ascii="Arial" w:hAnsi="Arial" w:cs="Arial"/>
        <w:b/>
        <w:sz w:val="48"/>
      </w:rPr>
    </w:pPr>
    <w:r w:rsidRPr="002C541A">
      <w:rPr>
        <w:rFonts w:ascii="Arial" w:hAnsi="Arial" w:cs="Arial"/>
        <w:b/>
        <w:sz w:val="48"/>
      </w:rPr>
      <w:t>BG</w:t>
    </w:r>
    <w:r w:rsidRPr="002C541A">
      <w:rPr>
        <w:rFonts w:ascii="Arial" w:hAnsi="Arial" w:cs="Arial"/>
        <w:b/>
        <w:sz w:val="48"/>
      </w:rPr>
      <w:tab/>
    </w:r>
    <w:r>
      <w:fldChar w:fldCharType="begin"/>
    </w:r>
    <w:r>
      <w:instrText xml:space="preserve"> PAGE  \* MERGEFORMAT </w:instrText>
    </w:r>
    <w:r>
      <w:fldChar w:fldCharType="separate"/>
    </w:r>
    <w:r w:rsidR="00AD0727">
      <w:rPr>
        <w:noProof/>
      </w:rPr>
      <w:t>8</w:t>
    </w:r>
    <w:r>
      <w:fldChar w:fldCharType="end"/>
    </w:r>
    <w:r>
      <w:tab/>
    </w:r>
    <w:r w:rsidRPr="002C541A">
      <w:tab/>
    </w:r>
    <w:r w:rsidRPr="002C541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1A" w:rsidRPr="002C541A" w:rsidRDefault="002C541A" w:rsidP="002C54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29" w:rsidRPr="002C541A" w:rsidRDefault="002C541A" w:rsidP="002C541A">
    <w:pPr>
      <w:pStyle w:val="FooterLandscape"/>
      <w:rPr>
        <w:rFonts w:ascii="Arial" w:hAnsi="Arial" w:cs="Arial"/>
        <w:b/>
        <w:sz w:val="48"/>
      </w:rPr>
    </w:pPr>
    <w:r w:rsidRPr="002C541A">
      <w:rPr>
        <w:rFonts w:ascii="Arial" w:hAnsi="Arial" w:cs="Arial"/>
        <w:b/>
        <w:sz w:val="48"/>
      </w:rPr>
      <w:t>BG</w:t>
    </w:r>
    <w:r w:rsidRPr="002C541A">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rsidRPr="002C541A">
      <w:tab/>
    </w:r>
    <w:r w:rsidRPr="002C541A">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1A" w:rsidRPr="002C541A" w:rsidRDefault="002C541A" w:rsidP="002C541A">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29" w:rsidRPr="002C541A" w:rsidRDefault="002C541A" w:rsidP="002C541A">
    <w:pPr>
      <w:pStyle w:val="Footer"/>
      <w:rPr>
        <w:rFonts w:ascii="Arial" w:hAnsi="Arial" w:cs="Arial"/>
        <w:b/>
        <w:sz w:val="48"/>
      </w:rPr>
    </w:pPr>
    <w:r w:rsidRPr="002C541A">
      <w:rPr>
        <w:rFonts w:ascii="Arial" w:hAnsi="Arial" w:cs="Arial"/>
        <w:b/>
        <w:sz w:val="48"/>
      </w:rPr>
      <w:t>BG</w:t>
    </w:r>
    <w:r w:rsidRPr="002C541A">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rsidRPr="002C541A">
      <w:tab/>
    </w:r>
    <w:r w:rsidRPr="002C541A">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1A" w:rsidRPr="002C541A" w:rsidRDefault="002C541A" w:rsidP="002C5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29" w:rsidRDefault="00AD0727">
      <w:pPr>
        <w:spacing w:before="0" w:after="0"/>
      </w:pPr>
      <w:r>
        <w:separator/>
      </w:r>
    </w:p>
  </w:footnote>
  <w:footnote w:type="continuationSeparator" w:id="0">
    <w:p w:rsidR="00271729" w:rsidRDefault="00AD0727">
      <w:pPr>
        <w:spacing w:before="0" w:after="0"/>
      </w:pPr>
      <w:r>
        <w:continuationSeparator/>
      </w:r>
    </w:p>
  </w:footnote>
  <w:footnote w:type="continuationNotice" w:id="1">
    <w:p w:rsidR="00271729" w:rsidRDefault="00271729">
      <w:pPr>
        <w:spacing w:before="0" w:after="0"/>
      </w:pPr>
    </w:p>
  </w:footnote>
  <w:footnote w:id="2">
    <w:p w:rsidR="00271729" w:rsidRDefault="00AD0727">
      <w:pPr>
        <w:pStyle w:val="FootnoteText"/>
        <w:ind w:left="0" w:firstLine="0"/>
        <w:rPr>
          <w:sz w:val="18"/>
        </w:rPr>
      </w:pPr>
      <w:r>
        <w:rPr>
          <w:rStyle w:val="FootnoteReference"/>
        </w:rPr>
        <w:footnoteRef/>
      </w:r>
      <w:r>
        <w:tab/>
      </w:r>
      <w:r>
        <w:rPr>
          <w:sz w:val="18"/>
        </w:rPr>
        <w:t>ICF, '</w:t>
      </w:r>
      <w:proofErr w:type="spellStart"/>
      <w:r>
        <w:rPr>
          <w:sz w:val="18"/>
        </w:rPr>
        <w:t>Interim</w:t>
      </w:r>
      <w:proofErr w:type="spellEnd"/>
      <w:r>
        <w:rPr>
          <w:sz w:val="18"/>
        </w:rPr>
        <w:t xml:space="preserve"> </w:t>
      </w:r>
      <w:proofErr w:type="spellStart"/>
      <w:r>
        <w:rPr>
          <w:sz w:val="18"/>
        </w:rPr>
        <w:t>Evaluation</w:t>
      </w:r>
      <w:proofErr w:type="spellEnd"/>
      <w:r>
        <w:rPr>
          <w:sz w:val="18"/>
        </w:rPr>
        <w:t xml:space="preserve"> of </w:t>
      </w:r>
      <w:proofErr w:type="spellStart"/>
      <w:r>
        <w:rPr>
          <w:sz w:val="18"/>
        </w:rPr>
        <w:t>the</w:t>
      </w:r>
      <w:proofErr w:type="spellEnd"/>
      <w:r>
        <w:rPr>
          <w:sz w:val="18"/>
        </w:rPr>
        <w:t xml:space="preserve"> </w:t>
      </w:r>
      <w:proofErr w:type="spellStart"/>
      <w:r>
        <w:rPr>
          <w:sz w:val="18"/>
        </w:rPr>
        <w:t>Union</w:t>
      </w:r>
      <w:proofErr w:type="spellEnd"/>
      <w:r>
        <w:rPr>
          <w:sz w:val="18"/>
        </w:rPr>
        <w:t xml:space="preserve"> Civil </w:t>
      </w:r>
      <w:proofErr w:type="spellStart"/>
      <w:r>
        <w:rPr>
          <w:sz w:val="18"/>
        </w:rPr>
        <w:t>Protection</w:t>
      </w:r>
      <w:proofErr w:type="spellEnd"/>
      <w:r>
        <w:rPr>
          <w:sz w:val="18"/>
        </w:rPr>
        <w:t xml:space="preserve"> </w:t>
      </w:r>
      <w:proofErr w:type="spellStart"/>
      <w:r>
        <w:rPr>
          <w:sz w:val="18"/>
        </w:rPr>
        <w:t>Mechanism</w:t>
      </w:r>
      <w:proofErr w:type="spellEnd"/>
      <w:r>
        <w:rPr>
          <w:sz w:val="18"/>
        </w:rPr>
        <w:t>. 2014-2016’ (Междинна оценка на Механизма за гражданска защита на Съюза), окончателен доклад, август 2017 г. (наричана по-нататък „Междинната оценка“). Окончателният доклад от Междинната оценка може да бъд</w:t>
      </w:r>
      <w:r>
        <w:rPr>
          <w:sz w:val="18"/>
        </w:rPr>
        <w:t>е намерен на адрес: https://publications.europa.eu/en/publication-detail/-/publication/eb41bfee-78c3-11e7-b2f2-01aa75ed71a1/language-en/format-PDF</w:t>
      </w:r>
    </w:p>
  </w:footnote>
  <w:footnote w:id="3">
    <w:p w:rsidR="00271729" w:rsidRDefault="00AD0727">
      <w:pPr>
        <w:pStyle w:val="FootnoteText"/>
        <w:ind w:left="0" w:firstLine="0"/>
        <w:rPr>
          <w:sz w:val="18"/>
        </w:rPr>
      </w:pPr>
      <w:r>
        <w:rPr>
          <w:rStyle w:val="FootnoteReference"/>
        </w:rPr>
        <w:footnoteRef/>
      </w:r>
      <w:r>
        <w:tab/>
      </w:r>
      <w:r>
        <w:rPr>
          <w:sz w:val="18"/>
        </w:rPr>
        <w:t>Европейска сметна палата, специален доклад от 2016 г., „Механизъм за гражданска защита на Съюза —  координа</w:t>
      </w:r>
      <w:r>
        <w:rPr>
          <w:sz w:val="18"/>
        </w:rPr>
        <w:t>цията на действията за реагиране при бедствия извън ЕС като цяло е била ефективна“. На разположение на адрес: https://www.eca.europa.eu/Lists/ECADocuments/SR16_33/SR_DISASTER_RESPONSE_BG.pdf</w:t>
      </w:r>
    </w:p>
  </w:footnote>
  <w:footnote w:id="4">
    <w:p w:rsidR="00271729" w:rsidRDefault="00AD0727">
      <w:pPr>
        <w:pStyle w:val="FootnoteText"/>
        <w:ind w:left="0" w:firstLine="0"/>
      </w:pPr>
      <w:r>
        <w:rPr>
          <w:rStyle w:val="FootnoteReference"/>
        </w:rPr>
        <w:footnoteRef/>
      </w:r>
      <w:r>
        <w:tab/>
      </w:r>
      <w:r>
        <w:rPr>
          <w:sz w:val="18"/>
        </w:rPr>
        <w:t>Доклад на Комисията до Европейския парламент и Съвета относно п</w:t>
      </w:r>
      <w:r>
        <w:rPr>
          <w:sz w:val="18"/>
        </w:rPr>
        <w:t>остигнатия напредък и оставащите пропуски в Европейския капацитет за реагиране при извънредни ситуации, 17.2.2017 г.</w:t>
      </w:r>
    </w:p>
  </w:footnote>
  <w:footnote w:id="5">
    <w:p w:rsidR="00271729" w:rsidRDefault="00AD0727">
      <w:pPr>
        <w:pStyle w:val="FootnoteText"/>
      </w:pPr>
      <w:r>
        <w:rPr>
          <w:rStyle w:val="FootnoteReference"/>
        </w:rPr>
        <w:footnoteRef/>
      </w:r>
      <w:r>
        <w:tab/>
      </w:r>
      <w:r>
        <w:rPr>
          <w:sz w:val="16"/>
        </w:rPr>
        <w:t>Виж бележка под линия 2.</w:t>
      </w:r>
    </w:p>
  </w:footnote>
  <w:footnote w:id="6">
    <w:p w:rsidR="00271729" w:rsidRDefault="00AD0727">
      <w:pPr>
        <w:pStyle w:val="FootnoteText"/>
      </w:pPr>
      <w:r>
        <w:rPr>
          <w:rStyle w:val="FootnoteReference"/>
        </w:rPr>
        <w:footnoteRef/>
      </w:r>
      <w:r>
        <w:tab/>
      </w:r>
      <w:r>
        <w:rPr>
          <w:sz w:val="16"/>
        </w:rPr>
        <w:t>Виж бележка под линия 3.</w:t>
      </w:r>
    </w:p>
  </w:footnote>
  <w:footnote w:id="7">
    <w:p w:rsidR="00271729" w:rsidRDefault="00AD0727">
      <w:pPr>
        <w:pStyle w:val="FootnoteText"/>
      </w:pPr>
      <w:r>
        <w:rPr>
          <w:rStyle w:val="FootnoteReference"/>
        </w:rPr>
        <w:footnoteRef/>
      </w:r>
      <w:r>
        <w:tab/>
      </w:r>
      <w:r>
        <w:rPr>
          <w:sz w:val="16"/>
        </w:rPr>
        <w:t xml:space="preserve">Работен документ на службите на Комисията, </w:t>
      </w:r>
      <w:proofErr w:type="spellStart"/>
      <w:r>
        <w:rPr>
          <w:sz w:val="16"/>
        </w:rPr>
        <w:t>Overview</w:t>
      </w:r>
      <w:proofErr w:type="spellEnd"/>
      <w:r>
        <w:rPr>
          <w:sz w:val="16"/>
        </w:rPr>
        <w:t xml:space="preserve"> of </w:t>
      </w:r>
      <w:proofErr w:type="spellStart"/>
      <w:r>
        <w:rPr>
          <w:sz w:val="16"/>
        </w:rPr>
        <w:t>Natural</w:t>
      </w:r>
      <w:proofErr w:type="spellEnd"/>
      <w:r>
        <w:rPr>
          <w:sz w:val="16"/>
        </w:rPr>
        <w:t xml:space="preserve"> </w:t>
      </w:r>
      <w:proofErr w:type="spellStart"/>
      <w:r>
        <w:rPr>
          <w:sz w:val="16"/>
        </w:rPr>
        <w:t>and</w:t>
      </w:r>
      <w:proofErr w:type="spellEnd"/>
      <w:r>
        <w:rPr>
          <w:sz w:val="16"/>
        </w:rPr>
        <w:t xml:space="preserve"> </w:t>
      </w:r>
      <w:proofErr w:type="spellStart"/>
      <w:r>
        <w:rPr>
          <w:sz w:val="16"/>
        </w:rPr>
        <w:t>Man-made</w:t>
      </w:r>
      <w:proofErr w:type="spellEnd"/>
      <w:r>
        <w:rPr>
          <w:sz w:val="16"/>
        </w:rPr>
        <w:t xml:space="preserve"> </w:t>
      </w:r>
      <w:proofErr w:type="spellStart"/>
      <w:r>
        <w:rPr>
          <w:sz w:val="16"/>
        </w:rPr>
        <w:t>Disaste</w:t>
      </w:r>
      <w:r>
        <w:rPr>
          <w:sz w:val="16"/>
        </w:rPr>
        <w:t>r</w:t>
      </w:r>
      <w:proofErr w:type="spellEnd"/>
      <w:r>
        <w:rPr>
          <w:sz w:val="16"/>
        </w:rPr>
        <w:t xml:space="preserve"> </w:t>
      </w:r>
      <w:proofErr w:type="spellStart"/>
      <w:r>
        <w:rPr>
          <w:sz w:val="16"/>
        </w:rPr>
        <w:t>Risks</w:t>
      </w:r>
      <w:proofErr w:type="spellEnd"/>
      <w:r>
        <w:rPr>
          <w:sz w:val="16"/>
        </w:rPr>
        <w:t xml:space="preserve"> </w:t>
      </w:r>
      <w:proofErr w:type="spellStart"/>
      <w:r>
        <w:rPr>
          <w:sz w:val="16"/>
        </w:rPr>
        <w:t>the</w:t>
      </w:r>
      <w:proofErr w:type="spellEnd"/>
      <w:r>
        <w:rPr>
          <w:sz w:val="16"/>
        </w:rPr>
        <w:t xml:space="preserve"> </w:t>
      </w:r>
      <w:proofErr w:type="spellStart"/>
      <w:r>
        <w:rPr>
          <w:sz w:val="16"/>
        </w:rPr>
        <w:t>European</w:t>
      </w:r>
      <w:proofErr w:type="spellEnd"/>
      <w:r>
        <w:rPr>
          <w:sz w:val="16"/>
        </w:rPr>
        <w:t xml:space="preserve"> </w:t>
      </w:r>
      <w:proofErr w:type="spellStart"/>
      <w:r>
        <w:rPr>
          <w:sz w:val="16"/>
        </w:rPr>
        <w:t>Union</w:t>
      </w:r>
      <w:proofErr w:type="spellEnd"/>
      <w:r>
        <w:rPr>
          <w:sz w:val="16"/>
        </w:rPr>
        <w:t xml:space="preserve"> </w:t>
      </w:r>
      <w:proofErr w:type="spellStart"/>
      <w:r>
        <w:rPr>
          <w:sz w:val="16"/>
        </w:rPr>
        <w:t>may</w:t>
      </w:r>
      <w:proofErr w:type="spellEnd"/>
      <w:r>
        <w:rPr>
          <w:sz w:val="16"/>
        </w:rPr>
        <w:t xml:space="preserve"> </w:t>
      </w:r>
      <w:proofErr w:type="spellStart"/>
      <w:r>
        <w:rPr>
          <w:sz w:val="16"/>
        </w:rPr>
        <w:t>face</w:t>
      </w:r>
      <w:proofErr w:type="spellEnd"/>
      <w:r>
        <w:rPr>
          <w:sz w:val="16"/>
        </w:rPr>
        <w:t xml:space="preserve"> (Преглед на природните и предизвиканите от човека рискове от бедствия, с които Европейският съюз може да се сблъска), 23.5.2017 г., SWD (2017) 176 </w:t>
      </w:r>
      <w:proofErr w:type="spellStart"/>
      <w:r>
        <w:rPr>
          <w:sz w:val="16"/>
        </w:rPr>
        <w:t>final</w:t>
      </w:r>
      <w:proofErr w:type="spellEnd"/>
      <w:r>
        <w:rPr>
          <w:sz w:val="16"/>
        </w:rPr>
        <w:t>.</w:t>
      </w:r>
    </w:p>
  </w:footnote>
  <w:footnote w:id="8">
    <w:p w:rsidR="00271729" w:rsidRDefault="00AD0727">
      <w:pPr>
        <w:pStyle w:val="FootnoteText"/>
      </w:pPr>
      <w:r>
        <w:rPr>
          <w:rStyle w:val="FootnoteReference"/>
        </w:rPr>
        <w:footnoteRef/>
      </w:r>
      <w:r>
        <w:tab/>
      </w:r>
      <w:r>
        <w:rPr>
          <w:sz w:val="16"/>
        </w:rPr>
        <w:t>Доклад на Комисията до Европейския парламент и Съвета относно ме</w:t>
      </w:r>
      <w:r>
        <w:rPr>
          <w:sz w:val="16"/>
        </w:rPr>
        <w:t xml:space="preserve">ждинната оценка на Механизма за гражданска защита на Съюза за периода 2014—2016 г., 30.8.2017 г., COM (2017) 460 </w:t>
      </w:r>
      <w:proofErr w:type="spellStart"/>
      <w:r>
        <w:rPr>
          <w:sz w:val="16"/>
        </w:rPr>
        <w:t>final</w:t>
      </w:r>
      <w:proofErr w:type="spellEnd"/>
      <w:r>
        <w:rPr>
          <w:sz w:val="16"/>
        </w:rPr>
        <w:t>.</w:t>
      </w:r>
    </w:p>
  </w:footnote>
  <w:footnote w:id="9">
    <w:p w:rsidR="00271729" w:rsidRDefault="00AD0727">
      <w:pPr>
        <w:pStyle w:val="FootnoteText"/>
      </w:pPr>
      <w:r>
        <w:rPr>
          <w:rStyle w:val="FootnoteReference"/>
        </w:rPr>
        <w:footnoteRef/>
      </w:r>
      <w:r>
        <w:tab/>
      </w:r>
      <w:r>
        <w:rPr>
          <w:sz w:val="16"/>
        </w:rPr>
        <w:t>Бившата югославска република Македония, Исландия, Черна гора, Норвегия, Сърбия и Турция.</w:t>
      </w:r>
    </w:p>
  </w:footnote>
  <w:footnote w:id="10">
    <w:p w:rsidR="00271729" w:rsidRDefault="00AD0727">
      <w:pPr>
        <w:pStyle w:val="FootnoteText"/>
      </w:pPr>
      <w:r>
        <w:rPr>
          <w:rStyle w:val="FootnoteReference"/>
        </w:rPr>
        <w:footnoteRef/>
      </w:r>
      <w:r>
        <w:tab/>
      </w:r>
      <w:r>
        <w:rPr>
          <w:sz w:val="16"/>
        </w:rPr>
        <w:t>Следните заинтересовани страни предоставиха</w:t>
      </w:r>
      <w:r>
        <w:rPr>
          <w:sz w:val="16"/>
        </w:rPr>
        <w:t xml:space="preserve"> отговори: органите за гражданска защита от 26 участващи държави (онлайн проучвания); органите за гражданска защита от 17 участващи държави (интервюта); националните координатори на обученията от 21 участващи държави (онлайн проучвания); 137 експерти, учас</w:t>
      </w:r>
      <w:r>
        <w:rPr>
          <w:sz w:val="16"/>
        </w:rPr>
        <w:t>твали в програмата за обмен на експерти и 23 ръководители на проекти, финансирани чрез Механизма за гражданска защита на Съюза, от 13 участващи държави (онлайн проучвания); 14 международни партньори, включително агенции на ООН, ОИСР, Световната банка, Черв</w:t>
      </w:r>
      <w:r>
        <w:rPr>
          <w:sz w:val="16"/>
        </w:rPr>
        <w:t>ения кръст и др. (интервюта); 15 генерални дирекции и служби на ЕС (интервюта).</w:t>
      </w:r>
    </w:p>
  </w:footnote>
  <w:footnote w:id="11">
    <w:p w:rsidR="00271729" w:rsidRDefault="00AD0727">
      <w:pPr>
        <w:pStyle w:val="FootnoteText"/>
      </w:pPr>
      <w:r>
        <w:rPr>
          <w:rStyle w:val="FootnoteReference"/>
        </w:rPr>
        <w:footnoteRef/>
      </w:r>
      <w:r>
        <w:tab/>
      </w:r>
      <w:r>
        <w:rPr>
          <w:color w:val="000000"/>
          <w:sz w:val="16"/>
        </w:rPr>
        <w:t>Докладът е наличен на адрес:</w:t>
      </w:r>
      <w:r>
        <w:rPr>
          <w:color w:val="000000"/>
        </w:rPr>
        <w:t xml:space="preserve"> </w:t>
      </w:r>
      <w:hyperlink r:id="rId1">
        <w:r>
          <w:rPr>
            <w:rStyle w:val="Hyperlink"/>
          </w:rPr>
          <w:t>http://ec.europa.eu/echo/EUCPM-consult_en</w:t>
        </w:r>
      </w:hyperlink>
      <w:r>
        <w:t>.</w:t>
      </w:r>
    </w:p>
  </w:footnote>
  <w:footnote w:id="12">
    <w:p w:rsidR="00271729" w:rsidRDefault="00AD0727">
      <w:pPr>
        <w:autoSpaceDE w:val="0"/>
        <w:autoSpaceDN w:val="0"/>
        <w:adjustRightInd w:val="0"/>
        <w:spacing w:before="0" w:after="0"/>
        <w:jc w:val="left"/>
        <w:rPr>
          <w:sz w:val="16"/>
          <w:szCs w:val="16"/>
        </w:rPr>
      </w:pPr>
      <w:r>
        <w:rPr>
          <w:rStyle w:val="FootnoteReference"/>
        </w:rPr>
        <w:footnoteRef/>
      </w:r>
      <w:r>
        <w:tab/>
      </w:r>
      <w:r>
        <w:rPr>
          <w:sz w:val="16"/>
        </w:rPr>
        <w:t xml:space="preserve">Регламент (ЕС, </w:t>
      </w:r>
      <w:proofErr w:type="spellStart"/>
      <w:r>
        <w:rPr>
          <w:sz w:val="16"/>
        </w:rPr>
        <w:t>Евратом</w:t>
      </w:r>
      <w:proofErr w:type="spellEnd"/>
      <w:r>
        <w:rPr>
          <w:sz w:val="16"/>
        </w:rPr>
        <w:t>) № 966/2012 на Е</w:t>
      </w:r>
      <w:r>
        <w:rPr>
          <w:sz w:val="16"/>
        </w:rPr>
        <w:t xml:space="preserve">вропейския парламент и на Съвета от 25 октомври 2012 г. относно финансовите правила, приложими за общия бюджет на Съюза, и за отмяна на Регламент (ЕО, </w:t>
      </w:r>
      <w:proofErr w:type="spellStart"/>
      <w:r>
        <w:rPr>
          <w:sz w:val="16"/>
        </w:rPr>
        <w:t>Евратом</w:t>
      </w:r>
      <w:proofErr w:type="spellEnd"/>
      <w:r>
        <w:rPr>
          <w:sz w:val="16"/>
        </w:rPr>
        <w:t>) № 1605/2002 на Съвета (ОВ L 298, 26.10.2012 г., стр. 1).</w:t>
      </w:r>
    </w:p>
  </w:footnote>
  <w:footnote w:id="13">
    <w:p w:rsidR="00271729" w:rsidRDefault="00AD0727">
      <w:pPr>
        <w:pStyle w:val="FootnoteText"/>
      </w:pPr>
      <w:r>
        <w:rPr>
          <w:rStyle w:val="FootnoteReference"/>
        </w:rPr>
        <w:footnoteRef/>
      </w:r>
      <w:r>
        <w:tab/>
      </w:r>
      <w:r>
        <w:rPr>
          <w:sz w:val="16"/>
        </w:rPr>
        <w:t>Решение № 1313/2013/ЕС на Европейския</w:t>
      </w:r>
      <w:r>
        <w:rPr>
          <w:sz w:val="16"/>
        </w:rPr>
        <w:t xml:space="preserve"> парламент и на Съвета от 17 декември 2013 г. относно Механизъм за гражданска защита на Съюза (ОВ L 347, 20.12.2013 г., стр. 924).</w:t>
      </w:r>
    </w:p>
  </w:footnote>
  <w:footnote w:id="14">
    <w:p w:rsidR="00271729" w:rsidRDefault="00AD0727">
      <w:pPr>
        <w:pStyle w:val="FootnoteText"/>
      </w:pPr>
      <w:r>
        <w:rPr>
          <w:rStyle w:val="FootnoteReference"/>
        </w:rPr>
        <w:footnoteRef/>
      </w:r>
      <w:r>
        <w:tab/>
      </w:r>
      <w:r>
        <w:t xml:space="preserve">Регламент (ЕС) № 1303/2013 на Европейския парламент и на Съвета от 17 декември 2013 г. за определяне на </w:t>
      </w:r>
      <w:proofErr w:type="spellStart"/>
      <w:r>
        <w:t>общоприложими</w:t>
      </w:r>
      <w:proofErr w:type="spellEnd"/>
      <w:r>
        <w:t xml:space="preserve"> разпо</w:t>
      </w:r>
      <w:r>
        <w:t xml:space="preserve">редби за Европейския фонд за регионално развитие, Европейския социален фонд, </w:t>
      </w:r>
      <w:proofErr w:type="spellStart"/>
      <w:r>
        <w:t>Кохезионния</w:t>
      </w:r>
      <w:proofErr w:type="spellEnd"/>
      <w: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w:t>
      </w:r>
      <w:r>
        <w:t xml:space="preserve">а регионално развитие, Европейския социален фонд, </w:t>
      </w:r>
      <w:proofErr w:type="spellStart"/>
      <w:r>
        <w:t>Кохезионния</w:t>
      </w:r>
      <w:proofErr w:type="spellEnd"/>
      <w:r>
        <w:t xml:space="preserve"> фонд и Европейския фонд за морско дело и рибарство, и за отмяна на Регламент (ЕО) № 1083/2006 на Съвета (ОВ L 347, 20.12.2013 г., стр. 320).</w:t>
      </w:r>
    </w:p>
  </w:footnote>
  <w:footnote w:id="15">
    <w:p w:rsidR="00271729" w:rsidRDefault="00AD0727">
      <w:pPr>
        <w:pStyle w:val="FootnoteText"/>
      </w:pPr>
      <w:r>
        <w:rPr>
          <w:rStyle w:val="FootnoteReference"/>
        </w:rPr>
        <w:footnoteRef/>
      </w:r>
      <w:r>
        <w:tab/>
      </w:r>
      <w:r>
        <w:t xml:space="preserve">Регламент (ЕС, </w:t>
      </w:r>
      <w:proofErr w:type="spellStart"/>
      <w:r>
        <w:t>Евратом</w:t>
      </w:r>
      <w:proofErr w:type="spellEnd"/>
      <w:r>
        <w:t>) № 966/2012 на Европейския п</w:t>
      </w:r>
      <w:r>
        <w:t xml:space="preserve">арламент и на Съвета от 25 октомври 2012 г. относно финансовите правила, приложими за общия бюджет на Съюза, и за отмяна на Регламент (ЕО, </w:t>
      </w:r>
      <w:proofErr w:type="spellStart"/>
      <w:r>
        <w:t>Евратом</w:t>
      </w:r>
      <w:proofErr w:type="spellEnd"/>
      <w:r>
        <w:t>) № 1605/2002 на Съвета (ОВ L 298, 26.10.2012 г., стр. 1).</w:t>
      </w:r>
    </w:p>
  </w:footnote>
  <w:footnote w:id="16">
    <w:p w:rsidR="00271729" w:rsidRDefault="00AD0727">
      <w:pPr>
        <w:pStyle w:val="FootnoteText"/>
      </w:pPr>
      <w:r>
        <w:rPr>
          <w:rStyle w:val="FootnoteReference"/>
        </w:rPr>
        <w:footnoteRef/>
      </w:r>
      <w:r>
        <w:tab/>
      </w:r>
      <w:r>
        <w:t>Решение № 1082/2013/ЕС на Европейския парламент и</w:t>
      </w:r>
      <w:r>
        <w:t xml:space="preserve"> на Съвета от 22 октомври 2013 г. за сериозните трансгранични заплахи за здравето и за отмяна на Решение № 2119/98/ЕО (ОВ L 293, 5.11.2013 г., стр. 1).</w:t>
      </w:r>
    </w:p>
  </w:footnote>
  <w:footnote w:id="17">
    <w:p w:rsidR="00271729" w:rsidRDefault="00AD0727">
      <w:pPr>
        <w:pStyle w:val="FootnoteText"/>
        <w:rPr>
          <w:szCs w:val="24"/>
        </w:rPr>
      </w:pPr>
      <w:r>
        <w:rPr>
          <w:rStyle w:val="FootnoteReference"/>
        </w:rPr>
        <w:footnoteRef/>
      </w:r>
      <w:r>
        <w:tab/>
      </w:r>
      <w:r>
        <w:t xml:space="preserve">УД: управление по дейности; БД: </w:t>
      </w:r>
      <w:proofErr w:type="spellStart"/>
      <w:r>
        <w:t>бюджетиране</w:t>
      </w:r>
      <w:proofErr w:type="spellEnd"/>
      <w:r>
        <w:t xml:space="preserve"> по дейности.</w:t>
      </w:r>
    </w:p>
  </w:footnote>
  <w:footnote w:id="18">
    <w:p w:rsidR="00271729" w:rsidRDefault="00AD0727">
      <w:pPr>
        <w:pStyle w:val="FootnoteText"/>
        <w:rPr>
          <w:szCs w:val="24"/>
        </w:rPr>
      </w:pPr>
      <w:r>
        <w:rPr>
          <w:rStyle w:val="FootnoteReference"/>
        </w:rPr>
        <w:footnoteRef/>
      </w:r>
      <w:r>
        <w:tab/>
      </w:r>
      <w:r>
        <w:t xml:space="preserve">Съгласно член 54, параграф 2, буква а) или </w:t>
      </w:r>
      <w:r>
        <w:t>б) от Финансовия регламент.</w:t>
      </w:r>
    </w:p>
  </w:footnote>
  <w:footnote w:id="19">
    <w:p w:rsidR="00271729" w:rsidRDefault="00AD0727">
      <w:pPr>
        <w:pStyle w:val="FootnoteText"/>
        <w:rPr>
          <w:szCs w:val="24"/>
        </w:rPr>
      </w:pPr>
      <w:r>
        <w:rPr>
          <w:rStyle w:val="FootnoteReference"/>
        </w:rPr>
        <w:footnoteRef/>
      </w:r>
      <w:r>
        <w:tab/>
      </w:r>
      <w:r>
        <w:t xml:space="preserve">Подробности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2">
        <w:r>
          <w:rPr>
            <w:rStyle w:val="Hyperlink"/>
            <w:sz w:val="18"/>
          </w:rPr>
          <w:t>http://www.cc.cec/b</w:t>
        </w:r>
        <w:r>
          <w:rPr>
            <w:rStyle w:val="Hyperlink"/>
            <w:sz w:val="18"/>
          </w:rPr>
          <w:t>udg/man/budgmanag/budgmanag_en.html</w:t>
        </w:r>
      </w:hyperlink>
    </w:p>
  </w:footnote>
  <w:footnote w:id="20">
    <w:p w:rsidR="00271729" w:rsidRDefault="00AD0727">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21">
    <w:p w:rsidR="00271729" w:rsidRDefault="00AD0727">
      <w:pPr>
        <w:pStyle w:val="FootnoteText"/>
        <w:rPr>
          <w:szCs w:val="24"/>
        </w:rPr>
      </w:pPr>
      <w:r>
        <w:rPr>
          <w:rStyle w:val="FootnoteReference"/>
        </w:rPr>
        <w:footnoteRef/>
      </w:r>
      <w:r>
        <w:tab/>
      </w:r>
      <w:r>
        <w:t xml:space="preserve">ЕАСТ: Европейска асоциация за свободна търговия. </w:t>
      </w:r>
    </w:p>
  </w:footnote>
  <w:footnote w:id="22">
    <w:p w:rsidR="00271729" w:rsidRDefault="00AD0727">
      <w:pPr>
        <w:pStyle w:val="FootnoteText"/>
        <w:rPr>
          <w:szCs w:val="24"/>
        </w:rPr>
      </w:pPr>
      <w:r>
        <w:rPr>
          <w:rStyle w:val="FootnoteReference"/>
        </w:rPr>
        <w:footnoteRef/>
      </w:r>
      <w:r>
        <w:tab/>
      </w:r>
      <w:r>
        <w:t>Държави кандидатки и, ако е приложимо, държави потенциални кандидатки от Западн</w:t>
      </w:r>
      <w:r>
        <w:t>ите Балкани.</w:t>
      </w:r>
    </w:p>
  </w:footnote>
  <w:footnote w:id="23">
    <w:p w:rsidR="00271729" w:rsidRDefault="00AD0727">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4">
    <w:p w:rsidR="00271729" w:rsidRDefault="00AD0727">
      <w:pPr>
        <w:pStyle w:val="FootnoteText"/>
        <w:rPr>
          <w:szCs w:val="24"/>
        </w:rPr>
      </w:pPr>
      <w:r>
        <w:rPr>
          <w:rStyle w:val="FootnoteReference"/>
        </w:rPr>
        <w:footnoteRef/>
      </w:r>
      <w:r>
        <w:tab/>
      </w:r>
      <w:r>
        <w:t>Техническа и/или административна помощ и разходи в п</w:t>
      </w:r>
      <w:r>
        <w:t>одкрепа на изпълнението на програми и/или дейности на ЕС (предишни редове „BA“), непреки научни изследвания, преки научни изследвания.</w:t>
      </w:r>
    </w:p>
  </w:footnote>
  <w:footnote w:id="25">
    <w:p w:rsidR="00271729" w:rsidRDefault="00AD0727">
      <w:pPr>
        <w:pStyle w:val="FootnoteText"/>
      </w:pPr>
      <w:r>
        <w:rPr>
          <w:rStyle w:val="FootnoteReference"/>
        </w:rPr>
        <w:footnoteRef/>
      </w:r>
      <w:r>
        <w:tab/>
      </w:r>
      <w:r>
        <w:t>Резултатите са продуктите и услугите, които ще бъдат доставени (напр. брой финансирани обмени на учащи се, дължина на п</w:t>
      </w:r>
      <w:r>
        <w:t>остроените пътища в километри и т.н.).</w:t>
      </w:r>
    </w:p>
  </w:footnote>
  <w:footnote w:id="26">
    <w:p w:rsidR="00271729" w:rsidRDefault="00AD0727">
      <w:pPr>
        <w:pStyle w:val="FootnoteText"/>
      </w:pPr>
      <w:r>
        <w:rPr>
          <w:rStyle w:val="FootnoteReference"/>
        </w:rPr>
        <w:footnoteRef/>
      </w:r>
      <w:r>
        <w:tab/>
      </w:r>
      <w:r>
        <w:t>Съгласно описанието в част 1.4.2. „Конкретни цели…“.</w:t>
      </w:r>
    </w:p>
  </w:footnote>
  <w:footnote w:id="27">
    <w:p w:rsidR="00271729" w:rsidRDefault="00AD0727">
      <w:pPr>
        <w:pStyle w:val="FootnoteText"/>
      </w:pPr>
      <w:r>
        <w:rPr>
          <w:rStyle w:val="FootnoteReference"/>
        </w:rPr>
        <w:footnoteRef/>
      </w:r>
      <w:r>
        <w:tab/>
      </w:r>
      <w:r>
        <w:t>Съгласно описанието в част 1.4.2. „Конкретни цели…“.</w:t>
      </w:r>
    </w:p>
  </w:footnote>
  <w:footnote w:id="28">
    <w:p w:rsidR="00271729" w:rsidRDefault="00AD0727">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w:t>
      </w:r>
      <w:r>
        <w:t xml:space="preserve"> ЕС (предишни редове „BA“), непреки научни изследвания, преки научни изследвания.</w:t>
      </w:r>
    </w:p>
  </w:footnote>
  <w:footnote w:id="29">
    <w:p w:rsidR="00271729" w:rsidRDefault="00AD0727">
      <w:pPr>
        <w:pStyle w:val="FootnoteText"/>
      </w:pPr>
      <w:r>
        <w:rPr>
          <w:rStyle w:val="FootnoteReference"/>
        </w:rPr>
        <w:footnoteRef/>
      </w:r>
      <w:r>
        <w:tab/>
      </w:r>
      <w:r>
        <w:t>ДНП = договорно нает персонал; ПНА = персонал, нает чрез агенции за временна заетост („</w:t>
      </w:r>
      <w:proofErr w:type="spellStart"/>
      <w:r>
        <w:rPr>
          <w:i/>
        </w:rPr>
        <w:t>Intérimaire</w:t>
      </w:r>
      <w:proofErr w:type="spellEnd"/>
      <w:r>
        <w:rPr>
          <w:i/>
        </w:rPr>
        <w:t>“)</w:t>
      </w:r>
      <w:r>
        <w:t>; МЕД = младши експерт в делегация („</w:t>
      </w:r>
      <w:proofErr w:type="spellStart"/>
      <w:r>
        <w:rPr>
          <w:i/>
        </w:rPr>
        <w:t>Jeune</w:t>
      </w:r>
      <w:proofErr w:type="spellEnd"/>
      <w:r>
        <w:rPr>
          <w:i/>
        </w:rPr>
        <w:t xml:space="preserve"> Expert </w:t>
      </w:r>
      <w:proofErr w:type="spellStart"/>
      <w:r>
        <w:rPr>
          <w:i/>
        </w:rPr>
        <w:t>en</w:t>
      </w:r>
      <w:proofErr w:type="spellEnd"/>
      <w:r>
        <w:rPr>
          <w:i/>
        </w:rPr>
        <w:t xml:space="preserve"> </w:t>
      </w:r>
      <w:proofErr w:type="spellStart"/>
      <w:r>
        <w:rPr>
          <w:i/>
        </w:rPr>
        <w:t>Délégation</w:t>
      </w:r>
      <w:proofErr w:type="spellEnd"/>
      <w:r>
        <w:rPr>
          <w:i/>
        </w:rPr>
        <w:t>“</w:t>
      </w:r>
      <w:r>
        <w:t xml:space="preserve">); МП = местен персонал; КНЕ = командирован национален експерт. </w:t>
      </w:r>
    </w:p>
  </w:footnote>
  <w:footnote w:id="30">
    <w:p w:rsidR="00271729" w:rsidRDefault="00AD0727">
      <w:pPr>
        <w:pStyle w:val="FootnoteText"/>
      </w:pPr>
      <w:r>
        <w:rPr>
          <w:rStyle w:val="FootnoteReference"/>
        </w:rPr>
        <w:footnoteRef/>
      </w:r>
      <w:r>
        <w:tab/>
      </w:r>
      <w:r>
        <w:t>Под тавана за външния персонал от бюджетните кредити за оперативни разходи (предишни редове „BA“).</w:t>
      </w:r>
    </w:p>
  </w:footnote>
  <w:footnote w:id="31">
    <w:p w:rsidR="00271729" w:rsidRDefault="00AD0727">
      <w:pPr>
        <w:pStyle w:val="FootnoteText"/>
      </w:pPr>
      <w:r>
        <w:rPr>
          <w:rStyle w:val="FootnoteReference"/>
        </w:rPr>
        <w:footnoteRef/>
      </w:r>
      <w:r>
        <w:tab/>
      </w:r>
      <w:r>
        <w:t>Основно за структурните фондове, Европейския земеделски фонд за развитие на селските рай</w:t>
      </w:r>
      <w:r>
        <w:t>они (ЕЗФРСР) и Европейския фонд за рибарство (ЕФР).</w:t>
      </w:r>
    </w:p>
  </w:footnote>
  <w:footnote w:id="32">
    <w:p w:rsidR="00271729" w:rsidRDefault="00AD0727">
      <w:pPr>
        <w:pStyle w:val="FootnoteText"/>
        <w:rPr>
          <w:szCs w:val="24"/>
        </w:rPr>
      </w:pPr>
      <w:r>
        <w:rPr>
          <w:rStyle w:val="FootnoteReference"/>
        </w:rPr>
        <w:footnoteRef/>
      </w:r>
      <w:r>
        <w:tab/>
      </w:r>
      <w:r>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29" w:rsidRDefault="00271729" w:rsidP="002C541A">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1A" w:rsidRPr="002C541A" w:rsidRDefault="002C541A" w:rsidP="002C541A">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729" w:rsidRDefault="00271729" w:rsidP="002C54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1A" w:rsidRPr="002C541A" w:rsidRDefault="002C541A" w:rsidP="002C5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962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96FA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01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7699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2258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7A0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B068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EEE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1"/>
    <w:lvlOverride w:ilvl="0">
      <w:startOverride w:val="1"/>
    </w:lvlOverride>
  </w:num>
  <w:num w:numId="11">
    <w:abstractNumId w:val="8"/>
  </w:num>
  <w:num w:numId="12">
    <w:abstractNumId w:val="17"/>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23"/>
  </w:num>
  <w:num w:numId="18">
    <w:abstractNumId w:val="12"/>
  </w:num>
  <w:num w:numId="19">
    <w:abstractNumId w:val="14"/>
  </w:num>
  <w:num w:numId="20">
    <w:abstractNumId w:val="10"/>
  </w:num>
  <w:num w:numId="21">
    <w:abstractNumId w:val="22"/>
  </w:num>
  <w:num w:numId="22">
    <w:abstractNumId w:val="9"/>
  </w:num>
  <w:num w:numId="23">
    <w:abstractNumId w:val="15"/>
  </w:num>
  <w:num w:numId="24">
    <w:abstractNumId w:val="19"/>
  </w:num>
  <w:num w:numId="25">
    <w:abstractNumId w:val="20"/>
  </w:num>
  <w:num w:numId="26">
    <w:abstractNumId w:val="11"/>
  </w:num>
  <w:num w:numId="27">
    <w:abstractNumId w:val="18"/>
  </w:num>
  <w:num w:numId="28">
    <w:abstractNumId w:val="24"/>
  </w:num>
  <w:num w:numId="29">
    <w:abstractNumId w:val="21"/>
  </w:num>
  <w:num w:numId="30">
    <w:abstractNumId w:val="13"/>
  </w:num>
  <w:num w:numId="31">
    <w:abstractNumId w:val="23"/>
  </w:num>
  <w:num w:numId="32">
    <w:abstractNumId w:val="12"/>
  </w:num>
  <w:num w:numId="33">
    <w:abstractNumId w:val="14"/>
  </w:num>
  <w:num w:numId="34">
    <w:abstractNumId w:val="10"/>
  </w:num>
  <w:num w:numId="35">
    <w:abstractNumId w:val="22"/>
  </w:num>
  <w:num w:numId="36">
    <w:abstractNumId w:val="9"/>
  </w:num>
  <w:num w:numId="37">
    <w:abstractNumId w:val="15"/>
  </w:num>
  <w:num w:numId="38">
    <w:abstractNumId w:val="19"/>
  </w:num>
  <w:num w:numId="39">
    <w:abstractNumId w:val="20"/>
  </w:num>
  <w:num w:numId="40">
    <w:abstractNumId w:val="11"/>
  </w:num>
  <w:num w:numId="41">
    <w:abstractNumId w:val="18"/>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9 15:52:4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5"/>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1"/>
    <w:docVar w:name="DQCStatus" w:val="Yellow"/>
    <w:docVar w:name="DQCVersion" w:val="3"/>
    <w:docVar w:name="DQCWithWarnings" w:val="0"/>
    <w:docVar w:name="LW_CORRIGENDUM" w:val="This document corrects document COM(2017) 772 final of 23/11/2017_x000b_Concerns all language versions_x000b_In Article 1, correction of the numbering as from point 4 (erroneously repeated on p. 15)._x000b_In point 4 of Article 1, point (b) is corrected and point (c) is integrated in point (b) as third subparagraph_x000b_The text shall read as follows"/>
    <w:docVar w:name="LW_COVERPAGE_EXISTS" w:val="True"/>
    <w:docVar w:name="LW_COVERPAGE_GUID" w:val="063CE59D-1EBD-41C4-98A3-18F7B76B07E4"/>
    <w:docVar w:name="LW_COVERPAGE_TYPE" w:val="1"/>
    <w:docVar w:name="LW_CROSSREFERENCE" w:val="&lt;UNUSED&gt;"/>
    <w:docVar w:name="LW_DocType" w:val="COM"/>
    <w:docVar w:name="LW_EMISSION" w:val="19.2.2018"/>
    <w:docVar w:name="LW_EMISSION_ISODATE" w:val="2018-02-19"/>
    <w:docVar w:name="LW_EMISSION_LOCATION" w:val="BRX"/>
    <w:docVar w:name="LW_EMISSION_PREFIX" w:val="\u1041?\u1088?\u1102?\u1082?\u1089?\u1077?\u1083?,"/>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9"/>
    <w:docVar w:name="LW_REF.II.NEW.CP_YEAR" w:val="2017"/>
    <w:docVar w:name="LW_REF.INST.NEW" w:val="COM"/>
    <w:docVar w:name="LW_REF.INST.NEW_ADOPTED" w:val="final/2"/>
    <w:docVar w:name="LW_REF.INST.NEW_TEXT" w:val="(2017) 7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8470? 1313/2013/\u1045?\u1057? \u1086?\u1090?\u1085?\u1086?\u1089?\u1085?\u1086? \u1052?\u1077?\u1093?\u1072?\u1085?\u1080?\u1079?\u1098?\u1084? \u1079?\u1072? \u1075?\u1088?\u1072?\u1078?\u1076?\u1072?\u1085?\u1089?\u1082?\u1072? \u1079?\u1072?\u1097?\u1080?\u1090?\u1072? \u1085?\u1072? \u1057?\u1098?\u1102?\u1079?\u1072?"/>
    <w:docVar w:name="LW_TYPE.DOC.CP" w:val="\u1056?\u1045?\u1064?\u1045?\u1053?\u1048?\u1045? \u1053?\u1040? \u1045?\u1042?\u1056?\u1054?\u1055?\u1045?\u1049?\u1057?\u1050?\u1048?\u1071? \u1055?\u1040?\u1056?\u1051?\u1040?\u1052?\u1045?\u1053?\u1058? \u1048? \u1053?\u1040? \u1057?\u1066?\u1042?\u1045?\u1058?\u1040?"/>
  </w:docVars>
  <w:rsids>
    <w:rsidRoot w:val="00271729"/>
    <w:rsid w:val="00271729"/>
    <w:rsid w:val="002C541A"/>
    <w:rsid w:val="00AD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2">
    <w:name w:val="normal2"/>
    <w:basedOn w:val="Normal"/>
    <w:pPr>
      <w:spacing w:after="0" w:line="312" w:lineRule="atLeast"/>
    </w:pPr>
    <w:rPr>
      <w:rFonts w:eastAsia="Times New Roman"/>
      <w:szCs w:val="24"/>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bg-BG" w:eastAsia="bg-BG"/>
    </w:rPr>
  </w:style>
  <w:style w:type="paragraph" w:styleId="Header">
    <w:name w:val="header"/>
    <w:basedOn w:val="Normal"/>
    <w:link w:val="HeaderChar"/>
    <w:uiPriority w:val="99"/>
    <w:unhideWhenUsed/>
    <w:rsid w:val="002C541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C541A"/>
    <w:rPr>
      <w:rFonts w:ascii="Times New Roman" w:hAnsi="Times New Roman" w:cs="Times New Roman"/>
      <w:sz w:val="24"/>
      <w:lang w:eastAsia="en-US" w:bidi="ar-SA"/>
    </w:rPr>
  </w:style>
  <w:style w:type="paragraph" w:styleId="Footer">
    <w:name w:val="footer"/>
    <w:basedOn w:val="Normal"/>
    <w:link w:val="FooterChar"/>
    <w:uiPriority w:val="99"/>
    <w:unhideWhenUsed/>
    <w:rsid w:val="002C541A"/>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C541A"/>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C541A"/>
    <w:pPr>
      <w:tabs>
        <w:tab w:val="center" w:pos="7285"/>
        <w:tab w:val="right" w:pos="14003"/>
      </w:tabs>
      <w:spacing w:before="0"/>
    </w:pPr>
    <w:rPr>
      <w:lang w:eastAsia="en-US" w:bidi="ar-SA"/>
    </w:rPr>
  </w:style>
  <w:style w:type="paragraph" w:customStyle="1" w:styleId="FooterLandscape">
    <w:name w:val="FooterLandscape"/>
    <w:basedOn w:val="Normal"/>
    <w:rsid w:val="002C541A"/>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C541A"/>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C541A"/>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normal2">
    <w:name w:val="normal2"/>
    <w:basedOn w:val="Normal"/>
    <w:pPr>
      <w:spacing w:after="0" w:line="312" w:lineRule="atLeast"/>
    </w:pPr>
    <w:rPr>
      <w:rFonts w:eastAsia="Times New Roman"/>
      <w:szCs w:val="24"/>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bg-BG" w:eastAsia="bg-BG"/>
    </w:rPr>
  </w:style>
  <w:style w:type="paragraph" w:styleId="Header">
    <w:name w:val="header"/>
    <w:basedOn w:val="Normal"/>
    <w:link w:val="HeaderChar"/>
    <w:uiPriority w:val="99"/>
    <w:unhideWhenUsed/>
    <w:rsid w:val="002C541A"/>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2C541A"/>
    <w:rPr>
      <w:rFonts w:ascii="Times New Roman" w:hAnsi="Times New Roman" w:cs="Times New Roman"/>
      <w:sz w:val="24"/>
      <w:lang w:eastAsia="en-US" w:bidi="ar-SA"/>
    </w:rPr>
  </w:style>
  <w:style w:type="paragraph" w:styleId="Footer">
    <w:name w:val="footer"/>
    <w:basedOn w:val="Normal"/>
    <w:link w:val="FooterChar"/>
    <w:uiPriority w:val="99"/>
    <w:unhideWhenUsed/>
    <w:rsid w:val="002C541A"/>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2C541A"/>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C541A"/>
    <w:pPr>
      <w:tabs>
        <w:tab w:val="center" w:pos="7285"/>
        <w:tab w:val="right" w:pos="14003"/>
      </w:tabs>
      <w:spacing w:before="0"/>
    </w:pPr>
    <w:rPr>
      <w:lang w:eastAsia="en-US" w:bidi="ar-SA"/>
    </w:rPr>
  </w:style>
  <w:style w:type="paragraph" w:customStyle="1" w:styleId="FooterLandscape">
    <w:name w:val="FooterLandscape"/>
    <w:basedOn w:val="Normal"/>
    <w:rsid w:val="002C541A"/>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C541A"/>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2C541A"/>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c.europa.eu/echo/EUCPM-consul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668F-BCB1-4C4E-AA8D-87E4365A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46</Pages>
  <Words>12228</Words>
  <Characters>71164</Characters>
  <Application>Microsoft Office Word</Application>
  <DocSecurity>0</DocSecurity>
  <Lines>2291</Lines>
  <Paragraphs>991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20</cp:revision>
  <cp:lastPrinted>2018-02-08T15:51:00Z</cp:lastPrinted>
  <dcterms:created xsi:type="dcterms:W3CDTF">2018-02-14T13:08:00Z</dcterms:created>
  <dcterms:modified xsi:type="dcterms:W3CDTF">2018-02-19T16:00:00Z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