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C36" w:rsidRDefault="00B97963" w:rsidP="00B97963">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A0EE70F9-538A-4D18-A7C5-58853C3679EE" style="width:450.7pt;height:446.05pt">
            <v:imagedata r:id="rId9" o:title=""/>
          </v:shape>
        </w:pict>
      </w:r>
    </w:p>
    <w:p w:rsidR="00824C36" w:rsidRDefault="00824C36">
      <w:pPr>
        <w:rPr>
          <w:noProof/>
        </w:rPr>
        <w:sectPr w:rsidR="00824C36" w:rsidSect="00B97963">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824C36" w:rsidRDefault="00B97963">
      <w:pPr>
        <w:pStyle w:val="Exposdesmotifstitre"/>
        <w:rPr>
          <w:noProof/>
        </w:rPr>
      </w:pPr>
      <w:r>
        <w:rPr>
          <w:noProof/>
        </w:rPr>
        <w:lastRenderedPageBreak/>
        <w:t>EXPOSÉ DES MOTIFS</w:t>
      </w:r>
    </w:p>
    <w:p w:rsidR="00824C36" w:rsidRDefault="00B97963">
      <w:pPr>
        <w:pStyle w:val="ManualHeading1"/>
        <w:rPr>
          <w:noProof/>
        </w:rPr>
      </w:pPr>
      <w:r>
        <w:rPr>
          <w:noProof/>
        </w:rPr>
        <w:t>1.</w:t>
      </w:r>
      <w:r>
        <w:rPr>
          <w:noProof/>
        </w:rPr>
        <w:tab/>
        <w:t>CONTEXTE DE LA PROPOSITION</w:t>
      </w:r>
    </w:p>
    <w:p w:rsidR="00824C36" w:rsidRDefault="00B97963">
      <w:pPr>
        <w:pStyle w:val="ManualHeading2"/>
        <w:rPr>
          <w:rFonts w:eastAsia="Arial Unicode MS"/>
          <w:noProof/>
        </w:rPr>
      </w:pPr>
      <w:r>
        <w:rPr>
          <w:noProof/>
        </w:rPr>
        <w:t>•</w:t>
      </w:r>
      <w:r>
        <w:rPr>
          <w:noProof/>
        </w:rPr>
        <w:tab/>
        <w:t>Justification et objectifs de la proposition</w:t>
      </w:r>
    </w:p>
    <w:p w:rsidR="00824C36" w:rsidRDefault="00B97963">
      <w:pPr>
        <w:pBdr>
          <w:top w:val="nil"/>
          <w:left w:val="nil"/>
          <w:bottom w:val="nil"/>
          <w:right w:val="nil"/>
          <w:between w:val="nil"/>
          <w:bar w:val="nil"/>
        </w:pBdr>
        <w:spacing w:before="0" w:after="240"/>
        <w:rPr>
          <w:noProof/>
        </w:rPr>
      </w:pPr>
      <w:r>
        <w:rPr>
          <w:noProof/>
        </w:rPr>
        <w:t xml:space="preserve">La proposition a pour objet d’apporter certaines </w:t>
      </w:r>
      <w:r>
        <w:rPr>
          <w:noProof/>
        </w:rPr>
        <w:t>modifications ciblées à la décision n° 1313/2013/UE du Conseil (ci-après la «décision») relative au mécanisme de protection civile de l'Union (ci-après le «mécanisme de l’Union»), en vertu de laquelle l’Union européenne soutient, coordonne et complète l’ac</w:t>
      </w:r>
      <w:r>
        <w:rPr>
          <w:noProof/>
        </w:rPr>
        <w:t>tion menée par les États membres dans le domaine de la protection civile pour prévenir les catastrophes naturelles et d'origine humaine, s'y préparer et y réagir dans l’Union et en dehors. S'appuyant sur les principes de solidarité et de responsabilité par</w:t>
      </w:r>
      <w:r>
        <w:rPr>
          <w:noProof/>
        </w:rPr>
        <w:t>tagée, la présente proposition a pour objectif général de faire en sorte que l’Union puisse apporter une aide plus efficace à ses citoyens en cas de crise et d’urgence en Europe et au-delà. La proposition reconnaît que les efforts de prévention des catastr</w:t>
      </w:r>
      <w:r>
        <w:rPr>
          <w:noProof/>
        </w:rPr>
        <w:t>ophes sont essentiels pour réduire les besoins en aide en cas de crise et d’urgence.</w:t>
      </w:r>
    </w:p>
    <w:p w:rsidR="00824C36" w:rsidRDefault="00B97963">
      <w:pPr>
        <w:pBdr>
          <w:top w:val="nil"/>
          <w:left w:val="nil"/>
          <w:bottom w:val="nil"/>
          <w:right w:val="nil"/>
          <w:between w:val="nil"/>
          <w:bar w:val="nil"/>
        </w:pBdr>
        <w:spacing w:before="0" w:after="240"/>
        <w:rPr>
          <w:noProof/>
        </w:rPr>
      </w:pPr>
      <w:r>
        <w:rPr>
          <w:noProof/>
        </w:rPr>
        <w:t>Selon l’évaluation intermédiaire du MPCU</w:t>
      </w:r>
      <w:r>
        <w:rPr>
          <w:rStyle w:val="FootnoteReference"/>
          <w:noProof/>
        </w:rPr>
        <w:footnoteReference w:id="2"/>
      </w:r>
      <w:r>
        <w:rPr>
          <w:noProof/>
        </w:rPr>
        <w:t xml:space="preserve">, prévue à l’article 34 de la décision n° 1313/2013/UE et réalisée récemment, et d’autres évaluations des performances telles que </w:t>
      </w:r>
      <w:r>
        <w:rPr>
          <w:noProof/>
        </w:rPr>
        <w:t>l’examen du MPCU par la Cour des comptes européenne</w:t>
      </w:r>
      <w:r>
        <w:rPr>
          <w:rStyle w:val="FootnoteReference"/>
          <w:noProof/>
        </w:rPr>
        <w:footnoteReference w:id="3"/>
      </w:r>
      <w:r>
        <w:rPr>
          <w:noProof/>
        </w:rPr>
        <w:t>, le mécanisme de l’Union s’est révélé être un instrument utile pour mobiliser et coordonner l’aide fournie par les États participants face aux crises survenant dans et en dehors de l’Union et constitue u</w:t>
      </w:r>
      <w:r>
        <w:rPr>
          <w:noProof/>
        </w:rPr>
        <w:t>ne preuve concrète de la solidarité européenne. Néanmoins, certaines conclusions extraites de ces documents, de même que des éléments complémentaires ont permis de cerner des domaines dans lesquels des modifications législatives se justifient. À cet égard,</w:t>
      </w:r>
      <w:r>
        <w:rPr>
          <w:noProof/>
        </w:rPr>
        <w:t xml:space="preserve"> l’expérience pratique a été l’un des principaux aspects pris en compte et l’un des grands facteurs qui ont conduit à la présente initiative, dans la mesure où elle a permis de mettre en évidence les limites du cadre actuel.</w:t>
      </w:r>
    </w:p>
    <w:p w:rsidR="00824C36" w:rsidRDefault="00B97963">
      <w:pPr>
        <w:pBdr>
          <w:top w:val="nil"/>
          <w:left w:val="nil"/>
          <w:bottom w:val="nil"/>
          <w:right w:val="nil"/>
          <w:between w:val="nil"/>
          <w:bar w:val="nil"/>
        </w:pBdr>
        <w:spacing w:before="0" w:after="240"/>
        <w:rPr>
          <w:noProof/>
        </w:rPr>
      </w:pPr>
      <w:r>
        <w:rPr>
          <w:noProof/>
        </w:rPr>
        <w:t>Depuis 2013, l’Union a dû faire</w:t>
      </w:r>
      <w:r>
        <w:rPr>
          <w:noProof/>
        </w:rPr>
        <w:t xml:space="preserve"> face à un grand nombre de catastrophes qui ont entraîné des pertes humaines tragiques et eu d’autres conséquences néfastes pour les citoyens, les entreprises, les communautés et l’environnement. Plus concrètement, plusieurs catastrophes récentes, notammen</w:t>
      </w:r>
      <w:r>
        <w:rPr>
          <w:noProof/>
        </w:rPr>
        <w:t xml:space="preserve">t l’impact humanitaire de la crise des réfugiés et des migrants, le manque de moyens disponibles lors des saisons d’incendies de forêts de 2016 et 2017, cette dernière ayant été particulièrement longue et intense, causant la mort de plus de 100 personnes, </w:t>
      </w:r>
      <w:r>
        <w:rPr>
          <w:noProof/>
        </w:rPr>
        <w:t>et les graves conséquences d’une série d’ouragans dans les Caraïbes et de fortes tempêtes et inondations dans l’UE, ont constitué un véritable test de résistance pour le MPCU. Ce dernier a été particulièrement mis à l’épreuve lors des urgences de grande am</w:t>
      </w:r>
      <w:r>
        <w:rPr>
          <w:noProof/>
        </w:rPr>
        <w:t xml:space="preserve">pleur qui ont frappé simultanément plusieurs États membres. Dans ces circonstances, le caractère volontaire des contributions apportées par les États membres pour faire face aux catastrophes a trop souvent montré ses limites et les déficits dont souffrent </w:t>
      </w:r>
      <w:r>
        <w:rPr>
          <w:noProof/>
        </w:rPr>
        <w:t>certaines capacités de réaction critiques, décrits dans le rapport sur les déficits de capacités publié au début de 2017</w:t>
      </w:r>
      <w:r>
        <w:rPr>
          <w:rStyle w:val="FootnoteReference"/>
          <w:noProof/>
        </w:rPr>
        <w:footnoteReference w:id="4"/>
      </w:r>
      <w:r>
        <w:rPr>
          <w:noProof/>
        </w:rPr>
        <w:t xml:space="preserve">, sont devenus par trop manifestes. L’exemple le plus frappant dans ce contexte a été l’impossibilité, pour la </w:t>
      </w:r>
      <w:r>
        <w:rPr>
          <w:noProof/>
        </w:rPr>
        <w:lastRenderedPageBreak/>
        <w:t>capacité collective de l</w:t>
      </w:r>
      <w:r>
        <w:rPr>
          <w:noProof/>
        </w:rPr>
        <w:t>’UE, de répondre à l’ensemble des 17 demandes d'aide pour lutter contre des incendies de forêts, dont dix seulement ont pu être satisfaites, parfois avec des retards qui ont réduit la vitesse de réaction.</w:t>
      </w:r>
    </w:p>
    <w:p w:rsidR="00824C36" w:rsidRDefault="00B97963">
      <w:pPr>
        <w:pBdr>
          <w:top w:val="nil"/>
          <w:left w:val="nil"/>
          <w:bottom w:val="nil"/>
          <w:right w:val="nil"/>
          <w:between w:val="nil"/>
          <w:bar w:val="nil"/>
        </w:pBdr>
        <w:spacing w:before="0" w:after="240"/>
        <w:rPr>
          <w:noProof/>
        </w:rPr>
      </w:pPr>
      <w:r>
        <w:rPr>
          <w:noProof/>
        </w:rPr>
        <w:t>Dans ce contexte, il existe de solides raisons de p</w:t>
      </w:r>
      <w:r>
        <w:rPr>
          <w:noProof/>
        </w:rPr>
        <w:t>rocéder à une révision ciblée de la législation actuelle relative au MPCU afin d'apporter des solutions aux principaux problèmes auxquels ce mécanisme se heurte aujourd'hui. Concrètement, les modifications contenues dans la présente proposition visent à at</w:t>
      </w:r>
      <w:r>
        <w:rPr>
          <w:noProof/>
        </w:rPr>
        <w:t>teindre les objectifs suivants:</w:t>
      </w:r>
    </w:p>
    <w:p w:rsidR="00824C36" w:rsidRDefault="00B97963">
      <w:pPr>
        <w:pBdr>
          <w:top w:val="nil"/>
          <w:left w:val="nil"/>
          <w:bottom w:val="nil"/>
          <w:right w:val="nil"/>
          <w:between w:val="nil"/>
          <w:bar w:val="nil"/>
        </w:pBdr>
        <w:spacing w:before="0" w:after="240"/>
        <w:rPr>
          <w:noProof/>
        </w:rPr>
      </w:pPr>
      <w:r>
        <w:rPr>
          <w:noProof/>
        </w:rPr>
        <w:t>a) améliorer l’efficacité des actions de prévention dans le cadre du cycle de gestion des risques de catastrophes et renforcer les liens avec d’autres grandes politiques de l’UE qui contribuent à la prévention des catastroph</w:t>
      </w:r>
      <w:r>
        <w:rPr>
          <w:noProof/>
        </w:rPr>
        <w:t>es et à la réaction à celles-ci;</w:t>
      </w:r>
    </w:p>
    <w:p w:rsidR="00824C36" w:rsidRDefault="00B97963">
      <w:pPr>
        <w:pBdr>
          <w:top w:val="nil"/>
          <w:left w:val="nil"/>
          <w:bottom w:val="nil"/>
          <w:right w:val="nil"/>
          <w:between w:val="nil"/>
          <w:bar w:val="nil"/>
        </w:pBdr>
        <w:spacing w:before="0" w:after="240"/>
        <w:rPr>
          <w:noProof/>
        </w:rPr>
      </w:pPr>
      <w:r>
        <w:rPr>
          <w:noProof/>
        </w:rPr>
        <w:t>b) renforcer la capacité collective de l’Union et des États membres à réagir aux catastrophes et à remédier aux déficits de capacité récurrents et émergents, principalement en créant, au niveau de l’Union, une réserve spéci</w:t>
      </w:r>
      <w:r>
        <w:rPr>
          <w:noProof/>
        </w:rPr>
        <w:t>ale de capacités de réaction (dénommée «rescEU») qui sera déployée sur décision de la Commission, laquelle en conservera le commandement et le contrôle. rescEU sera dotée de capacités d'urgence spécifiques permettant de faire face, selon le cas, aux incend</w:t>
      </w:r>
      <w:r>
        <w:rPr>
          <w:noProof/>
        </w:rPr>
        <w:t>ies de forêts, aux inondations, aux tremblements de terre et aux urgences sanitaires. À la suite de discussions avec les États membres, un hôpital de campagne pouvant être déployé rapidement dans ou en dehors de l’Union dans le cadre du Corps médical europ</w:t>
      </w:r>
      <w:r>
        <w:rPr>
          <w:noProof/>
        </w:rPr>
        <w:t>éen devrait également être prévu pour faire face aux épidémies telles que celles d’Ebola ou de Zika. L’Europe a également été frappée par de nombreux attentats terroristes. Mettre ces capacités à disposition au niveau de l’UE permettra aussi de réaliser de</w:t>
      </w:r>
      <w:r>
        <w:rPr>
          <w:noProof/>
        </w:rPr>
        <w:t>s économies d’échelle et de réduire les coûts par rapport à ce que représenterait l’acquisition des mêmes capacités par les différents États;</w:t>
      </w:r>
    </w:p>
    <w:p w:rsidR="00824C36" w:rsidRDefault="00B97963">
      <w:pPr>
        <w:pBdr>
          <w:top w:val="nil"/>
          <w:left w:val="nil"/>
          <w:bottom w:val="nil"/>
          <w:right w:val="nil"/>
          <w:between w:val="nil"/>
          <w:bar w:val="nil"/>
        </w:pBdr>
        <w:spacing w:before="0" w:after="240"/>
        <w:rPr>
          <w:noProof/>
        </w:rPr>
      </w:pPr>
      <w:r>
        <w:rPr>
          <w:noProof/>
        </w:rPr>
        <w:t>c) garantir la souplesse et l’efficacité des procédures administratives du mécanisme de l’Union lorsqu'il intervie</w:t>
      </w:r>
      <w:r>
        <w:rPr>
          <w:noProof/>
        </w:rPr>
        <w:t>nt dans des opérations d’urgence.</w:t>
      </w:r>
    </w:p>
    <w:p w:rsidR="00824C36" w:rsidRDefault="00B97963">
      <w:pPr>
        <w:pBdr>
          <w:top w:val="nil"/>
          <w:left w:val="nil"/>
          <w:bottom w:val="nil"/>
          <w:right w:val="nil"/>
          <w:between w:val="nil"/>
          <w:bar w:val="nil"/>
        </w:pBdr>
        <w:spacing w:before="0" w:after="240"/>
        <w:rPr>
          <w:noProof/>
        </w:rPr>
      </w:pPr>
      <w:r>
        <w:rPr>
          <w:noProof/>
        </w:rPr>
        <w:t>Il est largement admis qu’il est nécessaire de renforcer la protection civile européenne face à la multiplication des catastrophes, notamment liées à des conditions climatiques extrêmes, et aux préoccupations en matière de</w:t>
      </w:r>
      <w:r>
        <w:rPr>
          <w:noProof/>
        </w:rPr>
        <w:t xml:space="preserve"> sécurité intérieure. La présente proposition se fonde sur des analyses récentes ainsi que sur une réflexion approfondie sur les déficits recensés menée avec les autorités de protection civile compétentes.</w:t>
      </w:r>
    </w:p>
    <w:p w:rsidR="00824C36" w:rsidRDefault="00B97963">
      <w:pPr>
        <w:pStyle w:val="ManualHeading2"/>
        <w:rPr>
          <w:rFonts w:eastAsia="Arial Unicode MS"/>
          <w:noProof/>
        </w:rPr>
      </w:pPr>
      <w:r>
        <w:rPr>
          <w:noProof/>
        </w:rPr>
        <w:t>•</w:t>
      </w:r>
      <w:r>
        <w:rPr>
          <w:noProof/>
        </w:rPr>
        <w:tab/>
        <w:t xml:space="preserve">Cohérence avec les dispositions existantes dans </w:t>
      </w:r>
      <w:r>
        <w:rPr>
          <w:noProof/>
        </w:rPr>
        <w:t>le domaine d’action</w:t>
      </w:r>
    </w:p>
    <w:p w:rsidR="00824C36" w:rsidRDefault="00B97963">
      <w:pPr>
        <w:rPr>
          <w:noProof/>
        </w:rPr>
      </w:pPr>
      <w:r>
        <w:rPr>
          <w:noProof/>
        </w:rPr>
        <w:t>La présente proposition contribue à la réalisation de l’une des dix priorités politiques que la Commission s’est fixées pour la période 2015-2019, à savoir la mise en place d’un «espace de justice et de droits fondamentaux basé sur la c</w:t>
      </w:r>
      <w:r>
        <w:rPr>
          <w:noProof/>
        </w:rPr>
        <w:t>onfiance mutuelle». La confiance mutuelle relève du principe de solidarité qui sous-tend la décision n° 1313/2013/UE, et elle sera renforcée dans le cadre de la présente proposition, tout comme le seront les principes de responsabilité partagée et d’obliga</w:t>
      </w:r>
      <w:r>
        <w:rPr>
          <w:noProof/>
        </w:rPr>
        <w:t>tion de rendre compte.</w:t>
      </w:r>
    </w:p>
    <w:p w:rsidR="00824C36" w:rsidRDefault="00B97963">
      <w:pPr>
        <w:rPr>
          <w:noProof/>
        </w:rPr>
      </w:pPr>
      <w:r>
        <w:rPr>
          <w:noProof/>
        </w:rPr>
        <w:t>Les modifications proposées sont parfaitement cohérentes avec l’objectif plus large consistant à œuvrer pour une «Europe qui protège», qui a guidé les efforts de la Commission ces dernières années et continuera à les guider dans un a</w:t>
      </w:r>
      <w:r>
        <w:rPr>
          <w:noProof/>
        </w:rPr>
        <w:t>venir proche. La présente proposition s'appuie sur les résultats positifs produits jusqu’ici par le cadre existant et vise à corriger les insuffisances de ce dernier en prévoyant des dispositions renforcées qui permettront de continuer à soutenir, coordonn</w:t>
      </w:r>
      <w:r>
        <w:rPr>
          <w:noProof/>
        </w:rPr>
        <w:t>er et compléter l’action des États membres dans ce domaine.</w:t>
      </w:r>
    </w:p>
    <w:p w:rsidR="00824C36" w:rsidRDefault="00B97963">
      <w:pPr>
        <w:pStyle w:val="ManualHeading2"/>
        <w:rPr>
          <w:rFonts w:eastAsia="Arial Unicode MS"/>
          <w:noProof/>
        </w:rPr>
      </w:pPr>
      <w:r>
        <w:rPr>
          <w:noProof/>
        </w:rPr>
        <w:lastRenderedPageBreak/>
        <w:t>•</w:t>
      </w:r>
      <w:r>
        <w:rPr>
          <w:noProof/>
        </w:rPr>
        <w:tab/>
        <w:t>Cohérence avec les autres politiques de l’Union</w:t>
      </w:r>
    </w:p>
    <w:p w:rsidR="00824C36" w:rsidRDefault="00B97963">
      <w:pPr>
        <w:autoSpaceDE w:val="0"/>
        <w:autoSpaceDN w:val="0"/>
        <w:adjustRightInd w:val="0"/>
        <w:spacing w:before="0" w:after="240"/>
        <w:rPr>
          <w:noProof/>
        </w:rPr>
      </w:pPr>
      <w:r>
        <w:rPr>
          <w:noProof/>
        </w:rPr>
        <w:t>Les actions envisagées dans le cadre du MPCU révisé sont conformes à l’objectif général de l’Union consistant à veiller à ce que l’ensemble des po</w:t>
      </w:r>
      <w:r>
        <w:rPr>
          <w:noProof/>
        </w:rPr>
        <w:t>litiques et instruments dont elle dispose renforcent ses capacités en matière de gestion des risques de catastrophes, de la prévention à la préparation, à la réaction et au redressement. Elles correspondent également à l’objectif énoncé à l'article 3, para</w:t>
      </w:r>
      <w:r>
        <w:rPr>
          <w:noProof/>
        </w:rPr>
        <w:t>graphe 3, du traité sur l’Union européenne, à savoir soutenir la solidarité entre les États membres.</w:t>
      </w:r>
    </w:p>
    <w:p w:rsidR="00824C36" w:rsidRDefault="00B97963">
      <w:pPr>
        <w:autoSpaceDE w:val="0"/>
        <w:autoSpaceDN w:val="0"/>
        <w:adjustRightInd w:val="0"/>
        <w:spacing w:before="0" w:after="240"/>
        <w:rPr>
          <w:noProof/>
        </w:rPr>
      </w:pPr>
      <w:r>
        <w:rPr>
          <w:noProof/>
        </w:rPr>
        <w:t xml:space="preserve">Elles tendent en particulier à veiller à une étroite coordination et à la compatibilité avec les actions entreprises au titre d'autres politiques de l’UE, </w:t>
      </w:r>
      <w:r>
        <w:rPr>
          <w:noProof/>
        </w:rPr>
        <w:t>notamment en matière d’adaptation au changement climatique, et des instruments qui contribuent à la prévention des catastrophes et à la réduction des risques de catastrophes, tels ceux qui relèvent des politiques en matière de cohésion, de développement ru</w:t>
      </w:r>
      <w:r>
        <w:rPr>
          <w:noProof/>
        </w:rPr>
        <w:t>ral, de recherche, de santé ainsi que de migration et de sécurité. De même, la proposition cherche à renforcer les synergies avec la politique d’aide humanitaire, surtout lorsqu’il s’agit de réagir à des urgences en dehors de l’Union.</w:t>
      </w:r>
    </w:p>
    <w:p w:rsidR="00824C36" w:rsidRDefault="00B97963">
      <w:pPr>
        <w:autoSpaceDE w:val="0"/>
        <w:autoSpaceDN w:val="0"/>
        <w:adjustRightInd w:val="0"/>
        <w:spacing w:before="0" w:after="240"/>
        <w:rPr>
          <w:noProof/>
        </w:rPr>
      </w:pPr>
      <w:r>
        <w:rPr>
          <w:noProof/>
        </w:rPr>
        <w:t>Aucun acte législatif</w:t>
      </w:r>
      <w:r>
        <w:rPr>
          <w:noProof/>
        </w:rPr>
        <w:t xml:space="preserve"> dans le cadre d’autres politiques de l’Union n’est actuellement à même d’atteindre les objectifs poursuivis par la présente proposition. Il ne devrait donc y avoir aucun chevauchement d’actions dans ce domaine.</w:t>
      </w:r>
    </w:p>
    <w:p w:rsidR="00824C36" w:rsidRDefault="00B97963">
      <w:pPr>
        <w:pStyle w:val="ManualHeading1"/>
        <w:rPr>
          <w:noProof/>
        </w:rPr>
      </w:pPr>
      <w:r>
        <w:rPr>
          <w:noProof/>
        </w:rPr>
        <w:t>2.</w:t>
      </w:r>
      <w:r>
        <w:rPr>
          <w:noProof/>
        </w:rPr>
        <w:tab/>
        <w:t>BASE JURIDIQUE, SUBSIDIARITÉ ET PROPORTIO</w:t>
      </w:r>
      <w:r>
        <w:rPr>
          <w:noProof/>
        </w:rPr>
        <w:t>NNALITÉ</w:t>
      </w:r>
    </w:p>
    <w:p w:rsidR="00824C36" w:rsidRDefault="00B97963">
      <w:pPr>
        <w:pStyle w:val="ManualHeading2"/>
        <w:rPr>
          <w:rFonts w:eastAsia="Arial Unicode MS"/>
          <w:noProof/>
          <w:u w:color="000000"/>
          <w:bdr w:val="nil"/>
        </w:rPr>
      </w:pPr>
      <w:r>
        <w:rPr>
          <w:noProof/>
        </w:rPr>
        <w:t>•</w:t>
      </w:r>
      <w:r>
        <w:rPr>
          <w:noProof/>
        </w:rPr>
        <w:tab/>
        <w:t>Base juridique</w:t>
      </w:r>
    </w:p>
    <w:p w:rsidR="00824C36" w:rsidRDefault="00B97963">
      <w:pPr>
        <w:autoSpaceDE w:val="0"/>
        <w:autoSpaceDN w:val="0"/>
        <w:adjustRightInd w:val="0"/>
        <w:spacing w:before="0" w:after="0"/>
        <w:rPr>
          <w:noProof/>
        </w:rPr>
      </w:pPr>
      <w:r>
        <w:rPr>
          <w:noProof/>
        </w:rPr>
        <w:t>La base juridique de la présente proposition est l’article 196 du traité sur le fonctionnement de l’Union européenne.</w:t>
      </w:r>
    </w:p>
    <w:p w:rsidR="00824C36" w:rsidRDefault="00B97963">
      <w:pPr>
        <w:pStyle w:val="ManualHeading2"/>
        <w:rPr>
          <w:rFonts w:eastAsia="Arial Unicode MS"/>
          <w:noProof/>
          <w:u w:color="000000"/>
          <w:bdr w:val="nil"/>
        </w:rPr>
      </w:pPr>
      <w:r>
        <w:rPr>
          <w:noProof/>
        </w:rPr>
        <w:t>•</w:t>
      </w:r>
      <w:r>
        <w:rPr>
          <w:noProof/>
        </w:rPr>
        <w:tab/>
        <w:t>Subsidiarité (en cas de compétence non exclusive)</w:t>
      </w:r>
    </w:p>
    <w:p w:rsidR="00824C36" w:rsidRDefault="00B97963">
      <w:pPr>
        <w:pBdr>
          <w:top w:val="nil"/>
          <w:left w:val="nil"/>
          <w:bottom w:val="nil"/>
          <w:right w:val="nil"/>
          <w:between w:val="nil"/>
          <w:bar w:val="nil"/>
        </w:pBdr>
        <w:spacing w:before="0" w:after="240"/>
        <w:rPr>
          <w:rFonts w:eastAsia="Arial Unicode MS"/>
          <w:bCs/>
          <w:noProof/>
        </w:rPr>
      </w:pPr>
      <w:r>
        <w:rPr>
          <w:noProof/>
        </w:rPr>
        <w:t xml:space="preserve">Les objectifs de la proposition ne peuvent pas être réalisés </w:t>
      </w:r>
      <w:r>
        <w:rPr>
          <w:noProof/>
        </w:rPr>
        <w:t>de manière suffisante par les États membres agissant pour leur propre compte. Le mécanisme de protection civile de l’Union a été institué parce que certaines catastrophes sont d’une ampleur telle que les capacités de réaction des États membres pris isoléme</w:t>
      </w:r>
      <w:r>
        <w:rPr>
          <w:noProof/>
        </w:rPr>
        <w:t>nt sont dépassées. Il a pour vocation première de fournir une assistance mutuelle rapide et bien coordonnée entre États membres.</w:t>
      </w:r>
    </w:p>
    <w:p w:rsidR="00824C36" w:rsidRDefault="00B97963">
      <w:pPr>
        <w:pBdr>
          <w:top w:val="nil"/>
          <w:left w:val="nil"/>
          <w:bottom w:val="nil"/>
          <w:right w:val="nil"/>
          <w:between w:val="nil"/>
          <w:bar w:val="nil"/>
        </w:pBdr>
        <w:spacing w:before="0" w:after="240"/>
        <w:rPr>
          <w:rFonts w:eastAsia="Arial Unicode MS"/>
          <w:bCs/>
          <w:noProof/>
        </w:rPr>
      </w:pPr>
      <w:r>
        <w:rPr>
          <w:noProof/>
        </w:rPr>
        <w:t>Outre des modifications visant à garantir cohérence et simplicité, la présente proposition prévoit des possibilités supplémenta</w:t>
      </w:r>
      <w:r>
        <w:rPr>
          <w:noProof/>
        </w:rPr>
        <w:t>ires de renforcer la capacité collective en matière de préparation et de réaction aux catastrophes. Ces nouvelles possibilités sont particulièrement importantes pour faire face à une ou plusieurs catastrophes qui ont des conséquences si vastes que les capa</w:t>
      </w:r>
      <w:r>
        <w:rPr>
          <w:noProof/>
        </w:rPr>
        <w:t>cités d’un nombre critique d’États membres sont dépassées en même temps, ce qui peut paralyser l'assistance mutuelle entre eux. Cela vaut aussi pour les capacités qui seraient nécessaires en cas de catastrophe majeure peu probable, mais aux conséquences gr</w:t>
      </w:r>
      <w:r>
        <w:rPr>
          <w:noProof/>
        </w:rPr>
        <w:t>aves. En pareils cas, il est clair que les États membres ne sont pas en mesure d’apporter à eux seuls une réponse suffisante, si bien qu’une aide de l’UE est nécessaire pour soutenir et compléter leur action conformément à l'article 196 du traité sur le fo</w:t>
      </w:r>
      <w:r>
        <w:rPr>
          <w:noProof/>
        </w:rPr>
        <w:t>nctionnement de l’Union européenne.</w:t>
      </w:r>
    </w:p>
    <w:p w:rsidR="00824C36" w:rsidRDefault="00B97963">
      <w:pPr>
        <w:pBdr>
          <w:top w:val="nil"/>
          <w:left w:val="nil"/>
          <w:bottom w:val="nil"/>
          <w:right w:val="nil"/>
          <w:between w:val="nil"/>
          <w:bar w:val="nil"/>
        </w:pBdr>
        <w:spacing w:before="0" w:after="240"/>
        <w:rPr>
          <w:rFonts w:eastAsia="Arial Unicode MS"/>
          <w:bCs/>
          <w:noProof/>
        </w:rPr>
      </w:pPr>
      <w:r>
        <w:rPr>
          <w:noProof/>
        </w:rPr>
        <w:t>Étant donné qu’elle contribue à réduire les pertes humaines et les dégâts écologiques, économiques et matériels, la proposition apporte une valeur ajoutée européenne manifeste.</w:t>
      </w:r>
    </w:p>
    <w:p w:rsidR="00824C36" w:rsidRDefault="00B97963">
      <w:pPr>
        <w:pStyle w:val="ManualHeading2"/>
        <w:rPr>
          <w:rFonts w:eastAsia="Arial Unicode MS"/>
          <w:noProof/>
          <w:u w:color="000000"/>
          <w:bdr w:val="nil"/>
        </w:rPr>
      </w:pPr>
      <w:r>
        <w:rPr>
          <w:noProof/>
        </w:rPr>
        <w:t>•</w:t>
      </w:r>
      <w:r>
        <w:rPr>
          <w:noProof/>
        </w:rPr>
        <w:tab/>
        <w:t>Proportionnalité</w:t>
      </w:r>
    </w:p>
    <w:p w:rsidR="00824C36" w:rsidRDefault="00B97963">
      <w:pPr>
        <w:pBdr>
          <w:top w:val="nil"/>
          <w:left w:val="nil"/>
          <w:bottom w:val="nil"/>
          <w:right w:val="nil"/>
          <w:between w:val="nil"/>
          <w:bar w:val="nil"/>
        </w:pBdr>
        <w:spacing w:before="0" w:after="240"/>
        <w:rPr>
          <w:rFonts w:eastAsia="Arial Unicode MS"/>
          <w:bCs/>
          <w:noProof/>
        </w:rPr>
      </w:pPr>
      <w:r>
        <w:rPr>
          <w:noProof/>
        </w:rPr>
        <w:t xml:space="preserve">La présente proposition </w:t>
      </w:r>
      <w:r>
        <w:rPr>
          <w:noProof/>
        </w:rPr>
        <w:t xml:space="preserve">n’excède pas ce qui est nécessaire pour atteindre les objectifs poursuivis. Elle remédie aux déficits qui ont été recensés lors de l’évaluation intermédiaire et d'autres évaluations récentes des performances du MPCU (rapport spécial de la Cour des comptes </w:t>
      </w:r>
      <w:r>
        <w:rPr>
          <w:noProof/>
        </w:rPr>
        <w:t>européenne sur le MPCU</w:t>
      </w:r>
      <w:r>
        <w:rPr>
          <w:rStyle w:val="FootnoteReference"/>
          <w:noProof/>
        </w:rPr>
        <w:footnoteReference w:id="5"/>
      </w:r>
      <w:r>
        <w:rPr>
          <w:noProof/>
        </w:rPr>
        <w:t>, rapport de la Commission sur les progrès réalisés et les déficits persistants dans l’EERC</w:t>
      </w:r>
      <w:r>
        <w:rPr>
          <w:rStyle w:val="FootnoteReference"/>
          <w:noProof/>
        </w:rPr>
        <w:footnoteReference w:id="6"/>
      </w:r>
      <w:r>
        <w:rPr>
          <w:noProof/>
        </w:rPr>
        <w:t xml:space="preserve"> - mentionnés précédemment - et aperçu des risques dans l’UE</w:t>
      </w:r>
      <w:r>
        <w:rPr>
          <w:rStyle w:val="FootnoteReference"/>
          <w:noProof/>
        </w:rPr>
        <w:footnoteReference w:id="7"/>
      </w:r>
      <w:r>
        <w:rPr>
          <w:noProof/>
        </w:rPr>
        <w:t>) et propose des solutions conformes au mandat donné par le Conseil et le Parlem</w:t>
      </w:r>
      <w:r>
        <w:rPr>
          <w:noProof/>
        </w:rPr>
        <w:t>ent européen.</w:t>
      </w:r>
    </w:p>
    <w:p w:rsidR="00824C36" w:rsidRDefault="00B97963">
      <w:pPr>
        <w:pBdr>
          <w:top w:val="nil"/>
          <w:left w:val="nil"/>
          <w:bottom w:val="nil"/>
          <w:right w:val="nil"/>
          <w:between w:val="nil"/>
          <w:bar w:val="nil"/>
        </w:pBdr>
        <w:spacing w:before="0" w:after="240"/>
        <w:rPr>
          <w:rFonts w:eastAsia="Arial Unicode MS"/>
          <w:bCs/>
          <w:noProof/>
        </w:rPr>
      </w:pPr>
      <w:r>
        <w:rPr>
          <w:noProof/>
        </w:rPr>
        <w:t>La charge administrative pesant sur l'Union et les États membres est limitée et n'excède pas ce qui est nécessaire pour atteindre les objectifs de la proposition. En outre, la rationalisation de certains taux de cofinancement par l’UE et la s</w:t>
      </w:r>
      <w:r>
        <w:rPr>
          <w:noProof/>
        </w:rPr>
        <w:t>uppression du cofinancement dans certains domaines réduiront la charge administrative.</w:t>
      </w:r>
    </w:p>
    <w:p w:rsidR="00824C36" w:rsidRDefault="00B97963">
      <w:pPr>
        <w:pStyle w:val="ManualHeading2"/>
        <w:rPr>
          <w:rFonts w:eastAsia="Arial Unicode MS"/>
          <w:noProof/>
          <w:u w:color="000000"/>
          <w:bdr w:val="nil"/>
        </w:rPr>
      </w:pPr>
      <w:r>
        <w:rPr>
          <w:noProof/>
        </w:rPr>
        <w:t>•</w:t>
      </w:r>
      <w:r>
        <w:rPr>
          <w:noProof/>
        </w:rPr>
        <w:tab/>
        <w:t>Choix de l’instrument</w:t>
      </w:r>
    </w:p>
    <w:p w:rsidR="00824C36" w:rsidRDefault="00B97963">
      <w:pPr>
        <w:pBdr>
          <w:top w:val="nil"/>
          <w:left w:val="nil"/>
          <w:bottom w:val="nil"/>
          <w:right w:val="nil"/>
          <w:between w:val="nil"/>
          <w:bar w:val="nil"/>
        </w:pBdr>
        <w:spacing w:before="0" w:after="240"/>
        <w:rPr>
          <w:noProof/>
        </w:rPr>
      </w:pPr>
      <w:r>
        <w:rPr>
          <w:noProof/>
        </w:rPr>
        <w:t>Proposition de décision modifiant la décision n° 1313/2013/UE du Parlement européen et du Conseil relative au mécanisme de protection civile de l</w:t>
      </w:r>
      <w:r>
        <w:rPr>
          <w:noProof/>
        </w:rPr>
        <w:t>’Union.</w:t>
      </w:r>
    </w:p>
    <w:p w:rsidR="00824C36" w:rsidRDefault="00B97963">
      <w:pPr>
        <w:pStyle w:val="ManualHeading1"/>
        <w:rPr>
          <w:noProof/>
        </w:rPr>
      </w:pPr>
      <w:r>
        <w:rPr>
          <w:noProof/>
        </w:rPr>
        <w:t>3.</w:t>
      </w:r>
      <w:r>
        <w:rPr>
          <w:noProof/>
        </w:rPr>
        <w:tab/>
        <w:t>RÉSULTATS DES ÉVALUATIONS EX POST, DES CONSULTATIONS DES PARTIES INTÉRESSÉES ET DES ANALYSES D’IMPACT</w:t>
      </w:r>
    </w:p>
    <w:p w:rsidR="00824C36" w:rsidRDefault="00B97963">
      <w:pPr>
        <w:pStyle w:val="ManualHeading2"/>
        <w:rPr>
          <w:rFonts w:eastAsia="Arial Unicode MS"/>
          <w:noProof/>
          <w:u w:color="000000"/>
          <w:bdr w:val="nil"/>
        </w:rPr>
      </w:pPr>
      <w:r>
        <w:rPr>
          <w:noProof/>
        </w:rPr>
        <w:t>•</w:t>
      </w:r>
      <w:r>
        <w:rPr>
          <w:noProof/>
        </w:rPr>
        <w:tab/>
        <w:t>Consultation des parties intéressées</w:t>
      </w:r>
    </w:p>
    <w:p w:rsidR="00824C36" w:rsidRDefault="00B97963">
      <w:pPr>
        <w:spacing w:after="100" w:afterAutospacing="1"/>
        <w:rPr>
          <w:rFonts w:eastAsia="Arial Unicode MS"/>
          <w:bCs/>
          <w:noProof/>
        </w:rPr>
      </w:pPr>
      <w:r>
        <w:rPr>
          <w:noProof/>
        </w:rPr>
        <w:t>Les insuffisances auxquelles la présente proposition vise à remédier ont été mises en évidence par l’exp</w:t>
      </w:r>
      <w:r>
        <w:rPr>
          <w:noProof/>
        </w:rPr>
        <w:t>érience pratique et par les réponses à la vaste consultation des parties intéressées à laquelle il a été procédé récemment dans le cadre de l’évaluation intermédiaire du MPCU</w:t>
      </w:r>
      <w:r>
        <w:rPr>
          <w:rStyle w:val="FootnoteReference"/>
          <w:noProof/>
        </w:rPr>
        <w:footnoteReference w:id="8"/>
      </w:r>
      <w:r>
        <w:rPr>
          <w:noProof/>
        </w:rPr>
        <w:t>. Cette consultation avait pour objectif général de donner à l’ensemble des parti</w:t>
      </w:r>
      <w:r>
        <w:rPr>
          <w:noProof/>
        </w:rPr>
        <w:t xml:space="preserve">es concernées la possibilité d’exprimer leur point de vue sur les performances du mécanisme au cours de la première moitié de sa période de mise en œuvre. Ses objectifs spécifiques étaient les suivants: </w:t>
      </w:r>
    </w:p>
    <w:p w:rsidR="00824C36" w:rsidRDefault="00B97963">
      <w:pPr>
        <w:pStyle w:val="Point1letter"/>
        <w:numPr>
          <w:ilvl w:val="3"/>
          <w:numId w:val="10"/>
        </w:numPr>
        <w:rPr>
          <w:noProof/>
        </w:rPr>
      </w:pPr>
      <w:r>
        <w:rPr>
          <w:noProof/>
        </w:rPr>
        <w:t>recueillir les points de vue et les avis des citoyen</w:t>
      </w:r>
      <w:r>
        <w:rPr>
          <w:noProof/>
        </w:rPr>
        <w:t>s européens sur les résultats obtenus jusqu’ici par le MPCU;</w:t>
      </w:r>
    </w:p>
    <w:p w:rsidR="00824C36" w:rsidRDefault="00B97963">
      <w:pPr>
        <w:pStyle w:val="Point1letter"/>
        <w:numPr>
          <w:ilvl w:val="3"/>
          <w:numId w:val="18"/>
        </w:numPr>
        <w:rPr>
          <w:noProof/>
        </w:rPr>
      </w:pPr>
      <w:r>
        <w:rPr>
          <w:noProof/>
        </w:rPr>
        <w:t>déterminer l’importance des différentes priorités en matière de gestion des risques de catastrophes telles qu’elles sont perçues à travers l’UE;</w:t>
      </w:r>
    </w:p>
    <w:p w:rsidR="00824C36" w:rsidRDefault="00B97963">
      <w:pPr>
        <w:pStyle w:val="Point1letter"/>
        <w:numPr>
          <w:ilvl w:val="3"/>
          <w:numId w:val="18"/>
        </w:numPr>
        <w:rPr>
          <w:noProof/>
        </w:rPr>
      </w:pPr>
      <w:r>
        <w:rPr>
          <w:noProof/>
        </w:rPr>
        <w:t>obtenir un retour d’information et des conseils te</w:t>
      </w:r>
      <w:r>
        <w:rPr>
          <w:noProof/>
        </w:rPr>
        <w:t>chniques ciblés des principales parties prenantes au MPCU;</w:t>
      </w:r>
    </w:p>
    <w:p w:rsidR="00824C36" w:rsidRDefault="00B97963">
      <w:pPr>
        <w:pStyle w:val="Point1letter"/>
        <w:numPr>
          <w:ilvl w:val="3"/>
          <w:numId w:val="18"/>
        </w:numPr>
        <w:rPr>
          <w:noProof/>
        </w:rPr>
      </w:pPr>
      <w:r>
        <w:rPr>
          <w:noProof/>
        </w:rPr>
        <w:t>rassembler des éléments d’information à l’appui de l’évaluation intermédiaire du MPCU pour chacun des principaux critères d'évaluation.</w:t>
      </w:r>
    </w:p>
    <w:p w:rsidR="00824C36" w:rsidRDefault="00B97963">
      <w:pPr>
        <w:rPr>
          <w:rFonts w:eastAsia="Arial Unicode MS"/>
          <w:bCs/>
          <w:noProof/>
        </w:rPr>
      </w:pPr>
      <w:r>
        <w:rPr>
          <w:noProof/>
        </w:rPr>
        <w:t>Quatre grands groupes de parties intéressées étaient visés pe</w:t>
      </w:r>
      <w:r>
        <w:rPr>
          <w:noProof/>
        </w:rPr>
        <w:t>ndant les activités de consultation:</w:t>
      </w:r>
    </w:p>
    <w:p w:rsidR="00824C36" w:rsidRDefault="00B97963">
      <w:pPr>
        <w:pStyle w:val="Tiret0"/>
        <w:numPr>
          <w:ilvl w:val="0"/>
          <w:numId w:val="11"/>
        </w:numPr>
        <w:rPr>
          <w:noProof/>
        </w:rPr>
      </w:pPr>
      <w:r>
        <w:rPr>
          <w:noProof/>
        </w:rPr>
        <w:t>les entités qui mettent le MPCU en œuvre: autorités de protection civile des États membres contribuant aux modules et/ou experts de la capacité européenne de réaction d’urgence; autres autorités de protection civile des</w:t>
      </w:r>
      <w:r>
        <w:rPr>
          <w:noProof/>
        </w:rPr>
        <w:t xml:space="preserve"> États membres; autres autorités de protection civile des États participants</w:t>
      </w:r>
      <w:r>
        <w:rPr>
          <w:rStyle w:val="FootnoteReference"/>
          <w:noProof/>
        </w:rPr>
        <w:footnoteReference w:id="9"/>
      </w:r>
      <w:r>
        <w:rPr>
          <w:noProof/>
        </w:rPr>
        <w:t>;</w:t>
      </w:r>
    </w:p>
    <w:p w:rsidR="00824C36" w:rsidRDefault="00B97963">
      <w:pPr>
        <w:pStyle w:val="Tiret0"/>
        <w:numPr>
          <w:ilvl w:val="0"/>
          <w:numId w:val="16"/>
        </w:numPr>
        <w:rPr>
          <w:noProof/>
        </w:rPr>
      </w:pPr>
      <w:r>
        <w:rPr>
          <w:noProof/>
        </w:rPr>
        <w:t>les entités concernées par le MPCU: pays hôtes ayant reçu l'aide du MPCU (UE, pays en voie d'adhésion, pays du voisinage européen et autres pays tiers), Parlement européen, Comi</w:t>
      </w:r>
      <w:r>
        <w:rPr>
          <w:noProof/>
        </w:rPr>
        <w:t>té des régions, autorités locales;</w:t>
      </w:r>
    </w:p>
    <w:p w:rsidR="00824C36" w:rsidRDefault="00B97963">
      <w:pPr>
        <w:pStyle w:val="Tiret0"/>
        <w:numPr>
          <w:ilvl w:val="0"/>
          <w:numId w:val="16"/>
        </w:numPr>
        <w:rPr>
          <w:noProof/>
        </w:rPr>
      </w:pPr>
      <w:r>
        <w:rPr>
          <w:noProof/>
        </w:rPr>
        <w:t>les entités ayant un intérêt déclaré pour le MPCU: autres autorités des États membres, autres autorités des États participants, agences des Nations unies, Banque mondiale, ONG, secteur privé, fondations, etc.;</w:t>
      </w:r>
    </w:p>
    <w:p w:rsidR="00824C36" w:rsidRDefault="00B97963">
      <w:pPr>
        <w:pStyle w:val="Tiret0"/>
        <w:numPr>
          <w:ilvl w:val="0"/>
          <w:numId w:val="16"/>
        </w:numPr>
        <w:rPr>
          <w:noProof/>
        </w:rPr>
      </w:pPr>
      <w:r>
        <w:rPr>
          <w:noProof/>
        </w:rPr>
        <w:t>les entités</w:t>
      </w:r>
      <w:r>
        <w:rPr>
          <w:noProof/>
        </w:rPr>
        <w:t xml:space="preserve"> possédant des compétences utiles pour le MPCU (c’est-à-dire pour la gestion des risques de catastrophes): universités/centres d’excellence et groupes de réflexion, principalement dans les États participants.</w:t>
      </w:r>
    </w:p>
    <w:p w:rsidR="00824C36" w:rsidRDefault="00B97963">
      <w:pPr>
        <w:pStyle w:val="ManualHeading2"/>
        <w:rPr>
          <w:rFonts w:eastAsia="Arial Unicode MS"/>
          <w:noProof/>
          <w:u w:color="000000"/>
          <w:bdr w:val="nil"/>
        </w:rPr>
      </w:pPr>
      <w:r>
        <w:rPr>
          <w:noProof/>
        </w:rPr>
        <w:t>•</w:t>
      </w:r>
      <w:r>
        <w:rPr>
          <w:noProof/>
        </w:rPr>
        <w:tab/>
        <w:t>Obtention et utilisation d’expertise</w:t>
      </w:r>
    </w:p>
    <w:p w:rsidR="00824C36" w:rsidRDefault="00B97963">
      <w:pPr>
        <w:spacing w:after="240"/>
        <w:rPr>
          <w:rFonts w:eastAsia="Arial Unicode MS"/>
          <w:bCs/>
          <w:noProof/>
        </w:rPr>
      </w:pPr>
      <w:r>
        <w:rPr>
          <w:noProof/>
        </w:rPr>
        <w:t>L’évaluation intermédiaire qui sous-tend la présente proposition a été réalisée par un évaluateur externe entre septembre 2016 et juin 2017. Elle s'est appuyée sur le contenu de discussions avec les États participants (comité de la protection civile, group</w:t>
      </w:r>
      <w:r>
        <w:rPr>
          <w:noProof/>
        </w:rPr>
        <w:t>e de travail du Conseil sur la protection civile et réunions des directeurs généraux) et a tenu compte des informations provenant d'une consultation publique ouverte, du rapport spécial de la Cour des comptes européenne sur le MPCU et du rapport de la Comm</w:t>
      </w:r>
      <w:r>
        <w:rPr>
          <w:noProof/>
        </w:rPr>
        <w:t>ission sur les progrès réalisés et les déficits persistants dans l’EERC.</w:t>
      </w:r>
    </w:p>
    <w:p w:rsidR="00824C36" w:rsidRDefault="00B97963">
      <w:pPr>
        <w:spacing w:before="60" w:after="60"/>
        <w:rPr>
          <w:rFonts w:eastAsia="Arial Unicode MS"/>
          <w:bCs/>
          <w:noProof/>
        </w:rPr>
      </w:pPr>
      <w:r>
        <w:rPr>
          <w:noProof/>
        </w:rPr>
        <w:t xml:space="preserve">L’évaluation a comporté trois phases: </w:t>
      </w:r>
    </w:p>
    <w:p w:rsidR="00824C36" w:rsidRDefault="00B97963">
      <w:pPr>
        <w:pStyle w:val="Point1"/>
        <w:rPr>
          <w:noProof/>
        </w:rPr>
      </w:pPr>
      <w:r>
        <w:rPr>
          <w:noProof/>
        </w:rPr>
        <w:t>i)</w:t>
      </w:r>
      <w:r>
        <w:rPr>
          <w:noProof/>
        </w:rPr>
        <w:tab/>
      </w:r>
      <w:r>
        <w:rPr>
          <w:i/>
          <w:noProof/>
        </w:rPr>
        <w:t>lancement</w:t>
      </w:r>
      <w:r>
        <w:rPr>
          <w:noProof/>
        </w:rPr>
        <w:t>, notamment étude documentaire des activités du MPCU et entretiens de cadrage avec des agents de la Commission;</w:t>
      </w:r>
    </w:p>
    <w:p w:rsidR="00824C36" w:rsidRDefault="00B97963">
      <w:pPr>
        <w:pStyle w:val="Point1"/>
        <w:rPr>
          <w:noProof/>
        </w:rPr>
      </w:pPr>
      <w:r>
        <w:rPr>
          <w:noProof/>
        </w:rPr>
        <w:t>ii)</w:t>
      </w:r>
      <w:r>
        <w:rPr>
          <w:noProof/>
        </w:rPr>
        <w:tab/>
      </w:r>
      <w:r>
        <w:rPr>
          <w:i/>
          <w:noProof/>
        </w:rPr>
        <w:t>recherche</w:t>
      </w:r>
      <w:r>
        <w:rPr>
          <w:noProof/>
        </w:rPr>
        <w:t>, notam</w:t>
      </w:r>
      <w:r>
        <w:rPr>
          <w:noProof/>
        </w:rPr>
        <w:t>ment consultation ciblée des principales parties prenantes au MPCU</w:t>
      </w:r>
      <w:r>
        <w:rPr>
          <w:rStyle w:val="FootnoteReference"/>
          <w:noProof/>
        </w:rPr>
        <w:footnoteReference w:id="10"/>
      </w:r>
      <w:r>
        <w:rPr>
          <w:noProof/>
        </w:rPr>
        <w:t xml:space="preserve">, au moyen d’enquêtes en ligne, d’entretiens téléphoniques et en face-à-face et de trois études de cas (incendies de forêts à Chypre, exercices faisant intervenir des modules en Estonie et </w:t>
      </w:r>
      <w:r>
        <w:rPr>
          <w:noProof/>
        </w:rPr>
        <w:t>crise migratoire);</w:t>
      </w:r>
    </w:p>
    <w:p w:rsidR="00824C36" w:rsidRDefault="00B97963">
      <w:pPr>
        <w:pStyle w:val="Point1"/>
        <w:rPr>
          <w:noProof/>
        </w:rPr>
      </w:pPr>
      <w:r>
        <w:rPr>
          <w:noProof/>
        </w:rPr>
        <w:t>iii)</w:t>
      </w:r>
      <w:r>
        <w:rPr>
          <w:noProof/>
        </w:rPr>
        <w:tab/>
      </w:r>
      <w:r>
        <w:rPr>
          <w:i/>
          <w:noProof/>
        </w:rPr>
        <w:t>analyse et synthèse</w:t>
      </w:r>
      <w:r>
        <w:rPr>
          <w:noProof/>
        </w:rPr>
        <w:t>, notamment triangulation des données, élaboration de conclusions et de recommandations et rédaction.</w:t>
      </w:r>
    </w:p>
    <w:p w:rsidR="00824C36" w:rsidRDefault="00B97963">
      <w:pPr>
        <w:spacing w:before="60" w:after="60"/>
        <w:rPr>
          <w:rFonts w:eastAsia="Arial Unicode MS"/>
          <w:bCs/>
          <w:noProof/>
        </w:rPr>
      </w:pPr>
      <w:r>
        <w:rPr>
          <w:noProof/>
        </w:rPr>
        <w:t>La consultation publique ouverte (CPO) mentionnée ci-dessus a été réalisée en ligne pendant trois mois (de nove</w:t>
      </w:r>
      <w:r>
        <w:rPr>
          <w:noProof/>
        </w:rPr>
        <w:t>mbre 2016 à février 2017) et 130 répondants de toute l’Europe ont fourni un retour d’informations sur le MPCU. Un rapport sur les résultats de la CPO a été publié à la fin du mois de mars 2017</w:t>
      </w:r>
      <w:r>
        <w:rPr>
          <w:rStyle w:val="FootnoteReference"/>
          <w:noProof/>
        </w:rPr>
        <w:footnoteReference w:id="11"/>
      </w:r>
      <w:r>
        <w:rPr>
          <w:noProof/>
        </w:rPr>
        <w:t>.</w:t>
      </w:r>
    </w:p>
    <w:p w:rsidR="00824C36" w:rsidRDefault="00B97963">
      <w:pPr>
        <w:pStyle w:val="ManualHeading2"/>
        <w:rPr>
          <w:rFonts w:eastAsia="Arial Unicode MS"/>
          <w:noProof/>
          <w:u w:color="000000"/>
          <w:bdr w:val="nil"/>
        </w:rPr>
      </w:pPr>
      <w:r>
        <w:rPr>
          <w:noProof/>
        </w:rPr>
        <w:tab/>
        <w:t>Analyse d'impact</w:t>
      </w:r>
    </w:p>
    <w:p w:rsidR="00824C36" w:rsidRDefault="00B97963">
      <w:pPr>
        <w:pStyle w:val="Text1"/>
        <w:ind w:left="0"/>
        <w:rPr>
          <w:noProof/>
        </w:rPr>
      </w:pPr>
      <w:r>
        <w:rPr>
          <w:noProof/>
        </w:rPr>
        <w:t>Aucune analyse d’impact n’a été réalisée po</w:t>
      </w:r>
      <w:r>
        <w:rPr>
          <w:noProof/>
        </w:rPr>
        <w:t>ur accompagner la présente proposition car, compte tenu du déficit de capacités critiques au niveau européen, démontré en particulier par la saison des incendies de forêts de 2017, il est extrêmement urgent de mettre en œuvre les modifications proposées. C</w:t>
      </w:r>
      <w:r>
        <w:rPr>
          <w:noProof/>
        </w:rPr>
        <w:t>es déficits ont fortement affecté la réaction de l’UE aux catastrophes et ont entraîné un nombre élevé de pertes humaines, de lourdes conséquences économiques et des dégâts importants pour l’environnement.</w:t>
      </w:r>
    </w:p>
    <w:p w:rsidR="00824C36" w:rsidRDefault="00B97963">
      <w:pPr>
        <w:pStyle w:val="ManualHeading2"/>
        <w:rPr>
          <w:rFonts w:eastAsia="Arial Unicode MS"/>
          <w:noProof/>
          <w:u w:color="000000"/>
          <w:bdr w:val="nil"/>
        </w:rPr>
      </w:pPr>
      <w:r>
        <w:rPr>
          <w:noProof/>
        </w:rPr>
        <w:t>•</w:t>
      </w:r>
      <w:r>
        <w:rPr>
          <w:noProof/>
        </w:rPr>
        <w:tab/>
        <w:t>Réglementation affûtée et simplification</w:t>
      </w:r>
    </w:p>
    <w:p w:rsidR="00824C36" w:rsidRDefault="00B97963">
      <w:pPr>
        <w:spacing w:before="0" w:after="240"/>
        <w:rPr>
          <w:noProof/>
        </w:rPr>
      </w:pPr>
      <w:r>
        <w:rPr>
          <w:noProof/>
        </w:rPr>
        <w:t xml:space="preserve">La </w:t>
      </w:r>
      <w:r>
        <w:rPr>
          <w:noProof/>
        </w:rPr>
        <w:t>révision proposée est de nature limitée et a une portée réduite, elle concilie les intérêts des États membres et est proportionnée à ce qui est nécessaire sur le plan opérationnel.</w:t>
      </w:r>
    </w:p>
    <w:p w:rsidR="00824C36" w:rsidRDefault="00B97963">
      <w:pPr>
        <w:spacing w:before="0" w:after="240"/>
        <w:rPr>
          <w:noProof/>
        </w:rPr>
      </w:pPr>
      <w:r>
        <w:rPr>
          <w:noProof/>
        </w:rPr>
        <w:t>Comme il s'agit de la révision d'un acte législatif existant, la Commission</w:t>
      </w:r>
      <w:r>
        <w:rPr>
          <w:noProof/>
        </w:rPr>
        <w:t xml:space="preserve"> a examiné les possibilités de simplifier et de réduire les charges. Plusieurs mesures de simplification possibles ont été répertoriées, comme expliqué ci-dessous, mais il n’a pas été possible de les quantifier vu la disponibilité limitée des données compt</w:t>
      </w:r>
      <w:r>
        <w:rPr>
          <w:noProof/>
        </w:rPr>
        <w:t>e tenu des délais très serrés.</w:t>
      </w:r>
    </w:p>
    <w:p w:rsidR="00824C36" w:rsidRDefault="00B97963">
      <w:pPr>
        <w:spacing w:before="0" w:after="240"/>
        <w:rPr>
          <w:noProof/>
        </w:rPr>
      </w:pPr>
      <w:r>
        <w:rPr>
          <w:noProof/>
        </w:rPr>
        <w:t>La présente proposition allège les formalités administratives en introduisant une référence spécifique à l’utilisation de montants unitaires, de montants forfaitaires et de taux forfaitaires pour le cofinancement des coûts de</w:t>
      </w:r>
      <w:r>
        <w:rPr>
          <w:noProof/>
        </w:rPr>
        <w:t xml:space="preserve"> transport. En outre, elle simplifie les procédures administratives existantes en rationalisant les règles en matière de cofinancement.</w:t>
      </w:r>
    </w:p>
    <w:p w:rsidR="00824C36" w:rsidRDefault="00B97963">
      <w:pPr>
        <w:spacing w:before="0" w:after="240"/>
        <w:rPr>
          <w:noProof/>
        </w:rPr>
      </w:pPr>
      <w:r>
        <w:rPr>
          <w:noProof/>
        </w:rPr>
        <w:t>De manière plus générale, la présente proposition cherche à actualiser les procédures opérationnelles de manière à ce qu</w:t>
      </w:r>
      <w:r>
        <w:rPr>
          <w:noProof/>
        </w:rPr>
        <w:t>’elles soient adaptées à leur objet, souples et faciles à comprendre et à appliquer, garantissant ainsi que les États membres peuvent accéder à l’aide du mécanisme de l’Union et bénéficier du rôle de facilitateur de ce dernier en cas de besoin. Les catastr</w:t>
      </w:r>
      <w:r>
        <w:rPr>
          <w:noProof/>
        </w:rPr>
        <w:t>ophes récentes ont, par exemple, mis en évidence que l’Union n'était peut-être pas suffisamment équipée pour faire face à des urgences aux vastes conséquences touchant plusieurs États membres simultanément (incendies de forêts, phénomènes météorologiques e</w:t>
      </w:r>
      <w:r>
        <w:rPr>
          <w:noProof/>
        </w:rPr>
        <w:t>xtrêmes, inondations de grande ampleur, tremblements de terre, épidémies telles que celles d’Ebola et attentats terroristes). En pareilles circonstances, les États membres ne sont pas toujours en mesure d’offrir une aide.</w:t>
      </w:r>
    </w:p>
    <w:p w:rsidR="00824C36" w:rsidRDefault="00B97963">
      <w:pPr>
        <w:pStyle w:val="ManualHeading1"/>
        <w:rPr>
          <w:noProof/>
        </w:rPr>
      </w:pPr>
      <w:r>
        <w:rPr>
          <w:noProof/>
        </w:rPr>
        <w:t>4.</w:t>
      </w:r>
      <w:r>
        <w:rPr>
          <w:noProof/>
        </w:rPr>
        <w:tab/>
        <w:t>INCIDENCE BUDGÉTAIRE</w:t>
      </w:r>
    </w:p>
    <w:p w:rsidR="00824C36" w:rsidRDefault="00B97963">
      <w:pPr>
        <w:pBdr>
          <w:top w:val="nil"/>
          <w:left w:val="nil"/>
          <w:bottom w:val="nil"/>
          <w:right w:val="nil"/>
          <w:between w:val="nil"/>
          <w:bar w:val="nil"/>
        </w:pBdr>
        <w:spacing w:before="0" w:after="240"/>
        <w:rPr>
          <w:noProof/>
        </w:rPr>
      </w:pPr>
      <w:r>
        <w:rPr>
          <w:noProof/>
        </w:rPr>
        <w:t>Comme indi</w:t>
      </w:r>
      <w:r>
        <w:rPr>
          <w:noProof/>
        </w:rPr>
        <w:t xml:space="preserve">qué à l'article 19 de la décision n° 1313/2013/UE, l’enveloppe financière destinée à la mise en œuvre du mécanisme de l’Union pour la période couverte par le cadre financier pluriannuel 2014-2020 s’élève à 368,4 millions d’EUR. Ce montant est constitué de </w:t>
      </w:r>
      <w:r>
        <w:rPr>
          <w:noProof/>
        </w:rPr>
        <w:t>contributions d'un montant de 223,8 millions d’EUR provenant de la rubrique 3 «Sécurité et citoyenneté» et de 144,6 millions d’EUR provenant de la rubrique 4 «L’Europe dans le monde». En outre, les coûts liés à l'administration et aux ressources humaines s</w:t>
      </w:r>
      <w:r>
        <w:rPr>
          <w:noProof/>
        </w:rPr>
        <w:t>ont couverts par la rubrique 5 pour un montant total de quelque 52,2 millions d’EUR.</w:t>
      </w:r>
    </w:p>
    <w:p w:rsidR="00824C36" w:rsidRDefault="00B97963">
      <w:pPr>
        <w:pBdr>
          <w:top w:val="nil"/>
          <w:left w:val="nil"/>
          <w:bottom w:val="nil"/>
          <w:right w:val="nil"/>
          <w:between w:val="nil"/>
          <w:bar w:val="nil"/>
        </w:pBdr>
        <w:spacing w:before="0" w:after="240"/>
        <w:rPr>
          <w:noProof/>
        </w:rPr>
      </w:pPr>
      <w:r>
        <w:rPr>
          <w:noProof/>
        </w:rPr>
        <w:t>Pour pouvoir atteindre les objectifs énoncés dans la section 1 ci-dessus, à savoir:</w:t>
      </w:r>
    </w:p>
    <w:p w:rsidR="00824C36" w:rsidRDefault="00B97963">
      <w:pPr>
        <w:pStyle w:val="Tiret0"/>
        <w:numPr>
          <w:ilvl w:val="0"/>
          <w:numId w:val="16"/>
        </w:numPr>
        <w:rPr>
          <w:noProof/>
        </w:rPr>
      </w:pPr>
      <w:r>
        <w:rPr>
          <w:noProof/>
        </w:rPr>
        <w:t>renforcer la capacité collective des États membres et de l’Union à réagir aux catastrop</w:t>
      </w:r>
      <w:r>
        <w:rPr>
          <w:noProof/>
        </w:rPr>
        <w:t xml:space="preserve">hes en créant une réserve spéciale de capacités de réaction dont la Commission aura le commandement et le contrôle (rescEU); </w:t>
      </w:r>
    </w:p>
    <w:p w:rsidR="00824C36" w:rsidRDefault="00B97963">
      <w:pPr>
        <w:pStyle w:val="Tiret0"/>
        <w:numPr>
          <w:ilvl w:val="0"/>
          <w:numId w:val="16"/>
        </w:numPr>
        <w:rPr>
          <w:noProof/>
        </w:rPr>
      </w:pPr>
      <w:r>
        <w:rPr>
          <w:noProof/>
        </w:rPr>
        <w:t>relever (à 75 %) le taux de cofinancement des capacités mises à la disposition de la réserve européenne. Ce cofinancement couvre l</w:t>
      </w:r>
      <w:r>
        <w:rPr>
          <w:noProof/>
        </w:rPr>
        <w:t>es coûts d'adaptation, de réparation et de transport, ainsi que les coûts opérationnels;</w:t>
      </w:r>
    </w:p>
    <w:p w:rsidR="00824C36" w:rsidRDefault="00B97963">
      <w:pPr>
        <w:pStyle w:val="Tiret0"/>
        <w:numPr>
          <w:ilvl w:val="0"/>
          <w:numId w:val="16"/>
        </w:numPr>
        <w:rPr>
          <w:noProof/>
        </w:rPr>
      </w:pPr>
      <w:r>
        <w:rPr>
          <w:noProof/>
        </w:rPr>
        <w:t>mettre davantage l’accent sur la prévention et améliorer la cohérence avec d'autres grandes politiques de l’UE; ainsi que</w:t>
      </w:r>
    </w:p>
    <w:p w:rsidR="00824C36" w:rsidRDefault="00B97963">
      <w:pPr>
        <w:pStyle w:val="Tiret0"/>
        <w:numPr>
          <w:ilvl w:val="0"/>
          <w:numId w:val="16"/>
        </w:numPr>
        <w:rPr>
          <w:noProof/>
        </w:rPr>
      </w:pPr>
      <w:r>
        <w:rPr>
          <w:noProof/>
        </w:rPr>
        <w:t xml:space="preserve">renforcer la coopération avec les pays du </w:t>
      </w:r>
      <w:r>
        <w:rPr>
          <w:noProof/>
        </w:rPr>
        <w:t>voisinage;</w:t>
      </w:r>
    </w:p>
    <w:p w:rsidR="00824C36" w:rsidRDefault="00B97963">
      <w:pPr>
        <w:pBdr>
          <w:top w:val="nil"/>
          <w:left w:val="nil"/>
          <w:bottom w:val="nil"/>
          <w:right w:val="nil"/>
          <w:between w:val="nil"/>
          <w:bar w:val="nil"/>
        </w:pBdr>
        <w:rPr>
          <w:noProof/>
        </w:rPr>
      </w:pPr>
      <w:r>
        <w:rPr>
          <w:noProof/>
        </w:rPr>
        <w:t>la présente proposition vise, au total, à une augmentation globale de 280 millions d’EUR de l’enveloppe financière allouée au MPCU pour la période 2018-2020.</w:t>
      </w:r>
    </w:p>
    <w:p w:rsidR="00824C36" w:rsidRDefault="00B97963">
      <w:pPr>
        <w:pStyle w:val="ManualHeading1"/>
        <w:rPr>
          <w:noProof/>
        </w:rPr>
      </w:pPr>
      <w:r>
        <w:rPr>
          <w:noProof/>
        </w:rPr>
        <w:t>5.</w:t>
      </w:r>
      <w:r>
        <w:rPr>
          <w:noProof/>
        </w:rPr>
        <w:tab/>
        <w:t>AUTRES ÉLÉMENTS</w:t>
      </w:r>
    </w:p>
    <w:p w:rsidR="00824C36" w:rsidRDefault="00B97963">
      <w:pPr>
        <w:pStyle w:val="ManualHeading2"/>
        <w:rPr>
          <w:rFonts w:eastAsia="Arial Unicode MS"/>
          <w:noProof/>
          <w:u w:color="000000"/>
          <w:bdr w:val="nil"/>
        </w:rPr>
      </w:pPr>
      <w:r>
        <w:rPr>
          <w:noProof/>
        </w:rPr>
        <w:t>•</w:t>
      </w:r>
      <w:r>
        <w:rPr>
          <w:noProof/>
        </w:rPr>
        <w:tab/>
        <w:t>Plans de mise en œuvre et modalités de suivi, d’évaluation et d’in</w:t>
      </w:r>
      <w:r>
        <w:rPr>
          <w:noProof/>
        </w:rPr>
        <w:t>formation</w:t>
      </w:r>
    </w:p>
    <w:p w:rsidR="00824C36" w:rsidRDefault="00B97963">
      <w:pPr>
        <w:pBdr>
          <w:top w:val="nil"/>
          <w:left w:val="nil"/>
          <w:bottom w:val="nil"/>
          <w:right w:val="nil"/>
          <w:between w:val="nil"/>
          <w:bar w:val="nil"/>
        </w:pBdr>
        <w:spacing w:before="0" w:after="240"/>
        <w:rPr>
          <w:rFonts w:cs="EUAlbertina"/>
          <w:noProof/>
          <w:sz w:val="19"/>
          <w:szCs w:val="19"/>
        </w:rPr>
      </w:pPr>
      <w:r>
        <w:rPr>
          <w:noProof/>
        </w:rPr>
        <w:t xml:space="preserve">L'article 34, paragraphe 2, de la décision n° 1313/2013/UE relative au mécanisme de protection civile de l'Union s'applique. Il dispose que les actions bénéficiant d'une aide financière font l'objet d'un contrôle régulier en vue du suivi de leur </w:t>
      </w:r>
      <w:r>
        <w:rPr>
          <w:noProof/>
        </w:rPr>
        <w:t>mise en œuvre. Il prévoit également, de manière plus générale, l’obligation, pour la Commission, d'évaluer l’application de la décision et de présenter des rapports d’évaluation intermédiaire et ex post, ainsi qu’une communication sur la mise en œuvre. Ces</w:t>
      </w:r>
      <w:r>
        <w:rPr>
          <w:noProof/>
        </w:rPr>
        <w:t xml:space="preserve"> évaluations devraient se fonder sur les indicateurs indiqués à l'article 3 de la décision.</w:t>
      </w:r>
    </w:p>
    <w:p w:rsidR="00824C36" w:rsidRDefault="00B97963">
      <w:pPr>
        <w:pStyle w:val="ManualHeading2"/>
        <w:rPr>
          <w:rFonts w:eastAsia="Arial Unicode MS"/>
          <w:noProof/>
          <w:u w:color="000000"/>
          <w:bdr w:val="nil"/>
        </w:rPr>
      </w:pPr>
      <w:r>
        <w:rPr>
          <w:noProof/>
        </w:rPr>
        <w:t>•</w:t>
      </w:r>
      <w:r>
        <w:rPr>
          <w:noProof/>
        </w:rPr>
        <w:tab/>
        <w:t>Explication détaillée des différentes dispositions de la proposition</w:t>
      </w:r>
    </w:p>
    <w:p w:rsidR="00824C36" w:rsidRDefault="00B97963">
      <w:pPr>
        <w:pBdr>
          <w:top w:val="nil"/>
          <w:left w:val="nil"/>
          <w:bottom w:val="nil"/>
          <w:right w:val="nil"/>
          <w:between w:val="nil"/>
          <w:bar w:val="nil"/>
        </w:pBdr>
        <w:spacing w:before="0" w:after="240"/>
        <w:rPr>
          <w:noProof/>
        </w:rPr>
      </w:pPr>
      <w:r>
        <w:rPr>
          <w:noProof/>
        </w:rPr>
        <w:t>La présente proposition modifie un nombre limité d'articles de la décision n° 1313/2013/UE po</w:t>
      </w:r>
      <w:r>
        <w:rPr>
          <w:noProof/>
        </w:rPr>
        <w:t>ur atteindre les objectifs énoncés plus haut.</w:t>
      </w:r>
    </w:p>
    <w:p w:rsidR="00824C36" w:rsidRDefault="00B97963">
      <w:pPr>
        <w:pBdr>
          <w:top w:val="nil"/>
          <w:left w:val="nil"/>
          <w:bottom w:val="nil"/>
          <w:right w:val="nil"/>
          <w:between w:val="nil"/>
          <w:bar w:val="nil"/>
        </w:pBdr>
        <w:spacing w:before="0" w:after="240"/>
        <w:rPr>
          <w:noProof/>
        </w:rPr>
      </w:pPr>
      <w:r>
        <w:rPr>
          <w:noProof/>
        </w:rPr>
        <w:t xml:space="preserve">Le premier objectif, à savoir renforcer la capacité collective à réagir aux catastrophes et aider les États membres à faire face aux catastrophes qui, ces dernières années, ont plus fréquemment touché le tissu </w:t>
      </w:r>
      <w:r>
        <w:rPr>
          <w:noProof/>
        </w:rPr>
        <w:t>social de l’Europe (moyens aériens de lutte contre les incendies, matériel de pompage à haut débit, capacités de recherche et de sauvetage en milieu urbain, hôpitaux de campagne et équipes médicales d’urgence), est réalisé par les moyens suivants:</w:t>
      </w:r>
    </w:p>
    <w:p w:rsidR="00824C36" w:rsidRDefault="00B97963">
      <w:pPr>
        <w:pStyle w:val="Tiret0"/>
        <w:numPr>
          <w:ilvl w:val="0"/>
          <w:numId w:val="16"/>
        </w:numPr>
        <w:rPr>
          <w:noProof/>
        </w:rPr>
      </w:pPr>
      <w:r>
        <w:rPr>
          <w:noProof/>
        </w:rPr>
        <w:t>création</w:t>
      </w:r>
      <w:r>
        <w:rPr>
          <w:noProof/>
        </w:rPr>
        <w:t xml:space="preserve"> d’une réserve spéciale de moyens: rescEU. La présente proposition autorise expressément la Commission à se doter de ses propres capacités opérationnelles et à mettre en place un dispositif permettant de garantir un accès rapide à ces capacités afin de cré</w:t>
      </w:r>
      <w:r>
        <w:rPr>
          <w:noProof/>
        </w:rPr>
        <w:t xml:space="preserve">er une réserve spéciale de moyens qui aidera à remédier aux déficits qui existent au niveau national. Les capacités louées ou prises en crédit-bail conformément au dispositif de l’UE ou acquises par cette dernière (financement intégral) feraient partie de </w:t>
      </w:r>
      <w:r>
        <w:rPr>
          <w:noProof/>
        </w:rPr>
        <w:t>rescEU. Tous les frais liés à ces capacités seraient entièrement couverts par le financement de l’UE, laquelle conservera le commandement et le contrôle opérationnels de ces moyens et décidera de leur déploiement une fois le mécanisme activé. Les capacités</w:t>
      </w:r>
      <w:r>
        <w:rPr>
          <w:noProof/>
        </w:rPr>
        <w:t xml:space="preserve"> supplémentaires nécessaires seront définies en consultation avec un groupe d’experts rescEU; </w:t>
      </w:r>
    </w:p>
    <w:p w:rsidR="00824C36" w:rsidRDefault="00B97963">
      <w:pPr>
        <w:pStyle w:val="Tiret0"/>
        <w:numPr>
          <w:ilvl w:val="0"/>
          <w:numId w:val="16"/>
        </w:numPr>
        <w:rPr>
          <w:noProof/>
        </w:rPr>
      </w:pPr>
      <w:r>
        <w:rPr>
          <w:noProof/>
        </w:rPr>
        <w:t>renforcement de la capacité européenne de réaction d’urgence, à laquelle les États membres peuvent affecter au préalable des capacités de réaction nationales (pa</w:t>
      </w:r>
      <w:r>
        <w:rPr>
          <w:noProof/>
        </w:rPr>
        <w:t>r exemple, détection et échantillonnage dans les domaines chimique, biologique, radiologique et nucléaire, purification de l’eau, lutte terrestre contre les incendies de forêts, sauvetage de victimes d'inondations au moyen de bateaux et autres capacités te</w:t>
      </w:r>
      <w:r>
        <w:rPr>
          <w:noProof/>
        </w:rPr>
        <w:t>lles que des laboratoires mobiles). Cette capacité restera une pièce maîtresse du MPCU et sera rebaptisée «réserve européenne de protection civile». La présente proposition revoit le système d’incitation à affecter des moyens à la réserve européenne de pro</w:t>
      </w:r>
      <w:r>
        <w:rPr>
          <w:noProof/>
        </w:rPr>
        <w:t xml:space="preserve">tection civile en relevant les taux de cofinancement et en diversifiant les types de coûts éligibles. La nouvelle proposition prévoit en particulier que les moyens affectés à la réserve européenne de protection civile bénéficieront d’une couverture à 75 % </w:t>
      </w:r>
      <w:r>
        <w:rPr>
          <w:noProof/>
        </w:rPr>
        <w:t>de tous les frais encourus lors des opérations du MPCU au sein de l’Union, notamment des coûts d’adaptation, de réparation et de transport ainsi que des coûts opérationnels.</w:t>
      </w:r>
    </w:p>
    <w:p w:rsidR="00824C36" w:rsidRDefault="00B97963">
      <w:pPr>
        <w:pBdr>
          <w:top w:val="nil"/>
          <w:left w:val="nil"/>
          <w:bottom w:val="nil"/>
          <w:right w:val="nil"/>
          <w:between w:val="nil"/>
          <w:bar w:val="nil"/>
        </w:pBdr>
        <w:spacing w:before="0" w:after="240"/>
        <w:rPr>
          <w:noProof/>
        </w:rPr>
      </w:pPr>
      <w:r>
        <w:rPr>
          <w:noProof/>
        </w:rPr>
        <w:t>Les capacités bénéficiant d'un cofinancement de l’UE, quel qu’il soit, devront êtr</w:t>
      </w:r>
      <w:r>
        <w:rPr>
          <w:noProof/>
        </w:rPr>
        <w:t>e incluses dans la réserve européenne de protection civile. Pour simplifier le système et rendre les moyens disponibles plus prévisibles, aucune aide financière ne sera plus accordée pour des moyens qui ne font pas partie de ladite réserve. Enfin, la propo</w:t>
      </w:r>
      <w:r>
        <w:rPr>
          <w:noProof/>
        </w:rPr>
        <w:t xml:space="preserve">sition renforce les incitations à mettre des capacités en commun (par exemple, la couverture, par la Commission, des coûts de transport de l'aide «à mettre en commun» d’un État membre vers un autre ainsi que des coûts de transit et d’entreposage de l’aide </w:t>
      </w:r>
      <w:r>
        <w:rPr>
          <w:noProof/>
        </w:rPr>
        <w:t>mise en commun dans les pays tiers).</w:t>
      </w:r>
    </w:p>
    <w:p w:rsidR="00824C36" w:rsidRDefault="00B97963">
      <w:pPr>
        <w:pBdr>
          <w:top w:val="nil"/>
          <w:left w:val="nil"/>
          <w:bottom w:val="nil"/>
          <w:right w:val="nil"/>
          <w:between w:val="nil"/>
          <w:bar w:val="nil"/>
        </w:pBdr>
        <w:spacing w:before="0" w:after="240"/>
        <w:rPr>
          <w:noProof/>
        </w:rPr>
      </w:pPr>
      <w:r>
        <w:rPr>
          <w:noProof/>
        </w:rPr>
        <w:t xml:space="preserve">En ce qui concerne le deuxième objectif, les liens entre la prévention, la préparation et la réaction ont été renforcés en rattachant l'évaluation des risques à la planification de la gestion des risques et en exigeant </w:t>
      </w:r>
      <w:r>
        <w:rPr>
          <w:noProof/>
        </w:rPr>
        <w:t>des États membres qu’ils communiquent à la Commission leurs plans de gestion des risques pour le 31 janvier 2019 au plus tard. Pour garantir que tous les États membres mettent en place des mesures de prévention efficaces et que rescEU ne se substitue pas a</w:t>
      </w:r>
      <w:r>
        <w:rPr>
          <w:noProof/>
        </w:rPr>
        <w:t>ux capacités nationales, la Commission pourra exiger des plans de prévention et de préparation spécifiques d'un ou de plusieurs États membres. Les plans de prévention devront prévoir, outre des actions de prévention à court terme, des efforts de prévention</w:t>
      </w:r>
      <w:r>
        <w:rPr>
          <w:noProof/>
        </w:rPr>
        <w:t xml:space="preserve"> à plus long terme visant à s’adapter, de manière générale, aux effets de plus en plus marqués du changement climatique. De plus, la planification des scénarios pour l’avenir devrait s’appuyer sur des évaluations des risques et des déploiements de capacité</w:t>
      </w:r>
      <w:r>
        <w:rPr>
          <w:noProof/>
        </w:rPr>
        <w:t>s, pour renforcer les liens concrets entre prévention, préparation et réaction.</w:t>
      </w:r>
    </w:p>
    <w:p w:rsidR="00824C36" w:rsidRDefault="00B97963">
      <w:pPr>
        <w:pBdr>
          <w:top w:val="nil"/>
          <w:left w:val="nil"/>
          <w:bottom w:val="nil"/>
          <w:right w:val="nil"/>
          <w:between w:val="nil"/>
          <w:bar w:val="nil"/>
        </w:pBdr>
        <w:spacing w:before="0" w:after="240"/>
        <w:rPr>
          <w:noProof/>
        </w:rPr>
      </w:pPr>
      <w:r>
        <w:rPr>
          <w:noProof/>
        </w:rPr>
        <w:t xml:space="preserve">La cohérence avec les autres instruments de l’Union en matière de prévention et de gestion des risques de catastrophes est, elle aussi, renforcée par l’établissement d’un lien </w:t>
      </w:r>
      <w:r>
        <w:rPr>
          <w:noProof/>
        </w:rPr>
        <w:t>entre le mécanisme de l’Union et les politiques en matière de cohésion, de développement rural, de santé et de recherche. Les décisions de financement relevant de ces politiques tiendront compte des progrès réalisés par les États membres dans le domaine de</w:t>
      </w:r>
      <w:r>
        <w:rPr>
          <w:noProof/>
        </w:rPr>
        <w:t xml:space="preserve"> la prévention et de la préparation. En outre, en ce qui concerne la cohérence avec les autres politiques de l’UE qui contribuent à la réaction aux catastrophes, la complémentarité et/ou la synchronisation de l’aide financière fournie au titre du mécanisme</w:t>
      </w:r>
      <w:r>
        <w:rPr>
          <w:noProof/>
        </w:rPr>
        <w:t xml:space="preserve"> de l’Union et d’autres instruments (tels que le règlement concernant l’aide humanitaire) sont également améliorées. Dans ce contexte, une dérogation à l'article 129, paragraphe 1, du règlement (UE, Euratom) n° 966/2012</w:t>
      </w:r>
      <w:r>
        <w:rPr>
          <w:rStyle w:val="FootnoteReference"/>
          <w:noProof/>
        </w:rPr>
        <w:footnoteReference w:id="12"/>
      </w:r>
      <w:r>
        <w:rPr>
          <w:noProof/>
        </w:rPr>
        <w:t xml:space="preserve"> garantira une meilleure utilisation</w:t>
      </w:r>
      <w:r>
        <w:rPr>
          <w:noProof/>
        </w:rPr>
        <w:t xml:space="preserve"> des possibilités de financement existantes et améliorera l’efficacité des opérations de réaction des États membres. La visibilité de l’UE sera elle aussi renforcée au moyen d’un article spécifique.</w:t>
      </w:r>
    </w:p>
    <w:p w:rsidR="00824C36" w:rsidRDefault="00B97963">
      <w:pPr>
        <w:pBdr>
          <w:top w:val="nil"/>
          <w:left w:val="nil"/>
          <w:bottom w:val="nil"/>
          <w:right w:val="nil"/>
          <w:between w:val="nil"/>
          <w:bar w:val="nil"/>
        </w:pBdr>
        <w:spacing w:before="0" w:after="240"/>
        <w:rPr>
          <w:noProof/>
        </w:rPr>
      </w:pPr>
      <w:r>
        <w:rPr>
          <w:noProof/>
        </w:rPr>
        <w:t>Concernant le deuxième objectif et dans le souci d’une pl</w:t>
      </w:r>
      <w:r>
        <w:rPr>
          <w:noProof/>
        </w:rPr>
        <w:t>us grande cohérence des politiques, la présente proposition comprend également des dispositions visant à garantir que le décaissement de fonds de l’UE par l’intermédiaire du mécanisme de l’Union s’accompagne d’une visibilité suffisante de cette dernière. D</w:t>
      </w:r>
      <w:r>
        <w:rPr>
          <w:noProof/>
        </w:rPr>
        <w:t>ans le même ordre d’idées, la présente proposition ouvre également la voie à l’établissement d’une structure spécifique de type réseau, le réseau européen de connaissances en matière de protection civile, qui renforcera le volet «formation» du MPCU, en étr</w:t>
      </w:r>
      <w:r>
        <w:rPr>
          <w:noProof/>
        </w:rPr>
        <w:t>oite coopération avec les structures nationales compétentes qui existent déjà.</w:t>
      </w:r>
    </w:p>
    <w:p w:rsidR="00824C36" w:rsidRDefault="00B97963">
      <w:pPr>
        <w:pBdr>
          <w:top w:val="nil"/>
          <w:left w:val="nil"/>
          <w:bottom w:val="nil"/>
          <w:right w:val="nil"/>
          <w:between w:val="nil"/>
          <w:bar w:val="nil"/>
        </w:pBdr>
        <w:spacing w:before="0" w:after="240"/>
        <w:rPr>
          <w:noProof/>
        </w:rPr>
      </w:pPr>
      <w:r>
        <w:rPr>
          <w:noProof/>
        </w:rPr>
        <w:t xml:space="preserve">Enfin, en ce qui concerne le troisième objectif, la proposition cherche à rationaliser les procédures administratives afin de réduire les retards dans le déploiement de l’aide. </w:t>
      </w:r>
      <w:r>
        <w:rPr>
          <w:noProof/>
        </w:rPr>
        <w:t>Elle simplifie le système actuel en introduisant une seule catégorie de moyens de réaction dont l’utilisation nécessite un cofinancement par les États membres et le budget de l’UE, à savoir la réserve européenne de protection civile. Une référence spécifiq</w:t>
      </w:r>
      <w:r>
        <w:rPr>
          <w:noProof/>
        </w:rPr>
        <w:t xml:space="preserve">ue à l’utilisation de montants unitaires, de montants forfaitaires et de taux forfaitaires est introduite pour le cofinancement des coûts de transport afin d'améliorer à la fois la cohérence et l’efficience. En outre, des dispositions spécifiques limitant </w:t>
      </w:r>
      <w:r>
        <w:rPr>
          <w:noProof/>
        </w:rPr>
        <w:t>l’activation du mécanisme de l’Union à une période de 90 jours (sauf justification contraire) sont prévues afin de clarifier le champ d’application et d’encourager l’utilisation des moyens dans la phase de réaction immédiate.</w:t>
      </w:r>
    </w:p>
    <w:p w:rsidR="00824C36" w:rsidRDefault="00824C36">
      <w:pPr>
        <w:rPr>
          <w:noProof/>
        </w:rPr>
        <w:sectPr w:rsidR="00824C36" w:rsidSect="00B97963">
          <w:footerReference w:type="default" r:id="rId16"/>
          <w:footerReference w:type="first" r:id="rId17"/>
          <w:pgSz w:w="11907" w:h="16839"/>
          <w:pgMar w:top="1134" w:right="1417" w:bottom="1134" w:left="1417" w:header="709" w:footer="709" w:gutter="0"/>
          <w:cols w:space="708"/>
          <w:docGrid w:linePitch="360"/>
        </w:sectPr>
      </w:pPr>
    </w:p>
    <w:p w:rsidR="00824C36" w:rsidRDefault="00B97963" w:rsidP="00B97963">
      <w:pPr>
        <w:pStyle w:val="Rfrenceinterinstitutionnelle"/>
        <w:rPr>
          <w:noProof/>
        </w:rPr>
      </w:pPr>
      <w:r w:rsidRPr="00B97963">
        <w:t>2017/0309 (COD)</w:t>
      </w:r>
    </w:p>
    <w:p w:rsidR="00824C36" w:rsidRDefault="00B97963">
      <w:pPr>
        <w:pStyle w:val="Statut"/>
        <w:rPr>
          <w:noProof/>
        </w:rPr>
      </w:pPr>
      <w:r>
        <w:rPr>
          <w:noProof/>
        </w:rPr>
        <w:t>Proposition de</w:t>
      </w:r>
    </w:p>
    <w:p w:rsidR="00824C36" w:rsidRDefault="00B97963">
      <w:pPr>
        <w:pStyle w:val="Typedudocument"/>
        <w:rPr>
          <w:noProof/>
        </w:rPr>
      </w:pPr>
      <w:r>
        <w:rPr>
          <w:noProof/>
        </w:rPr>
        <w:t>DÉCISION DU PARLEMENT EUROPÉEN ET DU CONSEIL</w:t>
      </w:r>
    </w:p>
    <w:p w:rsidR="00824C36" w:rsidRDefault="00B97963">
      <w:pPr>
        <w:pStyle w:val="Titreobjet"/>
        <w:rPr>
          <w:noProof/>
        </w:rPr>
      </w:pPr>
      <w:r>
        <w:rPr>
          <w:noProof/>
        </w:rPr>
        <w:t>modifiant la décision n° 1313/2013/UE relative au mécanisme de protection civile de l'Union</w:t>
      </w:r>
    </w:p>
    <w:p w:rsidR="00824C36" w:rsidRDefault="00B97963">
      <w:pPr>
        <w:pStyle w:val="Institutionquiagit"/>
        <w:rPr>
          <w:noProof/>
        </w:rPr>
      </w:pPr>
      <w:r>
        <w:rPr>
          <w:noProof/>
        </w:rPr>
        <w:t>LE PARLEMENT EUROPÉEN ET LE CONSEIL DE L'UNION EUROPÉENNE,</w:t>
      </w:r>
    </w:p>
    <w:p w:rsidR="00824C36" w:rsidRDefault="00B97963">
      <w:pPr>
        <w:rPr>
          <w:noProof/>
        </w:rPr>
      </w:pPr>
      <w:r>
        <w:rPr>
          <w:noProof/>
        </w:rPr>
        <w:t>vu le</w:t>
      </w:r>
      <w:r>
        <w:rPr>
          <w:noProof/>
        </w:rPr>
        <w:t xml:space="preserve"> traité sur le fonctionnement de l'Union européenne, et notamment son article 196,</w:t>
      </w:r>
    </w:p>
    <w:p w:rsidR="00824C36" w:rsidRDefault="00B97963">
      <w:pPr>
        <w:rPr>
          <w:noProof/>
        </w:rPr>
      </w:pPr>
      <w:r>
        <w:rPr>
          <w:noProof/>
        </w:rPr>
        <w:t>vu la proposition de la Commission européenne,</w:t>
      </w:r>
    </w:p>
    <w:p w:rsidR="00824C36" w:rsidRDefault="00B97963">
      <w:pPr>
        <w:rPr>
          <w:noProof/>
        </w:rPr>
      </w:pPr>
      <w:r>
        <w:rPr>
          <w:noProof/>
        </w:rPr>
        <w:t>après transmission du projet d’acte législatif aux parlements nationaux,</w:t>
      </w:r>
    </w:p>
    <w:p w:rsidR="00824C36" w:rsidRDefault="00B97963">
      <w:pPr>
        <w:rPr>
          <w:noProof/>
        </w:rPr>
      </w:pPr>
      <w:r>
        <w:rPr>
          <w:noProof/>
        </w:rPr>
        <w:t>vu l’avis du Comité des régions,</w:t>
      </w:r>
    </w:p>
    <w:p w:rsidR="00824C36" w:rsidRDefault="00B97963">
      <w:pPr>
        <w:rPr>
          <w:noProof/>
        </w:rPr>
      </w:pPr>
      <w:r>
        <w:rPr>
          <w:noProof/>
        </w:rPr>
        <w:t>statuant conformémen</w:t>
      </w:r>
      <w:r>
        <w:rPr>
          <w:noProof/>
        </w:rPr>
        <w:t>t à la procédure législative ordinaire,</w:t>
      </w:r>
    </w:p>
    <w:p w:rsidR="00824C36" w:rsidRDefault="00B97963">
      <w:pPr>
        <w:rPr>
          <w:noProof/>
        </w:rPr>
      </w:pPr>
      <w:r>
        <w:rPr>
          <w:noProof/>
        </w:rPr>
        <w:t>considérant ce qui suit:</w:t>
      </w:r>
    </w:p>
    <w:p w:rsidR="00824C36" w:rsidRDefault="00B97963">
      <w:pPr>
        <w:pStyle w:val="ManualConsidrant"/>
        <w:rPr>
          <w:noProof/>
        </w:rPr>
      </w:pPr>
      <w:r>
        <w:t>(1)</w:t>
      </w:r>
      <w:r>
        <w:tab/>
      </w:r>
      <w:r>
        <w:rPr>
          <w:noProof/>
        </w:rPr>
        <w:t>Le mécanisme de protection civile de l’Union (ci-après le «mécanisme de l’Union») régi par la décision n° 1313/2013/UE du Parlement européen et du Conseil</w:t>
      </w:r>
      <w:r>
        <w:rPr>
          <w:rStyle w:val="FootnoteReference"/>
          <w:noProof/>
        </w:rPr>
        <w:footnoteReference w:id="13"/>
      </w:r>
      <w:r>
        <w:rPr>
          <w:noProof/>
        </w:rPr>
        <w:t xml:space="preserve"> renforce la coopération entre l</w:t>
      </w:r>
      <w:r>
        <w:rPr>
          <w:noProof/>
        </w:rPr>
        <w:t>’Union et les États membres et facilite la coordination dans le domaine de la protection civile en vue d'améliorer la réaction de l’UE en cas de catastrophes naturelles et d’origine humaine.</w:t>
      </w:r>
    </w:p>
    <w:p w:rsidR="00824C36" w:rsidRDefault="00B97963">
      <w:pPr>
        <w:pStyle w:val="ManualConsidrant"/>
        <w:rPr>
          <w:noProof/>
        </w:rPr>
      </w:pPr>
      <w:r>
        <w:t>(2)</w:t>
      </w:r>
      <w:r>
        <w:tab/>
      </w:r>
      <w:r>
        <w:rPr>
          <w:noProof/>
        </w:rPr>
        <w:t>Bien que reconnaissant que la responsabilité en matière de pr</w:t>
      </w:r>
      <w:r>
        <w:rPr>
          <w:noProof/>
        </w:rPr>
        <w:t>évention, de préparation et de réaction face aux catastrophes naturelles et d’origine humaine incombe en premier lieu aux États membres, le mécanisme de l’Union favorise la solidarité entre ceux-ci conformément à l’article 3, paragraphe 3, du traité sur l’</w:t>
      </w:r>
      <w:r>
        <w:rPr>
          <w:noProof/>
        </w:rPr>
        <w:t>Union européenne.</w:t>
      </w:r>
    </w:p>
    <w:p w:rsidR="00824C36" w:rsidRDefault="00B97963">
      <w:pPr>
        <w:pStyle w:val="ManualConsidrant"/>
        <w:rPr>
          <w:noProof/>
        </w:rPr>
      </w:pPr>
      <w:r>
        <w:t>(3)</w:t>
      </w:r>
      <w:r>
        <w:tab/>
      </w:r>
      <w:r>
        <w:rPr>
          <w:noProof/>
        </w:rPr>
        <w:t>Les catastrophes naturelles et d'origine humaine peuvent frapper partout dans le monde, souvent sans prévenir. Qu’elles soient naturelles ou d’origine humaine, elles sont de plus en plus fréquentes, extrêmes et complexes, exacerbées p</w:t>
      </w:r>
      <w:r>
        <w:rPr>
          <w:noProof/>
        </w:rPr>
        <w:t>ar les effets du changement climatique et indifférentes aux frontières nationales. Elles peuvent avoir des conséquences humaines, environnementales et économiques colossales.</w:t>
      </w:r>
    </w:p>
    <w:p w:rsidR="00824C36" w:rsidRDefault="00B97963">
      <w:pPr>
        <w:pStyle w:val="ManualConsidrant"/>
        <w:rPr>
          <w:noProof/>
        </w:rPr>
      </w:pPr>
      <w:r>
        <w:t>(4)</w:t>
      </w:r>
      <w:r>
        <w:tab/>
      </w:r>
      <w:r>
        <w:rPr>
          <w:noProof/>
        </w:rPr>
        <w:t>L’expérience récente a montré que le recours à des offres volontaires d'assis</w:t>
      </w:r>
      <w:r>
        <w:rPr>
          <w:noProof/>
        </w:rPr>
        <w:t xml:space="preserve">tance mutuelle, coordonnées et facilitées par le mécanisme de l’Union, ne garantit pas toujours la mise à disposition de capacités suffisantes pour répondre de manière satisfaisante aux besoins essentiels des personnes touchées par des catastrophes ni une </w:t>
      </w:r>
      <w:r>
        <w:rPr>
          <w:noProof/>
        </w:rPr>
        <w:t>protection adéquate de l’environnement et des biens. C’est notamment le cas lorsque plusieurs États membres sont frappés simultanément par des catastrophes récurrentes et que la capacité collective est insuffisante.</w:t>
      </w:r>
    </w:p>
    <w:p w:rsidR="00824C36" w:rsidRDefault="00B97963">
      <w:pPr>
        <w:pStyle w:val="ManualConsidrant"/>
        <w:rPr>
          <w:noProof/>
        </w:rPr>
      </w:pPr>
      <w:r>
        <w:t>(5)</w:t>
      </w:r>
      <w:r>
        <w:tab/>
      </w:r>
      <w:r>
        <w:rPr>
          <w:noProof/>
        </w:rPr>
        <w:t>La prévention revêt une importance e</w:t>
      </w:r>
      <w:r>
        <w:rPr>
          <w:noProof/>
        </w:rPr>
        <w:t>ssentielle pour la protection contre les catastrophes et nécessite de nouvelles mesures. À cet effet, les États membres devraient partager leurs évaluations des risques à intervalles réguliers ainsi que des résumés de leur planification de la gestion des r</w:t>
      </w:r>
      <w:r>
        <w:rPr>
          <w:noProof/>
        </w:rPr>
        <w:t>isques de catastrophes, afin de mettre en place une approche intégrée de gestion des catastrophes qui fasse le lien entre la prévention, la préparation et la réaction. En outre, la Commission devrait pouvoir demander aux États membres de lui fournir des pl</w:t>
      </w:r>
      <w:r>
        <w:rPr>
          <w:noProof/>
        </w:rPr>
        <w:t>ans de prévention et de préparation spécifiques à certains types de catastrophes en vue, notamment, d’optimiser le soutien global de l’Union à la gestion des risques de catastrophes. La charge administrative devrait être allégée et les politiques de préven</w:t>
      </w:r>
      <w:r>
        <w:rPr>
          <w:noProof/>
        </w:rPr>
        <w:t>tion renforcées, y compris en établissant les liens nécessaires avec d'autres politiques et instruments essentiels de l’Union, notamment avec les Fonds structurels et d'investissement européens énumérés au considérant 2 du règlement (UE) n° 1303/2013</w:t>
      </w:r>
      <w:r>
        <w:rPr>
          <w:rStyle w:val="FootnoteReference"/>
          <w:noProof/>
        </w:rPr>
        <w:footnoteReference w:id="14"/>
      </w:r>
      <w:r>
        <w:rPr>
          <w:noProof/>
        </w:rPr>
        <w:t>.</w:t>
      </w:r>
    </w:p>
    <w:p w:rsidR="00824C36" w:rsidRDefault="00B97963">
      <w:pPr>
        <w:pStyle w:val="ManualConsidrant"/>
        <w:rPr>
          <w:noProof/>
        </w:rPr>
      </w:pPr>
      <w:r>
        <w:t>(6)</w:t>
      </w:r>
      <w:r>
        <w:tab/>
      </w:r>
      <w:r>
        <w:rPr>
          <w:noProof/>
        </w:rPr>
        <w:t>Il est nécessaire de renforcer la capacité collective à se préparer et à réagir aux catastrophes, notamment en recourant au soutien mutuel en Europe. La Commission devrait non seulement renforcer les possibilités déjà offertes par la capacité européenne d</w:t>
      </w:r>
      <w:r>
        <w:rPr>
          <w:noProof/>
        </w:rPr>
        <w:t>e réaction d’urgence (European Emergency Response Capacity, EERC ou «réserve volontaire»), rebaptisée «réserve européenne de protection civile», mais aussi créer rescEU. rescEU devrait comprendre, entre autres, des capacités de réaction d’urgence pour fair</w:t>
      </w:r>
      <w:r>
        <w:rPr>
          <w:noProof/>
        </w:rPr>
        <w:t>e face aux feux de friches, aux inondations de grande ampleur et aux tremblements de terre, ainsi qu'un hôpital de campagne et des équipes médicales conformes aux normes de l’Organisation mondiale de la santé, pouvant être déployés rapidement.</w:t>
      </w:r>
    </w:p>
    <w:p w:rsidR="00824C36" w:rsidRDefault="00B97963">
      <w:pPr>
        <w:pStyle w:val="ManualConsidrant"/>
        <w:rPr>
          <w:noProof/>
        </w:rPr>
      </w:pPr>
      <w:r>
        <w:t>(7)</w:t>
      </w:r>
      <w:r>
        <w:tab/>
      </w:r>
      <w:r>
        <w:rPr>
          <w:noProof/>
        </w:rPr>
        <w:t xml:space="preserve">L’Union </w:t>
      </w:r>
      <w:r>
        <w:rPr>
          <w:noProof/>
        </w:rPr>
        <w:t>devrait pouvoir soutenir les États membres, lorsque les capacités disponibles sont insuffisantes pour permettre de réagir efficacement aux catastrophes, en contribuant au financement de la location ou de la prise en crédit-bail des capacités nécessaires, d</w:t>
      </w:r>
      <w:r>
        <w:rPr>
          <w:noProof/>
        </w:rPr>
        <w:t>e manière à garantir un accès rapide à celles-ci, ou en finançant leur acquisition. Cela permettrait d’accroître de manière significative l’efficacité du mécanisme de l’Union, en faisant en sorte que des capacités soient disponibles dans les cas où une réa</w:t>
      </w:r>
      <w:r>
        <w:rPr>
          <w:noProof/>
        </w:rPr>
        <w:t xml:space="preserve">ction efficace aux catastrophes ne serait autrement pas garantie, en particulier lors de catastrophes aux vastes conséquences touchant un nombre important d’États membres. L’acquisition de capacités par l’Union devrait permettre des économies d’échelle et </w:t>
      </w:r>
      <w:r>
        <w:rPr>
          <w:noProof/>
        </w:rPr>
        <w:t>une meilleure coordination de la réaction aux catastrophes.</w:t>
      </w:r>
    </w:p>
    <w:p w:rsidR="00824C36" w:rsidRDefault="00B97963">
      <w:pPr>
        <w:pStyle w:val="ManualConsidrant"/>
        <w:rPr>
          <w:noProof/>
        </w:rPr>
      </w:pPr>
      <w:r>
        <w:t>(8)</w:t>
      </w:r>
      <w:r>
        <w:tab/>
      </w:r>
      <w:r>
        <w:rPr>
          <w:noProof/>
        </w:rPr>
        <w:t>Le renforcement de la réserve européenne de protection civile exige un financement accru, par l’Union, des coûts d'adaptation et de réparation des capacités ainsi que des coûts opérationnels.</w:t>
      </w:r>
    </w:p>
    <w:p w:rsidR="00824C36" w:rsidRDefault="00B97963">
      <w:pPr>
        <w:pStyle w:val="ManualConsidrant"/>
        <w:rPr>
          <w:noProof/>
        </w:rPr>
      </w:pPr>
      <w:r>
        <w:t>(9)</w:t>
      </w:r>
      <w:r>
        <w:tab/>
      </w:r>
      <w:r>
        <w:rPr>
          <w:noProof/>
        </w:rPr>
        <w:t>Afin de renforcer l’efficience et l’efficacité de la formation et des exercices et d'améliorer la coopération entre les autorités et services de protection civile des États membres, il est nécessaire d’établir un réseau européen de connaissances en mat</w:t>
      </w:r>
      <w:r>
        <w:rPr>
          <w:noProof/>
        </w:rPr>
        <w:t>ière de protection civile fondé sur les structures existantes.</w:t>
      </w:r>
    </w:p>
    <w:p w:rsidR="00824C36" w:rsidRDefault="00B97963">
      <w:pPr>
        <w:pStyle w:val="ManualConsidrant"/>
        <w:rPr>
          <w:noProof/>
        </w:rPr>
      </w:pPr>
      <w:r>
        <w:t>(10)</w:t>
      </w:r>
      <w:r>
        <w:tab/>
      </w:r>
      <w:r>
        <w:rPr>
          <w:noProof/>
        </w:rPr>
        <w:t>Pour garantir le bon fonctionnement de la capacité rescEU, des crédits supplémentaires devraient être mis à disposition pour financer les actions au titre du mécanisme de l’Union.</w:t>
      </w:r>
    </w:p>
    <w:p w:rsidR="00824C36" w:rsidRDefault="00B97963">
      <w:pPr>
        <w:pStyle w:val="ManualConsidrant"/>
        <w:rPr>
          <w:noProof/>
        </w:rPr>
      </w:pPr>
      <w:r>
        <w:t>(11)</w:t>
      </w:r>
      <w:r>
        <w:tab/>
      </w:r>
      <w:r>
        <w:rPr>
          <w:noProof/>
        </w:rPr>
        <w:t xml:space="preserve">Il </w:t>
      </w:r>
      <w:r>
        <w:rPr>
          <w:noProof/>
        </w:rPr>
        <w:t>est nécessaire de simplifier les procédures du mécanisme de l’Union pour permettre aux États membres d’accéder à l’aide et aux capacités requises pour réagir aussi rapidement que possible aux catastrophes naturelles ou d’origine humaine.</w:t>
      </w:r>
    </w:p>
    <w:p w:rsidR="00824C36" w:rsidRDefault="00B97963">
      <w:pPr>
        <w:pStyle w:val="ManualConsidrant"/>
        <w:rPr>
          <w:bCs/>
          <w:noProof/>
        </w:rPr>
      </w:pPr>
      <w:r>
        <w:t>(12)</w:t>
      </w:r>
      <w:r>
        <w:tab/>
      </w:r>
      <w:r>
        <w:rPr>
          <w:noProof/>
        </w:rPr>
        <w:t>Afin d’optimi</w:t>
      </w:r>
      <w:r>
        <w:rPr>
          <w:noProof/>
        </w:rPr>
        <w:t>ser l’utilisation des instruments de financement existants et d'aider les États membres à fournir de l'aide, particulièrement en réaction aux catastrophes qui surviennent en dehors de l’Union, une dérogation à l'article 129, paragraphe 1, du règlement (UE,</w:t>
      </w:r>
      <w:r>
        <w:rPr>
          <w:noProof/>
        </w:rPr>
        <w:t xml:space="preserve"> Euratom) n° 966/2012 du Parlement européen et du Conseil</w:t>
      </w:r>
      <w:r>
        <w:rPr>
          <w:rStyle w:val="FootnoteReference"/>
          <w:noProof/>
        </w:rPr>
        <w:footnoteReference w:id="15"/>
      </w:r>
      <w:r>
        <w:rPr>
          <w:noProof/>
        </w:rPr>
        <w:t xml:space="preserve"> devrait être accordée lorsque le financement est octroyé en vertu des articles 21, 22 et 23 de la décision n° 1313/2013/UE.</w:t>
      </w:r>
    </w:p>
    <w:p w:rsidR="00824C36" w:rsidRDefault="00B97963">
      <w:pPr>
        <w:pStyle w:val="ManualConsidrant"/>
        <w:rPr>
          <w:noProof/>
        </w:rPr>
      </w:pPr>
      <w:r>
        <w:t>(13)</w:t>
      </w:r>
      <w:r>
        <w:tab/>
      </w:r>
      <w:r>
        <w:rPr>
          <w:noProof/>
        </w:rPr>
        <w:t>Il est important de veiller à ce que les États membres prennent tout</w:t>
      </w:r>
      <w:r>
        <w:rPr>
          <w:noProof/>
        </w:rPr>
        <w:t>es les mesures nécessaires pour prévenir efficacement les catastrophes naturelles et d’origine humaine et en atténuer les effets. Des dispositions devraient renforcer les liens entre les actions de prévention, de préparation et de réaction au titre du méca</w:t>
      </w:r>
      <w:r>
        <w:rPr>
          <w:noProof/>
        </w:rPr>
        <w:t>nisme de l’Union. Il y a également lieu de garantir la cohérence avec d'autres législations de l’Union en matière de prévention et de gestion des risques de catastrophes, notamment avec les actions de prévention transfrontières et les réactions aux menaces</w:t>
      </w:r>
      <w:r>
        <w:rPr>
          <w:noProof/>
        </w:rPr>
        <w:t xml:space="preserve"> telles que les menaces transfrontières graves pour la santé</w:t>
      </w:r>
      <w:r>
        <w:rPr>
          <w:rStyle w:val="FootnoteReference"/>
          <w:noProof/>
        </w:rPr>
        <w:footnoteReference w:id="16"/>
      </w:r>
      <w:r>
        <w:rPr>
          <w:noProof/>
        </w:rPr>
        <w:t>. De même, il convient de garantir la cohérence avec les engagements pris au niveau international tels que le cadre de Sendai pour la réduction des risques de catastrophe (2015-2030), l'accord de</w:t>
      </w:r>
      <w:r>
        <w:rPr>
          <w:noProof/>
        </w:rPr>
        <w:t xml:space="preserve"> Paris et le programme de développement durable à l’horizon 2030.</w:t>
      </w:r>
    </w:p>
    <w:p w:rsidR="00824C36" w:rsidRDefault="00B97963">
      <w:pPr>
        <w:pStyle w:val="ManualConsidrant"/>
        <w:rPr>
          <w:noProof/>
        </w:rPr>
      </w:pPr>
      <w:r>
        <w:t>(14)</w:t>
      </w:r>
      <w:r>
        <w:tab/>
      </w:r>
      <w:r>
        <w:rPr>
          <w:noProof/>
        </w:rPr>
        <w:t>Il y a lieu de modifier les compétences attribuées à la Commission par la décision n° 1313/2013/UE de manière à permettre la mise en place d’une capacité effective d'aide d’urgence pour</w:t>
      </w:r>
      <w:r>
        <w:rPr>
          <w:noProof/>
        </w:rPr>
        <w:t xml:space="preserve"> l’Union européenne (rescEU). Il convient de déléguer à la Commission le pouvoir d'adopter, conformément à l'article 290 du traité sur le fonctionnement de l'Union européenne, des actes visant à définir de nouveaux types de capacités de réponse sur la base</w:t>
      </w:r>
      <w:r>
        <w:rPr>
          <w:noProof/>
        </w:rPr>
        <w:t xml:space="preserve"> des risques recensés et d’une approche multirisques.</w:t>
      </w:r>
    </w:p>
    <w:p w:rsidR="00824C36" w:rsidRDefault="00B97963">
      <w:pPr>
        <w:pStyle w:val="ManualConsidrant"/>
        <w:rPr>
          <w:noProof/>
        </w:rPr>
      </w:pPr>
      <w:r>
        <w:t>(15)</w:t>
      </w:r>
      <w:r>
        <w:tab/>
      </w:r>
      <w:r>
        <w:rPr>
          <w:noProof/>
        </w:rPr>
        <w:t>Étant donné que les objectifs de la présente décision ne peuvent pas être atteints de manière suffisante par des actions isolées des États membres, mais peuvent, en raison des dimensions ou des eff</w:t>
      </w:r>
      <w:r>
        <w:rPr>
          <w:noProof/>
        </w:rPr>
        <w:t>ets, l'être mieux au niveau de l'Union, celle-ci peut prendre des mesures conformément au principe de subsidiarité consacré à l'article 5 du traité sur l'Union européenne. Conformément au principe de proportionnalité tel qu'énoncé audit article, la présent</w:t>
      </w:r>
      <w:r>
        <w:rPr>
          <w:noProof/>
        </w:rPr>
        <w:t>e décision n'excède pas ce qui est nécessaire pour atteindre ces objectifs.</w:t>
      </w:r>
    </w:p>
    <w:p w:rsidR="00824C36" w:rsidRDefault="00B97963">
      <w:pPr>
        <w:pStyle w:val="ManualConsidrant"/>
        <w:rPr>
          <w:noProof/>
        </w:rPr>
      </w:pPr>
      <w:r>
        <w:t>(16)</w:t>
      </w:r>
      <w:r>
        <w:tab/>
      </w:r>
      <w:r>
        <w:rPr>
          <w:noProof/>
        </w:rPr>
        <w:t>Il convient dès lors de modifier la décision n° 1313/2013/UE en conséquence,</w:t>
      </w:r>
    </w:p>
    <w:p w:rsidR="00824C36" w:rsidRDefault="00B97963">
      <w:pPr>
        <w:pStyle w:val="Formuledadoption"/>
        <w:rPr>
          <w:noProof/>
        </w:rPr>
      </w:pPr>
      <w:r>
        <w:rPr>
          <w:noProof/>
        </w:rPr>
        <w:t>ONT ADOPTÉ LA PRÉSENTE DÉCISION:</w:t>
      </w:r>
    </w:p>
    <w:p w:rsidR="00824C36" w:rsidRDefault="00B97963">
      <w:pPr>
        <w:pStyle w:val="Titrearticle"/>
        <w:rPr>
          <w:noProof/>
        </w:rPr>
      </w:pPr>
      <w:r>
        <w:rPr>
          <w:noProof/>
        </w:rPr>
        <w:t>Article premier</w:t>
      </w:r>
    </w:p>
    <w:p w:rsidR="00824C36" w:rsidRDefault="00B97963">
      <w:pPr>
        <w:rPr>
          <w:noProof/>
        </w:rPr>
      </w:pPr>
      <w:r>
        <w:rPr>
          <w:noProof/>
        </w:rPr>
        <w:t>La décision n° 1313/2013/UE est modifiée comme su</w:t>
      </w:r>
      <w:r>
        <w:rPr>
          <w:noProof/>
        </w:rPr>
        <w:t>it:</w:t>
      </w:r>
    </w:p>
    <w:p w:rsidR="00824C36" w:rsidRDefault="00B97963">
      <w:pPr>
        <w:pStyle w:val="Point0"/>
        <w:rPr>
          <w:noProof/>
        </w:rPr>
      </w:pPr>
      <w:r>
        <w:rPr>
          <w:noProof/>
        </w:rPr>
        <w:t>1)</w:t>
      </w:r>
      <w:r>
        <w:rPr>
          <w:noProof/>
        </w:rPr>
        <w:tab/>
        <w:t>L’article 3 est modifié comme suit:</w:t>
      </w:r>
    </w:p>
    <w:p w:rsidR="00824C36" w:rsidRDefault="00B97963">
      <w:pPr>
        <w:pStyle w:val="Point0"/>
        <w:ind w:firstLine="0"/>
        <w:rPr>
          <w:noProof/>
        </w:rPr>
      </w:pPr>
      <w:r>
        <w:rPr>
          <w:noProof/>
        </w:rPr>
        <w:t>a) au paragraphe 1, le point e) suivant est ajouté:</w:t>
      </w:r>
    </w:p>
    <w:p w:rsidR="00824C36" w:rsidRDefault="00B97963">
      <w:pPr>
        <w:pStyle w:val="Point0"/>
        <w:ind w:firstLine="0"/>
        <w:rPr>
          <w:noProof/>
        </w:rPr>
      </w:pPr>
      <w:r>
        <w:rPr>
          <w:noProof/>
        </w:rPr>
        <w:t>«e)</w:t>
      </w:r>
      <w:r>
        <w:rPr>
          <w:noProof/>
        </w:rPr>
        <w:tab/>
        <w:t>accroître la disponibilité et l’utilisation de connaissances scientifiques sur les catastrophes.»</w:t>
      </w:r>
    </w:p>
    <w:p w:rsidR="00824C36" w:rsidRDefault="00B97963">
      <w:pPr>
        <w:pStyle w:val="Point0"/>
        <w:ind w:firstLine="0"/>
        <w:rPr>
          <w:noProof/>
        </w:rPr>
      </w:pPr>
      <w:r>
        <w:rPr>
          <w:noProof/>
        </w:rPr>
        <w:t>b) au paragraphe 2, le point a) est remplacé par le texte s</w:t>
      </w:r>
      <w:r>
        <w:rPr>
          <w:noProof/>
        </w:rPr>
        <w:t>uivant:</w:t>
      </w:r>
    </w:p>
    <w:p w:rsidR="00824C36" w:rsidRDefault="00B97963">
      <w:pPr>
        <w:pStyle w:val="Point1"/>
        <w:rPr>
          <w:noProof/>
        </w:rPr>
      </w:pPr>
      <w:r>
        <w:rPr>
          <w:noProof/>
        </w:rPr>
        <w:t>«a)</w:t>
      </w:r>
      <w:r>
        <w:rPr>
          <w:noProof/>
        </w:rPr>
        <w:tab/>
        <w:t xml:space="preserve">les progrès liés à la mise en œuvre du cadre de prévention des catastrophes: qui sont mesurés par le nombre d'États membres qui ont fourni à la Commission leurs évaluations des risques, une évaluation de leur capacité de gestion des risques et </w:t>
      </w:r>
      <w:r>
        <w:rPr>
          <w:noProof/>
        </w:rPr>
        <w:t>un résumé de leur planification de la gestion des risques de catastrophes visés à l'article 6;»</w:t>
      </w:r>
    </w:p>
    <w:p w:rsidR="00824C36" w:rsidRDefault="00B97963">
      <w:pPr>
        <w:pStyle w:val="Point0number"/>
        <w:numPr>
          <w:ilvl w:val="0"/>
          <w:numId w:val="18"/>
        </w:numPr>
        <w:rPr>
          <w:noProof/>
        </w:rPr>
      </w:pPr>
      <w:r>
        <w:rPr>
          <w:noProof/>
        </w:rPr>
        <w:t>À l'article 4, le point 12 suivant est ajouté:</w:t>
      </w:r>
    </w:p>
    <w:p w:rsidR="00824C36" w:rsidRDefault="00B97963">
      <w:pPr>
        <w:pStyle w:val="Point1"/>
        <w:ind w:firstLine="0"/>
        <w:rPr>
          <w:noProof/>
        </w:rPr>
      </w:pPr>
      <w:r>
        <w:rPr>
          <w:noProof/>
        </w:rPr>
        <w:t xml:space="preserve">«12) “État participant”, un pays tiers qui participe au mécanisme de l’Union conformément à l'article 28, </w:t>
      </w:r>
      <w:r>
        <w:rPr>
          <w:noProof/>
        </w:rPr>
        <w:t>paragraphe 1.»</w:t>
      </w:r>
    </w:p>
    <w:p w:rsidR="00824C36" w:rsidRDefault="00B97963">
      <w:pPr>
        <w:pStyle w:val="Point0"/>
        <w:rPr>
          <w:noProof/>
        </w:rPr>
      </w:pPr>
      <w:r>
        <w:rPr>
          <w:noProof/>
        </w:rPr>
        <w:t>3)</w:t>
      </w:r>
      <w:r>
        <w:rPr>
          <w:noProof/>
        </w:rPr>
        <w:tab/>
        <w:t>À l'article 5, paragraphe 1, le point a) est remplacé par le texte suivant:</w:t>
      </w:r>
    </w:p>
    <w:p w:rsidR="00824C36" w:rsidRDefault="00B97963">
      <w:pPr>
        <w:pStyle w:val="Point0"/>
        <w:rPr>
          <w:noProof/>
        </w:rPr>
      </w:pPr>
      <w:r>
        <w:rPr>
          <w:noProof/>
        </w:rPr>
        <w:tab/>
        <w:t>«a)</w:t>
      </w:r>
      <w:r>
        <w:rPr>
          <w:noProof/>
        </w:rPr>
        <w:tab/>
        <w:t>prend des mesures pour améliorer la base de connaissances sur les risques de catastrophes et favorise le partage des connaissances, des résultats de la reche</w:t>
      </w:r>
      <w:r>
        <w:rPr>
          <w:noProof/>
        </w:rPr>
        <w:t>rche scientifique, des bonnes pratiques et des informations, notamment entre les États membres confrontés à des risques communs;»</w:t>
      </w:r>
    </w:p>
    <w:p w:rsidR="00824C36" w:rsidRDefault="00B97963">
      <w:pPr>
        <w:pStyle w:val="Point0"/>
        <w:rPr>
          <w:noProof/>
        </w:rPr>
      </w:pPr>
      <w:r>
        <w:rPr>
          <w:noProof/>
        </w:rPr>
        <w:t>4)</w:t>
      </w:r>
      <w:r>
        <w:rPr>
          <w:noProof/>
        </w:rPr>
        <w:tab/>
        <w:t>L’article 6 est modifié comme suit:</w:t>
      </w:r>
    </w:p>
    <w:p w:rsidR="00824C36" w:rsidRDefault="00B97963">
      <w:pPr>
        <w:pStyle w:val="Point0"/>
        <w:ind w:firstLine="0"/>
        <w:rPr>
          <w:noProof/>
        </w:rPr>
      </w:pPr>
      <w:r>
        <w:rPr>
          <w:noProof/>
        </w:rPr>
        <w:t>a)</w:t>
      </w:r>
      <w:r>
        <w:rPr>
          <w:noProof/>
        </w:rPr>
        <w:tab/>
        <w:t>les points a) et b) sont remplacés par le texte suivant:</w:t>
      </w:r>
    </w:p>
    <w:p w:rsidR="00824C36" w:rsidRDefault="00B97963">
      <w:pPr>
        <w:pStyle w:val="Point1"/>
        <w:rPr>
          <w:noProof/>
        </w:rPr>
      </w:pPr>
      <w:r>
        <w:rPr>
          <w:noProof/>
        </w:rPr>
        <w:t>«a)</w:t>
      </w:r>
      <w:r>
        <w:rPr>
          <w:noProof/>
        </w:rPr>
        <w:tab/>
        <w:t>établissent des évaluat</w:t>
      </w:r>
      <w:r>
        <w:rPr>
          <w:noProof/>
        </w:rPr>
        <w:t>ions des risques au niveau national ou au niveau infranational approprié et les fournissent à la Commission pour le 22 décembre 2018, puis tous les trois ans;</w:t>
      </w:r>
    </w:p>
    <w:p w:rsidR="00824C36" w:rsidRDefault="00B97963">
      <w:pPr>
        <w:pStyle w:val="Point1"/>
        <w:rPr>
          <w:noProof/>
        </w:rPr>
      </w:pPr>
      <w:r>
        <w:rPr>
          <w:noProof/>
        </w:rPr>
        <w:t>b)</w:t>
      </w:r>
      <w:r>
        <w:rPr>
          <w:noProof/>
        </w:rPr>
        <w:tab/>
        <w:t>élaborent et améliorent leur planification de la gestion des risques de catastrophes au niveau</w:t>
      </w:r>
      <w:r>
        <w:rPr>
          <w:noProof/>
        </w:rPr>
        <w:t xml:space="preserve"> national ou au niveau infranational approprié sur la base des évaluations des risques mentionnées au point a) et en tenant compte de l’évaluation de leur capacité de gestion des risques mentionnée au point c) et de l’aperçu des risques mentionné à l’artic</w:t>
      </w:r>
      <w:r>
        <w:rPr>
          <w:noProof/>
        </w:rPr>
        <w:t>le 5, paragraphe 1, point c).»</w:t>
      </w:r>
    </w:p>
    <w:p w:rsidR="00824C36" w:rsidRDefault="00B97963">
      <w:pPr>
        <w:pStyle w:val="Point1"/>
        <w:ind w:left="130" w:firstLine="720"/>
        <w:rPr>
          <w:noProof/>
        </w:rPr>
      </w:pPr>
      <w:r>
        <w:rPr>
          <w:noProof/>
        </w:rPr>
        <w:t>b)</w:t>
      </w:r>
      <w:r>
        <w:rPr>
          <w:noProof/>
        </w:rPr>
        <w:tab/>
        <w:t>le deuxième alinéa suivant est ajouté:</w:t>
      </w:r>
    </w:p>
    <w:p w:rsidR="00824C36" w:rsidRDefault="00B97963">
      <w:pPr>
        <w:pStyle w:val="Point1"/>
        <w:ind w:firstLine="0"/>
        <w:rPr>
          <w:noProof/>
        </w:rPr>
      </w:pPr>
      <w:r>
        <w:rPr>
          <w:noProof/>
        </w:rPr>
        <w:t>«Un résumé des éléments pertinents de la planification de la gestion des risques, comprenant notamment des informations sur les mesures de prévention et de préparation retenues, est f</w:t>
      </w:r>
      <w:r>
        <w:rPr>
          <w:noProof/>
        </w:rPr>
        <w:t>ourni à la Commission pour le 31 janvier 2019, puis tous les trois ans. En outre, la Commission peut exiger des États membres qu’ils lui fournissent des plans de prévention et de préparation spécifiques couvrant à la fois les efforts à court et à long term</w:t>
      </w:r>
      <w:r>
        <w:rPr>
          <w:noProof/>
        </w:rPr>
        <w:t>e. L’Union tient dûment compte des progrès réalisés par les États membres en matière de prévention des catastrophes et de préparation à celles-ci dans le cadre de tout futur mécanisme de conditions ex ante au titre des Fonds structurels et d’investissement</w:t>
      </w:r>
      <w:r>
        <w:rPr>
          <w:noProof/>
        </w:rPr>
        <w:t xml:space="preserve"> européens.»</w:t>
      </w:r>
    </w:p>
    <w:p w:rsidR="00824C36" w:rsidRDefault="00B97963">
      <w:pPr>
        <w:pStyle w:val="Point0"/>
        <w:rPr>
          <w:noProof/>
        </w:rPr>
      </w:pPr>
      <w:r>
        <w:rPr>
          <w:noProof/>
        </w:rPr>
        <w:t>c)</w:t>
      </w:r>
      <w:r>
        <w:rPr>
          <w:noProof/>
        </w:rPr>
        <w:tab/>
        <w:t>le point e) suivant est ajouté:</w:t>
      </w:r>
    </w:p>
    <w:p w:rsidR="00824C36" w:rsidRDefault="00B97963">
      <w:pPr>
        <w:pStyle w:val="Point1"/>
        <w:rPr>
          <w:noProof/>
        </w:rPr>
      </w:pPr>
      <w:r>
        <w:rPr>
          <w:noProof/>
        </w:rPr>
        <w:t>«e)</w:t>
      </w:r>
      <w:r>
        <w:rPr>
          <w:noProof/>
        </w:rPr>
        <w:tab/>
        <w:t>la Commission peut également mettre en place des mécanismes de consultation spécifiques pour améliorer la planification et la coordination de la prévention et de la préparation entre États membres exposés</w:t>
      </w:r>
      <w:r>
        <w:rPr>
          <w:noProof/>
        </w:rPr>
        <w:t xml:space="preserve"> à des catastrophes de types similaires.»</w:t>
      </w:r>
    </w:p>
    <w:p w:rsidR="00824C36" w:rsidRDefault="00B97963">
      <w:pPr>
        <w:pStyle w:val="Point0"/>
        <w:rPr>
          <w:noProof/>
        </w:rPr>
      </w:pPr>
      <w:r>
        <w:rPr>
          <w:noProof/>
        </w:rPr>
        <w:t>4)</w:t>
      </w:r>
      <w:r>
        <w:rPr>
          <w:noProof/>
        </w:rPr>
        <w:tab/>
        <w:t>À l'article 10, le paragraphe 1 est remplacé par le texte suivant:</w:t>
      </w:r>
    </w:p>
    <w:p w:rsidR="00824C36" w:rsidRDefault="00B97963">
      <w:pPr>
        <w:pStyle w:val="Point1"/>
        <w:rPr>
          <w:noProof/>
        </w:rPr>
      </w:pPr>
      <w:r>
        <w:rPr>
          <w:noProof/>
        </w:rPr>
        <w:t>«1.</w:t>
      </w:r>
      <w:r>
        <w:rPr>
          <w:noProof/>
        </w:rPr>
        <w:tab/>
        <w:t>La Commission et les États membres œuvrent de concert à améliorer la planification des opérations de réaction aux catastrophes au titre du m</w:t>
      </w:r>
      <w:r>
        <w:rPr>
          <w:noProof/>
        </w:rPr>
        <w:t>écanisme de l'Union, notamment par l'élaboration de scénarios de réaction aux catastrophes fondés sur les évaluations des risques mentionnées à l’article 6, point a), et sur l’aperçu des risques mentionnés à l’article 5, paragraphe 1, point c), ainsi que p</w:t>
      </w:r>
      <w:r>
        <w:rPr>
          <w:noProof/>
        </w:rPr>
        <w:t>ar le recensement des moyens et l'établissement de plans de déploiement des capacités de réaction.»</w:t>
      </w:r>
    </w:p>
    <w:p w:rsidR="00824C36" w:rsidRDefault="00B97963">
      <w:pPr>
        <w:pStyle w:val="Point0"/>
        <w:rPr>
          <w:noProof/>
        </w:rPr>
      </w:pPr>
      <w:r>
        <w:rPr>
          <w:noProof/>
        </w:rPr>
        <w:t>5)</w:t>
      </w:r>
      <w:r>
        <w:rPr>
          <w:noProof/>
        </w:rPr>
        <w:tab/>
        <w:t>L’article 11 est modifié comme suit:</w:t>
      </w:r>
    </w:p>
    <w:p w:rsidR="00824C36" w:rsidRDefault="00B97963">
      <w:pPr>
        <w:pStyle w:val="Point0"/>
        <w:ind w:firstLine="0"/>
        <w:rPr>
          <w:noProof/>
        </w:rPr>
      </w:pPr>
      <w:r>
        <w:rPr>
          <w:noProof/>
        </w:rPr>
        <w:t>a)</w:t>
      </w:r>
      <w:r>
        <w:rPr>
          <w:noProof/>
        </w:rPr>
        <w:tab/>
        <w:t>le titre est remplacé par le texte suivant:</w:t>
      </w:r>
    </w:p>
    <w:p w:rsidR="00824C36" w:rsidRDefault="00B97963">
      <w:pPr>
        <w:pStyle w:val="NormalCentered"/>
        <w:rPr>
          <w:b/>
          <w:noProof/>
        </w:rPr>
      </w:pPr>
      <w:r>
        <w:rPr>
          <w:b/>
          <w:noProof/>
        </w:rPr>
        <w:t>«Réserve européenne de protection civile»</w:t>
      </w:r>
    </w:p>
    <w:p w:rsidR="00824C36" w:rsidRDefault="00B97963">
      <w:pPr>
        <w:pStyle w:val="Point0"/>
        <w:ind w:firstLine="0"/>
        <w:rPr>
          <w:b/>
          <w:noProof/>
        </w:rPr>
      </w:pPr>
      <w:r>
        <w:rPr>
          <w:noProof/>
        </w:rPr>
        <w:t xml:space="preserve">b) les paragraphes 1 et 2 </w:t>
      </w:r>
      <w:r>
        <w:rPr>
          <w:noProof/>
        </w:rPr>
        <w:t>sont remplacés par le texte suivant:</w:t>
      </w:r>
    </w:p>
    <w:p w:rsidR="00824C36" w:rsidRDefault="00B97963">
      <w:pPr>
        <w:pStyle w:val="Point1"/>
        <w:rPr>
          <w:noProof/>
        </w:rPr>
      </w:pPr>
      <w:r>
        <w:rPr>
          <w:noProof/>
        </w:rPr>
        <w:t>«1.</w:t>
      </w:r>
      <w:r>
        <w:rPr>
          <w:noProof/>
        </w:rPr>
        <w:tab/>
        <w:t>Une réserve européenne de protection civile est instituée. Elle consiste en une réserve de capacités de réaction affectées au préalable par les États membres et comprend des modules, d'autres capacités de réaction a</w:t>
      </w:r>
      <w:r>
        <w:rPr>
          <w:noProof/>
        </w:rPr>
        <w:t>insi que des experts.</w:t>
      </w:r>
    </w:p>
    <w:p w:rsidR="00824C36" w:rsidRDefault="00B97963">
      <w:pPr>
        <w:pStyle w:val="Point1"/>
        <w:rPr>
          <w:noProof/>
        </w:rPr>
      </w:pPr>
      <w:r>
        <w:rPr>
          <w:noProof/>
        </w:rPr>
        <w:t>2.</w:t>
      </w:r>
      <w:r>
        <w:rPr>
          <w:noProof/>
        </w:rPr>
        <w:tab/>
        <w:t>Sur la base des risques recensés, la Commission définit le type et le volume des capacités de réaction clés requises pour les besoins de la réserve européenne de protection civile (ci-après dénommés “objectifs de capacité”). La Com</w:t>
      </w:r>
      <w:r>
        <w:rPr>
          <w:noProof/>
        </w:rPr>
        <w:t xml:space="preserve">mission procède au suivi des progrès accomplis dans la réalisation des objectifs de capacité, ainsi qu’au suivi des déficits subsistants et encourage les États membres à remédier à ces derniers. La Commission peut soutenir les États membres conformément à </w:t>
      </w:r>
      <w:r>
        <w:rPr>
          <w:noProof/>
        </w:rPr>
        <w:t>l'article 20, à l'article 21, paragraphe 1, point i), et à l'article 21, paragraphe 2.»</w:t>
      </w:r>
    </w:p>
    <w:p w:rsidR="00824C36" w:rsidRDefault="00B97963">
      <w:pPr>
        <w:pStyle w:val="Point1"/>
        <w:rPr>
          <w:noProof/>
        </w:rPr>
      </w:pPr>
      <w:r>
        <w:rPr>
          <w:noProof/>
        </w:rPr>
        <w:t>c)</w:t>
      </w:r>
      <w:r>
        <w:rPr>
          <w:noProof/>
        </w:rPr>
        <w:tab/>
        <w:t>les paragraphes 7 et 8 sont remplacés par le texte suivant:</w:t>
      </w:r>
    </w:p>
    <w:p w:rsidR="00824C36" w:rsidRDefault="00B97963">
      <w:pPr>
        <w:pStyle w:val="Point1"/>
        <w:rPr>
          <w:noProof/>
        </w:rPr>
      </w:pPr>
      <w:r>
        <w:rPr>
          <w:noProof/>
        </w:rPr>
        <w:t>«7.</w:t>
      </w:r>
      <w:r>
        <w:rPr>
          <w:noProof/>
        </w:rPr>
        <w:tab/>
        <w:t xml:space="preserve">Les capacités de réaction que les États membres mettent à la disposition de la réserve européenne de </w:t>
      </w:r>
      <w:r>
        <w:rPr>
          <w:noProof/>
        </w:rPr>
        <w:t>protection civile sont disponibles pour les opérations de réaction au titre du mécanisme de l’Union lorsqu’une demande d'aide a été formulée par l’intermédiaire de l’ERCC, à moins que les États membres ne soient confrontés à une situation exceptionnelle af</w:t>
      </w:r>
      <w:r>
        <w:rPr>
          <w:noProof/>
        </w:rPr>
        <w:t>fectant sensiblement l’exécution de tâches nationales.</w:t>
      </w:r>
    </w:p>
    <w:p w:rsidR="00824C36" w:rsidRDefault="00B97963">
      <w:pPr>
        <w:pStyle w:val="Point1"/>
        <w:rPr>
          <w:noProof/>
        </w:rPr>
      </w:pPr>
      <w:r>
        <w:rPr>
          <w:noProof/>
        </w:rPr>
        <w:t>8.</w:t>
      </w:r>
      <w:r>
        <w:rPr>
          <w:noProof/>
        </w:rPr>
        <w:tab/>
        <w:t xml:space="preserve">En cas de déploiement, les capacités de réaction restent sous le commandement et le contrôle des États membres qui les mettent à disposition et peuvent être retirées lorsque ceux-ci sont confrontés </w:t>
      </w:r>
      <w:r>
        <w:rPr>
          <w:noProof/>
        </w:rPr>
        <w:t>à une situation exceptionnelle affectant sensiblement l’exécution de tâches nationales qui les empêche de continuer de mettre ces capacités de réaction à disposition. La Commission est alors consultée.</w:t>
      </w:r>
    </w:p>
    <w:p w:rsidR="00824C36" w:rsidRDefault="00B97963">
      <w:pPr>
        <w:pStyle w:val="Point1"/>
        <w:ind w:firstLine="0"/>
        <w:rPr>
          <w:noProof/>
        </w:rPr>
      </w:pPr>
      <w:r>
        <w:rPr>
          <w:noProof/>
        </w:rPr>
        <w:t>La Commission facilite, en tant que de besoin, la coor</w:t>
      </w:r>
      <w:r>
        <w:rPr>
          <w:noProof/>
        </w:rPr>
        <w:t>dination des différentes capacités de réaction par l'intermédiaire de l'ERCC, conformément aux articles 15 et 16.»</w:t>
      </w:r>
    </w:p>
    <w:p w:rsidR="00824C36" w:rsidRDefault="00B97963">
      <w:pPr>
        <w:pStyle w:val="Point1"/>
        <w:rPr>
          <w:noProof/>
        </w:rPr>
      </w:pPr>
      <w:r>
        <w:rPr>
          <w:noProof/>
        </w:rPr>
        <w:t>d)</w:t>
      </w:r>
      <w:r>
        <w:rPr>
          <w:noProof/>
        </w:rPr>
        <w:tab/>
        <w:t>le paragraphe 10 suivant est ajouté:</w:t>
      </w:r>
    </w:p>
    <w:p w:rsidR="00824C36" w:rsidRDefault="00B97963">
      <w:pPr>
        <w:pStyle w:val="Point1"/>
        <w:rPr>
          <w:noProof/>
        </w:rPr>
      </w:pPr>
      <w:r>
        <w:rPr>
          <w:noProof/>
        </w:rPr>
        <w:t>«10.</w:t>
      </w:r>
      <w:r>
        <w:rPr>
          <w:noProof/>
        </w:rPr>
        <w:tab/>
        <w:t>Les références à la capacité européenne de réaction d’urgence, à l’EERC et à la réserve volontai</w:t>
      </w:r>
      <w:r>
        <w:rPr>
          <w:noProof/>
        </w:rPr>
        <w:t>re s’entendent comme faites à la réserve européenne de protection civile.»</w:t>
      </w:r>
    </w:p>
    <w:p w:rsidR="00824C36" w:rsidRDefault="00B97963">
      <w:pPr>
        <w:pStyle w:val="Point0"/>
        <w:rPr>
          <w:noProof/>
        </w:rPr>
      </w:pPr>
      <w:r>
        <w:rPr>
          <w:noProof/>
        </w:rPr>
        <w:t>6)</w:t>
      </w:r>
      <w:r>
        <w:rPr>
          <w:noProof/>
        </w:rPr>
        <w:tab/>
        <w:t>L'article 12 est remplacé par le texte suivant:</w:t>
      </w:r>
    </w:p>
    <w:p w:rsidR="00824C36" w:rsidRDefault="00B97963">
      <w:pPr>
        <w:pStyle w:val="NormalCentered"/>
        <w:rPr>
          <w:b/>
          <w:noProof/>
        </w:rPr>
      </w:pPr>
      <w:r>
        <w:rPr>
          <w:b/>
          <w:noProof/>
        </w:rPr>
        <w:t>«rescEU</w:t>
      </w:r>
    </w:p>
    <w:p w:rsidR="00824C36" w:rsidRDefault="00B97963">
      <w:pPr>
        <w:pStyle w:val="Point1"/>
        <w:rPr>
          <w:noProof/>
        </w:rPr>
      </w:pPr>
      <w:r>
        <w:rPr>
          <w:noProof/>
        </w:rPr>
        <w:t>1.</w:t>
      </w:r>
      <w:r>
        <w:rPr>
          <w:noProof/>
        </w:rPr>
        <w:tab/>
        <w:t>rescEU est institué pour porter secours lorsque les capacités existantes ne permettent pas de réagir efficacement aux c</w:t>
      </w:r>
      <w:r>
        <w:rPr>
          <w:noProof/>
        </w:rPr>
        <w:t>atastrophes.</w:t>
      </w:r>
    </w:p>
    <w:p w:rsidR="00824C36" w:rsidRDefault="00B97963">
      <w:pPr>
        <w:pStyle w:val="Point1"/>
        <w:rPr>
          <w:noProof/>
        </w:rPr>
      </w:pPr>
      <w:r>
        <w:rPr>
          <w:noProof/>
        </w:rPr>
        <w:t>2.</w:t>
      </w:r>
      <w:r>
        <w:rPr>
          <w:noProof/>
        </w:rPr>
        <w:tab/>
        <w:t>rescEU est composé des capacités suivantes:</w:t>
      </w:r>
    </w:p>
    <w:p w:rsidR="00824C36" w:rsidRDefault="00B97963">
      <w:pPr>
        <w:pStyle w:val="Text1"/>
        <w:ind w:left="2160"/>
        <w:rPr>
          <w:noProof/>
        </w:rPr>
      </w:pPr>
      <w:r>
        <w:rPr>
          <w:noProof/>
        </w:rPr>
        <w:t>a)</w:t>
      </w:r>
      <w:r>
        <w:rPr>
          <w:noProof/>
        </w:rPr>
        <w:tab/>
        <w:t>lutte aérienne contre les feux de forêts;</w:t>
      </w:r>
    </w:p>
    <w:p w:rsidR="00824C36" w:rsidRDefault="00B97963">
      <w:pPr>
        <w:pStyle w:val="Text1"/>
        <w:ind w:left="2160"/>
        <w:rPr>
          <w:noProof/>
        </w:rPr>
      </w:pPr>
      <w:r>
        <w:rPr>
          <w:noProof/>
        </w:rPr>
        <w:t>b)</w:t>
      </w:r>
      <w:r>
        <w:rPr>
          <w:noProof/>
        </w:rPr>
        <w:tab/>
        <w:t>pompage à haut débit;</w:t>
      </w:r>
    </w:p>
    <w:p w:rsidR="00824C36" w:rsidRDefault="00B97963">
      <w:pPr>
        <w:pStyle w:val="Text1"/>
        <w:ind w:left="2880" w:hanging="720"/>
        <w:rPr>
          <w:noProof/>
        </w:rPr>
      </w:pPr>
      <w:r>
        <w:rPr>
          <w:noProof/>
        </w:rPr>
        <w:t>c)</w:t>
      </w:r>
      <w:r>
        <w:rPr>
          <w:noProof/>
        </w:rPr>
        <w:tab/>
        <w:t>recherche et sauvetage en milieu urbain;</w:t>
      </w:r>
    </w:p>
    <w:p w:rsidR="00824C36" w:rsidRDefault="00B97963">
      <w:pPr>
        <w:pStyle w:val="Text1"/>
        <w:ind w:left="2880" w:hanging="720"/>
        <w:rPr>
          <w:noProof/>
        </w:rPr>
      </w:pPr>
      <w:r>
        <w:rPr>
          <w:noProof/>
        </w:rPr>
        <w:t>d)</w:t>
      </w:r>
      <w:r>
        <w:rPr>
          <w:noProof/>
        </w:rPr>
        <w:tab/>
        <w:t>hôpital de campagne et équipes médicales d’urgence.</w:t>
      </w:r>
    </w:p>
    <w:p w:rsidR="00824C36" w:rsidRDefault="00B97963">
      <w:pPr>
        <w:pStyle w:val="Point1"/>
        <w:rPr>
          <w:noProof/>
        </w:rPr>
      </w:pPr>
      <w:r>
        <w:rPr>
          <w:noProof/>
        </w:rPr>
        <w:t>3.</w:t>
      </w:r>
      <w:r>
        <w:rPr>
          <w:noProof/>
        </w:rPr>
        <w:tab/>
        <w:t>La Commission peut achet</w:t>
      </w:r>
      <w:r>
        <w:rPr>
          <w:noProof/>
        </w:rPr>
        <w:t>er, louer, prendre en crédit-bail et/ou se procurer autrement des capacités à déployer dans les cas mentionnés au paragraphe 1, dans le respect des règles financières de l’Union.</w:t>
      </w:r>
    </w:p>
    <w:p w:rsidR="00824C36" w:rsidRDefault="00B97963">
      <w:pPr>
        <w:pStyle w:val="Point1"/>
        <w:rPr>
          <w:noProof/>
        </w:rPr>
      </w:pPr>
      <w:r>
        <w:rPr>
          <w:noProof/>
        </w:rPr>
        <w:t>4.</w:t>
      </w:r>
      <w:r>
        <w:rPr>
          <w:noProof/>
        </w:rPr>
        <w:tab/>
        <w:t>Sur la base des risques recensés et compte tenu d’une approche multirisque</w:t>
      </w:r>
      <w:r>
        <w:rPr>
          <w:noProof/>
        </w:rPr>
        <w:t>s, la Commission est habilitée à adopter des actes délégués conformément à l’article 30 pour définir le type de capacités de réaction requises en plus de celles qui sont indiquées au paragraphe 2 du présent article et à revoir la composition de rescEU en c</w:t>
      </w:r>
      <w:r>
        <w:rPr>
          <w:noProof/>
        </w:rPr>
        <w:t>onséquence. La cohérence est assurée avec les autres politiques de l’Union.</w:t>
      </w:r>
    </w:p>
    <w:p w:rsidR="00824C36" w:rsidRDefault="00B97963">
      <w:pPr>
        <w:pStyle w:val="Point1"/>
        <w:rPr>
          <w:noProof/>
        </w:rPr>
      </w:pPr>
      <w:r>
        <w:rPr>
          <w:noProof/>
        </w:rPr>
        <w:tab/>
        <w:t>Lorsque, en cas de catastrophe ou de catastrophe imminente, des raisons d'urgence impérieuses l'imposent, la procédure prévue à l'article 31 est applicable aux actes délégués adop</w:t>
      </w:r>
      <w:r>
        <w:rPr>
          <w:noProof/>
        </w:rPr>
        <w:t>tés en vertu du présent article.</w:t>
      </w:r>
    </w:p>
    <w:p w:rsidR="00824C36" w:rsidRDefault="00B97963">
      <w:pPr>
        <w:pStyle w:val="Point1"/>
        <w:rPr>
          <w:noProof/>
        </w:rPr>
      </w:pPr>
      <w:r>
        <w:rPr>
          <w:noProof/>
        </w:rPr>
        <w:t>5.</w:t>
      </w:r>
      <w:r>
        <w:rPr>
          <w:noProof/>
        </w:rPr>
        <w:tab/>
        <w:t>La Commission définit des exigences de qualité pour les capacités de réaction qui composent rescEU. Les exigences de qualité sont fondées sur des normes internationalement reconnues, lorsque de telles normes existent.</w:t>
      </w:r>
    </w:p>
    <w:p w:rsidR="00824C36" w:rsidRDefault="00B97963">
      <w:pPr>
        <w:pStyle w:val="Point1"/>
        <w:rPr>
          <w:noProof/>
        </w:rPr>
      </w:pPr>
      <w:r>
        <w:rPr>
          <w:noProof/>
        </w:rPr>
        <w:t>6.</w:t>
      </w:r>
      <w:r>
        <w:rPr>
          <w:noProof/>
        </w:rPr>
        <w:tab/>
        <w:t>La Commission veille à ce que les capacités indiquées au paragraphe 2 soient disponibles et puissent être déployées dans le cadre du mécanisme de l’Union.</w:t>
      </w:r>
    </w:p>
    <w:p w:rsidR="00824C36" w:rsidRDefault="00B97963">
      <w:pPr>
        <w:pStyle w:val="Point1"/>
        <w:rPr>
          <w:noProof/>
        </w:rPr>
      </w:pPr>
      <w:r>
        <w:rPr>
          <w:noProof/>
        </w:rPr>
        <w:t>7.</w:t>
      </w:r>
      <w:r>
        <w:rPr>
          <w:noProof/>
        </w:rPr>
        <w:tab/>
        <w:t>Les capacités de rescEU sont disponibles pour les opérations de réaction au titre du mécanisme de</w:t>
      </w:r>
      <w:r>
        <w:rPr>
          <w:noProof/>
        </w:rPr>
        <w:t xml:space="preserve"> l’Union lorsqu’une demande d'aide a été formulée par l’intermédiaire de l’ERCC. La décision de les déployer est prise par la Commission, qui en conserve le commandement et le contrôle.</w:t>
      </w:r>
    </w:p>
    <w:p w:rsidR="00824C36" w:rsidRDefault="00B97963">
      <w:pPr>
        <w:pStyle w:val="Point1"/>
        <w:rPr>
          <w:noProof/>
        </w:rPr>
      </w:pPr>
      <w:r>
        <w:rPr>
          <w:noProof/>
        </w:rPr>
        <w:t>8.</w:t>
      </w:r>
      <w:r>
        <w:rPr>
          <w:noProof/>
        </w:rPr>
        <w:tab/>
        <w:t>En cas de déploiement, la Commission convient du déploiement opérat</w:t>
      </w:r>
      <w:r>
        <w:rPr>
          <w:noProof/>
        </w:rPr>
        <w:t>ionnel des capacités de rescEU avec l’État membre demandeur. Ce dernier facilite la coordination opérationnelle de ses propres capacités et des activités de rescEU durant les opérations.</w:t>
      </w:r>
    </w:p>
    <w:p w:rsidR="00824C36" w:rsidRDefault="00B97963">
      <w:pPr>
        <w:pStyle w:val="Point1"/>
        <w:rPr>
          <w:noProof/>
        </w:rPr>
      </w:pPr>
      <w:r>
        <w:rPr>
          <w:noProof/>
        </w:rPr>
        <w:t>9.</w:t>
      </w:r>
      <w:r>
        <w:rPr>
          <w:noProof/>
        </w:rPr>
        <w:tab/>
        <w:t>La Commission facilite, en tant que de besoin, la coordination des</w:t>
      </w:r>
      <w:r>
        <w:rPr>
          <w:noProof/>
        </w:rPr>
        <w:t xml:space="preserve"> différentes capacités de réaction par l'intermédiaire de l'ERCC, conformément aux articles 15 et 16.</w:t>
      </w:r>
    </w:p>
    <w:p w:rsidR="00824C36" w:rsidRDefault="00B97963">
      <w:pPr>
        <w:pStyle w:val="Point1"/>
        <w:rPr>
          <w:noProof/>
        </w:rPr>
      </w:pPr>
      <w:r>
        <w:rPr>
          <w:noProof/>
        </w:rPr>
        <w:t>10.</w:t>
      </w:r>
      <w:r>
        <w:rPr>
          <w:noProof/>
        </w:rPr>
        <w:tab/>
        <w:t>Lorsque la Commission se procure des équipements tels que du matériel de lutte aérienne contre les incendies de forêts, que ce soit en les achetant, e</w:t>
      </w:r>
      <w:r>
        <w:rPr>
          <w:noProof/>
        </w:rPr>
        <w:t>n les louant ou en les prenant en crédit-bail, les modalités suivantes sont respectées:</w:t>
      </w:r>
    </w:p>
    <w:p w:rsidR="00824C36" w:rsidRDefault="00B97963">
      <w:pPr>
        <w:pStyle w:val="Point2"/>
        <w:rPr>
          <w:noProof/>
        </w:rPr>
      </w:pPr>
      <w:r>
        <w:rPr>
          <w:noProof/>
        </w:rPr>
        <w:t>a)</w:t>
      </w:r>
      <w:r>
        <w:rPr>
          <w:noProof/>
        </w:rPr>
        <w:tab/>
        <w:t xml:space="preserve">en cas d’achat d’équipement, un accord entre la Commission et un État membre prévoit l’enregistrement dudit équipement dans cet État membre; </w:t>
      </w:r>
    </w:p>
    <w:p w:rsidR="00824C36" w:rsidRDefault="00B97963">
      <w:pPr>
        <w:pStyle w:val="Point2"/>
        <w:rPr>
          <w:noProof/>
        </w:rPr>
      </w:pPr>
      <w:r>
        <w:rPr>
          <w:noProof/>
        </w:rPr>
        <w:t>b)</w:t>
      </w:r>
      <w:r>
        <w:rPr>
          <w:noProof/>
        </w:rPr>
        <w:tab/>
        <w:t>en cas de prise en c</w:t>
      </w:r>
      <w:r>
        <w:rPr>
          <w:noProof/>
        </w:rPr>
        <w:t>rédit-bail ou de location, l’équipement est enregistré dans un État membre.</w:t>
      </w:r>
    </w:p>
    <w:p w:rsidR="00824C36" w:rsidRDefault="00B97963">
      <w:pPr>
        <w:pStyle w:val="Point1"/>
        <w:rPr>
          <w:noProof/>
        </w:rPr>
      </w:pPr>
      <w:r>
        <w:rPr>
          <w:noProof/>
        </w:rPr>
        <w:t>11.</w:t>
      </w:r>
      <w:r>
        <w:rPr>
          <w:noProof/>
        </w:rPr>
        <w:tab/>
        <w:t>Les États membres sont informés du statut opérationnel des capacités de rescEU par l’intermédiaire du CECIS.»</w:t>
      </w:r>
    </w:p>
    <w:p w:rsidR="00824C36" w:rsidRDefault="00B97963">
      <w:pPr>
        <w:pStyle w:val="Point0"/>
        <w:rPr>
          <w:noProof/>
        </w:rPr>
      </w:pPr>
      <w:r>
        <w:rPr>
          <w:noProof/>
        </w:rPr>
        <w:t>7)</w:t>
      </w:r>
      <w:r>
        <w:rPr>
          <w:noProof/>
        </w:rPr>
        <w:tab/>
        <w:t>L'article 12 </w:t>
      </w:r>
      <w:r>
        <w:rPr>
          <w:i/>
          <w:noProof/>
        </w:rPr>
        <w:t>bis</w:t>
      </w:r>
      <w:r>
        <w:rPr>
          <w:noProof/>
        </w:rPr>
        <w:t xml:space="preserve"> suivant est inséré:</w:t>
      </w:r>
    </w:p>
    <w:p w:rsidR="00824C36" w:rsidRDefault="00B97963">
      <w:pPr>
        <w:pStyle w:val="Titrearticle"/>
        <w:rPr>
          <w:b/>
          <w:noProof/>
        </w:rPr>
      </w:pPr>
      <w:r>
        <w:rPr>
          <w:noProof/>
        </w:rPr>
        <w:t xml:space="preserve">«Article 12 </w:t>
      </w:r>
      <w:r>
        <w:rPr>
          <w:i w:val="0"/>
          <w:noProof/>
        </w:rPr>
        <w:t>bis</w:t>
      </w:r>
      <w:r>
        <w:rPr>
          <w:noProof/>
        </w:rPr>
        <w:br/>
      </w:r>
      <w:r>
        <w:rPr>
          <w:b/>
          <w:noProof/>
        </w:rPr>
        <w:t>Information du Parlement européen et du Conseil</w:t>
      </w:r>
    </w:p>
    <w:p w:rsidR="00824C36" w:rsidRDefault="00B97963">
      <w:pPr>
        <w:rPr>
          <w:noProof/>
        </w:rPr>
      </w:pPr>
      <w:r>
        <w:rPr>
          <w:noProof/>
        </w:rPr>
        <w:t>La Commission rend compte tous les deux ans au Parlement européen et au Conseil des opérations qui ont été menées et des progrès qui ont été réalisés en vertu des articles 11 et 12.»</w:t>
      </w:r>
    </w:p>
    <w:p w:rsidR="00824C36" w:rsidRDefault="00B97963">
      <w:pPr>
        <w:pStyle w:val="Point0"/>
        <w:rPr>
          <w:noProof/>
        </w:rPr>
      </w:pPr>
      <w:r>
        <w:rPr>
          <w:noProof/>
        </w:rPr>
        <w:t>8)</w:t>
      </w:r>
      <w:r>
        <w:rPr>
          <w:noProof/>
        </w:rPr>
        <w:tab/>
        <w:t>À l’article 13, le tit</w:t>
      </w:r>
      <w:r>
        <w:rPr>
          <w:noProof/>
        </w:rPr>
        <w:t>re et la première phrase du paragraphe 1 sont remplacés par le texte suivant:</w:t>
      </w:r>
    </w:p>
    <w:p w:rsidR="00824C36" w:rsidRDefault="00B97963">
      <w:pPr>
        <w:pStyle w:val="NormalCentered"/>
        <w:rPr>
          <w:b/>
          <w:noProof/>
        </w:rPr>
      </w:pPr>
      <w:r>
        <w:rPr>
          <w:b/>
          <w:noProof/>
        </w:rPr>
        <w:t>«Réseau européen de connaissances en matière de protection civile</w:t>
      </w:r>
    </w:p>
    <w:p w:rsidR="00824C36" w:rsidRDefault="00B97963">
      <w:pPr>
        <w:pStyle w:val="Text1"/>
        <w:rPr>
          <w:noProof/>
        </w:rPr>
      </w:pPr>
      <w:r>
        <w:rPr>
          <w:noProof/>
        </w:rPr>
        <w:t>1. Un réseau d’acteurs et d’institutions concernés par la protection civile et la gestion des catastrophes est m</w:t>
      </w:r>
      <w:r>
        <w:rPr>
          <w:noProof/>
        </w:rPr>
        <w:t>is en place par la Commission et constitue, avec celle-ci, un réseau européen de connaissances en matière de protection civile.</w:t>
      </w:r>
    </w:p>
    <w:p w:rsidR="00824C36" w:rsidRDefault="00B97963">
      <w:pPr>
        <w:pStyle w:val="Text1"/>
        <w:rPr>
          <w:noProof/>
        </w:rPr>
      </w:pPr>
      <w:r>
        <w:rPr>
          <w:noProof/>
        </w:rPr>
        <w:t>Le réseau s'acquitte des missions suivantes en matière de formation, d'exercices, d'enseignements tirés et de diffusion des conn</w:t>
      </w:r>
      <w:r>
        <w:rPr>
          <w:noProof/>
        </w:rPr>
        <w:t>aissances, en étroite coordination avec les centres de connaissance concernés, s’il y a lieu:»</w:t>
      </w:r>
    </w:p>
    <w:p w:rsidR="00824C36" w:rsidRDefault="00B97963">
      <w:pPr>
        <w:pStyle w:val="Point0"/>
        <w:rPr>
          <w:noProof/>
        </w:rPr>
      </w:pPr>
      <w:r>
        <w:rPr>
          <w:noProof/>
        </w:rPr>
        <w:t>9)</w:t>
      </w:r>
      <w:r>
        <w:rPr>
          <w:noProof/>
        </w:rPr>
        <w:tab/>
        <w:t>À l'article 15, le paragraphe 1 est remplacé par le texte suivant:</w:t>
      </w:r>
    </w:p>
    <w:p w:rsidR="00824C36" w:rsidRDefault="00B97963">
      <w:pPr>
        <w:pStyle w:val="Point1"/>
        <w:rPr>
          <w:noProof/>
        </w:rPr>
      </w:pPr>
      <w:r>
        <w:rPr>
          <w:noProof/>
        </w:rPr>
        <w:t>«1.</w:t>
      </w:r>
      <w:r>
        <w:rPr>
          <w:noProof/>
        </w:rPr>
        <w:tab/>
        <w:t>Lorsqu'une catastrophe survient ou menace de survenir dans l'Union, l'État membre touch</w:t>
      </w:r>
      <w:r>
        <w:rPr>
          <w:noProof/>
        </w:rPr>
        <w:t xml:space="preserve">é peut demander une aide par l'intermédiaire de l'ERCC. La demande est aussi précise que possible. La demande d’aide expire après une période de maximum 90 jours, à moins que de nouveaux éléments justifiant le maintien de l’aide ou une aide supplémentaire </w:t>
      </w:r>
      <w:r>
        <w:rPr>
          <w:noProof/>
        </w:rPr>
        <w:t>ne soient communiqués à l’ERCC.»</w:t>
      </w:r>
    </w:p>
    <w:p w:rsidR="00824C36" w:rsidRDefault="00B97963">
      <w:pPr>
        <w:pStyle w:val="Point0"/>
        <w:rPr>
          <w:noProof/>
        </w:rPr>
      </w:pPr>
      <w:r>
        <w:rPr>
          <w:noProof/>
        </w:rPr>
        <w:t>10)</w:t>
      </w:r>
      <w:r>
        <w:rPr>
          <w:noProof/>
        </w:rPr>
        <w:tab/>
        <w:t>À l'article 16, le paragraphe 1 est remplacé par le texte suivant:</w:t>
      </w:r>
    </w:p>
    <w:p w:rsidR="00824C36" w:rsidRDefault="00B97963">
      <w:pPr>
        <w:pStyle w:val="Point1"/>
        <w:rPr>
          <w:noProof/>
        </w:rPr>
      </w:pPr>
      <w:r>
        <w:rPr>
          <w:noProof/>
        </w:rPr>
        <w:t>«1.</w:t>
      </w:r>
      <w:r>
        <w:rPr>
          <w:noProof/>
        </w:rPr>
        <w:tab/>
        <w:t>Lorsqu'une catastrophe survient ou menace de survenir en dehors de l'Union, le pays touché peut demander une aide par l'intermédiaire de l'ERCC. L'a</w:t>
      </w:r>
      <w:r>
        <w:rPr>
          <w:noProof/>
        </w:rPr>
        <w:t>ide peut aussi être demandée par l'intermédiaire de l'Organisation des Nations unies et de ses agences ou d'une organisation internationale pertinente. La demande d’aide expire après une période de maximum 90 jours, à moins que de nouveaux éléments justifi</w:t>
      </w:r>
      <w:r>
        <w:rPr>
          <w:noProof/>
        </w:rPr>
        <w:t>ant le maintien de l’aide ou une aide supplémentaire ne soient communiqués à l’ERCC.»</w:t>
      </w:r>
    </w:p>
    <w:p w:rsidR="00824C36" w:rsidRDefault="00B97963">
      <w:pPr>
        <w:pStyle w:val="Point0"/>
        <w:rPr>
          <w:noProof/>
        </w:rPr>
      </w:pPr>
      <w:r>
        <w:rPr>
          <w:noProof/>
        </w:rPr>
        <w:t>11)</w:t>
      </w:r>
      <w:r>
        <w:rPr>
          <w:noProof/>
        </w:rPr>
        <w:tab/>
        <w:t>À l'article 19, le paragraphe 1 est remplacé par le texte suivant:</w:t>
      </w:r>
    </w:p>
    <w:p w:rsidR="00824C36" w:rsidRDefault="00B97963">
      <w:pPr>
        <w:pStyle w:val="Point1"/>
        <w:rPr>
          <w:noProof/>
          <w:szCs w:val="24"/>
        </w:rPr>
      </w:pPr>
      <w:r>
        <w:rPr>
          <w:noProof/>
        </w:rPr>
        <w:t>«1.</w:t>
      </w:r>
      <w:r>
        <w:rPr>
          <w:noProof/>
        </w:rPr>
        <w:tab/>
        <w:t>L'enveloppe financière destinée à la mise en œuvre du mécanisme de l'Union, pour la période 201</w:t>
      </w:r>
      <w:r>
        <w:rPr>
          <w:noProof/>
        </w:rPr>
        <w:t>4-2020, s'élève à 631 566 000 EUR à prix courants.</w:t>
      </w:r>
    </w:p>
    <w:p w:rsidR="00824C36" w:rsidRDefault="00B97963">
      <w:pPr>
        <w:pStyle w:val="Text2"/>
        <w:rPr>
          <w:noProof/>
        </w:rPr>
      </w:pPr>
      <w:r>
        <w:rPr>
          <w:noProof/>
        </w:rPr>
        <w:t>Un montant de 480 630 000 EUR à prix courants provient de la rubrique 3 “Sécurité et citoyenneté” du cadre financier pluriannuel et un montant de 150 936 000 EUR à prix courants provient de la rubrique 4 “</w:t>
      </w:r>
      <w:r>
        <w:rPr>
          <w:noProof/>
        </w:rPr>
        <w:t>L'Europe dans le monde”.»</w:t>
      </w:r>
    </w:p>
    <w:p w:rsidR="00824C36" w:rsidRDefault="00B97963">
      <w:pPr>
        <w:pStyle w:val="Point0"/>
        <w:rPr>
          <w:noProof/>
        </w:rPr>
      </w:pPr>
      <w:r>
        <w:rPr>
          <w:noProof/>
        </w:rPr>
        <w:t>12)</w:t>
      </w:r>
      <w:r>
        <w:rPr>
          <w:noProof/>
        </w:rPr>
        <w:tab/>
        <w:t xml:space="preserve">L'article 20 </w:t>
      </w:r>
      <w:r>
        <w:rPr>
          <w:i/>
          <w:noProof/>
        </w:rPr>
        <w:t>bis</w:t>
      </w:r>
      <w:r>
        <w:rPr>
          <w:noProof/>
        </w:rPr>
        <w:t xml:space="preserve"> suivant est inséré:</w:t>
      </w:r>
    </w:p>
    <w:p w:rsidR="00824C36" w:rsidRDefault="00B97963">
      <w:pPr>
        <w:pStyle w:val="Titrearticle"/>
        <w:rPr>
          <w:b/>
          <w:bCs/>
          <w:i w:val="0"/>
          <w:noProof/>
        </w:rPr>
      </w:pPr>
      <w:r>
        <w:rPr>
          <w:noProof/>
        </w:rPr>
        <w:t xml:space="preserve">«Article 20 </w:t>
      </w:r>
      <w:r>
        <w:rPr>
          <w:i w:val="0"/>
          <w:noProof/>
        </w:rPr>
        <w:t>bis</w:t>
      </w:r>
      <w:r>
        <w:rPr>
          <w:noProof/>
        </w:rPr>
        <w:br/>
      </w:r>
      <w:r>
        <w:rPr>
          <w:b/>
          <w:i w:val="0"/>
          <w:noProof/>
        </w:rPr>
        <w:t>Visibilité</w:t>
      </w:r>
    </w:p>
    <w:p w:rsidR="00824C36" w:rsidRDefault="00B97963">
      <w:pPr>
        <w:rPr>
          <w:noProof/>
        </w:rPr>
      </w:pPr>
      <w:r>
        <w:rPr>
          <w:noProof/>
        </w:rPr>
        <w:t>Toute aide ou tout financement fourni dans le cadre de la présente décision donne une visibilité appropriée à l’Union, notamment par la mise en évidence de l’embl</w:t>
      </w:r>
      <w:r>
        <w:rPr>
          <w:noProof/>
        </w:rPr>
        <w:t>ème de l’Union sur les capacités mentionnées aux articles 11 et 12 et à l'article 21, paragraphe 2, point c).»</w:t>
      </w:r>
    </w:p>
    <w:p w:rsidR="00824C36" w:rsidRDefault="00B97963">
      <w:pPr>
        <w:pStyle w:val="Point0"/>
        <w:rPr>
          <w:noProof/>
        </w:rPr>
      </w:pPr>
      <w:r>
        <w:rPr>
          <w:noProof/>
        </w:rPr>
        <w:t>13)</w:t>
      </w:r>
      <w:r>
        <w:rPr>
          <w:noProof/>
        </w:rPr>
        <w:tab/>
        <w:t>L’article 21 est modifié comme suit:</w:t>
      </w:r>
    </w:p>
    <w:p w:rsidR="00824C36" w:rsidRDefault="00B97963">
      <w:pPr>
        <w:pStyle w:val="Point1"/>
        <w:rPr>
          <w:noProof/>
        </w:rPr>
      </w:pPr>
      <w:r>
        <w:rPr>
          <w:noProof/>
        </w:rPr>
        <w:t>a)</w:t>
      </w:r>
      <w:r>
        <w:rPr>
          <w:noProof/>
        </w:rPr>
        <w:tab/>
        <w:t>au paragraphe 1, le point j) est remplacé par le texte suivant:</w:t>
      </w:r>
    </w:p>
    <w:p w:rsidR="00824C36" w:rsidRDefault="00B97963">
      <w:pPr>
        <w:pStyle w:val="Point1"/>
        <w:rPr>
          <w:noProof/>
        </w:rPr>
      </w:pPr>
      <w:r>
        <w:rPr>
          <w:noProof/>
        </w:rPr>
        <w:t>«j)</w:t>
      </w:r>
      <w:r>
        <w:rPr>
          <w:noProof/>
        </w:rPr>
        <w:tab/>
        <w:t>création, gestion et entretien de</w:t>
      </w:r>
      <w:r>
        <w:rPr>
          <w:noProof/>
        </w:rPr>
        <w:t xml:space="preserve"> rescEU conformément à l’article 12;» </w:t>
      </w:r>
    </w:p>
    <w:p w:rsidR="00824C36" w:rsidRDefault="00B97963">
      <w:pPr>
        <w:pStyle w:val="Point1"/>
        <w:rPr>
          <w:noProof/>
        </w:rPr>
      </w:pPr>
      <w:r>
        <w:rPr>
          <w:noProof/>
        </w:rPr>
        <w:t>b)</w:t>
      </w:r>
      <w:r>
        <w:rPr>
          <w:noProof/>
        </w:rPr>
        <w:tab/>
        <w:t>le paragraphe 2 est modifié comme suit:</w:t>
      </w:r>
    </w:p>
    <w:p w:rsidR="00824C36" w:rsidRDefault="00B97963">
      <w:pPr>
        <w:pStyle w:val="Point1"/>
        <w:rPr>
          <w:noProof/>
        </w:rPr>
      </w:pPr>
      <w:r>
        <w:rPr>
          <w:noProof/>
        </w:rPr>
        <w:tab/>
        <w:t>i) le point c) est remplacé par le texte suivant:</w:t>
      </w:r>
    </w:p>
    <w:p w:rsidR="00824C36" w:rsidRDefault="00B97963">
      <w:pPr>
        <w:pStyle w:val="Point1"/>
        <w:rPr>
          <w:noProof/>
        </w:rPr>
      </w:pPr>
      <w:r>
        <w:rPr>
          <w:noProof/>
        </w:rPr>
        <w:t>«c)</w:t>
      </w:r>
      <w:r>
        <w:rPr>
          <w:noProof/>
        </w:rPr>
        <w:tab/>
        <w:t xml:space="preserve">aux coûts nécessaires à une mise à niveau ou à une réparation des capacités de réaction destinée à faire passer ces </w:t>
      </w:r>
      <w:r>
        <w:rPr>
          <w:noProof/>
        </w:rPr>
        <w:t>dernières à un état de préparation et de disponibilité permettant de les déployer dans le cadre de la réserve européenne de protection civile, conformément aux exigences de qualité prévues pour ladite réserve, ainsi que, le cas échéant, aux recommandations</w:t>
      </w:r>
      <w:r>
        <w:rPr>
          <w:noProof/>
        </w:rPr>
        <w:t xml:space="preserve"> formulées lors du processus de certification (“coûts d'adaptation”). Ces coûts peuvent comprendre des coûts concernant l’opérabilité et l’interopérabilité des modules et des autres capacités de réaction, l'autonomie, l’autosuffisance, la transportabilité </w:t>
      </w:r>
      <w:r>
        <w:rPr>
          <w:noProof/>
        </w:rPr>
        <w:t>et le conditionnement, ainsi que d’autres coûts nécessaires, pour autant que ces coûts soient spécifiquement en rapport avec la contribution des capacités à la réserve européenne de protection civile.</w:t>
      </w:r>
    </w:p>
    <w:p w:rsidR="00824C36" w:rsidRDefault="00B97963">
      <w:pPr>
        <w:pStyle w:val="Point1"/>
        <w:ind w:firstLine="0"/>
        <w:rPr>
          <w:noProof/>
        </w:rPr>
      </w:pPr>
      <w:r>
        <w:rPr>
          <w:noProof/>
        </w:rPr>
        <w:t>Les coûts d'adaptation peuvent couvrir:</w:t>
      </w:r>
    </w:p>
    <w:p w:rsidR="00824C36" w:rsidRDefault="00B97963">
      <w:pPr>
        <w:pStyle w:val="Point1"/>
        <w:ind w:firstLine="0"/>
        <w:rPr>
          <w:noProof/>
        </w:rPr>
      </w:pPr>
      <w:r>
        <w:rPr>
          <w:noProof/>
        </w:rPr>
        <w:t>i) 75 % des coû</w:t>
      </w:r>
      <w:r>
        <w:rPr>
          <w:noProof/>
        </w:rPr>
        <w:t xml:space="preserve">ts éligibles en cas de mise à niveau, pour autant que cela n'excède pas 50 % du coût moyen de mise en place de la capacité; </w:t>
      </w:r>
    </w:p>
    <w:p w:rsidR="00824C36" w:rsidRDefault="00B97963">
      <w:pPr>
        <w:pStyle w:val="Point1"/>
        <w:ind w:firstLine="0"/>
        <w:rPr>
          <w:noProof/>
        </w:rPr>
      </w:pPr>
      <w:r>
        <w:rPr>
          <w:noProof/>
        </w:rPr>
        <w:t>i) 75 % des coûts éligibles en cas de réparation.</w:t>
      </w:r>
    </w:p>
    <w:p w:rsidR="00824C36" w:rsidRDefault="00B97963">
      <w:pPr>
        <w:pStyle w:val="Point1"/>
        <w:ind w:firstLine="0"/>
        <w:rPr>
          <w:noProof/>
        </w:rPr>
      </w:pPr>
      <w:r>
        <w:rPr>
          <w:noProof/>
        </w:rPr>
        <w:t>Les capacités de réaction bénéficiant des financements prévus aux points i) et ii</w:t>
      </w:r>
      <w:r>
        <w:rPr>
          <w:noProof/>
        </w:rPr>
        <w:t>) sont mis à disposition dans le cadre de la réserve européenne de protection civile pour une période minimale de respectivement cinq et dix ans, sauf lorsque leur durée de vie économique est plus courte.</w:t>
      </w:r>
    </w:p>
    <w:p w:rsidR="00824C36" w:rsidRDefault="00B97963">
      <w:pPr>
        <w:pStyle w:val="Point1"/>
        <w:ind w:firstLine="0"/>
        <w:rPr>
          <w:noProof/>
        </w:rPr>
      </w:pPr>
      <w:r>
        <w:rPr>
          <w:noProof/>
        </w:rPr>
        <w:t>Les coûts d'adaptation peuvent consister en coûts u</w:t>
      </w:r>
      <w:r>
        <w:rPr>
          <w:noProof/>
        </w:rPr>
        <w:t>nitaires ou en montants forfaitaires déterminés par type de capacité.»</w:t>
      </w:r>
    </w:p>
    <w:p w:rsidR="00824C36" w:rsidRDefault="00B97963">
      <w:pPr>
        <w:pStyle w:val="Point1"/>
        <w:rPr>
          <w:noProof/>
        </w:rPr>
      </w:pPr>
      <w:r>
        <w:rPr>
          <w:noProof/>
        </w:rPr>
        <w:tab/>
        <w:t>ii) le point d) est supprimé.</w:t>
      </w:r>
    </w:p>
    <w:p w:rsidR="00824C36" w:rsidRDefault="00B97963">
      <w:pPr>
        <w:pStyle w:val="Point1"/>
        <w:rPr>
          <w:noProof/>
        </w:rPr>
      </w:pPr>
      <w:r>
        <w:rPr>
          <w:noProof/>
        </w:rPr>
        <w:t>c) les paragraphes suivants sont ajoutés:</w:t>
      </w:r>
    </w:p>
    <w:p w:rsidR="00824C36" w:rsidRDefault="00B97963">
      <w:pPr>
        <w:pStyle w:val="Point1"/>
        <w:rPr>
          <w:noProof/>
        </w:rPr>
      </w:pPr>
      <w:r>
        <w:rPr>
          <w:noProof/>
        </w:rPr>
        <w:t>«3.</w:t>
      </w:r>
      <w:r>
        <w:rPr>
          <w:noProof/>
        </w:rPr>
        <w:tab/>
        <w:t>L’aide financière prévue pour l'action indiquée au paragraphe 1, point j), couvre l’ensemble des coûts néces</w:t>
      </w:r>
      <w:r>
        <w:rPr>
          <w:noProof/>
        </w:rPr>
        <w:t>saires pour garantir la disponibilité et la déployabilité des capacités de rescEU dans le cadre du mécanisme de l’Union en cas de catastrophe ou de catastrophe imminente dans l’Union ou un État participant.</w:t>
      </w:r>
    </w:p>
    <w:p w:rsidR="00824C36" w:rsidRDefault="00B97963">
      <w:pPr>
        <w:pStyle w:val="Text2"/>
        <w:rPr>
          <w:noProof/>
        </w:rPr>
      </w:pPr>
      <w:r>
        <w:rPr>
          <w:noProof/>
        </w:rPr>
        <w:t>Les coûts visés au premier alinéa comprennent, le</w:t>
      </w:r>
      <w:r>
        <w:rPr>
          <w:noProof/>
        </w:rPr>
        <w:t xml:space="preserve"> cas échéant:</w:t>
      </w:r>
    </w:p>
    <w:p w:rsidR="00824C36" w:rsidRDefault="00B97963">
      <w:pPr>
        <w:pStyle w:val="Point2letter"/>
        <w:numPr>
          <w:ilvl w:val="5"/>
          <w:numId w:val="18"/>
        </w:numPr>
        <w:rPr>
          <w:noProof/>
        </w:rPr>
      </w:pPr>
      <w:r>
        <w:rPr>
          <w:noProof/>
        </w:rPr>
        <w:t xml:space="preserve">les coûts liés à l'achat, à la location et/ou à la prise en crédit-bail de la capacité de rescEU; </w:t>
      </w:r>
    </w:p>
    <w:p w:rsidR="00824C36" w:rsidRDefault="00B97963">
      <w:pPr>
        <w:pStyle w:val="Point2letter"/>
        <w:numPr>
          <w:ilvl w:val="5"/>
          <w:numId w:val="18"/>
        </w:numPr>
        <w:rPr>
          <w:noProof/>
        </w:rPr>
      </w:pPr>
      <w:r>
        <w:rPr>
          <w:noProof/>
        </w:rPr>
        <w:t>les coûts liés à l’exploitation de la capacité de rescEU, notamment au transport;</w:t>
      </w:r>
    </w:p>
    <w:p w:rsidR="00824C36" w:rsidRDefault="00B97963">
      <w:pPr>
        <w:pStyle w:val="Point2letter"/>
        <w:numPr>
          <w:ilvl w:val="5"/>
          <w:numId w:val="18"/>
        </w:numPr>
        <w:rPr>
          <w:noProof/>
        </w:rPr>
      </w:pPr>
      <w:r>
        <w:rPr>
          <w:noProof/>
        </w:rPr>
        <w:t>les coûts liés au recours aux services d’entités publiques ou</w:t>
      </w:r>
      <w:r>
        <w:rPr>
          <w:noProof/>
        </w:rPr>
        <w:t xml:space="preserve"> privées, nécessaires pour exploiter les capacités de rescEU.</w:t>
      </w:r>
    </w:p>
    <w:p w:rsidR="00824C36" w:rsidRDefault="00B97963">
      <w:pPr>
        <w:pStyle w:val="Point1"/>
        <w:rPr>
          <w:noProof/>
        </w:rPr>
      </w:pPr>
      <w:r>
        <w:rPr>
          <w:noProof/>
        </w:rPr>
        <w:t>4.</w:t>
      </w:r>
      <w:r>
        <w:rPr>
          <w:noProof/>
        </w:rPr>
        <w:tab/>
        <w:t>Les coûts visés au paragraphe 3, point a), peuvent consister en coûts unitaires, en montants forfaitaires ou en taux forfaitaires déterminés par catégorie ou type de capacité, selon le cas.»</w:t>
      </w:r>
    </w:p>
    <w:p w:rsidR="00824C36" w:rsidRDefault="00B97963">
      <w:pPr>
        <w:pStyle w:val="Point0"/>
        <w:rPr>
          <w:noProof/>
        </w:rPr>
      </w:pPr>
      <w:r>
        <w:rPr>
          <w:noProof/>
        </w:rPr>
        <w:t>14)</w:t>
      </w:r>
      <w:r>
        <w:rPr>
          <w:noProof/>
        </w:rPr>
        <w:tab/>
        <w:t>L’article 23 est modifié comme suit:</w:t>
      </w:r>
    </w:p>
    <w:p w:rsidR="00824C36" w:rsidRDefault="00B97963">
      <w:pPr>
        <w:pStyle w:val="Point1"/>
        <w:ind w:left="130" w:firstLine="720"/>
        <w:rPr>
          <w:noProof/>
        </w:rPr>
      </w:pPr>
      <w:r>
        <w:rPr>
          <w:noProof/>
        </w:rPr>
        <w:t>a) le titre est remplacé par le texte suivant:</w:t>
      </w:r>
    </w:p>
    <w:p w:rsidR="00824C36" w:rsidRDefault="00B97963">
      <w:pPr>
        <w:pStyle w:val="Point1"/>
        <w:ind w:left="130" w:firstLine="720"/>
        <w:jc w:val="center"/>
        <w:rPr>
          <w:b/>
          <w:noProof/>
        </w:rPr>
      </w:pPr>
      <w:r>
        <w:rPr>
          <w:b/>
          <w:noProof/>
        </w:rPr>
        <w:t>«Actions éligibles relatives au matériel et aux opérations»</w:t>
      </w:r>
    </w:p>
    <w:p w:rsidR="00824C36" w:rsidRDefault="00B97963">
      <w:pPr>
        <w:pStyle w:val="Point1"/>
        <w:ind w:left="130" w:firstLine="720"/>
        <w:rPr>
          <w:noProof/>
        </w:rPr>
      </w:pPr>
      <w:r>
        <w:rPr>
          <w:noProof/>
        </w:rPr>
        <w:t>b) les paragraphes 2, 3 et 4 sont remplacés par le texte suivant:</w:t>
      </w:r>
    </w:p>
    <w:p w:rsidR="00824C36" w:rsidRDefault="00B97963">
      <w:pPr>
        <w:pStyle w:val="Point1"/>
        <w:rPr>
          <w:noProof/>
        </w:rPr>
      </w:pPr>
      <w:r>
        <w:rPr>
          <w:noProof/>
        </w:rPr>
        <w:t xml:space="preserve">«2. </w:t>
      </w:r>
      <w:r>
        <w:rPr>
          <w:noProof/>
        </w:rPr>
        <w:tab/>
        <w:t>Le montant de l’aide financière de l’</w:t>
      </w:r>
      <w:r>
        <w:rPr>
          <w:noProof/>
        </w:rPr>
        <w:t>Union pour les moyens affectés à la réserve européenne de protection civile est limité à un maximum de 75 % des coûts d’exploitation des capacités, y compris le transport, en cas de catastrophe ou de catastrophe imminente dans l’Union ou un État participan</w:t>
      </w:r>
      <w:r>
        <w:rPr>
          <w:noProof/>
        </w:rPr>
        <w:t>t.</w:t>
      </w:r>
    </w:p>
    <w:p w:rsidR="00824C36" w:rsidRDefault="00B97963">
      <w:pPr>
        <w:pStyle w:val="Point1"/>
        <w:rPr>
          <w:noProof/>
        </w:rPr>
      </w:pPr>
      <w:r>
        <w:rPr>
          <w:noProof/>
        </w:rPr>
        <w:t xml:space="preserve">3. </w:t>
      </w:r>
      <w:r>
        <w:rPr>
          <w:noProof/>
        </w:rPr>
        <w:tab/>
        <w:t>Le soutien financier de l’Union pour le transport peut couvrir un maximum de 75 % du coût total éligible lié au transport des capacités affectées au préalable à la réserve européenne de protection civile en cas de catastrophe ou de catastrophe immin</w:t>
      </w:r>
      <w:r>
        <w:rPr>
          <w:noProof/>
        </w:rPr>
        <w:t>ente en dehors de l’Union, comme prévu à l'article 16.</w:t>
      </w:r>
    </w:p>
    <w:p w:rsidR="00824C36" w:rsidRDefault="00B97963">
      <w:pPr>
        <w:pStyle w:val="Point1"/>
        <w:rPr>
          <w:noProof/>
        </w:rPr>
      </w:pPr>
      <w:r>
        <w:rPr>
          <w:noProof/>
        </w:rPr>
        <w:t xml:space="preserve">4. </w:t>
      </w:r>
      <w:r>
        <w:rPr>
          <w:noProof/>
        </w:rPr>
        <w:tab/>
        <w:t>Le soutien financier de l'Union pour les ressources en moyens de transport liées aux capacités affectées au préalable à la réserve européenne de protection civile conformément à l'article 11 peut e</w:t>
      </w:r>
      <w:r>
        <w:rPr>
          <w:noProof/>
        </w:rPr>
        <w:t>n outre couvrir un maximum de 100 % du coût total éligible décrit aux points a), b), c) et d), si c'est nécessaire pour que la mise en commun de l'aide des États membres soit efficace sur le plan opérationnel et si les coûts portent sur l'un des éléments s</w:t>
      </w:r>
      <w:r>
        <w:rPr>
          <w:noProof/>
        </w:rPr>
        <w:t>uivants:</w:t>
      </w:r>
    </w:p>
    <w:p w:rsidR="00824C36" w:rsidRDefault="00B97963">
      <w:pPr>
        <w:pStyle w:val="Point2"/>
        <w:rPr>
          <w:noProof/>
        </w:rPr>
      </w:pPr>
      <w:r>
        <w:rPr>
          <w:noProof/>
        </w:rPr>
        <w:t>a)</w:t>
      </w:r>
      <w:r>
        <w:rPr>
          <w:noProof/>
        </w:rPr>
        <w:tab/>
        <w:t>la location à court terme d'une capacité de stockage pour entreposer temporairement l'aide des États membres en vue de faciliter son transport de manière coordonnée;</w:t>
      </w:r>
    </w:p>
    <w:p w:rsidR="00824C36" w:rsidRDefault="00B97963">
      <w:pPr>
        <w:pStyle w:val="Point2"/>
        <w:rPr>
          <w:noProof/>
        </w:rPr>
      </w:pPr>
      <w:r>
        <w:rPr>
          <w:noProof/>
        </w:rPr>
        <w:t xml:space="preserve">b) </w:t>
      </w:r>
      <w:r>
        <w:rPr>
          <w:noProof/>
        </w:rPr>
        <w:tab/>
        <w:t xml:space="preserve">le transport de l’État membre qui offre l'aide vers l’État membre qui </w:t>
      </w:r>
      <w:r>
        <w:rPr>
          <w:noProof/>
        </w:rPr>
        <w:t>facilite son transport de manière coordonnée;</w:t>
      </w:r>
    </w:p>
    <w:p w:rsidR="00824C36" w:rsidRDefault="00B97963">
      <w:pPr>
        <w:pStyle w:val="Point2"/>
        <w:rPr>
          <w:noProof/>
        </w:rPr>
      </w:pPr>
      <w:r>
        <w:rPr>
          <w:noProof/>
        </w:rPr>
        <w:t>c)</w:t>
      </w:r>
      <w:r>
        <w:rPr>
          <w:noProof/>
        </w:rPr>
        <w:tab/>
        <w:t>le reconditionnement de l'aide des États membres pour utiliser au mieux les capacités de transport disponibles ou pour répondre à des besoins opérationnels spécifiques; ou</w:t>
      </w:r>
    </w:p>
    <w:p w:rsidR="00824C36" w:rsidRDefault="00B97963">
      <w:pPr>
        <w:pStyle w:val="Point2"/>
        <w:rPr>
          <w:noProof/>
        </w:rPr>
      </w:pPr>
      <w:r>
        <w:rPr>
          <w:noProof/>
        </w:rPr>
        <w:t>e)</w:t>
      </w:r>
      <w:r>
        <w:rPr>
          <w:noProof/>
        </w:rPr>
        <w:tab/>
        <w:t>le transport local, le transit e</w:t>
      </w:r>
      <w:r>
        <w:rPr>
          <w:noProof/>
        </w:rPr>
        <w:t>t l’entreposage de l'aide mise en commun en vue de garantir une livraison coordonnée à la destination finale dans le pays demandeur.»</w:t>
      </w:r>
    </w:p>
    <w:p w:rsidR="00824C36" w:rsidRDefault="00B97963">
      <w:pPr>
        <w:pStyle w:val="Point1"/>
        <w:rPr>
          <w:noProof/>
        </w:rPr>
      </w:pPr>
      <w:r>
        <w:rPr>
          <w:noProof/>
        </w:rPr>
        <w:t>e) le paragraphe suivant est ajouté:</w:t>
      </w:r>
    </w:p>
    <w:p w:rsidR="00824C36" w:rsidRDefault="00B97963">
      <w:pPr>
        <w:spacing w:after="240"/>
        <w:ind w:left="1440" w:hanging="590"/>
        <w:rPr>
          <w:noProof/>
        </w:rPr>
      </w:pPr>
      <w:r>
        <w:rPr>
          <w:noProof/>
        </w:rPr>
        <w:t>«8.</w:t>
      </w:r>
      <w:r>
        <w:rPr>
          <w:noProof/>
        </w:rPr>
        <w:tab/>
        <w:t>Les coûts de transport peuvent consister en coûts unitaires, en montants forfaita</w:t>
      </w:r>
      <w:r>
        <w:rPr>
          <w:noProof/>
        </w:rPr>
        <w:t>ires ou en taux forfaitaires déterminés par catégorie de coût.»</w:t>
      </w:r>
    </w:p>
    <w:p w:rsidR="00824C36" w:rsidRDefault="00B97963">
      <w:pPr>
        <w:pStyle w:val="Point0"/>
        <w:rPr>
          <w:noProof/>
        </w:rPr>
      </w:pPr>
      <w:r>
        <w:rPr>
          <w:noProof/>
        </w:rPr>
        <w:t xml:space="preserve">15) </w:t>
      </w:r>
      <w:r>
        <w:rPr>
          <w:noProof/>
        </w:rPr>
        <w:tab/>
        <w:t>À l'article 26, les paragraphes 1 et 2 sont remplacés par le texte suivant:</w:t>
      </w:r>
    </w:p>
    <w:p w:rsidR="00824C36" w:rsidRDefault="00B97963">
      <w:pPr>
        <w:pStyle w:val="Text1"/>
        <w:ind w:left="1435" w:hanging="585"/>
        <w:rPr>
          <w:noProof/>
        </w:rPr>
      </w:pPr>
      <w:r>
        <w:rPr>
          <w:noProof/>
        </w:rPr>
        <w:t>«1.</w:t>
      </w:r>
      <w:r>
        <w:rPr>
          <w:noProof/>
        </w:rPr>
        <w:tab/>
        <w:t>Les actions bénéficiant d'une aide financière au titre de la présente décision ne reçoivent pas d'aide au t</w:t>
      </w:r>
      <w:r>
        <w:rPr>
          <w:noProof/>
        </w:rPr>
        <w:t>itre d'autres instruments financiers de l'Union. Par dérogation, l'aide financière accordée en vertu des articles 21, 22 et 23, de la présente décision n’empêche pas le financement par d'autres instruments de l’Union conformément aux conditions prévues par</w:t>
      </w:r>
      <w:r>
        <w:rPr>
          <w:noProof/>
        </w:rPr>
        <w:t xml:space="preserve"> ceux-ci.</w:t>
      </w:r>
    </w:p>
    <w:p w:rsidR="00824C36" w:rsidRDefault="00B97963">
      <w:pPr>
        <w:pStyle w:val="Text1"/>
        <w:ind w:left="1435"/>
        <w:rPr>
          <w:noProof/>
        </w:rPr>
      </w:pPr>
      <w:r>
        <w:rPr>
          <w:noProof/>
        </w:rPr>
        <w:t>La Commission veille à ce que les candidats à une aide financière au titre de la présente décision et les bénéficiaires d'une telle aide lui fournissent les informations sur l'aide financière qu'ils perçoivent d'autres sources, y compris du budge</w:t>
      </w:r>
      <w:r>
        <w:rPr>
          <w:noProof/>
        </w:rPr>
        <w:t>t général de l'Union, et sur les demandes en cours d'une telle aide.</w:t>
      </w:r>
    </w:p>
    <w:p w:rsidR="00824C36" w:rsidRDefault="00B97963">
      <w:pPr>
        <w:pStyle w:val="Text1"/>
        <w:ind w:left="1435" w:hanging="585"/>
        <w:rPr>
          <w:noProof/>
        </w:rPr>
      </w:pPr>
      <w:r>
        <w:rPr>
          <w:noProof/>
        </w:rPr>
        <w:t xml:space="preserve">2. </w:t>
      </w:r>
      <w:r>
        <w:rPr>
          <w:noProof/>
        </w:rPr>
        <w:tab/>
        <w:t>Des synergies et une complémentarité sont recherchées avec d’autres instruments de l’Union, tels ceux qui soutiennent les politiques en matière de cohésion, de développement rural, de</w:t>
      </w:r>
      <w:r>
        <w:rPr>
          <w:noProof/>
        </w:rPr>
        <w:t xml:space="preserve"> recherche et de santé ainsi que de migration et de sécurité. En cas d'intervention dans des pays tiers pour faire face à une crise humanitaire, la Commission veille à la complémentarité et à la cohérence des actions financées au titre de la présente décis</w:t>
      </w:r>
      <w:r>
        <w:rPr>
          <w:noProof/>
        </w:rPr>
        <w:t>ion et de celles financées au titre du règlement (CE) n° 1257/96.»</w:t>
      </w:r>
    </w:p>
    <w:p w:rsidR="00824C36" w:rsidRDefault="00B97963">
      <w:pPr>
        <w:pStyle w:val="Point0"/>
        <w:rPr>
          <w:noProof/>
        </w:rPr>
      </w:pPr>
      <w:r>
        <w:rPr>
          <w:noProof/>
        </w:rPr>
        <w:t>16)</w:t>
      </w:r>
      <w:r>
        <w:rPr>
          <w:noProof/>
        </w:rPr>
        <w:tab/>
        <w:t>À l'article 28, le paragraphe 3 est remplacé par le texte suivant:</w:t>
      </w:r>
    </w:p>
    <w:p w:rsidR="00824C36" w:rsidRDefault="00B97963">
      <w:pPr>
        <w:spacing w:after="240"/>
        <w:ind w:left="720"/>
        <w:rPr>
          <w:noProof/>
          <w:szCs w:val="24"/>
        </w:rPr>
      </w:pPr>
      <w:r>
        <w:rPr>
          <w:noProof/>
        </w:rPr>
        <w:t xml:space="preserve">«3. </w:t>
      </w:r>
      <w:r>
        <w:rPr>
          <w:noProof/>
        </w:rPr>
        <w:tab/>
        <w:t>Des organisations internationales, des organisations régionales ou des pays qui participent à la politique europé</w:t>
      </w:r>
      <w:r>
        <w:rPr>
          <w:noProof/>
        </w:rPr>
        <w:t>enne de voisinage peuvent coopérer aux activités prévues par le mécanisme de l’Union lorsque des accords bilatéraux ou multilatéraux pertinents le permettent.»</w:t>
      </w:r>
    </w:p>
    <w:p w:rsidR="00824C36" w:rsidRDefault="00B97963">
      <w:pPr>
        <w:pStyle w:val="Point0"/>
        <w:rPr>
          <w:noProof/>
        </w:rPr>
      </w:pPr>
      <w:r>
        <w:rPr>
          <w:noProof/>
        </w:rPr>
        <w:t>17)</w:t>
      </w:r>
      <w:r>
        <w:rPr>
          <w:noProof/>
        </w:rPr>
        <w:tab/>
        <w:t>À l’article 32, paragraphe 1, les points g) et h) sont remplacés par le texte suivant:</w:t>
      </w:r>
    </w:p>
    <w:p w:rsidR="00824C36" w:rsidRDefault="00B97963">
      <w:pPr>
        <w:spacing w:after="240"/>
        <w:ind w:left="1440" w:hanging="720"/>
        <w:rPr>
          <w:noProof/>
        </w:rPr>
      </w:pPr>
      <w:r>
        <w:rPr>
          <w:noProof/>
        </w:rPr>
        <w:t>«g)</w:t>
      </w:r>
      <w:r>
        <w:rPr>
          <w:noProof/>
        </w:rPr>
        <w:tab/>
        <w:t>l</w:t>
      </w:r>
      <w:r>
        <w:rPr>
          <w:noProof/>
        </w:rPr>
        <w:t>a création, la gestion et l’entretien de rescEU, comme prévu à l'article 12, y compris les critères applicables aux décisions de déploiement et les procédures d’exploitation;</w:t>
      </w:r>
    </w:p>
    <w:p w:rsidR="00824C36" w:rsidRDefault="00B97963">
      <w:pPr>
        <w:spacing w:after="240"/>
        <w:ind w:left="1440" w:hanging="720"/>
        <w:rPr>
          <w:noProof/>
        </w:rPr>
      </w:pPr>
      <w:r>
        <w:rPr>
          <w:noProof/>
        </w:rPr>
        <w:t>h)</w:t>
      </w:r>
      <w:r>
        <w:rPr>
          <w:noProof/>
        </w:rPr>
        <w:tab/>
        <w:t>la mise en place et l’organisation du réseau européen de connaissances en mati</w:t>
      </w:r>
      <w:r>
        <w:rPr>
          <w:noProof/>
        </w:rPr>
        <w:t>ère de protection civile, prévu à l’article 13;»</w:t>
      </w:r>
    </w:p>
    <w:p w:rsidR="00824C36" w:rsidRDefault="00B97963">
      <w:pPr>
        <w:pStyle w:val="Titrearticle"/>
        <w:rPr>
          <w:noProof/>
        </w:rPr>
      </w:pPr>
      <w:r>
        <w:rPr>
          <w:noProof/>
        </w:rPr>
        <w:t>Article 2</w:t>
      </w:r>
    </w:p>
    <w:p w:rsidR="00824C36" w:rsidRDefault="00B97963">
      <w:pPr>
        <w:keepNext/>
        <w:keepLines/>
        <w:rPr>
          <w:noProof/>
        </w:rPr>
      </w:pPr>
      <w:r>
        <w:rPr>
          <w:noProof/>
        </w:rPr>
        <w:t>Les États membres sont destinataires de la présente décision.</w:t>
      </w:r>
    </w:p>
    <w:p w:rsidR="00824C36" w:rsidRDefault="00B97963" w:rsidP="00B97963">
      <w:pPr>
        <w:pStyle w:val="Fait"/>
        <w:rPr>
          <w:noProof/>
        </w:rPr>
      </w:pPr>
      <w:r w:rsidRPr="00B97963">
        <w:t>Fait à Bruxelles, le</w:t>
      </w:r>
    </w:p>
    <w:p w:rsidR="00824C36" w:rsidRDefault="00B97963">
      <w:pPr>
        <w:pStyle w:val="Institutionquisigne"/>
        <w:rPr>
          <w:noProof/>
        </w:rPr>
      </w:pPr>
      <w:r>
        <w:rPr>
          <w:noProof/>
        </w:rPr>
        <w:t>Par le Parlement européen</w:t>
      </w:r>
      <w:r>
        <w:rPr>
          <w:noProof/>
        </w:rPr>
        <w:tab/>
        <w:t>Par le Conseil</w:t>
      </w:r>
    </w:p>
    <w:p w:rsidR="00824C36" w:rsidRDefault="00B97963">
      <w:pPr>
        <w:pStyle w:val="Personnequisigne"/>
        <w:rPr>
          <w:noProof/>
        </w:rPr>
        <w:sectPr w:rsidR="00824C36" w:rsidSect="00B97963">
          <w:pgSz w:w="11907" w:h="16840" w:code="9"/>
          <w:pgMar w:top="1134" w:right="1418" w:bottom="1134" w:left="1418" w:header="709" w:footer="709" w:gutter="0"/>
          <w:cols w:space="708"/>
          <w:docGrid w:linePitch="360"/>
        </w:sectPr>
      </w:pPr>
      <w:r>
        <w:rPr>
          <w:noProof/>
        </w:rPr>
        <w:t>Le président</w:t>
      </w:r>
      <w:r>
        <w:rPr>
          <w:noProof/>
        </w:rPr>
        <w:tab/>
        <w:t>Le président</w:t>
      </w:r>
    </w:p>
    <w:p w:rsidR="00824C36" w:rsidRDefault="00B97963">
      <w:pPr>
        <w:pStyle w:val="Fichefinanciretitre"/>
        <w:rPr>
          <w:noProof/>
        </w:rPr>
      </w:pPr>
      <w:r>
        <w:rPr>
          <w:noProof/>
        </w:rPr>
        <w:t>FICHE FINANCIÈRE LÉGISLA</w:t>
      </w:r>
      <w:r>
        <w:rPr>
          <w:noProof/>
        </w:rPr>
        <w:t>TIVE</w:t>
      </w:r>
    </w:p>
    <w:p w:rsidR="00824C36" w:rsidRDefault="00B97963">
      <w:pPr>
        <w:pStyle w:val="ManualHeading1"/>
        <w:rPr>
          <w:noProof/>
        </w:rPr>
      </w:pPr>
      <w:r>
        <w:rPr>
          <w:noProof/>
        </w:rPr>
        <w:t>1.</w:t>
      </w:r>
      <w:r>
        <w:rPr>
          <w:noProof/>
        </w:rPr>
        <w:tab/>
        <w:t xml:space="preserve">CADRE DE LA PROPOSITION/DE L'INITIATIVE </w:t>
      </w:r>
    </w:p>
    <w:p w:rsidR="00824C36" w:rsidRDefault="00B97963">
      <w:pPr>
        <w:pStyle w:val="ManualHeading2"/>
        <w:rPr>
          <w:b w:val="0"/>
          <w:noProof/>
        </w:rPr>
      </w:pPr>
      <w:r>
        <w:rPr>
          <w:noProof/>
        </w:rPr>
        <w:tab/>
      </w:r>
      <w:r>
        <w:rPr>
          <w:b w:val="0"/>
          <w:noProof/>
        </w:rPr>
        <w:t>1.1.</w:t>
      </w:r>
      <w:r>
        <w:rPr>
          <w:noProof/>
        </w:rPr>
        <w:tab/>
      </w:r>
      <w:r>
        <w:rPr>
          <w:b w:val="0"/>
          <w:noProof/>
        </w:rPr>
        <w:t xml:space="preserve">Dénomination de la proposition/de l'initiative </w:t>
      </w:r>
    </w:p>
    <w:p w:rsidR="00824C36" w:rsidRDefault="00B97963">
      <w:pPr>
        <w:pStyle w:val="ManualHeading2"/>
        <w:rPr>
          <w:b w:val="0"/>
          <w:noProof/>
        </w:rPr>
      </w:pPr>
      <w:r>
        <w:rPr>
          <w:noProof/>
        </w:rPr>
        <w:tab/>
      </w:r>
      <w:r>
        <w:rPr>
          <w:b w:val="0"/>
          <w:noProof/>
        </w:rPr>
        <w:t>1.2.</w:t>
      </w:r>
      <w:r>
        <w:rPr>
          <w:noProof/>
        </w:rPr>
        <w:tab/>
      </w:r>
      <w:r>
        <w:rPr>
          <w:b w:val="0"/>
          <w:noProof/>
        </w:rPr>
        <w:t>Domaine(s) politique(s) concerné(s) dans la structure ABM/ABB</w:t>
      </w:r>
    </w:p>
    <w:p w:rsidR="00824C36" w:rsidRDefault="00B97963">
      <w:pPr>
        <w:pStyle w:val="ManualHeading2"/>
        <w:rPr>
          <w:b w:val="0"/>
          <w:noProof/>
        </w:rPr>
      </w:pPr>
      <w:r>
        <w:rPr>
          <w:noProof/>
        </w:rPr>
        <w:tab/>
      </w:r>
      <w:r>
        <w:rPr>
          <w:b w:val="0"/>
          <w:noProof/>
        </w:rPr>
        <w:t>1.3.</w:t>
      </w:r>
      <w:r>
        <w:rPr>
          <w:noProof/>
        </w:rPr>
        <w:tab/>
      </w:r>
      <w:r>
        <w:rPr>
          <w:b w:val="0"/>
          <w:noProof/>
        </w:rPr>
        <w:t xml:space="preserve">Nature de la proposition/de l’initiative </w:t>
      </w:r>
    </w:p>
    <w:p w:rsidR="00824C36" w:rsidRDefault="00B97963">
      <w:pPr>
        <w:pStyle w:val="ManualHeading2"/>
        <w:rPr>
          <w:b w:val="0"/>
          <w:noProof/>
        </w:rPr>
      </w:pPr>
      <w:r>
        <w:rPr>
          <w:noProof/>
        </w:rPr>
        <w:tab/>
      </w:r>
      <w:r>
        <w:rPr>
          <w:b w:val="0"/>
          <w:noProof/>
        </w:rPr>
        <w:t>1.4.</w:t>
      </w:r>
      <w:r>
        <w:rPr>
          <w:noProof/>
        </w:rPr>
        <w:tab/>
      </w:r>
      <w:r>
        <w:rPr>
          <w:b w:val="0"/>
          <w:noProof/>
        </w:rPr>
        <w:t xml:space="preserve">Objectif(s) </w:t>
      </w:r>
    </w:p>
    <w:p w:rsidR="00824C36" w:rsidRDefault="00B97963">
      <w:pPr>
        <w:pStyle w:val="ManualHeading2"/>
        <w:rPr>
          <w:b w:val="0"/>
          <w:noProof/>
        </w:rPr>
      </w:pPr>
      <w:r>
        <w:rPr>
          <w:noProof/>
        </w:rPr>
        <w:tab/>
      </w:r>
      <w:r>
        <w:rPr>
          <w:b w:val="0"/>
          <w:noProof/>
        </w:rPr>
        <w:t>1.5.</w:t>
      </w:r>
      <w:r>
        <w:rPr>
          <w:noProof/>
        </w:rPr>
        <w:tab/>
      </w:r>
      <w:r>
        <w:rPr>
          <w:b w:val="0"/>
          <w:noProof/>
        </w:rPr>
        <w:t xml:space="preserve">Justification(s) de la proposition/de l’initiative </w:t>
      </w:r>
    </w:p>
    <w:p w:rsidR="00824C36" w:rsidRDefault="00B97963">
      <w:pPr>
        <w:pStyle w:val="ManualHeading2"/>
        <w:rPr>
          <w:b w:val="0"/>
          <w:noProof/>
        </w:rPr>
      </w:pPr>
      <w:r>
        <w:rPr>
          <w:noProof/>
        </w:rPr>
        <w:tab/>
      </w:r>
      <w:r>
        <w:rPr>
          <w:b w:val="0"/>
          <w:noProof/>
        </w:rPr>
        <w:t>1.6.</w:t>
      </w:r>
      <w:r>
        <w:rPr>
          <w:noProof/>
        </w:rPr>
        <w:tab/>
      </w:r>
      <w:r>
        <w:rPr>
          <w:b w:val="0"/>
          <w:noProof/>
        </w:rPr>
        <w:t xml:space="preserve">Durée et incidence financière </w:t>
      </w:r>
    </w:p>
    <w:p w:rsidR="00824C36" w:rsidRDefault="00B97963">
      <w:pPr>
        <w:pStyle w:val="ManualHeading2"/>
        <w:rPr>
          <w:b w:val="0"/>
          <w:noProof/>
        </w:rPr>
      </w:pPr>
      <w:r>
        <w:rPr>
          <w:noProof/>
        </w:rPr>
        <w:tab/>
      </w:r>
      <w:r>
        <w:rPr>
          <w:b w:val="0"/>
          <w:noProof/>
        </w:rPr>
        <w:t>1.7.</w:t>
      </w:r>
      <w:r>
        <w:rPr>
          <w:noProof/>
        </w:rPr>
        <w:tab/>
      </w:r>
      <w:r>
        <w:rPr>
          <w:b w:val="0"/>
          <w:noProof/>
        </w:rPr>
        <w:t xml:space="preserve">Mode(s) de gestion prévu(s) </w:t>
      </w:r>
    </w:p>
    <w:p w:rsidR="00824C36" w:rsidRDefault="00B97963">
      <w:pPr>
        <w:pStyle w:val="ManualHeading1"/>
        <w:rPr>
          <w:noProof/>
        </w:rPr>
      </w:pPr>
      <w:r>
        <w:rPr>
          <w:noProof/>
        </w:rPr>
        <w:t>2.</w:t>
      </w:r>
      <w:r>
        <w:rPr>
          <w:noProof/>
        </w:rPr>
        <w:tab/>
        <w:t xml:space="preserve">MESURES DE GESTION </w:t>
      </w:r>
    </w:p>
    <w:p w:rsidR="00824C36" w:rsidRDefault="00B97963">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rsidR="00824C36" w:rsidRDefault="00B97963">
      <w:pPr>
        <w:pStyle w:val="ManualHeading2"/>
        <w:rPr>
          <w:b w:val="0"/>
          <w:noProof/>
        </w:rPr>
      </w:pPr>
      <w:r>
        <w:rPr>
          <w:noProof/>
        </w:rPr>
        <w:tab/>
      </w:r>
      <w:r>
        <w:rPr>
          <w:b w:val="0"/>
          <w:noProof/>
        </w:rPr>
        <w:t>2.2.</w:t>
      </w:r>
      <w:r>
        <w:rPr>
          <w:noProof/>
        </w:rPr>
        <w:tab/>
      </w:r>
      <w:r>
        <w:rPr>
          <w:b w:val="0"/>
          <w:noProof/>
        </w:rPr>
        <w:t xml:space="preserve">Système de gestion et de contrôle </w:t>
      </w:r>
    </w:p>
    <w:p w:rsidR="00824C36" w:rsidRDefault="00B97963">
      <w:pPr>
        <w:pStyle w:val="ManualHeading2"/>
        <w:rPr>
          <w:b w:val="0"/>
          <w:noProof/>
        </w:rPr>
      </w:pPr>
      <w:r>
        <w:rPr>
          <w:noProof/>
        </w:rPr>
        <w:tab/>
      </w:r>
      <w:r>
        <w:rPr>
          <w:b w:val="0"/>
          <w:noProof/>
        </w:rPr>
        <w:t>2.3.</w:t>
      </w:r>
      <w:r>
        <w:rPr>
          <w:noProof/>
        </w:rPr>
        <w:tab/>
      </w:r>
      <w:r>
        <w:rPr>
          <w:b w:val="0"/>
          <w:noProof/>
        </w:rPr>
        <w:t>Mes</w:t>
      </w:r>
      <w:r>
        <w:rPr>
          <w:b w:val="0"/>
          <w:noProof/>
        </w:rPr>
        <w:t xml:space="preserve">ures de prévention des fraudes et irrégularités </w:t>
      </w:r>
    </w:p>
    <w:p w:rsidR="00824C36" w:rsidRDefault="00B97963">
      <w:pPr>
        <w:pStyle w:val="ManualHeading1"/>
        <w:rPr>
          <w:noProof/>
        </w:rPr>
      </w:pPr>
      <w:r>
        <w:rPr>
          <w:noProof/>
        </w:rPr>
        <w:t>3.</w:t>
      </w:r>
      <w:r>
        <w:rPr>
          <w:noProof/>
        </w:rPr>
        <w:tab/>
        <w:t xml:space="preserve">INCIDENCE FINANCIÈRE ESTIMÉE DE LA PROPOSITION/DE L'INITIATIVE </w:t>
      </w:r>
    </w:p>
    <w:p w:rsidR="00824C36" w:rsidRDefault="00B97963">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rsidR="00824C36" w:rsidRDefault="00B97963">
      <w:pPr>
        <w:pStyle w:val="ManualHeading2"/>
        <w:rPr>
          <w:noProof/>
        </w:rPr>
      </w:pPr>
      <w:r>
        <w:rPr>
          <w:noProof/>
        </w:rPr>
        <w:tab/>
      </w:r>
      <w:r>
        <w:rPr>
          <w:b w:val="0"/>
          <w:noProof/>
        </w:rPr>
        <w:t>3.2.</w:t>
      </w:r>
      <w:r>
        <w:rPr>
          <w:noProof/>
        </w:rPr>
        <w:tab/>
      </w:r>
      <w:r>
        <w:rPr>
          <w:b w:val="0"/>
          <w:noProof/>
        </w:rPr>
        <w:t>Incidence estimée sur les dépense</w:t>
      </w:r>
      <w:r>
        <w:rPr>
          <w:b w:val="0"/>
          <w:noProof/>
        </w:rPr>
        <w:t>s</w:t>
      </w:r>
      <w:r>
        <w:rPr>
          <w:noProof/>
        </w:rPr>
        <w:t xml:space="preserve"> </w:t>
      </w:r>
    </w:p>
    <w:p w:rsidR="00824C36" w:rsidRDefault="00B97963">
      <w:pPr>
        <w:pStyle w:val="ManualHeading3"/>
        <w:rPr>
          <w:noProof/>
        </w:rPr>
      </w:pPr>
      <w:r>
        <w:rPr>
          <w:noProof/>
        </w:rPr>
        <w:tab/>
        <w:t>3.2.1.</w:t>
      </w:r>
      <w:r>
        <w:rPr>
          <w:noProof/>
        </w:rPr>
        <w:tab/>
        <w:t xml:space="preserve">Synthèse de l'incidence estimée sur les dépenses </w:t>
      </w:r>
    </w:p>
    <w:p w:rsidR="00824C36" w:rsidRDefault="00B97963">
      <w:pPr>
        <w:pStyle w:val="ManualHeading3"/>
        <w:rPr>
          <w:noProof/>
        </w:rPr>
      </w:pPr>
      <w:r>
        <w:rPr>
          <w:noProof/>
        </w:rPr>
        <w:tab/>
        <w:t>3.2.2.</w:t>
      </w:r>
      <w:r>
        <w:rPr>
          <w:noProof/>
        </w:rPr>
        <w:tab/>
        <w:t xml:space="preserve">Incidence estimée sur les crédits opérationnels </w:t>
      </w:r>
    </w:p>
    <w:p w:rsidR="00824C36" w:rsidRDefault="00B97963">
      <w:pPr>
        <w:pStyle w:val="ManualHeading3"/>
        <w:rPr>
          <w:noProof/>
        </w:rPr>
      </w:pPr>
      <w:r>
        <w:rPr>
          <w:noProof/>
        </w:rPr>
        <w:tab/>
        <w:t>3.2.3.</w:t>
      </w:r>
      <w:r>
        <w:rPr>
          <w:noProof/>
        </w:rPr>
        <w:tab/>
        <w:t>Incidence estimée sur les crédits de nature administrative</w:t>
      </w:r>
    </w:p>
    <w:p w:rsidR="00824C36" w:rsidRDefault="00B97963">
      <w:pPr>
        <w:pStyle w:val="ManualHeading3"/>
        <w:rPr>
          <w:noProof/>
        </w:rPr>
      </w:pPr>
      <w:r>
        <w:rPr>
          <w:noProof/>
        </w:rPr>
        <w:tab/>
        <w:t>3.2.4.</w:t>
      </w:r>
      <w:r>
        <w:rPr>
          <w:noProof/>
        </w:rPr>
        <w:tab/>
        <w:t>Compatibilité avec le cadre financier pluriannuel actuel</w:t>
      </w:r>
    </w:p>
    <w:p w:rsidR="00824C36" w:rsidRDefault="00B97963">
      <w:pPr>
        <w:pStyle w:val="ManualHeading3"/>
        <w:rPr>
          <w:noProof/>
        </w:rPr>
      </w:pPr>
      <w:r>
        <w:rPr>
          <w:noProof/>
        </w:rPr>
        <w:tab/>
        <w:t>3.2.5</w:t>
      </w:r>
      <w:r>
        <w:rPr>
          <w:noProof/>
        </w:rPr>
        <w:t>.</w:t>
      </w:r>
      <w:r>
        <w:rPr>
          <w:noProof/>
        </w:rPr>
        <w:tab/>
        <w:t xml:space="preserve">Participation de tiers au financement </w:t>
      </w:r>
    </w:p>
    <w:p w:rsidR="00824C36" w:rsidRDefault="00B97963">
      <w:pPr>
        <w:pStyle w:val="ManualHeading3"/>
        <w:rPr>
          <w:b/>
          <w:i w:val="0"/>
          <w:smallCaps/>
          <w:noProof/>
        </w:rPr>
      </w:pPr>
      <w:r>
        <w:rPr>
          <w:noProof/>
        </w:rPr>
        <w:tab/>
      </w:r>
      <w:r>
        <w:rPr>
          <w:i w:val="0"/>
          <w:noProof/>
        </w:rPr>
        <w:t>3.3.</w:t>
      </w:r>
      <w:r>
        <w:rPr>
          <w:noProof/>
        </w:rPr>
        <w:tab/>
      </w:r>
      <w:r>
        <w:rPr>
          <w:i w:val="0"/>
          <w:noProof/>
        </w:rPr>
        <w:t>Incidence estimée sur les recettes</w:t>
      </w:r>
    </w:p>
    <w:p w:rsidR="00824C36" w:rsidRDefault="00824C36">
      <w:pPr>
        <w:keepNext/>
        <w:tabs>
          <w:tab w:val="left" w:pos="850"/>
        </w:tabs>
        <w:jc w:val="left"/>
        <w:outlineLvl w:val="1"/>
        <w:rPr>
          <w:noProof/>
        </w:rPr>
        <w:sectPr w:rsidR="00824C36" w:rsidSect="00B97963">
          <w:pgSz w:w="11907" w:h="16840" w:code="9"/>
          <w:pgMar w:top="1134" w:right="1418" w:bottom="1134" w:left="1418" w:header="709" w:footer="709" w:gutter="0"/>
          <w:cols w:space="708"/>
          <w:docGrid w:linePitch="360"/>
        </w:sectPr>
      </w:pPr>
    </w:p>
    <w:p w:rsidR="00824C36" w:rsidRDefault="00B97963">
      <w:pPr>
        <w:jc w:val="center"/>
        <w:rPr>
          <w:noProof/>
        </w:rPr>
      </w:pPr>
      <w:r>
        <w:rPr>
          <w:b/>
          <w:noProof/>
          <w:u w:val="single"/>
        </w:rPr>
        <w:t>FICHE FINANCIÈRE LÉGISLATIVE</w:t>
      </w:r>
    </w:p>
    <w:p w:rsidR="00824C36" w:rsidRDefault="00B97963">
      <w:pPr>
        <w:pStyle w:val="ManualNumPar1"/>
        <w:rPr>
          <w:noProof/>
        </w:rPr>
      </w:pPr>
      <w:r>
        <w:t>1.</w:t>
      </w:r>
      <w:r>
        <w:tab/>
      </w:r>
      <w:r>
        <w:rPr>
          <w:noProof/>
        </w:rPr>
        <w:t xml:space="preserve">CADRE DE LA PROPOSITION/DE L'INITIATIVE </w:t>
      </w:r>
    </w:p>
    <w:p w:rsidR="00824C36" w:rsidRDefault="00B97963">
      <w:pPr>
        <w:pStyle w:val="ManualNumPar2"/>
        <w:rPr>
          <w:noProof/>
        </w:rPr>
      </w:pPr>
      <w:r>
        <w:t>1.1.</w:t>
      </w:r>
      <w:r>
        <w:tab/>
      </w:r>
      <w:r>
        <w:rPr>
          <w:noProof/>
        </w:rPr>
        <w:t xml:space="preserve">Dénomination de la proposition/de l'initiative </w:t>
      </w:r>
    </w:p>
    <w:p w:rsidR="00824C36" w:rsidRDefault="00B97963">
      <w:pPr>
        <w:pBdr>
          <w:top w:val="single" w:sz="4" w:space="1" w:color="auto"/>
          <w:left w:val="single" w:sz="4" w:space="4" w:color="auto"/>
          <w:bottom w:val="single" w:sz="4" w:space="1" w:color="auto"/>
          <w:right w:val="single" w:sz="4" w:space="4" w:color="auto"/>
        </w:pBdr>
        <w:ind w:left="850"/>
        <w:rPr>
          <w:noProof/>
        </w:rPr>
      </w:pPr>
      <w:r>
        <w:rPr>
          <w:noProof/>
          <w:sz w:val="23"/>
        </w:rPr>
        <w:t xml:space="preserve">Proposition de révision </w:t>
      </w:r>
      <w:r>
        <w:rPr>
          <w:noProof/>
          <w:sz w:val="23"/>
        </w:rPr>
        <w:t>de la décision n° 1313/2013/UE du Parlement européen et du Conseil relative au mécanisme de protection civile de l’Union</w:t>
      </w:r>
    </w:p>
    <w:p w:rsidR="00824C36" w:rsidRDefault="00824C36">
      <w:pPr>
        <w:pBdr>
          <w:top w:val="single" w:sz="4" w:space="1" w:color="auto"/>
          <w:left w:val="single" w:sz="4" w:space="4" w:color="auto"/>
          <w:bottom w:val="single" w:sz="4" w:space="1" w:color="auto"/>
          <w:right w:val="single" w:sz="4" w:space="4" w:color="auto"/>
        </w:pBdr>
        <w:ind w:left="850"/>
        <w:rPr>
          <w:noProof/>
        </w:rPr>
      </w:pPr>
    </w:p>
    <w:p w:rsidR="00824C36" w:rsidRDefault="00B97963">
      <w:pPr>
        <w:pStyle w:val="ManualNumPar2"/>
        <w:rPr>
          <w:noProof/>
        </w:rPr>
      </w:pPr>
      <w:r>
        <w:t>1.2.</w:t>
      </w:r>
      <w:r>
        <w:tab/>
      </w:r>
      <w:r>
        <w:rPr>
          <w:noProof/>
        </w:rPr>
        <w:t>Domaine(s) politique(s) concerné(s) dans la structure ABM/ABB</w:t>
      </w:r>
      <w:r>
        <w:rPr>
          <w:rStyle w:val="FootnoteReference"/>
          <w:noProof/>
        </w:rPr>
        <w:footnoteReference w:id="17"/>
      </w:r>
      <w:r>
        <w:rPr>
          <w:i/>
          <w:noProof/>
        </w:rPr>
        <w:t xml:space="preserve"> </w:t>
      </w:r>
    </w:p>
    <w:p w:rsidR="00824C36" w:rsidRDefault="00B97963">
      <w:pPr>
        <w:pBdr>
          <w:top w:val="single" w:sz="4" w:space="1" w:color="auto"/>
          <w:left w:val="single" w:sz="4" w:space="4" w:color="auto"/>
          <w:bottom w:val="single" w:sz="4" w:space="1" w:color="auto"/>
          <w:right w:val="single" w:sz="4" w:space="4" w:color="auto"/>
        </w:pBdr>
        <w:ind w:left="850"/>
        <w:rPr>
          <w:noProof/>
          <w:color w:val="0000FF"/>
        </w:rPr>
      </w:pPr>
      <w:r>
        <w:rPr>
          <w:noProof/>
        </w:rPr>
        <w:t xml:space="preserve">23 01 – DÉPENSES ADMINISTRATIVES DU DOMAINE POLITIQUE «AIDE </w:t>
      </w:r>
      <w:r>
        <w:rPr>
          <w:noProof/>
        </w:rPr>
        <w:t>HUMANITAIRE ET PROTECTION CIVILE»</w:t>
      </w:r>
    </w:p>
    <w:p w:rsidR="00824C36" w:rsidRDefault="00B97963">
      <w:pPr>
        <w:pBdr>
          <w:top w:val="single" w:sz="4" w:space="1" w:color="auto"/>
          <w:left w:val="single" w:sz="4" w:space="4" w:color="auto"/>
          <w:bottom w:val="single" w:sz="4" w:space="1" w:color="auto"/>
          <w:right w:val="single" w:sz="4" w:space="4" w:color="auto"/>
        </w:pBdr>
        <w:ind w:left="850"/>
        <w:rPr>
          <w:noProof/>
        </w:rPr>
      </w:pPr>
      <w:r>
        <w:rPr>
          <w:noProof/>
        </w:rPr>
        <w:t xml:space="preserve">23 03 - MÉCANISME DE PROTECTION CIVILE DE L’UNION </w:t>
      </w:r>
    </w:p>
    <w:p w:rsidR="00824C36" w:rsidRDefault="00B97963">
      <w:pPr>
        <w:pStyle w:val="ManualNumPar2"/>
        <w:rPr>
          <w:noProof/>
        </w:rPr>
      </w:pPr>
      <w:r>
        <w:t>1.3.</w:t>
      </w:r>
      <w:r>
        <w:tab/>
      </w:r>
      <w:r>
        <w:rPr>
          <w:noProof/>
        </w:rPr>
        <w:t xml:space="preserve">Nature de la proposition/de l’initiative </w:t>
      </w:r>
    </w:p>
    <w:p w:rsidR="00824C36" w:rsidRDefault="00B97963">
      <w:pPr>
        <w:ind w:left="850"/>
        <w:rPr>
          <w:b/>
          <w:noProof/>
          <w:sz w:val="22"/>
        </w:rPr>
      </w:pPr>
      <w:r>
        <w:rPr>
          <w:noProof/>
          <w:sz w:val="22"/>
        </w:rPr>
        <w:sym w:font="Wingdings" w:char="F0A8"/>
      </w:r>
      <w:r>
        <w:rPr>
          <w:b/>
          <w:i/>
          <w:noProof/>
          <w:sz w:val="22"/>
        </w:rPr>
        <w:t xml:space="preserve"> </w:t>
      </w:r>
      <w:r>
        <w:rPr>
          <w:noProof/>
        </w:rPr>
        <w:t xml:space="preserve">La proposition/l'initiative porte sur </w:t>
      </w:r>
      <w:r>
        <w:rPr>
          <w:b/>
          <w:noProof/>
        </w:rPr>
        <w:t>une action nouvelle</w:t>
      </w:r>
      <w:r>
        <w:rPr>
          <w:b/>
          <w:noProof/>
          <w:sz w:val="22"/>
        </w:rPr>
        <w:t xml:space="preserve"> </w:t>
      </w:r>
    </w:p>
    <w:p w:rsidR="00824C36" w:rsidRDefault="00B97963">
      <w:pPr>
        <w:ind w:left="850"/>
        <w:rPr>
          <w:noProof/>
          <w:sz w:val="22"/>
        </w:rPr>
      </w:pPr>
      <w:r>
        <w:rPr>
          <w:noProof/>
          <w:sz w:val="22"/>
        </w:rPr>
        <w:sym w:font="Wingdings" w:char="F0A8"/>
      </w:r>
      <w:r>
        <w:rPr>
          <w:i/>
          <w:noProof/>
          <w:sz w:val="22"/>
        </w:rPr>
        <w:t xml:space="preserve"> </w:t>
      </w:r>
      <w:r>
        <w:rPr>
          <w:noProof/>
        </w:rPr>
        <w:t xml:space="preserve">La proposition/l’initiative porte sur </w:t>
      </w:r>
      <w:r>
        <w:rPr>
          <w:b/>
          <w:noProof/>
        </w:rPr>
        <w:t>une action nouvelle sui</w:t>
      </w:r>
      <w:r>
        <w:rPr>
          <w:b/>
          <w:noProof/>
        </w:rPr>
        <w:t>te à un projet pilote/une action préparatoire</w:t>
      </w:r>
      <w:r>
        <w:rPr>
          <w:rStyle w:val="FootnoteReference"/>
          <w:noProof/>
        </w:rPr>
        <w:footnoteReference w:id="18"/>
      </w:r>
      <w:r>
        <w:rPr>
          <w:noProof/>
          <w:sz w:val="22"/>
        </w:rPr>
        <w:t xml:space="preserve"> </w:t>
      </w:r>
    </w:p>
    <w:p w:rsidR="00824C36" w:rsidRDefault="00B97963">
      <w:pPr>
        <w:ind w:left="850"/>
        <w:rPr>
          <w:noProof/>
          <w:sz w:val="22"/>
        </w:rPr>
      </w:pPr>
      <w:r>
        <w:rPr>
          <w:noProof/>
          <w:sz w:val="22"/>
        </w:rPr>
        <w:t>X</w:t>
      </w:r>
      <w:r>
        <w:rPr>
          <w:i/>
          <w:noProof/>
          <w:sz w:val="22"/>
        </w:rPr>
        <w:t xml:space="preserve"> </w:t>
      </w:r>
      <w:r>
        <w:rPr>
          <w:noProof/>
        </w:rPr>
        <w:t xml:space="preserve">La proposition/l'initiative est relative à </w:t>
      </w:r>
      <w:r>
        <w:rPr>
          <w:b/>
          <w:noProof/>
        </w:rPr>
        <w:t>la prolongation d'une action existante</w:t>
      </w:r>
      <w:r>
        <w:rPr>
          <w:noProof/>
          <w:sz w:val="22"/>
        </w:rPr>
        <w:t xml:space="preserve"> </w:t>
      </w:r>
    </w:p>
    <w:p w:rsidR="00824C36" w:rsidRDefault="00B97963">
      <w:pPr>
        <w:ind w:left="850"/>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action nouvelle</w:t>
      </w:r>
      <w:r>
        <w:rPr>
          <w:noProof/>
        </w:rPr>
        <w:t xml:space="preserve"> </w:t>
      </w:r>
    </w:p>
    <w:p w:rsidR="00824C36" w:rsidRDefault="00B97963">
      <w:pPr>
        <w:pStyle w:val="ManualNumPar2"/>
        <w:rPr>
          <w:noProof/>
        </w:rPr>
      </w:pPr>
      <w:r>
        <w:t>1.4.</w:t>
      </w:r>
      <w:r>
        <w:tab/>
      </w:r>
      <w:r>
        <w:rPr>
          <w:noProof/>
        </w:rPr>
        <w:t>Objectif(s)</w:t>
      </w:r>
    </w:p>
    <w:p w:rsidR="00824C36" w:rsidRDefault="00B97963">
      <w:pPr>
        <w:pStyle w:val="ManualNumPar3"/>
        <w:rPr>
          <w:noProof/>
        </w:rPr>
      </w:pPr>
      <w:r>
        <w:t>1.4.1.</w:t>
      </w:r>
      <w:r>
        <w:tab/>
      </w:r>
      <w:r>
        <w:rPr>
          <w:noProof/>
        </w:rPr>
        <w:t>Objectif(s)</w:t>
      </w:r>
      <w:r>
        <w:rPr>
          <w:noProof/>
        </w:rPr>
        <w:t xml:space="preserve"> stratégique(s) pluriannuel(s) de la Commission visé(s) par la proposition/l'initiative </w:t>
      </w:r>
    </w:p>
    <w:p w:rsidR="00824C36" w:rsidRDefault="00B97963">
      <w:pPr>
        <w:pBdr>
          <w:top w:val="single" w:sz="4" w:space="1" w:color="auto"/>
          <w:left w:val="single" w:sz="4" w:space="4" w:color="auto"/>
          <w:bottom w:val="single" w:sz="4" w:space="1" w:color="auto"/>
          <w:right w:val="single" w:sz="4" w:space="4" w:color="auto"/>
        </w:pBdr>
        <w:ind w:left="850"/>
        <w:rPr>
          <w:noProof/>
        </w:rPr>
      </w:pPr>
      <w:r>
        <w:rPr>
          <w:noProof/>
        </w:rPr>
        <w:t>La présente décision a pour objectif global de renforcer la coopération entre l'Union et les États membres et de faciliter la coordination dans le domaine de la protec</w:t>
      </w:r>
      <w:r>
        <w:rPr>
          <w:noProof/>
        </w:rPr>
        <w:t>tion civile pour ce qui est de la prévention, de la préparation et de la réaction en cas de catastrophes naturelles ou d'origine humaine.</w:t>
      </w:r>
    </w:p>
    <w:p w:rsidR="00824C36" w:rsidRDefault="00B97963">
      <w:pPr>
        <w:pStyle w:val="ManualNumPar3"/>
        <w:rPr>
          <w:noProof/>
        </w:rPr>
      </w:pPr>
      <w:r>
        <w:t>1.4.2.</w:t>
      </w:r>
      <w:r>
        <w:tab/>
      </w:r>
      <w:r>
        <w:rPr>
          <w:noProof/>
        </w:rPr>
        <w:t xml:space="preserve">Objectif(s) spécifique(s) et activité(s) ABM/ABB concernée(s) </w:t>
      </w:r>
    </w:p>
    <w:p w:rsidR="00824C36" w:rsidRDefault="00B97963">
      <w:pPr>
        <w:pBdr>
          <w:top w:val="single" w:sz="4" w:space="1" w:color="auto"/>
          <w:left w:val="single" w:sz="4" w:space="4" w:color="auto"/>
          <w:bottom w:val="single" w:sz="4" w:space="1" w:color="auto"/>
          <w:right w:val="single" w:sz="4" w:space="4" w:color="auto"/>
        </w:pBdr>
        <w:ind w:left="850"/>
        <w:rPr>
          <w:noProof/>
          <w:u w:val="single"/>
        </w:rPr>
      </w:pPr>
      <w:r>
        <w:rPr>
          <w:noProof/>
          <w:u w:val="single"/>
        </w:rPr>
        <w:t>Objectif spécifique n° 1</w:t>
      </w:r>
    </w:p>
    <w:p w:rsidR="00824C36" w:rsidRDefault="00B97963">
      <w:pPr>
        <w:pBdr>
          <w:top w:val="single" w:sz="4" w:space="1" w:color="auto"/>
          <w:left w:val="single" w:sz="4" w:space="4" w:color="auto"/>
          <w:bottom w:val="single" w:sz="4" w:space="1" w:color="auto"/>
          <w:right w:val="single" w:sz="4" w:space="4" w:color="auto"/>
        </w:pBdr>
        <w:ind w:left="850"/>
        <w:rPr>
          <w:noProof/>
        </w:rPr>
      </w:pPr>
      <w:r>
        <w:rPr>
          <w:noProof/>
        </w:rPr>
        <w:t>Assurer un niveau élevé</w:t>
      </w:r>
      <w:r>
        <w:rPr>
          <w:noProof/>
        </w:rPr>
        <w:t xml:space="preserve"> de protection contre les catastrophes en prévenant ou en réduisant leurs effets éventuels, en encourageant le développement d'une culture de la prévention et en améliorant la coopération entre les services de la protection civile et d'autres services comp</w:t>
      </w:r>
      <w:r>
        <w:rPr>
          <w:noProof/>
        </w:rPr>
        <w:t>étents;</w:t>
      </w:r>
    </w:p>
    <w:p w:rsidR="00824C36" w:rsidRDefault="00B97963">
      <w:pPr>
        <w:pBdr>
          <w:top w:val="single" w:sz="4" w:space="1" w:color="auto"/>
          <w:left w:val="single" w:sz="4" w:space="4" w:color="auto"/>
          <w:bottom w:val="single" w:sz="4" w:space="1" w:color="auto"/>
          <w:right w:val="single" w:sz="4" w:space="4" w:color="auto"/>
        </w:pBdr>
        <w:ind w:left="850"/>
        <w:rPr>
          <w:noProof/>
          <w:u w:val="single"/>
        </w:rPr>
      </w:pPr>
      <w:r>
        <w:rPr>
          <w:noProof/>
          <w:u w:val="single"/>
        </w:rPr>
        <w:t>Objectif spécifique n° 2</w:t>
      </w:r>
    </w:p>
    <w:p w:rsidR="00824C36" w:rsidRDefault="00B97963">
      <w:pPr>
        <w:pBdr>
          <w:top w:val="single" w:sz="4" w:space="1" w:color="auto"/>
          <w:left w:val="single" w:sz="4" w:space="4" w:color="auto"/>
          <w:bottom w:val="single" w:sz="4" w:space="1" w:color="auto"/>
          <w:right w:val="single" w:sz="4" w:space="4" w:color="auto"/>
        </w:pBdr>
        <w:ind w:left="850"/>
        <w:rPr>
          <w:noProof/>
        </w:rPr>
      </w:pPr>
      <w:r>
        <w:rPr>
          <w:noProof/>
        </w:rPr>
        <w:t>Améliorer la préparation aux niveaux des États membres et de l'Union pour faire face aux catastrophes;</w:t>
      </w:r>
    </w:p>
    <w:p w:rsidR="00824C36" w:rsidRDefault="00B97963">
      <w:pPr>
        <w:pBdr>
          <w:top w:val="single" w:sz="4" w:space="1" w:color="auto"/>
          <w:left w:val="single" w:sz="4" w:space="4" w:color="auto"/>
          <w:bottom w:val="single" w:sz="4" w:space="1" w:color="auto"/>
          <w:right w:val="single" w:sz="4" w:space="4" w:color="auto"/>
        </w:pBdr>
        <w:ind w:left="850"/>
        <w:rPr>
          <w:noProof/>
          <w:u w:val="single"/>
        </w:rPr>
      </w:pPr>
      <w:r>
        <w:rPr>
          <w:noProof/>
          <w:u w:val="single"/>
        </w:rPr>
        <w:t>Objectif spécifique n° 3</w:t>
      </w:r>
    </w:p>
    <w:p w:rsidR="00824C36" w:rsidRDefault="00B97963">
      <w:pPr>
        <w:pBdr>
          <w:top w:val="single" w:sz="4" w:space="1" w:color="auto"/>
          <w:left w:val="single" w:sz="4" w:space="4" w:color="auto"/>
          <w:bottom w:val="single" w:sz="4" w:space="1" w:color="auto"/>
          <w:right w:val="single" w:sz="4" w:space="4" w:color="auto"/>
        </w:pBdr>
        <w:ind w:left="850"/>
        <w:rPr>
          <w:noProof/>
        </w:rPr>
      </w:pPr>
      <w:r>
        <w:rPr>
          <w:noProof/>
        </w:rPr>
        <w:t>Favoriser la mise en œuvre d'une réaction rapide et efficace lorsqu'une catastrophe survient ou</w:t>
      </w:r>
      <w:r>
        <w:rPr>
          <w:noProof/>
        </w:rPr>
        <w:t xml:space="preserve"> est imminente;</w:t>
      </w:r>
    </w:p>
    <w:p w:rsidR="00824C36" w:rsidRDefault="00B97963">
      <w:pPr>
        <w:pBdr>
          <w:top w:val="single" w:sz="4" w:space="1" w:color="auto"/>
          <w:left w:val="single" w:sz="4" w:space="4" w:color="auto"/>
          <w:bottom w:val="single" w:sz="4" w:space="1" w:color="auto"/>
          <w:right w:val="single" w:sz="4" w:space="4" w:color="auto"/>
        </w:pBdr>
        <w:ind w:left="850"/>
        <w:rPr>
          <w:noProof/>
          <w:u w:val="single"/>
        </w:rPr>
      </w:pPr>
      <w:r>
        <w:rPr>
          <w:noProof/>
          <w:u w:val="single"/>
        </w:rPr>
        <w:t>Objectif spécifique n° 4</w:t>
      </w:r>
    </w:p>
    <w:p w:rsidR="00824C36" w:rsidRDefault="00B97963">
      <w:pPr>
        <w:pBdr>
          <w:top w:val="single" w:sz="4" w:space="1" w:color="auto"/>
          <w:left w:val="single" w:sz="4" w:space="4" w:color="auto"/>
          <w:bottom w:val="single" w:sz="4" w:space="1" w:color="auto"/>
          <w:right w:val="single" w:sz="4" w:space="4" w:color="auto"/>
        </w:pBdr>
        <w:ind w:left="850"/>
        <w:rPr>
          <w:noProof/>
        </w:rPr>
      </w:pPr>
      <w:r>
        <w:rPr>
          <w:noProof/>
        </w:rPr>
        <w:t>Renforcer la sensibilisation et la préparation des citoyens aux catastrophes.</w:t>
      </w:r>
    </w:p>
    <w:p w:rsidR="00824C36" w:rsidRDefault="00824C36">
      <w:pPr>
        <w:pBdr>
          <w:top w:val="single" w:sz="4" w:space="1" w:color="auto"/>
          <w:left w:val="single" w:sz="4" w:space="4" w:color="auto"/>
          <w:bottom w:val="single" w:sz="4" w:space="1" w:color="auto"/>
          <w:right w:val="single" w:sz="4" w:space="4" w:color="auto"/>
        </w:pBdr>
        <w:ind w:left="850"/>
        <w:rPr>
          <w:noProof/>
        </w:rPr>
      </w:pPr>
    </w:p>
    <w:p w:rsidR="00824C36" w:rsidRDefault="00B97963">
      <w:pPr>
        <w:pBdr>
          <w:top w:val="single" w:sz="4" w:space="1" w:color="auto"/>
          <w:left w:val="single" w:sz="4" w:space="4" w:color="auto"/>
          <w:bottom w:val="single" w:sz="4" w:space="1" w:color="auto"/>
          <w:right w:val="single" w:sz="4" w:space="4" w:color="auto"/>
        </w:pBdr>
        <w:ind w:left="850"/>
        <w:rPr>
          <w:noProof/>
          <w:u w:val="single"/>
        </w:rPr>
      </w:pPr>
      <w:r>
        <w:rPr>
          <w:noProof/>
          <w:u w:val="single"/>
        </w:rPr>
        <w:t>Activité(s) ABM/ABB concernée(s)</w:t>
      </w:r>
    </w:p>
    <w:p w:rsidR="00824C36" w:rsidRDefault="00B97963">
      <w:pPr>
        <w:pBdr>
          <w:top w:val="single" w:sz="4" w:space="1" w:color="auto"/>
          <w:left w:val="single" w:sz="4" w:space="4" w:color="auto"/>
          <w:bottom w:val="single" w:sz="4" w:space="1" w:color="auto"/>
          <w:right w:val="single" w:sz="4" w:space="4" w:color="auto"/>
        </w:pBdr>
        <w:ind w:left="850"/>
        <w:rPr>
          <w:noProof/>
        </w:rPr>
      </w:pPr>
      <w:r>
        <w:rPr>
          <w:noProof/>
        </w:rPr>
        <w:t>23 01 – DÉPENSES ADMINISTRATIVES DU DOMAINE POLITIQUE «AIDE HUMANITAIRE ET PROTECTION CIVILE»</w:t>
      </w:r>
    </w:p>
    <w:p w:rsidR="00824C36" w:rsidRDefault="00B97963">
      <w:pPr>
        <w:pBdr>
          <w:top w:val="single" w:sz="4" w:space="1" w:color="auto"/>
          <w:left w:val="single" w:sz="4" w:space="4" w:color="auto"/>
          <w:bottom w:val="single" w:sz="4" w:space="1" w:color="auto"/>
          <w:right w:val="single" w:sz="4" w:space="4" w:color="auto"/>
        </w:pBdr>
        <w:ind w:left="850"/>
        <w:rPr>
          <w:noProof/>
        </w:rPr>
      </w:pPr>
      <w:r>
        <w:rPr>
          <w:noProof/>
        </w:rPr>
        <w:t xml:space="preserve">23 03 - MÉCANISME DE PROTECTION CIVILE DE L’UNION </w:t>
      </w:r>
    </w:p>
    <w:p w:rsidR="00824C36" w:rsidRDefault="00B97963">
      <w:pPr>
        <w:pStyle w:val="ManualNumPar3"/>
        <w:rPr>
          <w:noProof/>
        </w:rPr>
      </w:pPr>
      <w:r>
        <w:rPr>
          <w:noProof/>
        </w:rPr>
        <w:br w:type="page"/>
      </w:r>
      <w:r>
        <w:t>1.4.3.</w:t>
      </w:r>
      <w:r>
        <w:tab/>
      </w:r>
      <w:r>
        <w:rPr>
          <w:noProof/>
        </w:rPr>
        <w:t>Résultat(s) et incidence(s) attendus</w:t>
      </w:r>
    </w:p>
    <w:p w:rsidR="00824C36" w:rsidRDefault="00B97963">
      <w:pPr>
        <w:ind w:left="850"/>
        <w:rPr>
          <w:i/>
          <w:noProof/>
          <w:sz w:val="20"/>
        </w:rPr>
      </w:pPr>
      <w:r>
        <w:rPr>
          <w:i/>
          <w:noProof/>
          <w:sz w:val="20"/>
        </w:rPr>
        <w:t>Préciser les effets que la proposition/l'initiative devrait avoir sur les bénéficiaires/la population visée.</w:t>
      </w:r>
    </w:p>
    <w:p w:rsidR="00824C36" w:rsidRDefault="00B97963">
      <w:pPr>
        <w:pBdr>
          <w:top w:val="single" w:sz="4" w:space="1" w:color="auto"/>
          <w:left w:val="single" w:sz="4" w:space="4" w:color="auto"/>
          <w:bottom w:val="single" w:sz="4" w:space="0" w:color="auto"/>
          <w:right w:val="single" w:sz="4" w:space="4" w:color="auto"/>
        </w:pBdr>
        <w:ind w:left="850"/>
        <w:rPr>
          <w:noProof/>
          <w:color w:val="000000"/>
          <w:sz w:val="23"/>
          <w:szCs w:val="23"/>
        </w:rPr>
      </w:pPr>
      <w:r>
        <w:rPr>
          <w:noProof/>
          <w:color w:val="000000"/>
          <w:sz w:val="23"/>
        </w:rPr>
        <w:t>La proposition:</w:t>
      </w:r>
      <w:r>
        <w:rPr>
          <w:noProof/>
        </w:rPr>
        <w:tab/>
      </w:r>
    </w:p>
    <w:p w:rsidR="00824C36" w:rsidRDefault="00B97963">
      <w:pPr>
        <w:pBdr>
          <w:top w:val="single" w:sz="4" w:space="1" w:color="auto"/>
          <w:left w:val="single" w:sz="4" w:space="4" w:color="auto"/>
          <w:bottom w:val="single" w:sz="4" w:space="0" w:color="auto"/>
          <w:right w:val="single" w:sz="4" w:space="4" w:color="auto"/>
        </w:pBdr>
        <w:ind w:left="850"/>
        <w:rPr>
          <w:noProof/>
          <w:color w:val="000000"/>
          <w:sz w:val="23"/>
          <w:szCs w:val="23"/>
        </w:rPr>
      </w:pPr>
      <w:r>
        <w:rPr>
          <w:noProof/>
          <w:color w:val="000000"/>
          <w:sz w:val="23"/>
        </w:rPr>
        <w:t xml:space="preserve">permettra à l’Union d’appuyer, de </w:t>
      </w:r>
      <w:r>
        <w:rPr>
          <w:noProof/>
          <w:color w:val="000000"/>
          <w:sz w:val="23"/>
        </w:rPr>
        <w:t>coordonner et de compléter l’action des États membres dans le domaine de la protection civile grâce au mécanisme de protection civile de l’Union (ci-après dénommé MPCU ou le «mécanisme») au cours du cadre financier pluriannuel 2014-2020, notamment via:</w:t>
      </w:r>
    </w:p>
    <w:p w:rsidR="00824C36" w:rsidRDefault="00B97963">
      <w:pPr>
        <w:pBdr>
          <w:top w:val="single" w:sz="4" w:space="1" w:color="auto"/>
          <w:left w:val="single" w:sz="4" w:space="4" w:color="auto"/>
          <w:bottom w:val="single" w:sz="4" w:space="0" w:color="auto"/>
          <w:right w:val="single" w:sz="4" w:space="4" w:color="auto"/>
        </w:pBdr>
        <w:ind w:left="850"/>
        <w:rPr>
          <w:noProof/>
          <w:color w:val="000000"/>
          <w:sz w:val="23"/>
          <w:szCs w:val="23"/>
        </w:rPr>
      </w:pPr>
      <w:r>
        <w:rPr>
          <w:noProof/>
          <w:color w:val="000000"/>
          <w:sz w:val="23"/>
        </w:rPr>
        <w:t xml:space="preserve">a) </w:t>
      </w:r>
      <w:r>
        <w:rPr>
          <w:noProof/>
          <w:color w:val="000000"/>
          <w:sz w:val="23"/>
        </w:rPr>
        <w:t>des mesures visant à prévenir ou à réduire les effets des catastrophes;</w:t>
      </w:r>
    </w:p>
    <w:p w:rsidR="00824C36" w:rsidRDefault="00B97963">
      <w:pPr>
        <w:pBdr>
          <w:top w:val="single" w:sz="4" w:space="1" w:color="auto"/>
          <w:left w:val="single" w:sz="4" w:space="4" w:color="auto"/>
          <w:bottom w:val="single" w:sz="4" w:space="0" w:color="auto"/>
          <w:right w:val="single" w:sz="4" w:space="4" w:color="auto"/>
        </w:pBdr>
        <w:ind w:left="850"/>
        <w:rPr>
          <w:noProof/>
          <w:color w:val="000000"/>
          <w:sz w:val="23"/>
          <w:szCs w:val="23"/>
        </w:rPr>
      </w:pPr>
      <w:r>
        <w:rPr>
          <w:noProof/>
          <w:color w:val="000000"/>
          <w:sz w:val="23"/>
        </w:rPr>
        <w:t>b) des actions destinées à améliorer l’état de préparation de l’UE face aux catastrophes, y compris des actions de sensibilisation des citoyens de l’UE;</w:t>
      </w:r>
    </w:p>
    <w:p w:rsidR="00824C36" w:rsidRDefault="00B97963">
      <w:pPr>
        <w:pBdr>
          <w:top w:val="single" w:sz="4" w:space="1" w:color="auto"/>
          <w:left w:val="single" w:sz="4" w:space="4" w:color="auto"/>
          <w:bottom w:val="single" w:sz="4" w:space="0" w:color="auto"/>
          <w:right w:val="single" w:sz="4" w:space="4" w:color="auto"/>
        </w:pBdr>
        <w:ind w:left="850"/>
        <w:rPr>
          <w:noProof/>
          <w:color w:val="000000"/>
          <w:sz w:val="23"/>
          <w:szCs w:val="23"/>
        </w:rPr>
      </w:pPr>
      <w:r>
        <w:rPr>
          <w:noProof/>
          <w:color w:val="000000"/>
          <w:sz w:val="23"/>
        </w:rPr>
        <w:t xml:space="preserve">c) des actions dans le domaine </w:t>
      </w:r>
      <w:r>
        <w:rPr>
          <w:noProof/>
          <w:color w:val="000000"/>
          <w:sz w:val="23"/>
        </w:rPr>
        <w:t>des interventions d’aide en cas de catastrophe dans le cadre du mécanisme.</w:t>
      </w:r>
    </w:p>
    <w:p w:rsidR="00824C36" w:rsidRDefault="00B97963">
      <w:pPr>
        <w:pBdr>
          <w:top w:val="single" w:sz="4" w:space="1" w:color="auto"/>
          <w:left w:val="single" w:sz="4" w:space="4" w:color="auto"/>
          <w:bottom w:val="single" w:sz="4" w:space="0" w:color="auto"/>
          <w:right w:val="single" w:sz="4" w:space="4" w:color="auto"/>
        </w:pBdr>
        <w:ind w:left="850"/>
        <w:rPr>
          <w:noProof/>
          <w:color w:val="000000"/>
          <w:sz w:val="23"/>
          <w:szCs w:val="23"/>
        </w:rPr>
      </w:pPr>
      <w:r>
        <w:rPr>
          <w:noProof/>
          <w:color w:val="000000"/>
          <w:sz w:val="23"/>
        </w:rPr>
        <w:t>Le mécanisme actuel s’est avéré un bon outil pour mobiliser et coordonner le secours apporté par les États participants pour réagir à des catastrophes survenant au sein ou en dehors</w:t>
      </w:r>
      <w:r>
        <w:rPr>
          <w:noProof/>
          <w:color w:val="000000"/>
          <w:sz w:val="23"/>
        </w:rPr>
        <w:t xml:space="preserve"> de l’Union. En s’appuyant sur ces atouts, la présente proposition renforcera certaines dispositions du cadre actuel en vue d’améliorer la capacité collective des États membres à réagir aux catastrophes en créant une capacité de protection civile européenn</w:t>
      </w:r>
      <w:r>
        <w:rPr>
          <w:noProof/>
          <w:color w:val="000000"/>
          <w:sz w:val="23"/>
        </w:rPr>
        <w:t>e plus forte, qui sera connue sous le nom de «rescEU». Cette nouvelle capacité de réserve, assortie de taux de cofinancement plus élevés pour la réserve européenne de protection civile (connue précédemment sous le nom de capacité européenne de réaction d’u</w:t>
      </w:r>
      <w:r>
        <w:rPr>
          <w:noProof/>
          <w:color w:val="000000"/>
          <w:sz w:val="23"/>
        </w:rPr>
        <w:t>rgence ou EERC), comblera les lacunes structurelles et celles nouvellement apparues dans la réaction d’urgence. Cette initiative contribuera aussi à renforcer la cohérence interne du mécanisme, ainsi qu’à gagner en efficacité en poursuivant la simplificati</w:t>
      </w:r>
      <w:r>
        <w:rPr>
          <w:noProof/>
          <w:color w:val="000000"/>
          <w:sz w:val="23"/>
        </w:rPr>
        <w:t>on administrative et la rationalisation des procédures.</w:t>
      </w:r>
    </w:p>
    <w:p w:rsidR="00824C36" w:rsidRDefault="00B97963">
      <w:pPr>
        <w:pStyle w:val="ManualNumPar3"/>
        <w:rPr>
          <w:noProof/>
        </w:rPr>
      </w:pPr>
      <w:r>
        <w:t>1.4.4.</w:t>
      </w:r>
      <w:r>
        <w:tab/>
      </w:r>
      <w:r>
        <w:rPr>
          <w:noProof/>
        </w:rPr>
        <w:t xml:space="preserve">Indicateurs de résultats et d'incidences </w:t>
      </w:r>
    </w:p>
    <w:p w:rsidR="00824C36" w:rsidRDefault="00B97963">
      <w:pPr>
        <w:ind w:left="850"/>
        <w:rPr>
          <w:i/>
          <w:noProof/>
          <w:sz w:val="20"/>
        </w:rPr>
      </w:pPr>
      <w:r>
        <w:rPr>
          <w:i/>
          <w:noProof/>
          <w:sz w:val="20"/>
        </w:rPr>
        <w:t>Préciser les indicateurs permettant de suivre la réalisation de la proposition/de l'initiative.</w:t>
      </w:r>
    </w:p>
    <w:p w:rsidR="00824C36" w:rsidRDefault="00B97963">
      <w:pPr>
        <w:pBdr>
          <w:top w:val="single" w:sz="4" w:space="1" w:color="auto"/>
          <w:left w:val="single" w:sz="4" w:space="4" w:color="auto"/>
          <w:bottom w:val="single" w:sz="4" w:space="1" w:color="auto"/>
          <w:right w:val="single" w:sz="4" w:space="4" w:color="auto"/>
        </w:pBdr>
        <w:spacing w:after="0"/>
        <w:ind w:left="851"/>
        <w:rPr>
          <w:noProof/>
        </w:rPr>
      </w:pPr>
      <w:r>
        <w:rPr>
          <w:noProof/>
          <w:color w:val="000000"/>
          <w:sz w:val="23"/>
          <w:u w:val="single"/>
        </w:rPr>
        <w:t>Objectif spécifique</w:t>
      </w:r>
      <w:r>
        <w:rPr>
          <w:noProof/>
          <w:color w:val="000000"/>
          <w:sz w:val="23"/>
        </w:rPr>
        <w:t>:</w:t>
      </w:r>
      <w:r>
        <w:rPr>
          <w:noProof/>
        </w:rPr>
        <w:t xml:space="preserve"> </w:t>
      </w:r>
      <w:r>
        <w:rPr>
          <w:noProof/>
          <w:u w:val="single"/>
        </w:rPr>
        <w:t>assurer un niveau élevé de protect</w:t>
      </w:r>
      <w:r>
        <w:rPr>
          <w:noProof/>
          <w:u w:val="single"/>
        </w:rPr>
        <w:t>ion contre les catastrophes en prévenant ou en réduisant leurs effets et en encourageant le développement d’une culture de la prévention:</w:t>
      </w:r>
    </w:p>
    <w:p w:rsidR="00824C36" w:rsidRDefault="00B97963">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rPr>
        <w:t>1.</w:t>
      </w:r>
      <w:r>
        <w:rPr>
          <w:noProof/>
        </w:rPr>
        <w:tab/>
      </w:r>
      <w:r>
        <w:rPr>
          <w:noProof/>
          <w:color w:val="000000"/>
          <w:sz w:val="23"/>
        </w:rPr>
        <w:t xml:space="preserve">nombre d’États membres ayant fourni à la Commission leurs évaluations nationales des risques et une évaluation de </w:t>
      </w:r>
      <w:r>
        <w:rPr>
          <w:noProof/>
          <w:color w:val="000000"/>
          <w:sz w:val="23"/>
        </w:rPr>
        <w:t>leur capacité de gestion des risques de catastrophes;</w:t>
      </w:r>
    </w:p>
    <w:p w:rsidR="00824C36" w:rsidRDefault="00B97963">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rPr>
        <w:t>2.</w:t>
      </w:r>
      <w:r>
        <w:rPr>
          <w:noProof/>
        </w:rPr>
        <w:tab/>
      </w:r>
      <w:r>
        <w:rPr>
          <w:noProof/>
          <w:color w:val="000000"/>
          <w:sz w:val="23"/>
        </w:rPr>
        <w:t>nombre d’États membres ayant fourni à la Commission un résumé de leur planification de la gestion des catastrophes;</w:t>
      </w:r>
    </w:p>
    <w:p w:rsidR="00824C36" w:rsidRDefault="00824C36">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p>
    <w:p w:rsidR="00824C36" w:rsidRDefault="00B97963">
      <w:pPr>
        <w:pBdr>
          <w:top w:val="single" w:sz="4" w:space="1" w:color="auto"/>
          <w:left w:val="single" w:sz="4" w:space="4" w:color="auto"/>
          <w:bottom w:val="single" w:sz="4" w:space="1" w:color="auto"/>
          <w:right w:val="single" w:sz="4" w:space="4" w:color="auto"/>
        </w:pBdr>
        <w:spacing w:after="0"/>
        <w:ind w:left="851"/>
        <w:rPr>
          <w:noProof/>
          <w:color w:val="000000"/>
          <w:sz w:val="23"/>
          <w:szCs w:val="23"/>
          <w:u w:val="single"/>
        </w:rPr>
      </w:pPr>
      <w:r>
        <w:rPr>
          <w:noProof/>
          <w:color w:val="000000"/>
          <w:u w:val="single"/>
        </w:rPr>
        <w:t>Objectif spécifique</w:t>
      </w:r>
      <w:r>
        <w:rPr>
          <w:noProof/>
          <w:color w:val="000000"/>
        </w:rPr>
        <w:t xml:space="preserve">: </w:t>
      </w:r>
      <w:r>
        <w:rPr>
          <w:noProof/>
          <w:color w:val="000000"/>
          <w:u w:val="single"/>
        </w:rPr>
        <w:t xml:space="preserve">améliorer l’état de préparation de l’Union à la réaction aux </w:t>
      </w:r>
      <w:r>
        <w:rPr>
          <w:noProof/>
          <w:color w:val="000000"/>
          <w:u w:val="single"/>
        </w:rPr>
        <w:t>catastrophes:</w:t>
      </w:r>
    </w:p>
    <w:p w:rsidR="00824C36" w:rsidRDefault="00B97963">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rPr>
        <w:t>1.</w:t>
      </w:r>
      <w:r>
        <w:rPr>
          <w:noProof/>
        </w:rPr>
        <w:tab/>
      </w:r>
      <w:r>
        <w:rPr>
          <w:noProof/>
          <w:color w:val="000000"/>
          <w:sz w:val="23"/>
        </w:rPr>
        <w:t>nombre d’experts formés par le MPCU qui sont déployés dans le cadre d’une mission de réaction du MPCU;</w:t>
      </w:r>
    </w:p>
    <w:p w:rsidR="00824C36" w:rsidRDefault="00B97963">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rPr>
        <w:t>2.</w:t>
      </w:r>
      <w:r>
        <w:rPr>
          <w:noProof/>
        </w:rPr>
        <w:tab/>
      </w:r>
      <w:r>
        <w:rPr>
          <w:noProof/>
          <w:color w:val="000000"/>
          <w:sz w:val="23"/>
        </w:rPr>
        <w:t>nombre d’échanges d’experts au sein de l’UE et avec les pays voisins;</w:t>
      </w:r>
    </w:p>
    <w:p w:rsidR="00824C36" w:rsidRDefault="00B97963">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rPr>
        <w:t>3.</w:t>
      </w:r>
      <w:r>
        <w:rPr>
          <w:noProof/>
        </w:rPr>
        <w:tab/>
      </w:r>
      <w:r>
        <w:rPr>
          <w:noProof/>
          <w:color w:val="000000"/>
          <w:sz w:val="23"/>
        </w:rPr>
        <w:t xml:space="preserve">nombre et type de ressources acquises pour faire partie de </w:t>
      </w:r>
      <w:r>
        <w:rPr>
          <w:noProof/>
          <w:color w:val="000000"/>
          <w:sz w:val="23"/>
        </w:rPr>
        <w:t>rescEU;</w:t>
      </w:r>
    </w:p>
    <w:p w:rsidR="00824C36" w:rsidRDefault="00B97963">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rPr>
        <w:t>4.</w:t>
      </w:r>
      <w:r>
        <w:rPr>
          <w:noProof/>
        </w:rPr>
        <w:tab/>
      </w:r>
      <w:r>
        <w:rPr>
          <w:noProof/>
          <w:color w:val="000000"/>
          <w:sz w:val="23"/>
        </w:rPr>
        <w:t>nombre et type de ressources certifiées pour rejoindre la réserve européenne de protection civile;</w:t>
      </w:r>
    </w:p>
    <w:p w:rsidR="00824C36" w:rsidRDefault="00B97963">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rPr>
        <w:t>5.</w:t>
      </w:r>
      <w:r>
        <w:rPr>
          <w:noProof/>
        </w:rPr>
        <w:tab/>
      </w:r>
      <w:r>
        <w:rPr>
          <w:noProof/>
          <w:color w:val="000000"/>
          <w:sz w:val="23"/>
        </w:rPr>
        <w:t>nombre d’États membres participant à la réserve européenne de protection civile;</w:t>
      </w:r>
    </w:p>
    <w:p w:rsidR="00824C36" w:rsidRDefault="00B97963">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rPr>
        <w:t>6.</w:t>
      </w:r>
      <w:r>
        <w:rPr>
          <w:noProof/>
        </w:rPr>
        <w:tab/>
      </w:r>
      <w:r>
        <w:rPr>
          <w:noProof/>
          <w:color w:val="000000"/>
          <w:sz w:val="23"/>
        </w:rPr>
        <w:t>nombre de missions rescEU par rapport au nombre total de mi</w:t>
      </w:r>
      <w:r>
        <w:rPr>
          <w:noProof/>
          <w:color w:val="000000"/>
          <w:sz w:val="23"/>
        </w:rPr>
        <w:t>ssions de réaction de la réserve européenne de protection civile.</w:t>
      </w:r>
    </w:p>
    <w:p w:rsidR="00824C36" w:rsidRDefault="00824C36">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p>
    <w:p w:rsidR="00824C36" w:rsidRDefault="00B97963">
      <w:pPr>
        <w:pBdr>
          <w:top w:val="single" w:sz="4" w:space="1" w:color="auto"/>
          <w:left w:val="single" w:sz="4" w:space="4" w:color="auto"/>
          <w:bottom w:val="single" w:sz="4" w:space="1" w:color="auto"/>
          <w:right w:val="single" w:sz="4" w:space="4" w:color="auto"/>
        </w:pBdr>
        <w:spacing w:after="0"/>
        <w:ind w:left="851"/>
        <w:rPr>
          <w:noProof/>
          <w:color w:val="000000"/>
          <w:szCs w:val="23"/>
        </w:rPr>
      </w:pPr>
      <w:r>
        <w:rPr>
          <w:noProof/>
          <w:color w:val="000000"/>
          <w:u w:val="single"/>
        </w:rPr>
        <w:t>Objectif spécifique</w:t>
      </w:r>
      <w:r>
        <w:rPr>
          <w:noProof/>
          <w:color w:val="000000"/>
        </w:rPr>
        <w:t xml:space="preserve">: </w:t>
      </w:r>
      <w:r>
        <w:rPr>
          <w:noProof/>
          <w:color w:val="000000"/>
          <w:u w:val="single"/>
        </w:rPr>
        <w:t>favoriser la mise en œuvre d’une réaction rapide et efficace par des interventions d’urgence lorsqu’une catastrophe majeure survient ou est imminente:</w:t>
      </w:r>
    </w:p>
    <w:p w:rsidR="00824C36" w:rsidRDefault="00B97963">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1.</w:t>
      </w:r>
      <w:r>
        <w:rPr>
          <w:noProof/>
        </w:rPr>
        <w:tab/>
      </w:r>
      <w:r>
        <w:rPr>
          <w:noProof/>
          <w:sz w:val="22"/>
        </w:rPr>
        <w:t>rapidité des o</w:t>
      </w:r>
      <w:r>
        <w:rPr>
          <w:noProof/>
          <w:sz w:val="22"/>
        </w:rPr>
        <w:t>pérations: délai entre la demande d’assistance et le déploiement de l’aide sur le terrain, ainsi que l’état pleinement opérationnel des équipes d’évaluation/de coordination;</w:t>
      </w:r>
    </w:p>
    <w:p w:rsidR="00824C36" w:rsidRDefault="00B97963">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2.</w:t>
      </w:r>
      <w:r>
        <w:rPr>
          <w:noProof/>
        </w:rPr>
        <w:tab/>
      </w:r>
      <w:r>
        <w:rPr>
          <w:noProof/>
          <w:sz w:val="22"/>
        </w:rPr>
        <w:t>rapport entre les ressources de rescEU déployées et les ressources de la réserv</w:t>
      </w:r>
      <w:r>
        <w:rPr>
          <w:noProof/>
          <w:sz w:val="22"/>
        </w:rPr>
        <w:t>e européenne de protection civile déployées;</w:t>
      </w:r>
    </w:p>
    <w:p w:rsidR="00824C36" w:rsidRDefault="00B97963">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3.</w:t>
      </w:r>
      <w:r>
        <w:rPr>
          <w:noProof/>
        </w:rPr>
        <w:tab/>
      </w:r>
      <w:r>
        <w:rPr>
          <w:noProof/>
          <w:sz w:val="22"/>
        </w:rPr>
        <w:t>nombre des subventions et des services en matière de transports;</w:t>
      </w:r>
    </w:p>
    <w:p w:rsidR="00824C36" w:rsidRDefault="00B97963">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4.</w:t>
      </w:r>
      <w:r>
        <w:rPr>
          <w:noProof/>
        </w:rPr>
        <w:tab/>
      </w:r>
      <w:r>
        <w:rPr>
          <w:noProof/>
          <w:sz w:val="22"/>
        </w:rPr>
        <w:t>montants du financement de l’UE pour les opérations de rescEU, tant au sein qu’en dehors de l’Europe (coûts opérationnels et de transport da</w:t>
      </w:r>
      <w:r>
        <w:rPr>
          <w:noProof/>
          <w:sz w:val="22"/>
        </w:rPr>
        <w:t>ns des circonstances exceptionnelles);</w:t>
      </w:r>
    </w:p>
    <w:p w:rsidR="00824C36" w:rsidRDefault="00B97963">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5.</w:t>
      </w:r>
      <w:r>
        <w:rPr>
          <w:noProof/>
        </w:rPr>
        <w:tab/>
      </w:r>
      <w:r>
        <w:rPr>
          <w:noProof/>
          <w:sz w:val="22"/>
        </w:rPr>
        <w:t>montants du cofinancement de l’UE dans les opérations de la réserve européenne de protection civile, tant au sein qu’en dehors de l’Europe (opérations de transport);</w:t>
      </w:r>
    </w:p>
    <w:p w:rsidR="00824C36" w:rsidRDefault="00B97963">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6.</w:t>
      </w:r>
      <w:r>
        <w:rPr>
          <w:noProof/>
        </w:rPr>
        <w:tab/>
      </w:r>
      <w:r>
        <w:rPr>
          <w:noProof/>
          <w:sz w:val="22"/>
        </w:rPr>
        <w:t>montant global du cofinancement de l’UE fourn</w:t>
      </w:r>
      <w:r>
        <w:rPr>
          <w:noProof/>
          <w:sz w:val="22"/>
        </w:rPr>
        <w:t>i aux États membres;</w:t>
      </w:r>
    </w:p>
    <w:p w:rsidR="00824C36" w:rsidRDefault="00B97963">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7.</w:t>
      </w:r>
      <w:r>
        <w:rPr>
          <w:noProof/>
        </w:rPr>
        <w:tab/>
      </w:r>
      <w:r>
        <w:rPr>
          <w:noProof/>
          <w:sz w:val="22"/>
        </w:rPr>
        <w:t>nombre d’occurrences de l’utilisation de la réserve par rapport au nombre global de missions du MPCU.</w:t>
      </w:r>
    </w:p>
    <w:p w:rsidR="00824C36" w:rsidRDefault="00824C36">
      <w:pPr>
        <w:pBdr>
          <w:top w:val="single" w:sz="4" w:space="1" w:color="auto"/>
          <w:left w:val="single" w:sz="4" w:space="4" w:color="auto"/>
          <w:bottom w:val="single" w:sz="4" w:space="1" w:color="auto"/>
          <w:right w:val="single" w:sz="4" w:space="4" w:color="auto"/>
        </w:pBdr>
        <w:spacing w:after="0"/>
        <w:ind w:left="851"/>
        <w:rPr>
          <w:noProof/>
          <w:color w:val="000000"/>
          <w:szCs w:val="23"/>
          <w:u w:val="single"/>
        </w:rPr>
      </w:pPr>
    </w:p>
    <w:p w:rsidR="00824C36" w:rsidRDefault="00B97963">
      <w:pPr>
        <w:pBdr>
          <w:top w:val="single" w:sz="4" w:space="1" w:color="auto"/>
          <w:left w:val="single" w:sz="4" w:space="4" w:color="auto"/>
          <w:bottom w:val="single" w:sz="4" w:space="1" w:color="auto"/>
          <w:right w:val="single" w:sz="4" w:space="4" w:color="auto"/>
        </w:pBdr>
        <w:spacing w:after="0"/>
        <w:ind w:left="851"/>
        <w:rPr>
          <w:noProof/>
          <w:color w:val="000000"/>
          <w:szCs w:val="23"/>
          <w:u w:val="single"/>
        </w:rPr>
      </w:pPr>
      <w:r>
        <w:rPr>
          <w:noProof/>
          <w:color w:val="000000"/>
          <w:u w:val="single"/>
        </w:rPr>
        <w:t>Objectif spécifique n° 4: «renforcer la sensibilisation et la préparation des citoyens aux catastrophes»</w:t>
      </w:r>
    </w:p>
    <w:p w:rsidR="00824C36" w:rsidRDefault="00B97963">
      <w:pPr>
        <w:pBdr>
          <w:top w:val="single" w:sz="4" w:space="1" w:color="auto"/>
          <w:left w:val="single" w:sz="4" w:space="4" w:color="auto"/>
          <w:bottom w:val="single" w:sz="4" w:space="1" w:color="auto"/>
          <w:right w:val="single" w:sz="4" w:space="4" w:color="auto"/>
        </w:pBdr>
        <w:spacing w:after="0"/>
        <w:ind w:left="851"/>
        <w:rPr>
          <w:noProof/>
          <w:color w:val="000000"/>
          <w:szCs w:val="23"/>
        </w:rPr>
      </w:pPr>
      <w:r>
        <w:rPr>
          <w:noProof/>
          <w:color w:val="000000"/>
        </w:rPr>
        <w:t>1.</w:t>
      </w:r>
      <w:r>
        <w:rPr>
          <w:noProof/>
        </w:rPr>
        <w:tab/>
      </w:r>
      <w:r>
        <w:rPr>
          <w:noProof/>
          <w:color w:val="000000"/>
        </w:rPr>
        <w:t>nombre de participant</w:t>
      </w:r>
      <w:r>
        <w:rPr>
          <w:noProof/>
          <w:color w:val="000000"/>
        </w:rPr>
        <w:t>s/de visiteurs de site web pour les partenariats public-privé en matière de sensibilisation aux risques financés par le MPCU;</w:t>
      </w:r>
    </w:p>
    <w:p w:rsidR="00824C36" w:rsidRDefault="00B97963">
      <w:pPr>
        <w:pBdr>
          <w:top w:val="single" w:sz="4" w:space="1" w:color="auto"/>
          <w:left w:val="single" w:sz="4" w:space="4" w:color="auto"/>
          <w:bottom w:val="single" w:sz="4" w:space="1" w:color="auto"/>
          <w:right w:val="single" w:sz="4" w:space="4" w:color="auto"/>
        </w:pBdr>
        <w:spacing w:after="0"/>
        <w:ind w:left="851"/>
        <w:rPr>
          <w:noProof/>
          <w:sz w:val="22"/>
        </w:rPr>
      </w:pPr>
      <w:r>
        <w:rPr>
          <w:noProof/>
          <w:color w:val="000000"/>
        </w:rPr>
        <w:t>2.</w:t>
      </w:r>
      <w:r>
        <w:rPr>
          <w:noProof/>
        </w:rPr>
        <w:tab/>
      </w:r>
      <w:r>
        <w:rPr>
          <w:noProof/>
          <w:color w:val="000000"/>
        </w:rPr>
        <w:t>sensibilisation des citoyens de l’UE au MPCU (enquête auprès des citoyens européens).</w:t>
      </w:r>
    </w:p>
    <w:p w:rsidR="00824C36" w:rsidRDefault="00B97963">
      <w:pPr>
        <w:pStyle w:val="ManualNumPar2"/>
        <w:rPr>
          <w:noProof/>
        </w:rPr>
      </w:pPr>
      <w:r>
        <w:t>1.5.</w:t>
      </w:r>
      <w:r>
        <w:tab/>
      </w:r>
      <w:r>
        <w:rPr>
          <w:noProof/>
        </w:rPr>
        <w:t xml:space="preserve">Justification(s) de la proposition/de l’initiative </w:t>
      </w:r>
    </w:p>
    <w:p w:rsidR="00824C36" w:rsidRDefault="00B97963">
      <w:pPr>
        <w:pStyle w:val="ManualNumPar3"/>
        <w:rPr>
          <w:noProof/>
        </w:rPr>
      </w:pPr>
      <w:r>
        <w:t>1.5.1.</w:t>
      </w:r>
      <w:r>
        <w:tab/>
      </w:r>
      <w:r>
        <w:rPr>
          <w:noProof/>
        </w:rPr>
        <w:t xml:space="preserve">Besoin(s) à satisfaire à court ou à long terme </w:t>
      </w:r>
    </w:p>
    <w:p w:rsidR="00824C36" w:rsidRDefault="00B97963">
      <w:pPr>
        <w:pBdr>
          <w:top w:val="single" w:sz="4" w:space="1" w:color="auto"/>
          <w:left w:val="single" w:sz="4" w:space="4" w:color="auto"/>
          <w:bottom w:val="single" w:sz="4" w:space="0" w:color="auto"/>
          <w:right w:val="single" w:sz="4" w:space="4" w:color="auto"/>
        </w:pBdr>
        <w:ind w:left="850"/>
        <w:rPr>
          <w:noProof/>
          <w:sz w:val="22"/>
        </w:rPr>
      </w:pPr>
      <w:r>
        <w:rPr>
          <w:noProof/>
          <w:sz w:val="22"/>
        </w:rPr>
        <w:t>La protection civile européenne s’est rapidement développée ces dernières années. Depuis la création du premier mécanisme (mécanisme communautaire de</w:t>
      </w:r>
      <w:r>
        <w:rPr>
          <w:noProof/>
          <w:sz w:val="22"/>
        </w:rPr>
        <w:t xml:space="preserve"> protection civile), en 2001, jusqu’à la situation actuelle, la protection civile à l’échelle de l’UE a vu ses fondements juridiques renforcés (référence spécifique au traité depuis le traité de Lisbonne, en 2009) et ses capacités opérationnelles améliorée</w:t>
      </w:r>
      <w:r>
        <w:rPr>
          <w:noProof/>
          <w:sz w:val="22"/>
        </w:rPr>
        <w:t>s (création de l’EERC/EMC, du Centre de coordination de la réaction d'urgence - ERCC, etc.). Le MPCU actuel a fourni une aide dans des situations d’urgence à plus de 80 reprises, tant en Europe qu’au-delà, tout en contribuant au développement et à la diffu</w:t>
      </w:r>
      <w:r>
        <w:rPr>
          <w:noProof/>
          <w:sz w:val="22"/>
        </w:rPr>
        <w:t>sion de savoir-faire et d’expertise en matière de gestion des catastrophes et en promouvant une culture de la prévention parmi les États participants.</w:t>
      </w:r>
    </w:p>
    <w:p w:rsidR="00824C36" w:rsidRDefault="00B97963">
      <w:pPr>
        <w:pBdr>
          <w:top w:val="single" w:sz="4" w:space="1" w:color="auto"/>
          <w:left w:val="single" w:sz="4" w:space="4" w:color="auto"/>
          <w:bottom w:val="single" w:sz="4" w:space="0" w:color="auto"/>
          <w:right w:val="single" w:sz="4" w:space="4" w:color="auto"/>
        </w:pBdr>
        <w:ind w:left="850"/>
        <w:rPr>
          <w:noProof/>
          <w:sz w:val="22"/>
        </w:rPr>
      </w:pPr>
      <w:r>
        <w:rPr>
          <w:noProof/>
          <w:sz w:val="22"/>
        </w:rPr>
        <w:t xml:space="preserve">L’évaluation intermédiaire récemment réalisée et d’autres rapports et documents essentiels ont toutefois </w:t>
      </w:r>
      <w:r>
        <w:rPr>
          <w:noProof/>
          <w:sz w:val="22"/>
        </w:rPr>
        <w:t>décelé différents domaines dans lesquels des améliorations pourraient être réalisées. Dans cette optique, la présente proposition vise à modifier la législation en vigueur aux fins d’atteindre les objectifs suivants:</w:t>
      </w:r>
    </w:p>
    <w:p w:rsidR="00824C36" w:rsidRDefault="00B97963">
      <w:pPr>
        <w:pBdr>
          <w:top w:val="single" w:sz="4" w:space="1" w:color="auto"/>
          <w:left w:val="single" w:sz="4" w:space="4" w:color="auto"/>
          <w:bottom w:val="single" w:sz="4" w:space="0" w:color="auto"/>
          <w:right w:val="single" w:sz="4" w:space="4" w:color="auto"/>
        </w:pBdr>
        <w:ind w:left="850"/>
        <w:rPr>
          <w:noProof/>
          <w:sz w:val="22"/>
        </w:rPr>
      </w:pPr>
      <w:r>
        <w:rPr>
          <w:noProof/>
          <w:sz w:val="22"/>
        </w:rPr>
        <w:t xml:space="preserve">a) renforcer la capacité collective de </w:t>
      </w:r>
      <w:r>
        <w:rPr>
          <w:noProof/>
          <w:sz w:val="22"/>
        </w:rPr>
        <w:t>l’Union et de ses États membres à réagir aux catastrophes et à remédier aux déficits de capacité récurrents et émergents, au moyen notamment de la création d’une réserve spécifique de capacité de réaction dénommée «rescEU»;</w:t>
      </w:r>
    </w:p>
    <w:p w:rsidR="00824C36" w:rsidRDefault="00B97963">
      <w:pPr>
        <w:pBdr>
          <w:top w:val="single" w:sz="4" w:space="1" w:color="auto"/>
          <w:left w:val="single" w:sz="4" w:space="4" w:color="auto"/>
          <w:bottom w:val="single" w:sz="4" w:space="0" w:color="auto"/>
          <w:right w:val="single" w:sz="4" w:space="4" w:color="auto"/>
        </w:pBdr>
        <w:ind w:left="850"/>
        <w:rPr>
          <w:noProof/>
          <w:sz w:val="22"/>
        </w:rPr>
      </w:pPr>
      <w:r>
        <w:rPr>
          <w:noProof/>
          <w:sz w:val="22"/>
        </w:rPr>
        <w:t>b) mettre davantage l’accent sur</w:t>
      </w:r>
      <w:r>
        <w:rPr>
          <w:noProof/>
          <w:sz w:val="22"/>
        </w:rPr>
        <w:t xml:space="preserve"> les actions de prévention dans le cadre du cycle de gestion des risques de catastrophes et renforcer la cohérence par rapport à d’autres grandes politiques de l’UE dans les domaines de la prévention des catastrophes et de la réaction aux catastrophes;</w:t>
      </w:r>
    </w:p>
    <w:p w:rsidR="00824C36" w:rsidRDefault="00B97963">
      <w:pPr>
        <w:pBdr>
          <w:top w:val="single" w:sz="4" w:space="1" w:color="auto"/>
          <w:left w:val="single" w:sz="4" w:space="4" w:color="auto"/>
          <w:bottom w:val="single" w:sz="4" w:space="0" w:color="auto"/>
          <w:right w:val="single" w:sz="4" w:space="4" w:color="auto"/>
        </w:pBdr>
        <w:ind w:left="850"/>
        <w:rPr>
          <w:noProof/>
          <w:sz w:val="22"/>
        </w:rPr>
      </w:pPr>
      <w:r>
        <w:rPr>
          <w:noProof/>
          <w:sz w:val="22"/>
        </w:rPr>
        <w:t xml:space="preserve">c) </w:t>
      </w:r>
      <w:r>
        <w:rPr>
          <w:noProof/>
          <w:sz w:val="22"/>
        </w:rPr>
        <w:t>garantir la souplesse et l’efficacité des procédures administratives du mécanisme de l’Union lorsqu'il intervient dans des situations d’urgence.</w:t>
      </w:r>
    </w:p>
    <w:p w:rsidR="00824C36" w:rsidRDefault="00B97963">
      <w:pPr>
        <w:pStyle w:val="ManualNumPar3"/>
        <w:rPr>
          <w:noProof/>
        </w:rPr>
      </w:pPr>
      <w:r>
        <w:t>1.5.2.</w:t>
      </w:r>
      <w:r>
        <w:tab/>
      </w:r>
      <w:r>
        <w:rPr>
          <w:noProof/>
        </w:rPr>
        <w:t>Valeur ajoutée de l'intervention de l'UE</w:t>
      </w:r>
    </w:p>
    <w:p w:rsidR="00824C36" w:rsidRDefault="00B97963">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L’UE apporte une valeur ajoutée sur plusieurs plans:</w:t>
      </w:r>
    </w:p>
    <w:p w:rsidR="00824C36" w:rsidRDefault="00B97963">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une rédu</w:t>
      </w:r>
      <w:r>
        <w:rPr>
          <w:noProof/>
          <w:sz w:val="22"/>
        </w:rPr>
        <w:t>ction des pertes humaines et des dégâts écologiques, économiques et matériels;</w:t>
      </w:r>
    </w:p>
    <w:p w:rsidR="00824C36" w:rsidRDefault="00B97963">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une meilleure coordination des activités de protection civile, dans la mesure où toutes les offres d’aide sont transmises par l’intermédiaire de l’ERCC pour acceptation par le</w:t>
      </w:r>
      <w:r>
        <w:rPr>
          <w:noProof/>
          <w:sz w:val="22"/>
        </w:rPr>
        <w:t>s autorités de l’État touché;</w:t>
      </w:r>
    </w:p>
    <w:p w:rsidR="00824C36" w:rsidRDefault="00B97963">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un rapport coût-efficacité satisfaisant, car l’aide acceptée par l’État touché peut être associée à l’aide d’autres pays via la procédure de transport;</w:t>
      </w:r>
    </w:p>
    <w:p w:rsidR="00824C36" w:rsidRDefault="00B97963">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une efficacité accrue grâce à un niveau supérieur de préparation et un</w:t>
      </w:r>
      <w:r>
        <w:rPr>
          <w:noProof/>
          <w:sz w:val="22"/>
        </w:rPr>
        <w:t>e politique de gestion des risques de catastrophe plus cohérente;</w:t>
      </w:r>
    </w:p>
    <w:p w:rsidR="00824C36" w:rsidRDefault="00B97963">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une réponse cohérente et efficace grâce à la création de rescEU, disposée à fournir une aide partout dans l’UE et dans les États participants en cas de besoin;</w:t>
      </w:r>
    </w:p>
    <w:p w:rsidR="00824C36" w:rsidRDefault="00B97963">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une meilleure visibilité d</w:t>
      </w:r>
      <w:r>
        <w:rPr>
          <w:noProof/>
          <w:sz w:val="22"/>
        </w:rPr>
        <w:t>e la réaction de l’UE aux catastrophes;</w:t>
      </w:r>
    </w:p>
    <w:p w:rsidR="00824C36" w:rsidRDefault="00B97963">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une meilleure utilisation des ressources limitées grâce au partage des ressources financées par l’UE;</w:t>
      </w:r>
    </w:p>
    <w:p w:rsidR="00824C36" w:rsidRDefault="00B97963">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xml:space="preserve">- une coordination régionale et un partage des connaissances régionales renforcés grâce à la mise en place d’un </w:t>
      </w:r>
      <w:r>
        <w:rPr>
          <w:noProof/>
          <w:sz w:val="22"/>
        </w:rPr>
        <w:t>réseau de plates-formes européennes de protection civile.</w:t>
      </w:r>
    </w:p>
    <w:p w:rsidR="00824C36" w:rsidRDefault="00B97963">
      <w:pPr>
        <w:pStyle w:val="ManualNumPar3"/>
        <w:rPr>
          <w:noProof/>
        </w:rPr>
      </w:pPr>
      <w:r>
        <w:t>1.5.3.</w:t>
      </w:r>
      <w:r>
        <w:tab/>
      </w:r>
      <w:r>
        <w:rPr>
          <w:noProof/>
          <w:color w:val="0000FF"/>
        </w:rPr>
        <w:t xml:space="preserve"> </w:t>
      </w:r>
      <w:r>
        <w:rPr>
          <w:noProof/>
        </w:rPr>
        <w:t>Leçons tirées d'expériences similaires</w:t>
      </w:r>
    </w:p>
    <w:p w:rsidR="00824C36" w:rsidRDefault="00B97963">
      <w:pPr>
        <w:pBdr>
          <w:top w:val="single" w:sz="4" w:space="1" w:color="auto"/>
          <w:left w:val="single" w:sz="4" w:space="4" w:color="auto"/>
          <w:bottom w:val="single" w:sz="4" w:space="0" w:color="auto"/>
          <w:right w:val="single" w:sz="4" w:space="4" w:color="auto"/>
        </w:pBdr>
        <w:ind w:left="850"/>
        <w:rPr>
          <w:noProof/>
          <w:sz w:val="22"/>
        </w:rPr>
      </w:pPr>
      <w:r>
        <w:rPr>
          <w:noProof/>
          <w:sz w:val="22"/>
        </w:rPr>
        <w:t xml:space="preserve">Ces propositions s’appuient sur: </w:t>
      </w:r>
    </w:p>
    <w:p w:rsidR="00824C36" w:rsidRDefault="00B97963">
      <w:pPr>
        <w:pBdr>
          <w:top w:val="single" w:sz="4" w:space="1" w:color="auto"/>
          <w:left w:val="single" w:sz="4" w:space="4" w:color="auto"/>
          <w:bottom w:val="single" w:sz="4" w:space="0" w:color="auto"/>
          <w:right w:val="single" w:sz="4" w:space="4" w:color="auto"/>
        </w:pBdr>
        <w:ind w:left="850"/>
        <w:rPr>
          <w:noProof/>
          <w:sz w:val="22"/>
        </w:rPr>
      </w:pPr>
      <w:r>
        <w:rPr>
          <w:noProof/>
          <w:sz w:val="22"/>
        </w:rPr>
        <w:t>- l’évaluation intermédiaire du MPCU (2014-2016), réalisée par un consultant extérieur. Août 2017.</w:t>
      </w:r>
    </w:p>
    <w:p w:rsidR="00824C36" w:rsidRDefault="00B97963">
      <w:pPr>
        <w:pBdr>
          <w:top w:val="single" w:sz="4" w:space="1" w:color="auto"/>
          <w:left w:val="single" w:sz="4" w:space="4" w:color="auto"/>
          <w:bottom w:val="single" w:sz="4" w:space="0" w:color="auto"/>
          <w:right w:val="single" w:sz="4" w:space="4" w:color="auto"/>
        </w:pBdr>
        <w:ind w:left="850"/>
        <w:rPr>
          <w:noProof/>
          <w:sz w:val="22"/>
        </w:rPr>
      </w:pPr>
      <w:r>
        <w:rPr>
          <w:noProof/>
          <w:sz w:val="22"/>
        </w:rPr>
        <w:t>- Cour des comptes</w:t>
      </w:r>
      <w:r>
        <w:rPr>
          <w:noProof/>
          <w:sz w:val="22"/>
        </w:rPr>
        <w:t xml:space="preserve"> européenne, «Mécanisme de protection civile de l’Union: la coordination des réactions en cas de catastrophe en dehors de l’UE jugée globalement efficace», rapport spécial nº 33/2016;</w:t>
      </w:r>
    </w:p>
    <w:p w:rsidR="00824C36" w:rsidRDefault="00B97963">
      <w:pPr>
        <w:pBdr>
          <w:top w:val="single" w:sz="4" w:space="1" w:color="auto"/>
          <w:left w:val="single" w:sz="4" w:space="4" w:color="auto"/>
          <w:bottom w:val="single" w:sz="4" w:space="0" w:color="auto"/>
          <w:right w:val="single" w:sz="4" w:space="4" w:color="auto"/>
        </w:pBdr>
        <w:ind w:left="850"/>
        <w:rPr>
          <w:noProof/>
          <w:sz w:val="22"/>
        </w:rPr>
      </w:pPr>
      <w:r>
        <w:rPr>
          <w:noProof/>
          <w:sz w:val="22"/>
        </w:rPr>
        <w:t>- document de travail des services de la Commission intitulé «Overview o</w:t>
      </w:r>
      <w:r>
        <w:rPr>
          <w:noProof/>
          <w:sz w:val="22"/>
        </w:rPr>
        <w:t>f Natural and Man-made Disaster Risks the European Union may face» [Aperçu des risques de catastrophes naturelles ou d’origine humaine auxquels l’Union européenne peut être exposée], SWD(2017) 176 final du 23.5.2017;</w:t>
      </w:r>
    </w:p>
    <w:p w:rsidR="00824C36" w:rsidRDefault="00B97963">
      <w:pPr>
        <w:pBdr>
          <w:top w:val="single" w:sz="4" w:space="1" w:color="auto"/>
          <w:left w:val="single" w:sz="4" w:space="4" w:color="auto"/>
          <w:bottom w:val="single" w:sz="4" w:space="0" w:color="auto"/>
          <w:right w:val="single" w:sz="4" w:space="4" w:color="auto"/>
        </w:pBdr>
        <w:ind w:left="850"/>
        <w:rPr>
          <w:noProof/>
          <w:sz w:val="22"/>
        </w:rPr>
      </w:pPr>
      <w:r>
        <w:rPr>
          <w:noProof/>
          <w:sz w:val="22"/>
        </w:rPr>
        <w:t>- rapport de la Commission au Parlement</w:t>
      </w:r>
      <w:r>
        <w:rPr>
          <w:noProof/>
          <w:sz w:val="22"/>
        </w:rPr>
        <w:t xml:space="preserve"> européen et au Conseil concernant les progrès réalisés et les déficits subsistant dans la capacité européenne de réaction d’urgence, COM(2017) 78 final du 17.2.2017;</w:t>
      </w:r>
      <w:r>
        <w:rPr>
          <w:noProof/>
          <w:sz w:val="22"/>
        </w:rPr>
        <w:br/>
        <w:t>- l’expérience acquise dans les situations d’urgence gérées par le mécanisme depuis sa cr</w:t>
      </w:r>
      <w:r>
        <w:rPr>
          <w:noProof/>
          <w:sz w:val="22"/>
        </w:rPr>
        <w:t>éation en 2001;</w:t>
      </w:r>
    </w:p>
    <w:p w:rsidR="00824C36" w:rsidRDefault="00B97963">
      <w:pPr>
        <w:pBdr>
          <w:top w:val="single" w:sz="4" w:space="1" w:color="auto"/>
          <w:left w:val="single" w:sz="4" w:space="4" w:color="auto"/>
          <w:bottom w:val="single" w:sz="4" w:space="0" w:color="auto"/>
          <w:right w:val="single" w:sz="4" w:space="4" w:color="auto"/>
        </w:pBdr>
        <w:ind w:left="850"/>
        <w:rPr>
          <w:noProof/>
          <w:sz w:val="22"/>
        </w:rPr>
      </w:pPr>
      <w:r>
        <w:rPr>
          <w:noProof/>
          <w:sz w:val="22"/>
        </w:rPr>
        <w:t>- l’expérience acquise grâce aux projets financés dans le cadre des appels à propositions lancés depuis 2013 dans le domaine de la préparation et de la prévention;</w:t>
      </w:r>
    </w:p>
    <w:p w:rsidR="00824C36" w:rsidRDefault="00B97963">
      <w:pPr>
        <w:pBdr>
          <w:top w:val="single" w:sz="4" w:space="1" w:color="auto"/>
          <w:left w:val="single" w:sz="4" w:space="4" w:color="auto"/>
          <w:bottom w:val="single" w:sz="4" w:space="0" w:color="auto"/>
          <w:right w:val="single" w:sz="4" w:space="4" w:color="auto"/>
        </w:pBdr>
        <w:ind w:left="850"/>
        <w:rPr>
          <w:noProof/>
          <w:sz w:val="22"/>
        </w:rPr>
      </w:pPr>
      <w:r>
        <w:rPr>
          <w:noProof/>
          <w:sz w:val="22"/>
        </w:rPr>
        <w:t>- l’expérience acquise grâce au projet pilote financé dans le cadre de l’«ap</w:t>
      </w:r>
      <w:r>
        <w:rPr>
          <w:noProof/>
          <w:sz w:val="22"/>
        </w:rPr>
        <w:t>pel à propositions pour un projet pilote destiné à renforcer la coopération entre les États membres dans la lutte contre les incendies de forêt» lancé en 2008.</w:t>
      </w:r>
    </w:p>
    <w:p w:rsidR="00824C36" w:rsidRDefault="00B97963">
      <w:pPr>
        <w:pStyle w:val="ManualNumPar3"/>
        <w:rPr>
          <w:noProof/>
        </w:rPr>
      </w:pPr>
      <w:r>
        <w:t>1.5.4.</w:t>
      </w:r>
      <w:r>
        <w:tab/>
      </w:r>
      <w:r>
        <w:rPr>
          <w:noProof/>
        </w:rPr>
        <w:t>Compatibilité et synergie éventuelle avec d’autres instruments appropriés</w:t>
      </w:r>
    </w:p>
    <w:p w:rsidR="00824C36" w:rsidRDefault="00B97963">
      <w:pPr>
        <w:pBdr>
          <w:top w:val="single" w:sz="4" w:space="1" w:color="auto"/>
          <w:left w:val="single" w:sz="4" w:space="4" w:color="auto"/>
          <w:bottom w:val="single" w:sz="4" w:space="0" w:color="auto"/>
          <w:right w:val="single" w:sz="4" w:space="4" w:color="auto"/>
        </w:pBdr>
        <w:ind w:left="850"/>
        <w:rPr>
          <w:noProof/>
          <w:sz w:val="22"/>
        </w:rPr>
      </w:pPr>
      <w:r>
        <w:rPr>
          <w:noProof/>
          <w:sz w:val="22"/>
        </w:rPr>
        <w:t>Compatibilité a</w:t>
      </w:r>
      <w:r>
        <w:rPr>
          <w:noProof/>
          <w:sz w:val="22"/>
        </w:rPr>
        <w:t xml:space="preserve">vec: </w:t>
      </w:r>
    </w:p>
    <w:p w:rsidR="00824C36" w:rsidRDefault="00B97963">
      <w:pPr>
        <w:pBdr>
          <w:top w:val="single" w:sz="4" w:space="1" w:color="auto"/>
          <w:left w:val="single" w:sz="4" w:space="4" w:color="auto"/>
          <w:bottom w:val="single" w:sz="4" w:space="0" w:color="auto"/>
          <w:right w:val="single" w:sz="4" w:space="4" w:color="auto"/>
        </w:pBdr>
        <w:ind w:left="850"/>
        <w:rPr>
          <w:noProof/>
          <w:sz w:val="22"/>
        </w:rPr>
      </w:pPr>
      <w:r>
        <w:rPr>
          <w:noProof/>
          <w:sz w:val="22"/>
        </w:rPr>
        <w:t>- le règlement (CE) nº 1257/96 du Conseil du 20 juin 1996 concernant l’aide humanitaire;</w:t>
      </w:r>
      <w:r>
        <w:rPr>
          <w:noProof/>
        </w:rPr>
        <w:tab/>
      </w:r>
    </w:p>
    <w:p w:rsidR="00824C36" w:rsidRDefault="00B97963">
      <w:pPr>
        <w:pBdr>
          <w:top w:val="single" w:sz="4" w:space="1" w:color="auto"/>
          <w:left w:val="single" w:sz="4" w:space="4" w:color="auto"/>
          <w:bottom w:val="single" w:sz="4" w:space="0" w:color="auto"/>
          <w:right w:val="single" w:sz="4" w:space="4" w:color="auto"/>
        </w:pBdr>
        <w:ind w:left="850"/>
        <w:rPr>
          <w:noProof/>
          <w:sz w:val="22"/>
        </w:rPr>
      </w:pPr>
      <w:r>
        <w:rPr>
          <w:noProof/>
          <w:sz w:val="22"/>
        </w:rPr>
        <w:t xml:space="preserve">- le règlement (CE) n° 1406/2002 du Parlement européen et du Conseil du 27 juin 2002 instituant une Agence européenne pour la sécurité maritime; </w:t>
      </w:r>
    </w:p>
    <w:p w:rsidR="00824C36" w:rsidRDefault="00B97963">
      <w:pPr>
        <w:pBdr>
          <w:top w:val="single" w:sz="4" w:space="1" w:color="auto"/>
          <w:left w:val="single" w:sz="4" w:space="4" w:color="auto"/>
          <w:bottom w:val="single" w:sz="4" w:space="0" w:color="auto"/>
          <w:right w:val="single" w:sz="4" w:space="4" w:color="auto"/>
        </w:pBdr>
        <w:ind w:left="850"/>
        <w:rPr>
          <w:noProof/>
          <w:sz w:val="22"/>
        </w:rPr>
      </w:pPr>
      <w:r>
        <w:rPr>
          <w:noProof/>
          <w:sz w:val="22"/>
        </w:rPr>
        <w:t>- le règlement</w:t>
      </w:r>
      <w:r>
        <w:rPr>
          <w:noProof/>
          <w:sz w:val="22"/>
        </w:rPr>
        <w:t xml:space="preserve"> (CE) n° 2012/2002 du Conseil du 11 novembre 2002 instituant le Fonds de solidarité de l’Union européenne; </w:t>
      </w:r>
    </w:p>
    <w:p w:rsidR="00824C36" w:rsidRDefault="00B97963">
      <w:pPr>
        <w:pBdr>
          <w:top w:val="single" w:sz="4" w:space="1" w:color="auto"/>
          <w:left w:val="single" w:sz="4" w:space="4" w:color="auto"/>
          <w:bottom w:val="single" w:sz="4" w:space="0" w:color="auto"/>
          <w:right w:val="single" w:sz="4" w:space="4" w:color="auto"/>
        </w:pBdr>
        <w:ind w:left="850"/>
        <w:rPr>
          <w:noProof/>
          <w:sz w:val="22"/>
        </w:rPr>
      </w:pPr>
      <w:r>
        <w:rPr>
          <w:noProof/>
          <w:sz w:val="22"/>
        </w:rPr>
        <w:t>- le règlement (CE) n° 1717/2006 du Parlement européen et du Conseil du 15 novembre 2006 instituant un instrument de stabilité;</w:t>
      </w:r>
    </w:p>
    <w:p w:rsidR="00824C36" w:rsidRDefault="00B97963">
      <w:pPr>
        <w:pBdr>
          <w:top w:val="single" w:sz="4" w:space="1" w:color="auto"/>
          <w:left w:val="single" w:sz="4" w:space="4" w:color="auto"/>
          <w:bottom w:val="single" w:sz="4" w:space="0" w:color="auto"/>
          <w:right w:val="single" w:sz="4" w:space="4" w:color="auto"/>
        </w:pBdr>
        <w:ind w:left="850"/>
        <w:rPr>
          <w:noProof/>
          <w:sz w:val="22"/>
        </w:rPr>
      </w:pPr>
      <w:r>
        <w:rPr>
          <w:noProof/>
          <w:sz w:val="22"/>
        </w:rPr>
        <w:t>- la décision nº 131</w:t>
      </w:r>
      <w:r>
        <w:rPr>
          <w:noProof/>
          <w:sz w:val="22"/>
        </w:rPr>
        <w:t>3/2013/UE du Parlement européen et du Conseil du 17 décembre 2013 relative au mécanisme de protection civile de l’Union;</w:t>
      </w:r>
    </w:p>
    <w:p w:rsidR="00824C36" w:rsidRDefault="00B97963">
      <w:pPr>
        <w:pBdr>
          <w:top w:val="single" w:sz="4" w:space="1" w:color="auto"/>
          <w:left w:val="single" w:sz="4" w:space="4" w:color="auto"/>
          <w:bottom w:val="single" w:sz="4" w:space="0" w:color="auto"/>
          <w:right w:val="single" w:sz="4" w:space="4" w:color="auto"/>
        </w:pBdr>
        <w:ind w:left="850"/>
        <w:rPr>
          <w:noProof/>
          <w:sz w:val="22"/>
        </w:rPr>
      </w:pPr>
      <w:r>
        <w:rPr>
          <w:noProof/>
          <w:sz w:val="22"/>
        </w:rPr>
        <w:t>- le règlement (UE) n° 375/2014 du Parlement européen et du Conseil du 3 avril 2014 portant création du Corps volontaire européen d'aid</w:t>
      </w:r>
      <w:r>
        <w:rPr>
          <w:noProof/>
          <w:sz w:val="22"/>
        </w:rPr>
        <w:t>e humanitaire («initiative des volontaires de l'aide de l'Union européenne»);</w:t>
      </w:r>
    </w:p>
    <w:p w:rsidR="00824C36" w:rsidRDefault="00B97963">
      <w:pPr>
        <w:pBdr>
          <w:top w:val="single" w:sz="4" w:space="1" w:color="auto"/>
          <w:left w:val="single" w:sz="4" w:space="4" w:color="auto"/>
          <w:bottom w:val="single" w:sz="4" w:space="0" w:color="auto"/>
          <w:right w:val="single" w:sz="4" w:space="4" w:color="auto"/>
        </w:pBdr>
        <w:ind w:left="850"/>
        <w:rPr>
          <w:noProof/>
          <w:sz w:val="22"/>
        </w:rPr>
      </w:pPr>
      <w:r>
        <w:rPr>
          <w:noProof/>
          <w:sz w:val="22"/>
        </w:rPr>
        <w:t>- le règlement (UE) 2016/369 du Conseil du 15 mars 2016 relatif à la fourniture d'une aide d'urgence au sein de l'Union.</w:t>
      </w:r>
    </w:p>
    <w:p w:rsidR="00824C36" w:rsidRDefault="00B97963">
      <w:pPr>
        <w:pStyle w:val="ManualNumPar2"/>
        <w:rPr>
          <w:noProof/>
        </w:rPr>
      </w:pPr>
      <w:r>
        <w:rPr>
          <w:noProof/>
        </w:rPr>
        <w:br w:type="page"/>
      </w:r>
      <w:r>
        <w:t>1.6.</w:t>
      </w:r>
      <w:r>
        <w:tab/>
      </w:r>
      <w:r>
        <w:rPr>
          <w:noProof/>
        </w:rPr>
        <w:t xml:space="preserve">Durée et incidence financière </w:t>
      </w:r>
    </w:p>
    <w:p w:rsidR="00824C36" w:rsidRDefault="00B97963">
      <w:pPr>
        <w:ind w:left="850"/>
        <w:rPr>
          <w:noProof/>
        </w:rPr>
      </w:pPr>
      <w:r>
        <w:rPr>
          <w:noProof/>
        </w:rPr>
        <w:sym w:font="Wingdings" w:char="F0A8"/>
      </w:r>
      <w:r>
        <w:rPr>
          <w:b/>
          <w:i/>
          <w:noProof/>
        </w:rPr>
        <w:t xml:space="preserve"> </w:t>
      </w:r>
      <w:r>
        <w:rPr>
          <w:noProof/>
        </w:rPr>
        <w:t>Proposition/initia</w:t>
      </w:r>
      <w:r>
        <w:rPr>
          <w:noProof/>
        </w:rPr>
        <w:t xml:space="preserve">tive à </w:t>
      </w:r>
      <w:r>
        <w:rPr>
          <w:b/>
          <w:noProof/>
        </w:rPr>
        <w:t xml:space="preserve">durée limitée </w:t>
      </w:r>
    </w:p>
    <w:p w:rsidR="00824C36" w:rsidRDefault="00B97963">
      <w:pPr>
        <w:tabs>
          <w:tab w:val="num" w:pos="1134"/>
        </w:tabs>
        <w:ind w:left="1134" w:hanging="283"/>
        <w:rPr>
          <w:rFonts w:eastAsia="Times New Roman"/>
          <w:noProof/>
        </w:rPr>
      </w:pPr>
      <w:r>
        <w:rPr>
          <w:rFonts w:eastAsia="Times New Roman"/>
          <w:noProof/>
        </w:rPr>
        <w:sym w:font="Wingdings" w:char="F0A8"/>
      </w:r>
      <w:r>
        <w:rPr>
          <w:noProof/>
        </w:rPr>
        <w:tab/>
        <w:t xml:space="preserve">Proposition/initiative en vigueur à partir du [JJ/MM]AAAA jusqu’au [JJ/MM]AAAA </w:t>
      </w:r>
    </w:p>
    <w:p w:rsidR="00824C36" w:rsidRDefault="00B97963">
      <w:pPr>
        <w:tabs>
          <w:tab w:val="num" w:pos="1134"/>
        </w:tabs>
        <w:ind w:left="1134" w:hanging="283"/>
        <w:rPr>
          <w:rFonts w:eastAsia="Times New Roman"/>
          <w:noProof/>
        </w:rPr>
      </w:pPr>
      <w:r>
        <w:rPr>
          <w:rFonts w:eastAsia="Times New Roman"/>
          <w:noProof/>
        </w:rPr>
        <w:sym w:font="Wingdings" w:char="F0A8"/>
      </w:r>
      <w:r>
        <w:rPr>
          <w:noProof/>
        </w:rPr>
        <w:t>Impact financier du [JJ/MM]AAAA jusqu'au [JJ/MM]AAAA</w:t>
      </w:r>
    </w:p>
    <w:p w:rsidR="00824C36" w:rsidRDefault="00B97963">
      <w:pPr>
        <w:ind w:left="850"/>
        <w:rPr>
          <w:noProof/>
        </w:rPr>
      </w:pPr>
      <w:r>
        <w:rPr>
          <w:noProof/>
        </w:rPr>
        <w:t>X</w:t>
      </w:r>
      <w:r>
        <w:rPr>
          <w:b/>
          <w:i/>
          <w:noProof/>
        </w:rPr>
        <w:t xml:space="preserve"> </w:t>
      </w:r>
      <w:r>
        <w:rPr>
          <w:noProof/>
        </w:rPr>
        <w:t xml:space="preserve">Proposition/initiative à </w:t>
      </w:r>
      <w:r>
        <w:rPr>
          <w:b/>
          <w:noProof/>
        </w:rPr>
        <w:t>durée illimitée</w:t>
      </w:r>
    </w:p>
    <w:p w:rsidR="00824C36" w:rsidRDefault="00B97963">
      <w:pPr>
        <w:tabs>
          <w:tab w:val="num" w:pos="1134"/>
        </w:tabs>
        <w:ind w:left="1134" w:hanging="283"/>
        <w:rPr>
          <w:rFonts w:eastAsia="Times New Roman"/>
          <w:noProof/>
        </w:rPr>
      </w:pPr>
      <w:r>
        <w:rPr>
          <w:noProof/>
        </w:rPr>
        <w:t>X Mise en œuvre avec une période de montée en puissance</w:t>
      </w:r>
      <w:r>
        <w:rPr>
          <w:noProof/>
        </w:rPr>
        <w:t xml:space="preserve"> du 1.1.2018 jusqu’au 31.12.2020,</w:t>
      </w:r>
    </w:p>
    <w:p w:rsidR="00824C36" w:rsidRDefault="00B97963">
      <w:pPr>
        <w:tabs>
          <w:tab w:val="num" w:pos="1134"/>
        </w:tabs>
        <w:ind w:left="1134" w:hanging="283"/>
        <w:rPr>
          <w:rFonts w:eastAsia="Times New Roman"/>
          <w:noProof/>
        </w:rPr>
      </w:pPr>
      <w:r>
        <w:rPr>
          <w:noProof/>
        </w:rPr>
        <w:t>puis un fonctionnement en rythme de croisière au-delà.</w:t>
      </w:r>
    </w:p>
    <w:p w:rsidR="00824C36" w:rsidRDefault="00B97963">
      <w:pPr>
        <w:pStyle w:val="ManualNumPar2"/>
        <w:rPr>
          <w:noProof/>
        </w:rPr>
      </w:pPr>
      <w:r>
        <w:t>1.7.</w:t>
      </w:r>
      <w:r>
        <w:tab/>
      </w:r>
      <w:r>
        <w:rPr>
          <w:noProof/>
        </w:rPr>
        <w:t>Mode(s) de gestion prévu(s)</w:t>
      </w:r>
      <w:r>
        <w:rPr>
          <w:rStyle w:val="FootnoteReference"/>
          <w:noProof/>
        </w:rPr>
        <w:footnoteReference w:id="19"/>
      </w:r>
      <w:r>
        <w:rPr>
          <w:noProof/>
          <w:vertAlign w:val="superscript"/>
        </w:rPr>
        <w:t xml:space="preserve"> </w:t>
      </w:r>
    </w:p>
    <w:p w:rsidR="00824C36" w:rsidRDefault="00B97963">
      <w:pPr>
        <w:ind w:left="850"/>
        <w:rPr>
          <w:noProof/>
        </w:rPr>
      </w:pPr>
      <w:r>
        <w:rPr>
          <w:noProof/>
        </w:rPr>
        <w:t>X</w:t>
      </w:r>
      <w:r>
        <w:rPr>
          <w:i/>
          <w:noProof/>
        </w:rPr>
        <w:t xml:space="preserve"> </w:t>
      </w:r>
      <w:r>
        <w:rPr>
          <w:b/>
          <w:noProof/>
        </w:rPr>
        <w:t>Gestion directe</w:t>
      </w:r>
      <w:r>
        <w:rPr>
          <w:noProof/>
        </w:rPr>
        <w:t xml:space="preserve"> par la Commission</w:t>
      </w:r>
    </w:p>
    <w:p w:rsidR="00824C36" w:rsidRDefault="00B97963">
      <w:pPr>
        <w:tabs>
          <w:tab w:val="num" w:pos="1134"/>
        </w:tabs>
        <w:ind w:left="1134" w:hanging="283"/>
        <w:rPr>
          <w:rFonts w:eastAsia="Times New Roman" w:cs="EUAlbertina"/>
          <w:noProof/>
        </w:rPr>
      </w:pPr>
      <w:r>
        <w:rPr>
          <w:noProof/>
        </w:rPr>
        <w:t xml:space="preserve">X dans ses services, y compris par l'intermédiaire de son personnel dans les délégations de l'Union; </w:t>
      </w:r>
    </w:p>
    <w:p w:rsidR="00824C36" w:rsidRDefault="00B97963">
      <w:pPr>
        <w:tabs>
          <w:tab w:val="num" w:pos="1134"/>
        </w:tabs>
        <w:ind w:left="1134" w:hanging="283"/>
        <w:rPr>
          <w:rFonts w:eastAsia="Times New Roman"/>
          <w:noProof/>
        </w:rPr>
      </w:pPr>
      <w:r>
        <w:rPr>
          <w:rFonts w:eastAsia="Times New Roman"/>
          <w:noProof/>
        </w:rPr>
        <w:sym w:font="Wingdings" w:char="F0A8"/>
      </w:r>
      <w:r>
        <w:rPr>
          <w:noProof/>
        </w:rPr>
        <w:tab/>
        <w:t xml:space="preserve">par les agences exécutives </w:t>
      </w:r>
    </w:p>
    <w:p w:rsidR="00824C36" w:rsidRDefault="00B97963">
      <w:pPr>
        <w:ind w:left="850"/>
        <w:rPr>
          <w:noProof/>
        </w:rPr>
      </w:pPr>
      <w:r>
        <w:rPr>
          <w:noProof/>
        </w:rPr>
        <w:sym w:font="Wingdings" w:char="F0A8"/>
      </w:r>
      <w:r>
        <w:rPr>
          <w:b/>
          <w:i/>
          <w:noProof/>
        </w:rPr>
        <w:t xml:space="preserve"> </w:t>
      </w:r>
      <w:r>
        <w:rPr>
          <w:b/>
          <w:noProof/>
        </w:rPr>
        <w:t>Gestion partagée</w:t>
      </w:r>
      <w:r>
        <w:rPr>
          <w:noProof/>
        </w:rPr>
        <w:t xml:space="preserve"> avec les États membres </w:t>
      </w:r>
    </w:p>
    <w:p w:rsidR="00824C36" w:rsidRDefault="00B97963">
      <w:pPr>
        <w:ind w:left="850"/>
        <w:rPr>
          <w:noProof/>
        </w:rPr>
      </w:pPr>
      <w:r>
        <w:rPr>
          <w:noProof/>
        </w:rPr>
        <w:t>X</w:t>
      </w:r>
      <w:r>
        <w:rPr>
          <w:i/>
          <w:noProof/>
        </w:rPr>
        <w:t xml:space="preserve"> </w:t>
      </w:r>
      <w:r>
        <w:rPr>
          <w:b/>
          <w:noProof/>
        </w:rPr>
        <w:t>Gestion indirecte</w:t>
      </w:r>
      <w:r>
        <w:rPr>
          <w:noProof/>
        </w:rPr>
        <w:t xml:space="preserve"> en confiant des tâches d'exécution budgétaire:</w:t>
      </w:r>
    </w:p>
    <w:p w:rsidR="00824C36" w:rsidRDefault="00B97963">
      <w:pPr>
        <w:tabs>
          <w:tab w:val="num" w:pos="1134"/>
        </w:tabs>
        <w:ind w:left="1134" w:hanging="283"/>
        <w:rPr>
          <w:rFonts w:eastAsia="Times New Roman"/>
          <w:noProof/>
        </w:rPr>
      </w:pPr>
      <w:r>
        <w:rPr>
          <w:rFonts w:eastAsia="Times New Roman"/>
          <w:noProof/>
        </w:rPr>
        <w:sym w:font="Wingdings" w:char="F0A8"/>
      </w:r>
      <w:r>
        <w:rPr>
          <w:noProof/>
        </w:rPr>
        <w:t xml:space="preserve"> à des pays t</w:t>
      </w:r>
      <w:r>
        <w:rPr>
          <w:noProof/>
        </w:rPr>
        <w:t>iers ou aux organismes qu'ils ont désignés;</w:t>
      </w:r>
    </w:p>
    <w:p w:rsidR="00824C36" w:rsidRDefault="00B97963">
      <w:pPr>
        <w:tabs>
          <w:tab w:val="num" w:pos="1134"/>
        </w:tabs>
        <w:ind w:left="1134" w:hanging="283"/>
        <w:rPr>
          <w:rFonts w:eastAsia="Times New Roman"/>
          <w:noProof/>
        </w:rPr>
      </w:pPr>
      <w:r>
        <w:rPr>
          <w:noProof/>
        </w:rPr>
        <w:t>X à des organisations internationales et à leurs agences (à préciser);</w:t>
      </w:r>
    </w:p>
    <w:p w:rsidR="00824C36" w:rsidRDefault="00B97963">
      <w:pPr>
        <w:tabs>
          <w:tab w:val="num" w:pos="1134"/>
        </w:tabs>
        <w:ind w:left="1134" w:hanging="283"/>
        <w:rPr>
          <w:rFonts w:eastAsia="Times New Roman"/>
          <w:noProof/>
        </w:rPr>
      </w:pPr>
      <w:r>
        <w:rPr>
          <w:rFonts w:eastAsia="Times New Roman"/>
          <w:noProof/>
        </w:rPr>
        <w:sym w:font="Wingdings" w:char="F0A8"/>
      </w:r>
      <w:r>
        <w:rPr>
          <w:noProof/>
        </w:rPr>
        <w:t xml:space="preserve"> à la BEI et au Fonds européen d'investissement;</w:t>
      </w:r>
    </w:p>
    <w:p w:rsidR="00824C36" w:rsidRDefault="00B97963">
      <w:pPr>
        <w:tabs>
          <w:tab w:val="num" w:pos="1134"/>
        </w:tabs>
        <w:ind w:left="1134" w:hanging="283"/>
        <w:rPr>
          <w:rFonts w:eastAsia="Times New Roman"/>
          <w:noProof/>
        </w:rPr>
      </w:pPr>
      <w:r>
        <w:rPr>
          <w:rFonts w:eastAsia="Times New Roman"/>
          <w:noProof/>
        </w:rPr>
        <w:sym w:font="Wingdings" w:char="F0A8"/>
      </w:r>
      <w:r>
        <w:rPr>
          <w:noProof/>
        </w:rPr>
        <w:t xml:space="preserve"> aux organismes visés aux articles 208 et 209 du règlement financier;</w:t>
      </w:r>
    </w:p>
    <w:p w:rsidR="00824C36" w:rsidRDefault="00B97963">
      <w:pPr>
        <w:tabs>
          <w:tab w:val="num" w:pos="1134"/>
        </w:tabs>
        <w:ind w:left="1134" w:hanging="283"/>
        <w:rPr>
          <w:rFonts w:eastAsia="Times New Roman"/>
          <w:noProof/>
        </w:rPr>
      </w:pPr>
      <w:r>
        <w:rPr>
          <w:rFonts w:eastAsia="Times New Roman"/>
          <w:noProof/>
        </w:rPr>
        <w:sym w:font="Wingdings" w:char="F0A8"/>
      </w:r>
      <w:r>
        <w:rPr>
          <w:noProof/>
        </w:rPr>
        <w:t xml:space="preserve"> à des organismes d</w:t>
      </w:r>
      <w:r>
        <w:rPr>
          <w:noProof/>
        </w:rPr>
        <w:t>e droit public;</w:t>
      </w:r>
    </w:p>
    <w:p w:rsidR="00824C36" w:rsidRDefault="00B97963">
      <w:pPr>
        <w:tabs>
          <w:tab w:val="num" w:pos="1134"/>
        </w:tabs>
        <w:ind w:left="1134" w:hanging="283"/>
        <w:rPr>
          <w:rFonts w:eastAsia="Times New Roman"/>
          <w:noProof/>
        </w:rPr>
      </w:pPr>
      <w:r>
        <w:rPr>
          <w:rFonts w:eastAsia="Times New Roman"/>
          <w:noProof/>
        </w:rPr>
        <w:sym w:font="Wingdings" w:char="F0A8"/>
      </w:r>
      <w:r>
        <w:rPr>
          <w:noProof/>
        </w:rPr>
        <w:t xml:space="preserve"> à des organismes de droit privé investis d’une mission de service public, pour autant qu’ils présentent les garanties financières suffisantes;</w:t>
      </w:r>
    </w:p>
    <w:p w:rsidR="00824C36" w:rsidRDefault="00B97963">
      <w:pPr>
        <w:tabs>
          <w:tab w:val="num" w:pos="1134"/>
        </w:tabs>
        <w:ind w:left="1134" w:hanging="283"/>
        <w:rPr>
          <w:rFonts w:eastAsia="Times New Roman"/>
          <w:noProof/>
        </w:rPr>
      </w:pPr>
      <w:r>
        <w:rPr>
          <w:rFonts w:eastAsia="Times New Roman"/>
          <w:noProof/>
        </w:rPr>
        <w:sym w:font="Wingdings" w:char="F0A8"/>
      </w:r>
      <w:r>
        <w:rPr>
          <w:noProof/>
        </w:rPr>
        <w:t xml:space="preserve"> à des organismes de droit privé d’un État membre qui sont chargés de la mise en œuvre d’un pa</w:t>
      </w:r>
      <w:r>
        <w:rPr>
          <w:noProof/>
        </w:rPr>
        <w:t>rtenariat public-privé et présentent les garanties financières suffisantes;</w:t>
      </w:r>
    </w:p>
    <w:p w:rsidR="00824C36" w:rsidRDefault="00B97963">
      <w:pPr>
        <w:tabs>
          <w:tab w:val="num" w:pos="1134"/>
        </w:tabs>
        <w:ind w:left="1134" w:hanging="283"/>
        <w:rPr>
          <w:rFonts w:eastAsia="Times New Roman"/>
          <w:noProof/>
        </w:rPr>
      </w:pPr>
      <w:r>
        <w:rPr>
          <w:rFonts w:eastAsia="Times New Roman"/>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rsidR="00824C36" w:rsidRDefault="00B97963">
      <w:pPr>
        <w:tabs>
          <w:tab w:val="num" w:pos="1134"/>
        </w:tabs>
        <w:ind w:left="1134" w:hanging="283"/>
        <w:rPr>
          <w:rFonts w:eastAsia="Times New Roman"/>
          <w:i/>
          <w:noProof/>
          <w:sz w:val="18"/>
          <w:u w:val="single"/>
        </w:rPr>
      </w:pPr>
      <w:r>
        <w:rPr>
          <w:i/>
          <w:noProof/>
          <w:sz w:val="18"/>
        </w:rPr>
        <w:t>Si plusieurs modes de gestion sont indiqués, veuillez donner des précisions dans la partie «Remarques».</w:t>
      </w:r>
    </w:p>
    <w:p w:rsidR="00824C36" w:rsidRDefault="00B97963">
      <w:pPr>
        <w:rPr>
          <w:noProof/>
        </w:rPr>
      </w:pPr>
      <w:r>
        <w:rPr>
          <w:noProof/>
        </w:rPr>
        <w:t xml:space="preserve">Remarques </w:t>
      </w:r>
    </w:p>
    <w:p w:rsidR="00824C36" w:rsidRDefault="00B97963">
      <w:pPr>
        <w:pBdr>
          <w:top w:val="single" w:sz="4" w:space="1" w:color="auto"/>
          <w:left w:val="single" w:sz="4" w:space="4" w:color="auto"/>
          <w:bottom w:val="single" w:sz="4" w:space="1" w:color="auto"/>
          <w:right w:val="single" w:sz="4" w:space="4" w:color="auto"/>
        </w:pBdr>
        <w:rPr>
          <w:noProof/>
        </w:rPr>
      </w:pPr>
      <w:r>
        <w:rPr>
          <w:noProof/>
          <w:color w:val="0000FF"/>
        </w:rPr>
        <w:t>[…]</w:t>
      </w:r>
    </w:p>
    <w:p w:rsidR="00824C36" w:rsidRDefault="00B97963">
      <w:pPr>
        <w:pBdr>
          <w:top w:val="single" w:sz="4" w:space="1" w:color="auto"/>
          <w:left w:val="single" w:sz="4" w:space="4" w:color="auto"/>
          <w:bottom w:val="single" w:sz="4" w:space="1" w:color="auto"/>
          <w:right w:val="single" w:sz="4" w:space="4" w:color="auto"/>
        </w:pBdr>
        <w:rPr>
          <w:noProof/>
        </w:rPr>
      </w:pPr>
      <w:r>
        <w:rPr>
          <w:noProof/>
          <w:color w:val="0000FF"/>
        </w:rPr>
        <w:t>[…]</w:t>
      </w:r>
    </w:p>
    <w:p w:rsidR="00824C36" w:rsidRDefault="00824C36">
      <w:pPr>
        <w:rPr>
          <w:noProof/>
        </w:rPr>
        <w:sectPr w:rsidR="00824C36" w:rsidSect="00B97963">
          <w:pgSz w:w="11907" w:h="16840" w:code="9"/>
          <w:pgMar w:top="1134" w:right="1418" w:bottom="1134" w:left="1418" w:header="709" w:footer="709" w:gutter="0"/>
          <w:cols w:space="708"/>
          <w:docGrid w:linePitch="360"/>
        </w:sectPr>
      </w:pPr>
    </w:p>
    <w:p w:rsidR="00824C36" w:rsidRDefault="00B97963">
      <w:pPr>
        <w:pStyle w:val="ManualNumPar1"/>
        <w:rPr>
          <w:noProof/>
        </w:rPr>
      </w:pPr>
      <w:r>
        <w:t>2.</w:t>
      </w:r>
      <w:r>
        <w:tab/>
      </w:r>
      <w:r>
        <w:rPr>
          <w:noProof/>
        </w:rPr>
        <w:t xml:space="preserve">MESURES DE GESTION </w:t>
      </w:r>
    </w:p>
    <w:p w:rsidR="00824C36" w:rsidRDefault="00B97963">
      <w:pPr>
        <w:pStyle w:val="ManualNumPar2"/>
        <w:rPr>
          <w:noProof/>
        </w:rPr>
      </w:pPr>
      <w:r>
        <w:t>2.1.</w:t>
      </w:r>
      <w:r>
        <w:tab/>
      </w:r>
      <w:r>
        <w:rPr>
          <w:noProof/>
        </w:rPr>
        <w:t xml:space="preserve">Dispositions en matière de suivi et de compte rendu </w:t>
      </w:r>
    </w:p>
    <w:p w:rsidR="00824C36" w:rsidRDefault="00B97963">
      <w:pPr>
        <w:ind w:left="850"/>
        <w:rPr>
          <w:i/>
          <w:noProof/>
          <w:sz w:val="20"/>
          <w:u w:val="single"/>
        </w:rPr>
      </w:pPr>
      <w:r>
        <w:rPr>
          <w:i/>
          <w:noProof/>
          <w:sz w:val="20"/>
        </w:rPr>
        <w:t xml:space="preserve">Préciser la fréquence et </w:t>
      </w:r>
      <w:r>
        <w:rPr>
          <w:i/>
          <w:noProof/>
          <w:sz w:val="20"/>
        </w:rPr>
        <w:t>les conditions de ces dispositions.</w:t>
      </w:r>
    </w:p>
    <w:p w:rsidR="00824C36" w:rsidRDefault="00B97963">
      <w:pPr>
        <w:pBdr>
          <w:top w:val="single" w:sz="4" w:space="1" w:color="auto"/>
          <w:left w:val="single" w:sz="4" w:space="4" w:color="auto"/>
          <w:bottom w:val="single" w:sz="4" w:space="1" w:color="auto"/>
          <w:right w:val="single" w:sz="4" w:space="4" w:color="auto"/>
        </w:pBdr>
        <w:ind w:left="850"/>
        <w:rPr>
          <w:noProof/>
          <w:sz w:val="22"/>
        </w:rPr>
      </w:pPr>
      <w:r>
        <w:rPr>
          <w:noProof/>
          <w:sz w:val="22"/>
        </w:rPr>
        <w:t xml:space="preserve">Les actions et les mesures bénéficiant d’une aide financière au titre de ces décisions font l’objet d’un contrôle régulier. </w:t>
      </w:r>
    </w:p>
    <w:p w:rsidR="00824C36" w:rsidRDefault="00B97963">
      <w:pPr>
        <w:pBdr>
          <w:top w:val="single" w:sz="4" w:space="1" w:color="auto"/>
          <w:left w:val="single" w:sz="4" w:space="4" w:color="auto"/>
          <w:bottom w:val="single" w:sz="4" w:space="1" w:color="auto"/>
          <w:right w:val="single" w:sz="4" w:space="4" w:color="auto"/>
        </w:pBdr>
        <w:ind w:left="850"/>
        <w:rPr>
          <w:noProof/>
          <w:sz w:val="22"/>
        </w:rPr>
      </w:pPr>
      <w:r>
        <w:rPr>
          <w:noProof/>
          <w:sz w:val="22"/>
        </w:rPr>
        <w:t>La Commission élabore et transmet au Parlement européen et au Conseil:</w:t>
      </w:r>
    </w:p>
    <w:p w:rsidR="00824C36" w:rsidRDefault="00B97963">
      <w:pPr>
        <w:pBdr>
          <w:top w:val="single" w:sz="4" w:space="1" w:color="auto"/>
          <w:left w:val="single" w:sz="4" w:space="4" w:color="auto"/>
          <w:bottom w:val="single" w:sz="4" w:space="1" w:color="auto"/>
          <w:right w:val="single" w:sz="4" w:space="4" w:color="auto"/>
        </w:pBdr>
        <w:ind w:left="850"/>
        <w:rPr>
          <w:noProof/>
          <w:sz w:val="22"/>
        </w:rPr>
      </w:pPr>
      <w:r>
        <w:rPr>
          <w:noProof/>
          <w:sz w:val="22"/>
        </w:rPr>
        <w:t xml:space="preserve">- un rapport </w:t>
      </w:r>
      <w:r>
        <w:rPr>
          <w:noProof/>
          <w:sz w:val="22"/>
        </w:rPr>
        <w:t>d’évaluation intermédiaire, au plus tard le 30 juin 2017 (déjà terminé);</w:t>
      </w:r>
    </w:p>
    <w:p w:rsidR="00824C36" w:rsidRDefault="00B97963">
      <w:pPr>
        <w:pBdr>
          <w:top w:val="single" w:sz="4" w:space="1" w:color="auto"/>
          <w:left w:val="single" w:sz="4" w:space="4" w:color="auto"/>
          <w:bottom w:val="single" w:sz="4" w:space="1" w:color="auto"/>
          <w:right w:val="single" w:sz="4" w:space="4" w:color="auto"/>
        </w:pBdr>
        <w:ind w:left="850"/>
        <w:rPr>
          <w:noProof/>
          <w:sz w:val="22"/>
        </w:rPr>
      </w:pPr>
      <w:r>
        <w:rPr>
          <w:noProof/>
          <w:sz w:val="22"/>
        </w:rPr>
        <w:t>- une communication sur la poursuite de la mise en œuvre de la présente décision, au plus tard le 31 décembre 2018;</w:t>
      </w:r>
    </w:p>
    <w:p w:rsidR="00824C36" w:rsidRDefault="00B97963">
      <w:pPr>
        <w:pBdr>
          <w:top w:val="single" w:sz="4" w:space="1" w:color="auto"/>
          <w:left w:val="single" w:sz="4" w:space="4" w:color="auto"/>
          <w:bottom w:val="single" w:sz="4" w:space="1" w:color="auto"/>
          <w:right w:val="single" w:sz="4" w:space="4" w:color="auto"/>
        </w:pBdr>
        <w:ind w:left="850"/>
        <w:rPr>
          <w:noProof/>
        </w:rPr>
      </w:pPr>
      <w:r>
        <w:rPr>
          <w:noProof/>
          <w:sz w:val="22"/>
        </w:rPr>
        <w:t>- un rapport d’évaluation ex post, au plus tard le 31 décembre 2021</w:t>
      </w:r>
      <w:r>
        <w:rPr>
          <w:noProof/>
          <w:sz w:val="22"/>
        </w:rPr>
        <w:t>.</w:t>
      </w:r>
    </w:p>
    <w:p w:rsidR="00824C36" w:rsidRDefault="00B97963">
      <w:pPr>
        <w:pStyle w:val="ManualNumPar2"/>
        <w:rPr>
          <w:noProof/>
        </w:rPr>
      </w:pPr>
      <w:r>
        <w:t>2.2.</w:t>
      </w:r>
      <w:r>
        <w:tab/>
      </w:r>
      <w:r>
        <w:rPr>
          <w:noProof/>
        </w:rPr>
        <w:t xml:space="preserve">Système de gestion et de contrôle </w:t>
      </w:r>
    </w:p>
    <w:p w:rsidR="00824C36" w:rsidRDefault="00B97963">
      <w:pPr>
        <w:pStyle w:val="ManualNumPar3"/>
        <w:rPr>
          <w:noProof/>
        </w:rPr>
      </w:pPr>
      <w:r>
        <w:t>2.2.1.</w:t>
      </w:r>
      <w:r>
        <w:tab/>
      </w:r>
      <w:r>
        <w:rPr>
          <w:noProof/>
        </w:rPr>
        <w:t xml:space="preserve">Risque(s) identifié(s) </w:t>
      </w:r>
    </w:p>
    <w:p w:rsidR="00824C36" w:rsidRDefault="00B97963">
      <w:pPr>
        <w:pBdr>
          <w:top w:val="single" w:sz="4" w:space="1" w:color="auto"/>
          <w:left w:val="single" w:sz="4" w:space="4" w:color="auto"/>
          <w:bottom w:val="single" w:sz="4" w:space="1" w:color="auto"/>
          <w:right w:val="single" w:sz="4" w:space="4" w:color="auto"/>
        </w:pBdr>
        <w:ind w:left="850"/>
        <w:rPr>
          <w:noProof/>
          <w:sz w:val="22"/>
        </w:rPr>
      </w:pPr>
      <w:r>
        <w:rPr>
          <w:noProof/>
          <w:sz w:val="22"/>
        </w:rPr>
        <w:t>Compte tenu du rôle plus vaste confié au Centre de coordination de la réaction d'urgence, si trop peu de postes sont prévus, le manque de personnel risque d’entraîner une incapacité à</w:t>
      </w:r>
      <w:r>
        <w:rPr>
          <w:noProof/>
          <w:sz w:val="22"/>
        </w:rPr>
        <w:t xml:space="preserve">: </w:t>
      </w:r>
    </w:p>
    <w:p w:rsidR="00824C36" w:rsidRDefault="00B97963">
      <w:pPr>
        <w:pBdr>
          <w:top w:val="single" w:sz="4" w:space="1" w:color="auto"/>
          <w:left w:val="single" w:sz="4" w:space="4" w:color="auto"/>
          <w:bottom w:val="single" w:sz="4" w:space="1" w:color="auto"/>
          <w:right w:val="single" w:sz="4" w:space="4" w:color="auto"/>
        </w:pBdr>
        <w:ind w:left="850"/>
        <w:rPr>
          <w:noProof/>
          <w:sz w:val="22"/>
        </w:rPr>
      </w:pPr>
      <w:r>
        <w:rPr>
          <w:noProof/>
          <w:sz w:val="22"/>
        </w:rPr>
        <w:t>- relever tous les défis résultant de l’augmentation du nombre d’opérations de protection civile, et satisfaire à toutes les exigences politiques au titre du dispositif intégré de l'UE pour une réaction au niveau politique dans les situations de crise (</w:t>
      </w:r>
      <w:r>
        <w:rPr>
          <w:noProof/>
          <w:sz w:val="22"/>
        </w:rPr>
        <w:t>IPCR) et de la clause de solidarité;</w:t>
      </w:r>
      <w:r>
        <w:rPr>
          <w:noProof/>
          <w:sz w:val="22"/>
        </w:rPr>
        <w:br/>
        <w:t>- étoffer les activités existantes/ajouter de nouvelles activités;</w:t>
      </w:r>
      <w:r>
        <w:rPr>
          <w:noProof/>
          <w:sz w:val="22"/>
        </w:rPr>
        <w:br/>
        <w:t>- tirer parti/mettre au point de nouveaux systèmes technologiques assurant une disponibilité continue;</w:t>
      </w:r>
      <w:r>
        <w:rPr>
          <w:noProof/>
          <w:sz w:val="22"/>
        </w:rPr>
        <w:br/>
        <w:t>- réagir de façon appropriée à des situations d’u</w:t>
      </w:r>
      <w:r>
        <w:rPr>
          <w:noProof/>
          <w:sz w:val="22"/>
        </w:rPr>
        <w:t>rgence imminentes relevant de la protection civile;</w:t>
      </w:r>
      <w:r>
        <w:rPr>
          <w:noProof/>
          <w:sz w:val="22"/>
        </w:rPr>
        <w:br/>
        <w:t>- mettre en œuvre de manière adéquate le système de contrôle interne décrit au point 2.2.2.</w:t>
      </w:r>
    </w:p>
    <w:p w:rsidR="00824C36" w:rsidRDefault="00B97963">
      <w:pPr>
        <w:pStyle w:val="ManualNumPar3"/>
        <w:rPr>
          <w:noProof/>
        </w:rPr>
      </w:pPr>
      <w:r>
        <w:t>2.2.2.</w:t>
      </w:r>
      <w:r>
        <w:tab/>
      </w:r>
      <w:r>
        <w:rPr>
          <w:noProof/>
        </w:rPr>
        <w:t>Informations concernant le système de contrôle interne mis en place</w:t>
      </w:r>
    </w:p>
    <w:p w:rsidR="00824C36" w:rsidRDefault="00B97963">
      <w:pPr>
        <w:pBdr>
          <w:top w:val="single" w:sz="4" w:space="1" w:color="auto"/>
          <w:left w:val="single" w:sz="4" w:space="0" w:color="auto"/>
          <w:bottom w:val="single" w:sz="4" w:space="1" w:color="auto"/>
          <w:right w:val="single" w:sz="4" w:space="4" w:color="auto"/>
        </w:pBdr>
        <w:ind w:left="709"/>
        <w:rPr>
          <w:noProof/>
          <w:sz w:val="22"/>
        </w:rPr>
      </w:pPr>
      <w:r>
        <w:rPr>
          <w:noProof/>
          <w:sz w:val="22"/>
        </w:rPr>
        <w:t>Il est prévu de recourir au système d</w:t>
      </w:r>
      <w:r>
        <w:rPr>
          <w:noProof/>
          <w:sz w:val="22"/>
        </w:rPr>
        <w:t xml:space="preserve">e contrôle interne existant de la DG ECHO pour garantir que les fonds disponibles dans le cadre du nouvel instrument sont utilisés correctement et dans le respect de la législation appropriée. </w:t>
      </w:r>
    </w:p>
    <w:p w:rsidR="00824C36" w:rsidRDefault="00B97963">
      <w:pPr>
        <w:pBdr>
          <w:top w:val="single" w:sz="4" w:space="1" w:color="auto"/>
          <w:left w:val="single" w:sz="4" w:space="0" w:color="auto"/>
          <w:bottom w:val="single" w:sz="4" w:space="1" w:color="auto"/>
          <w:right w:val="single" w:sz="4" w:space="4" w:color="auto"/>
        </w:pBdr>
        <w:ind w:left="709"/>
        <w:rPr>
          <w:noProof/>
          <w:sz w:val="22"/>
        </w:rPr>
      </w:pPr>
      <w:r>
        <w:rPr>
          <w:noProof/>
          <w:sz w:val="22"/>
        </w:rPr>
        <w:t>Le système actuel est organisé comme suit:</w:t>
      </w:r>
    </w:p>
    <w:p w:rsidR="00824C36" w:rsidRDefault="00B97963">
      <w:pPr>
        <w:pBdr>
          <w:top w:val="single" w:sz="4" w:space="1" w:color="auto"/>
          <w:left w:val="single" w:sz="4" w:space="0" w:color="auto"/>
          <w:bottom w:val="single" w:sz="4" w:space="1" w:color="auto"/>
          <w:right w:val="single" w:sz="4" w:space="4" w:color="auto"/>
        </w:pBdr>
        <w:ind w:left="709"/>
        <w:rPr>
          <w:noProof/>
          <w:sz w:val="22"/>
        </w:rPr>
      </w:pPr>
      <w:r>
        <w:rPr>
          <w:noProof/>
          <w:sz w:val="22"/>
        </w:rPr>
        <w:t>1. L’équipe chargée</w:t>
      </w:r>
      <w:r>
        <w:rPr>
          <w:noProof/>
          <w:sz w:val="22"/>
        </w:rPr>
        <w:t xml:space="preserve"> du contrôle interne au sein de la DG ECHO a mis l’accent sur le respect des procédures administratives valables et de la législation en vigueur dans le domaine de la protection civile. Le cadre de contrôle interne de la Commission est utilisé à cette fin.</w:t>
      </w:r>
      <w:r>
        <w:rPr>
          <w:noProof/>
          <w:sz w:val="22"/>
        </w:rPr>
        <w:t xml:space="preserve"> </w:t>
      </w:r>
    </w:p>
    <w:p w:rsidR="00824C36" w:rsidRDefault="00B97963">
      <w:pPr>
        <w:pBdr>
          <w:top w:val="single" w:sz="4" w:space="1" w:color="auto"/>
          <w:left w:val="single" w:sz="4" w:space="0" w:color="auto"/>
          <w:bottom w:val="single" w:sz="4" w:space="1" w:color="auto"/>
          <w:right w:val="single" w:sz="4" w:space="4" w:color="auto"/>
        </w:pBdr>
        <w:ind w:left="709"/>
        <w:rPr>
          <w:noProof/>
          <w:sz w:val="22"/>
        </w:rPr>
      </w:pPr>
      <w:r>
        <w:rPr>
          <w:noProof/>
          <w:sz w:val="22"/>
        </w:rPr>
        <w:t>2. L’audit régulier des subventions octroyées et des marchés passés dans le cadre de l’instrument, effectué par des auditeurs externes de la DG ECHO, est pleinement intégré dans le plan annuel d’audit de la DG ECHO.</w:t>
      </w:r>
    </w:p>
    <w:p w:rsidR="00824C36" w:rsidRDefault="00B97963">
      <w:pPr>
        <w:pBdr>
          <w:top w:val="single" w:sz="4" w:space="1" w:color="auto"/>
          <w:left w:val="single" w:sz="4" w:space="0" w:color="auto"/>
          <w:bottom w:val="single" w:sz="4" w:space="1" w:color="auto"/>
          <w:right w:val="single" w:sz="4" w:space="4" w:color="auto"/>
        </w:pBdr>
        <w:ind w:left="709"/>
        <w:rPr>
          <w:noProof/>
          <w:sz w:val="22"/>
        </w:rPr>
      </w:pPr>
      <w:r>
        <w:rPr>
          <w:noProof/>
          <w:sz w:val="22"/>
        </w:rPr>
        <w:t>3. L’évaluation des activités est assu</w:t>
      </w:r>
      <w:r>
        <w:rPr>
          <w:noProof/>
          <w:sz w:val="22"/>
        </w:rPr>
        <w:t>rée par des partenaires extérieurs.</w:t>
      </w:r>
    </w:p>
    <w:p w:rsidR="00824C36" w:rsidRDefault="00B97963">
      <w:pPr>
        <w:pBdr>
          <w:top w:val="single" w:sz="4" w:space="1" w:color="auto"/>
          <w:left w:val="single" w:sz="4" w:space="0" w:color="auto"/>
          <w:bottom w:val="single" w:sz="4" w:space="1" w:color="auto"/>
          <w:right w:val="single" w:sz="4" w:space="4" w:color="auto"/>
        </w:pBdr>
        <w:ind w:left="709"/>
        <w:rPr>
          <w:noProof/>
          <w:sz w:val="22"/>
        </w:rPr>
      </w:pPr>
      <w:r>
        <w:rPr>
          <w:noProof/>
          <w:sz w:val="22"/>
        </w:rPr>
        <w:t>Les actions peuvent aussi faire l’objet d’un audit par l’OLAF (cas de fraude) et la Cour des comptes.</w:t>
      </w:r>
    </w:p>
    <w:p w:rsidR="00824C36" w:rsidRDefault="00B97963">
      <w:pPr>
        <w:pStyle w:val="ManualNumPar3"/>
        <w:rPr>
          <w:noProof/>
        </w:rPr>
      </w:pPr>
      <w:r>
        <w:t>2.2.3.</w:t>
      </w:r>
      <w:r>
        <w:tab/>
      </w:r>
      <w:r>
        <w:rPr>
          <w:noProof/>
        </w:rPr>
        <w:t xml:space="preserve">Estimation du coût et des avantages des contrôles et évaluation du niveau de risque d'erreur attendu </w:t>
      </w:r>
    </w:p>
    <w:p w:rsidR="00824C36" w:rsidRDefault="00B97963">
      <w:pPr>
        <w:pBdr>
          <w:top w:val="single" w:sz="4" w:space="1" w:color="auto"/>
          <w:left w:val="single" w:sz="4" w:space="0" w:color="auto"/>
          <w:bottom w:val="single" w:sz="4" w:space="1" w:color="auto"/>
          <w:right w:val="single" w:sz="4" w:space="4" w:color="auto"/>
        </w:pBdr>
        <w:ind w:left="709"/>
        <w:rPr>
          <w:noProof/>
        </w:rPr>
      </w:pPr>
      <w:r>
        <w:rPr>
          <w:noProof/>
        </w:rPr>
        <w:t>Le coût e</w:t>
      </w:r>
      <w:r>
        <w:rPr>
          <w:noProof/>
        </w:rPr>
        <w:t>stimé de la stratégie de contrôle de la DG ECHO représente 1,9 % du budget 2016. Les principales composantes de cet indicateur sont les suivantes:</w:t>
      </w:r>
    </w:p>
    <w:p w:rsidR="00824C36" w:rsidRDefault="00B97963">
      <w:pPr>
        <w:pBdr>
          <w:top w:val="single" w:sz="4" w:space="1" w:color="auto"/>
          <w:left w:val="single" w:sz="4" w:space="0" w:color="auto"/>
          <w:bottom w:val="single" w:sz="4" w:space="1" w:color="auto"/>
          <w:right w:val="single" w:sz="4" w:space="4" w:color="auto"/>
        </w:pBdr>
        <w:ind w:left="709"/>
        <w:rPr>
          <w:noProof/>
        </w:rPr>
      </w:pPr>
      <w:r>
        <w:rPr>
          <w:noProof/>
        </w:rPr>
        <w:t xml:space="preserve">- le total des frais de personnel des experts de la DG ECHO sur le terrain, plus ceux des unités financières </w:t>
      </w:r>
      <w:r>
        <w:rPr>
          <w:noProof/>
        </w:rPr>
        <w:t>et opérationnelles, le tout multiplié par la part de temps estimée (50 %) consacrée à l’assurance de la qualité et aux activités de contrôle et de suivi;</w:t>
      </w:r>
    </w:p>
    <w:p w:rsidR="00824C36" w:rsidRDefault="00B97963">
      <w:pPr>
        <w:pBdr>
          <w:top w:val="single" w:sz="4" w:space="1" w:color="auto"/>
          <w:left w:val="single" w:sz="4" w:space="0" w:color="auto"/>
          <w:bottom w:val="single" w:sz="4" w:space="1" w:color="auto"/>
          <w:right w:val="single" w:sz="4" w:space="4" w:color="auto"/>
        </w:pBdr>
        <w:ind w:left="709"/>
        <w:rPr>
          <w:noProof/>
          <w:sz w:val="22"/>
        </w:rPr>
      </w:pPr>
      <w:r>
        <w:rPr>
          <w:noProof/>
          <w:sz w:val="22"/>
        </w:rPr>
        <w:t xml:space="preserve">- le total des ressources dans le secteur d’audit externe de la DG ECHO consacrées aux audits et aux </w:t>
      </w:r>
      <w:r>
        <w:rPr>
          <w:noProof/>
          <w:sz w:val="22"/>
        </w:rPr>
        <w:t>vérifications;</w:t>
      </w:r>
    </w:p>
    <w:p w:rsidR="00824C36" w:rsidRDefault="00B97963">
      <w:pPr>
        <w:pBdr>
          <w:top w:val="single" w:sz="4" w:space="1" w:color="auto"/>
          <w:left w:val="single" w:sz="4" w:space="0" w:color="auto"/>
          <w:bottom w:val="single" w:sz="4" w:space="1" w:color="auto"/>
          <w:right w:val="single" w:sz="4" w:space="4" w:color="auto"/>
        </w:pBdr>
        <w:ind w:left="709"/>
        <w:rPr>
          <w:noProof/>
          <w:sz w:val="22"/>
        </w:rPr>
      </w:pPr>
      <w:r>
        <w:rPr>
          <w:noProof/>
          <w:sz w:val="22"/>
        </w:rPr>
        <w:t>Compte tenu du coût très limité de tels contrôles ainsi que des avantages quantifiables (corrections et recouvrements) et non quantifiables (effet dissuasif et effet des contrôles sur l'assurance de la qualité) liés à ces contrôles, la Commi</w:t>
      </w:r>
      <w:r>
        <w:rPr>
          <w:noProof/>
          <w:sz w:val="22"/>
        </w:rPr>
        <w:t>ssion est en mesure de conclure que les avantages quantifiables et non quantifiables tirés des contrôles sont largement supérieurs au coût limité de ceux-ci.</w:t>
      </w:r>
    </w:p>
    <w:p w:rsidR="00824C36" w:rsidRDefault="00B97963">
      <w:pPr>
        <w:pBdr>
          <w:top w:val="single" w:sz="4" w:space="1" w:color="auto"/>
          <w:left w:val="single" w:sz="4" w:space="0" w:color="auto"/>
          <w:bottom w:val="single" w:sz="4" w:space="1" w:color="auto"/>
          <w:right w:val="single" w:sz="4" w:space="4" w:color="auto"/>
        </w:pBdr>
        <w:ind w:left="709"/>
        <w:rPr>
          <w:noProof/>
          <w:sz w:val="22"/>
        </w:rPr>
      </w:pPr>
      <w:r>
        <w:rPr>
          <w:noProof/>
          <w:sz w:val="22"/>
        </w:rPr>
        <w:t>Cela est confirmé par le taux d’erreur résiduel pluriannuel de 1,02 % communiqué par la Commission</w:t>
      </w:r>
      <w:r>
        <w:rPr>
          <w:noProof/>
          <w:sz w:val="22"/>
        </w:rPr>
        <w:t xml:space="preserve"> en 2016 pour sa direction générale de l'aide humanitaire et de la protection civile.</w:t>
      </w:r>
    </w:p>
    <w:p w:rsidR="00824C36" w:rsidRDefault="00824C36">
      <w:pPr>
        <w:keepNext/>
        <w:ind w:left="850"/>
        <w:outlineLvl w:val="1"/>
        <w:rPr>
          <w:b/>
          <w:noProof/>
        </w:rPr>
      </w:pPr>
    </w:p>
    <w:p w:rsidR="00824C36" w:rsidRDefault="00B97963">
      <w:pPr>
        <w:pStyle w:val="ManualNumPar2"/>
        <w:rPr>
          <w:noProof/>
        </w:rPr>
      </w:pPr>
      <w:r>
        <w:t>2.3.</w:t>
      </w:r>
      <w:r>
        <w:tab/>
      </w:r>
      <w:r>
        <w:rPr>
          <w:noProof/>
        </w:rPr>
        <w:t xml:space="preserve">Mesures de prévention des fraudes et irrégularités </w:t>
      </w:r>
    </w:p>
    <w:p w:rsidR="00824C36" w:rsidRDefault="00B97963">
      <w:pPr>
        <w:ind w:left="850"/>
        <w:rPr>
          <w:i/>
          <w:noProof/>
          <w:sz w:val="20"/>
        </w:rPr>
      </w:pPr>
      <w:r>
        <w:rPr>
          <w:i/>
          <w:noProof/>
          <w:sz w:val="20"/>
        </w:rPr>
        <w:t>Préciser les mesures de prévention et de protection existantes ou envisagées.</w:t>
      </w:r>
    </w:p>
    <w:p w:rsidR="00824C36" w:rsidRDefault="00B97963">
      <w:pPr>
        <w:pBdr>
          <w:top w:val="single" w:sz="4" w:space="1" w:color="auto"/>
          <w:left w:val="single" w:sz="4" w:space="4" w:color="auto"/>
          <w:bottom w:val="single" w:sz="4" w:space="1" w:color="auto"/>
          <w:right w:val="single" w:sz="4" w:space="4" w:color="auto"/>
        </w:pBdr>
        <w:ind w:left="850"/>
        <w:rPr>
          <w:noProof/>
          <w:sz w:val="22"/>
        </w:rPr>
      </w:pPr>
      <w:r>
        <w:rPr>
          <w:noProof/>
          <w:sz w:val="22"/>
        </w:rPr>
        <w:t xml:space="preserve">La stratégie de lutte contre la </w:t>
      </w:r>
      <w:r>
        <w:rPr>
          <w:noProof/>
          <w:sz w:val="22"/>
        </w:rPr>
        <w:t>fraude de la DG ECHO, conformément à la stratégie antifraude de la Commission (SAC), sert à garantir, entre autres, que:</w:t>
      </w:r>
    </w:p>
    <w:p w:rsidR="00824C36" w:rsidRDefault="00B97963">
      <w:pPr>
        <w:pBdr>
          <w:top w:val="single" w:sz="4" w:space="1" w:color="auto"/>
          <w:left w:val="single" w:sz="4" w:space="4" w:color="auto"/>
          <w:bottom w:val="single" w:sz="4" w:space="1" w:color="auto"/>
          <w:right w:val="single" w:sz="4" w:space="4" w:color="auto"/>
        </w:pBdr>
        <w:ind w:left="850"/>
        <w:rPr>
          <w:noProof/>
          <w:sz w:val="22"/>
        </w:rPr>
      </w:pPr>
      <w:r>
        <w:rPr>
          <w:noProof/>
          <w:sz w:val="22"/>
        </w:rPr>
        <w:t>- les contrôles antifraude internes de la DG ECHO sont pleinement alignés sur la SAC;</w:t>
      </w:r>
    </w:p>
    <w:p w:rsidR="00824C36" w:rsidRDefault="00B97963">
      <w:pPr>
        <w:pBdr>
          <w:top w:val="single" w:sz="4" w:space="1" w:color="auto"/>
          <w:left w:val="single" w:sz="4" w:space="4" w:color="auto"/>
          <w:bottom w:val="single" w:sz="4" w:space="1" w:color="auto"/>
          <w:right w:val="single" w:sz="4" w:space="4" w:color="auto"/>
        </w:pBdr>
        <w:ind w:left="850"/>
        <w:rPr>
          <w:noProof/>
          <w:sz w:val="22"/>
        </w:rPr>
      </w:pPr>
      <w:r>
        <w:rPr>
          <w:noProof/>
          <w:sz w:val="22"/>
        </w:rPr>
        <w:t xml:space="preserve">- l’approche de la DG ECHO en matière de gestion </w:t>
      </w:r>
      <w:r>
        <w:rPr>
          <w:noProof/>
          <w:sz w:val="22"/>
        </w:rPr>
        <w:t>des risques de fraude vise à cerner les domaines à risque et les réponses</w:t>
      </w:r>
      <w:r>
        <w:rPr>
          <w:noProof/>
        </w:rPr>
        <w:t xml:space="preserve"> adéquates.</w:t>
      </w:r>
    </w:p>
    <w:p w:rsidR="00824C36" w:rsidRDefault="00B97963">
      <w:pPr>
        <w:pBdr>
          <w:top w:val="single" w:sz="4" w:space="1" w:color="auto"/>
          <w:left w:val="single" w:sz="4" w:space="4" w:color="auto"/>
          <w:bottom w:val="single" w:sz="4" w:space="1" w:color="auto"/>
          <w:right w:val="single" w:sz="4" w:space="4" w:color="auto"/>
        </w:pBdr>
        <w:ind w:left="850"/>
        <w:rPr>
          <w:noProof/>
          <w:sz w:val="22"/>
        </w:rPr>
      </w:pPr>
      <w:r>
        <w:rPr>
          <w:noProof/>
          <w:sz w:val="22"/>
        </w:rPr>
        <w:t>Les systèmes utilisés pour dépenser les fonds de l’UE dans les pays tiers permettent d’extraire les données utiles en vue d’alimenter la gestion des risques de fraude (com</w:t>
      </w:r>
      <w:r>
        <w:rPr>
          <w:noProof/>
          <w:sz w:val="22"/>
        </w:rPr>
        <w:t>me le double financement, par exemple).</w:t>
      </w:r>
    </w:p>
    <w:p w:rsidR="00824C36" w:rsidRDefault="00B97963">
      <w:pPr>
        <w:pBdr>
          <w:top w:val="single" w:sz="4" w:space="1" w:color="auto"/>
          <w:left w:val="single" w:sz="4" w:space="4" w:color="auto"/>
          <w:bottom w:val="single" w:sz="4" w:space="1" w:color="auto"/>
          <w:right w:val="single" w:sz="4" w:space="4" w:color="auto"/>
        </w:pBdr>
        <w:ind w:left="850"/>
        <w:rPr>
          <w:noProof/>
          <w:sz w:val="22"/>
        </w:rPr>
      </w:pPr>
      <w:r>
        <w:rPr>
          <w:noProof/>
          <w:sz w:val="22"/>
        </w:rPr>
        <w:t>Si nécessaire, des groupes de mise en réseau et des outils informatiques adéquats consacrés à l’analyse des cas de fraude liés au secteur pourraient être mis en place.</w:t>
      </w:r>
    </w:p>
    <w:p w:rsidR="00824C36" w:rsidRDefault="00824C36">
      <w:pPr>
        <w:rPr>
          <w:noProof/>
        </w:rPr>
        <w:sectPr w:rsidR="00824C36" w:rsidSect="00B97963">
          <w:pgSz w:w="11907" w:h="16840" w:code="9"/>
          <w:pgMar w:top="1134" w:right="1418" w:bottom="1134" w:left="1418" w:header="709" w:footer="709" w:gutter="0"/>
          <w:cols w:space="708"/>
          <w:docGrid w:linePitch="360"/>
        </w:sectPr>
      </w:pPr>
    </w:p>
    <w:p w:rsidR="00824C36" w:rsidRDefault="00B97963">
      <w:pPr>
        <w:pStyle w:val="ManualNumPar1"/>
        <w:rPr>
          <w:noProof/>
        </w:rPr>
      </w:pPr>
      <w:r>
        <w:t>3.</w:t>
      </w:r>
      <w:r>
        <w:tab/>
      </w:r>
      <w:r>
        <w:rPr>
          <w:noProof/>
        </w:rPr>
        <w:t xml:space="preserve">INCIDENCE FINANCIÈRE </w:t>
      </w:r>
      <w:r>
        <w:rPr>
          <w:noProof/>
        </w:rPr>
        <w:t xml:space="preserve">ESTIMÉE DE LA PROPOSITION/DE L'INITIATIVE </w:t>
      </w:r>
    </w:p>
    <w:p w:rsidR="00824C36" w:rsidRDefault="00B97963">
      <w:pPr>
        <w:pStyle w:val="ManualNumPar2"/>
        <w:rPr>
          <w:noProof/>
        </w:rPr>
      </w:pPr>
      <w:r>
        <w:t>3.1.</w:t>
      </w:r>
      <w:r>
        <w:tab/>
      </w:r>
      <w:r>
        <w:rPr>
          <w:noProof/>
        </w:rPr>
        <w:t xml:space="preserve">Rubrique(s) du cadre financier pluriannuel et ligne(s) budgétaire(s) de dépenses concernée(s) </w:t>
      </w:r>
    </w:p>
    <w:p w:rsidR="00824C36" w:rsidRDefault="00B97963">
      <w:pPr>
        <w:tabs>
          <w:tab w:val="num" w:pos="1134"/>
        </w:tabs>
        <w:ind w:left="1134" w:hanging="283"/>
        <w:rPr>
          <w:rFonts w:eastAsia="Times New Roman"/>
          <w:noProof/>
        </w:rPr>
      </w:pPr>
      <w:r>
        <w:rPr>
          <w:noProof/>
        </w:rPr>
        <w:t xml:space="preserve">Lignes budgétaires existantes </w:t>
      </w:r>
    </w:p>
    <w:p w:rsidR="00824C36" w:rsidRDefault="00B97963">
      <w:pPr>
        <w:ind w:left="850"/>
        <w:rPr>
          <w:noProof/>
        </w:rPr>
      </w:pPr>
      <w:r>
        <w:rPr>
          <w:noProof/>
          <w:u w:val="single"/>
        </w:rPr>
        <w:t>Dans l'ordre</w:t>
      </w:r>
      <w:r>
        <w:rPr>
          <w:noProof/>
        </w:rPr>
        <w:t xml:space="preserve"> des rubriques du cadre financier pluriannuel et des lignes budgétaire</w:t>
      </w:r>
      <w:r>
        <w:rPr>
          <w:noProof/>
        </w:rPr>
        <w:t>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824C36">
        <w:tc>
          <w:tcPr>
            <w:tcW w:w="1080" w:type="dxa"/>
            <w:vMerge w:val="restart"/>
            <w:tcBorders>
              <w:top w:val="single" w:sz="4" w:space="0" w:color="auto"/>
              <w:left w:val="single" w:sz="4" w:space="0" w:color="auto"/>
              <w:bottom w:val="single" w:sz="4" w:space="0" w:color="auto"/>
              <w:right w:val="single" w:sz="4" w:space="0" w:color="auto"/>
            </w:tcBorders>
            <w:vAlign w:val="center"/>
          </w:tcPr>
          <w:p w:rsidR="00824C36" w:rsidRDefault="00B97963">
            <w:pPr>
              <w:spacing w:before="60" w:after="60"/>
              <w:jc w:val="center"/>
              <w:rPr>
                <w:noProof/>
                <w:sz w:val="18"/>
              </w:rPr>
            </w:pPr>
            <w:r>
              <w:rPr>
                <w:noProof/>
                <w:sz w:val="18"/>
              </w:rPr>
              <w:t>Rubrique du cadre financier pluriannuel</w:t>
            </w:r>
          </w:p>
        </w:tc>
        <w:tc>
          <w:tcPr>
            <w:tcW w:w="3960" w:type="dxa"/>
            <w:tcBorders>
              <w:top w:val="single" w:sz="4" w:space="0" w:color="auto"/>
              <w:left w:val="single" w:sz="4" w:space="0" w:color="auto"/>
              <w:bottom w:val="single" w:sz="4" w:space="0" w:color="auto"/>
              <w:right w:val="single" w:sz="4" w:space="0" w:color="auto"/>
            </w:tcBorders>
            <w:vAlign w:val="center"/>
          </w:tcPr>
          <w:p w:rsidR="00824C36" w:rsidRDefault="00B97963">
            <w:pPr>
              <w:spacing w:before="60" w:after="60"/>
              <w:jc w:val="center"/>
              <w:rPr>
                <w:noProof/>
                <w:sz w:val="20"/>
              </w:rPr>
            </w:pPr>
            <w:r>
              <w:rPr>
                <w:noProof/>
                <w:sz w:val="20"/>
              </w:rPr>
              <w:t>Ligne budgétaire</w:t>
            </w:r>
          </w:p>
        </w:tc>
        <w:tc>
          <w:tcPr>
            <w:tcW w:w="1080" w:type="dxa"/>
            <w:tcBorders>
              <w:top w:val="single" w:sz="4" w:space="0" w:color="auto"/>
              <w:left w:val="single" w:sz="4" w:space="0" w:color="auto"/>
              <w:bottom w:val="single" w:sz="4" w:space="0" w:color="auto"/>
              <w:right w:val="single" w:sz="4" w:space="0" w:color="auto"/>
            </w:tcBorders>
            <w:vAlign w:val="center"/>
          </w:tcPr>
          <w:p w:rsidR="00824C36" w:rsidRDefault="00B97963">
            <w:pPr>
              <w:spacing w:before="60" w:after="60"/>
              <w:jc w:val="center"/>
              <w:rPr>
                <w:noProof/>
                <w:sz w:val="18"/>
              </w:rPr>
            </w:pPr>
            <w:r>
              <w:rPr>
                <w:noProof/>
                <w:sz w:val="18"/>
              </w:rPr>
              <w:t xml:space="preserve">Nature de </w:t>
            </w:r>
            <w:r>
              <w:rPr>
                <w:noProof/>
                <w:sz w:val="18"/>
              </w:rPr>
              <w:br/>
              <w:t>la dépense</w:t>
            </w:r>
          </w:p>
        </w:tc>
        <w:tc>
          <w:tcPr>
            <w:tcW w:w="4440" w:type="dxa"/>
            <w:gridSpan w:val="4"/>
            <w:tcBorders>
              <w:top w:val="single" w:sz="4" w:space="0" w:color="auto"/>
              <w:left w:val="single" w:sz="4" w:space="0" w:color="auto"/>
              <w:bottom w:val="single" w:sz="4" w:space="0" w:color="auto"/>
              <w:right w:val="single" w:sz="4" w:space="0" w:color="auto"/>
            </w:tcBorders>
            <w:vAlign w:val="center"/>
          </w:tcPr>
          <w:p w:rsidR="00824C36" w:rsidRDefault="00B97963">
            <w:pPr>
              <w:spacing w:before="60" w:after="60"/>
              <w:jc w:val="center"/>
              <w:rPr>
                <w:noProof/>
                <w:sz w:val="20"/>
              </w:rPr>
            </w:pPr>
            <w:r>
              <w:rPr>
                <w:noProof/>
                <w:sz w:val="20"/>
              </w:rPr>
              <w:t xml:space="preserve">Participation </w:t>
            </w:r>
          </w:p>
        </w:tc>
      </w:tr>
      <w:tr w:rsidR="00824C36">
        <w:tc>
          <w:tcPr>
            <w:tcW w:w="1080" w:type="dxa"/>
            <w:vMerge/>
            <w:vAlign w:val="center"/>
          </w:tcPr>
          <w:p w:rsidR="00824C36" w:rsidRDefault="00824C36">
            <w:pPr>
              <w:jc w:val="center"/>
              <w:rPr>
                <w:noProof/>
                <w:sz w:val="22"/>
              </w:rPr>
            </w:pPr>
          </w:p>
        </w:tc>
        <w:tc>
          <w:tcPr>
            <w:tcW w:w="3960" w:type="dxa"/>
            <w:vAlign w:val="center"/>
          </w:tcPr>
          <w:p w:rsidR="00824C36" w:rsidRDefault="00B97963">
            <w:pPr>
              <w:rPr>
                <w:noProof/>
                <w:sz w:val="22"/>
              </w:rPr>
            </w:pPr>
            <w:r>
              <w:rPr>
                <w:noProof/>
                <w:sz w:val="20"/>
              </w:rPr>
              <w:t>Numéro et intitulé</w:t>
            </w:r>
          </w:p>
        </w:tc>
        <w:tc>
          <w:tcPr>
            <w:tcW w:w="1080" w:type="dxa"/>
            <w:vAlign w:val="center"/>
          </w:tcPr>
          <w:p w:rsidR="00824C36" w:rsidRDefault="00B97963">
            <w:pPr>
              <w:jc w:val="center"/>
              <w:rPr>
                <w:noProof/>
                <w:sz w:val="22"/>
              </w:rPr>
            </w:pPr>
            <w:r>
              <w:rPr>
                <w:noProof/>
                <w:sz w:val="18"/>
              </w:rPr>
              <w:t>CD/CND</w:t>
            </w:r>
            <w:r>
              <w:rPr>
                <w:rStyle w:val="FootnoteReference"/>
                <w:noProof/>
              </w:rPr>
              <w:footnoteReference w:id="20"/>
            </w:r>
            <w:r>
              <w:rPr>
                <w:noProof/>
              </w:rPr>
              <w:t>.</w:t>
            </w:r>
          </w:p>
        </w:tc>
        <w:tc>
          <w:tcPr>
            <w:tcW w:w="956" w:type="dxa"/>
            <w:vAlign w:val="center"/>
          </w:tcPr>
          <w:p w:rsidR="00824C36" w:rsidRDefault="00B97963">
            <w:pPr>
              <w:jc w:val="center"/>
              <w:rPr>
                <w:noProof/>
                <w:sz w:val="22"/>
              </w:rPr>
            </w:pPr>
            <w:r>
              <w:rPr>
                <w:noProof/>
                <w:sz w:val="18"/>
              </w:rPr>
              <w:t>de pays AELE</w:t>
            </w:r>
            <w:r>
              <w:rPr>
                <w:rStyle w:val="FootnoteReference"/>
                <w:noProof/>
              </w:rPr>
              <w:footnoteReference w:id="21"/>
            </w:r>
          </w:p>
          <w:p w:rsidR="00824C36" w:rsidRDefault="00824C36">
            <w:pPr>
              <w:spacing w:before="0" w:after="0"/>
              <w:jc w:val="center"/>
              <w:rPr>
                <w:b/>
                <w:noProof/>
                <w:sz w:val="18"/>
              </w:rPr>
            </w:pPr>
          </w:p>
        </w:tc>
        <w:tc>
          <w:tcPr>
            <w:tcW w:w="1080" w:type="dxa"/>
            <w:vAlign w:val="center"/>
          </w:tcPr>
          <w:p w:rsidR="00824C36" w:rsidRDefault="00B97963">
            <w:pPr>
              <w:jc w:val="center"/>
              <w:rPr>
                <w:noProof/>
                <w:sz w:val="22"/>
              </w:rPr>
            </w:pPr>
            <w:r>
              <w:rPr>
                <w:noProof/>
                <w:sz w:val="18"/>
              </w:rPr>
              <w:t>de pays candidats</w:t>
            </w:r>
            <w:r>
              <w:rPr>
                <w:rStyle w:val="FootnoteReference"/>
                <w:noProof/>
              </w:rPr>
              <w:footnoteReference w:id="22"/>
            </w:r>
          </w:p>
          <w:p w:rsidR="00824C36" w:rsidRDefault="00824C36">
            <w:pPr>
              <w:spacing w:before="0" w:after="0"/>
              <w:jc w:val="center"/>
              <w:rPr>
                <w:noProof/>
                <w:sz w:val="18"/>
              </w:rPr>
            </w:pPr>
          </w:p>
        </w:tc>
        <w:tc>
          <w:tcPr>
            <w:tcW w:w="956" w:type="dxa"/>
            <w:vAlign w:val="center"/>
          </w:tcPr>
          <w:p w:rsidR="00824C36" w:rsidRDefault="00B97963">
            <w:pPr>
              <w:jc w:val="center"/>
              <w:rPr>
                <w:noProof/>
                <w:sz w:val="18"/>
              </w:rPr>
            </w:pPr>
            <w:r>
              <w:rPr>
                <w:noProof/>
                <w:sz w:val="18"/>
              </w:rPr>
              <w:t>de pays tiers</w:t>
            </w:r>
          </w:p>
        </w:tc>
        <w:tc>
          <w:tcPr>
            <w:tcW w:w="1448" w:type="dxa"/>
            <w:vAlign w:val="center"/>
          </w:tcPr>
          <w:p w:rsidR="00824C36" w:rsidRDefault="00B97963">
            <w:pPr>
              <w:jc w:val="center"/>
              <w:rPr>
                <w:noProof/>
                <w:sz w:val="22"/>
              </w:rPr>
            </w:pPr>
            <w:r>
              <w:rPr>
                <w:noProof/>
                <w:sz w:val="16"/>
              </w:rPr>
              <w:t xml:space="preserve">au sens de l'article 21, paragraphe 2, point b), du règlement financier </w:t>
            </w:r>
          </w:p>
        </w:tc>
      </w:tr>
      <w:tr w:rsidR="00824C36">
        <w:tc>
          <w:tcPr>
            <w:tcW w:w="1080" w:type="dxa"/>
            <w:vAlign w:val="center"/>
          </w:tcPr>
          <w:p w:rsidR="00824C36" w:rsidRDefault="00B97963">
            <w:pPr>
              <w:jc w:val="center"/>
              <w:rPr>
                <w:noProof/>
                <w:sz w:val="22"/>
              </w:rPr>
            </w:pPr>
            <w:r>
              <w:rPr>
                <w:noProof/>
                <w:sz w:val="22"/>
              </w:rPr>
              <w:t>3</w:t>
            </w:r>
          </w:p>
        </w:tc>
        <w:tc>
          <w:tcPr>
            <w:tcW w:w="3960" w:type="dxa"/>
            <w:vAlign w:val="center"/>
          </w:tcPr>
          <w:p w:rsidR="00824C36" w:rsidRDefault="00B97963">
            <w:pPr>
              <w:autoSpaceDE w:val="0"/>
              <w:autoSpaceDN w:val="0"/>
              <w:adjustRightInd w:val="0"/>
              <w:spacing w:before="0" w:after="0"/>
              <w:jc w:val="left"/>
              <w:rPr>
                <w:noProof/>
                <w:sz w:val="22"/>
              </w:rPr>
            </w:pPr>
            <w:r>
              <w:rPr>
                <w:noProof/>
                <w:sz w:val="22"/>
              </w:rPr>
              <w:t>23 03 01 01 - Prévention des catastrophes et</w:t>
            </w:r>
          </w:p>
          <w:p w:rsidR="00824C36" w:rsidRDefault="00B97963">
            <w:pPr>
              <w:autoSpaceDE w:val="0"/>
              <w:autoSpaceDN w:val="0"/>
              <w:adjustRightInd w:val="0"/>
              <w:spacing w:before="0" w:after="0"/>
              <w:jc w:val="left"/>
              <w:rPr>
                <w:noProof/>
                <w:sz w:val="22"/>
              </w:rPr>
            </w:pPr>
            <w:r>
              <w:rPr>
                <w:noProof/>
                <w:sz w:val="22"/>
              </w:rPr>
              <w:t xml:space="preserve">préparation aux catastrophes au sein de l’Union </w:t>
            </w:r>
          </w:p>
        </w:tc>
        <w:tc>
          <w:tcPr>
            <w:tcW w:w="1080" w:type="dxa"/>
            <w:vAlign w:val="center"/>
          </w:tcPr>
          <w:p w:rsidR="00824C36" w:rsidRDefault="00B97963">
            <w:pPr>
              <w:jc w:val="center"/>
              <w:rPr>
                <w:noProof/>
                <w:color w:val="0000FF"/>
                <w:sz w:val="22"/>
              </w:rPr>
            </w:pPr>
            <w:r>
              <w:rPr>
                <w:noProof/>
                <w:sz w:val="22"/>
              </w:rPr>
              <w:t>CD</w:t>
            </w:r>
          </w:p>
        </w:tc>
        <w:tc>
          <w:tcPr>
            <w:tcW w:w="956" w:type="dxa"/>
            <w:vAlign w:val="center"/>
          </w:tcPr>
          <w:p w:rsidR="00824C36" w:rsidRDefault="00B97963">
            <w:pPr>
              <w:jc w:val="center"/>
              <w:rPr>
                <w:noProof/>
                <w:sz w:val="22"/>
              </w:rPr>
            </w:pPr>
            <w:r>
              <w:rPr>
                <w:noProof/>
                <w:sz w:val="22"/>
              </w:rPr>
              <w:t>OUI</w:t>
            </w:r>
          </w:p>
        </w:tc>
        <w:tc>
          <w:tcPr>
            <w:tcW w:w="1080" w:type="dxa"/>
            <w:vAlign w:val="center"/>
          </w:tcPr>
          <w:p w:rsidR="00824C36" w:rsidRDefault="00B97963">
            <w:pPr>
              <w:jc w:val="center"/>
              <w:rPr>
                <w:noProof/>
                <w:sz w:val="22"/>
              </w:rPr>
            </w:pPr>
            <w:r>
              <w:rPr>
                <w:noProof/>
                <w:sz w:val="22"/>
              </w:rPr>
              <w:t>OUI</w:t>
            </w:r>
          </w:p>
        </w:tc>
        <w:tc>
          <w:tcPr>
            <w:tcW w:w="956" w:type="dxa"/>
            <w:vAlign w:val="center"/>
          </w:tcPr>
          <w:p w:rsidR="00824C36" w:rsidRDefault="00B97963">
            <w:pPr>
              <w:jc w:val="center"/>
              <w:rPr>
                <w:noProof/>
                <w:sz w:val="22"/>
              </w:rPr>
            </w:pPr>
            <w:r>
              <w:rPr>
                <w:noProof/>
                <w:sz w:val="22"/>
              </w:rPr>
              <w:t>NON</w:t>
            </w:r>
          </w:p>
        </w:tc>
        <w:tc>
          <w:tcPr>
            <w:tcW w:w="1448" w:type="dxa"/>
            <w:vAlign w:val="center"/>
          </w:tcPr>
          <w:p w:rsidR="00824C36" w:rsidRDefault="00B97963">
            <w:pPr>
              <w:jc w:val="center"/>
              <w:rPr>
                <w:noProof/>
                <w:sz w:val="22"/>
              </w:rPr>
            </w:pPr>
            <w:r>
              <w:rPr>
                <w:noProof/>
                <w:sz w:val="22"/>
              </w:rPr>
              <w:t>NON</w:t>
            </w:r>
          </w:p>
        </w:tc>
      </w:tr>
      <w:tr w:rsidR="00824C36">
        <w:tc>
          <w:tcPr>
            <w:tcW w:w="1080" w:type="dxa"/>
            <w:vAlign w:val="center"/>
          </w:tcPr>
          <w:p w:rsidR="00824C36" w:rsidRDefault="00B97963">
            <w:pPr>
              <w:jc w:val="center"/>
              <w:rPr>
                <w:noProof/>
                <w:sz w:val="22"/>
              </w:rPr>
            </w:pPr>
            <w:r>
              <w:rPr>
                <w:noProof/>
                <w:sz w:val="22"/>
              </w:rPr>
              <w:t>4</w:t>
            </w:r>
          </w:p>
        </w:tc>
        <w:tc>
          <w:tcPr>
            <w:tcW w:w="3960" w:type="dxa"/>
            <w:vAlign w:val="center"/>
          </w:tcPr>
          <w:p w:rsidR="00824C36" w:rsidRDefault="00B97963">
            <w:pPr>
              <w:autoSpaceDE w:val="0"/>
              <w:autoSpaceDN w:val="0"/>
              <w:adjustRightInd w:val="0"/>
              <w:spacing w:before="0" w:after="0"/>
              <w:jc w:val="left"/>
              <w:rPr>
                <w:noProof/>
                <w:sz w:val="22"/>
              </w:rPr>
            </w:pPr>
            <w:r>
              <w:rPr>
                <w:noProof/>
                <w:sz w:val="22"/>
              </w:rPr>
              <w:t>23 03 01 01 - Prévention des catastrophes et</w:t>
            </w:r>
          </w:p>
          <w:p w:rsidR="00824C36" w:rsidRDefault="00B97963">
            <w:pPr>
              <w:autoSpaceDE w:val="0"/>
              <w:autoSpaceDN w:val="0"/>
              <w:adjustRightInd w:val="0"/>
              <w:spacing w:before="0" w:after="0"/>
              <w:jc w:val="left"/>
              <w:rPr>
                <w:noProof/>
                <w:sz w:val="22"/>
              </w:rPr>
            </w:pPr>
            <w:r>
              <w:rPr>
                <w:noProof/>
                <w:sz w:val="22"/>
              </w:rPr>
              <w:t>préparation aux catastrophes dans les pays tiers</w:t>
            </w:r>
          </w:p>
        </w:tc>
        <w:tc>
          <w:tcPr>
            <w:tcW w:w="1080" w:type="dxa"/>
            <w:vAlign w:val="center"/>
          </w:tcPr>
          <w:p w:rsidR="00824C36" w:rsidRDefault="00B97963">
            <w:pPr>
              <w:jc w:val="center"/>
              <w:rPr>
                <w:noProof/>
                <w:color w:val="0000FF"/>
                <w:sz w:val="22"/>
              </w:rPr>
            </w:pPr>
            <w:r>
              <w:rPr>
                <w:noProof/>
                <w:sz w:val="22"/>
              </w:rPr>
              <w:t>CD</w:t>
            </w:r>
          </w:p>
        </w:tc>
        <w:tc>
          <w:tcPr>
            <w:tcW w:w="956" w:type="dxa"/>
            <w:vAlign w:val="center"/>
          </w:tcPr>
          <w:p w:rsidR="00824C36" w:rsidRDefault="00B97963">
            <w:pPr>
              <w:jc w:val="center"/>
              <w:rPr>
                <w:noProof/>
                <w:sz w:val="22"/>
              </w:rPr>
            </w:pPr>
            <w:r>
              <w:rPr>
                <w:noProof/>
                <w:sz w:val="22"/>
              </w:rPr>
              <w:t>OUI</w:t>
            </w:r>
          </w:p>
        </w:tc>
        <w:tc>
          <w:tcPr>
            <w:tcW w:w="1080" w:type="dxa"/>
            <w:vAlign w:val="center"/>
          </w:tcPr>
          <w:p w:rsidR="00824C36" w:rsidRDefault="00B97963">
            <w:pPr>
              <w:jc w:val="center"/>
              <w:rPr>
                <w:noProof/>
                <w:sz w:val="22"/>
              </w:rPr>
            </w:pPr>
            <w:r>
              <w:rPr>
                <w:noProof/>
                <w:sz w:val="22"/>
              </w:rPr>
              <w:t>OUI</w:t>
            </w:r>
          </w:p>
        </w:tc>
        <w:tc>
          <w:tcPr>
            <w:tcW w:w="956" w:type="dxa"/>
            <w:vAlign w:val="center"/>
          </w:tcPr>
          <w:p w:rsidR="00824C36" w:rsidRDefault="00B97963">
            <w:pPr>
              <w:jc w:val="center"/>
              <w:rPr>
                <w:noProof/>
                <w:sz w:val="22"/>
              </w:rPr>
            </w:pPr>
            <w:r>
              <w:rPr>
                <w:noProof/>
                <w:sz w:val="22"/>
              </w:rPr>
              <w:t>NON</w:t>
            </w:r>
          </w:p>
        </w:tc>
        <w:tc>
          <w:tcPr>
            <w:tcW w:w="1448" w:type="dxa"/>
            <w:vAlign w:val="center"/>
          </w:tcPr>
          <w:p w:rsidR="00824C36" w:rsidRDefault="00B97963">
            <w:pPr>
              <w:jc w:val="center"/>
              <w:rPr>
                <w:noProof/>
                <w:sz w:val="22"/>
              </w:rPr>
            </w:pPr>
            <w:r>
              <w:rPr>
                <w:noProof/>
                <w:sz w:val="22"/>
              </w:rPr>
              <w:t>NON</w:t>
            </w:r>
          </w:p>
        </w:tc>
      </w:tr>
      <w:tr w:rsidR="00824C36">
        <w:tc>
          <w:tcPr>
            <w:tcW w:w="1080" w:type="dxa"/>
            <w:vAlign w:val="center"/>
          </w:tcPr>
          <w:p w:rsidR="00824C36" w:rsidRDefault="00B97963">
            <w:pPr>
              <w:jc w:val="center"/>
              <w:rPr>
                <w:noProof/>
                <w:sz w:val="22"/>
              </w:rPr>
            </w:pPr>
            <w:r>
              <w:rPr>
                <w:noProof/>
                <w:sz w:val="22"/>
              </w:rPr>
              <w:t>3</w:t>
            </w:r>
          </w:p>
        </w:tc>
        <w:tc>
          <w:tcPr>
            <w:tcW w:w="3960" w:type="dxa"/>
            <w:vAlign w:val="center"/>
          </w:tcPr>
          <w:p w:rsidR="00824C36" w:rsidRDefault="00B97963">
            <w:pPr>
              <w:autoSpaceDE w:val="0"/>
              <w:autoSpaceDN w:val="0"/>
              <w:adjustRightInd w:val="0"/>
              <w:spacing w:before="0" w:after="0"/>
              <w:jc w:val="left"/>
              <w:rPr>
                <w:noProof/>
                <w:sz w:val="22"/>
              </w:rPr>
            </w:pPr>
            <w:r>
              <w:rPr>
                <w:noProof/>
                <w:sz w:val="22"/>
              </w:rPr>
              <w:t xml:space="preserve">23 03 02 01 - Réaction </w:t>
            </w:r>
            <w:r>
              <w:rPr>
                <w:noProof/>
                <w:sz w:val="22"/>
              </w:rPr>
              <w:t>rapide et efficace par des interventions d’urgence en cas de catastrophe majeure au sein de l’Union</w:t>
            </w:r>
          </w:p>
        </w:tc>
        <w:tc>
          <w:tcPr>
            <w:tcW w:w="1080" w:type="dxa"/>
            <w:vAlign w:val="center"/>
          </w:tcPr>
          <w:p w:rsidR="00824C36" w:rsidRDefault="00B97963">
            <w:pPr>
              <w:jc w:val="center"/>
              <w:rPr>
                <w:noProof/>
                <w:color w:val="0000FF"/>
                <w:sz w:val="22"/>
              </w:rPr>
            </w:pPr>
            <w:r>
              <w:rPr>
                <w:noProof/>
                <w:sz w:val="22"/>
              </w:rPr>
              <w:t>CD</w:t>
            </w:r>
          </w:p>
        </w:tc>
        <w:tc>
          <w:tcPr>
            <w:tcW w:w="956" w:type="dxa"/>
            <w:vAlign w:val="center"/>
          </w:tcPr>
          <w:p w:rsidR="00824C36" w:rsidRDefault="00B97963">
            <w:pPr>
              <w:jc w:val="center"/>
              <w:rPr>
                <w:noProof/>
                <w:sz w:val="22"/>
              </w:rPr>
            </w:pPr>
            <w:r>
              <w:rPr>
                <w:noProof/>
                <w:sz w:val="22"/>
              </w:rPr>
              <w:t>OUI</w:t>
            </w:r>
          </w:p>
        </w:tc>
        <w:tc>
          <w:tcPr>
            <w:tcW w:w="1080" w:type="dxa"/>
            <w:vAlign w:val="center"/>
          </w:tcPr>
          <w:p w:rsidR="00824C36" w:rsidRDefault="00B97963">
            <w:pPr>
              <w:jc w:val="center"/>
              <w:rPr>
                <w:noProof/>
                <w:sz w:val="22"/>
              </w:rPr>
            </w:pPr>
            <w:r>
              <w:rPr>
                <w:noProof/>
                <w:sz w:val="22"/>
              </w:rPr>
              <w:t>OUI</w:t>
            </w:r>
          </w:p>
        </w:tc>
        <w:tc>
          <w:tcPr>
            <w:tcW w:w="956" w:type="dxa"/>
            <w:vAlign w:val="center"/>
          </w:tcPr>
          <w:p w:rsidR="00824C36" w:rsidRDefault="00B97963">
            <w:pPr>
              <w:jc w:val="center"/>
              <w:rPr>
                <w:noProof/>
                <w:sz w:val="22"/>
              </w:rPr>
            </w:pPr>
            <w:r>
              <w:rPr>
                <w:noProof/>
                <w:sz w:val="22"/>
              </w:rPr>
              <w:t>NON</w:t>
            </w:r>
          </w:p>
        </w:tc>
        <w:tc>
          <w:tcPr>
            <w:tcW w:w="1448" w:type="dxa"/>
            <w:vAlign w:val="center"/>
          </w:tcPr>
          <w:p w:rsidR="00824C36" w:rsidRDefault="00B97963">
            <w:pPr>
              <w:jc w:val="center"/>
              <w:rPr>
                <w:noProof/>
                <w:sz w:val="22"/>
              </w:rPr>
            </w:pPr>
            <w:r>
              <w:rPr>
                <w:noProof/>
                <w:sz w:val="22"/>
              </w:rPr>
              <w:t>NON</w:t>
            </w:r>
          </w:p>
        </w:tc>
      </w:tr>
      <w:tr w:rsidR="00824C36">
        <w:tc>
          <w:tcPr>
            <w:tcW w:w="1080" w:type="dxa"/>
            <w:vAlign w:val="center"/>
          </w:tcPr>
          <w:p w:rsidR="00824C36" w:rsidRDefault="00B97963">
            <w:pPr>
              <w:jc w:val="center"/>
              <w:rPr>
                <w:noProof/>
                <w:sz w:val="22"/>
              </w:rPr>
            </w:pPr>
            <w:r>
              <w:rPr>
                <w:noProof/>
                <w:sz w:val="22"/>
              </w:rPr>
              <w:t>4</w:t>
            </w:r>
          </w:p>
        </w:tc>
        <w:tc>
          <w:tcPr>
            <w:tcW w:w="3960" w:type="dxa"/>
            <w:vAlign w:val="center"/>
          </w:tcPr>
          <w:p w:rsidR="00824C36" w:rsidRDefault="00B97963">
            <w:pPr>
              <w:autoSpaceDE w:val="0"/>
              <w:autoSpaceDN w:val="0"/>
              <w:adjustRightInd w:val="0"/>
              <w:spacing w:before="0" w:after="0"/>
              <w:jc w:val="left"/>
              <w:rPr>
                <w:noProof/>
                <w:sz w:val="22"/>
              </w:rPr>
            </w:pPr>
            <w:r>
              <w:rPr>
                <w:noProof/>
                <w:sz w:val="22"/>
              </w:rPr>
              <w:t>23 03 02 02 - Réaction rapide et efficace par des interventions d’urgence en cas de catastrophe majeure dans les pays tiers</w:t>
            </w:r>
          </w:p>
        </w:tc>
        <w:tc>
          <w:tcPr>
            <w:tcW w:w="1080" w:type="dxa"/>
            <w:vAlign w:val="center"/>
          </w:tcPr>
          <w:p w:rsidR="00824C36" w:rsidRDefault="00B97963">
            <w:pPr>
              <w:jc w:val="center"/>
              <w:rPr>
                <w:noProof/>
                <w:color w:val="0000FF"/>
                <w:sz w:val="22"/>
              </w:rPr>
            </w:pPr>
            <w:r>
              <w:rPr>
                <w:noProof/>
                <w:sz w:val="22"/>
              </w:rPr>
              <w:t>CD</w:t>
            </w:r>
          </w:p>
        </w:tc>
        <w:tc>
          <w:tcPr>
            <w:tcW w:w="956" w:type="dxa"/>
            <w:vAlign w:val="center"/>
          </w:tcPr>
          <w:p w:rsidR="00824C36" w:rsidRDefault="00B97963">
            <w:pPr>
              <w:jc w:val="center"/>
              <w:rPr>
                <w:noProof/>
                <w:sz w:val="22"/>
              </w:rPr>
            </w:pPr>
            <w:r>
              <w:rPr>
                <w:noProof/>
                <w:sz w:val="22"/>
              </w:rPr>
              <w:t>OUI</w:t>
            </w:r>
          </w:p>
        </w:tc>
        <w:tc>
          <w:tcPr>
            <w:tcW w:w="1080" w:type="dxa"/>
            <w:vAlign w:val="center"/>
          </w:tcPr>
          <w:p w:rsidR="00824C36" w:rsidRDefault="00B97963">
            <w:pPr>
              <w:jc w:val="center"/>
              <w:rPr>
                <w:noProof/>
                <w:sz w:val="22"/>
              </w:rPr>
            </w:pPr>
            <w:r>
              <w:rPr>
                <w:noProof/>
                <w:sz w:val="22"/>
              </w:rPr>
              <w:t>OUI</w:t>
            </w:r>
          </w:p>
        </w:tc>
        <w:tc>
          <w:tcPr>
            <w:tcW w:w="956" w:type="dxa"/>
            <w:vAlign w:val="center"/>
          </w:tcPr>
          <w:p w:rsidR="00824C36" w:rsidRDefault="00B97963">
            <w:pPr>
              <w:jc w:val="center"/>
              <w:rPr>
                <w:noProof/>
                <w:sz w:val="22"/>
              </w:rPr>
            </w:pPr>
            <w:r>
              <w:rPr>
                <w:noProof/>
                <w:sz w:val="22"/>
              </w:rPr>
              <w:t>NON</w:t>
            </w:r>
          </w:p>
        </w:tc>
        <w:tc>
          <w:tcPr>
            <w:tcW w:w="1448" w:type="dxa"/>
            <w:vAlign w:val="center"/>
          </w:tcPr>
          <w:p w:rsidR="00824C36" w:rsidRDefault="00B97963">
            <w:pPr>
              <w:jc w:val="center"/>
              <w:rPr>
                <w:noProof/>
                <w:sz w:val="22"/>
              </w:rPr>
            </w:pPr>
            <w:r>
              <w:rPr>
                <w:noProof/>
                <w:sz w:val="22"/>
              </w:rPr>
              <w:t>NON</w:t>
            </w:r>
          </w:p>
        </w:tc>
      </w:tr>
      <w:tr w:rsidR="00824C36">
        <w:tc>
          <w:tcPr>
            <w:tcW w:w="1080" w:type="dxa"/>
            <w:vAlign w:val="center"/>
          </w:tcPr>
          <w:p w:rsidR="00824C36" w:rsidRDefault="00B97963">
            <w:pPr>
              <w:jc w:val="center"/>
              <w:rPr>
                <w:noProof/>
                <w:sz w:val="22"/>
              </w:rPr>
            </w:pPr>
            <w:r>
              <w:rPr>
                <w:noProof/>
                <w:sz w:val="22"/>
              </w:rPr>
              <w:t>4</w:t>
            </w:r>
          </w:p>
        </w:tc>
        <w:tc>
          <w:tcPr>
            <w:tcW w:w="3960" w:type="dxa"/>
            <w:vAlign w:val="center"/>
          </w:tcPr>
          <w:p w:rsidR="00824C36" w:rsidRDefault="00B97963">
            <w:pPr>
              <w:autoSpaceDE w:val="0"/>
              <w:autoSpaceDN w:val="0"/>
              <w:adjustRightInd w:val="0"/>
              <w:spacing w:before="0" w:after="0"/>
              <w:jc w:val="left"/>
              <w:rPr>
                <w:noProof/>
                <w:sz w:val="22"/>
              </w:rPr>
            </w:pPr>
            <w:r>
              <w:rPr>
                <w:noProof/>
                <w:sz w:val="22"/>
              </w:rPr>
              <w:t>23 01 04 - Dépenses d’appui aux actions et aux programmes dans le domaine politique «Aide humanitaire et protection civile»</w:t>
            </w:r>
          </w:p>
        </w:tc>
        <w:tc>
          <w:tcPr>
            <w:tcW w:w="1080" w:type="dxa"/>
            <w:vAlign w:val="center"/>
          </w:tcPr>
          <w:p w:rsidR="00824C36" w:rsidRDefault="00B97963">
            <w:pPr>
              <w:jc w:val="center"/>
              <w:rPr>
                <w:noProof/>
                <w:sz w:val="22"/>
              </w:rPr>
            </w:pPr>
            <w:r>
              <w:rPr>
                <w:noProof/>
                <w:sz w:val="22"/>
              </w:rPr>
              <w:t>CND</w:t>
            </w:r>
          </w:p>
        </w:tc>
        <w:tc>
          <w:tcPr>
            <w:tcW w:w="956" w:type="dxa"/>
            <w:vAlign w:val="center"/>
          </w:tcPr>
          <w:p w:rsidR="00824C36" w:rsidRDefault="00B97963">
            <w:pPr>
              <w:jc w:val="center"/>
              <w:rPr>
                <w:noProof/>
                <w:sz w:val="22"/>
              </w:rPr>
            </w:pPr>
            <w:r>
              <w:rPr>
                <w:noProof/>
                <w:sz w:val="22"/>
              </w:rPr>
              <w:t>NON</w:t>
            </w:r>
          </w:p>
        </w:tc>
        <w:tc>
          <w:tcPr>
            <w:tcW w:w="1080" w:type="dxa"/>
            <w:vAlign w:val="center"/>
          </w:tcPr>
          <w:p w:rsidR="00824C36" w:rsidRDefault="00B97963">
            <w:pPr>
              <w:jc w:val="center"/>
              <w:rPr>
                <w:noProof/>
                <w:sz w:val="22"/>
              </w:rPr>
            </w:pPr>
            <w:r>
              <w:rPr>
                <w:noProof/>
                <w:sz w:val="22"/>
              </w:rPr>
              <w:t>NON</w:t>
            </w:r>
          </w:p>
        </w:tc>
        <w:tc>
          <w:tcPr>
            <w:tcW w:w="956" w:type="dxa"/>
            <w:vAlign w:val="center"/>
          </w:tcPr>
          <w:p w:rsidR="00824C36" w:rsidRDefault="00B97963">
            <w:pPr>
              <w:jc w:val="center"/>
              <w:rPr>
                <w:noProof/>
                <w:sz w:val="22"/>
              </w:rPr>
            </w:pPr>
            <w:r>
              <w:rPr>
                <w:noProof/>
                <w:sz w:val="22"/>
              </w:rPr>
              <w:t>NON</w:t>
            </w:r>
          </w:p>
        </w:tc>
        <w:tc>
          <w:tcPr>
            <w:tcW w:w="1448" w:type="dxa"/>
            <w:vAlign w:val="center"/>
          </w:tcPr>
          <w:p w:rsidR="00824C36" w:rsidRDefault="00B97963">
            <w:pPr>
              <w:jc w:val="center"/>
              <w:rPr>
                <w:noProof/>
                <w:sz w:val="22"/>
              </w:rPr>
            </w:pPr>
            <w:r>
              <w:rPr>
                <w:noProof/>
                <w:sz w:val="22"/>
              </w:rPr>
              <w:t>NON</w:t>
            </w:r>
          </w:p>
        </w:tc>
      </w:tr>
    </w:tbl>
    <w:p w:rsidR="00824C36" w:rsidRDefault="00824C36">
      <w:pPr>
        <w:rPr>
          <w:noProof/>
        </w:rPr>
        <w:sectPr w:rsidR="00824C36" w:rsidSect="00B97963">
          <w:pgSz w:w="11907" w:h="16840" w:code="1"/>
          <w:pgMar w:top="1134" w:right="1418" w:bottom="1134" w:left="1418" w:header="709" w:footer="709" w:gutter="0"/>
          <w:cols w:space="708"/>
          <w:docGrid w:linePitch="360"/>
        </w:sectPr>
      </w:pPr>
    </w:p>
    <w:p w:rsidR="00824C36" w:rsidRDefault="00B97963">
      <w:pPr>
        <w:pStyle w:val="ManualNumPar2"/>
        <w:rPr>
          <w:noProof/>
        </w:rPr>
      </w:pPr>
      <w:r>
        <w:t>3.2.</w:t>
      </w:r>
      <w:r>
        <w:tab/>
      </w:r>
      <w:r>
        <w:rPr>
          <w:noProof/>
        </w:rPr>
        <w:t xml:space="preserve">Incidence estimée sur les dépenses </w:t>
      </w:r>
    </w:p>
    <w:p w:rsidR="00824C36" w:rsidRDefault="00B97963">
      <w:pPr>
        <w:pStyle w:val="ManualNumPar3"/>
        <w:rPr>
          <w:noProof/>
          <w:u w:val="single"/>
        </w:rPr>
      </w:pPr>
      <w:r>
        <w:t>3.2.1.</w:t>
      </w:r>
      <w:r>
        <w:tab/>
      </w:r>
      <w:r>
        <w:rPr>
          <w:noProof/>
        </w:rPr>
        <w:t xml:space="preserve">Synthèse de l'incidence estimée sur les dépenses </w:t>
      </w:r>
    </w:p>
    <w:p w:rsidR="00824C36" w:rsidRDefault="00B97963">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824C36">
        <w:trPr>
          <w:jc w:val="center"/>
        </w:trPr>
        <w:tc>
          <w:tcPr>
            <w:tcW w:w="4744" w:type="dxa"/>
            <w:shd w:val="thinDiagStripe" w:color="C0C0C0" w:fill="auto"/>
            <w:vAlign w:val="center"/>
          </w:tcPr>
          <w:p w:rsidR="00824C36" w:rsidRDefault="00B97963">
            <w:pPr>
              <w:spacing w:before="60" w:after="60"/>
              <w:jc w:val="center"/>
              <w:rPr>
                <w:b/>
                <w:noProof/>
                <w:sz w:val="22"/>
              </w:rPr>
            </w:pPr>
            <w:r>
              <w:rPr>
                <w:b/>
                <w:noProof/>
                <w:sz w:val="22"/>
              </w:rPr>
              <w:t xml:space="preserve">Rubrique du cadre financier </w:t>
            </w:r>
            <w:r>
              <w:rPr>
                <w:noProof/>
                <w:sz w:val="22"/>
              </w:rPr>
              <w:br/>
            </w:r>
            <w:r>
              <w:rPr>
                <w:b/>
                <w:noProof/>
                <w:sz w:val="22"/>
              </w:rPr>
              <w:t xml:space="preserve">pluriannuel </w:t>
            </w:r>
          </w:p>
        </w:tc>
        <w:tc>
          <w:tcPr>
            <w:tcW w:w="1080" w:type="dxa"/>
            <w:vAlign w:val="center"/>
          </w:tcPr>
          <w:p w:rsidR="00824C36" w:rsidRDefault="00B97963">
            <w:pPr>
              <w:spacing w:before="60" w:after="60"/>
              <w:jc w:val="center"/>
              <w:rPr>
                <w:noProof/>
                <w:sz w:val="22"/>
              </w:rPr>
            </w:pPr>
            <w:r>
              <w:rPr>
                <w:noProof/>
                <w:sz w:val="22"/>
              </w:rPr>
              <w:t>Numéro</w:t>
            </w:r>
          </w:p>
        </w:tc>
        <w:tc>
          <w:tcPr>
            <w:tcW w:w="7817" w:type="dxa"/>
            <w:vAlign w:val="center"/>
          </w:tcPr>
          <w:p w:rsidR="00824C36" w:rsidRDefault="00B97963">
            <w:pPr>
              <w:spacing w:before="60" w:after="60"/>
              <w:rPr>
                <w:noProof/>
                <w:sz w:val="22"/>
              </w:rPr>
            </w:pPr>
            <w:r>
              <w:rPr>
                <w:noProof/>
              </w:rPr>
              <w:t>Rubrique 3 - Sécurité et citoyenneté</w:t>
            </w:r>
          </w:p>
        </w:tc>
      </w:tr>
    </w:tbl>
    <w:p w:rsidR="00824C36" w:rsidRDefault="00824C36">
      <w:pPr>
        <w:rPr>
          <w:noProof/>
          <w:sz w:val="16"/>
        </w:rPr>
      </w:pPr>
    </w:p>
    <w:tbl>
      <w:tblPr>
        <w:tblW w:w="0" w:type="auto"/>
        <w:jc w:val="center"/>
        <w:tblInd w:w="-2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3"/>
        <w:gridCol w:w="1417"/>
        <w:gridCol w:w="851"/>
        <w:gridCol w:w="1134"/>
        <w:gridCol w:w="1134"/>
        <w:gridCol w:w="1134"/>
        <w:gridCol w:w="1777"/>
      </w:tblGrid>
      <w:tr w:rsidR="00824C36">
        <w:trPr>
          <w:jc w:val="center"/>
        </w:trPr>
        <w:tc>
          <w:tcPr>
            <w:tcW w:w="5543" w:type="dxa"/>
            <w:vAlign w:val="center"/>
          </w:tcPr>
          <w:p w:rsidR="00824C36" w:rsidRDefault="00B97963">
            <w:pPr>
              <w:jc w:val="center"/>
              <w:rPr>
                <w:b/>
                <w:noProof/>
                <w:sz w:val="22"/>
              </w:rPr>
            </w:pPr>
            <w:r>
              <w:rPr>
                <w:b/>
                <w:noProof/>
                <w:sz w:val="22"/>
              </w:rPr>
              <w:t>DG ECHO – Protection civile et opérations d’aide humanitaire européennes</w:t>
            </w:r>
          </w:p>
        </w:tc>
        <w:tc>
          <w:tcPr>
            <w:tcW w:w="1417" w:type="dxa"/>
          </w:tcPr>
          <w:p w:rsidR="00824C36" w:rsidRDefault="00824C36">
            <w:pPr>
              <w:rPr>
                <w:noProof/>
                <w:sz w:val="20"/>
              </w:rPr>
            </w:pPr>
          </w:p>
        </w:tc>
        <w:tc>
          <w:tcPr>
            <w:tcW w:w="851" w:type="dxa"/>
          </w:tcPr>
          <w:p w:rsidR="00824C36" w:rsidRDefault="00824C36">
            <w:pPr>
              <w:jc w:val="center"/>
              <w:rPr>
                <w:noProof/>
                <w:sz w:val="20"/>
              </w:rPr>
            </w:pPr>
          </w:p>
        </w:tc>
        <w:tc>
          <w:tcPr>
            <w:tcW w:w="1134" w:type="dxa"/>
            <w:vAlign w:val="center"/>
          </w:tcPr>
          <w:p w:rsidR="00824C36" w:rsidRDefault="00B97963">
            <w:pPr>
              <w:jc w:val="center"/>
              <w:rPr>
                <w:noProof/>
                <w:sz w:val="20"/>
              </w:rPr>
            </w:pPr>
            <w:r>
              <w:rPr>
                <w:noProof/>
                <w:sz w:val="20"/>
              </w:rPr>
              <w:t>2018</w:t>
            </w:r>
          </w:p>
        </w:tc>
        <w:tc>
          <w:tcPr>
            <w:tcW w:w="1134" w:type="dxa"/>
            <w:vAlign w:val="center"/>
          </w:tcPr>
          <w:p w:rsidR="00824C36" w:rsidRDefault="00B97963">
            <w:pPr>
              <w:jc w:val="center"/>
              <w:rPr>
                <w:noProof/>
                <w:sz w:val="20"/>
              </w:rPr>
            </w:pPr>
            <w:r>
              <w:rPr>
                <w:noProof/>
                <w:sz w:val="20"/>
              </w:rPr>
              <w:t>2019</w:t>
            </w:r>
          </w:p>
        </w:tc>
        <w:tc>
          <w:tcPr>
            <w:tcW w:w="1134" w:type="dxa"/>
            <w:vAlign w:val="center"/>
          </w:tcPr>
          <w:p w:rsidR="00824C36" w:rsidRDefault="00B97963">
            <w:pPr>
              <w:jc w:val="center"/>
              <w:rPr>
                <w:noProof/>
                <w:sz w:val="20"/>
              </w:rPr>
            </w:pPr>
            <w:r>
              <w:rPr>
                <w:noProof/>
                <w:sz w:val="20"/>
              </w:rPr>
              <w:t>2020</w:t>
            </w:r>
          </w:p>
        </w:tc>
        <w:tc>
          <w:tcPr>
            <w:tcW w:w="1777" w:type="dxa"/>
            <w:vAlign w:val="center"/>
          </w:tcPr>
          <w:p w:rsidR="00824C36" w:rsidRDefault="00B97963">
            <w:pPr>
              <w:jc w:val="center"/>
              <w:rPr>
                <w:b/>
                <w:noProof/>
                <w:sz w:val="20"/>
              </w:rPr>
            </w:pPr>
            <w:r>
              <w:rPr>
                <w:b/>
                <w:noProof/>
                <w:sz w:val="20"/>
              </w:rPr>
              <w:t>TOTAL</w:t>
            </w:r>
          </w:p>
        </w:tc>
      </w:tr>
      <w:tr w:rsidR="00824C36">
        <w:trPr>
          <w:trHeight w:val="213"/>
          <w:jc w:val="center"/>
        </w:trPr>
        <w:tc>
          <w:tcPr>
            <w:tcW w:w="7811" w:type="dxa"/>
            <w:gridSpan w:val="3"/>
            <w:vAlign w:val="center"/>
          </w:tcPr>
          <w:p w:rsidR="00824C36" w:rsidRDefault="00B97963">
            <w:pPr>
              <w:spacing w:before="20" w:after="20"/>
              <w:rPr>
                <w:noProof/>
                <w:sz w:val="21"/>
              </w:rPr>
            </w:pPr>
            <w:r>
              <w:rPr>
                <w:noProof/>
                <w:sz w:val="21"/>
              </w:rPr>
              <w:sym w:font="Wingdings" w:char="F09F"/>
            </w:r>
            <w:r>
              <w:rPr>
                <w:noProof/>
                <w:sz w:val="21"/>
              </w:rPr>
              <w:t xml:space="preserve"> Crédits opérationnels </w:t>
            </w:r>
          </w:p>
        </w:tc>
        <w:tc>
          <w:tcPr>
            <w:tcW w:w="1134" w:type="dxa"/>
            <w:vAlign w:val="center"/>
          </w:tcPr>
          <w:p w:rsidR="00824C36" w:rsidRDefault="00824C36">
            <w:pPr>
              <w:rPr>
                <w:noProof/>
                <w:sz w:val="20"/>
              </w:rPr>
            </w:pPr>
          </w:p>
        </w:tc>
        <w:tc>
          <w:tcPr>
            <w:tcW w:w="1134" w:type="dxa"/>
            <w:vAlign w:val="center"/>
          </w:tcPr>
          <w:p w:rsidR="00824C36" w:rsidRDefault="00824C36">
            <w:pPr>
              <w:rPr>
                <w:noProof/>
                <w:sz w:val="20"/>
              </w:rPr>
            </w:pPr>
          </w:p>
        </w:tc>
        <w:tc>
          <w:tcPr>
            <w:tcW w:w="1134" w:type="dxa"/>
            <w:vAlign w:val="center"/>
          </w:tcPr>
          <w:p w:rsidR="00824C36" w:rsidRDefault="00824C36">
            <w:pPr>
              <w:rPr>
                <w:noProof/>
                <w:sz w:val="20"/>
              </w:rPr>
            </w:pPr>
          </w:p>
        </w:tc>
        <w:tc>
          <w:tcPr>
            <w:tcW w:w="1777" w:type="dxa"/>
            <w:vAlign w:val="center"/>
          </w:tcPr>
          <w:p w:rsidR="00824C36" w:rsidRDefault="00824C36">
            <w:pPr>
              <w:rPr>
                <w:b/>
                <w:noProof/>
                <w:sz w:val="20"/>
              </w:rPr>
            </w:pPr>
          </w:p>
        </w:tc>
      </w:tr>
      <w:tr w:rsidR="00824C36">
        <w:trPr>
          <w:trHeight w:val="277"/>
          <w:jc w:val="center"/>
        </w:trPr>
        <w:tc>
          <w:tcPr>
            <w:tcW w:w="5543" w:type="dxa"/>
            <w:vMerge w:val="restart"/>
            <w:vAlign w:val="center"/>
          </w:tcPr>
          <w:p w:rsidR="00824C36" w:rsidRDefault="00B97963">
            <w:pPr>
              <w:rPr>
                <w:noProof/>
                <w:sz w:val="22"/>
              </w:rPr>
            </w:pPr>
            <w:r>
              <w:rPr>
                <w:noProof/>
                <w:sz w:val="20"/>
              </w:rPr>
              <w:t>23 03 01 01</w:t>
            </w:r>
          </w:p>
        </w:tc>
        <w:tc>
          <w:tcPr>
            <w:tcW w:w="1417" w:type="dxa"/>
            <w:vAlign w:val="center"/>
          </w:tcPr>
          <w:p w:rsidR="00824C36" w:rsidRDefault="00B97963">
            <w:pPr>
              <w:spacing w:before="20" w:after="20"/>
              <w:rPr>
                <w:noProof/>
                <w:sz w:val="18"/>
              </w:rPr>
            </w:pPr>
            <w:r>
              <w:rPr>
                <w:noProof/>
                <w:sz w:val="18"/>
              </w:rPr>
              <w:t>Engagements</w:t>
            </w:r>
          </w:p>
        </w:tc>
        <w:tc>
          <w:tcPr>
            <w:tcW w:w="851" w:type="dxa"/>
            <w:vAlign w:val="center"/>
          </w:tcPr>
          <w:p w:rsidR="00824C36" w:rsidRDefault="00B97963">
            <w:pPr>
              <w:spacing w:before="20" w:after="20"/>
              <w:jc w:val="center"/>
              <w:rPr>
                <w:noProof/>
                <w:sz w:val="14"/>
              </w:rPr>
            </w:pPr>
            <w:r>
              <w:rPr>
                <w:noProof/>
                <w:sz w:val="14"/>
              </w:rPr>
              <w:t>1)</w:t>
            </w:r>
          </w:p>
        </w:tc>
        <w:tc>
          <w:tcPr>
            <w:tcW w:w="1134" w:type="dxa"/>
            <w:vAlign w:val="bottom"/>
          </w:tcPr>
          <w:p w:rsidR="00824C36" w:rsidRDefault="00B97963">
            <w:pPr>
              <w:spacing w:before="20" w:after="20"/>
              <w:jc w:val="right"/>
              <w:rPr>
                <w:noProof/>
                <w:sz w:val="20"/>
              </w:rPr>
            </w:pPr>
            <w:r>
              <w:rPr>
                <w:noProof/>
                <w:sz w:val="20"/>
              </w:rPr>
              <w:t>14,000</w:t>
            </w:r>
          </w:p>
        </w:tc>
        <w:tc>
          <w:tcPr>
            <w:tcW w:w="1134" w:type="dxa"/>
            <w:vAlign w:val="bottom"/>
          </w:tcPr>
          <w:p w:rsidR="00824C36" w:rsidRDefault="00B97963">
            <w:pPr>
              <w:spacing w:before="20" w:after="20"/>
              <w:jc w:val="right"/>
              <w:rPr>
                <w:noProof/>
                <w:sz w:val="20"/>
              </w:rPr>
            </w:pPr>
            <w:r>
              <w:rPr>
                <w:noProof/>
                <w:sz w:val="20"/>
              </w:rPr>
              <w:t>105,900</w:t>
            </w:r>
          </w:p>
        </w:tc>
        <w:tc>
          <w:tcPr>
            <w:tcW w:w="1134" w:type="dxa"/>
            <w:vAlign w:val="bottom"/>
          </w:tcPr>
          <w:p w:rsidR="00824C36" w:rsidRDefault="00B97963">
            <w:pPr>
              <w:spacing w:before="20" w:after="20"/>
              <w:jc w:val="right"/>
              <w:rPr>
                <w:noProof/>
                <w:sz w:val="20"/>
              </w:rPr>
            </w:pPr>
            <w:r>
              <w:rPr>
                <w:noProof/>
                <w:sz w:val="20"/>
              </w:rPr>
              <w:t>109,279</w:t>
            </w:r>
          </w:p>
        </w:tc>
        <w:tc>
          <w:tcPr>
            <w:tcW w:w="1777" w:type="dxa"/>
            <w:vAlign w:val="bottom"/>
          </w:tcPr>
          <w:p w:rsidR="00824C36" w:rsidRDefault="00B97963">
            <w:pPr>
              <w:spacing w:before="20" w:after="20"/>
              <w:jc w:val="right"/>
              <w:rPr>
                <w:b/>
                <w:noProof/>
                <w:sz w:val="20"/>
              </w:rPr>
            </w:pPr>
            <w:r>
              <w:rPr>
                <w:b/>
                <w:noProof/>
                <w:sz w:val="20"/>
              </w:rPr>
              <w:t>229,179</w:t>
            </w:r>
          </w:p>
        </w:tc>
      </w:tr>
      <w:tr w:rsidR="00824C36">
        <w:trPr>
          <w:jc w:val="center"/>
        </w:trPr>
        <w:tc>
          <w:tcPr>
            <w:tcW w:w="5543" w:type="dxa"/>
            <w:vMerge/>
          </w:tcPr>
          <w:p w:rsidR="00824C36" w:rsidRDefault="00824C36">
            <w:pPr>
              <w:jc w:val="center"/>
              <w:rPr>
                <w:noProof/>
                <w:sz w:val="20"/>
              </w:rPr>
            </w:pPr>
          </w:p>
        </w:tc>
        <w:tc>
          <w:tcPr>
            <w:tcW w:w="1417" w:type="dxa"/>
            <w:vAlign w:val="center"/>
          </w:tcPr>
          <w:p w:rsidR="00824C36" w:rsidRDefault="00B97963">
            <w:pPr>
              <w:spacing w:before="20" w:after="20"/>
              <w:rPr>
                <w:noProof/>
                <w:sz w:val="18"/>
              </w:rPr>
            </w:pPr>
            <w:r>
              <w:rPr>
                <w:noProof/>
                <w:sz w:val="18"/>
              </w:rPr>
              <w:t>Paiements</w:t>
            </w:r>
          </w:p>
        </w:tc>
        <w:tc>
          <w:tcPr>
            <w:tcW w:w="851" w:type="dxa"/>
            <w:vAlign w:val="center"/>
          </w:tcPr>
          <w:p w:rsidR="00824C36" w:rsidRDefault="00B97963">
            <w:pPr>
              <w:spacing w:before="20" w:after="20"/>
              <w:jc w:val="center"/>
              <w:rPr>
                <w:noProof/>
                <w:sz w:val="14"/>
              </w:rPr>
            </w:pPr>
            <w:r>
              <w:rPr>
                <w:noProof/>
                <w:sz w:val="14"/>
              </w:rPr>
              <w:t>2)</w:t>
            </w:r>
          </w:p>
        </w:tc>
        <w:tc>
          <w:tcPr>
            <w:tcW w:w="1134" w:type="dxa"/>
            <w:vAlign w:val="bottom"/>
          </w:tcPr>
          <w:p w:rsidR="00824C36" w:rsidRDefault="00B97963">
            <w:pPr>
              <w:spacing w:before="20" w:after="20"/>
              <w:jc w:val="right"/>
              <w:rPr>
                <w:noProof/>
                <w:sz w:val="20"/>
              </w:rPr>
            </w:pPr>
            <w:r>
              <w:rPr>
                <w:noProof/>
                <w:sz w:val="20"/>
              </w:rPr>
              <w:t>7,000</w:t>
            </w:r>
          </w:p>
        </w:tc>
        <w:tc>
          <w:tcPr>
            <w:tcW w:w="1134" w:type="dxa"/>
            <w:vAlign w:val="bottom"/>
          </w:tcPr>
          <w:p w:rsidR="00824C36" w:rsidRDefault="00B97963">
            <w:pPr>
              <w:spacing w:before="20" w:after="20"/>
              <w:jc w:val="right"/>
              <w:rPr>
                <w:noProof/>
                <w:sz w:val="20"/>
              </w:rPr>
            </w:pPr>
            <w:r>
              <w:rPr>
                <w:noProof/>
                <w:sz w:val="20"/>
              </w:rPr>
              <w:t>46,560</w:t>
            </w:r>
          </w:p>
        </w:tc>
        <w:tc>
          <w:tcPr>
            <w:tcW w:w="1134" w:type="dxa"/>
            <w:vAlign w:val="bottom"/>
          </w:tcPr>
          <w:p w:rsidR="00824C36" w:rsidRDefault="00B97963">
            <w:pPr>
              <w:spacing w:before="20" w:after="20"/>
              <w:jc w:val="right"/>
              <w:rPr>
                <w:noProof/>
                <w:sz w:val="20"/>
              </w:rPr>
            </w:pPr>
            <w:r>
              <w:rPr>
                <w:noProof/>
                <w:sz w:val="20"/>
              </w:rPr>
              <w:t>104,395</w:t>
            </w:r>
          </w:p>
        </w:tc>
        <w:tc>
          <w:tcPr>
            <w:tcW w:w="1777" w:type="dxa"/>
            <w:vAlign w:val="bottom"/>
          </w:tcPr>
          <w:p w:rsidR="00824C36" w:rsidRDefault="00B97963">
            <w:pPr>
              <w:spacing w:before="20" w:after="20"/>
              <w:jc w:val="right"/>
              <w:rPr>
                <w:b/>
                <w:noProof/>
                <w:sz w:val="20"/>
              </w:rPr>
            </w:pPr>
            <w:r>
              <w:rPr>
                <w:b/>
                <w:noProof/>
                <w:sz w:val="20"/>
              </w:rPr>
              <w:t>157,955</w:t>
            </w:r>
          </w:p>
        </w:tc>
      </w:tr>
      <w:tr w:rsidR="00824C36">
        <w:trPr>
          <w:jc w:val="center"/>
        </w:trPr>
        <w:tc>
          <w:tcPr>
            <w:tcW w:w="5543" w:type="dxa"/>
            <w:vMerge w:val="restart"/>
            <w:vAlign w:val="center"/>
          </w:tcPr>
          <w:p w:rsidR="00824C36" w:rsidRDefault="00B97963">
            <w:pPr>
              <w:rPr>
                <w:noProof/>
                <w:sz w:val="22"/>
              </w:rPr>
            </w:pPr>
            <w:r>
              <w:rPr>
                <w:noProof/>
                <w:sz w:val="20"/>
              </w:rPr>
              <w:t>23 03 02 01</w:t>
            </w:r>
          </w:p>
        </w:tc>
        <w:tc>
          <w:tcPr>
            <w:tcW w:w="1417" w:type="dxa"/>
            <w:vAlign w:val="center"/>
          </w:tcPr>
          <w:p w:rsidR="00824C36" w:rsidRDefault="00B97963">
            <w:pPr>
              <w:spacing w:before="20" w:after="20"/>
              <w:rPr>
                <w:noProof/>
                <w:sz w:val="18"/>
              </w:rPr>
            </w:pPr>
            <w:r>
              <w:rPr>
                <w:noProof/>
                <w:sz w:val="18"/>
              </w:rPr>
              <w:t>Engagements</w:t>
            </w:r>
          </w:p>
        </w:tc>
        <w:tc>
          <w:tcPr>
            <w:tcW w:w="851" w:type="dxa"/>
            <w:vAlign w:val="center"/>
          </w:tcPr>
          <w:p w:rsidR="00824C36" w:rsidRDefault="00B97963">
            <w:pPr>
              <w:spacing w:before="20" w:after="20"/>
              <w:jc w:val="center"/>
              <w:rPr>
                <w:noProof/>
                <w:sz w:val="14"/>
              </w:rPr>
            </w:pPr>
            <w:r>
              <w:rPr>
                <w:noProof/>
                <w:sz w:val="14"/>
              </w:rPr>
              <w:t>1a)</w:t>
            </w:r>
          </w:p>
        </w:tc>
        <w:tc>
          <w:tcPr>
            <w:tcW w:w="1134" w:type="dxa"/>
          </w:tcPr>
          <w:p w:rsidR="00824C36" w:rsidRDefault="00B97963">
            <w:pPr>
              <w:spacing w:before="20" w:after="20"/>
              <w:jc w:val="right"/>
              <w:rPr>
                <w:noProof/>
                <w:sz w:val="20"/>
              </w:rPr>
            </w:pPr>
            <w:r>
              <w:rPr>
                <w:noProof/>
                <w:sz w:val="20"/>
              </w:rPr>
              <w:t>5,157</w:t>
            </w:r>
          </w:p>
        </w:tc>
        <w:tc>
          <w:tcPr>
            <w:tcW w:w="1134" w:type="dxa"/>
          </w:tcPr>
          <w:p w:rsidR="00824C36" w:rsidRDefault="00B97963">
            <w:pPr>
              <w:spacing w:before="20" w:after="20"/>
              <w:jc w:val="right"/>
              <w:rPr>
                <w:noProof/>
                <w:sz w:val="20"/>
              </w:rPr>
            </w:pPr>
            <w:r>
              <w:rPr>
                <w:noProof/>
                <w:sz w:val="20"/>
              </w:rPr>
              <w:t>9,300</w:t>
            </w:r>
          </w:p>
        </w:tc>
        <w:tc>
          <w:tcPr>
            <w:tcW w:w="1134" w:type="dxa"/>
          </w:tcPr>
          <w:p w:rsidR="00824C36" w:rsidRDefault="00B97963">
            <w:pPr>
              <w:spacing w:before="20" w:after="20"/>
              <w:jc w:val="right"/>
              <w:rPr>
                <w:noProof/>
                <w:sz w:val="20"/>
              </w:rPr>
            </w:pPr>
            <w:r>
              <w:rPr>
                <w:noProof/>
                <w:sz w:val="20"/>
              </w:rPr>
              <w:t>13,218</w:t>
            </w:r>
          </w:p>
        </w:tc>
        <w:tc>
          <w:tcPr>
            <w:tcW w:w="1777" w:type="dxa"/>
          </w:tcPr>
          <w:p w:rsidR="00824C36" w:rsidRDefault="00B97963">
            <w:pPr>
              <w:spacing w:before="20" w:after="20"/>
              <w:jc w:val="right"/>
              <w:rPr>
                <w:b/>
                <w:noProof/>
                <w:sz w:val="20"/>
              </w:rPr>
            </w:pPr>
            <w:r>
              <w:rPr>
                <w:b/>
                <w:noProof/>
                <w:sz w:val="20"/>
              </w:rPr>
              <w:t>27,675</w:t>
            </w:r>
          </w:p>
        </w:tc>
      </w:tr>
      <w:tr w:rsidR="00824C36">
        <w:trPr>
          <w:jc w:val="center"/>
        </w:trPr>
        <w:tc>
          <w:tcPr>
            <w:tcW w:w="5543" w:type="dxa"/>
            <w:vMerge/>
          </w:tcPr>
          <w:p w:rsidR="00824C36" w:rsidRDefault="00824C36">
            <w:pPr>
              <w:jc w:val="center"/>
              <w:rPr>
                <w:noProof/>
                <w:sz w:val="20"/>
              </w:rPr>
            </w:pPr>
          </w:p>
        </w:tc>
        <w:tc>
          <w:tcPr>
            <w:tcW w:w="1417" w:type="dxa"/>
            <w:vAlign w:val="center"/>
          </w:tcPr>
          <w:p w:rsidR="00824C36" w:rsidRDefault="00B97963">
            <w:pPr>
              <w:spacing w:before="20" w:after="20"/>
              <w:rPr>
                <w:noProof/>
                <w:sz w:val="18"/>
              </w:rPr>
            </w:pPr>
            <w:r>
              <w:rPr>
                <w:noProof/>
                <w:sz w:val="18"/>
              </w:rPr>
              <w:t>Paiements</w:t>
            </w:r>
          </w:p>
        </w:tc>
        <w:tc>
          <w:tcPr>
            <w:tcW w:w="851" w:type="dxa"/>
            <w:vAlign w:val="center"/>
          </w:tcPr>
          <w:p w:rsidR="00824C36" w:rsidRDefault="00B97963">
            <w:pPr>
              <w:spacing w:before="20" w:after="20"/>
              <w:jc w:val="center"/>
              <w:rPr>
                <w:noProof/>
                <w:sz w:val="14"/>
              </w:rPr>
            </w:pPr>
            <w:r>
              <w:rPr>
                <w:noProof/>
                <w:sz w:val="14"/>
              </w:rPr>
              <w:t>2a)</w:t>
            </w:r>
          </w:p>
        </w:tc>
        <w:tc>
          <w:tcPr>
            <w:tcW w:w="1134" w:type="dxa"/>
          </w:tcPr>
          <w:p w:rsidR="00824C36" w:rsidRDefault="00B97963">
            <w:pPr>
              <w:spacing w:before="20" w:after="20"/>
              <w:jc w:val="right"/>
              <w:rPr>
                <w:noProof/>
                <w:sz w:val="20"/>
              </w:rPr>
            </w:pPr>
            <w:r>
              <w:rPr>
                <w:noProof/>
                <w:sz w:val="20"/>
              </w:rPr>
              <w:t>4,000</w:t>
            </w:r>
          </w:p>
        </w:tc>
        <w:tc>
          <w:tcPr>
            <w:tcW w:w="1134" w:type="dxa"/>
          </w:tcPr>
          <w:p w:rsidR="00824C36" w:rsidRDefault="00B97963">
            <w:pPr>
              <w:spacing w:before="20" w:after="20"/>
              <w:jc w:val="right"/>
              <w:rPr>
                <w:noProof/>
                <w:sz w:val="20"/>
              </w:rPr>
            </w:pPr>
            <w:r>
              <w:rPr>
                <w:noProof/>
                <w:sz w:val="20"/>
              </w:rPr>
              <w:t>10,000</w:t>
            </w:r>
          </w:p>
        </w:tc>
        <w:tc>
          <w:tcPr>
            <w:tcW w:w="1134" w:type="dxa"/>
          </w:tcPr>
          <w:p w:rsidR="00824C36" w:rsidRDefault="00B97963">
            <w:pPr>
              <w:spacing w:before="20" w:after="20"/>
              <w:jc w:val="right"/>
              <w:rPr>
                <w:noProof/>
                <w:sz w:val="20"/>
              </w:rPr>
            </w:pPr>
            <w:r>
              <w:rPr>
                <w:noProof/>
                <w:sz w:val="20"/>
              </w:rPr>
              <w:t>11,000</w:t>
            </w:r>
          </w:p>
        </w:tc>
        <w:tc>
          <w:tcPr>
            <w:tcW w:w="1777" w:type="dxa"/>
          </w:tcPr>
          <w:p w:rsidR="00824C36" w:rsidRDefault="00B97963">
            <w:pPr>
              <w:spacing w:before="20" w:after="20"/>
              <w:jc w:val="right"/>
              <w:rPr>
                <w:b/>
                <w:noProof/>
                <w:sz w:val="20"/>
              </w:rPr>
            </w:pPr>
            <w:r>
              <w:rPr>
                <w:b/>
                <w:noProof/>
                <w:sz w:val="20"/>
              </w:rPr>
              <w:t>25,000</w:t>
            </w:r>
          </w:p>
        </w:tc>
      </w:tr>
      <w:tr w:rsidR="00824C36">
        <w:trPr>
          <w:trHeight w:val="231"/>
          <w:jc w:val="center"/>
        </w:trPr>
        <w:tc>
          <w:tcPr>
            <w:tcW w:w="7811" w:type="dxa"/>
            <w:gridSpan w:val="3"/>
            <w:vAlign w:val="center"/>
          </w:tcPr>
          <w:p w:rsidR="00824C36" w:rsidRDefault="00B97963">
            <w:pPr>
              <w:spacing w:before="20" w:after="20"/>
              <w:rPr>
                <w:noProof/>
                <w:sz w:val="22"/>
              </w:rPr>
            </w:pPr>
            <w:r>
              <w:rPr>
                <w:noProof/>
                <w:sz w:val="21"/>
              </w:rPr>
              <w:t xml:space="preserve">Crédits de </w:t>
            </w:r>
            <w:r>
              <w:rPr>
                <w:noProof/>
                <w:sz w:val="21"/>
              </w:rPr>
              <w:t>nature administrative financés par l'enveloppe de certains programmes spécifiques</w:t>
            </w:r>
            <w:r>
              <w:rPr>
                <w:rStyle w:val="FootnoteReference"/>
                <w:noProof/>
              </w:rPr>
              <w:footnoteReference w:id="23"/>
            </w:r>
            <w:r>
              <w:rPr>
                <w:noProof/>
                <w:sz w:val="21"/>
              </w:rPr>
              <w:t xml:space="preserve"> </w:t>
            </w:r>
          </w:p>
          <w:p w:rsidR="00824C36" w:rsidRDefault="00824C36">
            <w:pPr>
              <w:spacing w:before="0" w:after="0"/>
              <w:rPr>
                <w:noProof/>
                <w:sz w:val="22"/>
              </w:rPr>
            </w:pPr>
          </w:p>
        </w:tc>
        <w:tc>
          <w:tcPr>
            <w:tcW w:w="1134" w:type="dxa"/>
            <w:vAlign w:val="center"/>
          </w:tcPr>
          <w:p w:rsidR="00824C36" w:rsidRDefault="00824C36">
            <w:pPr>
              <w:rPr>
                <w:b/>
                <w:noProof/>
                <w:sz w:val="20"/>
              </w:rPr>
            </w:pPr>
          </w:p>
        </w:tc>
        <w:tc>
          <w:tcPr>
            <w:tcW w:w="1134" w:type="dxa"/>
            <w:vAlign w:val="center"/>
          </w:tcPr>
          <w:p w:rsidR="00824C36" w:rsidRDefault="00824C36">
            <w:pPr>
              <w:rPr>
                <w:b/>
                <w:noProof/>
                <w:sz w:val="20"/>
              </w:rPr>
            </w:pPr>
          </w:p>
        </w:tc>
        <w:tc>
          <w:tcPr>
            <w:tcW w:w="1134" w:type="dxa"/>
            <w:vAlign w:val="center"/>
          </w:tcPr>
          <w:p w:rsidR="00824C36" w:rsidRDefault="00824C36">
            <w:pPr>
              <w:rPr>
                <w:b/>
                <w:noProof/>
                <w:sz w:val="20"/>
              </w:rPr>
            </w:pPr>
          </w:p>
        </w:tc>
        <w:tc>
          <w:tcPr>
            <w:tcW w:w="1777" w:type="dxa"/>
            <w:vAlign w:val="center"/>
          </w:tcPr>
          <w:p w:rsidR="00824C36" w:rsidRDefault="00824C36">
            <w:pPr>
              <w:rPr>
                <w:b/>
                <w:noProof/>
                <w:sz w:val="20"/>
              </w:rPr>
            </w:pPr>
          </w:p>
        </w:tc>
      </w:tr>
      <w:tr w:rsidR="00824C36">
        <w:trPr>
          <w:trHeight w:val="319"/>
          <w:jc w:val="center"/>
        </w:trPr>
        <w:tc>
          <w:tcPr>
            <w:tcW w:w="5543" w:type="dxa"/>
            <w:vAlign w:val="center"/>
          </w:tcPr>
          <w:p w:rsidR="00824C36" w:rsidRDefault="00B97963">
            <w:pPr>
              <w:spacing w:before="60" w:after="60"/>
              <w:rPr>
                <w:noProof/>
                <w:sz w:val="22"/>
              </w:rPr>
            </w:pPr>
            <w:r>
              <w:rPr>
                <w:noProof/>
                <w:sz w:val="20"/>
              </w:rPr>
              <w:t>Numéro de ligne budgétaire</w:t>
            </w:r>
          </w:p>
        </w:tc>
        <w:tc>
          <w:tcPr>
            <w:tcW w:w="1417" w:type="dxa"/>
            <w:vAlign w:val="center"/>
          </w:tcPr>
          <w:p w:rsidR="00824C36" w:rsidRDefault="00824C36">
            <w:pPr>
              <w:spacing w:before="40" w:after="40"/>
              <w:jc w:val="right"/>
              <w:rPr>
                <w:noProof/>
                <w:sz w:val="18"/>
              </w:rPr>
            </w:pPr>
          </w:p>
        </w:tc>
        <w:tc>
          <w:tcPr>
            <w:tcW w:w="851" w:type="dxa"/>
            <w:vAlign w:val="center"/>
          </w:tcPr>
          <w:p w:rsidR="00824C36" w:rsidRDefault="00B97963">
            <w:pPr>
              <w:spacing w:before="40" w:after="40"/>
              <w:jc w:val="center"/>
              <w:rPr>
                <w:noProof/>
                <w:sz w:val="14"/>
              </w:rPr>
            </w:pPr>
            <w:r>
              <w:rPr>
                <w:noProof/>
                <w:sz w:val="14"/>
              </w:rPr>
              <w:t>3)</w:t>
            </w:r>
          </w:p>
        </w:tc>
        <w:tc>
          <w:tcPr>
            <w:tcW w:w="1134" w:type="dxa"/>
            <w:vAlign w:val="center"/>
          </w:tcPr>
          <w:p w:rsidR="00824C36" w:rsidRDefault="00B97963">
            <w:pPr>
              <w:jc w:val="center"/>
              <w:rPr>
                <w:noProof/>
                <w:sz w:val="20"/>
              </w:rPr>
            </w:pPr>
            <w:r>
              <w:rPr>
                <w:noProof/>
                <w:sz w:val="20"/>
              </w:rPr>
              <w:t>2018</w:t>
            </w:r>
          </w:p>
        </w:tc>
        <w:tc>
          <w:tcPr>
            <w:tcW w:w="1134" w:type="dxa"/>
            <w:vAlign w:val="center"/>
          </w:tcPr>
          <w:p w:rsidR="00824C36" w:rsidRDefault="00B97963">
            <w:pPr>
              <w:jc w:val="center"/>
              <w:rPr>
                <w:noProof/>
                <w:sz w:val="20"/>
              </w:rPr>
            </w:pPr>
            <w:r>
              <w:rPr>
                <w:noProof/>
                <w:sz w:val="20"/>
              </w:rPr>
              <w:t>2019</w:t>
            </w:r>
          </w:p>
        </w:tc>
        <w:tc>
          <w:tcPr>
            <w:tcW w:w="1134" w:type="dxa"/>
            <w:vAlign w:val="center"/>
          </w:tcPr>
          <w:p w:rsidR="00824C36" w:rsidRDefault="00B97963">
            <w:pPr>
              <w:jc w:val="center"/>
              <w:rPr>
                <w:noProof/>
                <w:sz w:val="20"/>
              </w:rPr>
            </w:pPr>
            <w:r>
              <w:rPr>
                <w:noProof/>
                <w:sz w:val="20"/>
              </w:rPr>
              <w:t>2020</w:t>
            </w:r>
          </w:p>
        </w:tc>
        <w:tc>
          <w:tcPr>
            <w:tcW w:w="1777" w:type="dxa"/>
            <w:vAlign w:val="center"/>
          </w:tcPr>
          <w:p w:rsidR="00824C36" w:rsidRDefault="00B97963">
            <w:pPr>
              <w:jc w:val="center"/>
              <w:rPr>
                <w:b/>
                <w:noProof/>
                <w:sz w:val="20"/>
              </w:rPr>
            </w:pPr>
            <w:r>
              <w:rPr>
                <w:b/>
                <w:noProof/>
                <w:sz w:val="20"/>
              </w:rPr>
              <w:t>TOTAL</w:t>
            </w:r>
          </w:p>
        </w:tc>
      </w:tr>
      <w:tr w:rsidR="00824C36">
        <w:trPr>
          <w:jc w:val="center"/>
        </w:trPr>
        <w:tc>
          <w:tcPr>
            <w:tcW w:w="5543" w:type="dxa"/>
            <w:vMerge w:val="restart"/>
            <w:vAlign w:val="center"/>
          </w:tcPr>
          <w:p w:rsidR="00824C36" w:rsidRDefault="00B97963">
            <w:pPr>
              <w:jc w:val="center"/>
              <w:rPr>
                <w:b/>
                <w:noProof/>
                <w:sz w:val="22"/>
              </w:rPr>
            </w:pPr>
            <w:r>
              <w:rPr>
                <w:b/>
                <w:noProof/>
                <w:sz w:val="22"/>
              </w:rPr>
              <w:t>TOTAL de crédits</w:t>
            </w:r>
            <w:r>
              <w:rPr>
                <w:b/>
                <w:noProof/>
                <w:sz w:val="22"/>
              </w:rPr>
              <w:br/>
              <w:t>pour la DG ECHO</w:t>
            </w:r>
          </w:p>
        </w:tc>
        <w:tc>
          <w:tcPr>
            <w:tcW w:w="1417" w:type="dxa"/>
            <w:vAlign w:val="center"/>
          </w:tcPr>
          <w:p w:rsidR="00824C36" w:rsidRDefault="00B97963">
            <w:pPr>
              <w:rPr>
                <w:noProof/>
                <w:sz w:val="18"/>
              </w:rPr>
            </w:pPr>
            <w:r>
              <w:rPr>
                <w:noProof/>
                <w:sz w:val="18"/>
              </w:rPr>
              <w:t>Engagements</w:t>
            </w:r>
          </w:p>
        </w:tc>
        <w:tc>
          <w:tcPr>
            <w:tcW w:w="851" w:type="dxa"/>
            <w:vAlign w:val="center"/>
          </w:tcPr>
          <w:p w:rsidR="00824C36" w:rsidRDefault="00B97963">
            <w:pPr>
              <w:jc w:val="center"/>
              <w:rPr>
                <w:noProof/>
                <w:sz w:val="14"/>
              </w:rPr>
            </w:pPr>
            <w:r>
              <w:rPr>
                <w:noProof/>
                <w:sz w:val="14"/>
              </w:rPr>
              <w:t>=1+1a +3</w:t>
            </w:r>
          </w:p>
        </w:tc>
        <w:tc>
          <w:tcPr>
            <w:tcW w:w="1134" w:type="dxa"/>
            <w:vAlign w:val="bottom"/>
          </w:tcPr>
          <w:p w:rsidR="00824C36" w:rsidRDefault="00B97963">
            <w:pPr>
              <w:spacing w:before="20" w:after="20"/>
              <w:jc w:val="right"/>
              <w:rPr>
                <w:noProof/>
                <w:sz w:val="20"/>
              </w:rPr>
            </w:pPr>
            <w:r>
              <w:rPr>
                <w:noProof/>
                <w:sz w:val="20"/>
              </w:rPr>
              <w:t>19,157</w:t>
            </w:r>
          </w:p>
        </w:tc>
        <w:tc>
          <w:tcPr>
            <w:tcW w:w="1134" w:type="dxa"/>
            <w:vAlign w:val="bottom"/>
          </w:tcPr>
          <w:p w:rsidR="00824C36" w:rsidRDefault="00B97963">
            <w:pPr>
              <w:spacing w:before="20" w:after="20"/>
              <w:jc w:val="right"/>
              <w:rPr>
                <w:noProof/>
                <w:sz w:val="20"/>
              </w:rPr>
            </w:pPr>
            <w:r>
              <w:rPr>
                <w:noProof/>
                <w:sz w:val="20"/>
              </w:rPr>
              <w:t>115,200</w:t>
            </w:r>
          </w:p>
        </w:tc>
        <w:tc>
          <w:tcPr>
            <w:tcW w:w="1134" w:type="dxa"/>
            <w:vAlign w:val="bottom"/>
          </w:tcPr>
          <w:p w:rsidR="00824C36" w:rsidRDefault="00B97963">
            <w:pPr>
              <w:spacing w:before="20" w:after="20"/>
              <w:jc w:val="right"/>
              <w:rPr>
                <w:noProof/>
                <w:sz w:val="20"/>
              </w:rPr>
            </w:pPr>
            <w:r>
              <w:rPr>
                <w:noProof/>
                <w:sz w:val="20"/>
              </w:rPr>
              <w:t>122,497</w:t>
            </w:r>
          </w:p>
        </w:tc>
        <w:tc>
          <w:tcPr>
            <w:tcW w:w="1777" w:type="dxa"/>
            <w:vAlign w:val="bottom"/>
          </w:tcPr>
          <w:p w:rsidR="00824C36" w:rsidRDefault="00B97963">
            <w:pPr>
              <w:spacing w:before="20" w:after="20"/>
              <w:jc w:val="right"/>
              <w:rPr>
                <w:b/>
                <w:noProof/>
                <w:sz w:val="20"/>
              </w:rPr>
            </w:pPr>
            <w:r>
              <w:rPr>
                <w:b/>
                <w:noProof/>
                <w:sz w:val="20"/>
              </w:rPr>
              <w:t>256,854</w:t>
            </w:r>
          </w:p>
        </w:tc>
      </w:tr>
      <w:tr w:rsidR="00824C36">
        <w:trPr>
          <w:jc w:val="center"/>
        </w:trPr>
        <w:tc>
          <w:tcPr>
            <w:tcW w:w="5543" w:type="dxa"/>
            <w:vMerge/>
          </w:tcPr>
          <w:p w:rsidR="00824C36" w:rsidRDefault="00824C36">
            <w:pPr>
              <w:rPr>
                <w:noProof/>
                <w:sz w:val="20"/>
              </w:rPr>
            </w:pPr>
          </w:p>
        </w:tc>
        <w:tc>
          <w:tcPr>
            <w:tcW w:w="1417" w:type="dxa"/>
            <w:vAlign w:val="center"/>
          </w:tcPr>
          <w:p w:rsidR="00824C36" w:rsidRDefault="00B97963">
            <w:pPr>
              <w:rPr>
                <w:noProof/>
                <w:sz w:val="18"/>
              </w:rPr>
            </w:pPr>
            <w:r>
              <w:rPr>
                <w:noProof/>
                <w:sz w:val="18"/>
              </w:rPr>
              <w:t>Paiements</w:t>
            </w:r>
          </w:p>
        </w:tc>
        <w:tc>
          <w:tcPr>
            <w:tcW w:w="851" w:type="dxa"/>
            <w:vAlign w:val="center"/>
          </w:tcPr>
          <w:p w:rsidR="00824C36" w:rsidRDefault="00B97963">
            <w:pPr>
              <w:jc w:val="center"/>
              <w:rPr>
                <w:noProof/>
                <w:sz w:val="14"/>
              </w:rPr>
            </w:pPr>
            <w:r>
              <w:rPr>
                <w:noProof/>
                <w:sz w:val="14"/>
              </w:rPr>
              <w:t>=2+2a</w:t>
            </w:r>
          </w:p>
          <w:p w:rsidR="00824C36" w:rsidRDefault="00B97963">
            <w:pPr>
              <w:jc w:val="center"/>
              <w:rPr>
                <w:noProof/>
                <w:sz w:val="14"/>
              </w:rPr>
            </w:pPr>
            <w:r>
              <w:rPr>
                <w:noProof/>
                <w:sz w:val="14"/>
              </w:rPr>
              <w:t>+3</w:t>
            </w:r>
          </w:p>
        </w:tc>
        <w:tc>
          <w:tcPr>
            <w:tcW w:w="1134" w:type="dxa"/>
            <w:vAlign w:val="bottom"/>
          </w:tcPr>
          <w:p w:rsidR="00824C36" w:rsidRDefault="00B97963">
            <w:pPr>
              <w:spacing w:before="20" w:after="20"/>
              <w:jc w:val="right"/>
              <w:rPr>
                <w:noProof/>
                <w:sz w:val="20"/>
              </w:rPr>
            </w:pPr>
            <w:r>
              <w:rPr>
                <w:noProof/>
                <w:sz w:val="20"/>
              </w:rPr>
              <w:t>11,000</w:t>
            </w:r>
          </w:p>
        </w:tc>
        <w:tc>
          <w:tcPr>
            <w:tcW w:w="1134" w:type="dxa"/>
            <w:vAlign w:val="bottom"/>
          </w:tcPr>
          <w:p w:rsidR="00824C36" w:rsidRDefault="00B97963">
            <w:pPr>
              <w:spacing w:before="20" w:after="20"/>
              <w:jc w:val="right"/>
              <w:rPr>
                <w:noProof/>
                <w:sz w:val="20"/>
              </w:rPr>
            </w:pPr>
            <w:r>
              <w:rPr>
                <w:noProof/>
                <w:sz w:val="20"/>
              </w:rPr>
              <w:t>56,560</w:t>
            </w:r>
          </w:p>
        </w:tc>
        <w:tc>
          <w:tcPr>
            <w:tcW w:w="1134" w:type="dxa"/>
            <w:vAlign w:val="bottom"/>
          </w:tcPr>
          <w:p w:rsidR="00824C36" w:rsidRDefault="00B97963">
            <w:pPr>
              <w:spacing w:before="20" w:after="20"/>
              <w:jc w:val="right"/>
              <w:rPr>
                <w:noProof/>
                <w:sz w:val="20"/>
              </w:rPr>
            </w:pPr>
            <w:r>
              <w:rPr>
                <w:noProof/>
                <w:sz w:val="20"/>
              </w:rPr>
              <w:t>115,395</w:t>
            </w:r>
          </w:p>
        </w:tc>
        <w:tc>
          <w:tcPr>
            <w:tcW w:w="1777" w:type="dxa"/>
            <w:vAlign w:val="bottom"/>
          </w:tcPr>
          <w:p w:rsidR="00824C36" w:rsidRDefault="00B97963">
            <w:pPr>
              <w:spacing w:before="20" w:after="20"/>
              <w:jc w:val="right"/>
              <w:rPr>
                <w:b/>
                <w:noProof/>
                <w:sz w:val="20"/>
              </w:rPr>
            </w:pPr>
            <w:r>
              <w:rPr>
                <w:b/>
                <w:noProof/>
                <w:sz w:val="20"/>
              </w:rPr>
              <w:t>182,955</w:t>
            </w:r>
          </w:p>
        </w:tc>
      </w:tr>
    </w:tbl>
    <w:p w:rsidR="00824C36" w:rsidRDefault="00B97963">
      <w:pPr>
        <w:rPr>
          <w:noProof/>
        </w:rPr>
      </w:pPr>
      <w:r>
        <w:rPr>
          <w:noProof/>
        </w:rPr>
        <w:br/>
      </w:r>
      <w:r>
        <w:rPr>
          <w:noProof/>
        </w:rPr>
        <w:br/>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1417"/>
        <w:gridCol w:w="851"/>
        <w:gridCol w:w="1134"/>
        <w:gridCol w:w="1134"/>
        <w:gridCol w:w="1134"/>
        <w:gridCol w:w="1701"/>
      </w:tblGrid>
      <w:tr w:rsidR="00824C36">
        <w:trPr>
          <w:trHeight w:val="277"/>
        </w:trPr>
        <w:tc>
          <w:tcPr>
            <w:tcW w:w="5529" w:type="dxa"/>
            <w:vMerge w:val="restart"/>
            <w:vAlign w:val="center"/>
          </w:tcPr>
          <w:p w:rsidR="00824C36" w:rsidRDefault="00B97963">
            <w:pPr>
              <w:spacing w:before="20" w:after="20"/>
              <w:rPr>
                <w:noProof/>
                <w:sz w:val="22"/>
              </w:rPr>
            </w:pPr>
            <w:r>
              <w:rPr>
                <w:noProof/>
              </w:rPr>
              <w:br w:type="page"/>
            </w:r>
            <w:r>
              <w:rPr>
                <w:noProof/>
                <w:sz w:val="21"/>
              </w:rPr>
              <w:sym w:font="Wingdings" w:char="F09F"/>
            </w:r>
            <w:r>
              <w:rPr>
                <w:noProof/>
                <w:sz w:val="21"/>
              </w:rPr>
              <w:t>TOTAL des crédits opérationnels</w:t>
            </w:r>
          </w:p>
        </w:tc>
        <w:tc>
          <w:tcPr>
            <w:tcW w:w="1417" w:type="dxa"/>
            <w:vAlign w:val="center"/>
          </w:tcPr>
          <w:p w:rsidR="00824C36" w:rsidRDefault="00B97963">
            <w:pPr>
              <w:spacing w:beforeLines="20" w:before="48" w:afterLines="20" w:after="48"/>
              <w:rPr>
                <w:noProof/>
                <w:sz w:val="18"/>
              </w:rPr>
            </w:pPr>
            <w:r>
              <w:rPr>
                <w:noProof/>
                <w:sz w:val="18"/>
              </w:rPr>
              <w:t>Engagements</w:t>
            </w:r>
          </w:p>
        </w:tc>
        <w:tc>
          <w:tcPr>
            <w:tcW w:w="851" w:type="dxa"/>
            <w:vAlign w:val="center"/>
          </w:tcPr>
          <w:p w:rsidR="00824C36" w:rsidRDefault="00B97963">
            <w:pPr>
              <w:spacing w:beforeLines="20" w:before="48" w:afterLines="20" w:after="48"/>
              <w:jc w:val="center"/>
              <w:rPr>
                <w:noProof/>
                <w:sz w:val="14"/>
              </w:rPr>
            </w:pPr>
            <w:r>
              <w:rPr>
                <w:noProof/>
                <w:sz w:val="14"/>
              </w:rPr>
              <w:t>4)</w:t>
            </w:r>
          </w:p>
        </w:tc>
        <w:tc>
          <w:tcPr>
            <w:tcW w:w="1134" w:type="dxa"/>
            <w:vAlign w:val="bottom"/>
          </w:tcPr>
          <w:p w:rsidR="00824C36" w:rsidRDefault="00B97963">
            <w:pPr>
              <w:spacing w:before="20" w:after="20"/>
              <w:jc w:val="right"/>
              <w:rPr>
                <w:noProof/>
                <w:sz w:val="20"/>
              </w:rPr>
            </w:pPr>
            <w:r>
              <w:rPr>
                <w:noProof/>
                <w:sz w:val="20"/>
              </w:rPr>
              <w:t>19,157</w:t>
            </w:r>
          </w:p>
        </w:tc>
        <w:tc>
          <w:tcPr>
            <w:tcW w:w="1134" w:type="dxa"/>
            <w:vAlign w:val="bottom"/>
          </w:tcPr>
          <w:p w:rsidR="00824C36" w:rsidRDefault="00B97963">
            <w:pPr>
              <w:spacing w:before="20" w:after="20"/>
              <w:jc w:val="right"/>
              <w:rPr>
                <w:noProof/>
                <w:sz w:val="20"/>
              </w:rPr>
            </w:pPr>
            <w:r>
              <w:rPr>
                <w:noProof/>
                <w:sz w:val="20"/>
              </w:rPr>
              <w:t>115,200</w:t>
            </w:r>
          </w:p>
        </w:tc>
        <w:tc>
          <w:tcPr>
            <w:tcW w:w="1134" w:type="dxa"/>
            <w:vAlign w:val="bottom"/>
          </w:tcPr>
          <w:p w:rsidR="00824C36" w:rsidRDefault="00B97963">
            <w:pPr>
              <w:spacing w:before="20" w:after="20"/>
              <w:jc w:val="right"/>
              <w:rPr>
                <w:noProof/>
                <w:sz w:val="20"/>
              </w:rPr>
            </w:pPr>
            <w:r>
              <w:rPr>
                <w:noProof/>
                <w:sz w:val="20"/>
              </w:rPr>
              <w:t>122,497</w:t>
            </w:r>
          </w:p>
        </w:tc>
        <w:tc>
          <w:tcPr>
            <w:tcW w:w="1701" w:type="dxa"/>
            <w:vAlign w:val="bottom"/>
          </w:tcPr>
          <w:p w:rsidR="00824C36" w:rsidRDefault="00B97963">
            <w:pPr>
              <w:spacing w:before="20" w:after="20"/>
              <w:jc w:val="right"/>
              <w:rPr>
                <w:b/>
                <w:noProof/>
                <w:sz w:val="20"/>
              </w:rPr>
            </w:pPr>
            <w:r>
              <w:rPr>
                <w:b/>
                <w:noProof/>
                <w:sz w:val="20"/>
              </w:rPr>
              <w:t>256,854</w:t>
            </w:r>
          </w:p>
        </w:tc>
      </w:tr>
      <w:tr w:rsidR="00824C36">
        <w:tc>
          <w:tcPr>
            <w:tcW w:w="5529" w:type="dxa"/>
            <w:vMerge/>
          </w:tcPr>
          <w:p w:rsidR="00824C36" w:rsidRDefault="00824C36">
            <w:pPr>
              <w:jc w:val="center"/>
              <w:rPr>
                <w:noProof/>
                <w:sz w:val="20"/>
              </w:rPr>
            </w:pPr>
          </w:p>
        </w:tc>
        <w:tc>
          <w:tcPr>
            <w:tcW w:w="1417" w:type="dxa"/>
            <w:vAlign w:val="center"/>
          </w:tcPr>
          <w:p w:rsidR="00824C36" w:rsidRDefault="00B97963">
            <w:pPr>
              <w:spacing w:beforeLines="20" w:before="48" w:afterLines="20" w:after="48"/>
              <w:rPr>
                <w:noProof/>
                <w:sz w:val="18"/>
              </w:rPr>
            </w:pPr>
            <w:r>
              <w:rPr>
                <w:noProof/>
                <w:sz w:val="18"/>
              </w:rPr>
              <w:t>Paiements</w:t>
            </w:r>
          </w:p>
        </w:tc>
        <w:tc>
          <w:tcPr>
            <w:tcW w:w="851" w:type="dxa"/>
            <w:vAlign w:val="center"/>
          </w:tcPr>
          <w:p w:rsidR="00824C36" w:rsidRDefault="00B97963">
            <w:pPr>
              <w:spacing w:beforeLines="20" w:before="48" w:afterLines="20" w:after="48"/>
              <w:jc w:val="center"/>
              <w:rPr>
                <w:noProof/>
                <w:sz w:val="14"/>
              </w:rPr>
            </w:pPr>
            <w:r>
              <w:rPr>
                <w:noProof/>
                <w:sz w:val="14"/>
              </w:rPr>
              <w:t>5)</w:t>
            </w:r>
          </w:p>
        </w:tc>
        <w:tc>
          <w:tcPr>
            <w:tcW w:w="1134" w:type="dxa"/>
            <w:vAlign w:val="bottom"/>
          </w:tcPr>
          <w:p w:rsidR="00824C36" w:rsidRDefault="00B97963">
            <w:pPr>
              <w:spacing w:before="20" w:after="20"/>
              <w:jc w:val="right"/>
              <w:rPr>
                <w:noProof/>
                <w:sz w:val="20"/>
              </w:rPr>
            </w:pPr>
            <w:r>
              <w:rPr>
                <w:noProof/>
                <w:sz w:val="20"/>
              </w:rPr>
              <w:t>11,000</w:t>
            </w:r>
          </w:p>
        </w:tc>
        <w:tc>
          <w:tcPr>
            <w:tcW w:w="1134" w:type="dxa"/>
            <w:vAlign w:val="bottom"/>
          </w:tcPr>
          <w:p w:rsidR="00824C36" w:rsidRDefault="00B97963">
            <w:pPr>
              <w:spacing w:before="20" w:after="20"/>
              <w:jc w:val="right"/>
              <w:rPr>
                <w:noProof/>
                <w:sz w:val="20"/>
              </w:rPr>
            </w:pPr>
            <w:r>
              <w:rPr>
                <w:noProof/>
                <w:sz w:val="20"/>
              </w:rPr>
              <w:t>56,560</w:t>
            </w:r>
          </w:p>
        </w:tc>
        <w:tc>
          <w:tcPr>
            <w:tcW w:w="1134" w:type="dxa"/>
            <w:vAlign w:val="bottom"/>
          </w:tcPr>
          <w:p w:rsidR="00824C36" w:rsidRDefault="00B97963">
            <w:pPr>
              <w:spacing w:before="20" w:after="20"/>
              <w:jc w:val="right"/>
              <w:rPr>
                <w:noProof/>
                <w:sz w:val="20"/>
              </w:rPr>
            </w:pPr>
            <w:r>
              <w:rPr>
                <w:noProof/>
                <w:sz w:val="20"/>
              </w:rPr>
              <w:t>115,395</w:t>
            </w:r>
          </w:p>
        </w:tc>
        <w:tc>
          <w:tcPr>
            <w:tcW w:w="1701" w:type="dxa"/>
            <w:vAlign w:val="bottom"/>
          </w:tcPr>
          <w:p w:rsidR="00824C36" w:rsidRDefault="00B97963">
            <w:pPr>
              <w:spacing w:before="20" w:after="20"/>
              <w:jc w:val="right"/>
              <w:rPr>
                <w:b/>
                <w:noProof/>
                <w:sz w:val="20"/>
              </w:rPr>
            </w:pPr>
            <w:r>
              <w:rPr>
                <w:b/>
                <w:noProof/>
                <w:sz w:val="20"/>
              </w:rPr>
              <w:t>182,955</w:t>
            </w:r>
          </w:p>
        </w:tc>
      </w:tr>
      <w:tr w:rsidR="00824C36">
        <w:trPr>
          <w:trHeight w:val="533"/>
        </w:trPr>
        <w:tc>
          <w:tcPr>
            <w:tcW w:w="6946" w:type="dxa"/>
            <w:gridSpan w:val="2"/>
            <w:vAlign w:val="center"/>
          </w:tcPr>
          <w:p w:rsidR="00824C36" w:rsidRDefault="00B97963">
            <w:pPr>
              <w:spacing w:beforeLines="20" w:before="48" w:afterLines="20" w:after="48"/>
              <w:rPr>
                <w:noProof/>
                <w:sz w:val="22"/>
              </w:rPr>
            </w:pPr>
            <w:r>
              <w:rPr>
                <w:noProof/>
                <w:sz w:val="21"/>
              </w:rPr>
              <w:sym w:font="Wingdings" w:char="F09F"/>
            </w:r>
            <w:r>
              <w:rPr>
                <w:noProof/>
                <w:sz w:val="21"/>
              </w:rPr>
              <w:t>TOTAL des crédits de nature administrative financés par l'enveloppe de certains programmes spécifiques</w:t>
            </w:r>
          </w:p>
        </w:tc>
        <w:tc>
          <w:tcPr>
            <w:tcW w:w="851" w:type="dxa"/>
            <w:vAlign w:val="center"/>
          </w:tcPr>
          <w:p w:rsidR="00824C36" w:rsidRDefault="00B97963">
            <w:pPr>
              <w:spacing w:beforeLines="20" w:before="48" w:afterLines="20" w:after="48"/>
              <w:jc w:val="center"/>
              <w:rPr>
                <w:noProof/>
                <w:sz w:val="14"/>
              </w:rPr>
            </w:pPr>
            <w:r>
              <w:rPr>
                <w:noProof/>
                <w:sz w:val="14"/>
              </w:rPr>
              <w:t>6)</w:t>
            </w:r>
          </w:p>
        </w:tc>
        <w:tc>
          <w:tcPr>
            <w:tcW w:w="1134" w:type="dxa"/>
            <w:vAlign w:val="center"/>
          </w:tcPr>
          <w:p w:rsidR="00824C36" w:rsidRDefault="00B97963">
            <w:pPr>
              <w:jc w:val="center"/>
              <w:rPr>
                <w:noProof/>
                <w:sz w:val="20"/>
              </w:rPr>
            </w:pPr>
            <w:r>
              <w:rPr>
                <w:noProof/>
                <w:sz w:val="20"/>
              </w:rPr>
              <w:t>0</w:t>
            </w:r>
          </w:p>
        </w:tc>
        <w:tc>
          <w:tcPr>
            <w:tcW w:w="1134" w:type="dxa"/>
            <w:vAlign w:val="center"/>
          </w:tcPr>
          <w:p w:rsidR="00824C36" w:rsidRDefault="00B97963">
            <w:pPr>
              <w:jc w:val="center"/>
              <w:rPr>
                <w:noProof/>
                <w:sz w:val="20"/>
              </w:rPr>
            </w:pPr>
            <w:r>
              <w:rPr>
                <w:noProof/>
                <w:sz w:val="20"/>
              </w:rPr>
              <w:t>0</w:t>
            </w:r>
          </w:p>
        </w:tc>
        <w:tc>
          <w:tcPr>
            <w:tcW w:w="1134" w:type="dxa"/>
            <w:vAlign w:val="center"/>
          </w:tcPr>
          <w:p w:rsidR="00824C36" w:rsidRDefault="00B97963">
            <w:pPr>
              <w:jc w:val="center"/>
              <w:rPr>
                <w:noProof/>
                <w:sz w:val="20"/>
              </w:rPr>
            </w:pPr>
            <w:r>
              <w:rPr>
                <w:noProof/>
                <w:sz w:val="20"/>
              </w:rPr>
              <w:t>0</w:t>
            </w:r>
          </w:p>
        </w:tc>
        <w:tc>
          <w:tcPr>
            <w:tcW w:w="1701" w:type="dxa"/>
            <w:vAlign w:val="center"/>
          </w:tcPr>
          <w:p w:rsidR="00824C36" w:rsidRDefault="00B97963">
            <w:pPr>
              <w:jc w:val="center"/>
              <w:rPr>
                <w:b/>
                <w:noProof/>
                <w:sz w:val="20"/>
              </w:rPr>
            </w:pPr>
            <w:r>
              <w:rPr>
                <w:b/>
                <w:noProof/>
                <w:sz w:val="20"/>
              </w:rPr>
              <w:t>TOTAL</w:t>
            </w:r>
          </w:p>
        </w:tc>
      </w:tr>
      <w:tr w:rsidR="00824C36">
        <w:tc>
          <w:tcPr>
            <w:tcW w:w="5529" w:type="dxa"/>
            <w:vMerge w:val="restart"/>
            <w:shd w:val="thinDiagStripe" w:color="C0C0C0" w:fill="auto"/>
            <w:vAlign w:val="center"/>
          </w:tcPr>
          <w:p w:rsidR="00824C36" w:rsidRDefault="00B97963">
            <w:pPr>
              <w:jc w:val="center"/>
              <w:rPr>
                <w:b/>
                <w:noProof/>
                <w:sz w:val="22"/>
              </w:rPr>
            </w:pPr>
            <w:r>
              <w:rPr>
                <w:b/>
                <w:noProof/>
                <w:sz w:val="22"/>
              </w:rPr>
              <w:t>TOTAL des crédits</w:t>
            </w:r>
            <w:r>
              <w:rPr>
                <w:noProof/>
                <w:sz w:val="22"/>
              </w:rPr>
              <w:br/>
            </w:r>
            <w:r>
              <w:rPr>
                <w:b/>
                <w:noProof/>
                <w:sz w:val="22"/>
              </w:rPr>
              <w:t xml:space="preserve"> pour la RUBRIQUE 3</w:t>
            </w:r>
            <w:r>
              <w:rPr>
                <w:noProof/>
                <w:sz w:val="22"/>
              </w:rPr>
              <w:br/>
              <w:t>du cadre financier pluriannuel</w:t>
            </w:r>
          </w:p>
        </w:tc>
        <w:tc>
          <w:tcPr>
            <w:tcW w:w="1417" w:type="dxa"/>
            <w:vAlign w:val="center"/>
          </w:tcPr>
          <w:p w:rsidR="00824C36" w:rsidRDefault="00B97963">
            <w:pPr>
              <w:rPr>
                <w:noProof/>
                <w:sz w:val="18"/>
              </w:rPr>
            </w:pPr>
            <w:r>
              <w:rPr>
                <w:noProof/>
                <w:sz w:val="18"/>
              </w:rPr>
              <w:t>Engagements</w:t>
            </w:r>
          </w:p>
        </w:tc>
        <w:tc>
          <w:tcPr>
            <w:tcW w:w="851" w:type="dxa"/>
            <w:vAlign w:val="center"/>
          </w:tcPr>
          <w:p w:rsidR="00824C36" w:rsidRDefault="00B97963">
            <w:pPr>
              <w:jc w:val="center"/>
              <w:rPr>
                <w:noProof/>
                <w:sz w:val="14"/>
              </w:rPr>
            </w:pPr>
            <w:r>
              <w:rPr>
                <w:noProof/>
                <w:sz w:val="14"/>
              </w:rPr>
              <w:t>=4+ 6</w:t>
            </w:r>
          </w:p>
        </w:tc>
        <w:tc>
          <w:tcPr>
            <w:tcW w:w="1134" w:type="dxa"/>
            <w:vAlign w:val="bottom"/>
          </w:tcPr>
          <w:p w:rsidR="00824C36" w:rsidRDefault="00B97963">
            <w:pPr>
              <w:spacing w:before="20" w:after="20"/>
              <w:jc w:val="right"/>
              <w:rPr>
                <w:noProof/>
                <w:sz w:val="20"/>
              </w:rPr>
            </w:pPr>
            <w:r>
              <w:rPr>
                <w:noProof/>
                <w:sz w:val="20"/>
              </w:rPr>
              <w:t>19,157</w:t>
            </w:r>
          </w:p>
        </w:tc>
        <w:tc>
          <w:tcPr>
            <w:tcW w:w="1134" w:type="dxa"/>
            <w:vAlign w:val="bottom"/>
          </w:tcPr>
          <w:p w:rsidR="00824C36" w:rsidRDefault="00B97963">
            <w:pPr>
              <w:spacing w:before="20" w:after="20"/>
              <w:jc w:val="right"/>
              <w:rPr>
                <w:noProof/>
                <w:sz w:val="20"/>
              </w:rPr>
            </w:pPr>
            <w:r>
              <w:rPr>
                <w:noProof/>
                <w:sz w:val="20"/>
              </w:rPr>
              <w:t>115,200</w:t>
            </w:r>
          </w:p>
        </w:tc>
        <w:tc>
          <w:tcPr>
            <w:tcW w:w="1134" w:type="dxa"/>
            <w:vAlign w:val="bottom"/>
          </w:tcPr>
          <w:p w:rsidR="00824C36" w:rsidRDefault="00B97963">
            <w:pPr>
              <w:spacing w:before="20" w:after="20"/>
              <w:jc w:val="right"/>
              <w:rPr>
                <w:noProof/>
                <w:sz w:val="20"/>
              </w:rPr>
            </w:pPr>
            <w:r>
              <w:rPr>
                <w:noProof/>
                <w:sz w:val="20"/>
              </w:rPr>
              <w:t>122,497</w:t>
            </w:r>
          </w:p>
        </w:tc>
        <w:tc>
          <w:tcPr>
            <w:tcW w:w="1701" w:type="dxa"/>
            <w:vAlign w:val="bottom"/>
          </w:tcPr>
          <w:p w:rsidR="00824C36" w:rsidRDefault="00B97963">
            <w:pPr>
              <w:spacing w:before="20" w:after="20"/>
              <w:jc w:val="right"/>
              <w:rPr>
                <w:b/>
                <w:noProof/>
                <w:sz w:val="20"/>
              </w:rPr>
            </w:pPr>
            <w:r>
              <w:rPr>
                <w:b/>
                <w:noProof/>
                <w:sz w:val="20"/>
              </w:rPr>
              <w:t>256,854</w:t>
            </w:r>
          </w:p>
        </w:tc>
      </w:tr>
      <w:tr w:rsidR="00824C36">
        <w:tc>
          <w:tcPr>
            <w:tcW w:w="5529" w:type="dxa"/>
            <w:vMerge/>
            <w:shd w:val="thinDiagStripe" w:color="C0C0C0" w:fill="auto"/>
          </w:tcPr>
          <w:p w:rsidR="00824C36" w:rsidRDefault="00824C36">
            <w:pPr>
              <w:rPr>
                <w:noProof/>
                <w:sz w:val="20"/>
              </w:rPr>
            </w:pPr>
          </w:p>
        </w:tc>
        <w:tc>
          <w:tcPr>
            <w:tcW w:w="1417" w:type="dxa"/>
            <w:vAlign w:val="center"/>
          </w:tcPr>
          <w:p w:rsidR="00824C36" w:rsidRDefault="00B97963">
            <w:pPr>
              <w:rPr>
                <w:noProof/>
                <w:sz w:val="18"/>
              </w:rPr>
            </w:pPr>
            <w:r>
              <w:rPr>
                <w:noProof/>
                <w:sz w:val="18"/>
              </w:rPr>
              <w:t>Paiements</w:t>
            </w:r>
          </w:p>
        </w:tc>
        <w:tc>
          <w:tcPr>
            <w:tcW w:w="851" w:type="dxa"/>
            <w:vAlign w:val="center"/>
          </w:tcPr>
          <w:p w:rsidR="00824C36" w:rsidRDefault="00B97963">
            <w:pPr>
              <w:jc w:val="center"/>
              <w:rPr>
                <w:noProof/>
                <w:sz w:val="14"/>
              </w:rPr>
            </w:pPr>
            <w:r>
              <w:rPr>
                <w:noProof/>
                <w:sz w:val="14"/>
              </w:rPr>
              <w:t>=5+ 6</w:t>
            </w:r>
          </w:p>
        </w:tc>
        <w:tc>
          <w:tcPr>
            <w:tcW w:w="1134" w:type="dxa"/>
            <w:vAlign w:val="bottom"/>
          </w:tcPr>
          <w:p w:rsidR="00824C36" w:rsidRDefault="00B97963">
            <w:pPr>
              <w:spacing w:before="20" w:after="20"/>
              <w:jc w:val="right"/>
              <w:rPr>
                <w:noProof/>
                <w:sz w:val="20"/>
              </w:rPr>
            </w:pPr>
            <w:r>
              <w:rPr>
                <w:noProof/>
                <w:sz w:val="20"/>
              </w:rPr>
              <w:t>11,000</w:t>
            </w:r>
          </w:p>
        </w:tc>
        <w:tc>
          <w:tcPr>
            <w:tcW w:w="1134" w:type="dxa"/>
            <w:vAlign w:val="bottom"/>
          </w:tcPr>
          <w:p w:rsidR="00824C36" w:rsidRDefault="00B97963">
            <w:pPr>
              <w:spacing w:before="20" w:after="20"/>
              <w:jc w:val="right"/>
              <w:rPr>
                <w:noProof/>
                <w:sz w:val="20"/>
              </w:rPr>
            </w:pPr>
            <w:r>
              <w:rPr>
                <w:noProof/>
                <w:sz w:val="20"/>
              </w:rPr>
              <w:t>56,560</w:t>
            </w:r>
          </w:p>
        </w:tc>
        <w:tc>
          <w:tcPr>
            <w:tcW w:w="1134" w:type="dxa"/>
            <w:vAlign w:val="bottom"/>
          </w:tcPr>
          <w:p w:rsidR="00824C36" w:rsidRDefault="00B97963">
            <w:pPr>
              <w:spacing w:before="20" w:after="20"/>
              <w:jc w:val="right"/>
              <w:rPr>
                <w:noProof/>
                <w:sz w:val="20"/>
              </w:rPr>
            </w:pPr>
            <w:r>
              <w:rPr>
                <w:noProof/>
                <w:sz w:val="20"/>
              </w:rPr>
              <w:t>115,395</w:t>
            </w:r>
          </w:p>
        </w:tc>
        <w:tc>
          <w:tcPr>
            <w:tcW w:w="1701" w:type="dxa"/>
            <w:vAlign w:val="bottom"/>
          </w:tcPr>
          <w:p w:rsidR="00824C36" w:rsidRDefault="00B97963">
            <w:pPr>
              <w:spacing w:before="20" w:after="20"/>
              <w:jc w:val="right"/>
              <w:rPr>
                <w:b/>
                <w:noProof/>
                <w:sz w:val="20"/>
              </w:rPr>
            </w:pPr>
            <w:r>
              <w:rPr>
                <w:b/>
                <w:noProof/>
                <w:sz w:val="20"/>
              </w:rPr>
              <w:t>182,955</w:t>
            </w:r>
          </w:p>
        </w:tc>
      </w:tr>
    </w:tbl>
    <w:p w:rsidR="00824C36" w:rsidRDefault="00824C36">
      <w:pPr>
        <w:rPr>
          <w:noProof/>
        </w:rPr>
      </w:pPr>
    </w:p>
    <w:p w:rsidR="00824C36" w:rsidRDefault="00824C36">
      <w:pPr>
        <w:rPr>
          <w:noProof/>
        </w:rPr>
      </w:pPr>
    </w:p>
    <w:p w:rsidR="00824C36" w:rsidRDefault="00B97963">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824C36">
        <w:trPr>
          <w:jc w:val="center"/>
        </w:trPr>
        <w:tc>
          <w:tcPr>
            <w:tcW w:w="4744" w:type="dxa"/>
            <w:shd w:val="thinDiagStripe" w:color="C0C0C0" w:fill="auto"/>
            <w:vAlign w:val="center"/>
          </w:tcPr>
          <w:p w:rsidR="00824C36" w:rsidRDefault="00B97963">
            <w:pPr>
              <w:spacing w:before="60" w:after="60"/>
              <w:jc w:val="center"/>
              <w:rPr>
                <w:b/>
                <w:noProof/>
                <w:sz w:val="22"/>
              </w:rPr>
            </w:pPr>
            <w:r>
              <w:rPr>
                <w:b/>
                <w:noProof/>
                <w:sz w:val="22"/>
              </w:rPr>
              <w:t xml:space="preserve">Rubrique du cadre financier </w:t>
            </w:r>
            <w:r>
              <w:rPr>
                <w:noProof/>
                <w:sz w:val="22"/>
              </w:rPr>
              <w:br/>
            </w:r>
            <w:r>
              <w:rPr>
                <w:b/>
                <w:noProof/>
                <w:sz w:val="22"/>
              </w:rPr>
              <w:t xml:space="preserve">pluriannuel </w:t>
            </w:r>
          </w:p>
        </w:tc>
        <w:tc>
          <w:tcPr>
            <w:tcW w:w="1080" w:type="dxa"/>
            <w:vAlign w:val="center"/>
          </w:tcPr>
          <w:p w:rsidR="00824C36" w:rsidRDefault="00B97963">
            <w:pPr>
              <w:spacing w:before="60" w:after="60"/>
              <w:jc w:val="center"/>
              <w:rPr>
                <w:noProof/>
                <w:sz w:val="22"/>
              </w:rPr>
            </w:pPr>
            <w:r>
              <w:rPr>
                <w:noProof/>
                <w:sz w:val="22"/>
              </w:rPr>
              <w:t>Numéro</w:t>
            </w:r>
          </w:p>
        </w:tc>
        <w:tc>
          <w:tcPr>
            <w:tcW w:w="7817" w:type="dxa"/>
            <w:vAlign w:val="center"/>
          </w:tcPr>
          <w:p w:rsidR="00824C36" w:rsidRDefault="00B97963">
            <w:pPr>
              <w:spacing w:before="60" w:after="60"/>
              <w:rPr>
                <w:noProof/>
                <w:sz w:val="22"/>
              </w:rPr>
            </w:pPr>
            <w:r>
              <w:rPr>
                <w:noProof/>
              </w:rPr>
              <w:t>Rubrique 4: L'Europe dans le monde</w:t>
            </w:r>
          </w:p>
        </w:tc>
      </w:tr>
    </w:tbl>
    <w:p w:rsidR="00824C36" w:rsidRDefault="00824C36">
      <w:pPr>
        <w:rPr>
          <w:noProof/>
          <w:sz w:val="16"/>
        </w:rPr>
      </w:pPr>
    </w:p>
    <w:tbl>
      <w:tblPr>
        <w:tblW w:w="0" w:type="auto"/>
        <w:jc w:val="center"/>
        <w:tblInd w:w="-2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3"/>
        <w:gridCol w:w="1417"/>
        <w:gridCol w:w="851"/>
        <w:gridCol w:w="1134"/>
        <w:gridCol w:w="1134"/>
        <w:gridCol w:w="1134"/>
        <w:gridCol w:w="1777"/>
      </w:tblGrid>
      <w:tr w:rsidR="00824C36">
        <w:trPr>
          <w:jc w:val="center"/>
        </w:trPr>
        <w:tc>
          <w:tcPr>
            <w:tcW w:w="5543" w:type="dxa"/>
            <w:vAlign w:val="center"/>
          </w:tcPr>
          <w:p w:rsidR="00824C36" w:rsidRDefault="00B97963">
            <w:pPr>
              <w:jc w:val="center"/>
              <w:rPr>
                <w:b/>
                <w:noProof/>
                <w:sz w:val="22"/>
              </w:rPr>
            </w:pPr>
            <w:r>
              <w:rPr>
                <w:b/>
                <w:noProof/>
                <w:sz w:val="22"/>
              </w:rPr>
              <w:t>DG ECHO – Protection civile et opérations d’aide humanitaire européennes</w:t>
            </w:r>
          </w:p>
        </w:tc>
        <w:tc>
          <w:tcPr>
            <w:tcW w:w="1417" w:type="dxa"/>
          </w:tcPr>
          <w:p w:rsidR="00824C36" w:rsidRDefault="00824C36">
            <w:pPr>
              <w:rPr>
                <w:noProof/>
                <w:sz w:val="20"/>
              </w:rPr>
            </w:pPr>
          </w:p>
        </w:tc>
        <w:tc>
          <w:tcPr>
            <w:tcW w:w="851" w:type="dxa"/>
          </w:tcPr>
          <w:p w:rsidR="00824C36" w:rsidRDefault="00824C36">
            <w:pPr>
              <w:jc w:val="center"/>
              <w:rPr>
                <w:noProof/>
                <w:sz w:val="20"/>
              </w:rPr>
            </w:pPr>
          </w:p>
        </w:tc>
        <w:tc>
          <w:tcPr>
            <w:tcW w:w="1134" w:type="dxa"/>
            <w:vAlign w:val="center"/>
          </w:tcPr>
          <w:p w:rsidR="00824C36" w:rsidRDefault="00B97963">
            <w:pPr>
              <w:jc w:val="center"/>
              <w:rPr>
                <w:noProof/>
                <w:sz w:val="20"/>
              </w:rPr>
            </w:pPr>
            <w:r>
              <w:rPr>
                <w:noProof/>
                <w:sz w:val="20"/>
              </w:rPr>
              <w:t>2018</w:t>
            </w:r>
          </w:p>
        </w:tc>
        <w:tc>
          <w:tcPr>
            <w:tcW w:w="1134" w:type="dxa"/>
            <w:vAlign w:val="center"/>
          </w:tcPr>
          <w:p w:rsidR="00824C36" w:rsidRDefault="00B97963">
            <w:pPr>
              <w:jc w:val="center"/>
              <w:rPr>
                <w:noProof/>
                <w:sz w:val="20"/>
              </w:rPr>
            </w:pPr>
            <w:r>
              <w:rPr>
                <w:noProof/>
                <w:sz w:val="20"/>
              </w:rPr>
              <w:t>2019</w:t>
            </w:r>
          </w:p>
        </w:tc>
        <w:tc>
          <w:tcPr>
            <w:tcW w:w="1134" w:type="dxa"/>
            <w:vAlign w:val="center"/>
          </w:tcPr>
          <w:p w:rsidR="00824C36" w:rsidRDefault="00B97963">
            <w:pPr>
              <w:jc w:val="center"/>
              <w:rPr>
                <w:noProof/>
                <w:sz w:val="20"/>
              </w:rPr>
            </w:pPr>
            <w:r>
              <w:rPr>
                <w:noProof/>
                <w:sz w:val="20"/>
              </w:rPr>
              <w:t>2020</w:t>
            </w:r>
          </w:p>
        </w:tc>
        <w:tc>
          <w:tcPr>
            <w:tcW w:w="1777" w:type="dxa"/>
            <w:vAlign w:val="center"/>
          </w:tcPr>
          <w:p w:rsidR="00824C36" w:rsidRDefault="00B97963">
            <w:pPr>
              <w:jc w:val="center"/>
              <w:rPr>
                <w:b/>
                <w:noProof/>
                <w:sz w:val="20"/>
              </w:rPr>
            </w:pPr>
            <w:r>
              <w:rPr>
                <w:b/>
                <w:noProof/>
                <w:sz w:val="20"/>
              </w:rPr>
              <w:t>TOTAL</w:t>
            </w:r>
          </w:p>
        </w:tc>
      </w:tr>
      <w:tr w:rsidR="00824C36">
        <w:trPr>
          <w:trHeight w:val="213"/>
          <w:jc w:val="center"/>
        </w:trPr>
        <w:tc>
          <w:tcPr>
            <w:tcW w:w="7811" w:type="dxa"/>
            <w:gridSpan w:val="3"/>
            <w:vAlign w:val="center"/>
          </w:tcPr>
          <w:p w:rsidR="00824C36" w:rsidRDefault="00B97963">
            <w:pPr>
              <w:spacing w:before="20" w:after="20"/>
              <w:rPr>
                <w:noProof/>
                <w:sz w:val="21"/>
              </w:rPr>
            </w:pPr>
            <w:r>
              <w:rPr>
                <w:noProof/>
                <w:sz w:val="21"/>
              </w:rPr>
              <w:sym w:font="Wingdings" w:char="F09F"/>
            </w:r>
            <w:r>
              <w:rPr>
                <w:noProof/>
                <w:sz w:val="21"/>
              </w:rPr>
              <w:t xml:space="preserve"> Crédits opérationnels </w:t>
            </w:r>
          </w:p>
        </w:tc>
        <w:tc>
          <w:tcPr>
            <w:tcW w:w="1134" w:type="dxa"/>
            <w:vAlign w:val="center"/>
          </w:tcPr>
          <w:p w:rsidR="00824C36" w:rsidRDefault="00824C36">
            <w:pPr>
              <w:rPr>
                <w:noProof/>
                <w:sz w:val="20"/>
              </w:rPr>
            </w:pPr>
          </w:p>
        </w:tc>
        <w:tc>
          <w:tcPr>
            <w:tcW w:w="1134" w:type="dxa"/>
            <w:vAlign w:val="center"/>
          </w:tcPr>
          <w:p w:rsidR="00824C36" w:rsidRDefault="00824C36">
            <w:pPr>
              <w:rPr>
                <w:noProof/>
                <w:sz w:val="20"/>
              </w:rPr>
            </w:pPr>
          </w:p>
        </w:tc>
        <w:tc>
          <w:tcPr>
            <w:tcW w:w="1134" w:type="dxa"/>
            <w:vAlign w:val="center"/>
          </w:tcPr>
          <w:p w:rsidR="00824C36" w:rsidRDefault="00824C36">
            <w:pPr>
              <w:rPr>
                <w:noProof/>
                <w:sz w:val="20"/>
              </w:rPr>
            </w:pPr>
          </w:p>
        </w:tc>
        <w:tc>
          <w:tcPr>
            <w:tcW w:w="1777" w:type="dxa"/>
            <w:vAlign w:val="center"/>
          </w:tcPr>
          <w:p w:rsidR="00824C36" w:rsidRDefault="00824C36">
            <w:pPr>
              <w:rPr>
                <w:b/>
                <w:noProof/>
                <w:sz w:val="20"/>
              </w:rPr>
            </w:pPr>
          </w:p>
        </w:tc>
      </w:tr>
      <w:tr w:rsidR="00824C36">
        <w:trPr>
          <w:trHeight w:val="277"/>
          <w:jc w:val="center"/>
        </w:trPr>
        <w:tc>
          <w:tcPr>
            <w:tcW w:w="5543" w:type="dxa"/>
            <w:vMerge w:val="restart"/>
            <w:vAlign w:val="center"/>
          </w:tcPr>
          <w:p w:rsidR="00824C36" w:rsidRDefault="00B97963">
            <w:pPr>
              <w:rPr>
                <w:noProof/>
                <w:sz w:val="22"/>
              </w:rPr>
            </w:pPr>
            <w:r>
              <w:rPr>
                <w:noProof/>
                <w:sz w:val="20"/>
              </w:rPr>
              <w:t>23 03 01 02</w:t>
            </w:r>
          </w:p>
        </w:tc>
        <w:tc>
          <w:tcPr>
            <w:tcW w:w="1417" w:type="dxa"/>
            <w:vAlign w:val="center"/>
          </w:tcPr>
          <w:p w:rsidR="00824C36" w:rsidRDefault="00B97963">
            <w:pPr>
              <w:spacing w:before="20" w:after="20"/>
              <w:rPr>
                <w:noProof/>
                <w:sz w:val="18"/>
              </w:rPr>
            </w:pPr>
            <w:r>
              <w:rPr>
                <w:noProof/>
                <w:sz w:val="18"/>
              </w:rPr>
              <w:t>Engagements</w:t>
            </w:r>
          </w:p>
        </w:tc>
        <w:tc>
          <w:tcPr>
            <w:tcW w:w="851" w:type="dxa"/>
            <w:vAlign w:val="center"/>
          </w:tcPr>
          <w:p w:rsidR="00824C36" w:rsidRDefault="00B97963">
            <w:pPr>
              <w:spacing w:before="20" w:after="20"/>
              <w:jc w:val="center"/>
              <w:rPr>
                <w:noProof/>
                <w:sz w:val="14"/>
              </w:rPr>
            </w:pPr>
            <w:r>
              <w:rPr>
                <w:noProof/>
                <w:sz w:val="14"/>
              </w:rPr>
              <w:t>1)</w:t>
            </w:r>
          </w:p>
        </w:tc>
        <w:tc>
          <w:tcPr>
            <w:tcW w:w="1134" w:type="dxa"/>
            <w:vAlign w:val="center"/>
          </w:tcPr>
          <w:p w:rsidR="00824C36" w:rsidRDefault="00B97963">
            <w:pPr>
              <w:spacing w:before="20" w:after="20"/>
              <w:jc w:val="right"/>
              <w:rPr>
                <w:noProof/>
                <w:sz w:val="20"/>
              </w:rPr>
            </w:pPr>
            <w:r>
              <w:rPr>
                <w:noProof/>
                <w:sz w:val="20"/>
              </w:rPr>
              <w:t>-</w:t>
            </w:r>
          </w:p>
        </w:tc>
        <w:tc>
          <w:tcPr>
            <w:tcW w:w="1134" w:type="dxa"/>
            <w:vAlign w:val="center"/>
          </w:tcPr>
          <w:p w:rsidR="00824C36" w:rsidRDefault="00B97963">
            <w:pPr>
              <w:spacing w:before="20" w:after="20"/>
              <w:jc w:val="right"/>
              <w:rPr>
                <w:noProof/>
                <w:sz w:val="20"/>
              </w:rPr>
            </w:pPr>
            <w:r>
              <w:rPr>
                <w:noProof/>
                <w:sz w:val="20"/>
              </w:rPr>
              <w:t>-</w:t>
            </w:r>
          </w:p>
        </w:tc>
        <w:tc>
          <w:tcPr>
            <w:tcW w:w="1134" w:type="dxa"/>
            <w:vAlign w:val="center"/>
          </w:tcPr>
          <w:p w:rsidR="00824C36" w:rsidRDefault="00B97963">
            <w:pPr>
              <w:spacing w:before="20" w:after="20"/>
              <w:jc w:val="right"/>
              <w:rPr>
                <w:noProof/>
                <w:sz w:val="20"/>
              </w:rPr>
            </w:pPr>
            <w:r>
              <w:rPr>
                <w:noProof/>
                <w:sz w:val="20"/>
              </w:rPr>
              <w:t>-</w:t>
            </w:r>
          </w:p>
        </w:tc>
        <w:tc>
          <w:tcPr>
            <w:tcW w:w="1777" w:type="dxa"/>
            <w:vAlign w:val="center"/>
          </w:tcPr>
          <w:p w:rsidR="00824C36" w:rsidRDefault="00B97963">
            <w:pPr>
              <w:spacing w:before="20" w:after="20"/>
              <w:jc w:val="right"/>
              <w:rPr>
                <w:b/>
                <w:noProof/>
                <w:sz w:val="20"/>
              </w:rPr>
            </w:pPr>
            <w:r>
              <w:rPr>
                <w:b/>
                <w:noProof/>
                <w:sz w:val="20"/>
              </w:rPr>
              <w:t>-</w:t>
            </w:r>
          </w:p>
        </w:tc>
      </w:tr>
      <w:tr w:rsidR="00824C36">
        <w:trPr>
          <w:jc w:val="center"/>
        </w:trPr>
        <w:tc>
          <w:tcPr>
            <w:tcW w:w="5543" w:type="dxa"/>
            <w:vMerge/>
          </w:tcPr>
          <w:p w:rsidR="00824C36" w:rsidRDefault="00824C36">
            <w:pPr>
              <w:jc w:val="center"/>
              <w:rPr>
                <w:noProof/>
                <w:sz w:val="20"/>
              </w:rPr>
            </w:pPr>
          </w:p>
        </w:tc>
        <w:tc>
          <w:tcPr>
            <w:tcW w:w="1417" w:type="dxa"/>
            <w:vAlign w:val="center"/>
          </w:tcPr>
          <w:p w:rsidR="00824C36" w:rsidRDefault="00B97963">
            <w:pPr>
              <w:spacing w:before="20" w:after="20"/>
              <w:rPr>
                <w:noProof/>
                <w:sz w:val="18"/>
              </w:rPr>
            </w:pPr>
            <w:r>
              <w:rPr>
                <w:noProof/>
                <w:sz w:val="18"/>
              </w:rPr>
              <w:t>Paiements</w:t>
            </w:r>
          </w:p>
        </w:tc>
        <w:tc>
          <w:tcPr>
            <w:tcW w:w="851" w:type="dxa"/>
            <w:vAlign w:val="center"/>
          </w:tcPr>
          <w:p w:rsidR="00824C36" w:rsidRDefault="00B97963">
            <w:pPr>
              <w:spacing w:before="20" w:after="20"/>
              <w:jc w:val="center"/>
              <w:rPr>
                <w:noProof/>
                <w:sz w:val="14"/>
              </w:rPr>
            </w:pPr>
            <w:r>
              <w:rPr>
                <w:noProof/>
                <w:sz w:val="14"/>
              </w:rPr>
              <w:t>2)</w:t>
            </w:r>
          </w:p>
        </w:tc>
        <w:tc>
          <w:tcPr>
            <w:tcW w:w="1134" w:type="dxa"/>
            <w:vAlign w:val="center"/>
          </w:tcPr>
          <w:p w:rsidR="00824C36" w:rsidRDefault="00B97963">
            <w:pPr>
              <w:spacing w:before="20" w:after="20"/>
              <w:jc w:val="right"/>
              <w:rPr>
                <w:noProof/>
                <w:sz w:val="20"/>
              </w:rPr>
            </w:pPr>
            <w:r>
              <w:rPr>
                <w:noProof/>
                <w:sz w:val="20"/>
              </w:rPr>
              <w:t>-</w:t>
            </w:r>
          </w:p>
        </w:tc>
        <w:tc>
          <w:tcPr>
            <w:tcW w:w="1134" w:type="dxa"/>
            <w:vAlign w:val="center"/>
          </w:tcPr>
          <w:p w:rsidR="00824C36" w:rsidRDefault="00B97963">
            <w:pPr>
              <w:spacing w:before="20" w:after="20"/>
              <w:jc w:val="right"/>
              <w:rPr>
                <w:noProof/>
                <w:sz w:val="20"/>
              </w:rPr>
            </w:pPr>
            <w:r>
              <w:rPr>
                <w:noProof/>
                <w:sz w:val="20"/>
              </w:rPr>
              <w:t>-</w:t>
            </w:r>
          </w:p>
        </w:tc>
        <w:tc>
          <w:tcPr>
            <w:tcW w:w="1134" w:type="dxa"/>
            <w:vAlign w:val="center"/>
          </w:tcPr>
          <w:p w:rsidR="00824C36" w:rsidRDefault="00B97963">
            <w:pPr>
              <w:spacing w:before="20" w:after="20"/>
              <w:jc w:val="right"/>
              <w:rPr>
                <w:noProof/>
                <w:sz w:val="20"/>
              </w:rPr>
            </w:pPr>
            <w:r>
              <w:rPr>
                <w:noProof/>
                <w:sz w:val="20"/>
              </w:rPr>
              <w:t>-</w:t>
            </w:r>
          </w:p>
        </w:tc>
        <w:tc>
          <w:tcPr>
            <w:tcW w:w="1777" w:type="dxa"/>
            <w:vAlign w:val="center"/>
          </w:tcPr>
          <w:p w:rsidR="00824C36" w:rsidRDefault="00B97963">
            <w:pPr>
              <w:spacing w:before="20" w:after="20"/>
              <w:jc w:val="right"/>
              <w:rPr>
                <w:b/>
                <w:noProof/>
                <w:sz w:val="20"/>
              </w:rPr>
            </w:pPr>
            <w:r>
              <w:rPr>
                <w:b/>
                <w:noProof/>
                <w:sz w:val="20"/>
              </w:rPr>
              <w:t>-</w:t>
            </w:r>
          </w:p>
        </w:tc>
      </w:tr>
      <w:tr w:rsidR="00824C36">
        <w:trPr>
          <w:jc w:val="center"/>
        </w:trPr>
        <w:tc>
          <w:tcPr>
            <w:tcW w:w="5543" w:type="dxa"/>
            <w:vMerge w:val="restart"/>
            <w:vAlign w:val="center"/>
          </w:tcPr>
          <w:p w:rsidR="00824C36" w:rsidRDefault="00B97963">
            <w:pPr>
              <w:rPr>
                <w:noProof/>
                <w:sz w:val="22"/>
              </w:rPr>
            </w:pPr>
            <w:r>
              <w:rPr>
                <w:noProof/>
                <w:sz w:val="20"/>
              </w:rPr>
              <w:t>23 03 02 02</w:t>
            </w:r>
          </w:p>
        </w:tc>
        <w:tc>
          <w:tcPr>
            <w:tcW w:w="1417" w:type="dxa"/>
            <w:vAlign w:val="center"/>
          </w:tcPr>
          <w:p w:rsidR="00824C36" w:rsidRDefault="00B97963">
            <w:pPr>
              <w:spacing w:before="20" w:after="20"/>
              <w:rPr>
                <w:noProof/>
                <w:sz w:val="18"/>
              </w:rPr>
            </w:pPr>
            <w:r>
              <w:rPr>
                <w:noProof/>
                <w:sz w:val="18"/>
              </w:rPr>
              <w:t>Engagements</w:t>
            </w:r>
          </w:p>
        </w:tc>
        <w:tc>
          <w:tcPr>
            <w:tcW w:w="851" w:type="dxa"/>
            <w:vAlign w:val="center"/>
          </w:tcPr>
          <w:p w:rsidR="00824C36" w:rsidRDefault="00B97963">
            <w:pPr>
              <w:spacing w:before="20" w:after="20"/>
              <w:jc w:val="center"/>
              <w:rPr>
                <w:noProof/>
                <w:sz w:val="14"/>
              </w:rPr>
            </w:pPr>
            <w:r>
              <w:rPr>
                <w:noProof/>
                <w:sz w:val="14"/>
              </w:rPr>
              <w:t>1a)</w:t>
            </w:r>
          </w:p>
        </w:tc>
        <w:tc>
          <w:tcPr>
            <w:tcW w:w="1134" w:type="dxa"/>
            <w:vAlign w:val="center"/>
          </w:tcPr>
          <w:p w:rsidR="00824C36" w:rsidRDefault="00B97963">
            <w:pPr>
              <w:spacing w:before="20" w:after="20"/>
              <w:jc w:val="right"/>
              <w:rPr>
                <w:noProof/>
                <w:sz w:val="20"/>
              </w:rPr>
            </w:pPr>
            <w:r>
              <w:rPr>
                <w:noProof/>
                <w:sz w:val="20"/>
              </w:rPr>
              <w:t>2</w:t>
            </w:r>
          </w:p>
        </w:tc>
        <w:tc>
          <w:tcPr>
            <w:tcW w:w="1134" w:type="dxa"/>
            <w:vAlign w:val="center"/>
          </w:tcPr>
          <w:p w:rsidR="00824C36" w:rsidRDefault="00B97963">
            <w:pPr>
              <w:spacing w:before="20" w:after="20"/>
              <w:jc w:val="right"/>
              <w:rPr>
                <w:noProof/>
                <w:sz w:val="20"/>
              </w:rPr>
            </w:pPr>
            <w:r>
              <w:rPr>
                <w:noProof/>
                <w:sz w:val="20"/>
              </w:rPr>
              <w:t>2</w:t>
            </w:r>
          </w:p>
        </w:tc>
        <w:tc>
          <w:tcPr>
            <w:tcW w:w="1134" w:type="dxa"/>
            <w:vAlign w:val="center"/>
          </w:tcPr>
          <w:p w:rsidR="00824C36" w:rsidRDefault="00B97963">
            <w:pPr>
              <w:spacing w:before="20" w:after="20"/>
              <w:jc w:val="right"/>
              <w:rPr>
                <w:noProof/>
                <w:sz w:val="20"/>
              </w:rPr>
            </w:pPr>
            <w:r>
              <w:rPr>
                <w:noProof/>
                <w:sz w:val="20"/>
              </w:rPr>
              <w:t>2,284</w:t>
            </w:r>
          </w:p>
        </w:tc>
        <w:tc>
          <w:tcPr>
            <w:tcW w:w="1777" w:type="dxa"/>
            <w:vAlign w:val="center"/>
          </w:tcPr>
          <w:p w:rsidR="00824C36" w:rsidRDefault="00B97963">
            <w:pPr>
              <w:spacing w:before="20" w:after="20"/>
              <w:jc w:val="right"/>
              <w:rPr>
                <w:b/>
                <w:noProof/>
                <w:sz w:val="20"/>
              </w:rPr>
            </w:pPr>
            <w:r>
              <w:rPr>
                <w:b/>
                <w:noProof/>
                <w:sz w:val="20"/>
              </w:rPr>
              <w:t>6,284</w:t>
            </w:r>
          </w:p>
        </w:tc>
      </w:tr>
      <w:tr w:rsidR="00824C36">
        <w:trPr>
          <w:jc w:val="center"/>
        </w:trPr>
        <w:tc>
          <w:tcPr>
            <w:tcW w:w="5543" w:type="dxa"/>
            <w:vMerge/>
          </w:tcPr>
          <w:p w:rsidR="00824C36" w:rsidRDefault="00824C36">
            <w:pPr>
              <w:jc w:val="center"/>
              <w:rPr>
                <w:noProof/>
                <w:sz w:val="20"/>
              </w:rPr>
            </w:pPr>
          </w:p>
        </w:tc>
        <w:tc>
          <w:tcPr>
            <w:tcW w:w="1417" w:type="dxa"/>
            <w:vAlign w:val="center"/>
          </w:tcPr>
          <w:p w:rsidR="00824C36" w:rsidRDefault="00B97963">
            <w:pPr>
              <w:spacing w:before="20" w:after="20"/>
              <w:rPr>
                <w:noProof/>
                <w:sz w:val="18"/>
              </w:rPr>
            </w:pPr>
            <w:r>
              <w:rPr>
                <w:noProof/>
                <w:sz w:val="18"/>
              </w:rPr>
              <w:t>Paiements</w:t>
            </w:r>
          </w:p>
        </w:tc>
        <w:tc>
          <w:tcPr>
            <w:tcW w:w="851" w:type="dxa"/>
            <w:vAlign w:val="center"/>
          </w:tcPr>
          <w:p w:rsidR="00824C36" w:rsidRDefault="00B97963">
            <w:pPr>
              <w:spacing w:before="20" w:after="20"/>
              <w:jc w:val="center"/>
              <w:rPr>
                <w:noProof/>
                <w:sz w:val="14"/>
              </w:rPr>
            </w:pPr>
            <w:r>
              <w:rPr>
                <w:noProof/>
                <w:sz w:val="14"/>
              </w:rPr>
              <w:t>2a)</w:t>
            </w:r>
          </w:p>
        </w:tc>
        <w:tc>
          <w:tcPr>
            <w:tcW w:w="1134" w:type="dxa"/>
            <w:vAlign w:val="bottom"/>
          </w:tcPr>
          <w:p w:rsidR="00824C36" w:rsidRDefault="00B97963">
            <w:pPr>
              <w:spacing w:before="20" w:after="20"/>
              <w:jc w:val="right"/>
              <w:rPr>
                <w:noProof/>
                <w:sz w:val="20"/>
              </w:rPr>
            </w:pPr>
            <w:r>
              <w:rPr>
                <w:noProof/>
                <w:sz w:val="20"/>
              </w:rPr>
              <w:t>0,8</w:t>
            </w:r>
          </w:p>
        </w:tc>
        <w:tc>
          <w:tcPr>
            <w:tcW w:w="1134" w:type="dxa"/>
            <w:vAlign w:val="bottom"/>
          </w:tcPr>
          <w:p w:rsidR="00824C36" w:rsidRDefault="00B97963">
            <w:pPr>
              <w:spacing w:before="20" w:after="20"/>
              <w:jc w:val="right"/>
              <w:rPr>
                <w:noProof/>
                <w:sz w:val="20"/>
              </w:rPr>
            </w:pPr>
            <w:r>
              <w:rPr>
                <w:noProof/>
                <w:sz w:val="20"/>
              </w:rPr>
              <w:t>1,8</w:t>
            </w:r>
          </w:p>
        </w:tc>
        <w:tc>
          <w:tcPr>
            <w:tcW w:w="1134" w:type="dxa"/>
            <w:vAlign w:val="bottom"/>
          </w:tcPr>
          <w:p w:rsidR="00824C36" w:rsidRDefault="00B97963">
            <w:pPr>
              <w:spacing w:before="20" w:after="20"/>
              <w:jc w:val="right"/>
              <w:rPr>
                <w:noProof/>
                <w:sz w:val="20"/>
              </w:rPr>
            </w:pPr>
            <w:r>
              <w:rPr>
                <w:noProof/>
                <w:sz w:val="20"/>
              </w:rPr>
              <w:t>2,014</w:t>
            </w:r>
          </w:p>
        </w:tc>
        <w:tc>
          <w:tcPr>
            <w:tcW w:w="1777" w:type="dxa"/>
            <w:vAlign w:val="center"/>
          </w:tcPr>
          <w:p w:rsidR="00824C36" w:rsidRDefault="00B97963">
            <w:pPr>
              <w:spacing w:before="20" w:after="20"/>
              <w:jc w:val="right"/>
              <w:rPr>
                <w:b/>
                <w:noProof/>
                <w:sz w:val="20"/>
              </w:rPr>
            </w:pPr>
            <w:r>
              <w:rPr>
                <w:b/>
                <w:noProof/>
                <w:sz w:val="20"/>
              </w:rPr>
              <w:t>4,614</w:t>
            </w:r>
          </w:p>
        </w:tc>
      </w:tr>
      <w:tr w:rsidR="00824C36">
        <w:trPr>
          <w:trHeight w:val="231"/>
          <w:jc w:val="center"/>
        </w:trPr>
        <w:tc>
          <w:tcPr>
            <w:tcW w:w="7811" w:type="dxa"/>
            <w:gridSpan w:val="3"/>
            <w:vAlign w:val="center"/>
          </w:tcPr>
          <w:p w:rsidR="00824C36" w:rsidRDefault="00B97963">
            <w:pPr>
              <w:spacing w:before="20" w:after="20"/>
              <w:rPr>
                <w:noProof/>
                <w:sz w:val="22"/>
              </w:rPr>
            </w:pPr>
            <w:r>
              <w:rPr>
                <w:noProof/>
                <w:sz w:val="21"/>
              </w:rPr>
              <w:t>Crédits de nature administrative financés par l'enveloppe de certains programmes spécifiques</w:t>
            </w:r>
            <w:r>
              <w:rPr>
                <w:rStyle w:val="FootnoteReference"/>
                <w:noProof/>
              </w:rPr>
              <w:footnoteReference w:id="24"/>
            </w:r>
            <w:r>
              <w:rPr>
                <w:noProof/>
                <w:sz w:val="21"/>
              </w:rPr>
              <w:t xml:space="preserve"> </w:t>
            </w:r>
          </w:p>
          <w:p w:rsidR="00824C36" w:rsidRDefault="00824C36">
            <w:pPr>
              <w:spacing w:before="0" w:after="0"/>
              <w:rPr>
                <w:noProof/>
                <w:sz w:val="22"/>
              </w:rPr>
            </w:pPr>
          </w:p>
        </w:tc>
        <w:tc>
          <w:tcPr>
            <w:tcW w:w="1134" w:type="dxa"/>
            <w:vAlign w:val="center"/>
          </w:tcPr>
          <w:p w:rsidR="00824C36" w:rsidRDefault="00824C36">
            <w:pPr>
              <w:rPr>
                <w:b/>
                <w:noProof/>
                <w:sz w:val="20"/>
              </w:rPr>
            </w:pPr>
          </w:p>
        </w:tc>
        <w:tc>
          <w:tcPr>
            <w:tcW w:w="1134" w:type="dxa"/>
            <w:vAlign w:val="center"/>
          </w:tcPr>
          <w:p w:rsidR="00824C36" w:rsidRDefault="00824C36">
            <w:pPr>
              <w:rPr>
                <w:b/>
                <w:noProof/>
                <w:sz w:val="20"/>
              </w:rPr>
            </w:pPr>
          </w:p>
        </w:tc>
        <w:tc>
          <w:tcPr>
            <w:tcW w:w="1134" w:type="dxa"/>
            <w:vAlign w:val="center"/>
          </w:tcPr>
          <w:p w:rsidR="00824C36" w:rsidRDefault="00824C36">
            <w:pPr>
              <w:rPr>
                <w:b/>
                <w:noProof/>
                <w:sz w:val="20"/>
              </w:rPr>
            </w:pPr>
          </w:p>
        </w:tc>
        <w:tc>
          <w:tcPr>
            <w:tcW w:w="1777" w:type="dxa"/>
            <w:vAlign w:val="center"/>
          </w:tcPr>
          <w:p w:rsidR="00824C36" w:rsidRDefault="00824C36">
            <w:pPr>
              <w:rPr>
                <w:b/>
                <w:noProof/>
                <w:sz w:val="20"/>
              </w:rPr>
            </w:pPr>
          </w:p>
        </w:tc>
      </w:tr>
      <w:tr w:rsidR="00824C36">
        <w:trPr>
          <w:trHeight w:val="319"/>
          <w:jc w:val="center"/>
        </w:trPr>
        <w:tc>
          <w:tcPr>
            <w:tcW w:w="5543" w:type="dxa"/>
            <w:vAlign w:val="center"/>
          </w:tcPr>
          <w:p w:rsidR="00824C36" w:rsidRDefault="00B97963">
            <w:pPr>
              <w:spacing w:before="60" w:after="60"/>
              <w:rPr>
                <w:noProof/>
                <w:sz w:val="22"/>
              </w:rPr>
            </w:pPr>
            <w:r>
              <w:rPr>
                <w:noProof/>
                <w:sz w:val="20"/>
              </w:rPr>
              <w:t>Numéro de ligne budgétaire</w:t>
            </w:r>
          </w:p>
        </w:tc>
        <w:tc>
          <w:tcPr>
            <w:tcW w:w="1417" w:type="dxa"/>
            <w:vAlign w:val="center"/>
          </w:tcPr>
          <w:p w:rsidR="00824C36" w:rsidRDefault="00824C36">
            <w:pPr>
              <w:spacing w:before="40" w:after="40"/>
              <w:jc w:val="right"/>
              <w:rPr>
                <w:noProof/>
                <w:sz w:val="18"/>
              </w:rPr>
            </w:pPr>
          </w:p>
        </w:tc>
        <w:tc>
          <w:tcPr>
            <w:tcW w:w="851" w:type="dxa"/>
            <w:vAlign w:val="center"/>
          </w:tcPr>
          <w:p w:rsidR="00824C36" w:rsidRDefault="00B97963">
            <w:pPr>
              <w:spacing w:before="40" w:after="40"/>
              <w:jc w:val="center"/>
              <w:rPr>
                <w:noProof/>
                <w:sz w:val="14"/>
              </w:rPr>
            </w:pPr>
            <w:r>
              <w:rPr>
                <w:noProof/>
                <w:sz w:val="14"/>
              </w:rPr>
              <w:t>3)</w:t>
            </w:r>
          </w:p>
        </w:tc>
        <w:tc>
          <w:tcPr>
            <w:tcW w:w="1134" w:type="dxa"/>
            <w:vAlign w:val="center"/>
          </w:tcPr>
          <w:p w:rsidR="00824C36" w:rsidRDefault="00B97963">
            <w:pPr>
              <w:jc w:val="center"/>
              <w:rPr>
                <w:noProof/>
                <w:sz w:val="20"/>
              </w:rPr>
            </w:pPr>
            <w:r>
              <w:rPr>
                <w:noProof/>
                <w:sz w:val="20"/>
              </w:rPr>
              <w:t>2018</w:t>
            </w:r>
          </w:p>
        </w:tc>
        <w:tc>
          <w:tcPr>
            <w:tcW w:w="1134" w:type="dxa"/>
            <w:vAlign w:val="center"/>
          </w:tcPr>
          <w:p w:rsidR="00824C36" w:rsidRDefault="00B97963">
            <w:pPr>
              <w:jc w:val="center"/>
              <w:rPr>
                <w:noProof/>
                <w:sz w:val="20"/>
              </w:rPr>
            </w:pPr>
            <w:r>
              <w:rPr>
                <w:noProof/>
                <w:sz w:val="20"/>
              </w:rPr>
              <w:t>2019</w:t>
            </w:r>
          </w:p>
        </w:tc>
        <w:tc>
          <w:tcPr>
            <w:tcW w:w="1134" w:type="dxa"/>
            <w:vAlign w:val="center"/>
          </w:tcPr>
          <w:p w:rsidR="00824C36" w:rsidRDefault="00B97963">
            <w:pPr>
              <w:jc w:val="center"/>
              <w:rPr>
                <w:noProof/>
                <w:sz w:val="20"/>
              </w:rPr>
            </w:pPr>
            <w:r>
              <w:rPr>
                <w:noProof/>
                <w:sz w:val="20"/>
              </w:rPr>
              <w:t>2020</w:t>
            </w:r>
          </w:p>
        </w:tc>
        <w:tc>
          <w:tcPr>
            <w:tcW w:w="1777" w:type="dxa"/>
            <w:vAlign w:val="center"/>
          </w:tcPr>
          <w:p w:rsidR="00824C36" w:rsidRDefault="00B97963">
            <w:pPr>
              <w:jc w:val="center"/>
              <w:rPr>
                <w:b/>
                <w:noProof/>
                <w:sz w:val="20"/>
              </w:rPr>
            </w:pPr>
            <w:r>
              <w:rPr>
                <w:b/>
                <w:noProof/>
                <w:sz w:val="20"/>
              </w:rPr>
              <w:t>TOTAL</w:t>
            </w:r>
          </w:p>
        </w:tc>
      </w:tr>
      <w:tr w:rsidR="00824C36">
        <w:trPr>
          <w:jc w:val="center"/>
        </w:trPr>
        <w:tc>
          <w:tcPr>
            <w:tcW w:w="5543" w:type="dxa"/>
            <w:vMerge w:val="restart"/>
            <w:vAlign w:val="center"/>
          </w:tcPr>
          <w:p w:rsidR="00824C36" w:rsidRDefault="00B97963">
            <w:pPr>
              <w:jc w:val="center"/>
              <w:rPr>
                <w:b/>
                <w:noProof/>
                <w:sz w:val="22"/>
              </w:rPr>
            </w:pPr>
            <w:r>
              <w:rPr>
                <w:b/>
                <w:noProof/>
                <w:sz w:val="22"/>
              </w:rPr>
              <w:t>TOTAL de crédits</w:t>
            </w:r>
            <w:r>
              <w:rPr>
                <w:b/>
                <w:noProof/>
                <w:sz w:val="22"/>
              </w:rPr>
              <w:br/>
              <w:t>pour la DG ECHO</w:t>
            </w:r>
          </w:p>
        </w:tc>
        <w:tc>
          <w:tcPr>
            <w:tcW w:w="1417" w:type="dxa"/>
            <w:vAlign w:val="center"/>
          </w:tcPr>
          <w:p w:rsidR="00824C36" w:rsidRDefault="00B97963">
            <w:pPr>
              <w:rPr>
                <w:noProof/>
                <w:sz w:val="18"/>
              </w:rPr>
            </w:pPr>
            <w:r>
              <w:rPr>
                <w:noProof/>
                <w:sz w:val="18"/>
              </w:rPr>
              <w:t>Engagements</w:t>
            </w:r>
          </w:p>
        </w:tc>
        <w:tc>
          <w:tcPr>
            <w:tcW w:w="851" w:type="dxa"/>
            <w:vAlign w:val="center"/>
          </w:tcPr>
          <w:p w:rsidR="00824C36" w:rsidRDefault="00B97963">
            <w:pPr>
              <w:jc w:val="center"/>
              <w:rPr>
                <w:noProof/>
                <w:sz w:val="14"/>
              </w:rPr>
            </w:pPr>
            <w:r>
              <w:rPr>
                <w:noProof/>
                <w:sz w:val="14"/>
              </w:rPr>
              <w:t>=1+1a +3</w:t>
            </w:r>
          </w:p>
        </w:tc>
        <w:tc>
          <w:tcPr>
            <w:tcW w:w="1134" w:type="dxa"/>
            <w:vAlign w:val="center"/>
          </w:tcPr>
          <w:p w:rsidR="00824C36" w:rsidRDefault="00B97963">
            <w:pPr>
              <w:spacing w:before="20" w:after="20"/>
              <w:jc w:val="right"/>
              <w:rPr>
                <w:noProof/>
                <w:sz w:val="20"/>
              </w:rPr>
            </w:pPr>
            <w:r>
              <w:rPr>
                <w:noProof/>
                <w:sz w:val="20"/>
              </w:rPr>
              <w:t>2</w:t>
            </w:r>
          </w:p>
        </w:tc>
        <w:tc>
          <w:tcPr>
            <w:tcW w:w="1134" w:type="dxa"/>
            <w:vAlign w:val="center"/>
          </w:tcPr>
          <w:p w:rsidR="00824C36" w:rsidRDefault="00B97963">
            <w:pPr>
              <w:spacing w:before="20" w:after="20"/>
              <w:jc w:val="right"/>
              <w:rPr>
                <w:noProof/>
                <w:sz w:val="20"/>
              </w:rPr>
            </w:pPr>
            <w:r>
              <w:rPr>
                <w:noProof/>
                <w:sz w:val="20"/>
              </w:rPr>
              <w:t>2</w:t>
            </w:r>
          </w:p>
        </w:tc>
        <w:tc>
          <w:tcPr>
            <w:tcW w:w="1134" w:type="dxa"/>
            <w:vAlign w:val="center"/>
          </w:tcPr>
          <w:p w:rsidR="00824C36" w:rsidRDefault="00B97963">
            <w:pPr>
              <w:spacing w:before="20" w:after="20"/>
              <w:jc w:val="right"/>
              <w:rPr>
                <w:noProof/>
                <w:sz w:val="20"/>
              </w:rPr>
            </w:pPr>
            <w:r>
              <w:rPr>
                <w:noProof/>
                <w:sz w:val="20"/>
              </w:rPr>
              <w:t>2,284</w:t>
            </w:r>
          </w:p>
        </w:tc>
        <w:tc>
          <w:tcPr>
            <w:tcW w:w="1777" w:type="dxa"/>
            <w:vAlign w:val="center"/>
          </w:tcPr>
          <w:p w:rsidR="00824C36" w:rsidRDefault="00B97963">
            <w:pPr>
              <w:spacing w:before="20" w:after="20"/>
              <w:jc w:val="right"/>
              <w:rPr>
                <w:b/>
                <w:noProof/>
                <w:sz w:val="20"/>
              </w:rPr>
            </w:pPr>
            <w:r>
              <w:rPr>
                <w:b/>
                <w:noProof/>
                <w:sz w:val="20"/>
              </w:rPr>
              <w:t>6,284</w:t>
            </w:r>
          </w:p>
        </w:tc>
      </w:tr>
      <w:tr w:rsidR="00824C36">
        <w:trPr>
          <w:jc w:val="center"/>
        </w:trPr>
        <w:tc>
          <w:tcPr>
            <w:tcW w:w="5543" w:type="dxa"/>
            <w:vMerge/>
          </w:tcPr>
          <w:p w:rsidR="00824C36" w:rsidRDefault="00824C36">
            <w:pPr>
              <w:rPr>
                <w:noProof/>
                <w:sz w:val="20"/>
              </w:rPr>
            </w:pPr>
          </w:p>
        </w:tc>
        <w:tc>
          <w:tcPr>
            <w:tcW w:w="1417" w:type="dxa"/>
            <w:vAlign w:val="center"/>
          </w:tcPr>
          <w:p w:rsidR="00824C36" w:rsidRDefault="00B97963">
            <w:pPr>
              <w:rPr>
                <w:noProof/>
                <w:sz w:val="18"/>
              </w:rPr>
            </w:pPr>
            <w:r>
              <w:rPr>
                <w:noProof/>
                <w:sz w:val="18"/>
              </w:rPr>
              <w:t>Paiements</w:t>
            </w:r>
          </w:p>
        </w:tc>
        <w:tc>
          <w:tcPr>
            <w:tcW w:w="851" w:type="dxa"/>
            <w:vAlign w:val="center"/>
          </w:tcPr>
          <w:p w:rsidR="00824C36" w:rsidRDefault="00B97963">
            <w:pPr>
              <w:jc w:val="center"/>
              <w:rPr>
                <w:noProof/>
                <w:sz w:val="14"/>
              </w:rPr>
            </w:pPr>
            <w:r>
              <w:rPr>
                <w:noProof/>
                <w:sz w:val="14"/>
              </w:rPr>
              <w:t>=2+2a</w:t>
            </w:r>
          </w:p>
          <w:p w:rsidR="00824C36" w:rsidRDefault="00B97963">
            <w:pPr>
              <w:jc w:val="center"/>
              <w:rPr>
                <w:noProof/>
                <w:sz w:val="14"/>
              </w:rPr>
            </w:pPr>
            <w:r>
              <w:rPr>
                <w:noProof/>
                <w:sz w:val="14"/>
              </w:rPr>
              <w:t>+3</w:t>
            </w:r>
          </w:p>
        </w:tc>
        <w:tc>
          <w:tcPr>
            <w:tcW w:w="1134" w:type="dxa"/>
            <w:vAlign w:val="center"/>
          </w:tcPr>
          <w:p w:rsidR="00824C36" w:rsidRDefault="00B97963">
            <w:pPr>
              <w:spacing w:before="20" w:after="20"/>
              <w:jc w:val="right"/>
              <w:rPr>
                <w:noProof/>
                <w:sz w:val="20"/>
              </w:rPr>
            </w:pPr>
            <w:r>
              <w:rPr>
                <w:noProof/>
                <w:sz w:val="20"/>
              </w:rPr>
              <w:t>0,8</w:t>
            </w:r>
          </w:p>
        </w:tc>
        <w:tc>
          <w:tcPr>
            <w:tcW w:w="1134" w:type="dxa"/>
            <w:vAlign w:val="center"/>
          </w:tcPr>
          <w:p w:rsidR="00824C36" w:rsidRDefault="00B97963">
            <w:pPr>
              <w:spacing w:before="20" w:after="20"/>
              <w:jc w:val="right"/>
              <w:rPr>
                <w:noProof/>
                <w:sz w:val="20"/>
              </w:rPr>
            </w:pPr>
            <w:r>
              <w:rPr>
                <w:noProof/>
                <w:sz w:val="20"/>
              </w:rPr>
              <w:t>1,8</w:t>
            </w:r>
          </w:p>
        </w:tc>
        <w:tc>
          <w:tcPr>
            <w:tcW w:w="1134" w:type="dxa"/>
            <w:vAlign w:val="center"/>
          </w:tcPr>
          <w:p w:rsidR="00824C36" w:rsidRDefault="00B97963">
            <w:pPr>
              <w:spacing w:before="20" w:after="20"/>
              <w:jc w:val="right"/>
              <w:rPr>
                <w:noProof/>
                <w:sz w:val="20"/>
              </w:rPr>
            </w:pPr>
            <w:r>
              <w:rPr>
                <w:noProof/>
                <w:sz w:val="20"/>
              </w:rPr>
              <w:t>2,014</w:t>
            </w:r>
          </w:p>
        </w:tc>
        <w:tc>
          <w:tcPr>
            <w:tcW w:w="1777" w:type="dxa"/>
            <w:vAlign w:val="center"/>
          </w:tcPr>
          <w:p w:rsidR="00824C36" w:rsidRDefault="00B97963">
            <w:pPr>
              <w:spacing w:before="20" w:after="20"/>
              <w:jc w:val="right"/>
              <w:rPr>
                <w:b/>
                <w:noProof/>
                <w:sz w:val="20"/>
              </w:rPr>
            </w:pPr>
            <w:r>
              <w:rPr>
                <w:b/>
                <w:noProof/>
                <w:sz w:val="20"/>
              </w:rPr>
              <w:t>4,614</w:t>
            </w:r>
          </w:p>
        </w:tc>
      </w:tr>
    </w:tbl>
    <w:p w:rsidR="00824C36" w:rsidRDefault="00B97963">
      <w:pPr>
        <w:rPr>
          <w:noProof/>
        </w:rPr>
      </w:pPr>
      <w:r>
        <w:rPr>
          <w:noProof/>
        </w:rPr>
        <w:br/>
      </w:r>
      <w:r>
        <w:rPr>
          <w:noProof/>
        </w:rPr>
        <w:br/>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1417"/>
        <w:gridCol w:w="851"/>
        <w:gridCol w:w="1134"/>
        <w:gridCol w:w="1134"/>
        <w:gridCol w:w="1134"/>
        <w:gridCol w:w="1701"/>
      </w:tblGrid>
      <w:tr w:rsidR="00824C36">
        <w:trPr>
          <w:trHeight w:val="277"/>
        </w:trPr>
        <w:tc>
          <w:tcPr>
            <w:tcW w:w="5529" w:type="dxa"/>
            <w:vMerge w:val="restart"/>
            <w:vAlign w:val="center"/>
          </w:tcPr>
          <w:p w:rsidR="00824C36" w:rsidRDefault="00B97963">
            <w:pPr>
              <w:spacing w:before="20" w:after="20"/>
              <w:rPr>
                <w:noProof/>
                <w:sz w:val="22"/>
              </w:rPr>
            </w:pPr>
            <w:r>
              <w:rPr>
                <w:noProof/>
              </w:rPr>
              <w:br w:type="page"/>
            </w:r>
            <w:r>
              <w:rPr>
                <w:noProof/>
                <w:sz w:val="21"/>
              </w:rPr>
              <w:sym w:font="Wingdings" w:char="F09F"/>
            </w:r>
            <w:r>
              <w:rPr>
                <w:noProof/>
                <w:sz w:val="21"/>
              </w:rPr>
              <w:t>TOTAL des crédits opérationnels</w:t>
            </w:r>
          </w:p>
        </w:tc>
        <w:tc>
          <w:tcPr>
            <w:tcW w:w="1417" w:type="dxa"/>
            <w:vAlign w:val="center"/>
          </w:tcPr>
          <w:p w:rsidR="00824C36" w:rsidRDefault="00B97963">
            <w:pPr>
              <w:spacing w:beforeLines="20" w:before="48" w:afterLines="20" w:after="48"/>
              <w:rPr>
                <w:noProof/>
                <w:sz w:val="18"/>
              </w:rPr>
            </w:pPr>
            <w:r>
              <w:rPr>
                <w:noProof/>
                <w:sz w:val="18"/>
              </w:rPr>
              <w:t>Engagements</w:t>
            </w:r>
          </w:p>
        </w:tc>
        <w:tc>
          <w:tcPr>
            <w:tcW w:w="851" w:type="dxa"/>
            <w:vAlign w:val="center"/>
          </w:tcPr>
          <w:p w:rsidR="00824C36" w:rsidRDefault="00B97963">
            <w:pPr>
              <w:spacing w:beforeLines="20" w:before="48" w:afterLines="20" w:after="48"/>
              <w:jc w:val="center"/>
              <w:rPr>
                <w:noProof/>
                <w:sz w:val="14"/>
              </w:rPr>
            </w:pPr>
            <w:r>
              <w:rPr>
                <w:noProof/>
                <w:sz w:val="14"/>
              </w:rPr>
              <w:t>4)</w:t>
            </w:r>
          </w:p>
        </w:tc>
        <w:tc>
          <w:tcPr>
            <w:tcW w:w="1134" w:type="dxa"/>
            <w:vAlign w:val="center"/>
          </w:tcPr>
          <w:p w:rsidR="00824C36" w:rsidRDefault="00B97963">
            <w:pPr>
              <w:spacing w:before="20" w:after="20"/>
              <w:jc w:val="right"/>
              <w:rPr>
                <w:noProof/>
                <w:sz w:val="20"/>
              </w:rPr>
            </w:pPr>
            <w:r>
              <w:rPr>
                <w:noProof/>
                <w:sz w:val="20"/>
              </w:rPr>
              <w:t>2</w:t>
            </w:r>
          </w:p>
        </w:tc>
        <w:tc>
          <w:tcPr>
            <w:tcW w:w="1134" w:type="dxa"/>
            <w:vAlign w:val="center"/>
          </w:tcPr>
          <w:p w:rsidR="00824C36" w:rsidRDefault="00B97963">
            <w:pPr>
              <w:spacing w:before="20" w:after="20"/>
              <w:jc w:val="right"/>
              <w:rPr>
                <w:noProof/>
                <w:sz w:val="20"/>
              </w:rPr>
            </w:pPr>
            <w:r>
              <w:rPr>
                <w:noProof/>
                <w:sz w:val="20"/>
              </w:rPr>
              <w:t>2</w:t>
            </w:r>
          </w:p>
        </w:tc>
        <w:tc>
          <w:tcPr>
            <w:tcW w:w="1134" w:type="dxa"/>
            <w:vAlign w:val="center"/>
          </w:tcPr>
          <w:p w:rsidR="00824C36" w:rsidRDefault="00B97963">
            <w:pPr>
              <w:spacing w:before="20" w:after="20"/>
              <w:jc w:val="right"/>
              <w:rPr>
                <w:noProof/>
                <w:sz w:val="20"/>
              </w:rPr>
            </w:pPr>
            <w:r>
              <w:rPr>
                <w:noProof/>
                <w:sz w:val="20"/>
              </w:rPr>
              <w:t>2,284</w:t>
            </w:r>
          </w:p>
        </w:tc>
        <w:tc>
          <w:tcPr>
            <w:tcW w:w="1701" w:type="dxa"/>
            <w:vAlign w:val="center"/>
          </w:tcPr>
          <w:p w:rsidR="00824C36" w:rsidRDefault="00B97963">
            <w:pPr>
              <w:spacing w:before="20" w:after="20"/>
              <w:jc w:val="right"/>
              <w:rPr>
                <w:b/>
                <w:noProof/>
                <w:sz w:val="20"/>
              </w:rPr>
            </w:pPr>
            <w:r>
              <w:rPr>
                <w:b/>
                <w:noProof/>
                <w:sz w:val="20"/>
              </w:rPr>
              <w:t>6,284</w:t>
            </w:r>
          </w:p>
        </w:tc>
      </w:tr>
      <w:tr w:rsidR="00824C36">
        <w:tc>
          <w:tcPr>
            <w:tcW w:w="5529" w:type="dxa"/>
            <w:vMerge/>
          </w:tcPr>
          <w:p w:rsidR="00824C36" w:rsidRDefault="00824C36">
            <w:pPr>
              <w:jc w:val="center"/>
              <w:rPr>
                <w:noProof/>
                <w:sz w:val="20"/>
              </w:rPr>
            </w:pPr>
          </w:p>
        </w:tc>
        <w:tc>
          <w:tcPr>
            <w:tcW w:w="1417" w:type="dxa"/>
            <w:vAlign w:val="center"/>
          </w:tcPr>
          <w:p w:rsidR="00824C36" w:rsidRDefault="00B97963">
            <w:pPr>
              <w:spacing w:beforeLines="20" w:before="48" w:afterLines="20" w:after="48"/>
              <w:rPr>
                <w:noProof/>
                <w:sz w:val="18"/>
              </w:rPr>
            </w:pPr>
            <w:r>
              <w:rPr>
                <w:noProof/>
                <w:sz w:val="18"/>
              </w:rPr>
              <w:t>Paiements</w:t>
            </w:r>
          </w:p>
        </w:tc>
        <w:tc>
          <w:tcPr>
            <w:tcW w:w="851" w:type="dxa"/>
            <w:vAlign w:val="center"/>
          </w:tcPr>
          <w:p w:rsidR="00824C36" w:rsidRDefault="00B97963">
            <w:pPr>
              <w:spacing w:beforeLines="20" w:before="48" w:afterLines="20" w:after="48"/>
              <w:jc w:val="center"/>
              <w:rPr>
                <w:noProof/>
                <w:sz w:val="14"/>
              </w:rPr>
            </w:pPr>
            <w:r>
              <w:rPr>
                <w:noProof/>
                <w:sz w:val="14"/>
              </w:rPr>
              <w:t>5)</w:t>
            </w:r>
          </w:p>
        </w:tc>
        <w:tc>
          <w:tcPr>
            <w:tcW w:w="1134" w:type="dxa"/>
            <w:vAlign w:val="center"/>
          </w:tcPr>
          <w:p w:rsidR="00824C36" w:rsidRDefault="00B97963">
            <w:pPr>
              <w:spacing w:before="20" w:after="20"/>
              <w:jc w:val="right"/>
              <w:rPr>
                <w:noProof/>
                <w:sz w:val="20"/>
              </w:rPr>
            </w:pPr>
            <w:r>
              <w:rPr>
                <w:noProof/>
                <w:sz w:val="20"/>
              </w:rPr>
              <w:t>0,8</w:t>
            </w:r>
          </w:p>
        </w:tc>
        <w:tc>
          <w:tcPr>
            <w:tcW w:w="1134" w:type="dxa"/>
            <w:vAlign w:val="center"/>
          </w:tcPr>
          <w:p w:rsidR="00824C36" w:rsidRDefault="00B97963">
            <w:pPr>
              <w:spacing w:before="20" w:after="20"/>
              <w:jc w:val="right"/>
              <w:rPr>
                <w:noProof/>
                <w:sz w:val="20"/>
              </w:rPr>
            </w:pPr>
            <w:r>
              <w:rPr>
                <w:noProof/>
                <w:sz w:val="20"/>
              </w:rPr>
              <w:t>1,8</w:t>
            </w:r>
          </w:p>
        </w:tc>
        <w:tc>
          <w:tcPr>
            <w:tcW w:w="1134" w:type="dxa"/>
            <w:vAlign w:val="center"/>
          </w:tcPr>
          <w:p w:rsidR="00824C36" w:rsidRDefault="00B97963">
            <w:pPr>
              <w:spacing w:before="20" w:after="20"/>
              <w:jc w:val="right"/>
              <w:rPr>
                <w:noProof/>
                <w:sz w:val="20"/>
              </w:rPr>
            </w:pPr>
            <w:r>
              <w:rPr>
                <w:noProof/>
                <w:sz w:val="20"/>
              </w:rPr>
              <w:t>2,014</w:t>
            </w:r>
          </w:p>
        </w:tc>
        <w:tc>
          <w:tcPr>
            <w:tcW w:w="1701" w:type="dxa"/>
            <w:vAlign w:val="center"/>
          </w:tcPr>
          <w:p w:rsidR="00824C36" w:rsidRDefault="00B97963">
            <w:pPr>
              <w:spacing w:before="20" w:after="20"/>
              <w:jc w:val="right"/>
              <w:rPr>
                <w:b/>
                <w:noProof/>
                <w:sz w:val="20"/>
              </w:rPr>
            </w:pPr>
            <w:r>
              <w:rPr>
                <w:b/>
                <w:noProof/>
                <w:sz w:val="20"/>
              </w:rPr>
              <w:t>4,614</w:t>
            </w:r>
          </w:p>
        </w:tc>
      </w:tr>
      <w:tr w:rsidR="00824C36">
        <w:trPr>
          <w:trHeight w:val="533"/>
        </w:trPr>
        <w:tc>
          <w:tcPr>
            <w:tcW w:w="6946" w:type="dxa"/>
            <w:gridSpan w:val="2"/>
            <w:vAlign w:val="center"/>
          </w:tcPr>
          <w:p w:rsidR="00824C36" w:rsidRDefault="00B97963">
            <w:pPr>
              <w:spacing w:beforeLines="20" w:before="48" w:afterLines="20" w:after="48"/>
              <w:rPr>
                <w:noProof/>
                <w:sz w:val="22"/>
              </w:rPr>
            </w:pPr>
            <w:r>
              <w:rPr>
                <w:noProof/>
                <w:sz w:val="21"/>
              </w:rPr>
              <w:sym w:font="Wingdings" w:char="F09F"/>
            </w:r>
            <w:r>
              <w:rPr>
                <w:noProof/>
                <w:sz w:val="21"/>
              </w:rPr>
              <w:t xml:space="preserve">TOTAL des crédits de nature administrative financés par l'enveloppe de </w:t>
            </w:r>
            <w:r>
              <w:rPr>
                <w:noProof/>
                <w:sz w:val="21"/>
              </w:rPr>
              <w:t>certains programmes spécifiques</w:t>
            </w:r>
          </w:p>
        </w:tc>
        <w:tc>
          <w:tcPr>
            <w:tcW w:w="851" w:type="dxa"/>
            <w:vAlign w:val="center"/>
          </w:tcPr>
          <w:p w:rsidR="00824C36" w:rsidRDefault="00B97963">
            <w:pPr>
              <w:spacing w:beforeLines="20" w:before="48" w:afterLines="20" w:after="48"/>
              <w:jc w:val="center"/>
              <w:rPr>
                <w:noProof/>
                <w:sz w:val="14"/>
              </w:rPr>
            </w:pPr>
            <w:r>
              <w:rPr>
                <w:noProof/>
                <w:sz w:val="14"/>
              </w:rPr>
              <w:t>6)</w:t>
            </w:r>
          </w:p>
        </w:tc>
        <w:tc>
          <w:tcPr>
            <w:tcW w:w="1134" w:type="dxa"/>
            <w:vAlign w:val="center"/>
          </w:tcPr>
          <w:p w:rsidR="00824C36" w:rsidRDefault="00B97963">
            <w:pPr>
              <w:jc w:val="center"/>
              <w:rPr>
                <w:noProof/>
                <w:sz w:val="20"/>
              </w:rPr>
            </w:pPr>
            <w:r>
              <w:rPr>
                <w:noProof/>
                <w:sz w:val="20"/>
              </w:rPr>
              <w:t>0</w:t>
            </w:r>
          </w:p>
        </w:tc>
        <w:tc>
          <w:tcPr>
            <w:tcW w:w="1134" w:type="dxa"/>
            <w:vAlign w:val="center"/>
          </w:tcPr>
          <w:p w:rsidR="00824C36" w:rsidRDefault="00B97963">
            <w:pPr>
              <w:jc w:val="center"/>
              <w:rPr>
                <w:noProof/>
                <w:sz w:val="20"/>
              </w:rPr>
            </w:pPr>
            <w:r>
              <w:rPr>
                <w:noProof/>
                <w:sz w:val="20"/>
              </w:rPr>
              <w:t>0</w:t>
            </w:r>
          </w:p>
        </w:tc>
        <w:tc>
          <w:tcPr>
            <w:tcW w:w="1134" w:type="dxa"/>
            <w:vAlign w:val="center"/>
          </w:tcPr>
          <w:p w:rsidR="00824C36" w:rsidRDefault="00B97963">
            <w:pPr>
              <w:jc w:val="center"/>
              <w:rPr>
                <w:noProof/>
                <w:sz w:val="20"/>
              </w:rPr>
            </w:pPr>
            <w:r>
              <w:rPr>
                <w:noProof/>
                <w:sz w:val="20"/>
              </w:rPr>
              <w:t>0</w:t>
            </w:r>
          </w:p>
        </w:tc>
        <w:tc>
          <w:tcPr>
            <w:tcW w:w="1701" w:type="dxa"/>
            <w:vAlign w:val="center"/>
          </w:tcPr>
          <w:p w:rsidR="00824C36" w:rsidRDefault="00B97963">
            <w:pPr>
              <w:jc w:val="center"/>
              <w:rPr>
                <w:b/>
                <w:noProof/>
                <w:sz w:val="20"/>
              </w:rPr>
            </w:pPr>
            <w:r>
              <w:rPr>
                <w:b/>
                <w:noProof/>
                <w:sz w:val="20"/>
              </w:rPr>
              <w:t>TOTAL</w:t>
            </w:r>
          </w:p>
        </w:tc>
      </w:tr>
      <w:tr w:rsidR="00824C36">
        <w:tc>
          <w:tcPr>
            <w:tcW w:w="5529" w:type="dxa"/>
            <w:vMerge w:val="restart"/>
            <w:shd w:val="thinDiagStripe" w:color="C0C0C0" w:fill="auto"/>
            <w:vAlign w:val="center"/>
          </w:tcPr>
          <w:p w:rsidR="00824C36" w:rsidRDefault="00B97963">
            <w:pPr>
              <w:jc w:val="center"/>
              <w:rPr>
                <w:b/>
                <w:noProof/>
                <w:sz w:val="22"/>
              </w:rPr>
            </w:pPr>
            <w:r>
              <w:rPr>
                <w:b/>
                <w:noProof/>
                <w:sz w:val="22"/>
              </w:rPr>
              <w:t>TOTAL des crédits</w:t>
            </w:r>
            <w:r>
              <w:rPr>
                <w:noProof/>
                <w:sz w:val="22"/>
              </w:rPr>
              <w:br/>
            </w:r>
            <w:r>
              <w:rPr>
                <w:b/>
                <w:noProof/>
                <w:sz w:val="22"/>
              </w:rPr>
              <w:t xml:space="preserve"> pour la RUBRIQUE 4</w:t>
            </w:r>
            <w:r>
              <w:rPr>
                <w:noProof/>
                <w:sz w:val="22"/>
              </w:rPr>
              <w:br/>
              <w:t>du cadre financier pluriannuel</w:t>
            </w:r>
          </w:p>
        </w:tc>
        <w:tc>
          <w:tcPr>
            <w:tcW w:w="1417" w:type="dxa"/>
            <w:vAlign w:val="center"/>
          </w:tcPr>
          <w:p w:rsidR="00824C36" w:rsidRDefault="00B97963">
            <w:pPr>
              <w:rPr>
                <w:noProof/>
                <w:sz w:val="18"/>
              </w:rPr>
            </w:pPr>
            <w:r>
              <w:rPr>
                <w:noProof/>
                <w:sz w:val="18"/>
              </w:rPr>
              <w:t>Engagements</w:t>
            </w:r>
          </w:p>
        </w:tc>
        <w:tc>
          <w:tcPr>
            <w:tcW w:w="851" w:type="dxa"/>
            <w:vAlign w:val="center"/>
          </w:tcPr>
          <w:p w:rsidR="00824C36" w:rsidRDefault="00B97963">
            <w:pPr>
              <w:jc w:val="center"/>
              <w:rPr>
                <w:noProof/>
                <w:sz w:val="14"/>
              </w:rPr>
            </w:pPr>
            <w:r>
              <w:rPr>
                <w:noProof/>
                <w:sz w:val="14"/>
              </w:rPr>
              <w:t>=4+ 6</w:t>
            </w:r>
          </w:p>
        </w:tc>
        <w:tc>
          <w:tcPr>
            <w:tcW w:w="1134" w:type="dxa"/>
            <w:vAlign w:val="center"/>
          </w:tcPr>
          <w:p w:rsidR="00824C36" w:rsidRDefault="00B97963">
            <w:pPr>
              <w:spacing w:before="20" w:after="20"/>
              <w:jc w:val="right"/>
              <w:rPr>
                <w:noProof/>
                <w:sz w:val="20"/>
              </w:rPr>
            </w:pPr>
            <w:r>
              <w:rPr>
                <w:noProof/>
                <w:sz w:val="20"/>
              </w:rPr>
              <w:t>2</w:t>
            </w:r>
          </w:p>
        </w:tc>
        <w:tc>
          <w:tcPr>
            <w:tcW w:w="1134" w:type="dxa"/>
            <w:vAlign w:val="center"/>
          </w:tcPr>
          <w:p w:rsidR="00824C36" w:rsidRDefault="00B97963">
            <w:pPr>
              <w:spacing w:before="20" w:after="20"/>
              <w:jc w:val="right"/>
              <w:rPr>
                <w:noProof/>
                <w:sz w:val="20"/>
              </w:rPr>
            </w:pPr>
            <w:r>
              <w:rPr>
                <w:noProof/>
                <w:sz w:val="20"/>
              </w:rPr>
              <w:t>2</w:t>
            </w:r>
          </w:p>
        </w:tc>
        <w:tc>
          <w:tcPr>
            <w:tcW w:w="1134" w:type="dxa"/>
            <w:vAlign w:val="center"/>
          </w:tcPr>
          <w:p w:rsidR="00824C36" w:rsidRDefault="00B97963">
            <w:pPr>
              <w:spacing w:before="20" w:after="20"/>
              <w:jc w:val="right"/>
              <w:rPr>
                <w:noProof/>
                <w:sz w:val="20"/>
              </w:rPr>
            </w:pPr>
            <w:r>
              <w:rPr>
                <w:noProof/>
                <w:sz w:val="20"/>
              </w:rPr>
              <w:t>2,284</w:t>
            </w:r>
          </w:p>
        </w:tc>
        <w:tc>
          <w:tcPr>
            <w:tcW w:w="1701" w:type="dxa"/>
            <w:vAlign w:val="center"/>
          </w:tcPr>
          <w:p w:rsidR="00824C36" w:rsidRDefault="00B97963">
            <w:pPr>
              <w:spacing w:before="20" w:after="20"/>
              <w:jc w:val="right"/>
              <w:rPr>
                <w:b/>
                <w:noProof/>
                <w:sz w:val="20"/>
              </w:rPr>
            </w:pPr>
            <w:r>
              <w:rPr>
                <w:b/>
                <w:noProof/>
                <w:sz w:val="20"/>
              </w:rPr>
              <w:t>6,284</w:t>
            </w:r>
          </w:p>
        </w:tc>
      </w:tr>
      <w:tr w:rsidR="00824C36">
        <w:tc>
          <w:tcPr>
            <w:tcW w:w="5529" w:type="dxa"/>
            <w:vMerge/>
            <w:shd w:val="thinDiagStripe" w:color="C0C0C0" w:fill="auto"/>
          </w:tcPr>
          <w:p w:rsidR="00824C36" w:rsidRDefault="00824C36">
            <w:pPr>
              <w:rPr>
                <w:noProof/>
                <w:sz w:val="20"/>
              </w:rPr>
            </w:pPr>
          </w:p>
        </w:tc>
        <w:tc>
          <w:tcPr>
            <w:tcW w:w="1417" w:type="dxa"/>
            <w:vAlign w:val="center"/>
          </w:tcPr>
          <w:p w:rsidR="00824C36" w:rsidRDefault="00B97963">
            <w:pPr>
              <w:rPr>
                <w:noProof/>
                <w:sz w:val="18"/>
              </w:rPr>
            </w:pPr>
            <w:r>
              <w:rPr>
                <w:noProof/>
                <w:sz w:val="18"/>
              </w:rPr>
              <w:t>Paiements</w:t>
            </w:r>
          </w:p>
        </w:tc>
        <w:tc>
          <w:tcPr>
            <w:tcW w:w="851" w:type="dxa"/>
            <w:vAlign w:val="center"/>
          </w:tcPr>
          <w:p w:rsidR="00824C36" w:rsidRDefault="00B97963">
            <w:pPr>
              <w:jc w:val="center"/>
              <w:rPr>
                <w:noProof/>
                <w:sz w:val="14"/>
              </w:rPr>
            </w:pPr>
            <w:r>
              <w:rPr>
                <w:noProof/>
                <w:sz w:val="14"/>
              </w:rPr>
              <w:t>=5+ 6</w:t>
            </w:r>
          </w:p>
        </w:tc>
        <w:tc>
          <w:tcPr>
            <w:tcW w:w="1134" w:type="dxa"/>
            <w:vAlign w:val="center"/>
          </w:tcPr>
          <w:p w:rsidR="00824C36" w:rsidRDefault="00B97963">
            <w:pPr>
              <w:spacing w:before="20" w:after="20"/>
              <w:jc w:val="right"/>
              <w:rPr>
                <w:noProof/>
                <w:sz w:val="20"/>
              </w:rPr>
            </w:pPr>
            <w:r>
              <w:rPr>
                <w:noProof/>
                <w:sz w:val="20"/>
              </w:rPr>
              <w:t>0,8</w:t>
            </w:r>
          </w:p>
        </w:tc>
        <w:tc>
          <w:tcPr>
            <w:tcW w:w="1134" w:type="dxa"/>
            <w:vAlign w:val="center"/>
          </w:tcPr>
          <w:p w:rsidR="00824C36" w:rsidRDefault="00B97963">
            <w:pPr>
              <w:spacing w:before="20" w:after="20"/>
              <w:jc w:val="right"/>
              <w:rPr>
                <w:noProof/>
                <w:sz w:val="20"/>
              </w:rPr>
            </w:pPr>
            <w:r>
              <w:rPr>
                <w:noProof/>
                <w:sz w:val="20"/>
              </w:rPr>
              <w:t>1,8</w:t>
            </w:r>
          </w:p>
        </w:tc>
        <w:tc>
          <w:tcPr>
            <w:tcW w:w="1134" w:type="dxa"/>
            <w:vAlign w:val="center"/>
          </w:tcPr>
          <w:p w:rsidR="00824C36" w:rsidRDefault="00B97963">
            <w:pPr>
              <w:spacing w:before="20" w:after="20"/>
              <w:jc w:val="right"/>
              <w:rPr>
                <w:noProof/>
                <w:sz w:val="20"/>
              </w:rPr>
            </w:pPr>
            <w:r>
              <w:rPr>
                <w:noProof/>
                <w:sz w:val="20"/>
              </w:rPr>
              <w:t>2,014</w:t>
            </w:r>
          </w:p>
        </w:tc>
        <w:tc>
          <w:tcPr>
            <w:tcW w:w="1701" w:type="dxa"/>
            <w:vAlign w:val="center"/>
          </w:tcPr>
          <w:p w:rsidR="00824C36" w:rsidRDefault="00B97963">
            <w:pPr>
              <w:spacing w:before="20" w:after="20"/>
              <w:jc w:val="right"/>
              <w:rPr>
                <w:b/>
                <w:noProof/>
                <w:sz w:val="20"/>
              </w:rPr>
            </w:pPr>
            <w:r>
              <w:rPr>
                <w:b/>
                <w:noProof/>
                <w:sz w:val="20"/>
              </w:rPr>
              <w:t>4,614</w:t>
            </w:r>
          </w:p>
        </w:tc>
      </w:tr>
    </w:tbl>
    <w:p w:rsidR="00824C36" w:rsidRDefault="00824C36">
      <w:pPr>
        <w:rPr>
          <w:noProof/>
        </w:rPr>
      </w:pPr>
    </w:p>
    <w:p w:rsidR="00824C36" w:rsidRDefault="00824C36">
      <w:pPr>
        <w:rPr>
          <w:noProof/>
        </w:rPr>
      </w:pPr>
    </w:p>
    <w:p w:rsidR="00824C36" w:rsidRDefault="00824C36">
      <w:pPr>
        <w:rPr>
          <w:noProof/>
        </w:rPr>
      </w:pPr>
    </w:p>
    <w:p w:rsidR="00824C36" w:rsidRDefault="00824C36">
      <w:pPr>
        <w:rPr>
          <w:noProof/>
        </w:rPr>
      </w:pPr>
    </w:p>
    <w:p w:rsidR="00824C36" w:rsidRDefault="00824C36">
      <w:pPr>
        <w:rPr>
          <w:noProof/>
        </w:rPr>
      </w:pPr>
    </w:p>
    <w:p w:rsidR="00824C36" w:rsidRDefault="00824C36">
      <w:pPr>
        <w:rPr>
          <w:noProof/>
        </w:rPr>
      </w:pPr>
    </w:p>
    <w:p w:rsidR="00824C36" w:rsidRDefault="00824C36">
      <w:pPr>
        <w:rPr>
          <w:noProof/>
        </w:rPr>
      </w:pPr>
    </w:p>
    <w:p w:rsidR="00824C36" w:rsidRDefault="00824C36">
      <w:pPr>
        <w:rPr>
          <w:noProof/>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824C36">
        <w:trPr>
          <w:jc w:val="center"/>
        </w:trPr>
        <w:tc>
          <w:tcPr>
            <w:tcW w:w="4744" w:type="dxa"/>
            <w:shd w:val="thinDiagStripe" w:color="C0C0C0" w:fill="auto"/>
            <w:vAlign w:val="center"/>
          </w:tcPr>
          <w:p w:rsidR="00824C36" w:rsidRDefault="00B97963">
            <w:pPr>
              <w:spacing w:before="60" w:after="60"/>
              <w:jc w:val="center"/>
              <w:rPr>
                <w:b/>
                <w:noProof/>
                <w:sz w:val="22"/>
              </w:rPr>
            </w:pPr>
            <w:r>
              <w:rPr>
                <w:noProof/>
              </w:rPr>
              <w:br w:type="page"/>
            </w:r>
            <w:r>
              <w:rPr>
                <w:b/>
                <w:noProof/>
                <w:sz w:val="22"/>
              </w:rPr>
              <w:t xml:space="preserve">Rubrique du cadre financier </w:t>
            </w:r>
            <w:r>
              <w:rPr>
                <w:noProof/>
                <w:sz w:val="22"/>
              </w:rPr>
              <w:br/>
            </w:r>
            <w:r>
              <w:rPr>
                <w:b/>
                <w:noProof/>
                <w:sz w:val="22"/>
              </w:rPr>
              <w:t xml:space="preserve">pluriannuel </w:t>
            </w:r>
          </w:p>
        </w:tc>
        <w:tc>
          <w:tcPr>
            <w:tcW w:w="1080" w:type="dxa"/>
            <w:shd w:val="thinDiagStripe" w:color="C0C0C0" w:fill="auto"/>
            <w:vAlign w:val="center"/>
          </w:tcPr>
          <w:p w:rsidR="00824C36" w:rsidRDefault="00B97963">
            <w:pPr>
              <w:spacing w:before="60" w:after="60"/>
              <w:jc w:val="center"/>
              <w:rPr>
                <w:noProof/>
                <w:sz w:val="22"/>
              </w:rPr>
            </w:pPr>
            <w:r>
              <w:rPr>
                <w:b/>
                <w:noProof/>
                <w:sz w:val="22"/>
              </w:rPr>
              <w:t>5</w:t>
            </w:r>
          </w:p>
        </w:tc>
        <w:tc>
          <w:tcPr>
            <w:tcW w:w="7817" w:type="dxa"/>
            <w:vAlign w:val="center"/>
          </w:tcPr>
          <w:p w:rsidR="00824C36" w:rsidRDefault="00B97963">
            <w:pPr>
              <w:spacing w:before="60" w:after="60"/>
              <w:rPr>
                <w:noProof/>
                <w:sz w:val="22"/>
              </w:rPr>
            </w:pPr>
            <w:r>
              <w:rPr>
                <w:noProof/>
                <w:sz w:val="22"/>
              </w:rPr>
              <w:t xml:space="preserve">«Dépenses </w:t>
            </w:r>
            <w:r>
              <w:rPr>
                <w:noProof/>
                <w:sz w:val="22"/>
              </w:rPr>
              <w:t>administratives»</w:t>
            </w:r>
          </w:p>
        </w:tc>
      </w:tr>
    </w:tbl>
    <w:p w:rsidR="00824C36" w:rsidRDefault="00B97963">
      <w:pPr>
        <w:jc w:val="right"/>
        <w:rPr>
          <w:noProof/>
          <w:sz w:val="20"/>
        </w:rPr>
      </w:pPr>
      <w:r>
        <w:rPr>
          <w:noProof/>
          <w:sz w:val="20"/>
        </w:rPr>
        <w:t>En Mio EUR (à la 3</w:t>
      </w:r>
      <w:r>
        <w:rPr>
          <w:noProof/>
          <w:sz w:val="20"/>
          <w:vertAlign w:val="superscript"/>
        </w:rPr>
        <w:t>e</w:t>
      </w:r>
      <w:r>
        <w:rPr>
          <w:noProof/>
          <w:sz w:val="20"/>
        </w:rPr>
        <w:t> décimale)</w:t>
      </w:r>
    </w:p>
    <w:tbl>
      <w:tblPr>
        <w:tblW w:w="141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496"/>
        <w:gridCol w:w="236"/>
        <w:gridCol w:w="2032"/>
        <w:gridCol w:w="1134"/>
        <w:gridCol w:w="1134"/>
        <w:gridCol w:w="1134"/>
        <w:gridCol w:w="1984"/>
      </w:tblGrid>
      <w:tr w:rsidR="00824C36">
        <w:tc>
          <w:tcPr>
            <w:tcW w:w="6456" w:type="dxa"/>
            <w:gridSpan w:val="2"/>
            <w:tcBorders>
              <w:top w:val="nil"/>
              <w:left w:val="nil"/>
              <w:right w:val="nil"/>
            </w:tcBorders>
            <w:vAlign w:val="center"/>
          </w:tcPr>
          <w:p w:rsidR="00824C36" w:rsidRDefault="00824C36">
            <w:pPr>
              <w:jc w:val="center"/>
              <w:rPr>
                <w:noProof/>
                <w:sz w:val="22"/>
              </w:rPr>
            </w:pPr>
          </w:p>
        </w:tc>
        <w:tc>
          <w:tcPr>
            <w:tcW w:w="236" w:type="dxa"/>
            <w:tcBorders>
              <w:top w:val="nil"/>
              <w:left w:val="nil"/>
              <w:right w:val="nil"/>
            </w:tcBorders>
          </w:tcPr>
          <w:p w:rsidR="00824C36" w:rsidRDefault="00824C36">
            <w:pPr>
              <w:rPr>
                <w:noProof/>
                <w:sz w:val="20"/>
              </w:rPr>
            </w:pPr>
          </w:p>
        </w:tc>
        <w:tc>
          <w:tcPr>
            <w:tcW w:w="2032" w:type="dxa"/>
            <w:tcBorders>
              <w:top w:val="nil"/>
              <w:left w:val="nil"/>
            </w:tcBorders>
          </w:tcPr>
          <w:p w:rsidR="00824C36" w:rsidRDefault="00824C36">
            <w:pPr>
              <w:jc w:val="center"/>
              <w:rPr>
                <w:noProof/>
                <w:sz w:val="20"/>
              </w:rPr>
            </w:pPr>
          </w:p>
        </w:tc>
        <w:tc>
          <w:tcPr>
            <w:tcW w:w="1134" w:type="dxa"/>
            <w:vAlign w:val="center"/>
          </w:tcPr>
          <w:p w:rsidR="00824C36" w:rsidRDefault="00B97963">
            <w:pPr>
              <w:jc w:val="center"/>
              <w:rPr>
                <w:noProof/>
                <w:sz w:val="20"/>
              </w:rPr>
            </w:pPr>
            <w:r>
              <w:rPr>
                <w:noProof/>
                <w:sz w:val="20"/>
              </w:rPr>
              <w:t>2018</w:t>
            </w:r>
          </w:p>
        </w:tc>
        <w:tc>
          <w:tcPr>
            <w:tcW w:w="1134" w:type="dxa"/>
            <w:vAlign w:val="center"/>
          </w:tcPr>
          <w:p w:rsidR="00824C36" w:rsidRDefault="00B97963">
            <w:pPr>
              <w:jc w:val="center"/>
              <w:rPr>
                <w:noProof/>
                <w:sz w:val="20"/>
              </w:rPr>
            </w:pPr>
            <w:r>
              <w:rPr>
                <w:noProof/>
                <w:sz w:val="20"/>
              </w:rPr>
              <w:t>2019</w:t>
            </w:r>
          </w:p>
        </w:tc>
        <w:tc>
          <w:tcPr>
            <w:tcW w:w="1134" w:type="dxa"/>
            <w:vAlign w:val="center"/>
          </w:tcPr>
          <w:p w:rsidR="00824C36" w:rsidRDefault="00B97963">
            <w:pPr>
              <w:jc w:val="center"/>
              <w:rPr>
                <w:noProof/>
                <w:sz w:val="20"/>
              </w:rPr>
            </w:pPr>
            <w:r>
              <w:rPr>
                <w:noProof/>
                <w:sz w:val="20"/>
              </w:rPr>
              <w:t>2020</w:t>
            </w:r>
          </w:p>
        </w:tc>
        <w:tc>
          <w:tcPr>
            <w:tcW w:w="1984" w:type="dxa"/>
            <w:vAlign w:val="center"/>
          </w:tcPr>
          <w:p w:rsidR="00824C36" w:rsidRDefault="00B97963">
            <w:pPr>
              <w:jc w:val="center"/>
              <w:rPr>
                <w:b/>
                <w:noProof/>
                <w:sz w:val="20"/>
              </w:rPr>
            </w:pPr>
            <w:r>
              <w:rPr>
                <w:b/>
                <w:noProof/>
                <w:sz w:val="20"/>
              </w:rPr>
              <w:t>TOTAL</w:t>
            </w:r>
          </w:p>
        </w:tc>
      </w:tr>
      <w:tr w:rsidR="00824C36">
        <w:trPr>
          <w:gridAfter w:val="6"/>
          <w:wAfter w:w="7654" w:type="dxa"/>
        </w:trPr>
        <w:tc>
          <w:tcPr>
            <w:tcW w:w="6456" w:type="dxa"/>
            <w:gridSpan w:val="2"/>
            <w:vAlign w:val="center"/>
          </w:tcPr>
          <w:p w:rsidR="00824C36" w:rsidRDefault="00B97963">
            <w:pPr>
              <w:spacing w:before="60" w:after="60"/>
              <w:jc w:val="center"/>
              <w:rPr>
                <w:noProof/>
                <w:sz w:val="22"/>
              </w:rPr>
            </w:pPr>
            <w:r>
              <w:rPr>
                <w:b/>
                <w:noProof/>
                <w:sz w:val="22"/>
              </w:rPr>
              <w:t>DG ECHO – Protection civile et opérations d’aide humanitaire européennes</w:t>
            </w:r>
          </w:p>
        </w:tc>
      </w:tr>
      <w:tr w:rsidR="00824C36">
        <w:trPr>
          <w:trHeight w:val="313"/>
        </w:trPr>
        <w:tc>
          <w:tcPr>
            <w:tcW w:w="8724" w:type="dxa"/>
            <w:gridSpan w:val="4"/>
            <w:vAlign w:val="center"/>
          </w:tcPr>
          <w:p w:rsidR="00824C36" w:rsidRDefault="00B97963">
            <w:pPr>
              <w:spacing w:before="20" w:after="20"/>
              <w:rPr>
                <w:noProof/>
                <w:sz w:val="22"/>
              </w:rPr>
            </w:pPr>
            <w:r>
              <w:rPr>
                <w:noProof/>
                <w:sz w:val="22"/>
              </w:rPr>
              <w:sym w:font="Wingdings" w:char="F09F"/>
            </w:r>
            <w:r>
              <w:rPr>
                <w:noProof/>
                <w:sz w:val="22"/>
              </w:rPr>
              <w:t xml:space="preserve"> Pour les ressources humaines </w:t>
            </w:r>
          </w:p>
        </w:tc>
        <w:tc>
          <w:tcPr>
            <w:tcW w:w="1134" w:type="dxa"/>
            <w:vAlign w:val="bottom"/>
          </w:tcPr>
          <w:p w:rsidR="00824C36" w:rsidRDefault="00B97963">
            <w:pPr>
              <w:spacing w:before="20" w:after="20"/>
              <w:jc w:val="right"/>
              <w:rPr>
                <w:noProof/>
                <w:sz w:val="20"/>
              </w:rPr>
            </w:pPr>
            <w:r>
              <w:rPr>
                <w:noProof/>
                <w:sz w:val="20"/>
              </w:rPr>
              <w:t xml:space="preserve">            1,682 </w:t>
            </w:r>
          </w:p>
        </w:tc>
        <w:tc>
          <w:tcPr>
            <w:tcW w:w="1134" w:type="dxa"/>
            <w:vAlign w:val="bottom"/>
          </w:tcPr>
          <w:p w:rsidR="00824C36" w:rsidRDefault="00B97963">
            <w:pPr>
              <w:spacing w:before="20" w:after="20"/>
              <w:jc w:val="right"/>
              <w:rPr>
                <w:noProof/>
                <w:sz w:val="20"/>
              </w:rPr>
            </w:pPr>
            <w:r>
              <w:rPr>
                <w:noProof/>
                <w:sz w:val="20"/>
              </w:rPr>
              <w:t xml:space="preserve">     5,034 </w:t>
            </w:r>
          </w:p>
        </w:tc>
        <w:tc>
          <w:tcPr>
            <w:tcW w:w="1134" w:type="dxa"/>
            <w:vAlign w:val="bottom"/>
          </w:tcPr>
          <w:p w:rsidR="00824C36" w:rsidRDefault="00B97963">
            <w:pPr>
              <w:spacing w:before="20" w:after="20"/>
              <w:jc w:val="right"/>
              <w:rPr>
                <w:noProof/>
                <w:sz w:val="20"/>
              </w:rPr>
            </w:pPr>
            <w:r>
              <w:rPr>
                <w:noProof/>
                <w:sz w:val="20"/>
              </w:rPr>
              <w:t xml:space="preserve">       9,436 </w:t>
            </w:r>
          </w:p>
        </w:tc>
        <w:tc>
          <w:tcPr>
            <w:tcW w:w="1984" w:type="dxa"/>
            <w:vAlign w:val="bottom"/>
          </w:tcPr>
          <w:p w:rsidR="00824C36" w:rsidRDefault="00B97963">
            <w:pPr>
              <w:spacing w:before="20" w:after="20"/>
              <w:jc w:val="right"/>
              <w:rPr>
                <w:b/>
                <w:noProof/>
                <w:sz w:val="20"/>
              </w:rPr>
            </w:pPr>
            <w:r>
              <w:rPr>
                <w:b/>
                <w:noProof/>
                <w:sz w:val="20"/>
              </w:rPr>
              <w:t xml:space="preserve">                       16,152 </w:t>
            </w:r>
          </w:p>
        </w:tc>
      </w:tr>
      <w:tr w:rsidR="00824C36">
        <w:trPr>
          <w:trHeight w:val="351"/>
        </w:trPr>
        <w:tc>
          <w:tcPr>
            <w:tcW w:w="8724" w:type="dxa"/>
            <w:gridSpan w:val="4"/>
            <w:vAlign w:val="center"/>
          </w:tcPr>
          <w:p w:rsidR="00824C36" w:rsidRDefault="00B97963">
            <w:pPr>
              <w:spacing w:before="20" w:after="20"/>
              <w:rPr>
                <w:noProof/>
                <w:sz w:val="22"/>
              </w:rPr>
            </w:pPr>
            <w:r>
              <w:rPr>
                <w:noProof/>
                <w:sz w:val="22"/>
              </w:rPr>
              <w:sym w:font="Wingdings" w:char="F09F"/>
            </w:r>
            <w:r>
              <w:rPr>
                <w:noProof/>
                <w:sz w:val="22"/>
              </w:rPr>
              <w:t xml:space="preserve"> Pour les autres dépenses de nature administrative </w:t>
            </w:r>
          </w:p>
        </w:tc>
        <w:tc>
          <w:tcPr>
            <w:tcW w:w="1134" w:type="dxa"/>
            <w:vAlign w:val="bottom"/>
          </w:tcPr>
          <w:p w:rsidR="00824C36" w:rsidRDefault="00B97963">
            <w:pPr>
              <w:spacing w:before="20" w:after="20"/>
              <w:jc w:val="right"/>
              <w:rPr>
                <w:noProof/>
                <w:sz w:val="20"/>
              </w:rPr>
            </w:pPr>
            <w:r>
              <w:rPr>
                <w:noProof/>
                <w:sz w:val="20"/>
              </w:rPr>
              <w:t>0,150</w:t>
            </w:r>
          </w:p>
        </w:tc>
        <w:tc>
          <w:tcPr>
            <w:tcW w:w="1134" w:type="dxa"/>
            <w:vAlign w:val="bottom"/>
          </w:tcPr>
          <w:p w:rsidR="00824C36" w:rsidRDefault="00B97963">
            <w:pPr>
              <w:spacing w:before="20" w:after="20"/>
              <w:jc w:val="right"/>
              <w:rPr>
                <w:noProof/>
                <w:sz w:val="20"/>
              </w:rPr>
            </w:pPr>
            <w:r>
              <w:rPr>
                <w:noProof/>
                <w:sz w:val="20"/>
              </w:rPr>
              <w:t>0,230</w:t>
            </w:r>
          </w:p>
        </w:tc>
        <w:tc>
          <w:tcPr>
            <w:tcW w:w="1134" w:type="dxa"/>
            <w:vAlign w:val="bottom"/>
          </w:tcPr>
          <w:p w:rsidR="00824C36" w:rsidRDefault="00B97963">
            <w:pPr>
              <w:spacing w:before="20" w:after="20"/>
              <w:jc w:val="right"/>
              <w:rPr>
                <w:noProof/>
                <w:sz w:val="20"/>
              </w:rPr>
            </w:pPr>
            <w:r>
              <w:rPr>
                <w:noProof/>
                <w:sz w:val="20"/>
              </w:rPr>
              <w:t>0,330</w:t>
            </w:r>
          </w:p>
        </w:tc>
        <w:tc>
          <w:tcPr>
            <w:tcW w:w="1984" w:type="dxa"/>
            <w:vAlign w:val="center"/>
          </w:tcPr>
          <w:p w:rsidR="00824C36" w:rsidRDefault="00B97963">
            <w:pPr>
              <w:spacing w:before="20" w:after="20"/>
              <w:jc w:val="right"/>
              <w:rPr>
                <w:b/>
                <w:noProof/>
                <w:sz w:val="20"/>
              </w:rPr>
            </w:pPr>
            <w:r>
              <w:rPr>
                <w:b/>
                <w:noProof/>
                <w:sz w:val="20"/>
              </w:rPr>
              <w:t>0,710</w:t>
            </w:r>
          </w:p>
        </w:tc>
      </w:tr>
      <w:tr w:rsidR="00824C36">
        <w:tc>
          <w:tcPr>
            <w:tcW w:w="3960" w:type="dxa"/>
            <w:vAlign w:val="center"/>
          </w:tcPr>
          <w:p w:rsidR="00824C36" w:rsidRDefault="00B97963">
            <w:pPr>
              <w:jc w:val="center"/>
              <w:rPr>
                <w:b/>
                <w:noProof/>
                <w:sz w:val="22"/>
              </w:rPr>
            </w:pPr>
            <w:r>
              <w:rPr>
                <w:b/>
                <w:noProof/>
                <w:sz w:val="22"/>
              </w:rPr>
              <w:t xml:space="preserve">TOTAL </w:t>
            </w:r>
            <w:r>
              <w:rPr>
                <w:noProof/>
                <w:sz w:val="22"/>
              </w:rPr>
              <w:t>DG ECHO</w:t>
            </w:r>
          </w:p>
        </w:tc>
        <w:tc>
          <w:tcPr>
            <w:tcW w:w="4764" w:type="dxa"/>
            <w:gridSpan w:val="3"/>
            <w:vAlign w:val="center"/>
          </w:tcPr>
          <w:p w:rsidR="00824C36" w:rsidRDefault="00B97963">
            <w:pPr>
              <w:rPr>
                <w:noProof/>
                <w:sz w:val="14"/>
              </w:rPr>
            </w:pPr>
            <w:r>
              <w:rPr>
                <w:noProof/>
                <w:sz w:val="18"/>
              </w:rPr>
              <w:t xml:space="preserve">Crédits </w:t>
            </w:r>
          </w:p>
        </w:tc>
        <w:tc>
          <w:tcPr>
            <w:tcW w:w="1134" w:type="dxa"/>
            <w:vAlign w:val="bottom"/>
          </w:tcPr>
          <w:p w:rsidR="00824C36" w:rsidRDefault="00B97963">
            <w:pPr>
              <w:spacing w:before="20" w:after="20"/>
              <w:jc w:val="right"/>
              <w:rPr>
                <w:noProof/>
                <w:sz w:val="20"/>
              </w:rPr>
            </w:pPr>
            <w:r>
              <w:rPr>
                <w:noProof/>
                <w:sz w:val="20"/>
              </w:rPr>
              <w:t xml:space="preserve">              1,832 </w:t>
            </w:r>
          </w:p>
        </w:tc>
        <w:tc>
          <w:tcPr>
            <w:tcW w:w="1134" w:type="dxa"/>
            <w:vAlign w:val="bottom"/>
          </w:tcPr>
          <w:p w:rsidR="00824C36" w:rsidRDefault="00B97963">
            <w:pPr>
              <w:spacing w:before="20" w:after="20"/>
              <w:jc w:val="right"/>
              <w:rPr>
                <w:noProof/>
                <w:sz w:val="20"/>
              </w:rPr>
            </w:pPr>
            <w:r>
              <w:rPr>
                <w:noProof/>
                <w:sz w:val="20"/>
              </w:rPr>
              <w:t xml:space="preserve">      5,264 </w:t>
            </w:r>
          </w:p>
        </w:tc>
        <w:tc>
          <w:tcPr>
            <w:tcW w:w="1134" w:type="dxa"/>
            <w:vAlign w:val="bottom"/>
          </w:tcPr>
          <w:p w:rsidR="00824C36" w:rsidRDefault="00B97963">
            <w:pPr>
              <w:spacing w:before="20" w:after="20"/>
              <w:jc w:val="right"/>
              <w:rPr>
                <w:noProof/>
                <w:sz w:val="20"/>
              </w:rPr>
            </w:pPr>
            <w:r>
              <w:rPr>
                <w:noProof/>
                <w:sz w:val="20"/>
              </w:rPr>
              <w:t xml:space="preserve">        9,766 </w:t>
            </w:r>
          </w:p>
        </w:tc>
        <w:tc>
          <w:tcPr>
            <w:tcW w:w="1984" w:type="dxa"/>
            <w:vAlign w:val="bottom"/>
          </w:tcPr>
          <w:p w:rsidR="00824C36" w:rsidRDefault="00B97963">
            <w:pPr>
              <w:spacing w:before="20" w:after="20"/>
              <w:jc w:val="right"/>
              <w:rPr>
                <w:b/>
                <w:noProof/>
                <w:sz w:val="20"/>
              </w:rPr>
            </w:pPr>
            <w:r>
              <w:rPr>
                <w:noProof/>
                <w:sz w:val="20"/>
              </w:rPr>
              <w:t xml:space="preserve">               </w:t>
            </w:r>
            <w:r>
              <w:rPr>
                <w:b/>
                <w:noProof/>
                <w:sz w:val="20"/>
              </w:rPr>
              <w:t xml:space="preserve">16,862 </w:t>
            </w:r>
          </w:p>
        </w:tc>
      </w:tr>
    </w:tbl>
    <w:p w:rsidR="00824C36" w:rsidRDefault="00824C36">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4764"/>
        <w:gridCol w:w="1134"/>
        <w:gridCol w:w="1134"/>
        <w:gridCol w:w="1134"/>
        <w:gridCol w:w="1984"/>
      </w:tblGrid>
      <w:tr w:rsidR="00824C36">
        <w:tc>
          <w:tcPr>
            <w:tcW w:w="3960" w:type="dxa"/>
            <w:shd w:val="thinDiagStripe" w:color="C0C0C0" w:fill="auto"/>
            <w:vAlign w:val="center"/>
          </w:tcPr>
          <w:p w:rsidR="00824C36" w:rsidRDefault="00B97963">
            <w:pPr>
              <w:jc w:val="center"/>
              <w:rPr>
                <w:b/>
                <w:noProof/>
                <w:sz w:val="22"/>
              </w:rPr>
            </w:pPr>
            <w:r>
              <w:rPr>
                <w:b/>
                <w:noProof/>
                <w:sz w:val="22"/>
              </w:rPr>
              <w:t>TOTAL des crédits</w:t>
            </w:r>
            <w:r>
              <w:rPr>
                <w:noProof/>
                <w:sz w:val="22"/>
              </w:rPr>
              <w:br/>
            </w:r>
            <w:r>
              <w:rPr>
                <w:b/>
                <w:noProof/>
                <w:sz w:val="22"/>
              </w:rPr>
              <w:t xml:space="preserve"> pour la RUBRIQUE 5</w:t>
            </w:r>
            <w:r>
              <w:rPr>
                <w:noProof/>
                <w:sz w:val="22"/>
              </w:rPr>
              <w:br/>
              <w:t>du cadre financier pluriannuel</w:t>
            </w:r>
            <w:r>
              <w:rPr>
                <w:b/>
                <w:noProof/>
                <w:sz w:val="22"/>
              </w:rPr>
              <w:t xml:space="preserve"> </w:t>
            </w:r>
          </w:p>
        </w:tc>
        <w:tc>
          <w:tcPr>
            <w:tcW w:w="4764" w:type="dxa"/>
            <w:vAlign w:val="center"/>
          </w:tcPr>
          <w:p w:rsidR="00824C36" w:rsidRDefault="00B97963">
            <w:pPr>
              <w:spacing w:before="40" w:after="40"/>
              <w:rPr>
                <w:noProof/>
                <w:sz w:val="22"/>
              </w:rPr>
            </w:pPr>
            <w:r>
              <w:rPr>
                <w:noProof/>
                <w:sz w:val="18"/>
              </w:rPr>
              <w:t xml:space="preserve">(Total </w:t>
            </w:r>
            <w:r>
              <w:rPr>
                <w:noProof/>
                <w:sz w:val="18"/>
              </w:rPr>
              <w:t>engagements = Total paiements)</w:t>
            </w:r>
          </w:p>
        </w:tc>
        <w:tc>
          <w:tcPr>
            <w:tcW w:w="1134" w:type="dxa"/>
            <w:vAlign w:val="center"/>
          </w:tcPr>
          <w:p w:rsidR="00824C36" w:rsidRDefault="00B97963">
            <w:pPr>
              <w:spacing w:before="20" w:after="20"/>
              <w:jc w:val="right"/>
              <w:rPr>
                <w:noProof/>
                <w:sz w:val="20"/>
              </w:rPr>
            </w:pPr>
            <w:r>
              <w:rPr>
                <w:noProof/>
                <w:sz w:val="20"/>
              </w:rPr>
              <w:t>1,832</w:t>
            </w:r>
          </w:p>
        </w:tc>
        <w:tc>
          <w:tcPr>
            <w:tcW w:w="1134" w:type="dxa"/>
            <w:vAlign w:val="center"/>
          </w:tcPr>
          <w:p w:rsidR="00824C36" w:rsidRDefault="00B97963">
            <w:pPr>
              <w:spacing w:before="20" w:after="20"/>
              <w:jc w:val="right"/>
              <w:rPr>
                <w:noProof/>
                <w:sz w:val="20"/>
              </w:rPr>
            </w:pPr>
            <w:r>
              <w:rPr>
                <w:noProof/>
                <w:sz w:val="20"/>
              </w:rPr>
              <w:t>5,264</w:t>
            </w:r>
          </w:p>
        </w:tc>
        <w:tc>
          <w:tcPr>
            <w:tcW w:w="1134" w:type="dxa"/>
            <w:vAlign w:val="center"/>
          </w:tcPr>
          <w:p w:rsidR="00824C36" w:rsidRDefault="00B97963">
            <w:pPr>
              <w:spacing w:before="20" w:after="20"/>
              <w:jc w:val="right"/>
              <w:rPr>
                <w:noProof/>
                <w:sz w:val="20"/>
              </w:rPr>
            </w:pPr>
            <w:r>
              <w:rPr>
                <w:noProof/>
                <w:sz w:val="20"/>
              </w:rPr>
              <w:t>9,766</w:t>
            </w:r>
          </w:p>
        </w:tc>
        <w:tc>
          <w:tcPr>
            <w:tcW w:w="1984" w:type="dxa"/>
            <w:vAlign w:val="center"/>
          </w:tcPr>
          <w:p w:rsidR="00824C36" w:rsidRDefault="00B97963">
            <w:pPr>
              <w:spacing w:before="20" w:after="20"/>
              <w:jc w:val="right"/>
              <w:rPr>
                <w:b/>
                <w:noProof/>
                <w:sz w:val="20"/>
              </w:rPr>
            </w:pPr>
            <w:r>
              <w:rPr>
                <w:b/>
                <w:noProof/>
                <w:sz w:val="20"/>
              </w:rPr>
              <w:t>16,862</w:t>
            </w:r>
          </w:p>
        </w:tc>
      </w:tr>
    </w:tbl>
    <w:p w:rsidR="00824C36" w:rsidRDefault="00B97963">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3204"/>
        <w:gridCol w:w="1134"/>
        <w:gridCol w:w="1134"/>
        <w:gridCol w:w="1134"/>
        <w:gridCol w:w="1984"/>
      </w:tblGrid>
      <w:tr w:rsidR="00824C36">
        <w:tc>
          <w:tcPr>
            <w:tcW w:w="3960" w:type="dxa"/>
            <w:tcBorders>
              <w:top w:val="nil"/>
              <w:left w:val="nil"/>
              <w:right w:val="nil"/>
            </w:tcBorders>
            <w:vAlign w:val="center"/>
          </w:tcPr>
          <w:p w:rsidR="00824C36" w:rsidRDefault="00824C36">
            <w:pPr>
              <w:jc w:val="center"/>
              <w:rPr>
                <w:noProof/>
                <w:sz w:val="22"/>
              </w:rPr>
            </w:pPr>
          </w:p>
        </w:tc>
        <w:tc>
          <w:tcPr>
            <w:tcW w:w="1560" w:type="dxa"/>
            <w:tcBorders>
              <w:top w:val="nil"/>
              <w:left w:val="nil"/>
              <w:right w:val="nil"/>
            </w:tcBorders>
          </w:tcPr>
          <w:p w:rsidR="00824C36" w:rsidRDefault="00824C36">
            <w:pPr>
              <w:rPr>
                <w:noProof/>
                <w:sz w:val="20"/>
              </w:rPr>
            </w:pPr>
          </w:p>
        </w:tc>
        <w:tc>
          <w:tcPr>
            <w:tcW w:w="3204" w:type="dxa"/>
            <w:tcBorders>
              <w:top w:val="nil"/>
              <w:left w:val="nil"/>
            </w:tcBorders>
          </w:tcPr>
          <w:p w:rsidR="00824C36" w:rsidRDefault="00824C36">
            <w:pPr>
              <w:jc w:val="center"/>
              <w:rPr>
                <w:noProof/>
                <w:sz w:val="20"/>
              </w:rPr>
            </w:pPr>
          </w:p>
        </w:tc>
        <w:tc>
          <w:tcPr>
            <w:tcW w:w="1134" w:type="dxa"/>
            <w:vAlign w:val="center"/>
          </w:tcPr>
          <w:p w:rsidR="00824C36" w:rsidRDefault="00B97963">
            <w:pPr>
              <w:jc w:val="center"/>
              <w:rPr>
                <w:noProof/>
                <w:sz w:val="20"/>
              </w:rPr>
            </w:pPr>
            <w:r>
              <w:rPr>
                <w:noProof/>
                <w:sz w:val="20"/>
              </w:rPr>
              <w:t>2018</w:t>
            </w:r>
          </w:p>
        </w:tc>
        <w:tc>
          <w:tcPr>
            <w:tcW w:w="1134" w:type="dxa"/>
            <w:vAlign w:val="center"/>
          </w:tcPr>
          <w:p w:rsidR="00824C36" w:rsidRDefault="00B97963">
            <w:pPr>
              <w:jc w:val="center"/>
              <w:rPr>
                <w:noProof/>
                <w:sz w:val="20"/>
              </w:rPr>
            </w:pPr>
            <w:r>
              <w:rPr>
                <w:noProof/>
                <w:sz w:val="20"/>
              </w:rPr>
              <w:t>2019</w:t>
            </w:r>
          </w:p>
        </w:tc>
        <w:tc>
          <w:tcPr>
            <w:tcW w:w="1134" w:type="dxa"/>
            <w:vAlign w:val="center"/>
          </w:tcPr>
          <w:p w:rsidR="00824C36" w:rsidRDefault="00B97963">
            <w:pPr>
              <w:jc w:val="center"/>
              <w:rPr>
                <w:noProof/>
                <w:sz w:val="20"/>
              </w:rPr>
            </w:pPr>
            <w:r>
              <w:rPr>
                <w:noProof/>
                <w:sz w:val="20"/>
              </w:rPr>
              <w:t>2020</w:t>
            </w:r>
          </w:p>
        </w:tc>
        <w:tc>
          <w:tcPr>
            <w:tcW w:w="1984" w:type="dxa"/>
            <w:vAlign w:val="center"/>
          </w:tcPr>
          <w:p w:rsidR="00824C36" w:rsidRDefault="00B97963">
            <w:pPr>
              <w:jc w:val="center"/>
              <w:rPr>
                <w:b/>
                <w:noProof/>
                <w:sz w:val="20"/>
              </w:rPr>
            </w:pPr>
            <w:r>
              <w:rPr>
                <w:b/>
                <w:noProof/>
                <w:sz w:val="20"/>
              </w:rPr>
              <w:t>TOTAL</w:t>
            </w:r>
          </w:p>
        </w:tc>
      </w:tr>
      <w:tr w:rsidR="00824C36">
        <w:tc>
          <w:tcPr>
            <w:tcW w:w="3960" w:type="dxa"/>
            <w:vMerge w:val="restart"/>
            <w:shd w:val="clear" w:color="auto" w:fill="C0C0C0"/>
            <w:vAlign w:val="center"/>
          </w:tcPr>
          <w:p w:rsidR="00824C36" w:rsidRDefault="00B97963">
            <w:pPr>
              <w:jc w:val="center"/>
              <w:rPr>
                <w:b/>
                <w:noProof/>
                <w:sz w:val="22"/>
              </w:rPr>
            </w:pPr>
            <w:r>
              <w:rPr>
                <w:b/>
                <w:noProof/>
                <w:sz w:val="22"/>
              </w:rPr>
              <w:t xml:space="preserve">TOTAL des crédits </w:t>
            </w:r>
            <w:r>
              <w:rPr>
                <w:noProof/>
                <w:sz w:val="22"/>
              </w:rPr>
              <w:br/>
            </w:r>
            <w:r>
              <w:rPr>
                <w:b/>
                <w:noProof/>
                <w:sz w:val="22"/>
              </w:rPr>
              <w:t>pour les RUBRIQUES 1 à 5</w:t>
            </w:r>
            <w:r>
              <w:rPr>
                <w:noProof/>
                <w:sz w:val="22"/>
              </w:rPr>
              <w:br/>
              <w:t>du cadre financier pluriannuel</w:t>
            </w:r>
            <w:r>
              <w:rPr>
                <w:b/>
                <w:noProof/>
                <w:sz w:val="22"/>
              </w:rPr>
              <w:t xml:space="preserve"> </w:t>
            </w:r>
          </w:p>
        </w:tc>
        <w:tc>
          <w:tcPr>
            <w:tcW w:w="4764" w:type="dxa"/>
            <w:gridSpan w:val="2"/>
            <w:vAlign w:val="center"/>
          </w:tcPr>
          <w:p w:rsidR="00824C36" w:rsidRDefault="00B97963">
            <w:pPr>
              <w:rPr>
                <w:noProof/>
                <w:sz w:val="14"/>
              </w:rPr>
            </w:pPr>
            <w:r>
              <w:rPr>
                <w:noProof/>
                <w:sz w:val="18"/>
              </w:rPr>
              <w:t>Engagements</w:t>
            </w:r>
          </w:p>
        </w:tc>
        <w:tc>
          <w:tcPr>
            <w:tcW w:w="1134" w:type="dxa"/>
            <w:vAlign w:val="center"/>
          </w:tcPr>
          <w:p w:rsidR="00824C36" w:rsidRDefault="00B97963">
            <w:pPr>
              <w:spacing w:before="20" w:after="20"/>
              <w:jc w:val="right"/>
              <w:rPr>
                <w:noProof/>
                <w:sz w:val="20"/>
              </w:rPr>
            </w:pPr>
            <w:r>
              <w:rPr>
                <w:noProof/>
                <w:sz w:val="20"/>
              </w:rPr>
              <w:t>22,989</w:t>
            </w:r>
          </w:p>
        </w:tc>
        <w:tc>
          <w:tcPr>
            <w:tcW w:w="1134" w:type="dxa"/>
            <w:vAlign w:val="center"/>
          </w:tcPr>
          <w:p w:rsidR="00824C36" w:rsidRDefault="00B97963">
            <w:pPr>
              <w:spacing w:before="20" w:after="20"/>
              <w:jc w:val="right"/>
              <w:rPr>
                <w:noProof/>
                <w:sz w:val="20"/>
              </w:rPr>
            </w:pPr>
            <w:r>
              <w:rPr>
                <w:noProof/>
                <w:sz w:val="20"/>
              </w:rPr>
              <w:t>122,464</w:t>
            </w:r>
          </w:p>
        </w:tc>
        <w:tc>
          <w:tcPr>
            <w:tcW w:w="1134" w:type="dxa"/>
            <w:vAlign w:val="center"/>
          </w:tcPr>
          <w:p w:rsidR="00824C36" w:rsidRDefault="00B97963">
            <w:pPr>
              <w:spacing w:before="20" w:after="20"/>
              <w:jc w:val="right"/>
              <w:rPr>
                <w:noProof/>
                <w:sz w:val="20"/>
              </w:rPr>
            </w:pPr>
            <w:r>
              <w:rPr>
                <w:noProof/>
                <w:sz w:val="20"/>
              </w:rPr>
              <w:t>134,547</w:t>
            </w:r>
          </w:p>
        </w:tc>
        <w:tc>
          <w:tcPr>
            <w:tcW w:w="1984" w:type="dxa"/>
            <w:vAlign w:val="center"/>
          </w:tcPr>
          <w:p w:rsidR="00824C36" w:rsidRDefault="00B97963">
            <w:pPr>
              <w:spacing w:before="20" w:after="20"/>
              <w:jc w:val="right"/>
              <w:rPr>
                <w:b/>
                <w:noProof/>
                <w:sz w:val="20"/>
              </w:rPr>
            </w:pPr>
            <w:r>
              <w:rPr>
                <w:b/>
                <w:noProof/>
                <w:sz w:val="20"/>
              </w:rPr>
              <w:t>280,000</w:t>
            </w:r>
          </w:p>
        </w:tc>
      </w:tr>
      <w:tr w:rsidR="00824C36">
        <w:tc>
          <w:tcPr>
            <w:tcW w:w="3960" w:type="dxa"/>
            <w:vMerge/>
            <w:shd w:val="clear" w:color="auto" w:fill="C0C0C0"/>
          </w:tcPr>
          <w:p w:rsidR="00824C36" w:rsidRDefault="00824C36">
            <w:pPr>
              <w:rPr>
                <w:noProof/>
                <w:sz w:val="20"/>
              </w:rPr>
            </w:pPr>
          </w:p>
        </w:tc>
        <w:tc>
          <w:tcPr>
            <w:tcW w:w="4764" w:type="dxa"/>
            <w:gridSpan w:val="2"/>
            <w:vAlign w:val="center"/>
          </w:tcPr>
          <w:p w:rsidR="00824C36" w:rsidRDefault="00B97963">
            <w:pPr>
              <w:rPr>
                <w:noProof/>
                <w:sz w:val="14"/>
              </w:rPr>
            </w:pPr>
            <w:r>
              <w:rPr>
                <w:noProof/>
                <w:sz w:val="18"/>
              </w:rPr>
              <w:t>Paiements</w:t>
            </w:r>
          </w:p>
        </w:tc>
        <w:tc>
          <w:tcPr>
            <w:tcW w:w="1134" w:type="dxa"/>
            <w:vAlign w:val="center"/>
          </w:tcPr>
          <w:p w:rsidR="00824C36" w:rsidRDefault="00B97963">
            <w:pPr>
              <w:spacing w:before="20" w:after="20"/>
              <w:jc w:val="right"/>
              <w:rPr>
                <w:noProof/>
                <w:sz w:val="20"/>
              </w:rPr>
            </w:pPr>
            <w:r>
              <w:rPr>
                <w:noProof/>
                <w:sz w:val="20"/>
              </w:rPr>
              <w:t>13,632</w:t>
            </w:r>
          </w:p>
        </w:tc>
        <w:tc>
          <w:tcPr>
            <w:tcW w:w="1134" w:type="dxa"/>
            <w:vAlign w:val="center"/>
          </w:tcPr>
          <w:p w:rsidR="00824C36" w:rsidRDefault="00B97963">
            <w:pPr>
              <w:spacing w:before="20" w:after="20"/>
              <w:jc w:val="right"/>
              <w:rPr>
                <w:noProof/>
                <w:sz w:val="20"/>
              </w:rPr>
            </w:pPr>
            <w:r>
              <w:rPr>
                <w:noProof/>
                <w:sz w:val="20"/>
              </w:rPr>
              <w:t>63,624</w:t>
            </w:r>
          </w:p>
        </w:tc>
        <w:tc>
          <w:tcPr>
            <w:tcW w:w="1134" w:type="dxa"/>
            <w:vAlign w:val="center"/>
          </w:tcPr>
          <w:p w:rsidR="00824C36" w:rsidRDefault="00B97963">
            <w:pPr>
              <w:spacing w:before="20" w:after="20"/>
              <w:jc w:val="right"/>
              <w:rPr>
                <w:noProof/>
                <w:sz w:val="20"/>
              </w:rPr>
            </w:pPr>
            <w:r>
              <w:rPr>
                <w:noProof/>
                <w:sz w:val="20"/>
              </w:rPr>
              <w:t>127,174</w:t>
            </w:r>
          </w:p>
        </w:tc>
        <w:tc>
          <w:tcPr>
            <w:tcW w:w="1984" w:type="dxa"/>
            <w:vAlign w:val="center"/>
          </w:tcPr>
          <w:p w:rsidR="00824C36" w:rsidRDefault="00B97963">
            <w:pPr>
              <w:spacing w:before="20" w:after="20"/>
              <w:jc w:val="right"/>
              <w:rPr>
                <w:b/>
                <w:noProof/>
                <w:sz w:val="20"/>
              </w:rPr>
            </w:pPr>
            <w:r>
              <w:rPr>
                <w:b/>
                <w:noProof/>
                <w:sz w:val="20"/>
              </w:rPr>
              <w:t>204,430</w:t>
            </w:r>
          </w:p>
        </w:tc>
      </w:tr>
    </w:tbl>
    <w:p w:rsidR="00824C36" w:rsidRDefault="00824C36">
      <w:pPr>
        <w:rPr>
          <w:noProof/>
        </w:rPr>
        <w:sectPr w:rsidR="00824C36" w:rsidSect="00B97963">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rsidR="00824C36" w:rsidRDefault="00B97963">
      <w:pPr>
        <w:pStyle w:val="ManualNumPar3"/>
        <w:rPr>
          <w:noProof/>
        </w:rPr>
      </w:pPr>
      <w:r>
        <w:t>3.2.2.</w:t>
      </w:r>
      <w:r>
        <w:tab/>
      </w:r>
      <w:r>
        <w:rPr>
          <w:noProof/>
        </w:rPr>
        <w:t xml:space="preserve">Incidence estimée sur les crédits opérationnels </w:t>
      </w:r>
    </w:p>
    <w:p w:rsidR="00824C36" w:rsidRDefault="00B97963">
      <w:pPr>
        <w:tabs>
          <w:tab w:val="num" w:pos="1134"/>
        </w:tabs>
        <w:ind w:left="1134" w:hanging="283"/>
        <w:rPr>
          <w:rFonts w:eastAsia="Times New Roman"/>
          <w:noProof/>
        </w:rPr>
      </w:pPr>
      <w:r>
        <w:rPr>
          <w:rFonts w:eastAsia="Times New Roman"/>
          <w:noProof/>
        </w:rPr>
        <w:sym w:font="Wingdings" w:char="F0A8"/>
      </w:r>
      <w:r>
        <w:rPr>
          <w:noProof/>
        </w:rPr>
        <w:tab/>
        <w:t xml:space="preserve">La proposition/l'initiative n'engendre pas l'utilisation de crédits opérationnels </w:t>
      </w:r>
    </w:p>
    <w:p w:rsidR="00824C36" w:rsidRDefault="00B97963">
      <w:pPr>
        <w:tabs>
          <w:tab w:val="num" w:pos="1134"/>
        </w:tabs>
        <w:ind w:left="1134" w:hanging="283"/>
        <w:rPr>
          <w:rFonts w:eastAsia="Times New Roman"/>
          <w:noProof/>
        </w:rPr>
      </w:pPr>
      <w:r>
        <w:rPr>
          <w:rFonts w:eastAsia="Times New Roman"/>
          <w:noProof/>
        </w:rPr>
        <w:sym w:font="Wingdings" w:char="F0A8"/>
      </w:r>
      <w:r>
        <w:rPr>
          <w:noProof/>
        </w:rPr>
        <w:tab/>
        <w:t xml:space="preserve">La proposition/l'initiative </w:t>
      </w:r>
      <w:r>
        <w:rPr>
          <w:noProof/>
        </w:rPr>
        <w:t>engendre l'utilisation de crédits opérationnels, comme expliqué ci-après:</w:t>
      </w:r>
    </w:p>
    <w:p w:rsidR="00824C36" w:rsidRDefault="00B97963">
      <w:pPr>
        <w:jc w:val="right"/>
        <w:rPr>
          <w:noProof/>
          <w:sz w:val="20"/>
        </w:rPr>
      </w:pPr>
      <w:r>
        <w:rPr>
          <w:noProof/>
          <w:sz w:val="20"/>
        </w:rPr>
        <w:t>Crédits d'engagement en Mio EUR (à la 3</w:t>
      </w:r>
      <w:r>
        <w:rPr>
          <w:noProof/>
          <w:sz w:val="20"/>
          <w:vertAlign w:val="superscript"/>
        </w:rPr>
        <w:t>e</w:t>
      </w:r>
      <w:r>
        <w:rPr>
          <w:noProof/>
          <w:sz w:val="20"/>
        </w:rPr>
        <w:t> décimale)</w:t>
      </w:r>
    </w:p>
    <w:p w:rsidR="00824C36" w:rsidRDefault="00824C36">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925"/>
        <w:gridCol w:w="103"/>
        <w:gridCol w:w="701"/>
        <w:gridCol w:w="504"/>
        <w:gridCol w:w="720"/>
        <w:gridCol w:w="540"/>
        <w:gridCol w:w="720"/>
        <w:gridCol w:w="720"/>
        <w:gridCol w:w="720"/>
        <w:gridCol w:w="900"/>
        <w:gridCol w:w="38"/>
        <w:gridCol w:w="682"/>
        <w:gridCol w:w="10"/>
        <w:gridCol w:w="31"/>
        <w:gridCol w:w="499"/>
        <w:gridCol w:w="648"/>
        <w:gridCol w:w="539"/>
        <w:gridCol w:w="613"/>
        <w:gridCol w:w="540"/>
        <w:gridCol w:w="720"/>
        <w:gridCol w:w="878"/>
        <w:gridCol w:w="236"/>
      </w:tblGrid>
      <w:tr w:rsidR="00824C36">
        <w:trPr>
          <w:gridAfter w:val="10"/>
          <w:wAfter w:w="4714" w:type="dxa"/>
          <w:jc w:val="center"/>
        </w:trPr>
        <w:tc>
          <w:tcPr>
            <w:tcW w:w="1218" w:type="dxa"/>
            <w:vMerge w:val="restart"/>
            <w:vAlign w:val="center"/>
          </w:tcPr>
          <w:p w:rsidR="00824C36" w:rsidRDefault="00B97963">
            <w:pPr>
              <w:ind w:right="-29"/>
              <w:jc w:val="center"/>
              <w:rPr>
                <w:b/>
                <w:bCs/>
                <w:noProof/>
                <w:sz w:val="18"/>
                <w:szCs w:val="18"/>
              </w:rPr>
            </w:pPr>
            <w:r>
              <w:rPr>
                <w:b/>
                <w:noProof/>
                <w:sz w:val="18"/>
              </w:rPr>
              <w:t xml:space="preserve">Indiquer les objectifs et les réalisations </w:t>
            </w:r>
          </w:p>
          <w:p w:rsidR="00824C36" w:rsidRDefault="00824C36">
            <w:pPr>
              <w:ind w:right="-29"/>
              <w:jc w:val="center"/>
              <w:rPr>
                <w:b/>
                <w:bCs/>
                <w:noProof/>
                <w:sz w:val="18"/>
                <w:szCs w:val="18"/>
              </w:rPr>
            </w:pPr>
          </w:p>
          <w:p w:rsidR="00824C36" w:rsidRDefault="00B97963">
            <w:pPr>
              <w:ind w:right="-29"/>
              <w:jc w:val="center"/>
              <w:rPr>
                <w:noProof/>
                <w:sz w:val="18"/>
                <w:szCs w:val="18"/>
              </w:rPr>
            </w:pPr>
            <w:r>
              <w:rPr>
                <w:noProof/>
                <w:sz w:val="18"/>
                <w:szCs w:val="18"/>
              </w:rPr>
              <w:sym w:font="Wingdings" w:char="F0F2"/>
            </w:r>
          </w:p>
        </w:tc>
        <w:tc>
          <w:tcPr>
            <w:tcW w:w="1028" w:type="dxa"/>
            <w:gridSpan w:val="2"/>
            <w:vAlign w:val="center"/>
          </w:tcPr>
          <w:p w:rsidR="00824C36" w:rsidRDefault="00824C36">
            <w:pPr>
              <w:ind w:right="-29"/>
              <w:jc w:val="center"/>
              <w:rPr>
                <w:noProof/>
                <w:sz w:val="18"/>
                <w:szCs w:val="18"/>
              </w:rPr>
            </w:pPr>
          </w:p>
        </w:tc>
        <w:tc>
          <w:tcPr>
            <w:tcW w:w="701" w:type="dxa"/>
            <w:vAlign w:val="center"/>
          </w:tcPr>
          <w:p w:rsidR="00824C36" w:rsidRDefault="00824C36">
            <w:pPr>
              <w:ind w:right="-29"/>
              <w:jc w:val="center"/>
              <w:rPr>
                <w:noProof/>
                <w:sz w:val="18"/>
                <w:szCs w:val="18"/>
              </w:rPr>
            </w:pPr>
          </w:p>
        </w:tc>
        <w:tc>
          <w:tcPr>
            <w:tcW w:w="1224" w:type="dxa"/>
            <w:gridSpan w:val="2"/>
            <w:tcBorders>
              <w:left w:val="nil"/>
            </w:tcBorders>
            <w:vAlign w:val="center"/>
          </w:tcPr>
          <w:p w:rsidR="00824C36" w:rsidRDefault="00B97963">
            <w:pPr>
              <w:jc w:val="center"/>
              <w:rPr>
                <w:b/>
                <w:noProof/>
                <w:sz w:val="18"/>
                <w:szCs w:val="18"/>
              </w:rPr>
            </w:pPr>
            <w:r>
              <w:rPr>
                <w:noProof/>
                <w:sz w:val="18"/>
              </w:rPr>
              <w:t>Année</w:t>
            </w:r>
            <w:r>
              <w:rPr>
                <w:noProof/>
                <w:sz w:val="18"/>
                <w:szCs w:val="18"/>
              </w:rPr>
              <w:br/>
            </w:r>
            <w:r>
              <w:rPr>
                <w:b/>
                <w:noProof/>
                <w:sz w:val="18"/>
              </w:rPr>
              <w:t>2018</w:t>
            </w:r>
          </w:p>
        </w:tc>
        <w:tc>
          <w:tcPr>
            <w:tcW w:w="1260" w:type="dxa"/>
            <w:gridSpan w:val="2"/>
            <w:vAlign w:val="center"/>
          </w:tcPr>
          <w:p w:rsidR="00824C36" w:rsidRDefault="00B97963">
            <w:pPr>
              <w:jc w:val="center"/>
              <w:rPr>
                <w:b/>
                <w:noProof/>
                <w:sz w:val="18"/>
                <w:szCs w:val="18"/>
              </w:rPr>
            </w:pPr>
            <w:r>
              <w:rPr>
                <w:noProof/>
                <w:sz w:val="18"/>
              </w:rPr>
              <w:t>Année</w:t>
            </w:r>
            <w:r>
              <w:rPr>
                <w:noProof/>
                <w:sz w:val="18"/>
                <w:szCs w:val="18"/>
              </w:rPr>
              <w:br/>
            </w:r>
            <w:r>
              <w:rPr>
                <w:b/>
                <w:noProof/>
                <w:sz w:val="18"/>
              </w:rPr>
              <w:t>2019</w:t>
            </w:r>
          </w:p>
        </w:tc>
        <w:tc>
          <w:tcPr>
            <w:tcW w:w="1440" w:type="dxa"/>
            <w:gridSpan w:val="2"/>
            <w:vAlign w:val="center"/>
          </w:tcPr>
          <w:p w:rsidR="00824C36" w:rsidRDefault="00B97963">
            <w:pPr>
              <w:jc w:val="center"/>
              <w:rPr>
                <w:b/>
                <w:noProof/>
                <w:sz w:val="18"/>
                <w:szCs w:val="18"/>
              </w:rPr>
            </w:pPr>
            <w:r>
              <w:rPr>
                <w:noProof/>
                <w:sz w:val="18"/>
              </w:rPr>
              <w:t>Année</w:t>
            </w:r>
            <w:r>
              <w:rPr>
                <w:noProof/>
                <w:sz w:val="18"/>
                <w:szCs w:val="18"/>
              </w:rPr>
              <w:br/>
            </w:r>
            <w:r>
              <w:rPr>
                <w:b/>
                <w:noProof/>
                <w:sz w:val="18"/>
              </w:rPr>
              <w:t>2020</w:t>
            </w:r>
          </w:p>
        </w:tc>
        <w:tc>
          <w:tcPr>
            <w:tcW w:w="1620" w:type="dxa"/>
            <w:gridSpan w:val="3"/>
            <w:vAlign w:val="center"/>
          </w:tcPr>
          <w:p w:rsidR="00824C36" w:rsidRDefault="00B97963">
            <w:pPr>
              <w:ind w:right="-29"/>
              <w:jc w:val="center"/>
              <w:rPr>
                <w:noProof/>
                <w:sz w:val="18"/>
                <w:szCs w:val="18"/>
              </w:rPr>
            </w:pPr>
            <w:r>
              <w:rPr>
                <w:b/>
                <w:noProof/>
                <w:sz w:val="18"/>
              </w:rPr>
              <w:t>TOTAL</w:t>
            </w:r>
          </w:p>
        </w:tc>
      </w:tr>
      <w:tr w:rsidR="00824C36">
        <w:trPr>
          <w:gridAfter w:val="9"/>
          <w:wAfter w:w="4704" w:type="dxa"/>
          <w:jc w:val="center"/>
        </w:trPr>
        <w:tc>
          <w:tcPr>
            <w:tcW w:w="1218" w:type="dxa"/>
            <w:vMerge/>
            <w:vAlign w:val="center"/>
          </w:tcPr>
          <w:p w:rsidR="00824C36" w:rsidRDefault="00824C36">
            <w:pPr>
              <w:rPr>
                <w:noProof/>
                <w:sz w:val="18"/>
                <w:szCs w:val="18"/>
              </w:rPr>
            </w:pPr>
          </w:p>
        </w:tc>
        <w:tc>
          <w:tcPr>
            <w:tcW w:w="7283" w:type="dxa"/>
            <w:gridSpan w:val="13"/>
            <w:vAlign w:val="center"/>
          </w:tcPr>
          <w:p w:rsidR="00824C36" w:rsidRDefault="00B97963">
            <w:pPr>
              <w:spacing w:before="60" w:after="60"/>
              <w:ind w:right="-29"/>
              <w:jc w:val="center"/>
              <w:rPr>
                <w:noProof/>
                <w:color w:val="FF0000"/>
                <w:sz w:val="18"/>
                <w:szCs w:val="18"/>
              </w:rPr>
            </w:pPr>
            <w:r>
              <w:rPr>
                <w:b/>
                <w:noProof/>
                <w:color w:val="FF0000"/>
                <w:sz w:val="18"/>
              </w:rPr>
              <w:t>RÉALISATIONS (outputs)</w:t>
            </w:r>
          </w:p>
        </w:tc>
      </w:tr>
      <w:tr w:rsidR="00824C36">
        <w:trPr>
          <w:gridAfter w:val="10"/>
          <w:wAfter w:w="4714" w:type="dxa"/>
          <w:cantSplit/>
          <w:trHeight w:val="1134"/>
          <w:jc w:val="center"/>
        </w:trPr>
        <w:tc>
          <w:tcPr>
            <w:tcW w:w="1218" w:type="dxa"/>
            <w:vMerge/>
            <w:vAlign w:val="center"/>
          </w:tcPr>
          <w:p w:rsidR="00824C36" w:rsidRDefault="00824C36">
            <w:pPr>
              <w:rPr>
                <w:noProof/>
                <w:sz w:val="18"/>
                <w:szCs w:val="18"/>
              </w:rPr>
            </w:pPr>
          </w:p>
        </w:tc>
        <w:tc>
          <w:tcPr>
            <w:tcW w:w="925" w:type="dxa"/>
            <w:vAlign w:val="center"/>
          </w:tcPr>
          <w:p w:rsidR="00824C36" w:rsidRDefault="00B97963">
            <w:pPr>
              <w:ind w:right="-263"/>
              <w:rPr>
                <w:noProof/>
                <w:sz w:val="18"/>
                <w:szCs w:val="18"/>
              </w:rPr>
            </w:pPr>
            <w:r>
              <w:rPr>
                <w:noProof/>
                <w:sz w:val="18"/>
              </w:rPr>
              <w:t xml:space="preserve">Type de </w:t>
            </w:r>
            <w:r>
              <w:rPr>
                <w:noProof/>
                <w:sz w:val="18"/>
              </w:rPr>
              <w:t>réalisation</w:t>
            </w:r>
            <w:r>
              <w:rPr>
                <w:rStyle w:val="FootnoteReference"/>
                <w:noProof/>
              </w:rPr>
              <w:footnoteReference w:id="25"/>
            </w:r>
          </w:p>
        </w:tc>
        <w:tc>
          <w:tcPr>
            <w:tcW w:w="804" w:type="dxa"/>
            <w:gridSpan w:val="2"/>
            <w:vAlign w:val="center"/>
          </w:tcPr>
          <w:p w:rsidR="00824C36" w:rsidRDefault="00B97963">
            <w:pPr>
              <w:jc w:val="center"/>
              <w:rPr>
                <w:noProof/>
                <w:sz w:val="18"/>
                <w:szCs w:val="18"/>
              </w:rPr>
            </w:pPr>
            <w:r>
              <w:rPr>
                <w:noProof/>
                <w:sz w:val="18"/>
              </w:rPr>
              <w:t xml:space="preserve">Coût moyen </w:t>
            </w:r>
            <w:r>
              <w:rPr>
                <w:noProof/>
                <w:sz w:val="18"/>
                <w:szCs w:val="18"/>
              </w:rPr>
              <w:br/>
            </w:r>
            <w:r>
              <w:rPr>
                <w:noProof/>
                <w:sz w:val="18"/>
              </w:rPr>
              <w:t>des réalisations</w:t>
            </w:r>
          </w:p>
        </w:tc>
        <w:tc>
          <w:tcPr>
            <w:tcW w:w="504" w:type="dxa"/>
            <w:tcBorders>
              <w:left w:val="nil"/>
              <w:right w:val="dashSmallGap" w:sz="4" w:space="0" w:color="auto"/>
            </w:tcBorders>
            <w:shd w:val="pct10" w:color="auto" w:fill="auto"/>
            <w:textDirection w:val="btLr"/>
            <w:vAlign w:val="center"/>
          </w:tcPr>
          <w:p w:rsidR="00824C36" w:rsidRDefault="00B97963">
            <w:pPr>
              <w:ind w:left="113" w:right="113"/>
              <w:jc w:val="center"/>
              <w:rPr>
                <w:noProof/>
                <w:sz w:val="18"/>
                <w:szCs w:val="18"/>
              </w:rPr>
            </w:pPr>
            <w:r>
              <w:rPr>
                <w:noProof/>
                <w:sz w:val="18"/>
              </w:rPr>
              <w:t>Nombre</w:t>
            </w:r>
            <w:r>
              <w:rPr>
                <w:noProof/>
                <w:sz w:val="18"/>
                <w:szCs w:val="18"/>
              </w:rPr>
              <w:br/>
            </w:r>
            <w:r>
              <w:rPr>
                <w:noProof/>
                <w:sz w:val="18"/>
              </w:rPr>
              <w:t>de réalisations</w:t>
            </w:r>
          </w:p>
        </w:tc>
        <w:tc>
          <w:tcPr>
            <w:tcW w:w="720" w:type="dxa"/>
            <w:tcBorders>
              <w:left w:val="dashSmallGap" w:sz="4" w:space="0" w:color="auto"/>
            </w:tcBorders>
            <w:shd w:val="pct10" w:color="auto" w:fill="auto"/>
            <w:vAlign w:val="center"/>
          </w:tcPr>
          <w:p w:rsidR="00824C36" w:rsidRDefault="00B97963">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824C36" w:rsidRDefault="00B97963">
            <w:pPr>
              <w:ind w:left="113" w:right="113"/>
              <w:jc w:val="center"/>
              <w:rPr>
                <w:noProof/>
                <w:sz w:val="18"/>
                <w:szCs w:val="18"/>
              </w:rPr>
            </w:pPr>
            <w:r>
              <w:rPr>
                <w:noProof/>
                <w:sz w:val="18"/>
              </w:rPr>
              <w:t>Nombre</w:t>
            </w:r>
            <w:r>
              <w:rPr>
                <w:noProof/>
                <w:sz w:val="18"/>
                <w:szCs w:val="18"/>
              </w:rPr>
              <w:br/>
            </w:r>
            <w:r>
              <w:rPr>
                <w:noProof/>
                <w:sz w:val="18"/>
              </w:rPr>
              <w:t>de réalisations</w:t>
            </w:r>
          </w:p>
        </w:tc>
        <w:tc>
          <w:tcPr>
            <w:tcW w:w="720" w:type="dxa"/>
            <w:tcBorders>
              <w:left w:val="dashSmallGap" w:sz="4" w:space="0" w:color="auto"/>
            </w:tcBorders>
            <w:shd w:val="pct10" w:color="auto" w:fill="auto"/>
            <w:vAlign w:val="center"/>
          </w:tcPr>
          <w:p w:rsidR="00824C36" w:rsidRDefault="00B97963">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rsidR="00824C36" w:rsidRDefault="00B97963">
            <w:pPr>
              <w:ind w:left="113" w:right="113"/>
              <w:jc w:val="center"/>
              <w:rPr>
                <w:noProof/>
                <w:sz w:val="18"/>
                <w:szCs w:val="18"/>
              </w:rPr>
            </w:pPr>
            <w:r>
              <w:rPr>
                <w:noProof/>
                <w:sz w:val="18"/>
              </w:rPr>
              <w:t>Nombre</w:t>
            </w:r>
            <w:r>
              <w:rPr>
                <w:noProof/>
                <w:sz w:val="18"/>
                <w:szCs w:val="18"/>
              </w:rPr>
              <w:br/>
            </w:r>
            <w:r>
              <w:rPr>
                <w:noProof/>
                <w:sz w:val="18"/>
              </w:rPr>
              <w:t>de réalisations</w:t>
            </w:r>
          </w:p>
        </w:tc>
        <w:tc>
          <w:tcPr>
            <w:tcW w:w="720" w:type="dxa"/>
            <w:tcBorders>
              <w:left w:val="dashSmallGap" w:sz="4" w:space="0" w:color="auto"/>
            </w:tcBorders>
            <w:shd w:val="pct10" w:color="auto" w:fill="auto"/>
            <w:vAlign w:val="center"/>
          </w:tcPr>
          <w:p w:rsidR="00824C36" w:rsidRDefault="00B97963">
            <w:pPr>
              <w:jc w:val="center"/>
              <w:rPr>
                <w:noProof/>
                <w:sz w:val="18"/>
                <w:szCs w:val="18"/>
              </w:rPr>
            </w:pPr>
            <w:r>
              <w:rPr>
                <w:noProof/>
                <w:sz w:val="18"/>
              </w:rPr>
              <w:t>Coût</w:t>
            </w:r>
          </w:p>
        </w:tc>
        <w:tc>
          <w:tcPr>
            <w:tcW w:w="900" w:type="dxa"/>
            <w:tcBorders>
              <w:right w:val="dashSmallGap" w:sz="4" w:space="0" w:color="auto"/>
            </w:tcBorders>
            <w:shd w:val="pct10" w:color="auto" w:fill="auto"/>
            <w:vAlign w:val="center"/>
          </w:tcPr>
          <w:p w:rsidR="00824C36" w:rsidRDefault="00B97963">
            <w:pPr>
              <w:jc w:val="center"/>
              <w:rPr>
                <w:noProof/>
                <w:sz w:val="18"/>
                <w:szCs w:val="18"/>
              </w:rPr>
            </w:pPr>
            <w:r>
              <w:rPr>
                <w:noProof/>
                <w:sz w:val="18"/>
              </w:rPr>
              <w:t>Nombre total de réalisations</w:t>
            </w:r>
          </w:p>
        </w:tc>
        <w:tc>
          <w:tcPr>
            <w:tcW w:w="720" w:type="dxa"/>
            <w:gridSpan w:val="2"/>
            <w:tcBorders>
              <w:left w:val="dashSmallGap" w:sz="4" w:space="0" w:color="auto"/>
            </w:tcBorders>
            <w:shd w:val="pct10" w:color="auto" w:fill="auto"/>
            <w:vAlign w:val="center"/>
          </w:tcPr>
          <w:p w:rsidR="00824C36" w:rsidRDefault="00B97963">
            <w:pPr>
              <w:jc w:val="center"/>
              <w:rPr>
                <w:noProof/>
                <w:sz w:val="18"/>
                <w:szCs w:val="18"/>
              </w:rPr>
            </w:pPr>
            <w:r>
              <w:rPr>
                <w:noProof/>
                <w:sz w:val="18"/>
              </w:rPr>
              <w:t xml:space="preserve">Coût </w:t>
            </w:r>
            <w:r>
              <w:rPr>
                <w:noProof/>
                <w:sz w:val="18"/>
                <w:szCs w:val="18"/>
              </w:rPr>
              <w:br/>
            </w:r>
            <w:r>
              <w:rPr>
                <w:noProof/>
                <w:sz w:val="18"/>
              </w:rPr>
              <w:t>total</w:t>
            </w:r>
          </w:p>
        </w:tc>
      </w:tr>
      <w:tr w:rsidR="00824C36">
        <w:trPr>
          <w:jc w:val="center"/>
        </w:trPr>
        <w:tc>
          <w:tcPr>
            <w:tcW w:w="2947" w:type="dxa"/>
            <w:gridSpan w:val="4"/>
            <w:vAlign w:val="center"/>
          </w:tcPr>
          <w:p w:rsidR="00824C36" w:rsidRDefault="00B97963">
            <w:pPr>
              <w:spacing w:before="60" w:after="60"/>
              <w:ind w:right="-29"/>
              <w:jc w:val="center"/>
              <w:rPr>
                <w:noProof/>
                <w:sz w:val="18"/>
                <w:szCs w:val="18"/>
              </w:rPr>
            </w:pPr>
            <w:r>
              <w:rPr>
                <w:noProof/>
                <w:sz w:val="18"/>
              </w:rPr>
              <w:t>O</w:t>
            </w:r>
            <w:r>
              <w:rPr>
                <w:noProof/>
                <w:sz w:val="18"/>
              </w:rPr>
              <w:t>BJECTIF SPÉCIFIQUE n° 1 - Prévention</w:t>
            </w:r>
            <w:r>
              <w:rPr>
                <w:rStyle w:val="FootnoteReference"/>
                <w:noProof/>
              </w:rPr>
              <w:footnoteReference w:id="26"/>
            </w:r>
            <w:r>
              <w:rPr>
                <w:noProof/>
                <w:sz w:val="18"/>
              </w:rPr>
              <w:t>…</w:t>
            </w:r>
          </w:p>
        </w:tc>
        <w:tc>
          <w:tcPr>
            <w:tcW w:w="504" w:type="dxa"/>
            <w:tcBorders>
              <w:top w:val="nil"/>
              <w:left w:val="nil"/>
              <w:bottom w:val="nil"/>
              <w:right w:val="nil"/>
            </w:tcBorders>
          </w:tcPr>
          <w:p w:rsidR="00824C36" w:rsidRDefault="00824C36">
            <w:pPr>
              <w:spacing w:before="60" w:after="60"/>
              <w:ind w:right="-29"/>
              <w:jc w:val="center"/>
              <w:rPr>
                <w:noProof/>
                <w:color w:val="FF0000"/>
                <w:sz w:val="18"/>
                <w:szCs w:val="18"/>
              </w:rPr>
            </w:pPr>
          </w:p>
        </w:tc>
        <w:tc>
          <w:tcPr>
            <w:tcW w:w="720" w:type="dxa"/>
            <w:tcBorders>
              <w:top w:val="nil"/>
              <w:left w:val="nil"/>
              <w:bottom w:val="nil"/>
              <w:right w:val="nil"/>
            </w:tcBorders>
          </w:tcPr>
          <w:p w:rsidR="00824C36" w:rsidRDefault="00824C36">
            <w:pPr>
              <w:spacing w:before="60" w:after="60"/>
              <w:ind w:right="-29"/>
              <w:jc w:val="center"/>
              <w:rPr>
                <w:noProof/>
                <w:color w:val="FF0000"/>
                <w:sz w:val="18"/>
                <w:szCs w:val="18"/>
              </w:rPr>
            </w:pPr>
          </w:p>
        </w:tc>
        <w:tc>
          <w:tcPr>
            <w:tcW w:w="540" w:type="dxa"/>
            <w:tcBorders>
              <w:top w:val="nil"/>
              <w:left w:val="nil"/>
              <w:bottom w:val="nil"/>
              <w:right w:val="nil"/>
            </w:tcBorders>
          </w:tcPr>
          <w:p w:rsidR="00824C36" w:rsidRDefault="00824C36">
            <w:pPr>
              <w:spacing w:before="60" w:after="60"/>
              <w:ind w:right="-29"/>
              <w:jc w:val="center"/>
              <w:rPr>
                <w:noProof/>
                <w:color w:val="FF0000"/>
                <w:sz w:val="18"/>
                <w:szCs w:val="18"/>
              </w:rPr>
            </w:pPr>
          </w:p>
        </w:tc>
        <w:tc>
          <w:tcPr>
            <w:tcW w:w="720" w:type="dxa"/>
            <w:tcBorders>
              <w:top w:val="nil"/>
              <w:left w:val="nil"/>
              <w:bottom w:val="nil"/>
              <w:right w:val="nil"/>
            </w:tcBorders>
          </w:tcPr>
          <w:p w:rsidR="00824C36" w:rsidRDefault="00824C36">
            <w:pPr>
              <w:spacing w:before="60" w:after="60"/>
              <w:ind w:right="-29"/>
              <w:jc w:val="center"/>
              <w:rPr>
                <w:noProof/>
                <w:color w:val="FF0000"/>
                <w:sz w:val="18"/>
                <w:szCs w:val="18"/>
              </w:rPr>
            </w:pPr>
          </w:p>
        </w:tc>
        <w:tc>
          <w:tcPr>
            <w:tcW w:w="720" w:type="dxa"/>
            <w:tcBorders>
              <w:top w:val="nil"/>
              <w:left w:val="nil"/>
              <w:bottom w:val="nil"/>
              <w:right w:val="nil"/>
            </w:tcBorders>
          </w:tcPr>
          <w:p w:rsidR="00824C36" w:rsidRDefault="00824C36">
            <w:pPr>
              <w:spacing w:before="60" w:after="60"/>
              <w:ind w:right="-29"/>
              <w:jc w:val="center"/>
              <w:rPr>
                <w:noProof/>
                <w:color w:val="FF0000"/>
                <w:sz w:val="18"/>
                <w:szCs w:val="18"/>
              </w:rPr>
            </w:pPr>
          </w:p>
        </w:tc>
        <w:tc>
          <w:tcPr>
            <w:tcW w:w="720" w:type="dxa"/>
            <w:tcBorders>
              <w:top w:val="nil"/>
              <w:left w:val="nil"/>
              <w:bottom w:val="nil"/>
              <w:right w:val="nil"/>
            </w:tcBorders>
          </w:tcPr>
          <w:p w:rsidR="00824C36" w:rsidRDefault="00824C36">
            <w:pPr>
              <w:spacing w:before="60" w:after="60"/>
              <w:ind w:right="-29"/>
              <w:jc w:val="center"/>
              <w:rPr>
                <w:noProof/>
                <w:color w:val="FF0000"/>
                <w:sz w:val="18"/>
                <w:szCs w:val="18"/>
              </w:rPr>
            </w:pPr>
          </w:p>
        </w:tc>
        <w:tc>
          <w:tcPr>
            <w:tcW w:w="900" w:type="dxa"/>
            <w:tcBorders>
              <w:top w:val="nil"/>
              <w:left w:val="nil"/>
              <w:bottom w:val="nil"/>
              <w:right w:val="nil"/>
            </w:tcBorders>
          </w:tcPr>
          <w:p w:rsidR="00824C36" w:rsidRDefault="00824C36">
            <w:pPr>
              <w:spacing w:before="60" w:after="60"/>
              <w:ind w:right="-29"/>
              <w:jc w:val="center"/>
              <w:rPr>
                <w:noProof/>
                <w:color w:val="FF0000"/>
                <w:sz w:val="18"/>
                <w:szCs w:val="18"/>
              </w:rPr>
            </w:pPr>
          </w:p>
        </w:tc>
        <w:tc>
          <w:tcPr>
            <w:tcW w:w="720" w:type="dxa"/>
            <w:gridSpan w:val="2"/>
            <w:tcBorders>
              <w:top w:val="nil"/>
              <w:left w:val="nil"/>
              <w:bottom w:val="nil"/>
              <w:right w:val="nil"/>
            </w:tcBorders>
          </w:tcPr>
          <w:p w:rsidR="00824C36" w:rsidRDefault="00824C36">
            <w:pPr>
              <w:spacing w:before="60" w:after="60"/>
              <w:ind w:right="-29"/>
              <w:jc w:val="center"/>
              <w:rPr>
                <w:noProof/>
                <w:color w:val="FF0000"/>
                <w:sz w:val="18"/>
                <w:szCs w:val="18"/>
              </w:rPr>
            </w:pPr>
          </w:p>
        </w:tc>
        <w:tc>
          <w:tcPr>
            <w:tcW w:w="540" w:type="dxa"/>
            <w:gridSpan w:val="3"/>
            <w:tcBorders>
              <w:top w:val="nil"/>
              <w:left w:val="nil"/>
              <w:bottom w:val="nil"/>
              <w:right w:val="nil"/>
            </w:tcBorders>
          </w:tcPr>
          <w:p w:rsidR="00824C36" w:rsidRDefault="00824C36">
            <w:pPr>
              <w:spacing w:before="60" w:after="60"/>
              <w:ind w:right="-29"/>
              <w:jc w:val="center"/>
              <w:rPr>
                <w:noProof/>
                <w:sz w:val="18"/>
                <w:szCs w:val="18"/>
              </w:rPr>
            </w:pPr>
          </w:p>
        </w:tc>
        <w:tc>
          <w:tcPr>
            <w:tcW w:w="648" w:type="dxa"/>
            <w:tcBorders>
              <w:top w:val="nil"/>
              <w:left w:val="nil"/>
              <w:bottom w:val="nil"/>
              <w:right w:val="nil"/>
            </w:tcBorders>
          </w:tcPr>
          <w:p w:rsidR="00824C36" w:rsidRDefault="00824C36">
            <w:pPr>
              <w:spacing w:before="60" w:after="60"/>
              <w:ind w:right="-29"/>
              <w:jc w:val="center"/>
              <w:rPr>
                <w:noProof/>
                <w:sz w:val="18"/>
                <w:szCs w:val="18"/>
              </w:rPr>
            </w:pPr>
          </w:p>
        </w:tc>
        <w:tc>
          <w:tcPr>
            <w:tcW w:w="539" w:type="dxa"/>
            <w:tcBorders>
              <w:top w:val="nil"/>
              <w:left w:val="nil"/>
              <w:bottom w:val="nil"/>
              <w:right w:val="nil"/>
            </w:tcBorders>
          </w:tcPr>
          <w:p w:rsidR="00824C36" w:rsidRDefault="00824C36">
            <w:pPr>
              <w:spacing w:before="60" w:after="60"/>
              <w:ind w:right="-29"/>
              <w:jc w:val="center"/>
              <w:rPr>
                <w:noProof/>
                <w:sz w:val="18"/>
                <w:szCs w:val="18"/>
              </w:rPr>
            </w:pPr>
          </w:p>
        </w:tc>
        <w:tc>
          <w:tcPr>
            <w:tcW w:w="613" w:type="dxa"/>
            <w:tcBorders>
              <w:top w:val="nil"/>
              <w:left w:val="nil"/>
              <w:bottom w:val="nil"/>
              <w:right w:val="nil"/>
            </w:tcBorders>
          </w:tcPr>
          <w:p w:rsidR="00824C36" w:rsidRDefault="00824C36">
            <w:pPr>
              <w:spacing w:before="60" w:after="60"/>
              <w:ind w:right="-29"/>
              <w:jc w:val="center"/>
              <w:rPr>
                <w:noProof/>
                <w:sz w:val="18"/>
                <w:szCs w:val="18"/>
              </w:rPr>
            </w:pPr>
          </w:p>
        </w:tc>
        <w:tc>
          <w:tcPr>
            <w:tcW w:w="540" w:type="dxa"/>
            <w:tcBorders>
              <w:top w:val="nil"/>
              <w:left w:val="nil"/>
              <w:bottom w:val="nil"/>
              <w:right w:val="nil"/>
            </w:tcBorders>
          </w:tcPr>
          <w:p w:rsidR="00824C36" w:rsidRDefault="00824C36">
            <w:pPr>
              <w:spacing w:before="60" w:after="60"/>
              <w:ind w:right="-29"/>
              <w:jc w:val="center"/>
              <w:rPr>
                <w:noProof/>
                <w:sz w:val="18"/>
                <w:szCs w:val="18"/>
              </w:rPr>
            </w:pPr>
          </w:p>
        </w:tc>
        <w:tc>
          <w:tcPr>
            <w:tcW w:w="720" w:type="dxa"/>
            <w:tcBorders>
              <w:top w:val="nil"/>
              <w:left w:val="nil"/>
              <w:bottom w:val="nil"/>
              <w:right w:val="nil"/>
            </w:tcBorders>
          </w:tcPr>
          <w:p w:rsidR="00824C36" w:rsidRDefault="00824C36">
            <w:pPr>
              <w:spacing w:before="60" w:after="60"/>
              <w:ind w:right="-29"/>
              <w:jc w:val="center"/>
              <w:rPr>
                <w:noProof/>
                <w:sz w:val="18"/>
                <w:szCs w:val="18"/>
              </w:rPr>
            </w:pPr>
          </w:p>
        </w:tc>
        <w:tc>
          <w:tcPr>
            <w:tcW w:w="878" w:type="dxa"/>
            <w:tcBorders>
              <w:top w:val="nil"/>
              <w:left w:val="nil"/>
              <w:bottom w:val="nil"/>
              <w:right w:val="nil"/>
            </w:tcBorders>
          </w:tcPr>
          <w:p w:rsidR="00824C36" w:rsidRDefault="00824C36">
            <w:pPr>
              <w:spacing w:before="60" w:after="60"/>
              <w:ind w:right="-29"/>
              <w:jc w:val="center"/>
              <w:rPr>
                <w:noProof/>
                <w:sz w:val="18"/>
                <w:szCs w:val="18"/>
              </w:rPr>
            </w:pPr>
          </w:p>
        </w:tc>
        <w:tc>
          <w:tcPr>
            <w:tcW w:w="236" w:type="dxa"/>
            <w:tcBorders>
              <w:top w:val="nil"/>
              <w:left w:val="nil"/>
              <w:bottom w:val="nil"/>
              <w:right w:val="nil"/>
            </w:tcBorders>
          </w:tcPr>
          <w:p w:rsidR="00824C36" w:rsidRDefault="00824C36">
            <w:pPr>
              <w:spacing w:before="60" w:after="60"/>
              <w:ind w:right="-29"/>
              <w:jc w:val="center"/>
              <w:rPr>
                <w:noProof/>
                <w:sz w:val="18"/>
                <w:szCs w:val="18"/>
              </w:rPr>
            </w:pPr>
          </w:p>
        </w:tc>
      </w:tr>
      <w:tr w:rsidR="00824C36">
        <w:trPr>
          <w:gridAfter w:val="10"/>
          <w:wAfter w:w="4714" w:type="dxa"/>
          <w:trHeight w:hRule="exact" w:val="936"/>
          <w:jc w:val="center"/>
        </w:trPr>
        <w:tc>
          <w:tcPr>
            <w:tcW w:w="1218" w:type="dxa"/>
          </w:tcPr>
          <w:p w:rsidR="00824C36" w:rsidRDefault="00B97963">
            <w:pPr>
              <w:ind w:right="-29"/>
              <w:rPr>
                <w:noProof/>
                <w:sz w:val="18"/>
                <w:szCs w:val="18"/>
              </w:rPr>
            </w:pPr>
            <w:r>
              <w:rPr>
                <w:noProof/>
                <w:sz w:val="18"/>
              </w:rPr>
              <w:t>Nombre de projets financés pour la prévention</w:t>
            </w:r>
          </w:p>
        </w:tc>
        <w:tc>
          <w:tcPr>
            <w:tcW w:w="1028" w:type="dxa"/>
            <w:gridSpan w:val="2"/>
          </w:tcPr>
          <w:p w:rsidR="00824C36" w:rsidRDefault="00B97963">
            <w:pPr>
              <w:ind w:right="-29"/>
              <w:rPr>
                <w:noProof/>
                <w:sz w:val="18"/>
                <w:szCs w:val="18"/>
              </w:rPr>
            </w:pPr>
            <w:r>
              <w:rPr>
                <w:noProof/>
                <w:sz w:val="18"/>
              </w:rPr>
              <w:t>Conventions de subvention</w:t>
            </w:r>
          </w:p>
        </w:tc>
        <w:tc>
          <w:tcPr>
            <w:tcW w:w="701" w:type="dxa"/>
          </w:tcPr>
          <w:p w:rsidR="00824C36" w:rsidRDefault="00B97963">
            <w:pPr>
              <w:ind w:right="-29"/>
              <w:rPr>
                <w:noProof/>
                <w:sz w:val="18"/>
                <w:szCs w:val="18"/>
              </w:rPr>
            </w:pPr>
            <w:r>
              <w:rPr>
                <w:noProof/>
                <w:sz w:val="18"/>
              </w:rPr>
              <w:t>0,3</w:t>
            </w:r>
          </w:p>
        </w:tc>
        <w:tc>
          <w:tcPr>
            <w:tcW w:w="504" w:type="dxa"/>
            <w:tcBorders>
              <w:right w:val="dashSmallGap" w:sz="4" w:space="0" w:color="auto"/>
            </w:tcBorders>
          </w:tcPr>
          <w:p w:rsidR="00824C36" w:rsidRDefault="00B97963">
            <w:pPr>
              <w:ind w:right="-29"/>
              <w:rPr>
                <w:noProof/>
                <w:sz w:val="18"/>
                <w:szCs w:val="18"/>
              </w:rPr>
            </w:pPr>
            <w:r>
              <w:rPr>
                <w:noProof/>
                <w:sz w:val="18"/>
              </w:rPr>
              <w:t>15</w:t>
            </w:r>
          </w:p>
        </w:tc>
        <w:tc>
          <w:tcPr>
            <w:tcW w:w="720" w:type="dxa"/>
            <w:tcBorders>
              <w:left w:val="dashSmallGap" w:sz="4" w:space="0" w:color="auto"/>
            </w:tcBorders>
          </w:tcPr>
          <w:p w:rsidR="00824C36" w:rsidRDefault="00B97963">
            <w:pPr>
              <w:ind w:right="-29"/>
              <w:rPr>
                <w:noProof/>
                <w:sz w:val="18"/>
                <w:szCs w:val="18"/>
              </w:rPr>
            </w:pPr>
            <w:r>
              <w:rPr>
                <w:noProof/>
                <w:sz w:val="18"/>
              </w:rPr>
              <w:t>3</w:t>
            </w:r>
          </w:p>
        </w:tc>
        <w:tc>
          <w:tcPr>
            <w:tcW w:w="540" w:type="dxa"/>
            <w:tcBorders>
              <w:right w:val="dashSmallGap" w:sz="4" w:space="0" w:color="auto"/>
            </w:tcBorders>
          </w:tcPr>
          <w:p w:rsidR="00824C36" w:rsidRDefault="00B97963">
            <w:pPr>
              <w:ind w:right="-29"/>
              <w:rPr>
                <w:noProof/>
                <w:sz w:val="18"/>
                <w:szCs w:val="18"/>
              </w:rPr>
            </w:pPr>
            <w:r>
              <w:rPr>
                <w:noProof/>
                <w:sz w:val="18"/>
              </w:rPr>
              <w:t>15</w:t>
            </w:r>
          </w:p>
        </w:tc>
        <w:tc>
          <w:tcPr>
            <w:tcW w:w="720" w:type="dxa"/>
            <w:tcBorders>
              <w:left w:val="dashSmallGap" w:sz="4" w:space="0" w:color="auto"/>
            </w:tcBorders>
          </w:tcPr>
          <w:p w:rsidR="00824C36" w:rsidRDefault="00B97963">
            <w:pPr>
              <w:ind w:right="-29"/>
              <w:rPr>
                <w:noProof/>
                <w:sz w:val="18"/>
                <w:szCs w:val="18"/>
              </w:rPr>
            </w:pPr>
            <w:r>
              <w:rPr>
                <w:noProof/>
                <w:sz w:val="18"/>
              </w:rPr>
              <w:t>3</w:t>
            </w:r>
          </w:p>
        </w:tc>
        <w:tc>
          <w:tcPr>
            <w:tcW w:w="720" w:type="dxa"/>
            <w:tcBorders>
              <w:right w:val="dashSmallGap" w:sz="4" w:space="0" w:color="auto"/>
            </w:tcBorders>
          </w:tcPr>
          <w:p w:rsidR="00824C36" w:rsidRDefault="00B97963">
            <w:pPr>
              <w:ind w:right="-29"/>
              <w:rPr>
                <w:noProof/>
                <w:sz w:val="18"/>
                <w:szCs w:val="18"/>
              </w:rPr>
            </w:pPr>
            <w:r>
              <w:rPr>
                <w:noProof/>
                <w:sz w:val="18"/>
              </w:rPr>
              <w:t>15</w:t>
            </w:r>
          </w:p>
        </w:tc>
        <w:tc>
          <w:tcPr>
            <w:tcW w:w="720" w:type="dxa"/>
            <w:tcBorders>
              <w:left w:val="dashSmallGap" w:sz="4" w:space="0" w:color="auto"/>
            </w:tcBorders>
          </w:tcPr>
          <w:p w:rsidR="00824C36" w:rsidRDefault="00B97963">
            <w:pPr>
              <w:ind w:right="-29"/>
              <w:rPr>
                <w:noProof/>
                <w:sz w:val="18"/>
                <w:szCs w:val="18"/>
              </w:rPr>
            </w:pPr>
            <w:r>
              <w:rPr>
                <w:noProof/>
                <w:sz w:val="18"/>
              </w:rPr>
              <w:t>3</w:t>
            </w:r>
          </w:p>
        </w:tc>
        <w:tc>
          <w:tcPr>
            <w:tcW w:w="900" w:type="dxa"/>
            <w:tcBorders>
              <w:right w:val="dashSmallGap" w:sz="4" w:space="0" w:color="auto"/>
            </w:tcBorders>
          </w:tcPr>
          <w:p w:rsidR="00824C36" w:rsidRDefault="00B97963">
            <w:pPr>
              <w:ind w:right="-29"/>
              <w:rPr>
                <w:noProof/>
                <w:sz w:val="18"/>
                <w:szCs w:val="18"/>
              </w:rPr>
            </w:pPr>
            <w:r>
              <w:rPr>
                <w:noProof/>
                <w:sz w:val="18"/>
              </w:rPr>
              <w:t>45</w:t>
            </w:r>
          </w:p>
        </w:tc>
        <w:tc>
          <w:tcPr>
            <w:tcW w:w="720" w:type="dxa"/>
            <w:gridSpan w:val="2"/>
            <w:tcBorders>
              <w:left w:val="dashSmallGap" w:sz="4" w:space="0" w:color="auto"/>
            </w:tcBorders>
          </w:tcPr>
          <w:p w:rsidR="00824C36" w:rsidRDefault="00B97963">
            <w:pPr>
              <w:ind w:right="-29"/>
              <w:jc w:val="center"/>
              <w:rPr>
                <w:noProof/>
                <w:sz w:val="18"/>
                <w:szCs w:val="18"/>
              </w:rPr>
            </w:pPr>
            <w:r>
              <w:rPr>
                <w:noProof/>
                <w:sz w:val="18"/>
              </w:rPr>
              <w:t>9</w:t>
            </w:r>
          </w:p>
        </w:tc>
      </w:tr>
      <w:tr w:rsidR="00824C36">
        <w:trPr>
          <w:gridAfter w:val="10"/>
          <w:wAfter w:w="4714" w:type="dxa"/>
          <w:trHeight w:hRule="exact" w:val="719"/>
          <w:jc w:val="center"/>
        </w:trPr>
        <w:tc>
          <w:tcPr>
            <w:tcW w:w="1218" w:type="dxa"/>
          </w:tcPr>
          <w:p w:rsidR="00824C36" w:rsidRDefault="00B97963">
            <w:pPr>
              <w:ind w:right="-29"/>
              <w:rPr>
                <w:noProof/>
                <w:sz w:val="18"/>
                <w:szCs w:val="18"/>
              </w:rPr>
            </w:pPr>
            <w:r>
              <w:rPr>
                <w:noProof/>
                <w:sz w:val="18"/>
              </w:rPr>
              <w:t>Études</w:t>
            </w:r>
          </w:p>
        </w:tc>
        <w:tc>
          <w:tcPr>
            <w:tcW w:w="1028" w:type="dxa"/>
            <w:gridSpan w:val="2"/>
          </w:tcPr>
          <w:p w:rsidR="00824C36" w:rsidRDefault="00B97963">
            <w:pPr>
              <w:ind w:right="-29"/>
              <w:rPr>
                <w:noProof/>
                <w:sz w:val="18"/>
                <w:szCs w:val="18"/>
              </w:rPr>
            </w:pPr>
            <w:r>
              <w:rPr>
                <w:noProof/>
                <w:sz w:val="18"/>
              </w:rPr>
              <w:t>Nombre de contrats</w:t>
            </w:r>
          </w:p>
        </w:tc>
        <w:tc>
          <w:tcPr>
            <w:tcW w:w="701" w:type="dxa"/>
          </w:tcPr>
          <w:p w:rsidR="00824C36" w:rsidRDefault="00B97963">
            <w:pPr>
              <w:ind w:right="-29"/>
              <w:jc w:val="center"/>
              <w:rPr>
                <w:noProof/>
                <w:sz w:val="18"/>
                <w:szCs w:val="18"/>
              </w:rPr>
            </w:pPr>
            <w:r>
              <w:rPr>
                <w:noProof/>
                <w:sz w:val="18"/>
              </w:rPr>
              <w:t>0,1</w:t>
            </w:r>
          </w:p>
        </w:tc>
        <w:tc>
          <w:tcPr>
            <w:tcW w:w="504" w:type="dxa"/>
          </w:tcPr>
          <w:p w:rsidR="00824C36" w:rsidRDefault="00B97963">
            <w:pPr>
              <w:ind w:right="-29"/>
              <w:jc w:val="center"/>
              <w:rPr>
                <w:noProof/>
                <w:sz w:val="18"/>
                <w:szCs w:val="18"/>
              </w:rPr>
            </w:pPr>
            <w:r>
              <w:rPr>
                <w:noProof/>
                <w:sz w:val="18"/>
              </w:rPr>
              <w:t>5</w:t>
            </w:r>
          </w:p>
        </w:tc>
        <w:tc>
          <w:tcPr>
            <w:tcW w:w="720" w:type="dxa"/>
          </w:tcPr>
          <w:p w:rsidR="00824C36" w:rsidRDefault="00B97963">
            <w:pPr>
              <w:ind w:right="-29"/>
              <w:jc w:val="center"/>
              <w:rPr>
                <w:noProof/>
                <w:sz w:val="18"/>
                <w:szCs w:val="18"/>
              </w:rPr>
            </w:pPr>
            <w:r>
              <w:rPr>
                <w:noProof/>
                <w:sz w:val="18"/>
              </w:rPr>
              <w:t>0,5</w:t>
            </w:r>
          </w:p>
        </w:tc>
        <w:tc>
          <w:tcPr>
            <w:tcW w:w="540" w:type="dxa"/>
          </w:tcPr>
          <w:p w:rsidR="00824C36" w:rsidRDefault="00B97963">
            <w:pPr>
              <w:ind w:right="-29"/>
              <w:jc w:val="center"/>
              <w:rPr>
                <w:noProof/>
                <w:sz w:val="18"/>
                <w:szCs w:val="18"/>
              </w:rPr>
            </w:pPr>
            <w:r>
              <w:rPr>
                <w:noProof/>
                <w:sz w:val="18"/>
              </w:rPr>
              <w:t>5</w:t>
            </w:r>
          </w:p>
        </w:tc>
        <w:tc>
          <w:tcPr>
            <w:tcW w:w="720" w:type="dxa"/>
          </w:tcPr>
          <w:p w:rsidR="00824C36" w:rsidRDefault="00B97963">
            <w:pPr>
              <w:ind w:right="-29"/>
              <w:jc w:val="center"/>
              <w:rPr>
                <w:noProof/>
                <w:sz w:val="18"/>
                <w:szCs w:val="18"/>
              </w:rPr>
            </w:pPr>
            <w:r>
              <w:rPr>
                <w:noProof/>
                <w:sz w:val="18"/>
              </w:rPr>
              <w:t>0,5</w:t>
            </w:r>
          </w:p>
        </w:tc>
        <w:tc>
          <w:tcPr>
            <w:tcW w:w="720" w:type="dxa"/>
          </w:tcPr>
          <w:p w:rsidR="00824C36" w:rsidRDefault="00B97963">
            <w:pPr>
              <w:ind w:right="-29"/>
              <w:jc w:val="center"/>
              <w:rPr>
                <w:noProof/>
                <w:sz w:val="18"/>
                <w:szCs w:val="18"/>
              </w:rPr>
            </w:pPr>
            <w:r>
              <w:rPr>
                <w:noProof/>
                <w:sz w:val="18"/>
              </w:rPr>
              <w:t>5</w:t>
            </w:r>
          </w:p>
        </w:tc>
        <w:tc>
          <w:tcPr>
            <w:tcW w:w="720" w:type="dxa"/>
          </w:tcPr>
          <w:p w:rsidR="00824C36" w:rsidRDefault="00B97963">
            <w:pPr>
              <w:ind w:right="-29"/>
              <w:jc w:val="center"/>
              <w:rPr>
                <w:noProof/>
                <w:sz w:val="18"/>
                <w:szCs w:val="18"/>
              </w:rPr>
            </w:pPr>
            <w:r>
              <w:rPr>
                <w:noProof/>
                <w:sz w:val="18"/>
              </w:rPr>
              <w:t>0,5</w:t>
            </w:r>
          </w:p>
        </w:tc>
        <w:tc>
          <w:tcPr>
            <w:tcW w:w="900" w:type="dxa"/>
          </w:tcPr>
          <w:p w:rsidR="00824C36" w:rsidRDefault="00B97963">
            <w:pPr>
              <w:ind w:right="-29"/>
              <w:jc w:val="center"/>
              <w:rPr>
                <w:noProof/>
                <w:sz w:val="18"/>
                <w:szCs w:val="18"/>
              </w:rPr>
            </w:pPr>
            <w:r>
              <w:rPr>
                <w:noProof/>
                <w:sz w:val="18"/>
              </w:rPr>
              <w:t>15</w:t>
            </w:r>
          </w:p>
        </w:tc>
        <w:tc>
          <w:tcPr>
            <w:tcW w:w="720" w:type="dxa"/>
            <w:gridSpan w:val="2"/>
          </w:tcPr>
          <w:p w:rsidR="00824C36" w:rsidRDefault="00B97963">
            <w:pPr>
              <w:ind w:right="-29"/>
              <w:jc w:val="center"/>
              <w:rPr>
                <w:noProof/>
                <w:sz w:val="18"/>
                <w:szCs w:val="18"/>
              </w:rPr>
            </w:pPr>
            <w:r>
              <w:rPr>
                <w:noProof/>
                <w:sz w:val="18"/>
              </w:rPr>
              <w:t>1,5</w:t>
            </w:r>
          </w:p>
        </w:tc>
      </w:tr>
      <w:tr w:rsidR="00824C36">
        <w:trPr>
          <w:gridAfter w:val="10"/>
          <w:wAfter w:w="4714" w:type="dxa"/>
          <w:trHeight w:val="1060"/>
          <w:jc w:val="center"/>
        </w:trPr>
        <w:tc>
          <w:tcPr>
            <w:tcW w:w="2947" w:type="dxa"/>
            <w:gridSpan w:val="4"/>
            <w:vAlign w:val="center"/>
          </w:tcPr>
          <w:p w:rsidR="00824C36" w:rsidRDefault="00B97963">
            <w:pPr>
              <w:ind w:right="-29"/>
              <w:jc w:val="center"/>
              <w:rPr>
                <w:noProof/>
                <w:sz w:val="18"/>
                <w:szCs w:val="18"/>
              </w:rPr>
            </w:pPr>
            <w:r>
              <w:rPr>
                <w:noProof/>
                <w:sz w:val="18"/>
              </w:rPr>
              <w:t>Sous-total objectif spécifique n° 1</w:t>
            </w:r>
          </w:p>
        </w:tc>
        <w:tc>
          <w:tcPr>
            <w:tcW w:w="504" w:type="dxa"/>
          </w:tcPr>
          <w:p w:rsidR="00824C36" w:rsidRDefault="00B97963">
            <w:pPr>
              <w:ind w:right="-29"/>
              <w:jc w:val="center"/>
              <w:rPr>
                <w:noProof/>
                <w:sz w:val="18"/>
                <w:szCs w:val="18"/>
              </w:rPr>
            </w:pPr>
            <w:r>
              <w:rPr>
                <w:noProof/>
                <w:sz w:val="18"/>
              </w:rPr>
              <w:t>20</w:t>
            </w:r>
          </w:p>
        </w:tc>
        <w:tc>
          <w:tcPr>
            <w:tcW w:w="720" w:type="dxa"/>
            <w:tcBorders>
              <w:bottom w:val="single" w:sz="12" w:space="0" w:color="auto"/>
            </w:tcBorders>
          </w:tcPr>
          <w:p w:rsidR="00824C36" w:rsidRDefault="00B97963">
            <w:pPr>
              <w:ind w:right="-29"/>
              <w:jc w:val="center"/>
              <w:rPr>
                <w:noProof/>
                <w:sz w:val="18"/>
                <w:szCs w:val="18"/>
              </w:rPr>
            </w:pPr>
            <w:r>
              <w:rPr>
                <w:noProof/>
                <w:sz w:val="18"/>
              </w:rPr>
              <w:t>3,5</w:t>
            </w:r>
          </w:p>
        </w:tc>
        <w:tc>
          <w:tcPr>
            <w:tcW w:w="540" w:type="dxa"/>
            <w:tcBorders>
              <w:bottom w:val="single" w:sz="12" w:space="0" w:color="auto"/>
            </w:tcBorders>
          </w:tcPr>
          <w:p w:rsidR="00824C36" w:rsidRDefault="00B97963">
            <w:pPr>
              <w:ind w:right="-29"/>
              <w:jc w:val="center"/>
              <w:rPr>
                <w:noProof/>
                <w:sz w:val="18"/>
                <w:szCs w:val="18"/>
              </w:rPr>
            </w:pPr>
            <w:r>
              <w:rPr>
                <w:noProof/>
                <w:sz w:val="18"/>
              </w:rPr>
              <w:t>20</w:t>
            </w:r>
          </w:p>
        </w:tc>
        <w:tc>
          <w:tcPr>
            <w:tcW w:w="720" w:type="dxa"/>
            <w:tcBorders>
              <w:bottom w:val="single" w:sz="12" w:space="0" w:color="auto"/>
            </w:tcBorders>
          </w:tcPr>
          <w:p w:rsidR="00824C36" w:rsidRDefault="00B97963">
            <w:pPr>
              <w:ind w:right="-29"/>
              <w:jc w:val="center"/>
              <w:rPr>
                <w:noProof/>
                <w:sz w:val="18"/>
                <w:szCs w:val="18"/>
              </w:rPr>
            </w:pPr>
            <w:r>
              <w:rPr>
                <w:noProof/>
                <w:sz w:val="18"/>
              </w:rPr>
              <w:t>3,5</w:t>
            </w:r>
          </w:p>
        </w:tc>
        <w:tc>
          <w:tcPr>
            <w:tcW w:w="720" w:type="dxa"/>
            <w:tcBorders>
              <w:bottom w:val="single" w:sz="12" w:space="0" w:color="auto"/>
            </w:tcBorders>
          </w:tcPr>
          <w:p w:rsidR="00824C36" w:rsidRDefault="00B97963">
            <w:pPr>
              <w:ind w:right="-29"/>
              <w:jc w:val="center"/>
              <w:rPr>
                <w:noProof/>
                <w:sz w:val="18"/>
                <w:szCs w:val="18"/>
              </w:rPr>
            </w:pPr>
            <w:r>
              <w:rPr>
                <w:noProof/>
                <w:sz w:val="18"/>
              </w:rPr>
              <w:t>20</w:t>
            </w:r>
          </w:p>
        </w:tc>
        <w:tc>
          <w:tcPr>
            <w:tcW w:w="720" w:type="dxa"/>
            <w:tcBorders>
              <w:bottom w:val="single" w:sz="12" w:space="0" w:color="auto"/>
            </w:tcBorders>
          </w:tcPr>
          <w:p w:rsidR="00824C36" w:rsidRDefault="00B97963">
            <w:pPr>
              <w:ind w:right="-29"/>
              <w:jc w:val="center"/>
              <w:rPr>
                <w:noProof/>
                <w:sz w:val="18"/>
                <w:szCs w:val="18"/>
              </w:rPr>
            </w:pPr>
            <w:r>
              <w:rPr>
                <w:noProof/>
                <w:sz w:val="18"/>
              </w:rPr>
              <w:t>3,5</w:t>
            </w:r>
          </w:p>
        </w:tc>
        <w:tc>
          <w:tcPr>
            <w:tcW w:w="900" w:type="dxa"/>
            <w:tcBorders>
              <w:bottom w:val="single" w:sz="12" w:space="0" w:color="auto"/>
            </w:tcBorders>
          </w:tcPr>
          <w:p w:rsidR="00824C36" w:rsidRDefault="00B97963">
            <w:pPr>
              <w:ind w:right="-29"/>
              <w:jc w:val="center"/>
              <w:rPr>
                <w:noProof/>
                <w:sz w:val="18"/>
                <w:szCs w:val="18"/>
              </w:rPr>
            </w:pPr>
            <w:r>
              <w:rPr>
                <w:noProof/>
                <w:sz w:val="18"/>
              </w:rPr>
              <w:t>60</w:t>
            </w:r>
          </w:p>
        </w:tc>
        <w:tc>
          <w:tcPr>
            <w:tcW w:w="720" w:type="dxa"/>
            <w:gridSpan w:val="2"/>
            <w:tcBorders>
              <w:bottom w:val="single" w:sz="12" w:space="0" w:color="auto"/>
            </w:tcBorders>
          </w:tcPr>
          <w:p w:rsidR="00824C36" w:rsidRDefault="00B97963">
            <w:pPr>
              <w:ind w:right="-29"/>
              <w:jc w:val="center"/>
              <w:rPr>
                <w:noProof/>
                <w:sz w:val="18"/>
                <w:szCs w:val="18"/>
              </w:rPr>
            </w:pPr>
            <w:r>
              <w:rPr>
                <w:noProof/>
                <w:sz w:val="18"/>
              </w:rPr>
              <w:t>10,5</w:t>
            </w:r>
          </w:p>
        </w:tc>
      </w:tr>
      <w:tr w:rsidR="00824C36">
        <w:trPr>
          <w:trHeight w:val="1402"/>
          <w:jc w:val="center"/>
        </w:trPr>
        <w:tc>
          <w:tcPr>
            <w:tcW w:w="2947" w:type="dxa"/>
            <w:gridSpan w:val="4"/>
            <w:tcBorders>
              <w:top w:val="nil"/>
              <w:left w:val="nil"/>
              <w:bottom w:val="nil"/>
              <w:right w:val="nil"/>
            </w:tcBorders>
            <w:vAlign w:val="center"/>
          </w:tcPr>
          <w:p w:rsidR="00824C36" w:rsidRDefault="00824C36">
            <w:pPr>
              <w:spacing w:before="60" w:after="60"/>
              <w:ind w:right="-29"/>
              <w:rPr>
                <w:noProof/>
                <w:sz w:val="18"/>
                <w:szCs w:val="18"/>
              </w:rPr>
            </w:pPr>
          </w:p>
        </w:tc>
        <w:tc>
          <w:tcPr>
            <w:tcW w:w="504" w:type="dxa"/>
            <w:tcBorders>
              <w:top w:val="nil"/>
              <w:left w:val="nil"/>
              <w:bottom w:val="nil"/>
              <w:right w:val="nil"/>
            </w:tcBorders>
          </w:tcPr>
          <w:p w:rsidR="00824C36" w:rsidRDefault="00824C36">
            <w:pPr>
              <w:spacing w:before="60" w:after="60"/>
              <w:ind w:right="-29"/>
              <w:jc w:val="center"/>
              <w:rPr>
                <w:noProof/>
                <w:sz w:val="18"/>
                <w:szCs w:val="18"/>
              </w:rPr>
            </w:pPr>
          </w:p>
        </w:tc>
        <w:tc>
          <w:tcPr>
            <w:tcW w:w="720" w:type="dxa"/>
            <w:tcBorders>
              <w:top w:val="nil"/>
              <w:left w:val="nil"/>
              <w:bottom w:val="nil"/>
              <w:right w:val="nil"/>
            </w:tcBorders>
          </w:tcPr>
          <w:p w:rsidR="00824C36" w:rsidRDefault="00824C36">
            <w:pPr>
              <w:spacing w:before="60" w:after="60"/>
              <w:ind w:right="-29"/>
              <w:jc w:val="center"/>
              <w:rPr>
                <w:noProof/>
                <w:sz w:val="18"/>
                <w:szCs w:val="18"/>
              </w:rPr>
            </w:pPr>
          </w:p>
        </w:tc>
        <w:tc>
          <w:tcPr>
            <w:tcW w:w="540" w:type="dxa"/>
            <w:tcBorders>
              <w:top w:val="nil"/>
              <w:left w:val="nil"/>
              <w:bottom w:val="nil"/>
              <w:right w:val="nil"/>
            </w:tcBorders>
          </w:tcPr>
          <w:p w:rsidR="00824C36" w:rsidRDefault="00824C36">
            <w:pPr>
              <w:spacing w:before="60" w:after="60"/>
              <w:ind w:right="-29"/>
              <w:jc w:val="center"/>
              <w:rPr>
                <w:noProof/>
                <w:sz w:val="18"/>
                <w:szCs w:val="18"/>
              </w:rPr>
            </w:pPr>
          </w:p>
        </w:tc>
        <w:tc>
          <w:tcPr>
            <w:tcW w:w="720" w:type="dxa"/>
            <w:tcBorders>
              <w:top w:val="nil"/>
              <w:left w:val="nil"/>
              <w:bottom w:val="nil"/>
              <w:right w:val="nil"/>
            </w:tcBorders>
          </w:tcPr>
          <w:p w:rsidR="00824C36" w:rsidRDefault="00824C36">
            <w:pPr>
              <w:spacing w:before="60" w:after="60"/>
              <w:ind w:right="-29"/>
              <w:jc w:val="center"/>
              <w:rPr>
                <w:noProof/>
                <w:sz w:val="18"/>
                <w:szCs w:val="18"/>
              </w:rPr>
            </w:pPr>
          </w:p>
        </w:tc>
        <w:tc>
          <w:tcPr>
            <w:tcW w:w="720" w:type="dxa"/>
            <w:tcBorders>
              <w:top w:val="nil"/>
              <w:left w:val="nil"/>
              <w:bottom w:val="nil"/>
              <w:right w:val="nil"/>
            </w:tcBorders>
          </w:tcPr>
          <w:p w:rsidR="00824C36" w:rsidRDefault="00824C36">
            <w:pPr>
              <w:spacing w:before="60" w:after="60"/>
              <w:ind w:right="-29"/>
              <w:jc w:val="center"/>
              <w:rPr>
                <w:noProof/>
                <w:sz w:val="18"/>
                <w:szCs w:val="18"/>
              </w:rPr>
            </w:pPr>
          </w:p>
        </w:tc>
        <w:tc>
          <w:tcPr>
            <w:tcW w:w="720" w:type="dxa"/>
            <w:tcBorders>
              <w:top w:val="nil"/>
              <w:left w:val="nil"/>
              <w:bottom w:val="nil"/>
              <w:right w:val="nil"/>
            </w:tcBorders>
          </w:tcPr>
          <w:p w:rsidR="00824C36" w:rsidRDefault="00824C36">
            <w:pPr>
              <w:spacing w:before="60" w:after="60"/>
              <w:ind w:right="-29"/>
              <w:jc w:val="center"/>
              <w:rPr>
                <w:noProof/>
                <w:sz w:val="18"/>
                <w:szCs w:val="18"/>
              </w:rPr>
            </w:pPr>
          </w:p>
        </w:tc>
        <w:tc>
          <w:tcPr>
            <w:tcW w:w="900" w:type="dxa"/>
            <w:tcBorders>
              <w:top w:val="nil"/>
              <w:left w:val="nil"/>
              <w:bottom w:val="nil"/>
              <w:right w:val="nil"/>
            </w:tcBorders>
          </w:tcPr>
          <w:p w:rsidR="00824C36" w:rsidRDefault="00824C36">
            <w:pPr>
              <w:spacing w:before="60" w:after="60"/>
              <w:ind w:right="-29"/>
              <w:jc w:val="center"/>
              <w:rPr>
                <w:noProof/>
                <w:sz w:val="18"/>
                <w:szCs w:val="18"/>
              </w:rPr>
            </w:pPr>
          </w:p>
        </w:tc>
        <w:tc>
          <w:tcPr>
            <w:tcW w:w="720" w:type="dxa"/>
            <w:gridSpan w:val="2"/>
            <w:tcBorders>
              <w:top w:val="nil"/>
              <w:left w:val="nil"/>
              <w:bottom w:val="nil"/>
              <w:right w:val="nil"/>
            </w:tcBorders>
          </w:tcPr>
          <w:p w:rsidR="00824C36" w:rsidRDefault="00824C36">
            <w:pPr>
              <w:spacing w:before="60" w:after="60"/>
              <w:ind w:right="-29"/>
              <w:jc w:val="center"/>
              <w:rPr>
                <w:noProof/>
                <w:sz w:val="18"/>
                <w:szCs w:val="18"/>
              </w:rPr>
            </w:pPr>
          </w:p>
        </w:tc>
        <w:tc>
          <w:tcPr>
            <w:tcW w:w="540" w:type="dxa"/>
            <w:gridSpan w:val="3"/>
            <w:tcBorders>
              <w:top w:val="nil"/>
              <w:left w:val="nil"/>
              <w:bottom w:val="nil"/>
              <w:right w:val="nil"/>
            </w:tcBorders>
          </w:tcPr>
          <w:p w:rsidR="00824C36" w:rsidRDefault="00824C36">
            <w:pPr>
              <w:spacing w:before="60" w:after="60"/>
              <w:ind w:right="-29"/>
              <w:jc w:val="center"/>
              <w:rPr>
                <w:noProof/>
                <w:sz w:val="18"/>
                <w:szCs w:val="18"/>
              </w:rPr>
            </w:pPr>
          </w:p>
        </w:tc>
        <w:tc>
          <w:tcPr>
            <w:tcW w:w="648" w:type="dxa"/>
            <w:tcBorders>
              <w:top w:val="nil"/>
              <w:left w:val="nil"/>
              <w:bottom w:val="nil"/>
              <w:right w:val="nil"/>
            </w:tcBorders>
          </w:tcPr>
          <w:p w:rsidR="00824C36" w:rsidRDefault="00824C36">
            <w:pPr>
              <w:spacing w:before="60" w:after="60"/>
              <w:ind w:right="-29"/>
              <w:jc w:val="center"/>
              <w:rPr>
                <w:noProof/>
                <w:sz w:val="18"/>
                <w:szCs w:val="18"/>
              </w:rPr>
            </w:pPr>
          </w:p>
        </w:tc>
        <w:tc>
          <w:tcPr>
            <w:tcW w:w="539" w:type="dxa"/>
            <w:tcBorders>
              <w:top w:val="nil"/>
              <w:left w:val="nil"/>
              <w:bottom w:val="nil"/>
              <w:right w:val="nil"/>
            </w:tcBorders>
          </w:tcPr>
          <w:p w:rsidR="00824C36" w:rsidRDefault="00824C36">
            <w:pPr>
              <w:spacing w:before="60" w:after="60"/>
              <w:ind w:right="-29"/>
              <w:jc w:val="center"/>
              <w:rPr>
                <w:noProof/>
                <w:sz w:val="18"/>
                <w:szCs w:val="18"/>
              </w:rPr>
            </w:pPr>
          </w:p>
        </w:tc>
        <w:tc>
          <w:tcPr>
            <w:tcW w:w="613" w:type="dxa"/>
            <w:tcBorders>
              <w:top w:val="nil"/>
              <w:left w:val="nil"/>
              <w:bottom w:val="nil"/>
              <w:right w:val="nil"/>
            </w:tcBorders>
          </w:tcPr>
          <w:p w:rsidR="00824C36" w:rsidRDefault="00824C36">
            <w:pPr>
              <w:spacing w:before="60" w:after="60"/>
              <w:ind w:right="-29"/>
              <w:jc w:val="center"/>
              <w:rPr>
                <w:noProof/>
                <w:sz w:val="18"/>
                <w:szCs w:val="18"/>
              </w:rPr>
            </w:pPr>
          </w:p>
        </w:tc>
        <w:tc>
          <w:tcPr>
            <w:tcW w:w="540" w:type="dxa"/>
            <w:tcBorders>
              <w:top w:val="nil"/>
              <w:left w:val="nil"/>
              <w:bottom w:val="nil"/>
              <w:right w:val="nil"/>
            </w:tcBorders>
          </w:tcPr>
          <w:p w:rsidR="00824C36" w:rsidRDefault="00824C36">
            <w:pPr>
              <w:spacing w:before="60" w:after="60"/>
              <w:ind w:right="-29"/>
              <w:jc w:val="center"/>
              <w:rPr>
                <w:noProof/>
                <w:sz w:val="18"/>
                <w:szCs w:val="18"/>
              </w:rPr>
            </w:pPr>
          </w:p>
        </w:tc>
        <w:tc>
          <w:tcPr>
            <w:tcW w:w="720" w:type="dxa"/>
            <w:tcBorders>
              <w:top w:val="nil"/>
              <w:left w:val="nil"/>
              <w:bottom w:val="nil"/>
              <w:right w:val="nil"/>
            </w:tcBorders>
          </w:tcPr>
          <w:p w:rsidR="00824C36" w:rsidRDefault="00824C36">
            <w:pPr>
              <w:spacing w:before="60" w:after="60"/>
              <w:ind w:right="-29"/>
              <w:jc w:val="center"/>
              <w:rPr>
                <w:noProof/>
                <w:sz w:val="18"/>
                <w:szCs w:val="18"/>
              </w:rPr>
            </w:pPr>
          </w:p>
        </w:tc>
        <w:tc>
          <w:tcPr>
            <w:tcW w:w="878" w:type="dxa"/>
            <w:tcBorders>
              <w:top w:val="nil"/>
              <w:left w:val="nil"/>
              <w:bottom w:val="nil"/>
              <w:right w:val="nil"/>
            </w:tcBorders>
          </w:tcPr>
          <w:p w:rsidR="00824C36" w:rsidRDefault="00824C36">
            <w:pPr>
              <w:spacing w:before="60" w:after="60"/>
              <w:ind w:right="-29"/>
              <w:jc w:val="center"/>
              <w:rPr>
                <w:noProof/>
                <w:sz w:val="18"/>
                <w:szCs w:val="18"/>
              </w:rPr>
            </w:pPr>
          </w:p>
        </w:tc>
        <w:tc>
          <w:tcPr>
            <w:tcW w:w="236" w:type="dxa"/>
            <w:tcBorders>
              <w:top w:val="nil"/>
              <w:left w:val="nil"/>
              <w:bottom w:val="nil"/>
              <w:right w:val="nil"/>
            </w:tcBorders>
          </w:tcPr>
          <w:p w:rsidR="00824C36" w:rsidRDefault="00824C36">
            <w:pPr>
              <w:spacing w:before="60" w:after="60"/>
              <w:ind w:right="-29"/>
              <w:jc w:val="center"/>
              <w:rPr>
                <w:noProof/>
                <w:sz w:val="18"/>
                <w:szCs w:val="18"/>
              </w:rPr>
            </w:pPr>
          </w:p>
        </w:tc>
      </w:tr>
      <w:tr w:rsidR="00824C36">
        <w:trPr>
          <w:jc w:val="center"/>
        </w:trPr>
        <w:tc>
          <w:tcPr>
            <w:tcW w:w="2947" w:type="dxa"/>
            <w:gridSpan w:val="4"/>
            <w:tcBorders>
              <w:top w:val="nil"/>
            </w:tcBorders>
            <w:vAlign w:val="center"/>
          </w:tcPr>
          <w:p w:rsidR="00824C36" w:rsidRDefault="00B97963">
            <w:pPr>
              <w:spacing w:before="60" w:after="60"/>
              <w:ind w:right="-29"/>
              <w:rPr>
                <w:noProof/>
                <w:sz w:val="18"/>
                <w:szCs w:val="18"/>
              </w:rPr>
            </w:pPr>
            <w:r>
              <w:rPr>
                <w:noProof/>
                <w:sz w:val="18"/>
              </w:rPr>
              <w:t>OBJECTIF SPÉCIFIQUE n° 2 – Préparation</w:t>
            </w:r>
          </w:p>
        </w:tc>
        <w:tc>
          <w:tcPr>
            <w:tcW w:w="504" w:type="dxa"/>
            <w:tcBorders>
              <w:top w:val="nil"/>
              <w:left w:val="nil"/>
              <w:bottom w:val="nil"/>
              <w:right w:val="nil"/>
            </w:tcBorders>
          </w:tcPr>
          <w:p w:rsidR="00824C36" w:rsidRDefault="00824C36">
            <w:pPr>
              <w:spacing w:before="60" w:after="60"/>
              <w:ind w:right="-29"/>
              <w:jc w:val="center"/>
              <w:rPr>
                <w:noProof/>
                <w:sz w:val="18"/>
                <w:szCs w:val="18"/>
              </w:rPr>
            </w:pPr>
          </w:p>
        </w:tc>
        <w:tc>
          <w:tcPr>
            <w:tcW w:w="720" w:type="dxa"/>
            <w:tcBorders>
              <w:top w:val="nil"/>
              <w:left w:val="nil"/>
              <w:bottom w:val="nil"/>
              <w:right w:val="nil"/>
            </w:tcBorders>
          </w:tcPr>
          <w:p w:rsidR="00824C36" w:rsidRDefault="00824C36">
            <w:pPr>
              <w:spacing w:before="60" w:after="60"/>
              <w:ind w:right="-29"/>
              <w:jc w:val="center"/>
              <w:rPr>
                <w:noProof/>
                <w:sz w:val="18"/>
                <w:szCs w:val="18"/>
              </w:rPr>
            </w:pPr>
          </w:p>
        </w:tc>
        <w:tc>
          <w:tcPr>
            <w:tcW w:w="540" w:type="dxa"/>
            <w:tcBorders>
              <w:top w:val="nil"/>
              <w:left w:val="nil"/>
              <w:bottom w:val="nil"/>
              <w:right w:val="nil"/>
            </w:tcBorders>
          </w:tcPr>
          <w:p w:rsidR="00824C36" w:rsidRDefault="00824C36">
            <w:pPr>
              <w:spacing w:before="60" w:after="60"/>
              <w:ind w:right="-29"/>
              <w:jc w:val="center"/>
              <w:rPr>
                <w:noProof/>
                <w:sz w:val="18"/>
                <w:szCs w:val="18"/>
              </w:rPr>
            </w:pPr>
          </w:p>
        </w:tc>
        <w:tc>
          <w:tcPr>
            <w:tcW w:w="720" w:type="dxa"/>
            <w:tcBorders>
              <w:top w:val="nil"/>
              <w:left w:val="nil"/>
              <w:bottom w:val="nil"/>
              <w:right w:val="nil"/>
            </w:tcBorders>
          </w:tcPr>
          <w:p w:rsidR="00824C36" w:rsidRDefault="00824C36">
            <w:pPr>
              <w:spacing w:before="60" w:after="60"/>
              <w:ind w:right="-29"/>
              <w:jc w:val="center"/>
              <w:rPr>
                <w:noProof/>
                <w:sz w:val="18"/>
                <w:szCs w:val="18"/>
              </w:rPr>
            </w:pPr>
          </w:p>
        </w:tc>
        <w:tc>
          <w:tcPr>
            <w:tcW w:w="720" w:type="dxa"/>
            <w:tcBorders>
              <w:top w:val="nil"/>
              <w:left w:val="nil"/>
              <w:bottom w:val="nil"/>
              <w:right w:val="nil"/>
            </w:tcBorders>
          </w:tcPr>
          <w:p w:rsidR="00824C36" w:rsidRDefault="00824C36">
            <w:pPr>
              <w:spacing w:before="60" w:after="60"/>
              <w:ind w:right="-29"/>
              <w:jc w:val="center"/>
              <w:rPr>
                <w:noProof/>
                <w:sz w:val="18"/>
                <w:szCs w:val="18"/>
              </w:rPr>
            </w:pPr>
          </w:p>
        </w:tc>
        <w:tc>
          <w:tcPr>
            <w:tcW w:w="720" w:type="dxa"/>
            <w:tcBorders>
              <w:top w:val="nil"/>
              <w:left w:val="nil"/>
              <w:bottom w:val="nil"/>
              <w:right w:val="nil"/>
            </w:tcBorders>
          </w:tcPr>
          <w:p w:rsidR="00824C36" w:rsidRDefault="00824C36">
            <w:pPr>
              <w:spacing w:before="60" w:after="60"/>
              <w:ind w:right="-29"/>
              <w:jc w:val="center"/>
              <w:rPr>
                <w:noProof/>
                <w:sz w:val="18"/>
                <w:szCs w:val="18"/>
              </w:rPr>
            </w:pPr>
          </w:p>
        </w:tc>
        <w:tc>
          <w:tcPr>
            <w:tcW w:w="900" w:type="dxa"/>
            <w:tcBorders>
              <w:top w:val="nil"/>
              <w:left w:val="nil"/>
              <w:bottom w:val="nil"/>
              <w:right w:val="nil"/>
            </w:tcBorders>
          </w:tcPr>
          <w:p w:rsidR="00824C36" w:rsidRDefault="00824C36">
            <w:pPr>
              <w:spacing w:before="60" w:after="60"/>
              <w:ind w:right="-29"/>
              <w:jc w:val="center"/>
              <w:rPr>
                <w:noProof/>
                <w:sz w:val="18"/>
                <w:szCs w:val="18"/>
              </w:rPr>
            </w:pPr>
          </w:p>
        </w:tc>
        <w:tc>
          <w:tcPr>
            <w:tcW w:w="720" w:type="dxa"/>
            <w:gridSpan w:val="2"/>
            <w:tcBorders>
              <w:top w:val="nil"/>
              <w:left w:val="nil"/>
              <w:bottom w:val="nil"/>
              <w:right w:val="nil"/>
            </w:tcBorders>
          </w:tcPr>
          <w:p w:rsidR="00824C36" w:rsidRDefault="00824C36">
            <w:pPr>
              <w:spacing w:before="60" w:after="60"/>
              <w:ind w:right="-29"/>
              <w:jc w:val="center"/>
              <w:rPr>
                <w:noProof/>
                <w:sz w:val="18"/>
                <w:szCs w:val="18"/>
              </w:rPr>
            </w:pPr>
          </w:p>
        </w:tc>
        <w:tc>
          <w:tcPr>
            <w:tcW w:w="540" w:type="dxa"/>
            <w:gridSpan w:val="3"/>
            <w:tcBorders>
              <w:top w:val="nil"/>
              <w:left w:val="nil"/>
              <w:bottom w:val="nil"/>
              <w:right w:val="nil"/>
            </w:tcBorders>
          </w:tcPr>
          <w:p w:rsidR="00824C36" w:rsidRDefault="00824C36">
            <w:pPr>
              <w:spacing w:before="60" w:after="60"/>
              <w:ind w:right="-29"/>
              <w:jc w:val="center"/>
              <w:rPr>
                <w:noProof/>
                <w:sz w:val="18"/>
                <w:szCs w:val="18"/>
              </w:rPr>
            </w:pPr>
          </w:p>
        </w:tc>
        <w:tc>
          <w:tcPr>
            <w:tcW w:w="648" w:type="dxa"/>
            <w:tcBorders>
              <w:top w:val="nil"/>
              <w:left w:val="nil"/>
              <w:bottom w:val="nil"/>
              <w:right w:val="nil"/>
            </w:tcBorders>
          </w:tcPr>
          <w:p w:rsidR="00824C36" w:rsidRDefault="00824C36">
            <w:pPr>
              <w:spacing w:before="60" w:after="60"/>
              <w:ind w:right="-29"/>
              <w:jc w:val="center"/>
              <w:rPr>
                <w:noProof/>
                <w:sz w:val="18"/>
                <w:szCs w:val="18"/>
              </w:rPr>
            </w:pPr>
          </w:p>
        </w:tc>
        <w:tc>
          <w:tcPr>
            <w:tcW w:w="539" w:type="dxa"/>
            <w:tcBorders>
              <w:top w:val="nil"/>
              <w:left w:val="nil"/>
              <w:bottom w:val="nil"/>
              <w:right w:val="nil"/>
            </w:tcBorders>
          </w:tcPr>
          <w:p w:rsidR="00824C36" w:rsidRDefault="00824C36">
            <w:pPr>
              <w:spacing w:before="60" w:after="60"/>
              <w:ind w:right="-29"/>
              <w:jc w:val="center"/>
              <w:rPr>
                <w:noProof/>
                <w:sz w:val="18"/>
                <w:szCs w:val="18"/>
              </w:rPr>
            </w:pPr>
          </w:p>
        </w:tc>
        <w:tc>
          <w:tcPr>
            <w:tcW w:w="613" w:type="dxa"/>
            <w:tcBorders>
              <w:top w:val="nil"/>
              <w:left w:val="nil"/>
              <w:bottom w:val="nil"/>
              <w:right w:val="nil"/>
            </w:tcBorders>
          </w:tcPr>
          <w:p w:rsidR="00824C36" w:rsidRDefault="00824C36">
            <w:pPr>
              <w:spacing w:before="60" w:after="60"/>
              <w:ind w:right="-29"/>
              <w:jc w:val="center"/>
              <w:rPr>
                <w:noProof/>
                <w:sz w:val="18"/>
                <w:szCs w:val="18"/>
              </w:rPr>
            </w:pPr>
          </w:p>
        </w:tc>
        <w:tc>
          <w:tcPr>
            <w:tcW w:w="540" w:type="dxa"/>
            <w:tcBorders>
              <w:top w:val="nil"/>
              <w:left w:val="nil"/>
              <w:bottom w:val="nil"/>
              <w:right w:val="nil"/>
            </w:tcBorders>
          </w:tcPr>
          <w:p w:rsidR="00824C36" w:rsidRDefault="00824C36">
            <w:pPr>
              <w:spacing w:before="60" w:after="60"/>
              <w:ind w:right="-29"/>
              <w:jc w:val="center"/>
              <w:rPr>
                <w:noProof/>
                <w:sz w:val="18"/>
                <w:szCs w:val="18"/>
              </w:rPr>
            </w:pPr>
          </w:p>
        </w:tc>
        <w:tc>
          <w:tcPr>
            <w:tcW w:w="720" w:type="dxa"/>
            <w:tcBorders>
              <w:top w:val="nil"/>
              <w:left w:val="nil"/>
              <w:bottom w:val="nil"/>
              <w:right w:val="nil"/>
            </w:tcBorders>
          </w:tcPr>
          <w:p w:rsidR="00824C36" w:rsidRDefault="00824C36">
            <w:pPr>
              <w:spacing w:before="60" w:after="60"/>
              <w:ind w:right="-29"/>
              <w:jc w:val="center"/>
              <w:rPr>
                <w:noProof/>
                <w:sz w:val="18"/>
                <w:szCs w:val="18"/>
              </w:rPr>
            </w:pPr>
          </w:p>
        </w:tc>
        <w:tc>
          <w:tcPr>
            <w:tcW w:w="878" w:type="dxa"/>
            <w:tcBorders>
              <w:top w:val="nil"/>
              <w:left w:val="nil"/>
              <w:bottom w:val="nil"/>
              <w:right w:val="nil"/>
            </w:tcBorders>
          </w:tcPr>
          <w:p w:rsidR="00824C36" w:rsidRDefault="00824C36">
            <w:pPr>
              <w:spacing w:before="60" w:after="60"/>
              <w:ind w:right="-29"/>
              <w:jc w:val="center"/>
              <w:rPr>
                <w:noProof/>
                <w:sz w:val="18"/>
                <w:szCs w:val="18"/>
              </w:rPr>
            </w:pPr>
          </w:p>
        </w:tc>
        <w:tc>
          <w:tcPr>
            <w:tcW w:w="236" w:type="dxa"/>
            <w:tcBorders>
              <w:top w:val="nil"/>
              <w:left w:val="nil"/>
              <w:bottom w:val="nil"/>
              <w:right w:val="nil"/>
            </w:tcBorders>
          </w:tcPr>
          <w:p w:rsidR="00824C36" w:rsidRDefault="00824C36">
            <w:pPr>
              <w:spacing w:before="60" w:after="60"/>
              <w:ind w:right="-29"/>
              <w:jc w:val="center"/>
              <w:rPr>
                <w:noProof/>
                <w:sz w:val="18"/>
                <w:szCs w:val="18"/>
              </w:rPr>
            </w:pPr>
          </w:p>
        </w:tc>
      </w:tr>
      <w:tr w:rsidR="00824C36">
        <w:trPr>
          <w:gridAfter w:val="10"/>
          <w:wAfter w:w="4714" w:type="dxa"/>
          <w:trHeight w:hRule="exact" w:val="1450"/>
          <w:jc w:val="center"/>
        </w:trPr>
        <w:tc>
          <w:tcPr>
            <w:tcW w:w="1218" w:type="dxa"/>
          </w:tcPr>
          <w:p w:rsidR="00824C36" w:rsidRDefault="00B97963">
            <w:pPr>
              <w:ind w:right="-29"/>
              <w:rPr>
                <w:noProof/>
                <w:sz w:val="18"/>
                <w:szCs w:val="18"/>
              </w:rPr>
            </w:pPr>
            <w:r>
              <w:rPr>
                <w:noProof/>
                <w:sz w:val="18"/>
              </w:rPr>
              <w:t>Nombre de projets financés pour la préparation (y compris la formation et les exercices)</w:t>
            </w:r>
          </w:p>
        </w:tc>
        <w:tc>
          <w:tcPr>
            <w:tcW w:w="1028" w:type="dxa"/>
            <w:gridSpan w:val="2"/>
          </w:tcPr>
          <w:p w:rsidR="00824C36" w:rsidRDefault="00B97963">
            <w:pPr>
              <w:ind w:right="-29"/>
              <w:rPr>
                <w:noProof/>
                <w:sz w:val="18"/>
                <w:szCs w:val="18"/>
              </w:rPr>
            </w:pPr>
            <w:r>
              <w:rPr>
                <w:noProof/>
                <w:sz w:val="18"/>
              </w:rPr>
              <w:t>Conventions de subvention et contrats</w:t>
            </w:r>
          </w:p>
        </w:tc>
        <w:tc>
          <w:tcPr>
            <w:tcW w:w="701" w:type="dxa"/>
          </w:tcPr>
          <w:p w:rsidR="00824C36" w:rsidRDefault="00B97963">
            <w:pPr>
              <w:ind w:right="-29"/>
              <w:jc w:val="center"/>
              <w:rPr>
                <w:noProof/>
                <w:sz w:val="18"/>
                <w:szCs w:val="18"/>
              </w:rPr>
            </w:pPr>
            <w:r>
              <w:rPr>
                <w:noProof/>
                <w:sz w:val="18"/>
              </w:rPr>
              <w:t>0,5</w:t>
            </w:r>
          </w:p>
        </w:tc>
        <w:tc>
          <w:tcPr>
            <w:tcW w:w="504" w:type="dxa"/>
            <w:tcBorders>
              <w:right w:val="dashSmallGap" w:sz="4" w:space="0" w:color="auto"/>
            </w:tcBorders>
          </w:tcPr>
          <w:p w:rsidR="00824C36" w:rsidRDefault="00B97963">
            <w:pPr>
              <w:ind w:right="-29"/>
              <w:jc w:val="center"/>
              <w:rPr>
                <w:noProof/>
                <w:sz w:val="18"/>
                <w:szCs w:val="18"/>
              </w:rPr>
            </w:pPr>
            <w:r>
              <w:rPr>
                <w:noProof/>
                <w:sz w:val="18"/>
              </w:rPr>
              <w:t>100</w:t>
            </w:r>
          </w:p>
        </w:tc>
        <w:tc>
          <w:tcPr>
            <w:tcW w:w="720" w:type="dxa"/>
            <w:tcBorders>
              <w:left w:val="dashSmallGap" w:sz="4" w:space="0" w:color="auto"/>
            </w:tcBorders>
          </w:tcPr>
          <w:p w:rsidR="00824C36" w:rsidRDefault="00B97963">
            <w:pPr>
              <w:ind w:right="-29"/>
              <w:jc w:val="center"/>
              <w:rPr>
                <w:noProof/>
                <w:sz w:val="18"/>
                <w:szCs w:val="18"/>
              </w:rPr>
            </w:pPr>
            <w:r>
              <w:rPr>
                <w:noProof/>
                <w:sz w:val="18"/>
              </w:rPr>
              <w:t>5</w:t>
            </w:r>
          </w:p>
        </w:tc>
        <w:tc>
          <w:tcPr>
            <w:tcW w:w="540" w:type="dxa"/>
            <w:tcBorders>
              <w:right w:val="dashSmallGap" w:sz="4" w:space="0" w:color="auto"/>
            </w:tcBorders>
          </w:tcPr>
          <w:p w:rsidR="00824C36" w:rsidRDefault="00B97963">
            <w:pPr>
              <w:ind w:right="-29"/>
              <w:jc w:val="center"/>
              <w:rPr>
                <w:noProof/>
                <w:sz w:val="18"/>
                <w:szCs w:val="18"/>
              </w:rPr>
            </w:pPr>
            <w:r>
              <w:rPr>
                <w:noProof/>
                <w:sz w:val="18"/>
              </w:rPr>
              <w:t>100</w:t>
            </w:r>
          </w:p>
        </w:tc>
        <w:tc>
          <w:tcPr>
            <w:tcW w:w="720" w:type="dxa"/>
            <w:tcBorders>
              <w:left w:val="dashSmallGap" w:sz="4" w:space="0" w:color="auto"/>
            </w:tcBorders>
          </w:tcPr>
          <w:p w:rsidR="00824C36" w:rsidRDefault="00B97963">
            <w:pPr>
              <w:ind w:right="-29"/>
              <w:jc w:val="center"/>
              <w:rPr>
                <w:noProof/>
                <w:sz w:val="18"/>
                <w:szCs w:val="18"/>
              </w:rPr>
            </w:pPr>
            <w:r>
              <w:rPr>
                <w:noProof/>
                <w:sz w:val="18"/>
              </w:rPr>
              <w:t>5</w:t>
            </w:r>
          </w:p>
        </w:tc>
        <w:tc>
          <w:tcPr>
            <w:tcW w:w="720" w:type="dxa"/>
            <w:tcBorders>
              <w:right w:val="dashSmallGap" w:sz="4" w:space="0" w:color="auto"/>
            </w:tcBorders>
          </w:tcPr>
          <w:p w:rsidR="00824C36" w:rsidRDefault="00B97963">
            <w:pPr>
              <w:ind w:right="-29"/>
              <w:jc w:val="center"/>
              <w:rPr>
                <w:noProof/>
                <w:sz w:val="18"/>
                <w:szCs w:val="18"/>
              </w:rPr>
            </w:pPr>
            <w:r>
              <w:rPr>
                <w:noProof/>
                <w:sz w:val="18"/>
              </w:rPr>
              <w:t>100</w:t>
            </w:r>
          </w:p>
        </w:tc>
        <w:tc>
          <w:tcPr>
            <w:tcW w:w="720" w:type="dxa"/>
            <w:tcBorders>
              <w:left w:val="dashSmallGap" w:sz="4" w:space="0" w:color="auto"/>
            </w:tcBorders>
          </w:tcPr>
          <w:p w:rsidR="00824C36" w:rsidRDefault="00B97963">
            <w:pPr>
              <w:ind w:right="-29"/>
              <w:jc w:val="center"/>
              <w:rPr>
                <w:noProof/>
                <w:sz w:val="18"/>
                <w:szCs w:val="18"/>
              </w:rPr>
            </w:pPr>
            <w:r>
              <w:rPr>
                <w:noProof/>
                <w:sz w:val="18"/>
              </w:rPr>
              <w:t>5</w:t>
            </w:r>
          </w:p>
        </w:tc>
        <w:tc>
          <w:tcPr>
            <w:tcW w:w="900" w:type="dxa"/>
            <w:tcBorders>
              <w:right w:val="dashSmallGap" w:sz="4" w:space="0" w:color="auto"/>
            </w:tcBorders>
          </w:tcPr>
          <w:p w:rsidR="00824C36" w:rsidRDefault="00B97963">
            <w:pPr>
              <w:ind w:right="-29"/>
              <w:jc w:val="center"/>
              <w:rPr>
                <w:noProof/>
                <w:sz w:val="18"/>
                <w:szCs w:val="18"/>
              </w:rPr>
            </w:pPr>
            <w:r>
              <w:rPr>
                <w:noProof/>
                <w:sz w:val="18"/>
              </w:rPr>
              <w:t>300</w:t>
            </w:r>
          </w:p>
        </w:tc>
        <w:tc>
          <w:tcPr>
            <w:tcW w:w="720" w:type="dxa"/>
            <w:gridSpan w:val="2"/>
            <w:tcBorders>
              <w:left w:val="dashSmallGap" w:sz="4" w:space="0" w:color="auto"/>
            </w:tcBorders>
          </w:tcPr>
          <w:p w:rsidR="00824C36" w:rsidRDefault="00B97963">
            <w:pPr>
              <w:ind w:right="-29"/>
              <w:jc w:val="center"/>
              <w:rPr>
                <w:noProof/>
                <w:sz w:val="18"/>
                <w:szCs w:val="18"/>
              </w:rPr>
            </w:pPr>
            <w:r>
              <w:rPr>
                <w:noProof/>
                <w:sz w:val="18"/>
              </w:rPr>
              <w:t>15</w:t>
            </w:r>
          </w:p>
        </w:tc>
      </w:tr>
      <w:tr w:rsidR="00824C36">
        <w:trPr>
          <w:gridAfter w:val="10"/>
          <w:wAfter w:w="4714" w:type="dxa"/>
          <w:trHeight w:hRule="exact" w:val="714"/>
          <w:jc w:val="center"/>
        </w:trPr>
        <w:tc>
          <w:tcPr>
            <w:tcW w:w="1218" w:type="dxa"/>
          </w:tcPr>
          <w:p w:rsidR="00824C36" w:rsidRDefault="00B97963">
            <w:pPr>
              <w:ind w:right="-29"/>
              <w:rPr>
                <w:noProof/>
                <w:sz w:val="18"/>
                <w:szCs w:val="18"/>
              </w:rPr>
            </w:pPr>
            <w:r>
              <w:rPr>
                <w:noProof/>
                <w:sz w:val="18"/>
              </w:rPr>
              <w:t>Systèmes d’alerte précoce</w:t>
            </w:r>
          </w:p>
        </w:tc>
        <w:tc>
          <w:tcPr>
            <w:tcW w:w="1028" w:type="dxa"/>
            <w:gridSpan w:val="2"/>
          </w:tcPr>
          <w:p w:rsidR="00824C36" w:rsidRDefault="00B97963">
            <w:pPr>
              <w:ind w:right="-29"/>
              <w:rPr>
                <w:noProof/>
                <w:sz w:val="18"/>
                <w:szCs w:val="18"/>
              </w:rPr>
            </w:pPr>
            <w:r>
              <w:rPr>
                <w:noProof/>
                <w:sz w:val="18"/>
              </w:rPr>
              <w:t>Nombre de dispositions administratives</w:t>
            </w:r>
          </w:p>
        </w:tc>
        <w:tc>
          <w:tcPr>
            <w:tcW w:w="701" w:type="dxa"/>
          </w:tcPr>
          <w:p w:rsidR="00824C36" w:rsidRDefault="00B97963">
            <w:pPr>
              <w:ind w:right="-29"/>
              <w:rPr>
                <w:noProof/>
                <w:sz w:val="18"/>
                <w:szCs w:val="18"/>
              </w:rPr>
            </w:pPr>
            <w:r>
              <w:rPr>
                <w:noProof/>
                <w:sz w:val="18"/>
              </w:rPr>
              <w:t>1,25</w:t>
            </w:r>
          </w:p>
        </w:tc>
        <w:tc>
          <w:tcPr>
            <w:tcW w:w="504" w:type="dxa"/>
            <w:tcBorders>
              <w:right w:val="dashSmallGap" w:sz="4" w:space="0" w:color="auto"/>
            </w:tcBorders>
          </w:tcPr>
          <w:p w:rsidR="00824C36" w:rsidRDefault="00B97963">
            <w:pPr>
              <w:ind w:right="-29"/>
              <w:jc w:val="center"/>
              <w:rPr>
                <w:noProof/>
                <w:sz w:val="18"/>
                <w:szCs w:val="18"/>
              </w:rPr>
            </w:pPr>
            <w:r>
              <w:rPr>
                <w:noProof/>
                <w:sz w:val="18"/>
              </w:rPr>
              <w:t>2</w:t>
            </w:r>
          </w:p>
        </w:tc>
        <w:tc>
          <w:tcPr>
            <w:tcW w:w="720" w:type="dxa"/>
            <w:tcBorders>
              <w:left w:val="dashSmallGap" w:sz="4" w:space="0" w:color="auto"/>
            </w:tcBorders>
          </w:tcPr>
          <w:p w:rsidR="00824C36" w:rsidRDefault="00B97963">
            <w:pPr>
              <w:ind w:right="-29"/>
              <w:jc w:val="center"/>
              <w:rPr>
                <w:noProof/>
                <w:sz w:val="18"/>
                <w:szCs w:val="18"/>
              </w:rPr>
            </w:pPr>
            <w:r>
              <w:rPr>
                <w:noProof/>
                <w:sz w:val="18"/>
              </w:rPr>
              <w:t>2,5</w:t>
            </w:r>
          </w:p>
        </w:tc>
        <w:tc>
          <w:tcPr>
            <w:tcW w:w="540" w:type="dxa"/>
            <w:tcBorders>
              <w:right w:val="dashSmallGap" w:sz="4" w:space="0" w:color="auto"/>
            </w:tcBorders>
          </w:tcPr>
          <w:p w:rsidR="00824C36" w:rsidRDefault="00B97963">
            <w:pPr>
              <w:ind w:right="-29"/>
              <w:jc w:val="center"/>
              <w:rPr>
                <w:noProof/>
                <w:sz w:val="18"/>
                <w:szCs w:val="18"/>
              </w:rPr>
            </w:pPr>
            <w:r>
              <w:rPr>
                <w:noProof/>
                <w:sz w:val="18"/>
              </w:rPr>
              <w:t>2</w:t>
            </w:r>
          </w:p>
        </w:tc>
        <w:tc>
          <w:tcPr>
            <w:tcW w:w="720" w:type="dxa"/>
            <w:tcBorders>
              <w:left w:val="dashSmallGap" w:sz="4" w:space="0" w:color="auto"/>
            </w:tcBorders>
          </w:tcPr>
          <w:p w:rsidR="00824C36" w:rsidRDefault="00B97963">
            <w:pPr>
              <w:ind w:right="-29"/>
              <w:jc w:val="center"/>
              <w:rPr>
                <w:noProof/>
                <w:sz w:val="18"/>
                <w:szCs w:val="18"/>
              </w:rPr>
            </w:pPr>
            <w:r>
              <w:rPr>
                <w:noProof/>
                <w:sz w:val="18"/>
              </w:rPr>
              <w:t>2,5</w:t>
            </w:r>
          </w:p>
        </w:tc>
        <w:tc>
          <w:tcPr>
            <w:tcW w:w="720" w:type="dxa"/>
            <w:tcBorders>
              <w:right w:val="dashSmallGap" w:sz="4" w:space="0" w:color="auto"/>
            </w:tcBorders>
          </w:tcPr>
          <w:p w:rsidR="00824C36" w:rsidRDefault="00B97963">
            <w:pPr>
              <w:ind w:right="-29"/>
              <w:jc w:val="center"/>
              <w:rPr>
                <w:noProof/>
                <w:sz w:val="18"/>
                <w:szCs w:val="18"/>
              </w:rPr>
            </w:pPr>
            <w:r>
              <w:rPr>
                <w:noProof/>
                <w:sz w:val="18"/>
              </w:rPr>
              <w:t>2</w:t>
            </w:r>
          </w:p>
        </w:tc>
        <w:tc>
          <w:tcPr>
            <w:tcW w:w="720" w:type="dxa"/>
            <w:tcBorders>
              <w:left w:val="dashSmallGap" w:sz="4" w:space="0" w:color="auto"/>
            </w:tcBorders>
          </w:tcPr>
          <w:p w:rsidR="00824C36" w:rsidRDefault="00B97963">
            <w:pPr>
              <w:ind w:right="-29"/>
              <w:jc w:val="center"/>
              <w:rPr>
                <w:noProof/>
                <w:sz w:val="18"/>
                <w:szCs w:val="18"/>
              </w:rPr>
            </w:pPr>
            <w:r>
              <w:rPr>
                <w:noProof/>
                <w:sz w:val="18"/>
              </w:rPr>
              <w:t>2,5</w:t>
            </w:r>
          </w:p>
        </w:tc>
        <w:tc>
          <w:tcPr>
            <w:tcW w:w="900" w:type="dxa"/>
            <w:tcBorders>
              <w:right w:val="dashSmallGap" w:sz="4" w:space="0" w:color="auto"/>
            </w:tcBorders>
          </w:tcPr>
          <w:p w:rsidR="00824C36" w:rsidRDefault="00B97963">
            <w:pPr>
              <w:ind w:right="-29"/>
              <w:jc w:val="center"/>
              <w:rPr>
                <w:noProof/>
                <w:sz w:val="18"/>
                <w:szCs w:val="18"/>
              </w:rPr>
            </w:pPr>
            <w:r>
              <w:rPr>
                <w:noProof/>
                <w:sz w:val="18"/>
              </w:rPr>
              <w:t>6</w:t>
            </w:r>
          </w:p>
        </w:tc>
        <w:tc>
          <w:tcPr>
            <w:tcW w:w="720" w:type="dxa"/>
            <w:gridSpan w:val="2"/>
            <w:tcBorders>
              <w:left w:val="dashSmallGap" w:sz="4" w:space="0" w:color="auto"/>
            </w:tcBorders>
          </w:tcPr>
          <w:p w:rsidR="00824C36" w:rsidRDefault="00B97963">
            <w:pPr>
              <w:ind w:right="-29"/>
              <w:jc w:val="center"/>
              <w:rPr>
                <w:noProof/>
                <w:sz w:val="18"/>
                <w:szCs w:val="18"/>
              </w:rPr>
            </w:pPr>
            <w:r>
              <w:rPr>
                <w:noProof/>
                <w:sz w:val="18"/>
              </w:rPr>
              <w:t>7,5</w:t>
            </w:r>
          </w:p>
        </w:tc>
      </w:tr>
      <w:tr w:rsidR="00824C36">
        <w:trPr>
          <w:gridAfter w:val="10"/>
          <w:wAfter w:w="4714" w:type="dxa"/>
          <w:trHeight w:hRule="exact" w:val="1071"/>
          <w:jc w:val="center"/>
        </w:trPr>
        <w:tc>
          <w:tcPr>
            <w:tcW w:w="1218" w:type="dxa"/>
          </w:tcPr>
          <w:p w:rsidR="00824C36" w:rsidRDefault="00B97963">
            <w:pPr>
              <w:ind w:right="-29"/>
              <w:rPr>
                <w:noProof/>
                <w:sz w:val="18"/>
                <w:szCs w:val="18"/>
              </w:rPr>
            </w:pPr>
            <w:r>
              <w:rPr>
                <w:noProof/>
                <w:sz w:val="18"/>
              </w:rPr>
              <w:t>Capacité de réaction d’urgence</w:t>
            </w:r>
          </w:p>
        </w:tc>
        <w:tc>
          <w:tcPr>
            <w:tcW w:w="1028" w:type="dxa"/>
            <w:gridSpan w:val="2"/>
          </w:tcPr>
          <w:p w:rsidR="00824C36" w:rsidRDefault="00B97963">
            <w:pPr>
              <w:ind w:right="-29"/>
              <w:rPr>
                <w:noProof/>
                <w:sz w:val="18"/>
                <w:szCs w:val="18"/>
              </w:rPr>
            </w:pPr>
            <w:r>
              <w:rPr>
                <w:noProof/>
                <w:sz w:val="18"/>
              </w:rPr>
              <w:t>Nombre de conventions de subvention + contrats</w:t>
            </w:r>
          </w:p>
        </w:tc>
        <w:tc>
          <w:tcPr>
            <w:tcW w:w="701" w:type="dxa"/>
          </w:tcPr>
          <w:p w:rsidR="00824C36" w:rsidRDefault="00B97963">
            <w:pPr>
              <w:ind w:right="-29"/>
              <w:jc w:val="center"/>
              <w:rPr>
                <w:noProof/>
                <w:sz w:val="18"/>
                <w:szCs w:val="18"/>
              </w:rPr>
            </w:pPr>
            <w:r>
              <w:rPr>
                <w:noProof/>
                <w:sz w:val="18"/>
              </w:rPr>
              <w:t>1</w:t>
            </w:r>
          </w:p>
        </w:tc>
        <w:tc>
          <w:tcPr>
            <w:tcW w:w="504" w:type="dxa"/>
          </w:tcPr>
          <w:p w:rsidR="00824C36" w:rsidRDefault="00B97963">
            <w:pPr>
              <w:ind w:right="-29"/>
              <w:jc w:val="center"/>
              <w:rPr>
                <w:noProof/>
                <w:sz w:val="18"/>
                <w:szCs w:val="18"/>
              </w:rPr>
            </w:pPr>
            <w:r>
              <w:rPr>
                <w:noProof/>
                <w:sz w:val="18"/>
              </w:rPr>
              <w:t>7</w:t>
            </w:r>
          </w:p>
        </w:tc>
        <w:tc>
          <w:tcPr>
            <w:tcW w:w="720" w:type="dxa"/>
          </w:tcPr>
          <w:p w:rsidR="00824C36" w:rsidRDefault="00B97963">
            <w:pPr>
              <w:ind w:right="-29"/>
              <w:jc w:val="center"/>
              <w:rPr>
                <w:noProof/>
                <w:sz w:val="18"/>
                <w:szCs w:val="18"/>
              </w:rPr>
            </w:pPr>
            <w:r>
              <w:rPr>
                <w:noProof/>
                <w:sz w:val="18"/>
              </w:rPr>
              <w:t>7</w:t>
            </w:r>
          </w:p>
        </w:tc>
        <w:tc>
          <w:tcPr>
            <w:tcW w:w="540" w:type="dxa"/>
          </w:tcPr>
          <w:p w:rsidR="00824C36" w:rsidRDefault="00B97963">
            <w:pPr>
              <w:ind w:right="-29"/>
              <w:jc w:val="center"/>
              <w:rPr>
                <w:noProof/>
                <w:sz w:val="18"/>
                <w:szCs w:val="18"/>
              </w:rPr>
            </w:pPr>
            <w:r>
              <w:rPr>
                <w:noProof/>
                <w:sz w:val="18"/>
              </w:rPr>
              <w:t>13</w:t>
            </w:r>
          </w:p>
        </w:tc>
        <w:tc>
          <w:tcPr>
            <w:tcW w:w="720" w:type="dxa"/>
          </w:tcPr>
          <w:p w:rsidR="00824C36" w:rsidRDefault="00B97963">
            <w:pPr>
              <w:ind w:right="-29"/>
              <w:jc w:val="center"/>
              <w:rPr>
                <w:noProof/>
                <w:sz w:val="18"/>
                <w:szCs w:val="18"/>
              </w:rPr>
            </w:pPr>
            <w:r>
              <w:rPr>
                <w:noProof/>
                <w:sz w:val="18"/>
              </w:rPr>
              <w:t>13</w:t>
            </w:r>
          </w:p>
        </w:tc>
        <w:tc>
          <w:tcPr>
            <w:tcW w:w="720" w:type="dxa"/>
          </w:tcPr>
          <w:p w:rsidR="00824C36" w:rsidRDefault="00B97963">
            <w:pPr>
              <w:ind w:right="-29"/>
              <w:jc w:val="center"/>
              <w:rPr>
                <w:noProof/>
                <w:sz w:val="18"/>
                <w:szCs w:val="18"/>
              </w:rPr>
            </w:pPr>
            <w:r>
              <w:rPr>
                <w:noProof/>
                <w:sz w:val="18"/>
              </w:rPr>
              <w:t>20</w:t>
            </w:r>
          </w:p>
        </w:tc>
        <w:tc>
          <w:tcPr>
            <w:tcW w:w="720" w:type="dxa"/>
          </w:tcPr>
          <w:p w:rsidR="00824C36" w:rsidRDefault="00B97963">
            <w:pPr>
              <w:ind w:right="-29"/>
              <w:jc w:val="center"/>
              <w:rPr>
                <w:noProof/>
                <w:sz w:val="18"/>
                <w:szCs w:val="18"/>
              </w:rPr>
            </w:pPr>
            <w:r>
              <w:rPr>
                <w:noProof/>
                <w:sz w:val="18"/>
              </w:rPr>
              <w:t>20</w:t>
            </w:r>
          </w:p>
        </w:tc>
        <w:tc>
          <w:tcPr>
            <w:tcW w:w="900" w:type="dxa"/>
          </w:tcPr>
          <w:p w:rsidR="00824C36" w:rsidRDefault="00B97963">
            <w:pPr>
              <w:ind w:right="-29"/>
              <w:jc w:val="center"/>
              <w:rPr>
                <w:noProof/>
                <w:sz w:val="18"/>
                <w:szCs w:val="18"/>
              </w:rPr>
            </w:pPr>
            <w:r>
              <w:rPr>
                <w:noProof/>
                <w:sz w:val="18"/>
              </w:rPr>
              <w:t>40</w:t>
            </w:r>
          </w:p>
        </w:tc>
        <w:tc>
          <w:tcPr>
            <w:tcW w:w="720" w:type="dxa"/>
            <w:gridSpan w:val="2"/>
          </w:tcPr>
          <w:p w:rsidR="00824C36" w:rsidRDefault="00B97963">
            <w:pPr>
              <w:ind w:right="-29"/>
              <w:jc w:val="center"/>
              <w:rPr>
                <w:noProof/>
                <w:sz w:val="18"/>
                <w:szCs w:val="18"/>
              </w:rPr>
            </w:pPr>
            <w:r>
              <w:rPr>
                <w:noProof/>
                <w:sz w:val="18"/>
              </w:rPr>
              <w:t>40</w:t>
            </w:r>
          </w:p>
        </w:tc>
      </w:tr>
      <w:tr w:rsidR="00824C36">
        <w:trPr>
          <w:gridAfter w:val="10"/>
          <w:wAfter w:w="4714" w:type="dxa"/>
          <w:jc w:val="center"/>
        </w:trPr>
        <w:tc>
          <w:tcPr>
            <w:tcW w:w="2947" w:type="dxa"/>
            <w:gridSpan w:val="4"/>
            <w:tcBorders>
              <w:bottom w:val="single" w:sz="12" w:space="0" w:color="auto"/>
            </w:tcBorders>
            <w:vAlign w:val="center"/>
          </w:tcPr>
          <w:p w:rsidR="00824C36" w:rsidRDefault="00B97963">
            <w:pPr>
              <w:jc w:val="center"/>
              <w:rPr>
                <w:noProof/>
                <w:sz w:val="18"/>
                <w:szCs w:val="18"/>
              </w:rPr>
            </w:pPr>
            <w:r>
              <w:rPr>
                <w:noProof/>
                <w:sz w:val="18"/>
              </w:rPr>
              <w:t>Sous-total objectif spécifique n° 2</w:t>
            </w:r>
          </w:p>
        </w:tc>
        <w:tc>
          <w:tcPr>
            <w:tcW w:w="504" w:type="dxa"/>
            <w:tcBorders>
              <w:bottom w:val="single" w:sz="12" w:space="0" w:color="auto"/>
            </w:tcBorders>
          </w:tcPr>
          <w:p w:rsidR="00824C36" w:rsidRDefault="00B97963">
            <w:pPr>
              <w:ind w:right="-29"/>
              <w:jc w:val="center"/>
              <w:rPr>
                <w:noProof/>
                <w:sz w:val="18"/>
                <w:szCs w:val="18"/>
              </w:rPr>
            </w:pPr>
            <w:r>
              <w:rPr>
                <w:noProof/>
                <w:sz w:val="18"/>
              </w:rPr>
              <w:t>109</w:t>
            </w:r>
          </w:p>
        </w:tc>
        <w:tc>
          <w:tcPr>
            <w:tcW w:w="720" w:type="dxa"/>
            <w:tcBorders>
              <w:bottom w:val="single" w:sz="12" w:space="0" w:color="auto"/>
            </w:tcBorders>
          </w:tcPr>
          <w:p w:rsidR="00824C36" w:rsidRDefault="00B97963">
            <w:pPr>
              <w:ind w:right="-29"/>
              <w:jc w:val="center"/>
              <w:rPr>
                <w:noProof/>
                <w:sz w:val="18"/>
                <w:szCs w:val="18"/>
              </w:rPr>
            </w:pPr>
            <w:r>
              <w:rPr>
                <w:noProof/>
                <w:sz w:val="18"/>
              </w:rPr>
              <w:t>14,5</w:t>
            </w:r>
          </w:p>
        </w:tc>
        <w:tc>
          <w:tcPr>
            <w:tcW w:w="540" w:type="dxa"/>
            <w:tcBorders>
              <w:bottom w:val="single" w:sz="12" w:space="0" w:color="auto"/>
            </w:tcBorders>
          </w:tcPr>
          <w:p w:rsidR="00824C36" w:rsidRDefault="00B97963">
            <w:pPr>
              <w:ind w:right="-29"/>
              <w:jc w:val="center"/>
              <w:rPr>
                <w:noProof/>
                <w:sz w:val="18"/>
                <w:szCs w:val="18"/>
              </w:rPr>
            </w:pPr>
            <w:r>
              <w:rPr>
                <w:noProof/>
                <w:sz w:val="18"/>
              </w:rPr>
              <w:t>115</w:t>
            </w:r>
          </w:p>
        </w:tc>
        <w:tc>
          <w:tcPr>
            <w:tcW w:w="720" w:type="dxa"/>
            <w:tcBorders>
              <w:bottom w:val="single" w:sz="12" w:space="0" w:color="auto"/>
            </w:tcBorders>
          </w:tcPr>
          <w:p w:rsidR="00824C36" w:rsidRDefault="00B97963">
            <w:pPr>
              <w:ind w:right="-29"/>
              <w:jc w:val="center"/>
              <w:rPr>
                <w:noProof/>
                <w:sz w:val="18"/>
                <w:szCs w:val="18"/>
              </w:rPr>
            </w:pPr>
            <w:r>
              <w:rPr>
                <w:noProof/>
                <w:sz w:val="18"/>
              </w:rPr>
              <w:t>20,5</w:t>
            </w:r>
          </w:p>
        </w:tc>
        <w:tc>
          <w:tcPr>
            <w:tcW w:w="720" w:type="dxa"/>
            <w:tcBorders>
              <w:bottom w:val="single" w:sz="12" w:space="0" w:color="auto"/>
            </w:tcBorders>
          </w:tcPr>
          <w:p w:rsidR="00824C36" w:rsidRDefault="00B97963">
            <w:pPr>
              <w:ind w:right="-29"/>
              <w:jc w:val="center"/>
              <w:rPr>
                <w:noProof/>
                <w:sz w:val="18"/>
                <w:szCs w:val="18"/>
              </w:rPr>
            </w:pPr>
            <w:r>
              <w:rPr>
                <w:noProof/>
                <w:sz w:val="18"/>
              </w:rPr>
              <w:t>122</w:t>
            </w:r>
          </w:p>
        </w:tc>
        <w:tc>
          <w:tcPr>
            <w:tcW w:w="720" w:type="dxa"/>
            <w:tcBorders>
              <w:bottom w:val="single" w:sz="12" w:space="0" w:color="auto"/>
            </w:tcBorders>
          </w:tcPr>
          <w:p w:rsidR="00824C36" w:rsidRDefault="00B97963">
            <w:pPr>
              <w:ind w:right="-29"/>
              <w:jc w:val="center"/>
              <w:rPr>
                <w:noProof/>
                <w:sz w:val="18"/>
                <w:szCs w:val="18"/>
              </w:rPr>
            </w:pPr>
            <w:r>
              <w:rPr>
                <w:noProof/>
                <w:sz w:val="18"/>
              </w:rPr>
              <w:t>27,5</w:t>
            </w:r>
          </w:p>
        </w:tc>
        <w:tc>
          <w:tcPr>
            <w:tcW w:w="938" w:type="dxa"/>
            <w:gridSpan w:val="2"/>
            <w:tcBorders>
              <w:bottom w:val="single" w:sz="12" w:space="0" w:color="auto"/>
            </w:tcBorders>
          </w:tcPr>
          <w:p w:rsidR="00824C36" w:rsidRDefault="00B97963">
            <w:pPr>
              <w:ind w:right="-29"/>
              <w:jc w:val="center"/>
              <w:rPr>
                <w:noProof/>
                <w:sz w:val="18"/>
                <w:szCs w:val="18"/>
              </w:rPr>
            </w:pPr>
            <w:r>
              <w:rPr>
                <w:noProof/>
                <w:sz w:val="18"/>
              </w:rPr>
              <w:t>346</w:t>
            </w:r>
          </w:p>
        </w:tc>
        <w:tc>
          <w:tcPr>
            <w:tcW w:w="682" w:type="dxa"/>
            <w:tcBorders>
              <w:bottom w:val="single" w:sz="12" w:space="0" w:color="auto"/>
            </w:tcBorders>
          </w:tcPr>
          <w:p w:rsidR="00824C36" w:rsidRDefault="00B97963">
            <w:pPr>
              <w:ind w:right="-29"/>
              <w:jc w:val="center"/>
              <w:rPr>
                <w:noProof/>
                <w:sz w:val="18"/>
                <w:szCs w:val="18"/>
              </w:rPr>
            </w:pPr>
            <w:r>
              <w:rPr>
                <w:noProof/>
                <w:sz w:val="18"/>
              </w:rPr>
              <w:t>62,5</w:t>
            </w:r>
          </w:p>
        </w:tc>
      </w:tr>
      <w:tr w:rsidR="00824C36">
        <w:trPr>
          <w:jc w:val="center"/>
        </w:trPr>
        <w:tc>
          <w:tcPr>
            <w:tcW w:w="2947" w:type="dxa"/>
            <w:gridSpan w:val="4"/>
            <w:vAlign w:val="center"/>
          </w:tcPr>
          <w:p w:rsidR="00824C36" w:rsidRDefault="00824C36">
            <w:pPr>
              <w:spacing w:before="60" w:after="60"/>
              <w:ind w:right="-29"/>
              <w:jc w:val="center"/>
              <w:rPr>
                <w:noProof/>
                <w:sz w:val="18"/>
                <w:szCs w:val="18"/>
              </w:rPr>
            </w:pPr>
          </w:p>
        </w:tc>
        <w:tc>
          <w:tcPr>
            <w:tcW w:w="504" w:type="dxa"/>
            <w:tcBorders>
              <w:top w:val="nil"/>
              <w:left w:val="nil"/>
              <w:bottom w:val="nil"/>
              <w:right w:val="nil"/>
            </w:tcBorders>
          </w:tcPr>
          <w:p w:rsidR="00824C36" w:rsidRDefault="00824C36">
            <w:pPr>
              <w:spacing w:before="60" w:after="60"/>
              <w:ind w:right="-29"/>
              <w:jc w:val="center"/>
              <w:rPr>
                <w:noProof/>
                <w:sz w:val="18"/>
                <w:szCs w:val="18"/>
              </w:rPr>
            </w:pPr>
          </w:p>
        </w:tc>
        <w:tc>
          <w:tcPr>
            <w:tcW w:w="720" w:type="dxa"/>
            <w:tcBorders>
              <w:top w:val="nil"/>
              <w:left w:val="nil"/>
              <w:bottom w:val="nil"/>
              <w:right w:val="nil"/>
            </w:tcBorders>
          </w:tcPr>
          <w:p w:rsidR="00824C36" w:rsidRDefault="00824C36">
            <w:pPr>
              <w:spacing w:before="60" w:after="60"/>
              <w:ind w:right="-29"/>
              <w:jc w:val="center"/>
              <w:rPr>
                <w:noProof/>
                <w:sz w:val="18"/>
                <w:szCs w:val="18"/>
              </w:rPr>
            </w:pPr>
          </w:p>
        </w:tc>
        <w:tc>
          <w:tcPr>
            <w:tcW w:w="540" w:type="dxa"/>
            <w:tcBorders>
              <w:top w:val="nil"/>
              <w:left w:val="nil"/>
              <w:bottom w:val="nil"/>
              <w:right w:val="nil"/>
            </w:tcBorders>
          </w:tcPr>
          <w:p w:rsidR="00824C36" w:rsidRDefault="00824C36">
            <w:pPr>
              <w:spacing w:before="60" w:after="60"/>
              <w:ind w:right="-29"/>
              <w:jc w:val="center"/>
              <w:rPr>
                <w:noProof/>
                <w:sz w:val="18"/>
                <w:szCs w:val="18"/>
              </w:rPr>
            </w:pPr>
          </w:p>
        </w:tc>
        <w:tc>
          <w:tcPr>
            <w:tcW w:w="720" w:type="dxa"/>
            <w:tcBorders>
              <w:top w:val="nil"/>
              <w:left w:val="nil"/>
              <w:bottom w:val="nil"/>
              <w:right w:val="nil"/>
            </w:tcBorders>
          </w:tcPr>
          <w:p w:rsidR="00824C36" w:rsidRDefault="00824C36">
            <w:pPr>
              <w:spacing w:before="60" w:after="60"/>
              <w:ind w:right="-29"/>
              <w:jc w:val="center"/>
              <w:rPr>
                <w:noProof/>
                <w:sz w:val="18"/>
                <w:szCs w:val="18"/>
              </w:rPr>
            </w:pPr>
          </w:p>
        </w:tc>
        <w:tc>
          <w:tcPr>
            <w:tcW w:w="720" w:type="dxa"/>
            <w:tcBorders>
              <w:top w:val="nil"/>
              <w:left w:val="nil"/>
              <w:bottom w:val="nil"/>
              <w:right w:val="nil"/>
            </w:tcBorders>
          </w:tcPr>
          <w:p w:rsidR="00824C36" w:rsidRDefault="00824C36">
            <w:pPr>
              <w:spacing w:before="60" w:after="60"/>
              <w:ind w:right="-29"/>
              <w:jc w:val="center"/>
              <w:rPr>
                <w:noProof/>
                <w:sz w:val="18"/>
                <w:szCs w:val="18"/>
              </w:rPr>
            </w:pPr>
          </w:p>
        </w:tc>
        <w:tc>
          <w:tcPr>
            <w:tcW w:w="720" w:type="dxa"/>
            <w:tcBorders>
              <w:top w:val="nil"/>
              <w:left w:val="nil"/>
              <w:bottom w:val="nil"/>
              <w:right w:val="nil"/>
            </w:tcBorders>
          </w:tcPr>
          <w:p w:rsidR="00824C36" w:rsidRDefault="00824C36">
            <w:pPr>
              <w:spacing w:before="60" w:after="60"/>
              <w:ind w:right="-29"/>
              <w:jc w:val="center"/>
              <w:rPr>
                <w:noProof/>
                <w:sz w:val="18"/>
                <w:szCs w:val="18"/>
              </w:rPr>
            </w:pPr>
          </w:p>
        </w:tc>
        <w:tc>
          <w:tcPr>
            <w:tcW w:w="900" w:type="dxa"/>
            <w:tcBorders>
              <w:top w:val="nil"/>
              <w:left w:val="nil"/>
              <w:bottom w:val="nil"/>
              <w:right w:val="nil"/>
            </w:tcBorders>
          </w:tcPr>
          <w:p w:rsidR="00824C36" w:rsidRDefault="00824C36">
            <w:pPr>
              <w:spacing w:before="60" w:after="60"/>
              <w:ind w:right="-29"/>
              <w:jc w:val="center"/>
              <w:rPr>
                <w:noProof/>
                <w:sz w:val="18"/>
                <w:szCs w:val="18"/>
              </w:rPr>
            </w:pPr>
          </w:p>
        </w:tc>
        <w:tc>
          <w:tcPr>
            <w:tcW w:w="720" w:type="dxa"/>
            <w:gridSpan w:val="2"/>
            <w:tcBorders>
              <w:top w:val="nil"/>
              <w:left w:val="nil"/>
              <w:bottom w:val="nil"/>
              <w:right w:val="nil"/>
            </w:tcBorders>
          </w:tcPr>
          <w:p w:rsidR="00824C36" w:rsidRDefault="00824C36">
            <w:pPr>
              <w:spacing w:before="60" w:after="60"/>
              <w:ind w:right="-29"/>
              <w:jc w:val="center"/>
              <w:rPr>
                <w:noProof/>
                <w:sz w:val="18"/>
                <w:szCs w:val="18"/>
              </w:rPr>
            </w:pPr>
          </w:p>
        </w:tc>
        <w:tc>
          <w:tcPr>
            <w:tcW w:w="540" w:type="dxa"/>
            <w:gridSpan w:val="3"/>
            <w:tcBorders>
              <w:top w:val="nil"/>
              <w:left w:val="nil"/>
              <w:bottom w:val="nil"/>
              <w:right w:val="nil"/>
            </w:tcBorders>
          </w:tcPr>
          <w:p w:rsidR="00824C36" w:rsidRDefault="00824C36">
            <w:pPr>
              <w:spacing w:before="60" w:after="60"/>
              <w:ind w:right="-29"/>
              <w:jc w:val="center"/>
              <w:rPr>
                <w:noProof/>
                <w:sz w:val="18"/>
                <w:szCs w:val="18"/>
              </w:rPr>
            </w:pPr>
          </w:p>
        </w:tc>
        <w:tc>
          <w:tcPr>
            <w:tcW w:w="648" w:type="dxa"/>
            <w:tcBorders>
              <w:top w:val="nil"/>
              <w:left w:val="nil"/>
              <w:bottom w:val="nil"/>
              <w:right w:val="nil"/>
            </w:tcBorders>
          </w:tcPr>
          <w:p w:rsidR="00824C36" w:rsidRDefault="00824C36">
            <w:pPr>
              <w:spacing w:before="60" w:after="60"/>
              <w:ind w:right="-29"/>
              <w:jc w:val="center"/>
              <w:rPr>
                <w:noProof/>
                <w:sz w:val="18"/>
                <w:szCs w:val="18"/>
              </w:rPr>
            </w:pPr>
          </w:p>
        </w:tc>
        <w:tc>
          <w:tcPr>
            <w:tcW w:w="539" w:type="dxa"/>
            <w:tcBorders>
              <w:top w:val="nil"/>
              <w:left w:val="nil"/>
              <w:bottom w:val="nil"/>
              <w:right w:val="nil"/>
            </w:tcBorders>
          </w:tcPr>
          <w:p w:rsidR="00824C36" w:rsidRDefault="00824C36">
            <w:pPr>
              <w:spacing w:before="60" w:after="60"/>
              <w:ind w:right="-29"/>
              <w:jc w:val="center"/>
              <w:rPr>
                <w:noProof/>
                <w:sz w:val="18"/>
                <w:szCs w:val="18"/>
              </w:rPr>
            </w:pPr>
          </w:p>
        </w:tc>
        <w:tc>
          <w:tcPr>
            <w:tcW w:w="613" w:type="dxa"/>
            <w:tcBorders>
              <w:top w:val="nil"/>
              <w:left w:val="nil"/>
              <w:bottom w:val="nil"/>
              <w:right w:val="nil"/>
            </w:tcBorders>
          </w:tcPr>
          <w:p w:rsidR="00824C36" w:rsidRDefault="00824C36">
            <w:pPr>
              <w:spacing w:before="60" w:after="60"/>
              <w:ind w:right="-29"/>
              <w:jc w:val="center"/>
              <w:rPr>
                <w:noProof/>
                <w:sz w:val="18"/>
                <w:szCs w:val="18"/>
              </w:rPr>
            </w:pPr>
          </w:p>
        </w:tc>
        <w:tc>
          <w:tcPr>
            <w:tcW w:w="540" w:type="dxa"/>
            <w:tcBorders>
              <w:top w:val="nil"/>
              <w:left w:val="nil"/>
              <w:bottom w:val="nil"/>
              <w:right w:val="nil"/>
            </w:tcBorders>
          </w:tcPr>
          <w:p w:rsidR="00824C36" w:rsidRDefault="00824C36">
            <w:pPr>
              <w:spacing w:before="60" w:after="60"/>
              <w:ind w:right="-29"/>
              <w:jc w:val="center"/>
              <w:rPr>
                <w:noProof/>
                <w:sz w:val="18"/>
                <w:szCs w:val="18"/>
              </w:rPr>
            </w:pPr>
          </w:p>
        </w:tc>
        <w:tc>
          <w:tcPr>
            <w:tcW w:w="720" w:type="dxa"/>
            <w:tcBorders>
              <w:top w:val="nil"/>
              <w:left w:val="nil"/>
              <w:bottom w:val="nil"/>
              <w:right w:val="nil"/>
            </w:tcBorders>
          </w:tcPr>
          <w:p w:rsidR="00824C36" w:rsidRDefault="00824C36">
            <w:pPr>
              <w:spacing w:before="60" w:after="60"/>
              <w:ind w:right="-29"/>
              <w:jc w:val="center"/>
              <w:rPr>
                <w:noProof/>
                <w:sz w:val="18"/>
                <w:szCs w:val="18"/>
              </w:rPr>
            </w:pPr>
          </w:p>
        </w:tc>
        <w:tc>
          <w:tcPr>
            <w:tcW w:w="878" w:type="dxa"/>
            <w:tcBorders>
              <w:top w:val="nil"/>
              <w:left w:val="nil"/>
              <w:bottom w:val="nil"/>
              <w:right w:val="nil"/>
            </w:tcBorders>
          </w:tcPr>
          <w:p w:rsidR="00824C36" w:rsidRDefault="00824C36">
            <w:pPr>
              <w:spacing w:before="60" w:after="60"/>
              <w:ind w:right="-29"/>
              <w:jc w:val="center"/>
              <w:rPr>
                <w:noProof/>
                <w:sz w:val="18"/>
                <w:szCs w:val="18"/>
              </w:rPr>
            </w:pPr>
          </w:p>
        </w:tc>
        <w:tc>
          <w:tcPr>
            <w:tcW w:w="236" w:type="dxa"/>
            <w:tcBorders>
              <w:top w:val="nil"/>
              <w:left w:val="nil"/>
              <w:bottom w:val="nil"/>
              <w:right w:val="nil"/>
            </w:tcBorders>
          </w:tcPr>
          <w:p w:rsidR="00824C36" w:rsidRDefault="00824C36">
            <w:pPr>
              <w:spacing w:before="60" w:after="60"/>
              <w:ind w:right="-29"/>
              <w:jc w:val="center"/>
              <w:rPr>
                <w:noProof/>
                <w:sz w:val="18"/>
                <w:szCs w:val="18"/>
              </w:rPr>
            </w:pPr>
          </w:p>
        </w:tc>
      </w:tr>
      <w:tr w:rsidR="00824C36">
        <w:trPr>
          <w:jc w:val="center"/>
        </w:trPr>
        <w:tc>
          <w:tcPr>
            <w:tcW w:w="2947" w:type="dxa"/>
            <w:gridSpan w:val="4"/>
            <w:vAlign w:val="center"/>
          </w:tcPr>
          <w:p w:rsidR="00824C36" w:rsidRDefault="00B97963">
            <w:pPr>
              <w:spacing w:before="60" w:after="60"/>
              <w:ind w:right="-29"/>
              <w:jc w:val="center"/>
              <w:rPr>
                <w:noProof/>
                <w:sz w:val="18"/>
                <w:szCs w:val="18"/>
              </w:rPr>
            </w:pPr>
            <w:r>
              <w:rPr>
                <w:noProof/>
                <w:sz w:val="18"/>
              </w:rPr>
              <w:t>OBJECTIF SPÉCIFIQUE n° 3 – Réaction</w:t>
            </w:r>
            <w:r>
              <w:rPr>
                <w:rStyle w:val="FootnoteReference"/>
                <w:noProof/>
              </w:rPr>
              <w:footnoteReference w:id="27"/>
            </w:r>
          </w:p>
        </w:tc>
        <w:tc>
          <w:tcPr>
            <w:tcW w:w="504" w:type="dxa"/>
            <w:tcBorders>
              <w:top w:val="nil"/>
              <w:left w:val="nil"/>
              <w:bottom w:val="nil"/>
              <w:right w:val="nil"/>
            </w:tcBorders>
          </w:tcPr>
          <w:p w:rsidR="00824C36" w:rsidRDefault="00824C36">
            <w:pPr>
              <w:spacing w:before="60" w:after="60"/>
              <w:ind w:right="-29"/>
              <w:jc w:val="center"/>
              <w:rPr>
                <w:noProof/>
                <w:sz w:val="18"/>
                <w:szCs w:val="18"/>
              </w:rPr>
            </w:pPr>
          </w:p>
        </w:tc>
        <w:tc>
          <w:tcPr>
            <w:tcW w:w="720" w:type="dxa"/>
            <w:tcBorders>
              <w:top w:val="nil"/>
              <w:left w:val="nil"/>
              <w:bottom w:val="nil"/>
              <w:right w:val="nil"/>
            </w:tcBorders>
          </w:tcPr>
          <w:p w:rsidR="00824C36" w:rsidRDefault="00824C36">
            <w:pPr>
              <w:spacing w:before="60" w:after="60"/>
              <w:ind w:right="-29"/>
              <w:jc w:val="center"/>
              <w:rPr>
                <w:noProof/>
                <w:sz w:val="18"/>
                <w:szCs w:val="18"/>
              </w:rPr>
            </w:pPr>
          </w:p>
        </w:tc>
        <w:tc>
          <w:tcPr>
            <w:tcW w:w="540" w:type="dxa"/>
            <w:tcBorders>
              <w:top w:val="nil"/>
              <w:left w:val="nil"/>
              <w:bottom w:val="nil"/>
              <w:right w:val="nil"/>
            </w:tcBorders>
          </w:tcPr>
          <w:p w:rsidR="00824C36" w:rsidRDefault="00824C36">
            <w:pPr>
              <w:spacing w:before="60" w:after="60"/>
              <w:ind w:right="-29"/>
              <w:jc w:val="center"/>
              <w:rPr>
                <w:noProof/>
                <w:sz w:val="18"/>
                <w:szCs w:val="18"/>
              </w:rPr>
            </w:pPr>
          </w:p>
        </w:tc>
        <w:tc>
          <w:tcPr>
            <w:tcW w:w="720" w:type="dxa"/>
            <w:tcBorders>
              <w:top w:val="nil"/>
              <w:left w:val="nil"/>
              <w:bottom w:val="nil"/>
              <w:right w:val="nil"/>
            </w:tcBorders>
          </w:tcPr>
          <w:p w:rsidR="00824C36" w:rsidRDefault="00824C36">
            <w:pPr>
              <w:spacing w:before="60" w:after="60"/>
              <w:ind w:right="-29"/>
              <w:jc w:val="center"/>
              <w:rPr>
                <w:noProof/>
                <w:sz w:val="18"/>
                <w:szCs w:val="18"/>
              </w:rPr>
            </w:pPr>
          </w:p>
        </w:tc>
        <w:tc>
          <w:tcPr>
            <w:tcW w:w="720" w:type="dxa"/>
            <w:tcBorders>
              <w:top w:val="nil"/>
              <w:left w:val="nil"/>
              <w:bottom w:val="nil"/>
              <w:right w:val="nil"/>
            </w:tcBorders>
          </w:tcPr>
          <w:p w:rsidR="00824C36" w:rsidRDefault="00824C36">
            <w:pPr>
              <w:spacing w:before="60" w:after="60"/>
              <w:ind w:right="-29"/>
              <w:jc w:val="center"/>
              <w:rPr>
                <w:noProof/>
                <w:sz w:val="18"/>
                <w:szCs w:val="18"/>
              </w:rPr>
            </w:pPr>
          </w:p>
        </w:tc>
        <w:tc>
          <w:tcPr>
            <w:tcW w:w="720" w:type="dxa"/>
            <w:tcBorders>
              <w:top w:val="nil"/>
              <w:left w:val="nil"/>
              <w:bottom w:val="nil"/>
              <w:right w:val="nil"/>
            </w:tcBorders>
          </w:tcPr>
          <w:p w:rsidR="00824C36" w:rsidRDefault="00824C36">
            <w:pPr>
              <w:spacing w:before="60" w:after="60"/>
              <w:ind w:right="-29"/>
              <w:jc w:val="center"/>
              <w:rPr>
                <w:noProof/>
                <w:sz w:val="18"/>
                <w:szCs w:val="18"/>
              </w:rPr>
            </w:pPr>
          </w:p>
        </w:tc>
        <w:tc>
          <w:tcPr>
            <w:tcW w:w="900" w:type="dxa"/>
            <w:tcBorders>
              <w:top w:val="nil"/>
              <w:left w:val="nil"/>
              <w:bottom w:val="nil"/>
              <w:right w:val="nil"/>
            </w:tcBorders>
          </w:tcPr>
          <w:p w:rsidR="00824C36" w:rsidRDefault="00824C36">
            <w:pPr>
              <w:spacing w:before="60" w:after="60"/>
              <w:ind w:right="-29"/>
              <w:jc w:val="center"/>
              <w:rPr>
                <w:noProof/>
                <w:sz w:val="18"/>
                <w:szCs w:val="18"/>
              </w:rPr>
            </w:pPr>
          </w:p>
        </w:tc>
        <w:tc>
          <w:tcPr>
            <w:tcW w:w="720" w:type="dxa"/>
            <w:gridSpan w:val="2"/>
            <w:tcBorders>
              <w:top w:val="nil"/>
              <w:left w:val="nil"/>
              <w:bottom w:val="nil"/>
              <w:right w:val="nil"/>
            </w:tcBorders>
          </w:tcPr>
          <w:p w:rsidR="00824C36" w:rsidRDefault="00824C36">
            <w:pPr>
              <w:spacing w:before="60" w:after="60"/>
              <w:ind w:right="-29"/>
              <w:jc w:val="center"/>
              <w:rPr>
                <w:noProof/>
                <w:sz w:val="18"/>
                <w:szCs w:val="18"/>
              </w:rPr>
            </w:pPr>
          </w:p>
        </w:tc>
        <w:tc>
          <w:tcPr>
            <w:tcW w:w="540" w:type="dxa"/>
            <w:gridSpan w:val="3"/>
            <w:tcBorders>
              <w:top w:val="nil"/>
              <w:left w:val="nil"/>
              <w:bottom w:val="nil"/>
              <w:right w:val="nil"/>
            </w:tcBorders>
          </w:tcPr>
          <w:p w:rsidR="00824C36" w:rsidRDefault="00824C36">
            <w:pPr>
              <w:spacing w:before="60" w:after="60"/>
              <w:ind w:right="-29"/>
              <w:jc w:val="center"/>
              <w:rPr>
                <w:noProof/>
                <w:sz w:val="18"/>
                <w:szCs w:val="18"/>
              </w:rPr>
            </w:pPr>
          </w:p>
        </w:tc>
        <w:tc>
          <w:tcPr>
            <w:tcW w:w="648" w:type="dxa"/>
            <w:tcBorders>
              <w:top w:val="nil"/>
              <w:left w:val="nil"/>
              <w:bottom w:val="nil"/>
              <w:right w:val="nil"/>
            </w:tcBorders>
          </w:tcPr>
          <w:p w:rsidR="00824C36" w:rsidRDefault="00824C36">
            <w:pPr>
              <w:spacing w:before="60" w:after="60"/>
              <w:ind w:right="-29"/>
              <w:jc w:val="center"/>
              <w:rPr>
                <w:noProof/>
                <w:sz w:val="18"/>
                <w:szCs w:val="18"/>
              </w:rPr>
            </w:pPr>
          </w:p>
        </w:tc>
        <w:tc>
          <w:tcPr>
            <w:tcW w:w="539" w:type="dxa"/>
            <w:tcBorders>
              <w:top w:val="nil"/>
              <w:left w:val="nil"/>
              <w:bottom w:val="nil"/>
              <w:right w:val="nil"/>
            </w:tcBorders>
          </w:tcPr>
          <w:p w:rsidR="00824C36" w:rsidRDefault="00824C36">
            <w:pPr>
              <w:spacing w:before="60" w:after="60"/>
              <w:ind w:right="-29"/>
              <w:jc w:val="center"/>
              <w:rPr>
                <w:noProof/>
                <w:sz w:val="18"/>
                <w:szCs w:val="18"/>
              </w:rPr>
            </w:pPr>
          </w:p>
        </w:tc>
        <w:tc>
          <w:tcPr>
            <w:tcW w:w="613" w:type="dxa"/>
            <w:tcBorders>
              <w:top w:val="nil"/>
              <w:left w:val="nil"/>
              <w:bottom w:val="nil"/>
              <w:right w:val="nil"/>
            </w:tcBorders>
          </w:tcPr>
          <w:p w:rsidR="00824C36" w:rsidRDefault="00824C36">
            <w:pPr>
              <w:spacing w:before="60" w:after="60"/>
              <w:ind w:right="-29"/>
              <w:jc w:val="center"/>
              <w:rPr>
                <w:noProof/>
                <w:sz w:val="18"/>
                <w:szCs w:val="18"/>
              </w:rPr>
            </w:pPr>
          </w:p>
        </w:tc>
        <w:tc>
          <w:tcPr>
            <w:tcW w:w="540" w:type="dxa"/>
            <w:tcBorders>
              <w:top w:val="nil"/>
              <w:left w:val="nil"/>
              <w:bottom w:val="nil"/>
              <w:right w:val="nil"/>
            </w:tcBorders>
          </w:tcPr>
          <w:p w:rsidR="00824C36" w:rsidRDefault="00824C36">
            <w:pPr>
              <w:spacing w:before="60" w:after="60"/>
              <w:ind w:right="-29"/>
              <w:jc w:val="center"/>
              <w:rPr>
                <w:noProof/>
                <w:sz w:val="18"/>
                <w:szCs w:val="18"/>
              </w:rPr>
            </w:pPr>
          </w:p>
        </w:tc>
        <w:tc>
          <w:tcPr>
            <w:tcW w:w="720" w:type="dxa"/>
            <w:tcBorders>
              <w:top w:val="nil"/>
              <w:left w:val="nil"/>
              <w:bottom w:val="nil"/>
              <w:right w:val="nil"/>
            </w:tcBorders>
          </w:tcPr>
          <w:p w:rsidR="00824C36" w:rsidRDefault="00824C36">
            <w:pPr>
              <w:spacing w:before="60" w:after="60"/>
              <w:ind w:right="-29"/>
              <w:jc w:val="center"/>
              <w:rPr>
                <w:noProof/>
                <w:sz w:val="18"/>
                <w:szCs w:val="18"/>
              </w:rPr>
            </w:pPr>
          </w:p>
        </w:tc>
        <w:tc>
          <w:tcPr>
            <w:tcW w:w="878" w:type="dxa"/>
            <w:tcBorders>
              <w:top w:val="nil"/>
              <w:left w:val="nil"/>
              <w:bottom w:val="nil"/>
              <w:right w:val="nil"/>
            </w:tcBorders>
          </w:tcPr>
          <w:p w:rsidR="00824C36" w:rsidRDefault="00824C36">
            <w:pPr>
              <w:spacing w:before="60" w:after="60"/>
              <w:ind w:right="-29"/>
              <w:jc w:val="center"/>
              <w:rPr>
                <w:noProof/>
                <w:sz w:val="18"/>
                <w:szCs w:val="18"/>
              </w:rPr>
            </w:pPr>
          </w:p>
        </w:tc>
        <w:tc>
          <w:tcPr>
            <w:tcW w:w="236" w:type="dxa"/>
            <w:tcBorders>
              <w:top w:val="nil"/>
              <w:left w:val="nil"/>
              <w:bottom w:val="nil"/>
              <w:right w:val="nil"/>
            </w:tcBorders>
          </w:tcPr>
          <w:p w:rsidR="00824C36" w:rsidRDefault="00824C36">
            <w:pPr>
              <w:spacing w:before="60" w:after="60"/>
              <w:ind w:right="-29"/>
              <w:jc w:val="center"/>
              <w:rPr>
                <w:noProof/>
                <w:sz w:val="18"/>
                <w:szCs w:val="18"/>
              </w:rPr>
            </w:pPr>
          </w:p>
        </w:tc>
      </w:tr>
      <w:tr w:rsidR="00824C36">
        <w:trPr>
          <w:gridAfter w:val="10"/>
          <w:wAfter w:w="4714" w:type="dxa"/>
          <w:trHeight w:hRule="exact" w:val="628"/>
          <w:jc w:val="center"/>
        </w:trPr>
        <w:tc>
          <w:tcPr>
            <w:tcW w:w="1218" w:type="dxa"/>
          </w:tcPr>
          <w:p w:rsidR="00824C36" w:rsidRDefault="00B97963">
            <w:pPr>
              <w:ind w:right="-29"/>
              <w:rPr>
                <w:noProof/>
                <w:sz w:val="18"/>
                <w:szCs w:val="18"/>
              </w:rPr>
            </w:pPr>
            <w:r>
              <w:rPr>
                <w:noProof/>
                <w:sz w:val="18"/>
              </w:rPr>
              <w:t xml:space="preserve">Déploiement d’experts </w:t>
            </w:r>
          </w:p>
        </w:tc>
        <w:tc>
          <w:tcPr>
            <w:tcW w:w="1028" w:type="dxa"/>
            <w:gridSpan w:val="2"/>
          </w:tcPr>
          <w:p w:rsidR="00824C36" w:rsidRDefault="00B97963">
            <w:pPr>
              <w:ind w:right="-160"/>
              <w:jc w:val="center"/>
              <w:rPr>
                <w:noProof/>
                <w:sz w:val="18"/>
                <w:szCs w:val="18"/>
              </w:rPr>
            </w:pPr>
            <w:r>
              <w:rPr>
                <w:noProof/>
                <w:sz w:val="18"/>
              </w:rPr>
              <w:t>Nombre de contrats</w:t>
            </w:r>
          </w:p>
        </w:tc>
        <w:tc>
          <w:tcPr>
            <w:tcW w:w="701" w:type="dxa"/>
          </w:tcPr>
          <w:p w:rsidR="00824C36" w:rsidRDefault="00B97963">
            <w:pPr>
              <w:ind w:left="-56" w:right="-29"/>
              <w:jc w:val="center"/>
              <w:rPr>
                <w:noProof/>
                <w:sz w:val="18"/>
                <w:szCs w:val="18"/>
              </w:rPr>
            </w:pPr>
            <w:r>
              <w:rPr>
                <w:noProof/>
                <w:sz w:val="18"/>
              </w:rPr>
              <w:t>0,005</w:t>
            </w:r>
          </w:p>
        </w:tc>
        <w:tc>
          <w:tcPr>
            <w:tcW w:w="504" w:type="dxa"/>
            <w:tcBorders>
              <w:right w:val="dashSmallGap" w:sz="4" w:space="0" w:color="auto"/>
            </w:tcBorders>
          </w:tcPr>
          <w:p w:rsidR="00824C36" w:rsidRDefault="00B97963">
            <w:pPr>
              <w:ind w:right="-29"/>
              <w:jc w:val="center"/>
              <w:rPr>
                <w:noProof/>
                <w:sz w:val="18"/>
                <w:szCs w:val="18"/>
              </w:rPr>
            </w:pPr>
            <w:r>
              <w:rPr>
                <w:noProof/>
                <w:sz w:val="18"/>
              </w:rPr>
              <w:t>200</w:t>
            </w:r>
          </w:p>
        </w:tc>
        <w:tc>
          <w:tcPr>
            <w:tcW w:w="720" w:type="dxa"/>
            <w:tcBorders>
              <w:left w:val="dashSmallGap" w:sz="4" w:space="0" w:color="auto"/>
            </w:tcBorders>
          </w:tcPr>
          <w:p w:rsidR="00824C36" w:rsidRDefault="00B97963">
            <w:pPr>
              <w:ind w:right="-29"/>
              <w:jc w:val="center"/>
              <w:rPr>
                <w:noProof/>
                <w:sz w:val="18"/>
                <w:szCs w:val="18"/>
              </w:rPr>
            </w:pPr>
            <w:r>
              <w:rPr>
                <w:noProof/>
                <w:sz w:val="18"/>
              </w:rPr>
              <w:t>1</w:t>
            </w:r>
          </w:p>
        </w:tc>
        <w:tc>
          <w:tcPr>
            <w:tcW w:w="540" w:type="dxa"/>
            <w:tcBorders>
              <w:right w:val="dashSmallGap" w:sz="4" w:space="0" w:color="auto"/>
            </w:tcBorders>
          </w:tcPr>
          <w:p w:rsidR="00824C36" w:rsidRDefault="00B97963">
            <w:pPr>
              <w:ind w:right="-29"/>
              <w:jc w:val="center"/>
              <w:rPr>
                <w:noProof/>
                <w:sz w:val="18"/>
                <w:szCs w:val="18"/>
              </w:rPr>
            </w:pPr>
            <w:r>
              <w:rPr>
                <w:noProof/>
                <w:sz w:val="18"/>
              </w:rPr>
              <w:t>200</w:t>
            </w:r>
          </w:p>
        </w:tc>
        <w:tc>
          <w:tcPr>
            <w:tcW w:w="720" w:type="dxa"/>
            <w:tcBorders>
              <w:left w:val="dashSmallGap" w:sz="4" w:space="0" w:color="auto"/>
            </w:tcBorders>
          </w:tcPr>
          <w:p w:rsidR="00824C36" w:rsidRDefault="00B97963">
            <w:pPr>
              <w:ind w:right="-29"/>
              <w:jc w:val="center"/>
              <w:rPr>
                <w:noProof/>
                <w:sz w:val="18"/>
                <w:szCs w:val="18"/>
              </w:rPr>
            </w:pPr>
            <w:r>
              <w:rPr>
                <w:noProof/>
                <w:sz w:val="18"/>
              </w:rPr>
              <w:t>1</w:t>
            </w:r>
          </w:p>
        </w:tc>
        <w:tc>
          <w:tcPr>
            <w:tcW w:w="720" w:type="dxa"/>
            <w:tcBorders>
              <w:right w:val="dashSmallGap" w:sz="4" w:space="0" w:color="auto"/>
            </w:tcBorders>
          </w:tcPr>
          <w:p w:rsidR="00824C36" w:rsidRDefault="00B97963">
            <w:pPr>
              <w:ind w:right="-29"/>
              <w:jc w:val="center"/>
              <w:rPr>
                <w:noProof/>
                <w:sz w:val="18"/>
                <w:szCs w:val="18"/>
              </w:rPr>
            </w:pPr>
            <w:r>
              <w:rPr>
                <w:noProof/>
                <w:sz w:val="18"/>
              </w:rPr>
              <w:t>200</w:t>
            </w:r>
          </w:p>
        </w:tc>
        <w:tc>
          <w:tcPr>
            <w:tcW w:w="720" w:type="dxa"/>
            <w:tcBorders>
              <w:left w:val="dashSmallGap" w:sz="4" w:space="0" w:color="auto"/>
            </w:tcBorders>
          </w:tcPr>
          <w:p w:rsidR="00824C36" w:rsidRDefault="00B97963">
            <w:pPr>
              <w:ind w:right="-29"/>
              <w:jc w:val="center"/>
              <w:rPr>
                <w:noProof/>
                <w:sz w:val="18"/>
                <w:szCs w:val="18"/>
              </w:rPr>
            </w:pPr>
            <w:r>
              <w:rPr>
                <w:noProof/>
                <w:sz w:val="18"/>
              </w:rPr>
              <w:t>1</w:t>
            </w:r>
          </w:p>
        </w:tc>
        <w:tc>
          <w:tcPr>
            <w:tcW w:w="900" w:type="dxa"/>
            <w:tcBorders>
              <w:right w:val="dashSmallGap" w:sz="4" w:space="0" w:color="auto"/>
            </w:tcBorders>
          </w:tcPr>
          <w:p w:rsidR="00824C36" w:rsidRDefault="00B97963">
            <w:pPr>
              <w:ind w:right="-29"/>
              <w:jc w:val="center"/>
              <w:rPr>
                <w:noProof/>
                <w:sz w:val="18"/>
                <w:szCs w:val="18"/>
              </w:rPr>
            </w:pPr>
            <w:r>
              <w:rPr>
                <w:noProof/>
                <w:sz w:val="18"/>
              </w:rPr>
              <w:t>600</w:t>
            </w:r>
          </w:p>
        </w:tc>
        <w:tc>
          <w:tcPr>
            <w:tcW w:w="720" w:type="dxa"/>
            <w:gridSpan w:val="2"/>
            <w:tcBorders>
              <w:left w:val="dashSmallGap" w:sz="4" w:space="0" w:color="auto"/>
            </w:tcBorders>
          </w:tcPr>
          <w:p w:rsidR="00824C36" w:rsidRDefault="00B97963">
            <w:pPr>
              <w:ind w:right="-29"/>
              <w:jc w:val="center"/>
              <w:rPr>
                <w:noProof/>
                <w:sz w:val="18"/>
                <w:szCs w:val="18"/>
              </w:rPr>
            </w:pPr>
            <w:r>
              <w:rPr>
                <w:noProof/>
                <w:sz w:val="18"/>
              </w:rPr>
              <w:t>3</w:t>
            </w:r>
          </w:p>
        </w:tc>
      </w:tr>
      <w:tr w:rsidR="00824C36">
        <w:trPr>
          <w:gridAfter w:val="10"/>
          <w:wAfter w:w="4714" w:type="dxa"/>
          <w:trHeight w:hRule="exact" w:val="930"/>
          <w:jc w:val="center"/>
        </w:trPr>
        <w:tc>
          <w:tcPr>
            <w:tcW w:w="1218" w:type="dxa"/>
          </w:tcPr>
          <w:p w:rsidR="00824C36" w:rsidRDefault="00B97963">
            <w:pPr>
              <w:ind w:right="-29"/>
              <w:rPr>
                <w:noProof/>
                <w:sz w:val="18"/>
                <w:szCs w:val="18"/>
              </w:rPr>
            </w:pPr>
            <w:r>
              <w:rPr>
                <w:noProof/>
                <w:sz w:val="18"/>
              </w:rPr>
              <w:t xml:space="preserve"> Nombre d’opérations au sein de l’UE</w:t>
            </w:r>
          </w:p>
        </w:tc>
        <w:tc>
          <w:tcPr>
            <w:tcW w:w="1028" w:type="dxa"/>
            <w:gridSpan w:val="2"/>
          </w:tcPr>
          <w:p w:rsidR="00824C36" w:rsidRDefault="00B97963">
            <w:pPr>
              <w:ind w:right="-29"/>
              <w:rPr>
                <w:noProof/>
                <w:sz w:val="18"/>
                <w:szCs w:val="18"/>
              </w:rPr>
            </w:pPr>
            <w:r>
              <w:rPr>
                <w:noProof/>
                <w:sz w:val="18"/>
              </w:rPr>
              <w:t>Convention de subvention/contrat de service</w:t>
            </w:r>
          </w:p>
        </w:tc>
        <w:tc>
          <w:tcPr>
            <w:tcW w:w="701" w:type="dxa"/>
          </w:tcPr>
          <w:p w:rsidR="00824C36" w:rsidRDefault="00B97963">
            <w:pPr>
              <w:ind w:right="-29"/>
              <w:jc w:val="center"/>
              <w:rPr>
                <w:noProof/>
                <w:sz w:val="18"/>
                <w:szCs w:val="18"/>
              </w:rPr>
            </w:pPr>
            <w:r>
              <w:rPr>
                <w:noProof/>
                <w:sz w:val="18"/>
              </w:rPr>
              <w:t>0,1</w:t>
            </w:r>
          </w:p>
        </w:tc>
        <w:tc>
          <w:tcPr>
            <w:tcW w:w="504" w:type="dxa"/>
          </w:tcPr>
          <w:p w:rsidR="00824C36" w:rsidRDefault="00B97963">
            <w:pPr>
              <w:ind w:right="-29"/>
              <w:jc w:val="center"/>
              <w:rPr>
                <w:noProof/>
                <w:sz w:val="18"/>
                <w:szCs w:val="18"/>
              </w:rPr>
            </w:pPr>
            <w:r>
              <w:rPr>
                <w:noProof/>
                <w:sz w:val="18"/>
              </w:rPr>
              <w:t>80</w:t>
            </w:r>
          </w:p>
        </w:tc>
        <w:tc>
          <w:tcPr>
            <w:tcW w:w="720" w:type="dxa"/>
          </w:tcPr>
          <w:p w:rsidR="00824C36" w:rsidRDefault="00B97963">
            <w:pPr>
              <w:ind w:right="-29"/>
              <w:jc w:val="center"/>
              <w:rPr>
                <w:noProof/>
                <w:sz w:val="18"/>
                <w:szCs w:val="18"/>
              </w:rPr>
            </w:pPr>
            <w:r>
              <w:rPr>
                <w:noProof/>
                <w:sz w:val="18"/>
              </w:rPr>
              <w:t>8</w:t>
            </w:r>
          </w:p>
        </w:tc>
        <w:tc>
          <w:tcPr>
            <w:tcW w:w="540" w:type="dxa"/>
          </w:tcPr>
          <w:p w:rsidR="00824C36" w:rsidRDefault="00B97963">
            <w:pPr>
              <w:ind w:right="-29"/>
              <w:jc w:val="center"/>
              <w:rPr>
                <w:noProof/>
                <w:sz w:val="18"/>
                <w:szCs w:val="18"/>
              </w:rPr>
            </w:pPr>
            <w:r>
              <w:rPr>
                <w:noProof/>
                <w:sz w:val="18"/>
              </w:rPr>
              <w:t>80</w:t>
            </w:r>
          </w:p>
        </w:tc>
        <w:tc>
          <w:tcPr>
            <w:tcW w:w="720" w:type="dxa"/>
          </w:tcPr>
          <w:p w:rsidR="00824C36" w:rsidRDefault="00B97963">
            <w:pPr>
              <w:ind w:right="-29"/>
              <w:jc w:val="center"/>
              <w:rPr>
                <w:noProof/>
                <w:sz w:val="18"/>
                <w:szCs w:val="18"/>
              </w:rPr>
            </w:pPr>
            <w:r>
              <w:rPr>
                <w:noProof/>
                <w:sz w:val="18"/>
              </w:rPr>
              <w:t>8</w:t>
            </w:r>
          </w:p>
        </w:tc>
        <w:tc>
          <w:tcPr>
            <w:tcW w:w="720" w:type="dxa"/>
          </w:tcPr>
          <w:p w:rsidR="00824C36" w:rsidRDefault="00B97963">
            <w:pPr>
              <w:ind w:right="-29"/>
              <w:jc w:val="center"/>
              <w:rPr>
                <w:noProof/>
                <w:sz w:val="18"/>
                <w:szCs w:val="18"/>
              </w:rPr>
            </w:pPr>
            <w:r>
              <w:rPr>
                <w:noProof/>
                <w:sz w:val="18"/>
              </w:rPr>
              <w:t>80</w:t>
            </w:r>
          </w:p>
        </w:tc>
        <w:tc>
          <w:tcPr>
            <w:tcW w:w="720" w:type="dxa"/>
          </w:tcPr>
          <w:p w:rsidR="00824C36" w:rsidRDefault="00B97963">
            <w:pPr>
              <w:ind w:right="-29"/>
              <w:jc w:val="center"/>
              <w:rPr>
                <w:noProof/>
                <w:sz w:val="18"/>
                <w:szCs w:val="18"/>
              </w:rPr>
            </w:pPr>
            <w:r>
              <w:rPr>
                <w:noProof/>
                <w:sz w:val="18"/>
              </w:rPr>
              <w:t>8</w:t>
            </w:r>
          </w:p>
        </w:tc>
        <w:tc>
          <w:tcPr>
            <w:tcW w:w="900" w:type="dxa"/>
          </w:tcPr>
          <w:p w:rsidR="00824C36" w:rsidRDefault="00B97963">
            <w:pPr>
              <w:ind w:right="-29"/>
              <w:jc w:val="center"/>
              <w:rPr>
                <w:noProof/>
                <w:sz w:val="18"/>
                <w:szCs w:val="18"/>
              </w:rPr>
            </w:pPr>
            <w:r>
              <w:rPr>
                <w:noProof/>
                <w:sz w:val="18"/>
              </w:rPr>
              <w:t>240</w:t>
            </w:r>
          </w:p>
        </w:tc>
        <w:tc>
          <w:tcPr>
            <w:tcW w:w="720" w:type="dxa"/>
            <w:gridSpan w:val="2"/>
          </w:tcPr>
          <w:p w:rsidR="00824C36" w:rsidRDefault="00B97963">
            <w:pPr>
              <w:ind w:right="-29"/>
              <w:jc w:val="center"/>
              <w:rPr>
                <w:noProof/>
                <w:sz w:val="18"/>
                <w:szCs w:val="18"/>
              </w:rPr>
            </w:pPr>
            <w:r>
              <w:rPr>
                <w:noProof/>
                <w:sz w:val="18"/>
              </w:rPr>
              <w:t>24</w:t>
            </w:r>
          </w:p>
        </w:tc>
      </w:tr>
      <w:tr w:rsidR="00824C36">
        <w:trPr>
          <w:gridAfter w:val="10"/>
          <w:wAfter w:w="4714" w:type="dxa"/>
          <w:trHeight w:hRule="exact" w:val="1227"/>
          <w:jc w:val="center"/>
        </w:trPr>
        <w:tc>
          <w:tcPr>
            <w:tcW w:w="1218" w:type="dxa"/>
          </w:tcPr>
          <w:p w:rsidR="00824C36" w:rsidRDefault="00B97963">
            <w:pPr>
              <w:ind w:right="-29"/>
              <w:rPr>
                <w:noProof/>
                <w:sz w:val="18"/>
                <w:szCs w:val="18"/>
              </w:rPr>
            </w:pPr>
            <w:r>
              <w:rPr>
                <w:noProof/>
                <w:sz w:val="18"/>
              </w:rPr>
              <w:t xml:space="preserve"> Nombre d’opérations de transport en dehors de l’UE</w:t>
            </w:r>
          </w:p>
        </w:tc>
        <w:tc>
          <w:tcPr>
            <w:tcW w:w="1028" w:type="dxa"/>
            <w:gridSpan w:val="2"/>
          </w:tcPr>
          <w:p w:rsidR="00824C36" w:rsidRDefault="00B97963">
            <w:pPr>
              <w:ind w:right="-29"/>
              <w:rPr>
                <w:noProof/>
                <w:sz w:val="18"/>
                <w:szCs w:val="18"/>
              </w:rPr>
            </w:pPr>
            <w:r>
              <w:rPr>
                <w:noProof/>
                <w:sz w:val="18"/>
              </w:rPr>
              <w:t>Convention de subvention/contrat de service</w:t>
            </w:r>
          </w:p>
        </w:tc>
        <w:tc>
          <w:tcPr>
            <w:tcW w:w="701" w:type="dxa"/>
          </w:tcPr>
          <w:p w:rsidR="00824C36" w:rsidRDefault="00B97963">
            <w:pPr>
              <w:ind w:right="-29"/>
              <w:rPr>
                <w:noProof/>
                <w:sz w:val="18"/>
                <w:szCs w:val="18"/>
              </w:rPr>
            </w:pPr>
            <w:r>
              <w:rPr>
                <w:noProof/>
                <w:sz w:val="18"/>
              </w:rPr>
              <w:t>0,13</w:t>
            </w:r>
          </w:p>
        </w:tc>
        <w:tc>
          <w:tcPr>
            <w:tcW w:w="504" w:type="dxa"/>
          </w:tcPr>
          <w:p w:rsidR="00824C36" w:rsidRDefault="00B97963">
            <w:pPr>
              <w:ind w:right="-29"/>
              <w:jc w:val="center"/>
              <w:rPr>
                <w:noProof/>
                <w:sz w:val="18"/>
                <w:szCs w:val="18"/>
              </w:rPr>
            </w:pPr>
            <w:r>
              <w:rPr>
                <w:noProof/>
                <w:sz w:val="18"/>
              </w:rPr>
              <w:t>40</w:t>
            </w:r>
          </w:p>
        </w:tc>
        <w:tc>
          <w:tcPr>
            <w:tcW w:w="720" w:type="dxa"/>
          </w:tcPr>
          <w:p w:rsidR="00824C36" w:rsidRDefault="00B97963">
            <w:pPr>
              <w:ind w:right="-29"/>
              <w:jc w:val="center"/>
              <w:rPr>
                <w:noProof/>
                <w:sz w:val="18"/>
                <w:szCs w:val="18"/>
              </w:rPr>
            </w:pPr>
            <w:r>
              <w:rPr>
                <w:noProof/>
                <w:sz w:val="18"/>
              </w:rPr>
              <w:t>5,2</w:t>
            </w:r>
          </w:p>
        </w:tc>
        <w:tc>
          <w:tcPr>
            <w:tcW w:w="540" w:type="dxa"/>
          </w:tcPr>
          <w:p w:rsidR="00824C36" w:rsidRDefault="00B97963">
            <w:pPr>
              <w:ind w:right="-29"/>
              <w:jc w:val="center"/>
              <w:rPr>
                <w:noProof/>
                <w:sz w:val="18"/>
                <w:szCs w:val="18"/>
              </w:rPr>
            </w:pPr>
            <w:r>
              <w:rPr>
                <w:noProof/>
                <w:sz w:val="18"/>
              </w:rPr>
              <w:t>40</w:t>
            </w:r>
          </w:p>
        </w:tc>
        <w:tc>
          <w:tcPr>
            <w:tcW w:w="720" w:type="dxa"/>
          </w:tcPr>
          <w:p w:rsidR="00824C36" w:rsidRDefault="00B97963">
            <w:pPr>
              <w:ind w:right="-29"/>
              <w:rPr>
                <w:noProof/>
                <w:sz w:val="18"/>
                <w:szCs w:val="18"/>
              </w:rPr>
            </w:pPr>
            <w:r>
              <w:rPr>
                <w:noProof/>
                <w:sz w:val="18"/>
              </w:rPr>
              <w:t>5,2</w:t>
            </w:r>
          </w:p>
        </w:tc>
        <w:tc>
          <w:tcPr>
            <w:tcW w:w="720" w:type="dxa"/>
          </w:tcPr>
          <w:p w:rsidR="00824C36" w:rsidRDefault="00B97963">
            <w:pPr>
              <w:ind w:right="-29"/>
              <w:jc w:val="center"/>
              <w:rPr>
                <w:noProof/>
                <w:sz w:val="18"/>
                <w:szCs w:val="18"/>
              </w:rPr>
            </w:pPr>
            <w:r>
              <w:rPr>
                <w:noProof/>
                <w:sz w:val="18"/>
              </w:rPr>
              <w:t>40</w:t>
            </w:r>
          </w:p>
        </w:tc>
        <w:tc>
          <w:tcPr>
            <w:tcW w:w="720" w:type="dxa"/>
          </w:tcPr>
          <w:p w:rsidR="00824C36" w:rsidRDefault="00B97963">
            <w:pPr>
              <w:ind w:right="-29"/>
              <w:jc w:val="center"/>
              <w:rPr>
                <w:noProof/>
                <w:sz w:val="18"/>
                <w:szCs w:val="18"/>
              </w:rPr>
            </w:pPr>
            <w:r>
              <w:rPr>
                <w:noProof/>
                <w:sz w:val="18"/>
              </w:rPr>
              <w:t>5,2</w:t>
            </w:r>
          </w:p>
        </w:tc>
        <w:tc>
          <w:tcPr>
            <w:tcW w:w="900" w:type="dxa"/>
          </w:tcPr>
          <w:p w:rsidR="00824C36" w:rsidRDefault="00B97963">
            <w:pPr>
              <w:ind w:right="-29"/>
              <w:jc w:val="center"/>
              <w:rPr>
                <w:noProof/>
                <w:sz w:val="18"/>
                <w:szCs w:val="18"/>
              </w:rPr>
            </w:pPr>
            <w:r>
              <w:rPr>
                <w:noProof/>
                <w:sz w:val="18"/>
              </w:rPr>
              <w:t>120</w:t>
            </w:r>
          </w:p>
        </w:tc>
        <w:tc>
          <w:tcPr>
            <w:tcW w:w="720" w:type="dxa"/>
            <w:gridSpan w:val="2"/>
          </w:tcPr>
          <w:p w:rsidR="00824C36" w:rsidRDefault="00B97963">
            <w:pPr>
              <w:ind w:right="-29"/>
              <w:jc w:val="center"/>
              <w:rPr>
                <w:noProof/>
                <w:sz w:val="18"/>
                <w:szCs w:val="18"/>
              </w:rPr>
            </w:pPr>
            <w:r>
              <w:rPr>
                <w:noProof/>
                <w:sz w:val="18"/>
              </w:rPr>
              <w:t>15,6</w:t>
            </w:r>
          </w:p>
        </w:tc>
      </w:tr>
      <w:tr w:rsidR="00824C36">
        <w:trPr>
          <w:gridAfter w:val="10"/>
          <w:wAfter w:w="4714" w:type="dxa"/>
          <w:jc w:val="center"/>
        </w:trPr>
        <w:tc>
          <w:tcPr>
            <w:tcW w:w="2947" w:type="dxa"/>
            <w:gridSpan w:val="4"/>
            <w:tcBorders>
              <w:bottom w:val="single" w:sz="12" w:space="0" w:color="auto"/>
            </w:tcBorders>
            <w:vAlign w:val="center"/>
          </w:tcPr>
          <w:p w:rsidR="00824C36" w:rsidRDefault="00B97963">
            <w:pPr>
              <w:jc w:val="center"/>
              <w:rPr>
                <w:noProof/>
                <w:sz w:val="18"/>
                <w:szCs w:val="18"/>
              </w:rPr>
            </w:pPr>
            <w:r>
              <w:rPr>
                <w:noProof/>
                <w:sz w:val="18"/>
              </w:rPr>
              <w:t>Sous-total pour l’objectif spécifique n° 3</w:t>
            </w:r>
          </w:p>
        </w:tc>
        <w:tc>
          <w:tcPr>
            <w:tcW w:w="504" w:type="dxa"/>
            <w:tcBorders>
              <w:bottom w:val="single" w:sz="12" w:space="0" w:color="auto"/>
            </w:tcBorders>
          </w:tcPr>
          <w:p w:rsidR="00824C36" w:rsidRDefault="00B97963">
            <w:pPr>
              <w:ind w:right="-29"/>
              <w:jc w:val="center"/>
              <w:rPr>
                <w:noProof/>
                <w:sz w:val="18"/>
                <w:szCs w:val="18"/>
              </w:rPr>
            </w:pPr>
            <w:r>
              <w:rPr>
                <w:noProof/>
                <w:sz w:val="18"/>
              </w:rPr>
              <w:t>320</w:t>
            </w:r>
          </w:p>
        </w:tc>
        <w:tc>
          <w:tcPr>
            <w:tcW w:w="720" w:type="dxa"/>
            <w:tcBorders>
              <w:bottom w:val="single" w:sz="12" w:space="0" w:color="auto"/>
            </w:tcBorders>
          </w:tcPr>
          <w:p w:rsidR="00824C36" w:rsidRDefault="00B97963">
            <w:pPr>
              <w:ind w:right="-29"/>
              <w:jc w:val="center"/>
              <w:rPr>
                <w:noProof/>
                <w:sz w:val="18"/>
                <w:szCs w:val="18"/>
              </w:rPr>
            </w:pPr>
            <w:r>
              <w:rPr>
                <w:noProof/>
                <w:sz w:val="18"/>
              </w:rPr>
              <w:t>14,2</w:t>
            </w:r>
          </w:p>
        </w:tc>
        <w:tc>
          <w:tcPr>
            <w:tcW w:w="540" w:type="dxa"/>
            <w:tcBorders>
              <w:bottom w:val="single" w:sz="12" w:space="0" w:color="auto"/>
            </w:tcBorders>
          </w:tcPr>
          <w:p w:rsidR="00824C36" w:rsidRDefault="00B97963">
            <w:pPr>
              <w:ind w:right="-29"/>
              <w:jc w:val="center"/>
              <w:rPr>
                <w:noProof/>
                <w:sz w:val="18"/>
                <w:szCs w:val="18"/>
              </w:rPr>
            </w:pPr>
            <w:r>
              <w:rPr>
                <w:noProof/>
                <w:sz w:val="18"/>
              </w:rPr>
              <w:t>320</w:t>
            </w:r>
          </w:p>
        </w:tc>
        <w:tc>
          <w:tcPr>
            <w:tcW w:w="720" w:type="dxa"/>
            <w:tcBorders>
              <w:bottom w:val="single" w:sz="12" w:space="0" w:color="auto"/>
            </w:tcBorders>
          </w:tcPr>
          <w:p w:rsidR="00824C36" w:rsidRDefault="00B97963">
            <w:pPr>
              <w:ind w:right="-29"/>
              <w:jc w:val="center"/>
              <w:rPr>
                <w:noProof/>
                <w:sz w:val="18"/>
                <w:szCs w:val="18"/>
              </w:rPr>
            </w:pPr>
            <w:r>
              <w:rPr>
                <w:noProof/>
                <w:sz w:val="18"/>
              </w:rPr>
              <w:t>14,2</w:t>
            </w:r>
          </w:p>
        </w:tc>
        <w:tc>
          <w:tcPr>
            <w:tcW w:w="720" w:type="dxa"/>
            <w:tcBorders>
              <w:bottom w:val="single" w:sz="12" w:space="0" w:color="auto"/>
            </w:tcBorders>
          </w:tcPr>
          <w:p w:rsidR="00824C36" w:rsidRDefault="00B97963">
            <w:pPr>
              <w:ind w:right="-29"/>
              <w:jc w:val="center"/>
              <w:rPr>
                <w:noProof/>
                <w:sz w:val="18"/>
                <w:szCs w:val="18"/>
              </w:rPr>
            </w:pPr>
            <w:r>
              <w:rPr>
                <w:noProof/>
                <w:sz w:val="18"/>
              </w:rPr>
              <w:t>320</w:t>
            </w:r>
          </w:p>
        </w:tc>
        <w:tc>
          <w:tcPr>
            <w:tcW w:w="720" w:type="dxa"/>
            <w:tcBorders>
              <w:bottom w:val="single" w:sz="12" w:space="0" w:color="auto"/>
            </w:tcBorders>
          </w:tcPr>
          <w:p w:rsidR="00824C36" w:rsidRDefault="00B97963">
            <w:pPr>
              <w:ind w:right="-29"/>
              <w:jc w:val="center"/>
              <w:rPr>
                <w:noProof/>
                <w:sz w:val="18"/>
                <w:szCs w:val="18"/>
              </w:rPr>
            </w:pPr>
            <w:r>
              <w:rPr>
                <w:noProof/>
                <w:sz w:val="18"/>
              </w:rPr>
              <w:t>14,2</w:t>
            </w:r>
          </w:p>
        </w:tc>
        <w:tc>
          <w:tcPr>
            <w:tcW w:w="938" w:type="dxa"/>
            <w:gridSpan w:val="2"/>
            <w:tcBorders>
              <w:bottom w:val="single" w:sz="12" w:space="0" w:color="auto"/>
            </w:tcBorders>
          </w:tcPr>
          <w:p w:rsidR="00824C36" w:rsidRDefault="00B97963">
            <w:pPr>
              <w:ind w:right="-29"/>
              <w:jc w:val="center"/>
              <w:rPr>
                <w:noProof/>
                <w:sz w:val="18"/>
                <w:szCs w:val="18"/>
              </w:rPr>
            </w:pPr>
            <w:r>
              <w:rPr>
                <w:noProof/>
                <w:sz w:val="18"/>
              </w:rPr>
              <w:t>960</w:t>
            </w:r>
          </w:p>
        </w:tc>
        <w:tc>
          <w:tcPr>
            <w:tcW w:w="682" w:type="dxa"/>
            <w:tcBorders>
              <w:bottom w:val="single" w:sz="12" w:space="0" w:color="auto"/>
            </w:tcBorders>
          </w:tcPr>
          <w:p w:rsidR="00824C36" w:rsidRDefault="00B97963">
            <w:pPr>
              <w:ind w:right="-29"/>
              <w:jc w:val="center"/>
              <w:rPr>
                <w:noProof/>
                <w:sz w:val="18"/>
                <w:szCs w:val="18"/>
              </w:rPr>
            </w:pPr>
            <w:r>
              <w:rPr>
                <w:noProof/>
                <w:sz w:val="18"/>
              </w:rPr>
              <w:t>42,6</w:t>
            </w:r>
          </w:p>
        </w:tc>
      </w:tr>
      <w:tr w:rsidR="00824C36">
        <w:trPr>
          <w:gridAfter w:val="10"/>
          <w:wAfter w:w="4714" w:type="dxa"/>
          <w:jc w:val="center"/>
        </w:trPr>
        <w:tc>
          <w:tcPr>
            <w:tcW w:w="2947" w:type="dxa"/>
            <w:gridSpan w:val="4"/>
            <w:tcBorders>
              <w:top w:val="single" w:sz="12" w:space="0" w:color="auto"/>
              <w:left w:val="single" w:sz="12" w:space="0" w:color="auto"/>
              <w:bottom w:val="single" w:sz="12" w:space="0" w:color="auto"/>
            </w:tcBorders>
            <w:vAlign w:val="center"/>
          </w:tcPr>
          <w:p w:rsidR="00824C36" w:rsidRDefault="00B97963">
            <w:pPr>
              <w:ind w:right="-29"/>
              <w:jc w:val="center"/>
              <w:rPr>
                <w:noProof/>
                <w:sz w:val="18"/>
                <w:szCs w:val="18"/>
              </w:rPr>
            </w:pPr>
            <w:r>
              <w:rPr>
                <w:b/>
                <w:noProof/>
                <w:sz w:val="18"/>
              </w:rPr>
              <w:t>COÛT TOTAL</w:t>
            </w:r>
          </w:p>
        </w:tc>
        <w:tc>
          <w:tcPr>
            <w:tcW w:w="504" w:type="dxa"/>
            <w:tcBorders>
              <w:top w:val="single" w:sz="12" w:space="0" w:color="auto"/>
              <w:bottom w:val="single" w:sz="12" w:space="0" w:color="auto"/>
            </w:tcBorders>
          </w:tcPr>
          <w:p w:rsidR="00824C36" w:rsidRDefault="00B97963">
            <w:pPr>
              <w:spacing w:before="180" w:after="180"/>
              <w:ind w:right="-29"/>
              <w:jc w:val="center"/>
              <w:rPr>
                <w:noProof/>
                <w:sz w:val="18"/>
                <w:szCs w:val="18"/>
              </w:rPr>
            </w:pPr>
            <w:r>
              <w:rPr>
                <w:noProof/>
                <w:sz w:val="18"/>
              </w:rPr>
              <w:t>449</w:t>
            </w:r>
          </w:p>
        </w:tc>
        <w:tc>
          <w:tcPr>
            <w:tcW w:w="720" w:type="dxa"/>
            <w:tcBorders>
              <w:top w:val="single" w:sz="12" w:space="0" w:color="auto"/>
              <w:bottom w:val="single" w:sz="12" w:space="0" w:color="auto"/>
            </w:tcBorders>
          </w:tcPr>
          <w:p w:rsidR="00824C36" w:rsidRDefault="00B97963">
            <w:pPr>
              <w:spacing w:before="180" w:after="180"/>
              <w:ind w:right="-29"/>
              <w:jc w:val="center"/>
              <w:rPr>
                <w:noProof/>
                <w:sz w:val="18"/>
                <w:szCs w:val="18"/>
              </w:rPr>
            </w:pPr>
            <w:r>
              <w:rPr>
                <w:noProof/>
                <w:sz w:val="18"/>
              </w:rPr>
              <w:t>32,2</w:t>
            </w:r>
          </w:p>
        </w:tc>
        <w:tc>
          <w:tcPr>
            <w:tcW w:w="540" w:type="dxa"/>
            <w:tcBorders>
              <w:top w:val="single" w:sz="12" w:space="0" w:color="auto"/>
              <w:bottom w:val="single" w:sz="12" w:space="0" w:color="auto"/>
            </w:tcBorders>
          </w:tcPr>
          <w:p w:rsidR="00824C36" w:rsidRDefault="00B97963">
            <w:pPr>
              <w:spacing w:before="180" w:after="180"/>
              <w:ind w:right="-29"/>
              <w:jc w:val="center"/>
              <w:rPr>
                <w:noProof/>
                <w:sz w:val="18"/>
                <w:szCs w:val="18"/>
              </w:rPr>
            </w:pPr>
            <w:r>
              <w:rPr>
                <w:noProof/>
                <w:sz w:val="18"/>
              </w:rPr>
              <w:t>455</w:t>
            </w:r>
          </w:p>
        </w:tc>
        <w:tc>
          <w:tcPr>
            <w:tcW w:w="720" w:type="dxa"/>
            <w:tcBorders>
              <w:top w:val="single" w:sz="12" w:space="0" w:color="auto"/>
              <w:bottom w:val="single" w:sz="12" w:space="0" w:color="auto"/>
            </w:tcBorders>
          </w:tcPr>
          <w:p w:rsidR="00824C36" w:rsidRDefault="00B97963">
            <w:pPr>
              <w:spacing w:before="180" w:after="180"/>
              <w:ind w:right="-29"/>
              <w:jc w:val="center"/>
              <w:rPr>
                <w:noProof/>
                <w:sz w:val="18"/>
                <w:szCs w:val="18"/>
              </w:rPr>
            </w:pPr>
            <w:r>
              <w:rPr>
                <w:noProof/>
                <w:sz w:val="18"/>
              </w:rPr>
              <w:t>38,2</w:t>
            </w:r>
          </w:p>
        </w:tc>
        <w:tc>
          <w:tcPr>
            <w:tcW w:w="720" w:type="dxa"/>
            <w:tcBorders>
              <w:top w:val="single" w:sz="12" w:space="0" w:color="auto"/>
              <w:bottom w:val="single" w:sz="12" w:space="0" w:color="auto"/>
            </w:tcBorders>
          </w:tcPr>
          <w:p w:rsidR="00824C36" w:rsidRDefault="00B97963">
            <w:pPr>
              <w:spacing w:before="180" w:after="180"/>
              <w:ind w:right="-29"/>
              <w:jc w:val="center"/>
              <w:rPr>
                <w:noProof/>
                <w:sz w:val="18"/>
                <w:szCs w:val="18"/>
              </w:rPr>
            </w:pPr>
            <w:r>
              <w:rPr>
                <w:noProof/>
                <w:sz w:val="18"/>
              </w:rPr>
              <w:t>462</w:t>
            </w:r>
          </w:p>
        </w:tc>
        <w:tc>
          <w:tcPr>
            <w:tcW w:w="720" w:type="dxa"/>
            <w:tcBorders>
              <w:top w:val="single" w:sz="12" w:space="0" w:color="auto"/>
              <w:bottom w:val="single" w:sz="12" w:space="0" w:color="auto"/>
            </w:tcBorders>
          </w:tcPr>
          <w:p w:rsidR="00824C36" w:rsidRDefault="00B97963">
            <w:pPr>
              <w:spacing w:before="180" w:after="180"/>
              <w:ind w:right="-29"/>
              <w:jc w:val="center"/>
              <w:rPr>
                <w:noProof/>
                <w:sz w:val="18"/>
                <w:szCs w:val="18"/>
              </w:rPr>
            </w:pPr>
            <w:r>
              <w:rPr>
                <w:noProof/>
                <w:sz w:val="18"/>
              </w:rPr>
              <w:t>45,2</w:t>
            </w:r>
          </w:p>
        </w:tc>
        <w:tc>
          <w:tcPr>
            <w:tcW w:w="900" w:type="dxa"/>
            <w:tcBorders>
              <w:top w:val="single" w:sz="12" w:space="0" w:color="auto"/>
              <w:bottom w:val="single" w:sz="12" w:space="0" w:color="auto"/>
            </w:tcBorders>
          </w:tcPr>
          <w:p w:rsidR="00824C36" w:rsidRDefault="00B97963">
            <w:pPr>
              <w:spacing w:before="180" w:after="180"/>
              <w:ind w:right="-29"/>
              <w:jc w:val="center"/>
              <w:rPr>
                <w:noProof/>
                <w:sz w:val="18"/>
                <w:szCs w:val="18"/>
              </w:rPr>
            </w:pPr>
            <w:r>
              <w:rPr>
                <w:noProof/>
                <w:sz w:val="18"/>
              </w:rPr>
              <w:t>1 366</w:t>
            </w:r>
          </w:p>
        </w:tc>
        <w:tc>
          <w:tcPr>
            <w:tcW w:w="720" w:type="dxa"/>
            <w:gridSpan w:val="2"/>
            <w:tcBorders>
              <w:top w:val="single" w:sz="12" w:space="0" w:color="auto"/>
              <w:bottom w:val="single" w:sz="12" w:space="0" w:color="auto"/>
            </w:tcBorders>
          </w:tcPr>
          <w:p w:rsidR="00824C36" w:rsidRDefault="00B97963">
            <w:pPr>
              <w:spacing w:before="180" w:after="180"/>
              <w:ind w:right="-29"/>
              <w:jc w:val="center"/>
              <w:rPr>
                <w:noProof/>
                <w:sz w:val="18"/>
                <w:szCs w:val="18"/>
              </w:rPr>
            </w:pPr>
            <w:r>
              <w:rPr>
                <w:noProof/>
                <w:sz w:val="18"/>
              </w:rPr>
              <w:t>115,6</w:t>
            </w:r>
          </w:p>
        </w:tc>
      </w:tr>
      <w:tr w:rsidR="00824C36">
        <w:trPr>
          <w:gridAfter w:val="8"/>
          <w:wAfter w:w="4673" w:type="dxa"/>
          <w:jc w:val="center"/>
        </w:trPr>
        <w:tc>
          <w:tcPr>
            <w:tcW w:w="8532" w:type="dxa"/>
            <w:gridSpan w:val="15"/>
            <w:vAlign w:val="center"/>
          </w:tcPr>
          <w:p w:rsidR="00824C36" w:rsidRDefault="00824C36">
            <w:pPr>
              <w:spacing w:before="60" w:after="60"/>
              <w:ind w:right="-29"/>
              <w:rPr>
                <w:noProof/>
                <w:sz w:val="18"/>
                <w:szCs w:val="18"/>
              </w:rPr>
            </w:pPr>
          </w:p>
        </w:tc>
      </w:tr>
    </w:tbl>
    <w:p w:rsidR="00824C36" w:rsidRDefault="00824C36">
      <w:pPr>
        <w:rPr>
          <w:noProof/>
        </w:rPr>
        <w:sectPr w:rsidR="00824C36" w:rsidSect="00B97963">
          <w:pgSz w:w="16840" w:h="11907" w:orient="landscape" w:code="9"/>
          <w:pgMar w:top="1134" w:right="1418" w:bottom="567" w:left="1418" w:header="709" w:footer="709" w:gutter="0"/>
          <w:cols w:space="708"/>
          <w:docGrid w:linePitch="360"/>
        </w:sectPr>
      </w:pPr>
    </w:p>
    <w:p w:rsidR="00824C36" w:rsidRDefault="00B97963">
      <w:pPr>
        <w:pStyle w:val="ManualNumPar3"/>
        <w:rPr>
          <w:noProof/>
        </w:rPr>
      </w:pPr>
      <w:r>
        <w:t>3.2.3.</w:t>
      </w:r>
      <w:r>
        <w:tab/>
      </w:r>
      <w:r>
        <w:rPr>
          <w:noProof/>
        </w:rPr>
        <w:t>Incidence estimée sur les crédits de nature administrative</w:t>
      </w:r>
    </w:p>
    <w:p w:rsidR="00824C36" w:rsidRDefault="00B97963">
      <w:pPr>
        <w:pStyle w:val="ManualNumPar4"/>
        <w:rPr>
          <w:noProof/>
        </w:rPr>
      </w:pPr>
      <w:r>
        <w:t>3.2.3.1.</w:t>
      </w:r>
      <w:r>
        <w:tab/>
      </w:r>
      <w:r>
        <w:rPr>
          <w:noProof/>
        </w:rPr>
        <w:t xml:space="preserve">Synthèse </w:t>
      </w:r>
    </w:p>
    <w:p w:rsidR="00824C36" w:rsidRDefault="00B97963">
      <w:pPr>
        <w:tabs>
          <w:tab w:val="num" w:pos="1134"/>
        </w:tabs>
        <w:ind w:left="1134" w:hanging="283"/>
        <w:rPr>
          <w:rFonts w:eastAsia="Times New Roman"/>
          <w:noProof/>
        </w:rPr>
      </w:pPr>
      <w:r>
        <w:rPr>
          <w:rFonts w:eastAsia="Times New Roman"/>
          <w:noProof/>
        </w:rPr>
        <w:sym w:font="Wingdings" w:char="F0A8"/>
      </w:r>
      <w:r>
        <w:rPr>
          <w:noProof/>
        </w:rPr>
        <w:tab/>
        <w:t xml:space="preserve">La proposition/l’initiative n’engendre pas l’utilisation de crédits de nature administrative </w:t>
      </w:r>
    </w:p>
    <w:p w:rsidR="00824C36" w:rsidRDefault="00B97963">
      <w:pPr>
        <w:tabs>
          <w:tab w:val="num" w:pos="1134"/>
        </w:tabs>
        <w:ind w:left="1134" w:hanging="283"/>
        <w:rPr>
          <w:rFonts w:eastAsia="Times New Roman"/>
          <w:noProof/>
        </w:rPr>
      </w:pPr>
      <w:r>
        <w:rPr>
          <w:noProof/>
        </w:rPr>
        <w:t>X</w:t>
      </w:r>
      <w:r>
        <w:rPr>
          <w:noProof/>
        </w:rPr>
        <w:tab/>
        <w:t xml:space="preserve">La </w:t>
      </w:r>
      <w:r>
        <w:rPr>
          <w:noProof/>
        </w:rPr>
        <w:t>proposition/l'initiative engendre l'utilisation de crédits de nature administrative, comme expliqué ci-après:</w:t>
      </w:r>
    </w:p>
    <w:p w:rsidR="00824C36" w:rsidRDefault="00B97963">
      <w:pPr>
        <w:rPr>
          <w:noProof/>
          <w:sz w:val="20"/>
        </w:rPr>
      </w:pPr>
      <w:r>
        <w:rPr>
          <w:noProof/>
          <w:sz w:val="20"/>
        </w:rPr>
        <w:t>En Mio EUR (à la 3</w:t>
      </w:r>
      <w:r>
        <w:rPr>
          <w:noProof/>
          <w:sz w:val="20"/>
          <w:vertAlign w:val="superscript"/>
        </w:rPr>
        <w:t>e</w:t>
      </w:r>
      <w:r>
        <w:rPr>
          <w:noProof/>
          <w:sz w:val="20"/>
        </w:rPr>
        <w:t> décimale)</w:t>
      </w:r>
    </w:p>
    <w:tbl>
      <w:tblPr>
        <w:tblW w:w="63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rsidR="00824C36">
        <w:trPr>
          <w:trHeight w:val="585"/>
        </w:trPr>
        <w:tc>
          <w:tcPr>
            <w:tcW w:w="1980" w:type="dxa"/>
          </w:tcPr>
          <w:p w:rsidR="00824C36" w:rsidRDefault="00824C36">
            <w:pPr>
              <w:spacing w:before="60" w:after="60" w:line="200" w:lineRule="exact"/>
              <w:rPr>
                <w:noProof/>
                <w:sz w:val="16"/>
                <w:szCs w:val="16"/>
              </w:rPr>
            </w:pPr>
          </w:p>
        </w:tc>
        <w:tc>
          <w:tcPr>
            <w:tcW w:w="1080" w:type="dxa"/>
            <w:vAlign w:val="center"/>
          </w:tcPr>
          <w:p w:rsidR="00824C36" w:rsidRDefault="00B97963">
            <w:pPr>
              <w:spacing w:before="60" w:after="60" w:line="200" w:lineRule="exact"/>
              <w:jc w:val="center"/>
              <w:rPr>
                <w:noProof/>
                <w:sz w:val="16"/>
                <w:szCs w:val="16"/>
              </w:rPr>
            </w:pPr>
            <w:r>
              <w:rPr>
                <w:noProof/>
                <w:sz w:val="16"/>
              </w:rPr>
              <w:t>2018</w:t>
            </w:r>
          </w:p>
        </w:tc>
        <w:tc>
          <w:tcPr>
            <w:tcW w:w="1080" w:type="dxa"/>
            <w:vAlign w:val="center"/>
          </w:tcPr>
          <w:p w:rsidR="00824C36" w:rsidRDefault="00B97963">
            <w:pPr>
              <w:spacing w:before="60" w:after="60" w:line="200" w:lineRule="exact"/>
              <w:jc w:val="center"/>
              <w:rPr>
                <w:noProof/>
                <w:sz w:val="16"/>
                <w:szCs w:val="16"/>
              </w:rPr>
            </w:pPr>
            <w:r>
              <w:rPr>
                <w:noProof/>
                <w:sz w:val="16"/>
              </w:rPr>
              <w:t>2019</w:t>
            </w:r>
          </w:p>
        </w:tc>
        <w:tc>
          <w:tcPr>
            <w:tcW w:w="1080" w:type="dxa"/>
            <w:vAlign w:val="center"/>
          </w:tcPr>
          <w:p w:rsidR="00824C36" w:rsidRDefault="00B97963">
            <w:pPr>
              <w:spacing w:before="60" w:after="60" w:line="200" w:lineRule="exact"/>
              <w:jc w:val="center"/>
              <w:rPr>
                <w:noProof/>
                <w:sz w:val="16"/>
                <w:szCs w:val="16"/>
              </w:rPr>
            </w:pPr>
            <w:r>
              <w:rPr>
                <w:noProof/>
                <w:sz w:val="16"/>
              </w:rPr>
              <w:t>2020</w:t>
            </w:r>
          </w:p>
        </w:tc>
        <w:tc>
          <w:tcPr>
            <w:tcW w:w="1080" w:type="dxa"/>
            <w:vAlign w:val="center"/>
          </w:tcPr>
          <w:p w:rsidR="00824C36" w:rsidRDefault="00B97963">
            <w:pPr>
              <w:spacing w:before="60" w:after="60" w:line="200" w:lineRule="exact"/>
              <w:jc w:val="center"/>
              <w:rPr>
                <w:noProof/>
                <w:sz w:val="16"/>
                <w:szCs w:val="16"/>
              </w:rPr>
            </w:pPr>
            <w:r>
              <w:rPr>
                <w:b/>
                <w:noProof/>
                <w:sz w:val="16"/>
              </w:rPr>
              <w:t>TOTAL</w:t>
            </w:r>
          </w:p>
        </w:tc>
      </w:tr>
    </w:tbl>
    <w:p w:rsidR="00824C36" w:rsidRDefault="00824C36">
      <w:pPr>
        <w:spacing w:line="200" w:lineRule="exact"/>
        <w:rPr>
          <w:noProof/>
          <w:sz w:val="16"/>
          <w:szCs w:val="16"/>
        </w:rPr>
      </w:pPr>
    </w:p>
    <w:tbl>
      <w:tblPr>
        <w:tblW w:w="63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rsidR="00824C36">
        <w:trPr>
          <w:trHeight w:val="585"/>
        </w:trPr>
        <w:tc>
          <w:tcPr>
            <w:tcW w:w="1980" w:type="dxa"/>
            <w:shd w:val="clear" w:color="auto" w:fill="CCCCCC"/>
            <w:vAlign w:val="center"/>
          </w:tcPr>
          <w:p w:rsidR="00824C36" w:rsidRDefault="00B97963">
            <w:pPr>
              <w:spacing w:before="60" w:after="60" w:line="200" w:lineRule="exact"/>
              <w:jc w:val="center"/>
              <w:rPr>
                <w:b/>
                <w:noProof/>
                <w:sz w:val="16"/>
                <w:szCs w:val="16"/>
              </w:rPr>
            </w:pPr>
            <w:r>
              <w:rPr>
                <w:b/>
                <w:noProof/>
                <w:sz w:val="16"/>
              </w:rPr>
              <w:t>RUBRIQUE 5</w:t>
            </w:r>
            <w:r>
              <w:rPr>
                <w:noProof/>
                <w:sz w:val="22"/>
              </w:rPr>
              <w:br/>
            </w:r>
            <w:r>
              <w:rPr>
                <w:b/>
                <w:noProof/>
                <w:sz w:val="16"/>
              </w:rPr>
              <w:t>du cadre financier pluriannuel</w:t>
            </w:r>
          </w:p>
        </w:tc>
        <w:tc>
          <w:tcPr>
            <w:tcW w:w="1080" w:type="dxa"/>
            <w:vAlign w:val="center"/>
          </w:tcPr>
          <w:p w:rsidR="00824C36" w:rsidRDefault="00824C36">
            <w:pPr>
              <w:spacing w:before="60" w:after="60" w:line="200" w:lineRule="exact"/>
              <w:jc w:val="right"/>
              <w:rPr>
                <w:noProof/>
                <w:sz w:val="16"/>
                <w:szCs w:val="16"/>
              </w:rPr>
            </w:pPr>
          </w:p>
        </w:tc>
        <w:tc>
          <w:tcPr>
            <w:tcW w:w="1080" w:type="dxa"/>
            <w:vAlign w:val="center"/>
          </w:tcPr>
          <w:p w:rsidR="00824C36" w:rsidRDefault="00824C36">
            <w:pPr>
              <w:spacing w:before="60" w:after="60" w:line="200" w:lineRule="exact"/>
              <w:jc w:val="right"/>
              <w:rPr>
                <w:noProof/>
                <w:sz w:val="16"/>
                <w:szCs w:val="16"/>
              </w:rPr>
            </w:pPr>
          </w:p>
        </w:tc>
        <w:tc>
          <w:tcPr>
            <w:tcW w:w="1080" w:type="dxa"/>
            <w:vAlign w:val="center"/>
          </w:tcPr>
          <w:p w:rsidR="00824C36" w:rsidRDefault="00824C36">
            <w:pPr>
              <w:spacing w:before="60" w:after="60" w:line="200" w:lineRule="exact"/>
              <w:jc w:val="right"/>
              <w:rPr>
                <w:noProof/>
                <w:sz w:val="16"/>
                <w:szCs w:val="16"/>
              </w:rPr>
            </w:pPr>
          </w:p>
        </w:tc>
        <w:tc>
          <w:tcPr>
            <w:tcW w:w="1080" w:type="dxa"/>
            <w:vAlign w:val="center"/>
          </w:tcPr>
          <w:p w:rsidR="00824C36" w:rsidRDefault="00824C36">
            <w:pPr>
              <w:spacing w:before="60" w:after="60" w:line="200" w:lineRule="exact"/>
              <w:jc w:val="right"/>
              <w:rPr>
                <w:noProof/>
                <w:sz w:val="16"/>
                <w:szCs w:val="16"/>
              </w:rPr>
            </w:pPr>
          </w:p>
        </w:tc>
      </w:tr>
      <w:tr w:rsidR="00824C36">
        <w:trPr>
          <w:trHeight w:val="585"/>
        </w:trPr>
        <w:tc>
          <w:tcPr>
            <w:tcW w:w="1980" w:type="dxa"/>
            <w:vAlign w:val="center"/>
          </w:tcPr>
          <w:p w:rsidR="00824C36" w:rsidRDefault="00B97963">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824C36" w:rsidRDefault="00B97963">
            <w:pPr>
              <w:spacing w:before="20" w:after="20"/>
              <w:jc w:val="center"/>
              <w:rPr>
                <w:noProof/>
                <w:sz w:val="20"/>
              </w:rPr>
            </w:pPr>
            <w:r>
              <w:rPr>
                <w:noProof/>
                <w:sz w:val="20"/>
              </w:rPr>
              <w:t>1,682</w:t>
            </w:r>
          </w:p>
        </w:tc>
        <w:tc>
          <w:tcPr>
            <w:tcW w:w="1080" w:type="dxa"/>
            <w:vAlign w:val="center"/>
          </w:tcPr>
          <w:p w:rsidR="00824C36" w:rsidRDefault="00B97963">
            <w:pPr>
              <w:spacing w:before="20" w:after="20"/>
              <w:jc w:val="center"/>
              <w:rPr>
                <w:noProof/>
                <w:sz w:val="20"/>
              </w:rPr>
            </w:pPr>
            <w:r>
              <w:rPr>
                <w:noProof/>
                <w:sz w:val="20"/>
              </w:rPr>
              <w:t>5,034</w:t>
            </w:r>
          </w:p>
        </w:tc>
        <w:tc>
          <w:tcPr>
            <w:tcW w:w="1080" w:type="dxa"/>
            <w:vAlign w:val="center"/>
          </w:tcPr>
          <w:p w:rsidR="00824C36" w:rsidRDefault="00B97963">
            <w:pPr>
              <w:spacing w:before="20" w:after="20"/>
              <w:jc w:val="center"/>
              <w:rPr>
                <w:noProof/>
                <w:sz w:val="20"/>
              </w:rPr>
            </w:pPr>
            <w:r>
              <w:rPr>
                <w:noProof/>
                <w:sz w:val="20"/>
              </w:rPr>
              <w:t>9,436</w:t>
            </w:r>
          </w:p>
        </w:tc>
        <w:tc>
          <w:tcPr>
            <w:tcW w:w="1080" w:type="dxa"/>
            <w:vAlign w:val="center"/>
          </w:tcPr>
          <w:p w:rsidR="00824C36" w:rsidRDefault="00B97963">
            <w:pPr>
              <w:spacing w:before="20" w:after="20"/>
              <w:jc w:val="center"/>
              <w:rPr>
                <w:b/>
                <w:noProof/>
                <w:sz w:val="20"/>
              </w:rPr>
            </w:pPr>
            <w:r>
              <w:rPr>
                <w:b/>
                <w:noProof/>
                <w:sz w:val="20"/>
              </w:rPr>
              <w:t>16,152</w:t>
            </w:r>
          </w:p>
        </w:tc>
      </w:tr>
      <w:tr w:rsidR="00824C36">
        <w:trPr>
          <w:trHeight w:val="585"/>
        </w:trPr>
        <w:tc>
          <w:tcPr>
            <w:tcW w:w="1980" w:type="dxa"/>
            <w:vAlign w:val="center"/>
          </w:tcPr>
          <w:p w:rsidR="00824C36" w:rsidRDefault="00B97963">
            <w:pPr>
              <w:spacing w:before="60" w:after="60" w:line="200" w:lineRule="exact"/>
              <w:ind w:left="72"/>
              <w:jc w:val="left"/>
              <w:rPr>
                <w:noProof/>
                <w:sz w:val="16"/>
                <w:szCs w:val="16"/>
              </w:rPr>
            </w:pPr>
            <w:r>
              <w:rPr>
                <w:noProof/>
                <w:sz w:val="16"/>
              </w:rPr>
              <w:t xml:space="preserve">Autres dépenses de nature administrative </w:t>
            </w:r>
          </w:p>
        </w:tc>
        <w:tc>
          <w:tcPr>
            <w:tcW w:w="1080" w:type="dxa"/>
            <w:vAlign w:val="center"/>
          </w:tcPr>
          <w:p w:rsidR="00824C36" w:rsidRDefault="00B97963">
            <w:pPr>
              <w:spacing w:before="20" w:after="20"/>
              <w:jc w:val="center"/>
              <w:rPr>
                <w:noProof/>
                <w:sz w:val="20"/>
              </w:rPr>
            </w:pPr>
            <w:r>
              <w:rPr>
                <w:noProof/>
                <w:sz w:val="20"/>
              </w:rPr>
              <w:t>0,15</w:t>
            </w:r>
          </w:p>
        </w:tc>
        <w:tc>
          <w:tcPr>
            <w:tcW w:w="1080" w:type="dxa"/>
            <w:vAlign w:val="center"/>
          </w:tcPr>
          <w:p w:rsidR="00824C36" w:rsidRDefault="00B97963">
            <w:pPr>
              <w:spacing w:before="20" w:after="20"/>
              <w:jc w:val="center"/>
              <w:rPr>
                <w:noProof/>
                <w:sz w:val="20"/>
              </w:rPr>
            </w:pPr>
            <w:r>
              <w:rPr>
                <w:noProof/>
                <w:sz w:val="20"/>
              </w:rPr>
              <w:t>0,23</w:t>
            </w:r>
          </w:p>
        </w:tc>
        <w:tc>
          <w:tcPr>
            <w:tcW w:w="1080" w:type="dxa"/>
            <w:vAlign w:val="center"/>
          </w:tcPr>
          <w:p w:rsidR="00824C36" w:rsidRDefault="00B97963">
            <w:pPr>
              <w:spacing w:before="20" w:after="20"/>
              <w:jc w:val="center"/>
              <w:rPr>
                <w:noProof/>
                <w:sz w:val="20"/>
              </w:rPr>
            </w:pPr>
            <w:r>
              <w:rPr>
                <w:noProof/>
                <w:sz w:val="20"/>
              </w:rPr>
              <w:t>0,33</w:t>
            </w:r>
          </w:p>
        </w:tc>
        <w:tc>
          <w:tcPr>
            <w:tcW w:w="1080" w:type="dxa"/>
            <w:vAlign w:val="center"/>
          </w:tcPr>
          <w:p w:rsidR="00824C36" w:rsidRDefault="00B97963">
            <w:pPr>
              <w:spacing w:before="20" w:after="20"/>
              <w:jc w:val="center"/>
              <w:rPr>
                <w:b/>
                <w:noProof/>
                <w:sz w:val="20"/>
              </w:rPr>
            </w:pPr>
            <w:r>
              <w:rPr>
                <w:b/>
                <w:noProof/>
                <w:sz w:val="20"/>
              </w:rPr>
              <w:t>0,710</w:t>
            </w:r>
          </w:p>
        </w:tc>
      </w:tr>
      <w:tr w:rsidR="00824C36">
        <w:trPr>
          <w:trHeight w:val="585"/>
        </w:trPr>
        <w:tc>
          <w:tcPr>
            <w:tcW w:w="1980" w:type="dxa"/>
            <w:shd w:val="clear" w:color="auto" w:fill="CCCCCC"/>
            <w:vAlign w:val="center"/>
          </w:tcPr>
          <w:p w:rsidR="00824C36" w:rsidRDefault="00B97963">
            <w:pPr>
              <w:spacing w:before="60" w:after="60" w:line="200" w:lineRule="exact"/>
              <w:jc w:val="center"/>
              <w:rPr>
                <w:b/>
                <w:noProof/>
                <w:sz w:val="16"/>
                <w:szCs w:val="16"/>
              </w:rPr>
            </w:pPr>
            <w:r>
              <w:rPr>
                <w:b/>
                <w:noProof/>
                <w:sz w:val="16"/>
              </w:rPr>
              <w:t>Sous-total RUBRIQUE 5</w:t>
            </w:r>
            <w:r>
              <w:rPr>
                <w:noProof/>
                <w:sz w:val="22"/>
              </w:rPr>
              <w:br/>
            </w:r>
            <w:r>
              <w:rPr>
                <w:b/>
                <w:noProof/>
                <w:sz w:val="16"/>
              </w:rPr>
              <w:t xml:space="preserve">du cadre financier pluriannuel </w:t>
            </w:r>
          </w:p>
        </w:tc>
        <w:tc>
          <w:tcPr>
            <w:tcW w:w="1080" w:type="dxa"/>
            <w:vAlign w:val="center"/>
          </w:tcPr>
          <w:p w:rsidR="00824C36" w:rsidRDefault="00B97963">
            <w:pPr>
              <w:spacing w:before="20" w:after="20"/>
              <w:jc w:val="center"/>
              <w:rPr>
                <w:noProof/>
                <w:sz w:val="20"/>
              </w:rPr>
            </w:pPr>
            <w:r>
              <w:rPr>
                <w:noProof/>
                <w:sz w:val="20"/>
              </w:rPr>
              <w:t>1,832</w:t>
            </w:r>
          </w:p>
        </w:tc>
        <w:tc>
          <w:tcPr>
            <w:tcW w:w="1080" w:type="dxa"/>
            <w:vAlign w:val="center"/>
          </w:tcPr>
          <w:p w:rsidR="00824C36" w:rsidRDefault="00B97963">
            <w:pPr>
              <w:spacing w:before="20" w:after="20"/>
              <w:jc w:val="center"/>
              <w:rPr>
                <w:noProof/>
                <w:sz w:val="20"/>
              </w:rPr>
            </w:pPr>
            <w:r>
              <w:rPr>
                <w:noProof/>
                <w:sz w:val="20"/>
              </w:rPr>
              <w:t>5,264</w:t>
            </w:r>
          </w:p>
        </w:tc>
        <w:tc>
          <w:tcPr>
            <w:tcW w:w="1080" w:type="dxa"/>
            <w:vAlign w:val="center"/>
          </w:tcPr>
          <w:p w:rsidR="00824C36" w:rsidRDefault="00B97963">
            <w:pPr>
              <w:spacing w:before="20" w:after="20"/>
              <w:jc w:val="center"/>
              <w:rPr>
                <w:noProof/>
                <w:sz w:val="20"/>
              </w:rPr>
            </w:pPr>
            <w:r>
              <w:rPr>
                <w:noProof/>
                <w:sz w:val="20"/>
              </w:rPr>
              <w:t>9,766</w:t>
            </w:r>
          </w:p>
        </w:tc>
        <w:tc>
          <w:tcPr>
            <w:tcW w:w="1080" w:type="dxa"/>
            <w:vAlign w:val="center"/>
          </w:tcPr>
          <w:p w:rsidR="00824C36" w:rsidRDefault="00B97963">
            <w:pPr>
              <w:spacing w:before="20" w:after="20"/>
              <w:jc w:val="center"/>
              <w:rPr>
                <w:b/>
                <w:noProof/>
                <w:sz w:val="20"/>
              </w:rPr>
            </w:pPr>
            <w:r>
              <w:rPr>
                <w:b/>
                <w:noProof/>
                <w:sz w:val="20"/>
              </w:rPr>
              <w:t>16,862</w:t>
            </w:r>
          </w:p>
        </w:tc>
      </w:tr>
    </w:tbl>
    <w:p w:rsidR="00824C36" w:rsidRDefault="00824C36">
      <w:pPr>
        <w:spacing w:line="200" w:lineRule="exact"/>
        <w:rPr>
          <w:noProof/>
          <w:sz w:val="16"/>
          <w:szCs w:val="16"/>
        </w:rPr>
      </w:pPr>
    </w:p>
    <w:tbl>
      <w:tblPr>
        <w:tblW w:w="63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rsidR="00824C36">
        <w:trPr>
          <w:trHeight w:val="585"/>
        </w:trPr>
        <w:tc>
          <w:tcPr>
            <w:tcW w:w="1980" w:type="dxa"/>
            <w:shd w:val="clear" w:color="auto" w:fill="CCCCCC"/>
            <w:vAlign w:val="center"/>
          </w:tcPr>
          <w:p w:rsidR="00824C36" w:rsidRDefault="00B97963">
            <w:pPr>
              <w:spacing w:before="60" w:after="60" w:line="200" w:lineRule="exact"/>
              <w:jc w:val="center"/>
              <w:rPr>
                <w:noProof/>
                <w:sz w:val="16"/>
                <w:szCs w:val="16"/>
              </w:rPr>
            </w:pPr>
            <w:r>
              <w:rPr>
                <w:b/>
                <w:noProof/>
                <w:sz w:val="16"/>
              </w:rPr>
              <w:t>HORS RUBRIQUE 5</w:t>
            </w:r>
            <w:r>
              <w:rPr>
                <w:rStyle w:val="FootnoteReference"/>
                <w:noProof/>
              </w:rPr>
              <w:footnoteReference w:id="28"/>
            </w:r>
            <w:r>
              <w:rPr>
                <w:noProof/>
                <w:sz w:val="22"/>
              </w:rPr>
              <w:br/>
            </w:r>
            <w:r>
              <w:rPr>
                <w:b/>
                <w:noProof/>
                <w:sz w:val="16"/>
              </w:rPr>
              <w:t xml:space="preserve">du cadre financier pluriannuel </w:t>
            </w:r>
          </w:p>
          <w:p w:rsidR="00824C36" w:rsidRDefault="00824C36">
            <w:pPr>
              <w:spacing w:before="0" w:after="0" w:line="200" w:lineRule="exact"/>
              <w:jc w:val="center"/>
              <w:rPr>
                <w:b/>
                <w:noProof/>
                <w:sz w:val="16"/>
                <w:szCs w:val="16"/>
              </w:rPr>
            </w:pPr>
          </w:p>
        </w:tc>
        <w:tc>
          <w:tcPr>
            <w:tcW w:w="1080" w:type="dxa"/>
            <w:vAlign w:val="center"/>
          </w:tcPr>
          <w:p w:rsidR="00824C36" w:rsidRDefault="00824C36">
            <w:pPr>
              <w:spacing w:before="60" w:after="60" w:line="200" w:lineRule="exact"/>
              <w:jc w:val="right"/>
              <w:rPr>
                <w:noProof/>
                <w:sz w:val="16"/>
                <w:szCs w:val="16"/>
              </w:rPr>
            </w:pPr>
          </w:p>
        </w:tc>
        <w:tc>
          <w:tcPr>
            <w:tcW w:w="1080" w:type="dxa"/>
            <w:vAlign w:val="center"/>
          </w:tcPr>
          <w:p w:rsidR="00824C36" w:rsidRDefault="00824C36">
            <w:pPr>
              <w:spacing w:before="60" w:after="60" w:line="200" w:lineRule="exact"/>
              <w:jc w:val="right"/>
              <w:rPr>
                <w:noProof/>
                <w:sz w:val="16"/>
                <w:szCs w:val="16"/>
              </w:rPr>
            </w:pPr>
          </w:p>
        </w:tc>
        <w:tc>
          <w:tcPr>
            <w:tcW w:w="1080" w:type="dxa"/>
            <w:vAlign w:val="center"/>
          </w:tcPr>
          <w:p w:rsidR="00824C36" w:rsidRDefault="00824C36">
            <w:pPr>
              <w:spacing w:before="60" w:after="60" w:line="200" w:lineRule="exact"/>
              <w:jc w:val="right"/>
              <w:rPr>
                <w:noProof/>
                <w:sz w:val="16"/>
                <w:szCs w:val="16"/>
              </w:rPr>
            </w:pPr>
          </w:p>
        </w:tc>
        <w:tc>
          <w:tcPr>
            <w:tcW w:w="1080" w:type="dxa"/>
            <w:vAlign w:val="center"/>
          </w:tcPr>
          <w:p w:rsidR="00824C36" w:rsidRDefault="00824C36">
            <w:pPr>
              <w:spacing w:before="60" w:after="60" w:line="200" w:lineRule="exact"/>
              <w:jc w:val="right"/>
              <w:rPr>
                <w:noProof/>
                <w:sz w:val="16"/>
                <w:szCs w:val="16"/>
              </w:rPr>
            </w:pPr>
          </w:p>
        </w:tc>
      </w:tr>
      <w:tr w:rsidR="00824C36">
        <w:trPr>
          <w:trHeight w:val="585"/>
        </w:trPr>
        <w:tc>
          <w:tcPr>
            <w:tcW w:w="1980" w:type="dxa"/>
            <w:vAlign w:val="center"/>
          </w:tcPr>
          <w:p w:rsidR="00824C36" w:rsidRDefault="00B97963">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824C36" w:rsidRDefault="00824C36">
            <w:pPr>
              <w:spacing w:before="60" w:after="60" w:line="200" w:lineRule="exact"/>
              <w:jc w:val="right"/>
              <w:rPr>
                <w:noProof/>
                <w:sz w:val="16"/>
                <w:szCs w:val="16"/>
              </w:rPr>
            </w:pPr>
          </w:p>
        </w:tc>
        <w:tc>
          <w:tcPr>
            <w:tcW w:w="1080" w:type="dxa"/>
            <w:vAlign w:val="center"/>
          </w:tcPr>
          <w:p w:rsidR="00824C36" w:rsidRDefault="00824C36">
            <w:pPr>
              <w:spacing w:before="60" w:after="60" w:line="200" w:lineRule="exact"/>
              <w:jc w:val="right"/>
              <w:rPr>
                <w:noProof/>
                <w:sz w:val="16"/>
                <w:szCs w:val="16"/>
              </w:rPr>
            </w:pPr>
          </w:p>
        </w:tc>
        <w:tc>
          <w:tcPr>
            <w:tcW w:w="1080" w:type="dxa"/>
            <w:vAlign w:val="center"/>
          </w:tcPr>
          <w:p w:rsidR="00824C36" w:rsidRDefault="00824C36">
            <w:pPr>
              <w:spacing w:before="60" w:after="60" w:line="200" w:lineRule="exact"/>
              <w:jc w:val="right"/>
              <w:rPr>
                <w:noProof/>
                <w:sz w:val="16"/>
                <w:szCs w:val="16"/>
              </w:rPr>
            </w:pPr>
          </w:p>
        </w:tc>
        <w:tc>
          <w:tcPr>
            <w:tcW w:w="1080" w:type="dxa"/>
            <w:vAlign w:val="center"/>
          </w:tcPr>
          <w:p w:rsidR="00824C36" w:rsidRDefault="00824C36">
            <w:pPr>
              <w:spacing w:before="60" w:after="60" w:line="200" w:lineRule="exact"/>
              <w:jc w:val="right"/>
              <w:rPr>
                <w:noProof/>
                <w:sz w:val="16"/>
                <w:szCs w:val="16"/>
              </w:rPr>
            </w:pPr>
          </w:p>
        </w:tc>
      </w:tr>
      <w:tr w:rsidR="00824C36">
        <w:trPr>
          <w:trHeight w:val="585"/>
        </w:trPr>
        <w:tc>
          <w:tcPr>
            <w:tcW w:w="1980" w:type="dxa"/>
            <w:vAlign w:val="center"/>
          </w:tcPr>
          <w:p w:rsidR="00824C36" w:rsidRDefault="00B97963">
            <w:pPr>
              <w:spacing w:before="60" w:after="60" w:line="200" w:lineRule="exact"/>
              <w:ind w:left="72"/>
              <w:jc w:val="left"/>
              <w:rPr>
                <w:noProof/>
                <w:sz w:val="16"/>
                <w:szCs w:val="16"/>
              </w:rPr>
            </w:pPr>
            <w:r>
              <w:rPr>
                <w:noProof/>
                <w:sz w:val="16"/>
              </w:rPr>
              <w:t xml:space="preserve">Autres dépenses </w:t>
            </w:r>
            <w:r>
              <w:rPr>
                <w:noProof/>
                <w:sz w:val="22"/>
              </w:rPr>
              <w:br/>
            </w:r>
            <w:r>
              <w:rPr>
                <w:noProof/>
                <w:sz w:val="16"/>
              </w:rPr>
              <w:t xml:space="preserve">de nature </w:t>
            </w:r>
            <w:r>
              <w:rPr>
                <w:noProof/>
                <w:sz w:val="16"/>
              </w:rPr>
              <w:t>administrative</w:t>
            </w:r>
          </w:p>
        </w:tc>
        <w:tc>
          <w:tcPr>
            <w:tcW w:w="1080" w:type="dxa"/>
            <w:vAlign w:val="center"/>
          </w:tcPr>
          <w:p w:rsidR="00824C36" w:rsidRDefault="00824C36">
            <w:pPr>
              <w:spacing w:before="60" w:after="60" w:line="200" w:lineRule="exact"/>
              <w:jc w:val="right"/>
              <w:rPr>
                <w:noProof/>
                <w:sz w:val="16"/>
                <w:szCs w:val="16"/>
              </w:rPr>
            </w:pPr>
          </w:p>
        </w:tc>
        <w:tc>
          <w:tcPr>
            <w:tcW w:w="1080" w:type="dxa"/>
            <w:vAlign w:val="center"/>
          </w:tcPr>
          <w:p w:rsidR="00824C36" w:rsidRDefault="00824C36">
            <w:pPr>
              <w:spacing w:before="60" w:after="60" w:line="200" w:lineRule="exact"/>
              <w:jc w:val="right"/>
              <w:rPr>
                <w:noProof/>
                <w:sz w:val="16"/>
                <w:szCs w:val="16"/>
              </w:rPr>
            </w:pPr>
          </w:p>
        </w:tc>
        <w:tc>
          <w:tcPr>
            <w:tcW w:w="1080" w:type="dxa"/>
            <w:vAlign w:val="center"/>
          </w:tcPr>
          <w:p w:rsidR="00824C36" w:rsidRDefault="00824C36">
            <w:pPr>
              <w:spacing w:before="60" w:after="60" w:line="200" w:lineRule="exact"/>
              <w:jc w:val="right"/>
              <w:rPr>
                <w:noProof/>
                <w:sz w:val="16"/>
                <w:szCs w:val="16"/>
              </w:rPr>
            </w:pPr>
          </w:p>
        </w:tc>
        <w:tc>
          <w:tcPr>
            <w:tcW w:w="1080" w:type="dxa"/>
            <w:vAlign w:val="center"/>
          </w:tcPr>
          <w:p w:rsidR="00824C36" w:rsidRDefault="00824C36">
            <w:pPr>
              <w:spacing w:before="60" w:after="60" w:line="200" w:lineRule="exact"/>
              <w:jc w:val="right"/>
              <w:rPr>
                <w:noProof/>
                <w:sz w:val="16"/>
                <w:szCs w:val="16"/>
              </w:rPr>
            </w:pPr>
          </w:p>
        </w:tc>
      </w:tr>
      <w:tr w:rsidR="00824C36">
        <w:trPr>
          <w:trHeight w:val="585"/>
        </w:trPr>
        <w:tc>
          <w:tcPr>
            <w:tcW w:w="1980" w:type="dxa"/>
            <w:shd w:val="clear" w:color="auto" w:fill="CCCCCC"/>
            <w:vAlign w:val="center"/>
          </w:tcPr>
          <w:p w:rsidR="00824C36" w:rsidRDefault="00B97963">
            <w:pPr>
              <w:spacing w:before="60" w:after="60" w:line="200" w:lineRule="exact"/>
              <w:jc w:val="center"/>
              <w:rPr>
                <w:b/>
                <w:noProof/>
                <w:sz w:val="16"/>
                <w:szCs w:val="16"/>
              </w:rPr>
            </w:pPr>
            <w:r>
              <w:rPr>
                <w:b/>
                <w:noProof/>
                <w:sz w:val="16"/>
              </w:rPr>
              <w:t xml:space="preserve">Sous-total </w:t>
            </w:r>
            <w:r>
              <w:rPr>
                <w:noProof/>
                <w:sz w:val="22"/>
              </w:rPr>
              <w:br/>
            </w:r>
            <w:r>
              <w:rPr>
                <w:b/>
                <w:noProof/>
                <w:sz w:val="16"/>
              </w:rPr>
              <w:t xml:space="preserve">hors RUBRIQUE 5 </w:t>
            </w:r>
            <w:r>
              <w:rPr>
                <w:noProof/>
                <w:sz w:val="22"/>
              </w:rPr>
              <w:br/>
            </w:r>
            <w:r>
              <w:rPr>
                <w:b/>
                <w:noProof/>
                <w:sz w:val="16"/>
              </w:rPr>
              <w:t xml:space="preserve">du cadre financier pluriannuel </w:t>
            </w:r>
          </w:p>
        </w:tc>
        <w:tc>
          <w:tcPr>
            <w:tcW w:w="1080" w:type="dxa"/>
            <w:vAlign w:val="center"/>
          </w:tcPr>
          <w:p w:rsidR="00824C36" w:rsidRDefault="00B97963">
            <w:pPr>
              <w:spacing w:before="60" w:after="60" w:line="200" w:lineRule="exact"/>
              <w:jc w:val="right"/>
              <w:rPr>
                <w:noProof/>
                <w:sz w:val="16"/>
                <w:szCs w:val="16"/>
              </w:rPr>
            </w:pPr>
            <w:r>
              <w:rPr>
                <w:noProof/>
                <w:sz w:val="16"/>
              </w:rPr>
              <w:t>0</w:t>
            </w:r>
          </w:p>
        </w:tc>
        <w:tc>
          <w:tcPr>
            <w:tcW w:w="1080" w:type="dxa"/>
            <w:vAlign w:val="center"/>
          </w:tcPr>
          <w:p w:rsidR="00824C36" w:rsidRDefault="00B97963">
            <w:pPr>
              <w:spacing w:before="60" w:after="60" w:line="200" w:lineRule="exact"/>
              <w:jc w:val="right"/>
              <w:rPr>
                <w:noProof/>
                <w:sz w:val="16"/>
                <w:szCs w:val="16"/>
              </w:rPr>
            </w:pPr>
            <w:r>
              <w:rPr>
                <w:noProof/>
                <w:sz w:val="16"/>
              </w:rPr>
              <w:t>0</w:t>
            </w:r>
          </w:p>
        </w:tc>
        <w:tc>
          <w:tcPr>
            <w:tcW w:w="1080" w:type="dxa"/>
            <w:vAlign w:val="center"/>
          </w:tcPr>
          <w:p w:rsidR="00824C36" w:rsidRDefault="00B97963">
            <w:pPr>
              <w:spacing w:before="60" w:after="60" w:line="200" w:lineRule="exact"/>
              <w:jc w:val="right"/>
              <w:rPr>
                <w:noProof/>
                <w:sz w:val="16"/>
                <w:szCs w:val="16"/>
              </w:rPr>
            </w:pPr>
            <w:r>
              <w:rPr>
                <w:noProof/>
                <w:sz w:val="16"/>
              </w:rPr>
              <w:t>0</w:t>
            </w:r>
          </w:p>
        </w:tc>
        <w:tc>
          <w:tcPr>
            <w:tcW w:w="1080" w:type="dxa"/>
            <w:vAlign w:val="center"/>
          </w:tcPr>
          <w:p w:rsidR="00824C36" w:rsidRDefault="00B97963">
            <w:pPr>
              <w:spacing w:before="60" w:after="60" w:line="200" w:lineRule="exact"/>
              <w:jc w:val="right"/>
              <w:rPr>
                <w:noProof/>
                <w:sz w:val="16"/>
                <w:szCs w:val="16"/>
              </w:rPr>
            </w:pPr>
            <w:r>
              <w:rPr>
                <w:noProof/>
                <w:sz w:val="16"/>
              </w:rPr>
              <w:t>0</w:t>
            </w:r>
          </w:p>
        </w:tc>
      </w:tr>
    </w:tbl>
    <w:p w:rsidR="00824C36" w:rsidRDefault="00824C36">
      <w:pPr>
        <w:spacing w:line="200" w:lineRule="exact"/>
        <w:rPr>
          <w:noProof/>
          <w:sz w:val="16"/>
          <w:szCs w:val="16"/>
        </w:rPr>
      </w:pPr>
    </w:p>
    <w:tbl>
      <w:tblPr>
        <w:tblW w:w="6300" w:type="dxa"/>
        <w:tblInd w:w="-612" w:type="dxa"/>
        <w:tblLayout w:type="fixed"/>
        <w:tblLook w:val="01E0" w:firstRow="1" w:lastRow="1" w:firstColumn="1" w:lastColumn="1" w:noHBand="0" w:noVBand="0"/>
      </w:tblPr>
      <w:tblGrid>
        <w:gridCol w:w="1980"/>
        <w:gridCol w:w="1080"/>
        <w:gridCol w:w="1080"/>
        <w:gridCol w:w="1080"/>
        <w:gridCol w:w="1080"/>
      </w:tblGrid>
      <w:tr w:rsidR="00824C36">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824C36" w:rsidRDefault="00B97963">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824C36" w:rsidRDefault="00B97963">
            <w:pPr>
              <w:spacing w:before="20" w:after="20"/>
              <w:jc w:val="center"/>
              <w:rPr>
                <w:noProof/>
                <w:sz w:val="20"/>
              </w:rPr>
            </w:pPr>
            <w:r>
              <w:rPr>
                <w:noProof/>
                <w:sz w:val="20"/>
              </w:rPr>
              <w:t>1,832</w:t>
            </w:r>
          </w:p>
        </w:tc>
        <w:tc>
          <w:tcPr>
            <w:tcW w:w="1080" w:type="dxa"/>
            <w:tcBorders>
              <w:top w:val="single" w:sz="12" w:space="0" w:color="auto"/>
              <w:left w:val="single" w:sz="2" w:space="0" w:color="auto"/>
              <w:bottom w:val="single" w:sz="12" w:space="0" w:color="auto"/>
              <w:right w:val="single" w:sz="2" w:space="0" w:color="auto"/>
            </w:tcBorders>
            <w:vAlign w:val="center"/>
          </w:tcPr>
          <w:p w:rsidR="00824C36" w:rsidRDefault="00B97963">
            <w:pPr>
              <w:spacing w:before="20" w:after="20"/>
              <w:jc w:val="center"/>
              <w:rPr>
                <w:noProof/>
                <w:sz w:val="20"/>
              </w:rPr>
            </w:pPr>
            <w:r>
              <w:rPr>
                <w:noProof/>
                <w:sz w:val="20"/>
              </w:rPr>
              <w:t>5,264</w:t>
            </w:r>
          </w:p>
        </w:tc>
        <w:tc>
          <w:tcPr>
            <w:tcW w:w="1080" w:type="dxa"/>
            <w:tcBorders>
              <w:top w:val="single" w:sz="12" w:space="0" w:color="auto"/>
              <w:left w:val="single" w:sz="2" w:space="0" w:color="auto"/>
              <w:bottom w:val="single" w:sz="12" w:space="0" w:color="auto"/>
              <w:right w:val="single" w:sz="2" w:space="0" w:color="auto"/>
            </w:tcBorders>
            <w:vAlign w:val="center"/>
          </w:tcPr>
          <w:p w:rsidR="00824C36" w:rsidRDefault="00B97963">
            <w:pPr>
              <w:spacing w:before="20" w:after="20"/>
              <w:jc w:val="center"/>
              <w:rPr>
                <w:noProof/>
                <w:sz w:val="20"/>
              </w:rPr>
            </w:pPr>
            <w:r>
              <w:rPr>
                <w:noProof/>
                <w:sz w:val="20"/>
              </w:rPr>
              <w:t>9,766</w:t>
            </w:r>
          </w:p>
        </w:tc>
        <w:tc>
          <w:tcPr>
            <w:tcW w:w="1080" w:type="dxa"/>
            <w:tcBorders>
              <w:top w:val="single" w:sz="12" w:space="0" w:color="auto"/>
              <w:left w:val="single" w:sz="2" w:space="0" w:color="auto"/>
              <w:bottom w:val="single" w:sz="12" w:space="0" w:color="auto"/>
              <w:right w:val="single" w:sz="2" w:space="0" w:color="auto"/>
            </w:tcBorders>
            <w:vAlign w:val="center"/>
          </w:tcPr>
          <w:p w:rsidR="00824C36" w:rsidRDefault="00B97963">
            <w:pPr>
              <w:spacing w:before="20" w:after="20"/>
              <w:jc w:val="center"/>
              <w:rPr>
                <w:b/>
                <w:noProof/>
                <w:sz w:val="20"/>
              </w:rPr>
            </w:pPr>
            <w:r>
              <w:rPr>
                <w:b/>
                <w:noProof/>
                <w:sz w:val="20"/>
              </w:rPr>
              <w:t>16,862</w:t>
            </w:r>
          </w:p>
        </w:tc>
      </w:tr>
    </w:tbl>
    <w:p w:rsidR="00824C36" w:rsidRDefault="00B97963">
      <w:pPr>
        <w:rPr>
          <w:noProof/>
          <w:sz w:val="18"/>
        </w:rPr>
        <w:sectPr w:rsidR="00824C36" w:rsidSect="00B97963">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r>
        <w:rPr>
          <w:noProof/>
          <w:sz w:val="18"/>
        </w:rPr>
        <w:t>Les besoins en crédits pour les ressources humaines et les autres dépenses</w:t>
      </w:r>
      <w:r>
        <w:rPr>
          <w:noProof/>
          <w:sz w:val="18"/>
        </w:rPr>
        <w:t xml:space="preserve"> de nature administrative seront couverts par les crédits de la DG déjà affectés à la gestion de l’action et/ou redéployés en interne au sein de la DG, complétés le cas échéant par toute dotation additionnelle qui pourrait être allouée à la DG gestionnaire</w:t>
      </w:r>
      <w:r>
        <w:rPr>
          <w:noProof/>
          <w:sz w:val="18"/>
        </w:rPr>
        <w:t xml:space="preserve"> dans le cadre de la procédure d’allocation annuelle et compte tenu des contraintes budgétaires existantes.</w:t>
      </w:r>
    </w:p>
    <w:p w:rsidR="00824C36" w:rsidRDefault="00B97963">
      <w:pPr>
        <w:pStyle w:val="ManualNumPar4"/>
        <w:rPr>
          <w:noProof/>
          <w:szCs w:val="24"/>
        </w:rPr>
      </w:pPr>
      <w:r>
        <w:t>3.2.3.2.</w:t>
      </w:r>
      <w:r>
        <w:tab/>
      </w:r>
      <w:r>
        <w:rPr>
          <w:noProof/>
        </w:rPr>
        <w:t>Besoins estimés en ressources humaines</w:t>
      </w:r>
    </w:p>
    <w:p w:rsidR="00824C36" w:rsidRDefault="00B97963">
      <w:pPr>
        <w:tabs>
          <w:tab w:val="num" w:pos="1134"/>
        </w:tabs>
        <w:ind w:left="1134" w:hanging="283"/>
        <w:rPr>
          <w:rFonts w:eastAsia="Times New Roman"/>
          <w:noProof/>
        </w:rPr>
      </w:pPr>
      <w:r>
        <w:rPr>
          <w:rFonts w:eastAsia="Times New Roman"/>
          <w:noProof/>
        </w:rPr>
        <w:sym w:font="Wingdings" w:char="F0A8"/>
      </w:r>
      <w:r>
        <w:rPr>
          <w:noProof/>
        </w:rPr>
        <w:tab/>
        <w:t xml:space="preserve">La proposition/l’initiative n’engendre pas l’utilisation de ressources humaines. </w:t>
      </w:r>
    </w:p>
    <w:p w:rsidR="00824C36" w:rsidRDefault="00B97963">
      <w:pPr>
        <w:tabs>
          <w:tab w:val="num" w:pos="1134"/>
        </w:tabs>
        <w:ind w:left="1134" w:hanging="283"/>
        <w:rPr>
          <w:rFonts w:eastAsia="Times New Roman"/>
          <w:noProof/>
        </w:rPr>
      </w:pPr>
      <w:r>
        <w:rPr>
          <w:noProof/>
        </w:rPr>
        <w:t>X</w:t>
      </w:r>
      <w:r>
        <w:rPr>
          <w:noProof/>
        </w:rPr>
        <w:tab/>
        <w:t>La proposition</w:t>
      </w:r>
      <w:r>
        <w:rPr>
          <w:noProof/>
        </w:rPr>
        <w:t>/l'initiative engendre l'utilisation de ressources humaines, comme expliqué ci-après:</w:t>
      </w:r>
      <w:r>
        <w:rPr>
          <w:noProof/>
          <w:sz w:val="28"/>
        </w:rPr>
        <w:t>*</w:t>
      </w:r>
    </w:p>
    <w:p w:rsidR="00824C36" w:rsidRDefault="00B97963">
      <w:pPr>
        <w:spacing w:after="60"/>
        <w:jc w:val="right"/>
        <w:rPr>
          <w:i/>
          <w:noProof/>
          <w:sz w:val="20"/>
        </w:rPr>
      </w:pPr>
      <w:r>
        <w:rPr>
          <w:i/>
          <w:noProof/>
          <w:sz w:val="20"/>
        </w:rPr>
        <w:t>Estimation à exprimer en équivalents temps plein</w:t>
      </w:r>
    </w:p>
    <w:tbl>
      <w:tblPr>
        <w:tblW w:w="3096" w:type="pct"/>
        <w:jc w:val="center"/>
        <w:tblInd w:w="-18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91"/>
        <w:gridCol w:w="2358"/>
        <w:gridCol w:w="610"/>
        <w:gridCol w:w="24"/>
        <w:gridCol w:w="581"/>
        <w:gridCol w:w="53"/>
        <w:gridCol w:w="594"/>
        <w:gridCol w:w="25"/>
        <w:gridCol w:w="15"/>
      </w:tblGrid>
      <w:tr w:rsidR="00824C36">
        <w:trPr>
          <w:trHeight w:val="289"/>
          <w:jc w:val="center"/>
        </w:trPr>
        <w:tc>
          <w:tcPr>
            <w:tcW w:w="3382" w:type="pct"/>
            <w:gridSpan w:val="2"/>
            <w:shd w:val="clear" w:color="auto" w:fill="auto"/>
          </w:tcPr>
          <w:p w:rsidR="00824C36" w:rsidRDefault="00824C36">
            <w:pPr>
              <w:spacing w:before="40" w:after="40"/>
              <w:jc w:val="center"/>
              <w:rPr>
                <w:i/>
                <w:noProof/>
                <w:sz w:val="20"/>
                <w:szCs w:val="20"/>
              </w:rPr>
            </w:pPr>
          </w:p>
        </w:tc>
        <w:tc>
          <w:tcPr>
            <w:tcW w:w="536" w:type="pct"/>
            <w:gridSpan w:val="2"/>
            <w:shd w:val="clear" w:color="auto" w:fill="auto"/>
            <w:vAlign w:val="center"/>
          </w:tcPr>
          <w:p w:rsidR="00824C36" w:rsidRDefault="00B97963">
            <w:pPr>
              <w:spacing w:before="20" w:after="20"/>
              <w:jc w:val="center"/>
              <w:rPr>
                <w:noProof/>
                <w:sz w:val="16"/>
                <w:szCs w:val="16"/>
              </w:rPr>
            </w:pPr>
            <w:r>
              <w:rPr>
                <w:noProof/>
                <w:sz w:val="16"/>
              </w:rPr>
              <w:t>Année</w:t>
            </w:r>
            <w:r>
              <w:rPr>
                <w:noProof/>
                <w:sz w:val="22"/>
              </w:rPr>
              <w:br/>
            </w:r>
            <w:r>
              <w:rPr>
                <w:b/>
                <w:noProof/>
                <w:sz w:val="16"/>
              </w:rPr>
              <w:t>N</w:t>
            </w:r>
          </w:p>
        </w:tc>
        <w:tc>
          <w:tcPr>
            <w:tcW w:w="537" w:type="pct"/>
            <w:gridSpan w:val="2"/>
            <w:shd w:val="clear" w:color="auto" w:fill="auto"/>
            <w:vAlign w:val="center"/>
          </w:tcPr>
          <w:p w:rsidR="00824C36" w:rsidRDefault="00B97963">
            <w:pPr>
              <w:spacing w:before="20" w:after="20"/>
              <w:jc w:val="center"/>
              <w:rPr>
                <w:noProof/>
                <w:sz w:val="16"/>
                <w:szCs w:val="16"/>
              </w:rPr>
            </w:pPr>
            <w:r>
              <w:rPr>
                <w:noProof/>
                <w:sz w:val="16"/>
              </w:rPr>
              <w:t xml:space="preserve">Année </w:t>
            </w:r>
            <w:r>
              <w:rPr>
                <w:b/>
                <w:noProof/>
                <w:sz w:val="16"/>
              </w:rPr>
              <w:t>N+1</w:t>
            </w:r>
          </w:p>
        </w:tc>
        <w:tc>
          <w:tcPr>
            <w:tcW w:w="545" w:type="pct"/>
            <w:gridSpan w:val="3"/>
            <w:shd w:val="clear" w:color="auto" w:fill="auto"/>
            <w:vAlign w:val="center"/>
          </w:tcPr>
          <w:p w:rsidR="00824C36" w:rsidRDefault="00B97963">
            <w:pPr>
              <w:spacing w:before="20" w:after="20"/>
              <w:jc w:val="center"/>
              <w:rPr>
                <w:noProof/>
                <w:sz w:val="16"/>
                <w:szCs w:val="16"/>
              </w:rPr>
            </w:pPr>
            <w:r>
              <w:rPr>
                <w:noProof/>
                <w:sz w:val="16"/>
              </w:rPr>
              <w:t xml:space="preserve">Année </w:t>
            </w:r>
            <w:r>
              <w:rPr>
                <w:b/>
                <w:noProof/>
                <w:sz w:val="16"/>
              </w:rPr>
              <w:t>N+2</w:t>
            </w:r>
          </w:p>
        </w:tc>
      </w:tr>
      <w:tr w:rsidR="00824C36">
        <w:trPr>
          <w:trHeight w:val="289"/>
          <w:jc w:val="center"/>
        </w:trPr>
        <w:tc>
          <w:tcPr>
            <w:tcW w:w="3382" w:type="pct"/>
            <w:gridSpan w:val="2"/>
            <w:shd w:val="clear" w:color="auto" w:fill="auto"/>
          </w:tcPr>
          <w:p w:rsidR="00824C36" w:rsidRDefault="00824C36">
            <w:pPr>
              <w:spacing w:before="40" w:after="40"/>
              <w:jc w:val="center"/>
              <w:rPr>
                <w:i/>
                <w:noProof/>
                <w:sz w:val="20"/>
                <w:szCs w:val="20"/>
              </w:rPr>
            </w:pPr>
          </w:p>
        </w:tc>
        <w:tc>
          <w:tcPr>
            <w:tcW w:w="536" w:type="pct"/>
            <w:gridSpan w:val="2"/>
            <w:shd w:val="clear" w:color="auto" w:fill="auto"/>
            <w:vAlign w:val="center"/>
          </w:tcPr>
          <w:p w:rsidR="00824C36" w:rsidRDefault="00B97963">
            <w:pPr>
              <w:jc w:val="center"/>
              <w:rPr>
                <w:noProof/>
                <w:sz w:val="20"/>
                <w:szCs w:val="20"/>
              </w:rPr>
            </w:pPr>
            <w:r>
              <w:rPr>
                <w:noProof/>
                <w:sz w:val="20"/>
              </w:rPr>
              <w:t>2018</w:t>
            </w:r>
          </w:p>
        </w:tc>
        <w:tc>
          <w:tcPr>
            <w:tcW w:w="537" w:type="pct"/>
            <w:gridSpan w:val="2"/>
            <w:shd w:val="clear" w:color="auto" w:fill="auto"/>
            <w:vAlign w:val="center"/>
          </w:tcPr>
          <w:p w:rsidR="00824C36" w:rsidRDefault="00B97963">
            <w:pPr>
              <w:jc w:val="center"/>
              <w:rPr>
                <w:noProof/>
                <w:sz w:val="20"/>
                <w:szCs w:val="20"/>
              </w:rPr>
            </w:pPr>
            <w:r>
              <w:rPr>
                <w:noProof/>
                <w:sz w:val="20"/>
              </w:rPr>
              <w:t>2019</w:t>
            </w:r>
          </w:p>
        </w:tc>
        <w:tc>
          <w:tcPr>
            <w:tcW w:w="545" w:type="pct"/>
            <w:gridSpan w:val="3"/>
            <w:shd w:val="clear" w:color="auto" w:fill="auto"/>
            <w:vAlign w:val="center"/>
          </w:tcPr>
          <w:p w:rsidR="00824C36" w:rsidRDefault="00B97963">
            <w:pPr>
              <w:jc w:val="center"/>
              <w:rPr>
                <w:noProof/>
                <w:sz w:val="20"/>
                <w:szCs w:val="20"/>
              </w:rPr>
            </w:pPr>
            <w:r>
              <w:rPr>
                <w:noProof/>
                <w:sz w:val="20"/>
              </w:rPr>
              <w:t>2020</w:t>
            </w:r>
          </w:p>
        </w:tc>
      </w:tr>
      <w:tr w:rsidR="00824C36">
        <w:trPr>
          <w:trHeight w:val="289"/>
          <w:jc w:val="center"/>
        </w:trPr>
        <w:tc>
          <w:tcPr>
            <w:tcW w:w="5000" w:type="pct"/>
            <w:gridSpan w:val="9"/>
            <w:shd w:val="clear" w:color="auto" w:fill="auto"/>
            <w:vAlign w:val="center"/>
          </w:tcPr>
          <w:p w:rsidR="00824C36" w:rsidRDefault="00B97963">
            <w:pPr>
              <w:spacing w:before="60" w:after="60"/>
              <w:jc w:val="left"/>
              <w:rPr>
                <w:i/>
                <w:noProof/>
                <w:sz w:val="20"/>
                <w:szCs w:val="20"/>
              </w:rPr>
            </w:pPr>
            <w:r>
              <w:rPr>
                <w:b/>
                <w:noProof/>
                <w:sz w:val="20"/>
                <w:szCs w:val="20"/>
              </w:rPr>
              <w:sym w:font="Wingdings" w:char="F09F"/>
            </w:r>
            <w:r>
              <w:rPr>
                <w:b/>
                <w:noProof/>
                <w:sz w:val="20"/>
              </w:rPr>
              <w:t xml:space="preserve"> Emplois du tableau des effectifs (postes de fonctionnaires et d’agents temporaires)</w:t>
            </w:r>
          </w:p>
        </w:tc>
      </w:tr>
      <w:tr w:rsidR="00824C36">
        <w:trPr>
          <w:trHeight w:val="289"/>
          <w:jc w:val="center"/>
        </w:trPr>
        <w:tc>
          <w:tcPr>
            <w:tcW w:w="3382" w:type="pct"/>
            <w:gridSpan w:val="2"/>
            <w:shd w:val="clear" w:color="auto" w:fill="auto"/>
            <w:vAlign w:val="center"/>
          </w:tcPr>
          <w:p w:rsidR="00824C36" w:rsidRDefault="00B97963">
            <w:pPr>
              <w:spacing w:beforeLines="20" w:before="48" w:afterLines="20" w:after="48"/>
              <w:ind w:left="984"/>
              <w:jc w:val="left"/>
              <w:rPr>
                <w:b/>
                <w:noProof/>
                <w:sz w:val="20"/>
                <w:szCs w:val="20"/>
              </w:rPr>
            </w:pPr>
            <w:r>
              <w:rPr>
                <w:noProof/>
                <w:sz w:val="20"/>
              </w:rPr>
              <w:t>23 01 01 01 (au siège et dans les bureaux de représentation de la Commission)</w:t>
            </w:r>
          </w:p>
        </w:tc>
        <w:tc>
          <w:tcPr>
            <w:tcW w:w="536" w:type="pct"/>
            <w:gridSpan w:val="2"/>
            <w:shd w:val="clear" w:color="auto" w:fill="auto"/>
            <w:vAlign w:val="center"/>
          </w:tcPr>
          <w:p w:rsidR="00824C36" w:rsidRDefault="00B97963">
            <w:pPr>
              <w:spacing w:beforeLines="20" w:before="48" w:afterLines="20" w:after="48"/>
              <w:jc w:val="center"/>
              <w:rPr>
                <w:noProof/>
                <w:sz w:val="20"/>
                <w:szCs w:val="20"/>
              </w:rPr>
            </w:pPr>
            <w:r>
              <w:rPr>
                <w:noProof/>
                <w:sz w:val="20"/>
              </w:rPr>
              <w:t>7</w:t>
            </w:r>
          </w:p>
        </w:tc>
        <w:tc>
          <w:tcPr>
            <w:tcW w:w="537" w:type="pct"/>
            <w:gridSpan w:val="2"/>
            <w:shd w:val="clear" w:color="auto" w:fill="auto"/>
            <w:vAlign w:val="center"/>
          </w:tcPr>
          <w:p w:rsidR="00824C36" w:rsidRDefault="00B97963">
            <w:pPr>
              <w:spacing w:beforeLines="20" w:before="48" w:afterLines="20" w:after="48"/>
              <w:jc w:val="center"/>
              <w:rPr>
                <w:noProof/>
                <w:sz w:val="20"/>
                <w:szCs w:val="20"/>
              </w:rPr>
            </w:pPr>
            <w:r>
              <w:rPr>
                <w:noProof/>
                <w:sz w:val="20"/>
              </w:rPr>
              <w:t>12</w:t>
            </w:r>
          </w:p>
        </w:tc>
        <w:tc>
          <w:tcPr>
            <w:tcW w:w="545" w:type="pct"/>
            <w:gridSpan w:val="3"/>
            <w:shd w:val="clear" w:color="auto" w:fill="auto"/>
            <w:vAlign w:val="center"/>
          </w:tcPr>
          <w:p w:rsidR="00824C36" w:rsidRDefault="00B97963">
            <w:pPr>
              <w:spacing w:beforeLines="20" w:before="48" w:afterLines="20" w:after="48"/>
              <w:jc w:val="center"/>
              <w:rPr>
                <w:noProof/>
                <w:sz w:val="20"/>
                <w:szCs w:val="20"/>
              </w:rPr>
            </w:pPr>
            <w:r>
              <w:rPr>
                <w:noProof/>
                <w:sz w:val="20"/>
              </w:rPr>
              <w:t>16</w:t>
            </w:r>
          </w:p>
        </w:tc>
      </w:tr>
      <w:tr w:rsidR="00824C36">
        <w:trPr>
          <w:trHeight w:val="289"/>
          <w:jc w:val="center"/>
        </w:trPr>
        <w:tc>
          <w:tcPr>
            <w:tcW w:w="3382" w:type="pct"/>
            <w:gridSpan w:val="2"/>
            <w:shd w:val="clear" w:color="auto" w:fill="auto"/>
            <w:vAlign w:val="center"/>
          </w:tcPr>
          <w:p w:rsidR="00824C36" w:rsidRDefault="00B97963">
            <w:pPr>
              <w:spacing w:beforeLines="20" w:before="48" w:afterLines="20" w:after="48"/>
              <w:ind w:left="984"/>
              <w:jc w:val="left"/>
              <w:rPr>
                <w:noProof/>
                <w:sz w:val="20"/>
                <w:szCs w:val="20"/>
              </w:rPr>
            </w:pPr>
            <w:r>
              <w:rPr>
                <w:noProof/>
                <w:sz w:val="20"/>
              </w:rPr>
              <w:t>XX 01 01 02 (en délégation)</w:t>
            </w:r>
          </w:p>
        </w:tc>
        <w:tc>
          <w:tcPr>
            <w:tcW w:w="536" w:type="pct"/>
            <w:gridSpan w:val="2"/>
            <w:shd w:val="clear" w:color="auto" w:fill="auto"/>
            <w:vAlign w:val="center"/>
          </w:tcPr>
          <w:p w:rsidR="00824C36" w:rsidRDefault="00824C36">
            <w:pPr>
              <w:spacing w:beforeLines="20" w:before="48" w:afterLines="20" w:after="48"/>
              <w:jc w:val="center"/>
              <w:rPr>
                <w:noProof/>
                <w:sz w:val="20"/>
                <w:szCs w:val="20"/>
              </w:rPr>
            </w:pPr>
          </w:p>
        </w:tc>
        <w:tc>
          <w:tcPr>
            <w:tcW w:w="537" w:type="pct"/>
            <w:gridSpan w:val="2"/>
            <w:shd w:val="clear" w:color="auto" w:fill="auto"/>
            <w:vAlign w:val="center"/>
          </w:tcPr>
          <w:p w:rsidR="00824C36" w:rsidRDefault="00824C36">
            <w:pPr>
              <w:spacing w:beforeLines="20" w:before="48" w:afterLines="20" w:after="48"/>
              <w:jc w:val="center"/>
              <w:rPr>
                <w:noProof/>
                <w:sz w:val="20"/>
                <w:szCs w:val="20"/>
              </w:rPr>
            </w:pPr>
          </w:p>
        </w:tc>
        <w:tc>
          <w:tcPr>
            <w:tcW w:w="545" w:type="pct"/>
            <w:gridSpan w:val="3"/>
            <w:shd w:val="clear" w:color="auto" w:fill="auto"/>
            <w:vAlign w:val="center"/>
          </w:tcPr>
          <w:p w:rsidR="00824C36" w:rsidRDefault="00824C36">
            <w:pPr>
              <w:spacing w:beforeLines="20" w:before="48" w:afterLines="20" w:after="48"/>
              <w:jc w:val="center"/>
              <w:rPr>
                <w:noProof/>
                <w:sz w:val="20"/>
                <w:szCs w:val="20"/>
              </w:rPr>
            </w:pPr>
          </w:p>
        </w:tc>
      </w:tr>
      <w:tr w:rsidR="00824C36">
        <w:trPr>
          <w:trHeight w:val="289"/>
          <w:jc w:val="center"/>
        </w:trPr>
        <w:tc>
          <w:tcPr>
            <w:tcW w:w="3382" w:type="pct"/>
            <w:gridSpan w:val="2"/>
            <w:shd w:val="clear" w:color="auto" w:fill="auto"/>
            <w:vAlign w:val="center"/>
          </w:tcPr>
          <w:p w:rsidR="00824C36" w:rsidRDefault="00B97963">
            <w:pPr>
              <w:spacing w:beforeLines="20" w:before="48" w:afterLines="20" w:after="48"/>
              <w:ind w:left="984"/>
              <w:jc w:val="left"/>
              <w:rPr>
                <w:noProof/>
                <w:sz w:val="20"/>
                <w:szCs w:val="20"/>
              </w:rPr>
            </w:pPr>
            <w:r>
              <w:rPr>
                <w:noProof/>
                <w:sz w:val="20"/>
              </w:rPr>
              <w:t>XX 01 05 01 (recherche indirecte)</w:t>
            </w:r>
          </w:p>
        </w:tc>
        <w:tc>
          <w:tcPr>
            <w:tcW w:w="536" w:type="pct"/>
            <w:gridSpan w:val="2"/>
            <w:shd w:val="clear" w:color="auto" w:fill="auto"/>
            <w:vAlign w:val="center"/>
          </w:tcPr>
          <w:p w:rsidR="00824C36" w:rsidRDefault="00824C36">
            <w:pPr>
              <w:spacing w:beforeLines="20" w:before="48" w:afterLines="20" w:after="48"/>
              <w:jc w:val="center"/>
              <w:rPr>
                <w:noProof/>
                <w:sz w:val="20"/>
                <w:szCs w:val="20"/>
              </w:rPr>
            </w:pPr>
          </w:p>
        </w:tc>
        <w:tc>
          <w:tcPr>
            <w:tcW w:w="537" w:type="pct"/>
            <w:gridSpan w:val="2"/>
            <w:shd w:val="clear" w:color="auto" w:fill="auto"/>
            <w:vAlign w:val="center"/>
          </w:tcPr>
          <w:p w:rsidR="00824C36" w:rsidRDefault="00824C36">
            <w:pPr>
              <w:spacing w:beforeLines="20" w:before="48" w:afterLines="20" w:after="48"/>
              <w:jc w:val="center"/>
              <w:rPr>
                <w:noProof/>
                <w:sz w:val="20"/>
                <w:szCs w:val="20"/>
              </w:rPr>
            </w:pPr>
          </w:p>
        </w:tc>
        <w:tc>
          <w:tcPr>
            <w:tcW w:w="545" w:type="pct"/>
            <w:gridSpan w:val="3"/>
            <w:shd w:val="clear" w:color="auto" w:fill="auto"/>
            <w:vAlign w:val="center"/>
          </w:tcPr>
          <w:p w:rsidR="00824C36" w:rsidRDefault="00824C36">
            <w:pPr>
              <w:spacing w:beforeLines="20" w:before="48" w:afterLines="20" w:after="48"/>
              <w:jc w:val="center"/>
              <w:rPr>
                <w:noProof/>
                <w:sz w:val="20"/>
                <w:szCs w:val="20"/>
              </w:rPr>
            </w:pPr>
          </w:p>
        </w:tc>
      </w:tr>
      <w:tr w:rsidR="00824C36">
        <w:trPr>
          <w:trHeight w:val="289"/>
          <w:jc w:val="center"/>
        </w:trPr>
        <w:tc>
          <w:tcPr>
            <w:tcW w:w="3382" w:type="pct"/>
            <w:gridSpan w:val="2"/>
            <w:shd w:val="clear" w:color="auto" w:fill="auto"/>
            <w:vAlign w:val="center"/>
          </w:tcPr>
          <w:p w:rsidR="00824C36" w:rsidRDefault="00B97963">
            <w:pPr>
              <w:spacing w:beforeLines="20" w:before="48" w:afterLines="20" w:after="48"/>
              <w:ind w:left="984"/>
              <w:jc w:val="left"/>
              <w:rPr>
                <w:noProof/>
                <w:sz w:val="20"/>
                <w:szCs w:val="20"/>
              </w:rPr>
            </w:pPr>
            <w:r>
              <w:rPr>
                <w:noProof/>
                <w:sz w:val="20"/>
              </w:rPr>
              <w:t xml:space="preserve">10 01 05 01 </w:t>
            </w:r>
            <w:r>
              <w:rPr>
                <w:noProof/>
                <w:sz w:val="20"/>
              </w:rPr>
              <w:t>(recherche directe)</w:t>
            </w:r>
          </w:p>
        </w:tc>
        <w:tc>
          <w:tcPr>
            <w:tcW w:w="536" w:type="pct"/>
            <w:gridSpan w:val="2"/>
            <w:shd w:val="clear" w:color="auto" w:fill="auto"/>
            <w:vAlign w:val="center"/>
          </w:tcPr>
          <w:p w:rsidR="00824C36" w:rsidRDefault="00824C36">
            <w:pPr>
              <w:spacing w:beforeLines="20" w:before="48" w:afterLines="20" w:after="48"/>
              <w:jc w:val="center"/>
              <w:rPr>
                <w:noProof/>
                <w:sz w:val="20"/>
                <w:szCs w:val="20"/>
              </w:rPr>
            </w:pPr>
          </w:p>
        </w:tc>
        <w:tc>
          <w:tcPr>
            <w:tcW w:w="537" w:type="pct"/>
            <w:gridSpan w:val="2"/>
            <w:shd w:val="clear" w:color="auto" w:fill="auto"/>
            <w:vAlign w:val="center"/>
          </w:tcPr>
          <w:p w:rsidR="00824C36" w:rsidRDefault="00824C36">
            <w:pPr>
              <w:spacing w:beforeLines="20" w:before="48" w:afterLines="20" w:after="48"/>
              <w:jc w:val="center"/>
              <w:rPr>
                <w:noProof/>
                <w:sz w:val="20"/>
                <w:szCs w:val="20"/>
              </w:rPr>
            </w:pPr>
          </w:p>
        </w:tc>
        <w:tc>
          <w:tcPr>
            <w:tcW w:w="545" w:type="pct"/>
            <w:gridSpan w:val="3"/>
            <w:shd w:val="clear" w:color="auto" w:fill="auto"/>
            <w:vAlign w:val="center"/>
          </w:tcPr>
          <w:p w:rsidR="00824C36" w:rsidRDefault="00824C36">
            <w:pPr>
              <w:spacing w:beforeLines="20" w:before="48" w:afterLines="20" w:after="48"/>
              <w:jc w:val="center"/>
              <w:rPr>
                <w:noProof/>
                <w:sz w:val="20"/>
                <w:szCs w:val="20"/>
              </w:rPr>
            </w:pPr>
          </w:p>
        </w:tc>
      </w:tr>
      <w:tr w:rsidR="00824C36">
        <w:trPr>
          <w:trHeight w:val="289"/>
          <w:jc w:val="center"/>
        </w:trPr>
        <w:tc>
          <w:tcPr>
            <w:tcW w:w="5000" w:type="pct"/>
            <w:gridSpan w:val="9"/>
            <w:shd w:val="clear" w:color="auto" w:fill="auto"/>
            <w:vAlign w:val="center"/>
          </w:tcPr>
          <w:p w:rsidR="00824C36" w:rsidRDefault="00B97963">
            <w:pPr>
              <w:spacing w:beforeLines="20" w:before="48" w:afterLines="20" w:after="48"/>
              <w:jc w:val="left"/>
              <w:rPr>
                <w:noProof/>
                <w:sz w:val="20"/>
                <w:szCs w:val="20"/>
              </w:rPr>
            </w:pPr>
            <w:r>
              <w:rPr>
                <w:b/>
                <w:noProof/>
                <w:sz w:val="20"/>
                <w:szCs w:val="20"/>
              </w:rPr>
              <w:sym w:font="Wingdings" w:char="F09F"/>
            </w:r>
            <w:r>
              <w:rPr>
                <w:b/>
                <w:noProof/>
                <w:sz w:val="20"/>
              </w:rPr>
              <w:t xml:space="preserve"> Personnel externe (en équivalents temps plein - ETP)</w:t>
            </w:r>
            <w:r>
              <w:rPr>
                <w:rStyle w:val="FootnoteReference"/>
                <w:noProof/>
              </w:rPr>
              <w:footnoteReference w:id="29"/>
            </w:r>
          </w:p>
        </w:tc>
      </w:tr>
      <w:tr w:rsidR="00824C36">
        <w:trPr>
          <w:gridAfter w:val="1"/>
          <w:wAfter w:w="12" w:type="pct"/>
          <w:trHeight w:val="289"/>
          <w:jc w:val="center"/>
        </w:trPr>
        <w:tc>
          <w:tcPr>
            <w:tcW w:w="3382" w:type="pct"/>
            <w:gridSpan w:val="2"/>
            <w:shd w:val="clear" w:color="auto" w:fill="auto"/>
            <w:vAlign w:val="center"/>
          </w:tcPr>
          <w:p w:rsidR="00824C36" w:rsidRDefault="00B97963">
            <w:pPr>
              <w:spacing w:beforeLines="20" w:before="48" w:afterLines="20" w:after="48"/>
              <w:ind w:left="986"/>
              <w:jc w:val="left"/>
              <w:rPr>
                <w:b/>
                <w:noProof/>
                <w:sz w:val="20"/>
                <w:szCs w:val="20"/>
              </w:rPr>
            </w:pPr>
            <w:r>
              <w:rPr>
                <w:noProof/>
                <w:sz w:val="20"/>
              </w:rPr>
              <w:t>23 01 02 01 (AC, INT et END de l’«enveloppe globale»)</w:t>
            </w:r>
          </w:p>
        </w:tc>
        <w:tc>
          <w:tcPr>
            <w:tcW w:w="515" w:type="pct"/>
            <w:shd w:val="clear" w:color="auto" w:fill="auto"/>
            <w:vAlign w:val="center"/>
          </w:tcPr>
          <w:p w:rsidR="00824C36" w:rsidRDefault="00B97963">
            <w:pPr>
              <w:spacing w:beforeLines="20" w:before="48" w:afterLines="20" w:after="48"/>
              <w:jc w:val="center"/>
              <w:rPr>
                <w:noProof/>
                <w:sz w:val="20"/>
                <w:szCs w:val="20"/>
              </w:rPr>
            </w:pPr>
            <w:r>
              <w:rPr>
                <w:noProof/>
                <w:sz w:val="20"/>
              </w:rPr>
              <w:t>10</w:t>
            </w:r>
          </w:p>
        </w:tc>
        <w:tc>
          <w:tcPr>
            <w:tcW w:w="513" w:type="pct"/>
            <w:gridSpan w:val="2"/>
            <w:shd w:val="clear" w:color="auto" w:fill="auto"/>
            <w:vAlign w:val="center"/>
          </w:tcPr>
          <w:p w:rsidR="00824C36" w:rsidRDefault="00B97963">
            <w:pPr>
              <w:spacing w:beforeLines="20" w:before="48" w:afterLines="20" w:after="48"/>
              <w:jc w:val="center"/>
              <w:rPr>
                <w:noProof/>
                <w:sz w:val="20"/>
                <w:szCs w:val="20"/>
              </w:rPr>
            </w:pPr>
            <w:r>
              <w:rPr>
                <w:noProof/>
                <w:sz w:val="20"/>
              </w:rPr>
              <w:t>24</w:t>
            </w:r>
          </w:p>
        </w:tc>
        <w:tc>
          <w:tcPr>
            <w:tcW w:w="578" w:type="pct"/>
            <w:gridSpan w:val="3"/>
            <w:shd w:val="clear" w:color="auto" w:fill="auto"/>
            <w:vAlign w:val="center"/>
          </w:tcPr>
          <w:p w:rsidR="00824C36" w:rsidRDefault="00B97963">
            <w:pPr>
              <w:spacing w:beforeLines="20" w:before="48" w:afterLines="20" w:after="48"/>
              <w:jc w:val="center"/>
              <w:rPr>
                <w:noProof/>
                <w:sz w:val="20"/>
                <w:szCs w:val="20"/>
              </w:rPr>
            </w:pPr>
            <w:r>
              <w:rPr>
                <w:noProof/>
                <w:sz w:val="20"/>
              </w:rPr>
              <w:t>31</w:t>
            </w:r>
          </w:p>
        </w:tc>
      </w:tr>
      <w:tr w:rsidR="00824C36">
        <w:trPr>
          <w:gridAfter w:val="1"/>
          <w:wAfter w:w="12" w:type="pct"/>
          <w:trHeight w:val="289"/>
          <w:jc w:val="center"/>
        </w:trPr>
        <w:tc>
          <w:tcPr>
            <w:tcW w:w="3382" w:type="pct"/>
            <w:gridSpan w:val="2"/>
            <w:shd w:val="clear" w:color="auto" w:fill="auto"/>
            <w:vAlign w:val="center"/>
          </w:tcPr>
          <w:p w:rsidR="00824C36" w:rsidRDefault="00B97963">
            <w:pPr>
              <w:spacing w:beforeLines="20" w:before="48" w:afterLines="20" w:after="48"/>
              <w:ind w:left="986"/>
              <w:jc w:val="left"/>
              <w:rPr>
                <w:noProof/>
                <w:sz w:val="20"/>
                <w:szCs w:val="20"/>
              </w:rPr>
            </w:pPr>
            <w:r>
              <w:rPr>
                <w:noProof/>
                <w:sz w:val="20"/>
              </w:rPr>
              <w:t>XX 01 02 02 (AC, INT, JED, AL et END dans les délégations)</w:t>
            </w:r>
          </w:p>
        </w:tc>
        <w:tc>
          <w:tcPr>
            <w:tcW w:w="515" w:type="pct"/>
            <w:shd w:val="clear" w:color="auto" w:fill="auto"/>
            <w:vAlign w:val="center"/>
          </w:tcPr>
          <w:p w:rsidR="00824C36" w:rsidRDefault="00824C36">
            <w:pPr>
              <w:spacing w:beforeLines="20" w:before="48" w:afterLines="20" w:after="48"/>
              <w:jc w:val="center"/>
              <w:rPr>
                <w:noProof/>
                <w:sz w:val="20"/>
                <w:szCs w:val="20"/>
              </w:rPr>
            </w:pPr>
          </w:p>
        </w:tc>
        <w:tc>
          <w:tcPr>
            <w:tcW w:w="513" w:type="pct"/>
            <w:gridSpan w:val="2"/>
            <w:shd w:val="clear" w:color="auto" w:fill="auto"/>
            <w:vAlign w:val="center"/>
          </w:tcPr>
          <w:p w:rsidR="00824C36" w:rsidRDefault="00824C36">
            <w:pPr>
              <w:spacing w:beforeLines="20" w:before="48" w:afterLines="20" w:after="48"/>
              <w:jc w:val="center"/>
              <w:rPr>
                <w:noProof/>
                <w:sz w:val="20"/>
                <w:szCs w:val="20"/>
              </w:rPr>
            </w:pPr>
          </w:p>
        </w:tc>
        <w:tc>
          <w:tcPr>
            <w:tcW w:w="578" w:type="pct"/>
            <w:gridSpan w:val="3"/>
            <w:shd w:val="clear" w:color="auto" w:fill="auto"/>
            <w:vAlign w:val="center"/>
          </w:tcPr>
          <w:p w:rsidR="00824C36" w:rsidRDefault="00824C36">
            <w:pPr>
              <w:spacing w:beforeLines="20" w:before="48" w:afterLines="20" w:after="48"/>
              <w:jc w:val="center"/>
              <w:rPr>
                <w:noProof/>
                <w:sz w:val="20"/>
                <w:szCs w:val="20"/>
              </w:rPr>
            </w:pPr>
          </w:p>
        </w:tc>
      </w:tr>
      <w:tr w:rsidR="00824C36">
        <w:trPr>
          <w:gridAfter w:val="1"/>
          <w:wAfter w:w="12" w:type="pct"/>
          <w:trHeight w:val="289"/>
          <w:jc w:val="center"/>
        </w:trPr>
        <w:tc>
          <w:tcPr>
            <w:tcW w:w="1296" w:type="pct"/>
            <w:vMerge w:val="restart"/>
            <w:shd w:val="clear" w:color="auto" w:fill="auto"/>
            <w:vAlign w:val="center"/>
          </w:tcPr>
          <w:p w:rsidR="00824C36" w:rsidRDefault="00B97963">
            <w:pPr>
              <w:spacing w:beforeLines="20" w:before="48" w:afterLines="20" w:after="48"/>
              <w:ind w:left="986"/>
              <w:jc w:val="left"/>
              <w:rPr>
                <w:b/>
                <w:noProof/>
                <w:sz w:val="20"/>
                <w:szCs w:val="20"/>
              </w:rPr>
            </w:pPr>
            <w:r>
              <w:rPr>
                <w:b/>
                <w:noProof/>
                <w:sz w:val="20"/>
              </w:rPr>
              <w:t>XX</w:t>
            </w:r>
            <w:r>
              <w:rPr>
                <w:noProof/>
                <w:sz w:val="20"/>
              </w:rPr>
              <w:t xml:space="preserve"> 01 04 </w:t>
            </w:r>
            <w:r>
              <w:rPr>
                <w:b/>
                <w:i/>
                <w:noProof/>
                <w:sz w:val="20"/>
              </w:rPr>
              <w:t xml:space="preserve">yy </w:t>
            </w:r>
            <w:r>
              <w:rPr>
                <w:rStyle w:val="FootnoteReference"/>
                <w:noProof/>
              </w:rPr>
              <w:footnoteReference w:id="30"/>
            </w:r>
          </w:p>
        </w:tc>
        <w:tc>
          <w:tcPr>
            <w:tcW w:w="2086" w:type="pct"/>
            <w:shd w:val="clear" w:color="auto" w:fill="auto"/>
            <w:vAlign w:val="center"/>
          </w:tcPr>
          <w:p w:rsidR="00824C36" w:rsidRDefault="00B97963">
            <w:pPr>
              <w:spacing w:beforeLines="20" w:before="48" w:afterLines="20" w:after="48"/>
              <w:ind w:left="986"/>
              <w:jc w:val="left"/>
              <w:rPr>
                <w:b/>
                <w:noProof/>
                <w:sz w:val="20"/>
                <w:szCs w:val="20"/>
              </w:rPr>
            </w:pPr>
            <w:r>
              <w:rPr>
                <w:noProof/>
                <w:sz w:val="20"/>
              </w:rPr>
              <w:t>- au siège</w:t>
            </w:r>
            <w:r>
              <w:rPr>
                <w:rStyle w:val="FootnoteReference"/>
                <w:noProof/>
              </w:rPr>
              <w:footnoteReference w:id="31"/>
            </w:r>
          </w:p>
        </w:tc>
        <w:tc>
          <w:tcPr>
            <w:tcW w:w="515" w:type="pct"/>
            <w:shd w:val="clear" w:color="auto" w:fill="auto"/>
            <w:vAlign w:val="center"/>
          </w:tcPr>
          <w:p w:rsidR="00824C36" w:rsidRDefault="00824C36">
            <w:pPr>
              <w:spacing w:beforeLines="20" w:before="48" w:afterLines="20" w:after="48"/>
              <w:jc w:val="center"/>
              <w:rPr>
                <w:noProof/>
                <w:sz w:val="20"/>
                <w:szCs w:val="20"/>
              </w:rPr>
            </w:pPr>
          </w:p>
        </w:tc>
        <w:tc>
          <w:tcPr>
            <w:tcW w:w="513" w:type="pct"/>
            <w:gridSpan w:val="2"/>
            <w:shd w:val="clear" w:color="auto" w:fill="auto"/>
            <w:vAlign w:val="center"/>
          </w:tcPr>
          <w:p w:rsidR="00824C36" w:rsidRDefault="00824C36">
            <w:pPr>
              <w:spacing w:beforeLines="20" w:before="48" w:afterLines="20" w:after="48"/>
              <w:jc w:val="center"/>
              <w:rPr>
                <w:noProof/>
                <w:sz w:val="20"/>
                <w:szCs w:val="20"/>
              </w:rPr>
            </w:pPr>
          </w:p>
        </w:tc>
        <w:tc>
          <w:tcPr>
            <w:tcW w:w="578" w:type="pct"/>
            <w:gridSpan w:val="3"/>
            <w:shd w:val="clear" w:color="auto" w:fill="auto"/>
            <w:vAlign w:val="center"/>
          </w:tcPr>
          <w:p w:rsidR="00824C36" w:rsidRDefault="00824C36">
            <w:pPr>
              <w:spacing w:beforeLines="20" w:before="48" w:afterLines="20" w:after="48"/>
              <w:jc w:val="center"/>
              <w:rPr>
                <w:noProof/>
                <w:sz w:val="20"/>
                <w:szCs w:val="20"/>
              </w:rPr>
            </w:pPr>
          </w:p>
        </w:tc>
      </w:tr>
      <w:tr w:rsidR="00824C36">
        <w:trPr>
          <w:gridAfter w:val="1"/>
          <w:wAfter w:w="12" w:type="pct"/>
          <w:trHeight w:val="289"/>
          <w:jc w:val="center"/>
        </w:trPr>
        <w:tc>
          <w:tcPr>
            <w:tcW w:w="0" w:type="auto"/>
            <w:vMerge/>
            <w:shd w:val="clear" w:color="auto" w:fill="auto"/>
            <w:vAlign w:val="center"/>
          </w:tcPr>
          <w:p w:rsidR="00824C36" w:rsidRDefault="00824C36">
            <w:pPr>
              <w:rPr>
                <w:b/>
                <w:noProof/>
                <w:sz w:val="20"/>
                <w:szCs w:val="20"/>
              </w:rPr>
            </w:pPr>
          </w:p>
        </w:tc>
        <w:tc>
          <w:tcPr>
            <w:tcW w:w="2086" w:type="pct"/>
            <w:shd w:val="clear" w:color="auto" w:fill="auto"/>
            <w:vAlign w:val="center"/>
          </w:tcPr>
          <w:p w:rsidR="00824C36" w:rsidRDefault="00B97963">
            <w:pPr>
              <w:spacing w:beforeLines="20" w:before="48" w:afterLines="20" w:after="48"/>
              <w:ind w:left="986"/>
              <w:jc w:val="left"/>
              <w:rPr>
                <w:b/>
                <w:noProof/>
                <w:sz w:val="20"/>
                <w:szCs w:val="20"/>
              </w:rPr>
            </w:pPr>
            <w:r>
              <w:rPr>
                <w:noProof/>
                <w:sz w:val="20"/>
              </w:rPr>
              <w:t xml:space="preserve">- dans les délégations </w:t>
            </w:r>
          </w:p>
        </w:tc>
        <w:tc>
          <w:tcPr>
            <w:tcW w:w="515" w:type="pct"/>
            <w:shd w:val="clear" w:color="auto" w:fill="auto"/>
            <w:vAlign w:val="center"/>
          </w:tcPr>
          <w:p w:rsidR="00824C36" w:rsidRDefault="00824C36">
            <w:pPr>
              <w:spacing w:beforeLines="20" w:before="48" w:afterLines="20" w:after="48"/>
              <w:jc w:val="center"/>
              <w:rPr>
                <w:noProof/>
                <w:sz w:val="20"/>
                <w:szCs w:val="20"/>
              </w:rPr>
            </w:pPr>
          </w:p>
        </w:tc>
        <w:tc>
          <w:tcPr>
            <w:tcW w:w="513" w:type="pct"/>
            <w:gridSpan w:val="2"/>
            <w:shd w:val="clear" w:color="auto" w:fill="auto"/>
            <w:vAlign w:val="center"/>
          </w:tcPr>
          <w:p w:rsidR="00824C36" w:rsidRDefault="00824C36">
            <w:pPr>
              <w:spacing w:beforeLines="20" w:before="48" w:afterLines="20" w:after="48"/>
              <w:jc w:val="center"/>
              <w:rPr>
                <w:noProof/>
                <w:sz w:val="20"/>
                <w:szCs w:val="20"/>
              </w:rPr>
            </w:pPr>
          </w:p>
        </w:tc>
        <w:tc>
          <w:tcPr>
            <w:tcW w:w="578" w:type="pct"/>
            <w:gridSpan w:val="3"/>
            <w:shd w:val="clear" w:color="auto" w:fill="auto"/>
            <w:vAlign w:val="center"/>
          </w:tcPr>
          <w:p w:rsidR="00824C36" w:rsidRDefault="00824C36">
            <w:pPr>
              <w:spacing w:beforeLines="20" w:before="48" w:afterLines="20" w:after="48"/>
              <w:jc w:val="center"/>
              <w:rPr>
                <w:noProof/>
                <w:sz w:val="20"/>
                <w:szCs w:val="20"/>
              </w:rPr>
            </w:pPr>
          </w:p>
        </w:tc>
      </w:tr>
      <w:tr w:rsidR="00824C36">
        <w:trPr>
          <w:gridAfter w:val="1"/>
          <w:wAfter w:w="12" w:type="pct"/>
          <w:trHeight w:val="289"/>
          <w:jc w:val="center"/>
        </w:trPr>
        <w:tc>
          <w:tcPr>
            <w:tcW w:w="3382" w:type="pct"/>
            <w:gridSpan w:val="2"/>
            <w:shd w:val="clear" w:color="auto" w:fill="auto"/>
            <w:vAlign w:val="center"/>
          </w:tcPr>
          <w:p w:rsidR="00824C36" w:rsidRDefault="00B97963">
            <w:pPr>
              <w:spacing w:beforeLines="20" w:before="48" w:afterLines="20" w:after="48"/>
              <w:ind w:left="986"/>
              <w:jc w:val="left"/>
              <w:rPr>
                <w:noProof/>
                <w:sz w:val="20"/>
                <w:szCs w:val="20"/>
              </w:rPr>
            </w:pPr>
            <w:r>
              <w:rPr>
                <w:b/>
                <w:noProof/>
                <w:sz w:val="20"/>
              </w:rPr>
              <w:t>XX</w:t>
            </w:r>
            <w:r>
              <w:rPr>
                <w:i/>
                <w:noProof/>
                <w:sz w:val="20"/>
              </w:rPr>
              <w:t xml:space="preserve"> </w:t>
            </w:r>
            <w:r>
              <w:rPr>
                <w:noProof/>
                <w:sz w:val="20"/>
              </w:rPr>
              <w:t>01 05 02 (AC, INT et END sur recherche indirecte)</w:t>
            </w:r>
          </w:p>
        </w:tc>
        <w:tc>
          <w:tcPr>
            <w:tcW w:w="515" w:type="pct"/>
            <w:shd w:val="clear" w:color="auto" w:fill="auto"/>
            <w:vAlign w:val="center"/>
          </w:tcPr>
          <w:p w:rsidR="00824C36" w:rsidRDefault="00824C36">
            <w:pPr>
              <w:spacing w:beforeLines="20" w:before="48" w:afterLines="20" w:after="48"/>
              <w:jc w:val="center"/>
              <w:rPr>
                <w:noProof/>
                <w:sz w:val="20"/>
                <w:szCs w:val="20"/>
              </w:rPr>
            </w:pPr>
          </w:p>
        </w:tc>
        <w:tc>
          <w:tcPr>
            <w:tcW w:w="513" w:type="pct"/>
            <w:gridSpan w:val="2"/>
            <w:shd w:val="clear" w:color="auto" w:fill="auto"/>
            <w:vAlign w:val="center"/>
          </w:tcPr>
          <w:p w:rsidR="00824C36" w:rsidRDefault="00824C36">
            <w:pPr>
              <w:spacing w:beforeLines="20" w:before="48" w:afterLines="20" w:after="48"/>
              <w:jc w:val="center"/>
              <w:rPr>
                <w:noProof/>
                <w:sz w:val="20"/>
                <w:szCs w:val="20"/>
              </w:rPr>
            </w:pPr>
          </w:p>
        </w:tc>
        <w:tc>
          <w:tcPr>
            <w:tcW w:w="578" w:type="pct"/>
            <w:gridSpan w:val="3"/>
            <w:shd w:val="clear" w:color="auto" w:fill="auto"/>
            <w:vAlign w:val="center"/>
          </w:tcPr>
          <w:p w:rsidR="00824C36" w:rsidRDefault="00824C36">
            <w:pPr>
              <w:spacing w:beforeLines="20" w:before="48" w:afterLines="20" w:after="48"/>
              <w:jc w:val="center"/>
              <w:rPr>
                <w:noProof/>
                <w:sz w:val="20"/>
                <w:szCs w:val="20"/>
              </w:rPr>
            </w:pPr>
          </w:p>
        </w:tc>
      </w:tr>
      <w:tr w:rsidR="00824C36">
        <w:trPr>
          <w:gridAfter w:val="1"/>
          <w:wAfter w:w="12" w:type="pct"/>
          <w:trHeight w:val="289"/>
          <w:jc w:val="center"/>
        </w:trPr>
        <w:tc>
          <w:tcPr>
            <w:tcW w:w="3382" w:type="pct"/>
            <w:gridSpan w:val="2"/>
            <w:shd w:val="clear" w:color="auto" w:fill="auto"/>
            <w:vAlign w:val="center"/>
          </w:tcPr>
          <w:p w:rsidR="00824C36" w:rsidRDefault="00B97963">
            <w:pPr>
              <w:spacing w:beforeLines="20" w:before="48" w:afterLines="20" w:after="48"/>
              <w:ind w:left="986"/>
              <w:jc w:val="left"/>
              <w:rPr>
                <w:noProof/>
                <w:sz w:val="20"/>
                <w:szCs w:val="20"/>
              </w:rPr>
            </w:pPr>
            <w:r>
              <w:rPr>
                <w:noProof/>
                <w:sz w:val="20"/>
              </w:rPr>
              <w:t>10</w:t>
            </w:r>
            <w:r>
              <w:rPr>
                <w:i/>
                <w:noProof/>
                <w:sz w:val="20"/>
              </w:rPr>
              <w:t xml:space="preserve"> </w:t>
            </w:r>
            <w:r>
              <w:rPr>
                <w:noProof/>
                <w:sz w:val="20"/>
              </w:rPr>
              <w:t>01 05 02 (AC, INT et END sur recherche directe)</w:t>
            </w:r>
          </w:p>
        </w:tc>
        <w:tc>
          <w:tcPr>
            <w:tcW w:w="515" w:type="pct"/>
            <w:shd w:val="clear" w:color="auto" w:fill="auto"/>
            <w:vAlign w:val="center"/>
          </w:tcPr>
          <w:p w:rsidR="00824C36" w:rsidRDefault="00824C36">
            <w:pPr>
              <w:spacing w:beforeLines="20" w:before="48" w:afterLines="20" w:after="48"/>
              <w:jc w:val="center"/>
              <w:rPr>
                <w:noProof/>
                <w:sz w:val="20"/>
                <w:szCs w:val="20"/>
              </w:rPr>
            </w:pPr>
          </w:p>
        </w:tc>
        <w:tc>
          <w:tcPr>
            <w:tcW w:w="513" w:type="pct"/>
            <w:gridSpan w:val="2"/>
            <w:shd w:val="clear" w:color="auto" w:fill="auto"/>
            <w:vAlign w:val="center"/>
          </w:tcPr>
          <w:p w:rsidR="00824C36" w:rsidRDefault="00824C36">
            <w:pPr>
              <w:spacing w:beforeLines="20" w:before="48" w:afterLines="20" w:after="48"/>
              <w:jc w:val="center"/>
              <w:rPr>
                <w:noProof/>
                <w:sz w:val="20"/>
                <w:szCs w:val="20"/>
              </w:rPr>
            </w:pPr>
          </w:p>
        </w:tc>
        <w:tc>
          <w:tcPr>
            <w:tcW w:w="578" w:type="pct"/>
            <w:gridSpan w:val="3"/>
            <w:shd w:val="clear" w:color="auto" w:fill="auto"/>
            <w:vAlign w:val="center"/>
          </w:tcPr>
          <w:p w:rsidR="00824C36" w:rsidRDefault="00824C36">
            <w:pPr>
              <w:spacing w:beforeLines="20" w:before="48" w:afterLines="20" w:after="48"/>
              <w:jc w:val="center"/>
              <w:rPr>
                <w:noProof/>
                <w:sz w:val="20"/>
                <w:szCs w:val="20"/>
              </w:rPr>
            </w:pPr>
          </w:p>
        </w:tc>
      </w:tr>
      <w:tr w:rsidR="00824C36">
        <w:trPr>
          <w:gridAfter w:val="1"/>
          <w:wAfter w:w="12" w:type="pct"/>
          <w:trHeight w:val="289"/>
          <w:jc w:val="center"/>
        </w:trPr>
        <w:tc>
          <w:tcPr>
            <w:tcW w:w="3382" w:type="pct"/>
            <w:gridSpan w:val="2"/>
            <w:tcBorders>
              <w:bottom w:val="double" w:sz="4" w:space="0" w:color="auto"/>
            </w:tcBorders>
            <w:shd w:val="clear" w:color="auto" w:fill="auto"/>
            <w:vAlign w:val="center"/>
          </w:tcPr>
          <w:p w:rsidR="00824C36" w:rsidRDefault="00B97963">
            <w:pPr>
              <w:spacing w:beforeLines="20" w:before="48" w:afterLines="20" w:after="48"/>
              <w:ind w:left="984"/>
              <w:jc w:val="left"/>
              <w:rPr>
                <w:noProof/>
                <w:sz w:val="20"/>
                <w:szCs w:val="20"/>
              </w:rPr>
            </w:pPr>
            <w:r>
              <w:rPr>
                <w:noProof/>
                <w:sz w:val="20"/>
              </w:rPr>
              <w:t>Autres lignes budgétaires (à préciser)</w:t>
            </w:r>
          </w:p>
        </w:tc>
        <w:tc>
          <w:tcPr>
            <w:tcW w:w="515" w:type="pct"/>
            <w:tcBorders>
              <w:bottom w:val="double" w:sz="4" w:space="0" w:color="auto"/>
            </w:tcBorders>
            <w:shd w:val="clear" w:color="auto" w:fill="auto"/>
            <w:vAlign w:val="center"/>
          </w:tcPr>
          <w:p w:rsidR="00824C36" w:rsidRDefault="00824C36">
            <w:pPr>
              <w:spacing w:beforeLines="20" w:before="48" w:afterLines="20" w:after="48"/>
              <w:jc w:val="center"/>
              <w:rPr>
                <w:noProof/>
                <w:sz w:val="20"/>
                <w:szCs w:val="20"/>
              </w:rPr>
            </w:pPr>
          </w:p>
        </w:tc>
        <w:tc>
          <w:tcPr>
            <w:tcW w:w="513" w:type="pct"/>
            <w:gridSpan w:val="2"/>
            <w:tcBorders>
              <w:bottom w:val="double" w:sz="4" w:space="0" w:color="auto"/>
            </w:tcBorders>
            <w:shd w:val="clear" w:color="auto" w:fill="auto"/>
            <w:vAlign w:val="center"/>
          </w:tcPr>
          <w:p w:rsidR="00824C36" w:rsidRDefault="00824C36">
            <w:pPr>
              <w:spacing w:beforeLines="20" w:before="48" w:afterLines="20" w:after="48"/>
              <w:jc w:val="center"/>
              <w:rPr>
                <w:noProof/>
                <w:sz w:val="20"/>
                <w:szCs w:val="20"/>
              </w:rPr>
            </w:pPr>
          </w:p>
        </w:tc>
        <w:tc>
          <w:tcPr>
            <w:tcW w:w="578" w:type="pct"/>
            <w:gridSpan w:val="3"/>
            <w:tcBorders>
              <w:bottom w:val="double" w:sz="4" w:space="0" w:color="auto"/>
            </w:tcBorders>
            <w:shd w:val="clear" w:color="auto" w:fill="auto"/>
            <w:vAlign w:val="center"/>
          </w:tcPr>
          <w:p w:rsidR="00824C36" w:rsidRDefault="00824C36">
            <w:pPr>
              <w:spacing w:beforeLines="20" w:before="48" w:afterLines="20" w:after="48"/>
              <w:jc w:val="center"/>
              <w:rPr>
                <w:noProof/>
                <w:sz w:val="20"/>
                <w:szCs w:val="20"/>
              </w:rPr>
            </w:pPr>
          </w:p>
        </w:tc>
      </w:tr>
      <w:tr w:rsidR="00824C36">
        <w:trPr>
          <w:gridAfter w:val="2"/>
          <w:wAfter w:w="35" w:type="pct"/>
          <w:trHeight w:val="289"/>
          <w:jc w:val="center"/>
        </w:trPr>
        <w:tc>
          <w:tcPr>
            <w:tcW w:w="3382" w:type="pct"/>
            <w:gridSpan w:val="2"/>
            <w:tcBorders>
              <w:top w:val="double" w:sz="4" w:space="0" w:color="auto"/>
            </w:tcBorders>
            <w:shd w:val="clear" w:color="auto" w:fill="auto"/>
            <w:vAlign w:val="center"/>
          </w:tcPr>
          <w:p w:rsidR="00824C36" w:rsidRDefault="00B97963">
            <w:pPr>
              <w:spacing w:beforeLines="20" w:before="48" w:afterLines="20" w:after="48"/>
              <w:ind w:left="986"/>
              <w:jc w:val="left"/>
              <w:rPr>
                <w:noProof/>
                <w:sz w:val="20"/>
                <w:szCs w:val="20"/>
              </w:rPr>
            </w:pPr>
            <w:r>
              <w:rPr>
                <w:b/>
                <w:noProof/>
                <w:sz w:val="20"/>
              </w:rPr>
              <w:t>TOTAL</w:t>
            </w:r>
          </w:p>
        </w:tc>
        <w:tc>
          <w:tcPr>
            <w:tcW w:w="515" w:type="pct"/>
            <w:tcBorders>
              <w:top w:val="double" w:sz="4" w:space="0" w:color="auto"/>
            </w:tcBorders>
            <w:shd w:val="clear" w:color="auto" w:fill="auto"/>
            <w:vAlign w:val="center"/>
          </w:tcPr>
          <w:p w:rsidR="00824C36" w:rsidRDefault="00B97963">
            <w:pPr>
              <w:spacing w:beforeLines="20" w:before="48" w:afterLines="20" w:after="48"/>
              <w:jc w:val="center"/>
              <w:rPr>
                <w:b/>
                <w:noProof/>
                <w:sz w:val="20"/>
                <w:szCs w:val="20"/>
              </w:rPr>
            </w:pPr>
            <w:r>
              <w:rPr>
                <w:b/>
                <w:noProof/>
                <w:sz w:val="20"/>
              </w:rPr>
              <w:t>17</w:t>
            </w:r>
          </w:p>
        </w:tc>
        <w:tc>
          <w:tcPr>
            <w:tcW w:w="513" w:type="pct"/>
            <w:gridSpan w:val="2"/>
            <w:tcBorders>
              <w:top w:val="double" w:sz="4" w:space="0" w:color="auto"/>
            </w:tcBorders>
            <w:shd w:val="clear" w:color="auto" w:fill="auto"/>
            <w:vAlign w:val="center"/>
          </w:tcPr>
          <w:p w:rsidR="00824C36" w:rsidRDefault="00B97963">
            <w:pPr>
              <w:spacing w:beforeLines="20" w:before="48" w:afterLines="20" w:after="48"/>
              <w:jc w:val="center"/>
              <w:rPr>
                <w:b/>
                <w:noProof/>
                <w:sz w:val="20"/>
                <w:szCs w:val="20"/>
              </w:rPr>
            </w:pPr>
            <w:r>
              <w:rPr>
                <w:b/>
                <w:noProof/>
                <w:sz w:val="20"/>
              </w:rPr>
              <w:t>36</w:t>
            </w:r>
          </w:p>
        </w:tc>
        <w:tc>
          <w:tcPr>
            <w:tcW w:w="556" w:type="pct"/>
            <w:gridSpan w:val="2"/>
            <w:tcBorders>
              <w:top w:val="double" w:sz="4" w:space="0" w:color="auto"/>
            </w:tcBorders>
            <w:shd w:val="clear" w:color="auto" w:fill="auto"/>
            <w:vAlign w:val="center"/>
          </w:tcPr>
          <w:p w:rsidR="00824C36" w:rsidRDefault="00B97963">
            <w:pPr>
              <w:spacing w:beforeLines="20" w:before="48" w:afterLines="20" w:after="48"/>
              <w:jc w:val="center"/>
              <w:rPr>
                <w:b/>
                <w:noProof/>
                <w:sz w:val="20"/>
                <w:szCs w:val="20"/>
              </w:rPr>
            </w:pPr>
            <w:r>
              <w:rPr>
                <w:b/>
                <w:noProof/>
                <w:sz w:val="20"/>
              </w:rPr>
              <w:t>47</w:t>
            </w:r>
          </w:p>
        </w:tc>
      </w:tr>
    </w:tbl>
    <w:p w:rsidR="00824C36" w:rsidRDefault="00B97963">
      <w:pPr>
        <w:spacing w:after="60"/>
        <w:jc w:val="left"/>
        <w:rPr>
          <w:i/>
          <w:noProof/>
          <w:sz w:val="20"/>
        </w:rPr>
      </w:pPr>
      <w:r>
        <w:rPr>
          <w:i/>
          <w:noProof/>
          <w:sz w:val="22"/>
        </w:rPr>
        <w:t xml:space="preserve">* </w:t>
      </w:r>
      <w:r>
        <w:rPr>
          <w:i/>
          <w:noProof/>
          <w:sz w:val="20"/>
        </w:rPr>
        <w:t xml:space="preserve">Ces chiffres pourraient être complétés par 15 ETP </w:t>
      </w:r>
      <w:r>
        <w:rPr>
          <w:i/>
          <w:noProof/>
          <w:sz w:val="20"/>
        </w:rPr>
        <w:t>supplémentaires à pourvoir par redéploiement à charge d’autres DG au moyen d’un appel à manifestation d’intérêt.</w:t>
      </w:r>
    </w:p>
    <w:p w:rsidR="00824C36" w:rsidRDefault="00824C36">
      <w:pPr>
        <w:spacing w:after="60"/>
        <w:jc w:val="left"/>
        <w:rPr>
          <w:i/>
          <w:noProof/>
          <w:sz w:val="20"/>
        </w:rPr>
      </w:pPr>
    </w:p>
    <w:p w:rsidR="00824C36" w:rsidRDefault="00B97963">
      <w:pPr>
        <w:spacing w:before="60" w:after="60"/>
        <w:ind w:left="851"/>
        <w:rPr>
          <w:noProof/>
          <w:sz w:val="18"/>
          <w:szCs w:val="18"/>
        </w:rPr>
      </w:pPr>
      <w:r>
        <w:rPr>
          <w:b/>
          <w:noProof/>
          <w:sz w:val="18"/>
        </w:rPr>
        <w:t>XX</w:t>
      </w:r>
      <w:r>
        <w:rPr>
          <w:noProof/>
          <w:sz w:val="18"/>
        </w:rPr>
        <w:t xml:space="preserve"> est le domaine politique ou le titre concerné.</w:t>
      </w:r>
    </w:p>
    <w:p w:rsidR="00824C36" w:rsidRDefault="00B97963">
      <w:pPr>
        <w:ind w:left="850"/>
        <w:rPr>
          <w:noProof/>
          <w:sz w:val="18"/>
          <w:szCs w:val="18"/>
        </w:rPr>
      </w:pPr>
      <w:r>
        <w:rPr>
          <w:noProof/>
          <w:sz w:val="18"/>
        </w:rPr>
        <w:t xml:space="preserve">Les besoins en ressources humaines seront couverts par les effectifs de la DG déjà affectés </w:t>
      </w:r>
      <w:r>
        <w:rPr>
          <w:noProof/>
          <w:sz w:val="18"/>
        </w:rPr>
        <w:t>à la gestion de l'action et/ou redéployés en interne au sein de la DG, complétés le cas échéant par toute dotation additionnelle qui pourrait être allouée à la DG gestionnaire dans le cadre de la procédure d'allocation annuelle et à la lumière des contrain</w:t>
      </w:r>
      <w:r>
        <w:rPr>
          <w:noProof/>
          <w:sz w:val="18"/>
        </w:rPr>
        <w:t>tes budgétaires existantes.</w:t>
      </w:r>
    </w:p>
    <w:p w:rsidR="00824C36" w:rsidRDefault="00B97963">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824C36">
        <w:tc>
          <w:tcPr>
            <w:tcW w:w="3240" w:type="dxa"/>
          </w:tcPr>
          <w:p w:rsidR="00824C36" w:rsidRDefault="00B97963">
            <w:pPr>
              <w:rPr>
                <w:noProof/>
                <w:sz w:val="20"/>
              </w:rPr>
            </w:pPr>
            <w:r>
              <w:rPr>
                <w:noProof/>
                <w:sz w:val="20"/>
              </w:rPr>
              <w:t>Pour les fonctionnaires et agents temporaires</w:t>
            </w:r>
          </w:p>
        </w:tc>
        <w:tc>
          <w:tcPr>
            <w:tcW w:w="7200" w:type="dxa"/>
          </w:tcPr>
          <w:p w:rsidR="00824C36" w:rsidRDefault="00B97963">
            <w:pPr>
              <w:rPr>
                <w:noProof/>
                <w:sz w:val="20"/>
                <w:szCs w:val="20"/>
              </w:rPr>
            </w:pPr>
            <w:r>
              <w:rPr>
                <w:noProof/>
                <w:sz w:val="20"/>
              </w:rPr>
              <w:t>Le personnel supplémentaire requis pour la période 2018-2020 est nécessaire pour accomplir les tâches suivantes: a) développer et gérer la capacit</w:t>
            </w:r>
            <w:r>
              <w:rPr>
                <w:noProof/>
                <w:sz w:val="20"/>
              </w:rPr>
              <w:t>é RescEU nouvellement créée; b) renforcer la réserve constituée de manière volontaire; c) soutenir les unités politiques, y compris les activités de prévention; d) développer le concept d’académie européenne de protection civile et e) garantir des activité</w:t>
            </w:r>
            <w:r>
              <w:rPr>
                <w:noProof/>
                <w:sz w:val="20"/>
              </w:rPr>
              <w:t>s de gestion et de soutien.</w:t>
            </w:r>
          </w:p>
          <w:p w:rsidR="00824C36" w:rsidRDefault="00B97963">
            <w:pPr>
              <w:rPr>
                <w:noProof/>
                <w:sz w:val="20"/>
              </w:rPr>
            </w:pPr>
            <w:r>
              <w:rPr>
                <w:noProof/>
                <w:sz w:val="20"/>
              </w:rPr>
              <w:t>L’essentiel de l’augmentation des effectifs ira au développement de RescEU, à la réalisation de tâches telles que la gestion de l’acquisition et/ou de la prise en crédit-bail de moyens d'intervention (contrats), à la gestion des</w:t>
            </w:r>
            <w:r>
              <w:rPr>
                <w:noProof/>
                <w:sz w:val="20"/>
              </w:rPr>
              <w:t>dits moyens, aux tâches de contrôle et de coordination, ainsi qu’aux tâches de communication.</w:t>
            </w:r>
          </w:p>
        </w:tc>
      </w:tr>
      <w:tr w:rsidR="00824C36">
        <w:tc>
          <w:tcPr>
            <w:tcW w:w="3240" w:type="dxa"/>
          </w:tcPr>
          <w:p w:rsidR="00824C36" w:rsidRDefault="00B97963">
            <w:pPr>
              <w:spacing w:before="60" w:after="60"/>
              <w:rPr>
                <w:noProof/>
                <w:sz w:val="20"/>
              </w:rPr>
            </w:pPr>
            <w:r>
              <w:rPr>
                <w:noProof/>
                <w:sz w:val="20"/>
              </w:rPr>
              <w:t>Pour le personnel externe</w:t>
            </w:r>
          </w:p>
        </w:tc>
        <w:tc>
          <w:tcPr>
            <w:tcW w:w="7200" w:type="dxa"/>
          </w:tcPr>
          <w:p w:rsidR="00824C36" w:rsidRDefault="00B97963">
            <w:pPr>
              <w:rPr>
                <w:noProof/>
                <w:sz w:val="20"/>
              </w:rPr>
            </w:pPr>
            <w:r>
              <w:rPr>
                <w:noProof/>
                <w:sz w:val="20"/>
              </w:rPr>
              <w:t xml:space="preserve">Assurer le fonctionnement du centre de réaction d’urgence 24 h sur 24 et 7 jours sur 7; travaux nécessaires sur le terrain; soutien </w:t>
            </w:r>
            <w:r>
              <w:rPr>
                <w:noProof/>
                <w:sz w:val="20"/>
              </w:rPr>
              <w:t>administratif.</w:t>
            </w:r>
          </w:p>
        </w:tc>
      </w:tr>
    </w:tbl>
    <w:p w:rsidR="00824C36" w:rsidRDefault="00824C36">
      <w:pPr>
        <w:rPr>
          <w:noProof/>
        </w:rPr>
        <w:sectPr w:rsidR="00824C36" w:rsidSect="00B97963">
          <w:pgSz w:w="11907" w:h="16840"/>
          <w:pgMar w:top="1134" w:right="1418" w:bottom="1134" w:left="1418" w:header="709" w:footer="709" w:gutter="0"/>
          <w:cols w:space="708"/>
          <w:docGrid w:linePitch="360"/>
        </w:sectPr>
      </w:pPr>
    </w:p>
    <w:p w:rsidR="00824C36" w:rsidRDefault="00B97963">
      <w:pPr>
        <w:pStyle w:val="ManualNumPar3"/>
        <w:rPr>
          <w:noProof/>
        </w:rPr>
      </w:pPr>
      <w:r>
        <w:t>3.2.4.</w:t>
      </w:r>
      <w:r>
        <w:tab/>
      </w:r>
      <w:r>
        <w:rPr>
          <w:noProof/>
        </w:rPr>
        <w:t xml:space="preserve">Compatibilité avec le cadre financier pluriannuel actuel </w:t>
      </w:r>
    </w:p>
    <w:p w:rsidR="00824C36" w:rsidRDefault="00B97963">
      <w:pPr>
        <w:tabs>
          <w:tab w:val="num" w:pos="1134"/>
        </w:tabs>
        <w:ind w:left="1134" w:hanging="283"/>
        <w:rPr>
          <w:rFonts w:eastAsia="Times New Roman"/>
          <w:noProof/>
        </w:rPr>
      </w:pPr>
      <w:r>
        <w:rPr>
          <w:rFonts w:eastAsia="Times New Roman"/>
          <w:noProof/>
        </w:rPr>
        <w:sym w:font="Wingdings" w:char="F0A8"/>
      </w:r>
      <w:r>
        <w:rPr>
          <w:noProof/>
        </w:rPr>
        <w:tab/>
        <w:t>La proposition/l’initiative est compatible avec le cadre financier pluriannuel actuel.</w:t>
      </w:r>
    </w:p>
    <w:p w:rsidR="00824C36" w:rsidRDefault="00B97963">
      <w:pPr>
        <w:tabs>
          <w:tab w:val="num" w:pos="1134"/>
        </w:tabs>
        <w:ind w:left="1134" w:hanging="283"/>
        <w:rPr>
          <w:rFonts w:eastAsia="Times New Roman"/>
          <w:noProof/>
        </w:rPr>
      </w:pPr>
      <w:r>
        <w:rPr>
          <w:noProof/>
        </w:rPr>
        <w:t>X</w:t>
      </w:r>
      <w:r>
        <w:rPr>
          <w:noProof/>
        </w:rPr>
        <w:tab/>
        <w:t>La proposition/l’initiative nécessite une reprogrammation de l</w:t>
      </w:r>
      <w:r>
        <w:rPr>
          <w:noProof/>
        </w:rPr>
        <w:t>a rubrique concernée du cadre financier pluriannuel. Les montants suivants seront redéployés:</w:t>
      </w:r>
    </w:p>
    <w:tbl>
      <w:tblPr>
        <w:tblW w:w="8378" w:type="dxa"/>
        <w:tblInd w:w="93" w:type="dxa"/>
        <w:tblLook w:val="04A0" w:firstRow="1" w:lastRow="0" w:firstColumn="1" w:lastColumn="0" w:noHBand="0" w:noVBand="1"/>
      </w:tblPr>
      <w:tblGrid>
        <w:gridCol w:w="1258"/>
        <w:gridCol w:w="3560"/>
        <w:gridCol w:w="960"/>
        <w:gridCol w:w="960"/>
        <w:gridCol w:w="960"/>
        <w:gridCol w:w="960"/>
      </w:tblGrid>
      <w:tr w:rsidR="00824C36">
        <w:trPr>
          <w:trHeight w:val="300"/>
        </w:trPr>
        <w:tc>
          <w:tcPr>
            <w:tcW w:w="978" w:type="dxa"/>
            <w:tcBorders>
              <w:top w:val="single" w:sz="8" w:space="0" w:color="auto"/>
              <w:left w:val="single" w:sz="8" w:space="0" w:color="auto"/>
              <w:bottom w:val="nil"/>
              <w:right w:val="nil"/>
            </w:tcBorders>
            <w:shd w:val="clear" w:color="auto" w:fill="auto"/>
            <w:noWrap/>
            <w:vAlign w:val="bottom"/>
            <w:hideMark/>
          </w:tcPr>
          <w:p w:rsidR="00824C36" w:rsidRDefault="00B97963">
            <w:pPr>
              <w:spacing w:before="0" w:after="0"/>
              <w:jc w:val="left"/>
              <w:rPr>
                <w:rFonts w:ascii="Calibri" w:eastAsia="Times New Roman" w:hAnsi="Calibri"/>
                <w:noProof/>
                <w:color w:val="000000"/>
                <w:sz w:val="22"/>
              </w:rPr>
            </w:pPr>
            <w:r>
              <w:rPr>
                <w:rFonts w:ascii="Calibri" w:hAnsi="Calibri"/>
                <w:noProof/>
                <w:color w:val="000000"/>
                <w:sz w:val="22"/>
              </w:rPr>
              <w:t> </w:t>
            </w:r>
          </w:p>
        </w:tc>
        <w:tc>
          <w:tcPr>
            <w:tcW w:w="3560" w:type="dxa"/>
            <w:tcBorders>
              <w:top w:val="single" w:sz="8" w:space="0" w:color="auto"/>
              <w:left w:val="nil"/>
              <w:bottom w:val="nil"/>
              <w:right w:val="single" w:sz="4" w:space="0" w:color="auto"/>
            </w:tcBorders>
            <w:shd w:val="clear" w:color="auto" w:fill="auto"/>
            <w:noWrap/>
            <w:vAlign w:val="bottom"/>
            <w:hideMark/>
          </w:tcPr>
          <w:p w:rsidR="00824C36" w:rsidRDefault="00B97963">
            <w:pPr>
              <w:spacing w:before="0" w:after="0"/>
              <w:jc w:val="left"/>
              <w:rPr>
                <w:rFonts w:ascii="Calibri" w:eastAsia="Times New Roman" w:hAnsi="Calibri"/>
                <w:b/>
                <w:bCs/>
                <w:noProof/>
                <w:color w:val="000000"/>
                <w:sz w:val="22"/>
              </w:rPr>
            </w:pPr>
            <w:r>
              <w:rPr>
                <w:rFonts w:ascii="Calibri" w:hAnsi="Calibri"/>
                <w:b/>
                <w:noProof/>
                <w:color w:val="000000"/>
                <w:sz w:val="22"/>
              </w:rPr>
              <w:t>Rubrique 3:</w:t>
            </w:r>
          </w:p>
        </w:tc>
        <w:tc>
          <w:tcPr>
            <w:tcW w:w="960" w:type="dxa"/>
            <w:tcBorders>
              <w:top w:val="single" w:sz="8" w:space="0" w:color="auto"/>
              <w:left w:val="nil"/>
              <w:bottom w:val="nil"/>
              <w:right w:val="single" w:sz="4" w:space="0" w:color="auto"/>
            </w:tcBorders>
            <w:shd w:val="clear" w:color="auto" w:fill="auto"/>
            <w:noWrap/>
            <w:vAlign w:val="bottom"/>
            <w:hideMark/>
          </w:tcPr>
          <w:p w:rsidR="00824C36" w:rsidRDefault="00B97963">
            <w:pPr>
              <w:spacing w:before="0" w:after="0"/>
              <w:jc w:val="right"/>
              <w:rPr>
                <w:rFonts w:ascii="Calibri" w:eastAsia="Times New Roman" w:hAnsi="Calibri"/>
                <w:noProof/>
                <w:color w:val="000000"/>
                <w:sz w:val="22"/>
              </w:rPr>
            </w:pPr>
            <w:r>
              <w:rPr>
                <w:rFonts w:ascii="Calibri" w:hAnsi="Calibri"/>
                <w:noProof/>
                <w:color w:val="000000"/>
                <w:sz w:val="22"/>
              </w:rPr>
              <w:t>2018</w:t>
            </w:r>
          </w:p>
        </w:tc>
        <w:tc>
          <w:tcPr>
            <w:tcW w:w="960" w:type="dxa"/>
            <w:tcBorders>
              <w:top w:val="single" w:sz="8" w:space="0" w:color="auto"/>
              <w:left w:val="nil"/>
              <w:bottom w:val="nil"/>
              <w:right w:val="single" w:sz="4" w:space="0" w:color="auto"/>
            </w:tcBorders>
            <w:shd w:val="clear" w:color="auto" w:fill="auto"/>
            <w:noWrap/>
            <w:vAlign w:val="bottom"/>
            <w:hideMark/>
          </w:tcPr>
          <w:p w:rsidR="00824C36" w:rsidRDefault="00B97963">
            <w:pPr>
              <w:spacing w:before="0" w:after="0"/>
              <w:jc w:val="center"/>
              <w:rPr>
                <w:rFonts w:ascii="Calibri" w:eastAsia="Times New Roman" w:hAnsi="Calibri"/>
                <w:noProof/>
                <w:color w:val="000000"/>
                <w:sz w:val="22"/>
              </w:rPr>
            </w:pPr>
            <w:r>
              <w:rPr>
                <w:rFonts w:ascii="Calibri" w:hAnsi="Calibri"/>
                <w:noProof/>
                <w:color w:val="000000"/>
                <w:sz w:val="22"/>
              </w:rPr>
              <w:t>2019</w:t>
            </w:r>
          </w:p>
        </w:tc>
        <w:tc>
          <w:tcPr>
            <w:tcW w:w="960" w:type="dxa"/>
            <w:tcBorders>
              <w:top w:val="single" w:sz="8" w:space="0" w:color="auto"/>
              <w:left w:val="nil"/>
              <w:bottom w:val="nil"/>
              <w:right w:val="single" w:sz="4" w:space="0" w:color="auto"/>
            </w:tcBorders>
            <w:shd w:val="clear" w:color="auto" w:fill="auto"/>
            <w:noWrap/>
            <w:vAlign w:val="bottom"/>
            <w:hideMark/>
          </w:tcPr>
          <w:p w:rsidR="00824C36" w:rsidRDefault="00B97963">
            <w:pPr>
              <w:spacing w:before="0" w:after="0"/>
              <w:jc w:val="center"/>
              <w:rPr>
                <w:rFonts w:ascii="Calibri" w:eastAsia="Times New Roman" w:hAnsi="Calibri"/>
                <w:noProof/>
                <w:color w:val="000000"/>
                <w:sz w:val="22"/>
              </w:rPr>
            </w:pPr>
            <w:r>
              <w:rPr>
                <w:rFonts w:ascii="Calibri" w:hAnsi="Calibri"/>
                <w:noProof/>
                <w:color w:val="000000"/>
                <w:sz w:val="22"/>
              </w:rPr>
              <w:t>2020</w:t>
            </w:r>
          </w:p>
        </w:tc>
        <w:tc>
          <w:tcPr>
            <w:tcW w:w="960" w:type="dxa"/>
            <w:tcBorders>
              <w:top w:val="single" w:sz="8" w:space="0" w:color="auto"/>
              <w:left w:val="nil"/>
              <w:bottom w:val="nil"/>
              <w:right w:val="single" w:sz="8" w:space="0" w:color="auto"/>
            </w:tcBorders>
            <w:shd w:val="clear" w:color="auto" w:fill="auto"/>
            <w:noWrap/>
            <w:vAlign w:val="bottom"/>
            <w:hideMark/>
          </w:tcPr>
          <w:p w:rsidR="00824C36" w:rsidRDefault="00B97963">
            <w:pPr>
              <w:spacing w:before="0" w:after="0"/>
              <w:jc w:val="center"/>
              <w:rPr>
                <w:rFonts w:ascii="Calibri" w:eastAsia="Times New Roman" w:hAnsi="Calibri"/>
                <w:noProof/>
                <w:color w:val="000000"/>
                <w:sz w:val="22"/>
              </w:rPr>
            </w:pPr>
            <w:r>
              <w:rPr>
                <w:rFonts w:ascii="Calibri" w:hAnsi="Calibri"/>
                <w:noProof/>
                <w:color w:val="000000"/>
                <w:sz w:val="22"/>
              </w:rPr>
              <w:t>Total</w:t>
            </w:r>
          </w:p>
        </w:tc>
      </w:tr>
      <w:tr w:rsidR="00824C36">
        <w:trPr>
          <w:trHeight w:val="300"/>
        </w:trPr>
        <w:tc>
          <w:tcPr>
            <w:tcW w:w="978" w:type="dxa"/>
            <w:tcBorders>
              <w:top w:val="single" w:sz="4" w:space="0" w:color="auto"/>
              <w:left w:val="single" w:sz="4" w:space="0" w:color="auto"/>
              <w:bottom w:val="single" w:sz="4" w:space="0" w:color="auto"/>
              <w:right w:val="nil"/>
            </w:tcBorders>
            <w:shd w:val="clear" w:color="auto" w:fill="auto"/>
            <w:noWrap/>
            <w:vAlign w:val="bottom"/>
            <w:hideMark/>
          </w:tcPr>
          <w:p w:rsidR="00824C36" w:rsidRDefault="00B97963">
            <w:pPr>
              <w:spacing w:before="0" w:after="0"/>
              <w:jc w:val="left"/>
              <w:rPr>
                <w:rFonts w:ascii="Calibri" w:eastAsia="Times New Roman" w:hAnsi="Calibri"/>
                <w:noProof/>
                <w:color w:val="000000"/>
                <w:sz w:val="22"/>
              </w:rPr>
            </w:pPr>
            <w:r>
              <w:rPr>
                <w:rFonts w:ascii="Calibri" w:hAnsi="Calibri"/>
                <w:noProof/>
                <w:color w:val="000000"/>
                <w:sz w:val="22"/>
              </w:rPr>
              <w:t> </w:t>
            </w:r>
          </w:p>
        </w:tc>
        <w:tc>
          <w:tcPr>
            <w:tcW w:w="3560" w:type="dxa"/>
            <w:tcBorders>
              <w:top w:val="single" w:sz="4" w:space="0" w:color="auto"/>
              <w:left w:val="nil"/>
              <w:bottom w:val="single" w:sz="4" w:space="0" w:color="auto"/>
              <w:right w:val="single" w:sz="4" w:space="0" w:color="auto"/>
            </w:tcBorders>
            <w:shd w:val="clear" w:color="auto" w:fill="auto"/>
            <w:vAlign w:val="bottom"/>
            <w:hideMark/>
          </w:tcPr>
          <w:p w:rsidR="00824C36" w:rsidRDefault="00B97963">
            <w:pPr>
              <w:spacing w:before="0" w:after="0"/>
              <w:jc w:val="center"/>
              <w:rPr>
                <w:rFonts w:ascii="Calibri" w:eastAsia="Times New Roman" w:hAnsi="Calibri"/>
                <w:noProof/>
                <w:color w:val="000000"/>
                <w:sz w:val="22"/>
              </w:rPr>
            </w:pPr>
            <w:r>
              <w:rPr>
                <w:rFonts w:ascii="Calibri" w:hAnsi="Calibri"/>
                <w:noProof/>
                <w:color w:val="000000"/>
                <w:sz w:val="22"/>
              </w:rPr>
              <w:t>Droits, égalité et citoyenneté</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24C36" w:rsidRDefault="00B97963">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24C36" w:rsidRDefault="00B97963">
            <w:pPr>
              <w:spacing w:before="0" w:after="0"/>
              <w:jc w:val="center"/>
              <w:rPr>
                <w:rFonts w:ascii="Calibri" w:eastAsia="Times New Roman" w:hAnsi="Calibri"/>
                <w:noProof/>
                <w:color w:val="000000"/>
                <w:sz w:val="22"/>
              </w:rPr>
            </w:pPr>
            <w:r>
              <w:rPr>
                <w:rFonts w:ascii="Calibri" w:hAnsi="Calibri"/>
                <w:noProof/>
                <w:color w:val="000000"/>
                <w:sz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24C36" w:rsidRDefault="00B97963">
            <w:pPr>
              <w:spacing w:before="0" w:after="0"/>
              <w:jc w:val="center"/>
              <w:rPr>
                <w:rFonts w:ascii="Calibri" w:eastAsia="Times New Roman" w:hAnsi="Calibri"/>
                <w:noProof/>
                <w:color w:val="000000"/>
                <w:sz w:val="22"/>
              </w:rPr>
            </w:pPr>
            <w:r>
              <w:rPr>
                <w:rFonts w:ascii="Calibri" w:hAnsi="Calibri"/>
                <w:noProof/>
                <w:color w:val="000000"/>
                <w:sz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24C36" w:rsidRDefault="00B97963">
            <w:pPr>
              <w:spacing w:before="0" w:after="0"/>
              <w:jc w:val="left"/>
              <w:rPr>
                <w:rFonts w:ascii="Calibri" w:eastAsia="Times New Roman" w:hAnsi="Calibri"/>
                <w:noProof/>
                <w:color w:val="000000"/>
                <w:sz w:val="22"/>
              </w:rPr>
            </w:pPr>
            <w:r>
              <w:rPr>
                <w:rFonts w:ascii="Calibri" w:hAnsi="Calibri"/>
                <w:noProof/>
                <w:color w:val="000000"/>
                <w:sz w:val="22"/>
              </w:rPr>
              <w:t> </w:t>
            </w:r>
          </w:p>
        </w:tc>
      </w:tr>
      <w:tr w:rsidR="00824C36">
        <w:trPr>
          <w:trHeight w:val="600"/>
        </w:trPr>
        <w:tc>
          <w:tcPr>
            <w:tcW w:w="978" w:type="dxa"/>
            <w:tcBorders>
              <w:top w:val="nil"/>
              <w:left w:val="single" w:sz="4" w:space="0" w:color="auto"/>
              <w:bottom w:val="nil"/>
              <w:right w:val="nil"/>
            </w:tcBorders>
            <w:shd w:val="clear" w:color="auto" w:fill="auto"/>
            <w:noWrap/>
            <w:vAlign w:val="bottom"/>
            <w:hideMark/>
          </w:tcPr>
          <w:p w:rsidR="00824C36" w:rsidRDefault="00B97963">
            <w:pPr>
              <w:spacing w:before="0" w:after="0"/>
              <w:jc w:val="left"/>
              <w:rPr>
                <w:rFonts w:ascii="Calibri" w:eastAsia="Times New Roman" w:hAnsi="Calibri"/>
                <w:noProof/>
                <w:color w:val="000000"/>
                <w:sz w:val="22"/>
              </w:rPr>
            </w:pPr>
            <w:r>
              <w:rPr>
                <w:rFonts w:ascii="Calibri" w:hAnsi="Calibri"/>
                <w:noProof/>
                <w:color w:val="000000"/>
                <w:sz w:val="22"/>
              </w:rPr>
              <w:t>33 02 01</w:t>
            </w:r>
          </w:p>
        </w:tc>
        <w:tc>
          <w:tcPr>
            <w:tcW w:w="3560" w:type="dxa"/>
            <w:tcBorders>
              <w:top w:val="nil"/>
              <w:left w:val="nil"/>
              <w:bottom w:val="nil"/>
              <w:right w:val="single" w:sz="4" w:space="0" w:color="auto"/>
            </w:tcBorders>
            <w:shd w:val="clear" w:color="auto" w:fill="auto"/>
            <w:vAlign w:val="bottom"/>
            <w:hideMark/>
          </w:tcPr>
          <w:p w:rsidR="00824C36" w:rsidRDefault="00B97963">
            <w:pPr>
              <w:spacing w:before="0" w:after="0"/>
              <w:jc w:val="left"/>
              <w:rPr>
                <w:rFonts w:ascii="Calibri" w:eastAsia="Times New Roman" w:hAnsi="Calibri"/>
                <w:noProof/>
                <w:color w:val="000000"/>
                <w:sz w:val="22"/>
              </w:rPr>
            </w:pPr>
            <w:r>
              <w:rPr>
                <w:rFonts w:ascii="Calibri" w:hAnsi="Calibri"/>
                <w:noProof/>
                <w:color w:val="000000"/>
                <w:sz w:val="22"/>
              </w:rPr>
              <w:t xml:space="preserve">Garantir la protection des droits et donner des moyens d’action aux </w:t>
            </w:r>
            <w:r>
              <w:rPr>
                <w:rFonts w:ascii="Calibri" w:hAnsi="Calibri"/>
                <w:noProof/>
                <w:color w:val="000000"/>
                <w:sz w:val="22"/>
              </w:rPr>
              <w:t>citoyens</w:t>
            </w:r>
          </w:p>
        </w:tc>
        <w:tc>
          <w:tcPr>
            <w:tcW w:w="960" w:type="dxa"/>
            <w:tcBorders>
              <w:top w:val="nil"/>
              <w:left w:val="nil"/>
              <w:bottom w:val="nil"/>
              <w:right w:val="single" w:sz="4" w:space="0" w:color="auto"/>
            </w:tcBorders>
            <w:shd w:val="clear" w:color="auto" w:fill="auto"/>
            <w:noWrap/>
            <w:vAlign w:val="bottom"/>
            <w:hideMark/>
          </w:tcPr>
          <w:p w:rsidR="00824C36" w:rsidRDefault="00B97963">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nil"/>
              <w:right w:val="single" w:sz="4" w:space="0" w:color="auto"/>
            </w:tcBorders>
            <w:shd w:val="clear" w:color="auto" w:fill="auto"/>
            <w:noWrap/>
            <w:vAlign w:val="bottom"/>
            <w:hideMark/>
          </w:tcPr>
          <w:p w:rsidR="00824C36" w:rsidRDefault="00B97963">
            <w:pPr>
              <w:spacing w:before="0" w:after="0"/>
              <w:jc w:val="right"/>
              <w:rPr>
                <w:rFonts w:ascii="Calibri" w:eastAsia="Times New Roman" w:hAnsi="Calibri"/>
                <w:noProof/>
                <w:color w:val="000000"/>
                <w:sz w:val="22"/>
              </w:rPr>
            </w:pPr>
            <w:r>
              <w:rPr>
                <w:rFonts w:ascii="Calibri" w:hAnsi="Calibri"/>
                <w:noProof/>
                <w:color w:val="000000"/>
                <w:sz w:val="22"/>
              </w:rPr>
              <w:t>1,34</w:t>
            </w:r>
          </w:p>
        </w:tc>
        <w:tc>
          <w:tcPr>
            <w:tcW w:w="960" w:type="dxa"/>
            <w:tcBorders>
              <w:top w:val="nil"/>
              <w:left w:val="nil"/>
              <w:bottom w:val="nil"/>
              <w:right w:val="single" w:sz="4" w:space="0" w:color="auto"/>
            </w:tcBorders>
            <w:shd w:val="clear" w:color="auto" w:fill="auto"/>
            <w:noWrap/>
            <w:vAlign w:val="bottom"/>
            <w:hideMark/>
          </w:tcPr>
          <w:p w:rsidR="00824C36" w:rsidRDefault="00B97963">
            <w:pPr>
              <w:spacing w:before="0" w:after="0"/>
              <w:jc w:val="right"/>
              <w:rPr>
                <w:rFonts w:ascii="Calibri" w:eastAsia="Times New Roman" w:hAnsi="Calibri"/>
                <w:noProof/>
                <w:color w:val="000000"/>
                <w:sz w:val="22"/>
              </w:rPr>
            </w:pPr>
            <w:r>
              <w:rPr>
                <w:rFonts w:ascii="Calibri" w:hAnsi="Calibri"/>
                <w:noProof/>
                <w:color w:val="000000"/>
                <w:sz w:val="22"/>
              </w:rPr>
              <w:t>1,55</w:t>
            </w:r>
          </w:p>
        </w:tc>
        <w:tc>
          <w:tcPr>
            <w:tcW w:w="960" w:type="dxa"/>
            <w:tcBorders>
              <w:top w:val="nil"/>
              <w:left w:val="nil"/>
              <w:bottom w:val="nil"/>
              <w:right w:val="single" w:sz="4" w:space="0" w:color="auto"/>
            </w:tcBorders>
            <w:shd w:val="clear" w:color="auto" w:fill="auto"/>
            <w:noWrap/>
            <w:vAlign w:val="bottom"/>
            <w:hideMark/>
          </w:tcPr>
          <w:p w:rsidR="00824C36" w:rsidRDefault="00B97963">
            <w:pPr>
              <w:spacing w:before="0" w:after="0"/>
              <w:jc w:val="right"/>
              <w:rPr>
                <w:rFonts w:ascii="Calibri" w:eastAsia="Times New Roman" w:hAnsi="Calibri"/>
                <w:noProof/>
                <w:color w:val="000000"/>
                <w:sz w:val="22"/>
              </w:rPr>
            </w:pPr>
            <w:r>
              <w:rPr>
                <w:rFonts w:ascii="Calibri" w:hAnsi="Calibri"/>
                <w:noProof/>
                <w:color w:val="000000"/>
                <w:sz w:val="22"/>
              </w:rPr>
              <w:t>2,89</w:t>
            </w:r>
          </w:p>
        </w:tc>
      </w:tr>
      <w:tr w:rsidR="00824C36">
        <w:trPr>
          <w:trHeight w:val="600"/>
        </w:trPr>
        <w:tc>
          <w:tcPr>
            <w:tcW w:w="978" w:type="dxa"/>
            <w:tcBorders>
              <w:top w:val="nil"/>
              <w:left w:val="single" w:sz="4" w:space="0" w:color="auto"/>
              <w:bottom w:val="single" w:sz="4" w:space="0" w:color="auto"/>
              <w:right w:val="nil"/>
            </w:tcBorders>
            <w:shd w:val="clear" w:color="auto" w:fill="auto"/>
            <w:noWrap/>
            <w:vAlign w:val="bottom"/>
            <w:hideMark/>
          </w:tcPr>
          <w:p w:rsidR="00824C36" w:rsidRDefault="00B97963">
            <w:pPr>
              <w:spacing w:before="0" w:after="0"/>
              <w:jc w:val="left"/>
              <w:rPr>
                <w:rFonts w:ascii="Calibri" w:eastAsia="Times New Roman" w:hAnsi="Calibri"/>
                <w:noProof/>
                <w:color w:val="000000"/>
                <w:sz w:val="22"/>
              </w:rPr>
            </w:pPr>
            <w:r>
              <w:rPr>
                <w:rFonts w:ascii="Calibri" w:hAnsi="Calibri"/>
                <w:noProof/>
                <w:color w:val="000000"/>
                <w:sz w:val="22"/>
              </w:rPr>
              <w:t>33 02 02</w:t>
            </w:r>
          </w:p>
        </w:tc>
        <w:tc>
          <w:tcPr>
            <w:tcW w:w="3560" w:type="dxa"/>
            <w:tcBorders>
              <w:top w:val="nil"/>
              <w:left w:val="nil"/>
              <w:bottom w:val="single" w:sz="4" w:space="0" w:color="auto"/>
              <w:right w:val="single" w:sz="4" w:space="0" w:color="auto"/>
            </w:tcBorders>
            <w:shd w:val="clear" w:color="auto" w:fill="auto"/>
            <w:vAlign w:val="bottom"/>
            <w:hideMark/>
          </w:tcPr>
          <w:p w:rsidR="00824C36" w:rsidRDefault="00B97963">
            <w:pPr>
              <w:spacing w:before="0" w:after="0"/>
              <w:jc w:val="left"/>
              <w:rPr>
                <w:rFonts w:ascii="Calibri" w:eastAsia="Times New Roman" w:hAnsi="Calibri"/>
                <w:noProof/>
                <w:color w:val="000000"/>
                <w:sz w:val="22"/>
              </w:rPr>
            </w:pPr>
            <w:r>
              <w:rPr>
                <w:rFonts w:ascii="Calibri" w:hAnsi="Calibri"/>
                <w:noProof/>
                <w:color w:val="000000"/>
                <w:sz w:val="22"/>
              </w:rPr>
              <w:t>Promouvoir la non-discrimination et l’égalité</w:t>
            </w:r>
          </w:p>
        </w:tc>
        <w:tc>
          <w:tcPr>
            <w:tcW w:w="960" w:type="dxa"/>
            <w:tcBorders>
              <w:top w:val="nil"/>
              <w:left w:val="nil"/>
              <w:bottom w:val="single" w:sz="4" w:space="0" w:color="auto"/>
              <w:right w:val="single" w:sz="4" w:space="0" w:color="auto"/>
            </w:tcBorders>
            <w:shd w:val="clear" w:color="auto" w:fill="auto"/>
            <w:noWrap/>
            <w:vAlign w:val="bottom"/>
            <w:hideMark/>
          </w:tcPr>
          <w:p w:rsidR="00824C36" w:rsidRDefault="00B97963">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24C36" w:rsidRDefault="00B97963">
            <w:pPr>
              <w:spacing w:before="0" w:after="0"/>
              <w:jc w:val="right"/>
              <w:rPr>
                <w:rFonts w:ascii="Calibri" w:eastAsia="Times New Roman" w:hAnsi="Calibri"/>
                <w:noProof/>
                <w:color w:val="000000"/>
                <w:sz w:val="22"/>
              </w:rPr>
            </w:pPr>
            <w:r>
              <w:rPr>
                <w:rFonts w:ascii="Calibri" w:hAnsi="Calibri"/>
                <w:noProof/>
                <w:color w:val="000000"/>
                <w:sz w:val="22"/>
              </w:rPr>
              <w:t>0,98</w:t>
            </w:r>
          </w:p>
        </w:tc>
        <w:tc>
          <w:tcPr>
            <w:tcW w:w="960" w:type="dxa"/>
            <w:tcBorders>
              <w:top w:val="nil"/>
              <w:left w:val="nil"/>
              <w:bottom w:val="single" w:sz="4" w:space="0" w:color="auto"/>
              <w:right w:val="single" w:sz="4" w:space="0" w:color="auto"/>
            </w:tcBorders>
            <w:shd w:val="clear" w:color="auto" w:fill="auto"/>
            <w:noWrap/>
            <w:vAlign w:val="bottom"/>
            <w:hideMark/>
          </w:tcPr>
          <w:p w:rsidR="00824C36" w:rsidRDefault="00B97963">
            <w:pPr>
              <w:spacing w:before="0" w:after="0"/>
              <w:jc w:val="right"/>
              <w:rPr>
                <w:rFonts w:ascii="Calibri" w:eastAsia="Times New Roman" w:hAnsi="Calibri"/>
                <w:noProof/>
                <w:color w:val="000000"/>
                <w:sz w:val="22"/>
              </w:rPr>
            </w:pPr>
            <w:r>
              <w:rPr>
                <w:rFonts w:ascii="Calibri" w:hAnsi="Calibri"/>
                <w:noProof/>
                <w:color w:val="000000"/>
                <w:sz w:val="22"/>
              </w:rPr>
              <w:t>1,22</w:t>
            </w:r>
          </w:p>
        </w:tc>
        <w:tc>
          <w:tcPr>
            <w:tcW w:w="960" w:type="dxa"/>
            <w:tcBorders>
              <w:top w:val="nil"/>
              <w:left w:val="nil"/>
              <w:bottom w:val="single" w:sz="4" w:space="0" w:color="auto"/>
              <w:right w:val="single" w:sz="4" w:space="0" w:color="auto"/>
            </w:tcBorders>
            <w:shd w:val="clear" w:color="auto" w:fill="auto"/>
            <w:noWrap/>
            <w:vAlign w:val="bottom"/>
            <w:hideMark/>
          </w:tcPr>
          <w:p w:rsidR="00824C36" w:rsidRDefault="00B97963">
            <w:pPr>
              <w:spacing w:before="0" w:after="0"/>
              <w:jc w:val="right"/>
              <w:rPr>
                <w:rFonts w:ascii="Calibri" w:eastAsia="Times New Roman" w:hAnsi="Calibri"/>
                <w:noProof/>
                <w:color w:val="000000"/>
                <w:sz w:val="22"/>
              </w:rPr>
            </w:pPr>
            <w:r>
              <w:rPr>
                <w:rFonts w:ascii="Calibri" w:hAnsi="Calibri"/>
                <w:noProof/>
                <w:color w:val="000000"/>
                <w:sz w:val="22"/>
              </w:rPr>
              <w:t>2,2</w:t>
            </w:r>
          </w:p>
        </w:tc>
      </w:tr>
      <w:tr w:rsidR="00824C36">
        <w:trPr>
          <w:trHeight w:val="300"/>
        </w:trPr>
        <w:tc>
          <w:tcPr>
            <w:tcW w:w="978" w:type="dxa"/>
            <w:tcBorders>
              <w:top w:val="nil"/>
              <w:left w:val="single" w:sz="4" w:space="0" w:color="auto"/>
              <w:bottom w:val="single" w:sz="4" w:space="0" w:color="auto"/>
              <w:right w:val="nil"/>
            </w:tcBorders>
            <w:shd w:val="clear" w:color="auto" w:fill="auto"/>
            <w:noWrap/>
            <w:vAlign w:val="bottom"/>
            <w:hideMark/>
          </w:tcPr>
          <w:p w:rsidR="00824C36" w:rsidRDefault="00B97963">
            <w:pPr>
              <w:spacing w:before="0" w:after="0"/>
              <w:jc w:val="left"/>
              <w:rPr>
                <w:rFonts w:ascii="Calibri" w:eastAsia="Times New Roman" w:hAnsi="Calibri"/>
                <w:noProof/>
                <w:color w:val="000000"/>
                <w:sz w:val="22"/>
              </w:rPr>
            </w:pPr>
            <w:r>
              <w:rPr>
                <w:rFonts w:ascii="Calibri" w:hAnsi="Calibri"/>
                <w:noProof/>
                <w:color w:val="000000"/>
                <w:sz w:val="22"/>
              </w:rPr>
              <w:t> </w:t>
            </w:r>
          </w:p>
        </w:tc>
        <w:tc>
          <w:tcPr>
            <w:tcW w:w="3560" w:type="dxa"/>
            <w:tcBorders>
              <w:top w:val="nil"/>
              <w:left w:val="nil"/>
              <w:bottom w:val="single" w:sz="4" w:space="0" w:color="auto"/>
              <w:right w:val="single" w:sz="4" w:space="0" w:color="auto"/>
            </w:tcBorders>
            <w:shd w:val="clear" w:color="auto" w:fill="auto"/>
            <w:vAlign w:val="bottom"/>
            <w:hideMark/>
          </w:tcPr>
          <w:p w:rsidR="00824C36" w:rsidRDefault="00B97963">
            <w:pPr>
              <w:spacing w:before="0" w:after="0"/>
              <w:jc w:val="center"/>
              <w:rPr>
                <w:rFonts w:ascii="Calibri" w:eastAsia="Times New Roman" w:hAnsi="Calibri"/>
                <w:noProof/>
                <w:color w:val="000000"/>
                <w:sz w:val="22"/>
              </w:rPr>
            </w:pPr>
            <w:r>
              <w:rPr>
                <w:rFonts w:ascii="Calibri" w:hAnsi="Calibri"/>
                <w:noProof/>
                <w:color w:val="000000"/>
                <w:sz w:val="22"/>
              </w:rPr>
              <w:t>Justice</w:t>
            </w:r>
          </w:p>
        </w:tc>
        <w:tc>
          <w:tcPr>
            <w:tcW w:w="960" w:type="dxa"/>
            <w:tcBorders>
              <w:top w:val="nil"/>
              <w:left w:val="nil"/>
              <w:bottom w:val="single" w:sz="4" w:space="0" w:color="auto"/>
              <w:right w:val="single" w:sz="4" w:space="0" w:color="auto"/>
            </w:tcBorders>
            <w:shd w:val="clear" w:color="auto" w:fill="auto"/>
            <w:noWrap/>
            <w:vAlign w:val="bottom"/>
            <w:hideMark/>
          </w:tcPr>
          <w:p w:rsidR="00824C36" w:rsidRDefault="00B97963">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24C36" w:rsidRDefault="00B97963">
            <w:pPr>
              <w:spacing w:before="0" w:after="0"/>
              <w:jc w:val="center"/>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24C36" w:rsidRDefault="00B97963">
            <w:pPr>
              <w:spacing w:before="0" w:after="0"/>
              <w:jc w:val="center"/>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24C36" w:rsidRDefault="00B97963">
            <w:pPr>
              <w:spacing w:before="0" w:after="0"/>
              <w:jc w:val="left"/>
              <w:rPr>
                <w:rFonts w:ascii="Calibri" w:eastAsia="Times New Roman" w:hAnsi="Calibri"/>
                <w:noProof/>
                <w:color w:val="000000"/>
                <w:sz w:val="22"/>
              </w:rPr>
            </w:pPr>
            <w:r>
              <w:rPr>
                <w:rFonts w:ascii="Calibri" w:hAnsi="Calibri"/>
                <w:noProof/>
                <w:color w:val="000000"/>
                <w:sz w:val="22"/>
              </w:rPr>
              <w:t> </w:t>
            </w:r>
          </w:p>
        </w:tc>
      </w:tr>
      <w:tr w:rsidR="00824C36">
        <w:trPr>
          <w:trHeight w:val="600"/>
        </w:trPr>
        <w:tc>
          <w:tcPr>
            <w:tcW w:w="978" w:type="dxa"/>
            <w:tcBorders>
              <w:top w:val="nil"/>
              <w:left w:val="single" w:sz="4" w:space="0" w:color="auto"/>
              <w:bottom w:val="nil"/>
              <w:right w:val="nil"/>
            </w:tcBorders>
            <w:shd w:val="clear" w:color="auto" w:fill="auto"/>
            <w:noWrap/>
            <w:vAlign w:val="bottom"/>
            <w:hideMark/>
          </w:tcPr>
          <w:p w:rsidR="00824C36" w:rsidRDefault="00B97963">
            <w:pPr>
              <w:spacing w:before="0" w:after="0"/>
              <w:jc w:val="left"/>
              <w:rPr>
                <w:rFonts w:ascii="Calibri" w:eastAsia="Times New Roman" w:hAnsi="Calibri"/>
                <w:noProof/>
                <w:color w:val="000000"/>
                <w:sz w:val="22"/>
              </w:rPr>
            </w:pPr>
            <w:r>
              <w:rPr>
                <w:rFonts w:ascii="Calibri" w:hAnsi="Calibri"/>
                <w:noProof/>
                <w:color w:val="000000"/>
                <w:sz w:val="22"/>
              </w:rPr>
              <w:t>33 03 01</w:t>
            </w:r>
          </w:p>
        </w:tc>
        <w:tc>
          <w:tcPr>
            <w:tcW w:w="3560" w:type="dxa"/>
            <w:tcBorders>
              <w:top w:val="nil"/>
              <w:left w:val="nil"/>
              <w:bottom w:val="nil"/>
              <w:right w:val="single" w:sz="4" w:space="0" w:color="auto"/>
            </w:tcBorders>
            <w:shd w:val="clear" w:color="auto" w:fill="auto"/>
            <w:vAlign w:val="bottom"/>
            <w:hideMark/>
          </w:tcPr>
          <w:p w:rsidR="00824C36" w:rsidRDefault="00B97963">
            <w:pPr>
              <w:spacing w:before="0" w:after="0"/>
              <w:jc w:val="left"/>
              <w:rPr>
                <w:rFonts w:ascii="Calibri" w:eastAsia="Times New Roman" w:hAnsi="Calibri"/>
                <w:noProof/>
                <w:color w:val="000000"/>
                <w:sz w:val="22"/>
              </w:rPr>
            </w:pPr>
            <w:r>
              <w:rPr>
                <w:rFonts w:ascii="Calibri" w:hAnsi="Calibri"/>
                <w:noProof/>
                <w:color w:val="000000"/>
                <w:sz w:val="22"/>
              </w:rPr>
              <w:t>Soutenir et promouvoir la formation judiciaire</w:t>
            </w:r>
          </w:p>
        </w:tc>
        <w:tc>
          <w:tcPr>
            <w:tcW w:w="960" w:type="dxa"/>
            <w:tcBorders>
              <w:top w:val="nil"/>
              <w:left w:val="nil"/>
              <w:bottom w:val="nil"/>
              <w:right w:val="single" w:sz="4" w:space="0" w:color="auto"/>
            </w:tcBorders>
            <w:shd w:val="clear" w:color="auto" w:fill="auto"/>
            <w:noWrap/>
            <w:vAlign w:val="bottom"/>
            <w:hideMark/>
          </w:tcPr>
          <w:p w:rsidR="00824C36" w:rsidRDefault="00B97963">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nil"/>
              <w:right w:val="single" w:sz="4" w:space="0" w:color="auto"/>
            </w:tcBorders>
            <w:shd w:val="clear" w:color="auto" w:fill="auto"/>
            <w:noWrap/>
            <w:vAlign w:val="bottom"/>
            <w:hideMark/>
          </w:tcPr>
          <w:p w:rsidR="00824C36" w:rsidRDefault="00B97963">
            <w:pPr>
              <w:spacing w:before="0" w:after="0"/>
              <w:jc w:val="right"/>
              <w:rPr>
                <w:rFonts w:ascii="Calibri" w:eastAsia="Times New Roman" w:hAnsi="Calibri"/>
                <w:noProof/>
                <w:color w:val="000000"/>
                <w:sz w:val="22"/>
              </w:rPr>
            </w:pPr>
            <w:r>
              <w:rPr>
                <w:rFonts w:ascii="Calibri" w:hAnsi="Calibri"/>
                <w:noProof/>
                <w:color w:val="000000"/>
                <w:sz w:val="22"/>
              </w:rPr>
              <w:t>4,93</w:t>
            </w:r>
          </w:p>
        </w:tc>
        <w:tc>
          <w:tcPr>
            <w:tcW w:w="960" w:type="dxa"/>
            <w:tcBorders>
              <w:top w:val="nil"/>
              <w:left w:val="nil"/>
              <w:bottom w:val="nil"/>
              <w:right w:val="single" w:sz="4" w:space="0" w:color="auto"/>
            </w:tcBorders>
            <w:shd w:val="clear" w:color="auto" w:fill="auto"/>
            <w:noWrap/>
            <w:vAlign w:val="bottom"/>
            <w:hideMark/>
          </w:tcPr>
          <w:p w:rsidR="00824C36" w:rsidRDefault="00B97963">
            <w:pPr>
              <w:spacing w:before="0" w:after="0"/>
              <w:jc w:val="right"/>
              <w:rPr>
                <w:rFonts w:ascii="Calibri" w:eastAsia="Times New Roman" w:hAnsi="Calibri"/>
                <w:noProof/>
                <w:color w:val="000000"/>
                <w:sz w:val="22"/>
              </w:rPr>
            </w:pPr>
            <w:r>
              <w:rPr>
                <w:rFonts w:ascii="Calibri" w:hAnsi="Calibri"/>
                <w:noProof/>
                <w:color w:val="000000"/>
                <w:sz w:val="22"/>
              </w:rPr>
              <w:t>5,25</w:t>
            </w:r>
          </w:p>
        </w:tc>
        <w:tc>
          <w:tcPr>
            <w:tcW w:w="960" w:type="dxa"/>
            <w:tcBorders>
              <w:top w:val="nil"/>
              <w:left w:val="nil"/>
              <w:bottom w:val="nil"/>
              <w:right w:val="single" w:sz="4" w:space="0" w:color="auto"/>
            </w:tcBorders>
            <w:shd w:val="clear" w:color="auto" w:fill="auto"/>
            <w:noWrap/>
            <w:vAlign w:val="bottom"/>
            <w:hideMark/>
          </w:tcPr>
          <w:p w:rsidR="00824C36" w:rsidRDefault="00B97963">
            <w:pPr>
              <w:spacing w:before="0" w:after="0"/>
              <w:jc w:val="right"/>
              <w:rPr>
                <w:rFonts w:ascii="Calibri" w:eastAsia="Times New Roman" w:hAnsi="Calibri"/>
                <w:noProof/>
                <w:color w:val="000000"/>
                <w:sz w:val="22"/>
              </w:rPr>
            </w:pPr>
            <w:r>
              <w:rPr>
                <w:rFonts w:ascii="Calibri" w:hAnsi="Calibri"/>
                <w:noProof/>
                <w:color w:val="000000"/>
                <w:sz w:val="22"/>
              </w:rPr>
              <w:t>10,18</w:t>
            </w:r>
          </w:p>
        </w:tc>
      </w:tr>
      <w:tr w:rsidR="00824C36">
        <w:trPr>
          <w:trHeight w:val="600"/>
        </w:trPr>
        <w:tc>
          <w:tcPr>
            <w:tcW w:w="978" w:type="dxa"/>
            <w:tcBorders>
              <w:top w:val="nil"/>
              <w:left w:val="single" w:sz="4" w:space="0" w:color="auto"/>
              <w:bottom w:val="single" w:sz="4" w:space="0" w:color="auto"/>
              <w:right w:val="nil"/>
            </w:tcBorders>
            <w:shd w:val="clear" w:color="auto" w:fill="auto"/>
            <w:noWrap/>
            <w:vAlign w:val="bottom"/>
            <w:hideMark/>
          </w:tcPr>
          <w:p w:rsidR="00824C36" w:rsidRDefault="00B97963">
            <w:pPr>
              <w:spacing w:before="0" w:after="0"/>
              <w:jc w:val="left"/>
              <w:rPr>
                <w:rFonts w:ascii="Calibri" w:eastAsia="Times New Roman" w:hAnsi="Calibri"/>
                <w:noProof/>
                <w:color w:val="000000"/>
                <w:sz w:val="22"/>
              </w:rPr>
            </w:pPr>
            <w:r>
              <w:rPr>
                <w:rFonts w:ascii="Calibri" w:hAnsi="Calibri"/>
                <w:noProof/>
                <w:color w:val="000000"/>
                <w:sz w:val="22"/>
              </w:rPr>
              <w:t>33 03 02</w:t>
            </w:r>
          </w:p>
        </w:tc>
        <w:tc>
          <w:tcPr>
            <w:tcW w:w="3560" w:type="dxa"/>
            <w:tcBorders>
              <w:top w:val="nil"/>
              <w:left w:val="nil"/>
              <w:bottom w:val="single" w:sz="4" w:space="0" w:color="auto"/>
              <w:right w:val="single" w:sz="4" w:space="0" w:color="auto"/>
            </w:tcBorders>
            <w:shd w:val="clear" w:color="auto" w:fill="auto"/>
            <w:vAlign w:val="bottom"/>
            <w:hideMark/>
          </w:tcPr>
          <w:p w:rsidR="00824C36" w:rsidRDefault="00B97963">
            <w:pPr>
              <w:spacing w:before="0" w:after="0"/>
              <w:jc w:val="left"/>
              <w:rPr>
                <w:rFonts w:ascii="Calibri" w:eastAsia="Times New Roman" w:hAnsi="Calibri"/>
                <w:noProof/>
                <w:color w:val="000000"/>
                <w:sz w:val="22"/>
              </w:rPr>
            </w:pPr>
            <w:r>
              <w:rPr>
                <w:rFonts w:ascii="Calibri" w:hAnsi="Calibri"/>
                <w:noProof/>
                <w:color w:val="000000"/>
                <w:sz w:val="22"/>
              </w:rPr>
              <w:t xml:space="preserve">Faciliter et soutenir la coopération judiciaire en </w:t>
            </w:r>
            <w:r>
              <w:rPr>
                <w:rFonts w:ascii="Calibri" w:hAnsi="Calibri"/>
                <w:noProof/>
                <w:color w:val="000000"/>
                <w:sz w:val="22"/>
              </w:rPr>
              <w:t>matière civile et pénale</w:t>
            </w:r>
          </w:p>
        </w:tc>
        <w:tc>
          <w:tcPr>
            <w:tcW w:w="960" w:type="dxa"/>
            <w:tcBorders>
              <w:top w:val="nil"/>
              <w:left w:val="nil"/>
              <w:bottom w:val="single" w:sz="4" w:space="0" w:color="auto"/>
              <w:right w:val="single" w:sz="4" w:space="0" w:color="auto"/>
            </w:tcBorders>
            <w:shd w:val="clear" w:color="auto" w:fill="auto"/>
            <w:noWrap/>
            <w:vAlign w:val="bottom"/>
            <w:hideMark/>
          </w:tcPr>
          <w:p w:rsidR="00824C36" w:rsidRDefault="00B97963">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24C36" w:rsidRDefault="00B97963">
            <w:pPr>
              <w:spacing w:before="0" w:after="0"/>
              <w:jc w:val="right"/>
              <w:rPr>
                <w:rFonts w:ascii="Calibri" w:eastAsia="Times New Roman" w:hAnsi="Calibri"/>
                <w:noProof/>
                <w:color w:val="000000"/>
                <w:sz w:val="22"/>
              </w:rPr>
            </w:pPr>
            <w:r>
              <w:rPr>
                <w:rFonts w:ascii="Calibri" w:hAnsi="Calibri"/>
                <w:noProof/>
                <w:color w:val="000000"/>
                <w:sz w:val="22"/>
              </w:rPr>
              <w:t>4,77</w:t>
            </w:r>
          </w:p>
        </w:tc>
        <w:tc>
          <w:tcPr>
            <w:tcW w:w="960" w:type="dxa"/>
            <w:tcBorders>
              <w:top w:val="nil"/>
              <w:left w:val="nil"/>
              <w:bottom w:val="single" w:sz="4" w:space="0" w:color="auto"/>
              <w:right w:val="single" w:sz="4" w:space="0" w:color="auto"/>
            </w:tcBorders>
            <w:shd w:val="clear" w:color="auto" w:fill="auto"/>
            <w:noWrap/>
            <w:vAlign w:val="bottom"/>
            <w:hideMark/>
          </w:tcPr>
          <w:p w:rsidR="00824C36" w:rsidRDefault="00B97963">
            <w:pPr>
              <w:spacing w:before="0" w:after="0"/>
              <w:jc w:val="right"/>
              <w:rPr>
                <w:rFonts w:ascii="Calibri" w:eastAsia="Times New Roman" w:hAnsi="Calibri"/>
                <w:noProof/>
                <w:color w:val="000000"/>
                <w:sz w:val="22"/>
              </w:rPr>
            </w:pPr>
            <w:r>
              <w:rPr>
                <w:rFonts w:ascii="Calibri" w:hAnsi="Calibri"/>
                <w:noProof/>
                <w:color w:val="000000"/>
                <w:sz w:val="22"/>
              </w:rPr>
              <w:t>5,02</w:t>
            </w:r>
          </w:p>
        </w:tc>
        <w:tc>
          <w:tcPr>
            <w:tcW w:w="960" w:type="dxa"/>
            <w:tcBorders>
              <w:top w:val="nil"/>
              <w:left w:val="nil"/>
              <w:bottom w:val="single" w:sz="4" w:space="0" w:color="auto"/>
              <w:right w:val="single" w:sz="4" w:space="0" w:color="auto"/>
            </w:tcBorders>
            <w:shd w:val="clear" w:color="auto" w:fill="auto"/>
            <w:noWrap/>
            <w:vAlign w:val="bottom"/>
            <w:hideMark/>
          </w:tcPr>
          <w:p w:rsidR="00824C36" w:rsidRDefault="00B97963">
            <w:pPr>
              <w:spacing w:before="0" w:after="0"/>
              <w:jc w:val="right"/>
              <w:rPr>
                <w:rFonts w:ascii="Calibri" w:eastAsia="Times New Roman" w:hAnsi="Calibri"/>
                <w:noProof/>
                <w:color w:val="000000"/>
                <w:sz w:val="22"/>
              </w:rPr>
            </w:pPr>
            <w:r>
              <w:rPr>
                <w:rFonts w:ascii="Calibri" w:hAnsi="Calibri"/>
                <w:noProof/>
                <w:color w:val="000000"/>
                <w:sz w:val="22"/>
              </w:rPr>
              <w:t>9,79</w:t>
            </w:r>
          </w:p>
        </w:tc>
      </w:tr>
      <w:tr w:rsidR="00824C36">
        <w:trPr>
          <w:trHeight w:val="315"/>
        </w:trPr>
        <w:tc>
          <w:tcPr>
            <w:tcW w:w="978" w:type="dxa"/>
            <w:tcBorders>
              <w:top w:val="nil"/>
              <w:left w:val="single" w:sz="8" w:space="0" w:color="auto"/>
              <w:bottom w:val="single" w:sz="8" w:space="0" w:color="auto"/>
              <w:right w:val="nil"/>
            </w:tcBorders>
            <w:shd w:val="clear" w:color="auto" w:fill="auto"/>
            <w:noWrap/>
            <w:vAlign w:val="bottom"/>
            <w:hideMark/>
          </w:tcPr>
          <w:p w:rsidR="00824C36" w:rsidRDefault="00B97963">
            <w:pPr>
              <w:spacing w:before="0" w:after="0"/>
              <w:jc w:val="left"/>
              <w:rPr>
                <w:rFonts w:ascii="Calibri" w:eastAsia="Times New Roman" w:hAnsi="Calibri"/>
                <w:noProof/>
                <w:color w:val="000000"/>
                <w:sz w:val="22"/>
              </w:rPr>
            </w:pPr>
            <w:r>
              <w:rPr>
                <w:rFonts w:ascii="Calibri" w:hAnsi="Calibri"/>
                <w:noProof/>
                <w:color w:val="000000"/>
                <w:sz w:val="22"/>
              </w:rPr>
              <w:t> </w:t>
            </w:r>
          </w:p>
        </w:tc>
        <w:tc>
          <w:tcPr>
            <w:tcW w:w="3560" w:type="dxa"/>
            <w:tcBorders>
              <w:top w:val="nil"/>
              <w:left w:val="nil"/>
              <w:bottom w:val="single" w:sz="8" w:space="0" w:color="auto"/>
              <w:right w:val="single" w:sz="4" w:space="0" w:color="auto"/>
            </w:tcBorders>
            <w:shd w:val="clear" w:color="auto" w:fill="auto"/>
            <w:vAlign w:val="bottom"/>
            <w:hideMark/>
          </w:tcPr>
          <w:p w:rsidR="00824C36" w:rsidRDefault="00B97963">
            <w:pPr>
              <w:spacing w:before="0" w:after="0"/>
              <w:jc w:val="left"/>
              <w:rPr>
                <w:rFonts w:ascii="Calibri" w:eastAsia="Times New Roman" w:hAnsi="Calibri"/>
                <w:b/>
                <w:bCs/>
                <w:noProof/>
                <w:color w:val="000000"/>
                <w:sz w:val="22"/>
              </w:rPr>
            </w:pPr>
            <w:r>
              <w:rPr>
                <w:rFonts w:ascii="Calibri" w:hAnsi="Calibri"/>
                <w:b/>
                <w:noProof/>
                <w:color w:val="000000"/>
                <w:sz w:val="22"/>
              </w:rPr>
              <w:t>Total rubrique 3</w:t>
            </w:r>
          </w:p>
        </w:tc>
        <w:tc>
          <w:tcPr>
            <w:tcW w:w="960" w:type="dxa"/>
            <w:tcBorders>
              <w:top w:val="nil"/>
              <w:left w:val="nil"/>
              <w:bottom w:val="single" w:sz="8" w:space="0" w:color="auto"/>
              <w:right w:val="single" w:sz="4" w:space="0" w:color="auto"/>
            </w:tcBorders>
            <w:shd w:val="clear" w:color="auto" w:fill="auto"/>
            <w:noWrap/>
            <w:vAlign w:val="bottom"/>
            <w:hideMark/>
          </w:tcPr>
          <w:p w:rsidR="00824C36" w:rsidRDefault="00B97963">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single" w:sz="8" w:space="0" w:color="auto"/>
              <w:right w:val="single" w:sz="4" w:space="0" w:color="auto"/>
            </w:tcBorders>
            <w:shd w:val="clear" w:color="auto" w:fill="auto"/>
            <w:noWrap/>
            <w:vAlign w:val="bottom"/>
            <w:hideMark/>
          </w:tcPr>
          <w:p w:rsidR="00824C36" w:rsidRDefault="00B97963">
            <w:pPr>
              <w:spacing w:before="0" w:after="0"/>
              <w:jc w:val="right"/>
              <w:rPr>
                <w:rFonts w:ascii="Calibri" w:eastAsia="Times New Roman" w:hAnsi="Calibri"/>
                <w:b/>
                <w:bCs/>
                <w:noProof/>
                <w:color w:val="000000"/>
                <w:sz w:val="22"/>
              </w:rPr>
            </w:pPr>
            <w:r>
              <w:rPr>
                <w:rFonts w:ascii="Calibri" w:hAnsi="Calibri"/>
                <w:b/>
                <w:noProof/>
                <w:color w:val="000000"/>
                <w:sz w:val="22"/>
              </w:rPr>
              <w:t>12,02</w:t>
            </w:r>
          </w:p>
        </w:tc>
        <w:tc>
          <w:tcPr>
            <w:tcW w:w="960" w:type="dxa"/>
            <w:tcBorders>
              <w:top w:val="nil"/>
              <w:left w:val="nil"/>
              <w:bottom w:val="single" w:sz="8" w:space="0" w:color="auto"/>
              <w:right w:val="single" w:sz="4" w:space="0" w:color="auto"/>
            </w:tcBorders>
            <w:shd w:val="clear" w:color="auto" w:fill="auto"/>
            <w:noWrap/>
            <w:vAlign w:val="bottom"/>
            <w:hideMark/>
          </w:tcPr>
          <w:p w:rsidR="00824C36" w:rsidRDefault="00B97963">
            <w:pPr>
              <w:spacing w:before="0" w:after="0"/>
              <w:jc w:val="right"/>
              <w:rPr>
                <w:rFonts w:ascii="Calibri" w:eastAsia="Times New Roman" w:hAnsi="Calibri"/>
                <w:b/>
                <w:bCs/>
                <w:noProof/>
                <w:color w:val="000000"/>
                <w:sz w:val="22"/>
              </w:rPr>
            </w:pPr>
            <w:r>
              <w:rPr>
                <w:rFonts w:ascii="Calibri" w:hAnsi="Calibri"/>
                <w:b/>
                <w:noProof/>
                <w:color w:val="000000"/>
                <w:sz w:val="22"/>
              </w:rPr>
              <w:t>13,04</w:t>
            </w:r>
          </w:p>
        </w:tc>
        <w:tc>
          <w:tcPr>
            <w:tcW w:w="960" w:type="dxa"/>
            <w:tcBorders>
              <w:top w:val="nil"/>
              <w:left w:val="nil"/>
              <w:bottom w:val="single" w:sz="8" w:space="0" w:color="auto"/>
              <w:right w:val="single" w:sz="8" w:space="0" w:color="auto"/>
            </w:tcBorders>
            <w:shd w:val="clear" w:color="auto" w:fill="auto"/>
            <w:noWrap/>
            <w:vAlign w:val="bottom"/>
            <w:hideMark/>
          </w:tcPr>
          <w:p w:rsidR="00824C36" w:rsidRDefault="00B97963">
            <w:pPr>
              <w:spacing w:before="0" w:after="0"/>
              <w:jc w:val="right"/>
              <w:rPr>
                <w:rFonts w:ascii="Calibri" w:eastAsia="Times New Roman" w:hAnsi="Calibri"/>
                <w:b/>
                <w:bCs/>
                <w:noProof/>
                <w:color w:val="000000"/>
                <w:sz w:val="22"/>
              </w:rPr>
            </w:pPr>
            <w:r>
              <w:rPr>
                <w:rFonts w:ascii="Calibri" w:hAnsi="Calibri"/>
                <w:b/>
                <w:noProof/>
                <w:color w:val="000000"/>
                <w:sz w:val="22"/>
              </w:rPr>
              <w:t>25,06</w:t>
            </w:r>
          </w:p>
        </w:tc>
      </w:tr>
      <w:tr w:rsidR="00824C36">
        <w:trPr>
          <w:trHeight w:val="300"/>
        </w:trPr>
        <w:tc>
          <w:tcPr>
            <w:tcW w:w="978" w:type="dxa"/>
            <w:tcBorders>
              <w:top w:val="nil"/>
              <w:left w:val="single" w:sz="8" w:space="0" w:color="auto"/>
              <w:bottom w:val="nil"/>
              <w:right w:val="nil"/>
            </w:tcBorders>
            <w:shd w:val="clear" w:color="auto" w:fill="auto"/>
            <w:noWrap/>
            <w:vAlign w:val="bottom"/>
            <w:hideMark/>
          </w:tcPr>
          <w:p w:rsidR="00824C36" w:rsidRDefault="00B97963">
            <w:pPr>
              <w:spacing w:before="0" w:after="0"/>
              <w:jc w:val="left"/>
              <w:rPr>
                <w:rFonts w:ascii="Calibri" w:eastAsia="Times New Roman" w:hAnsi="Calibri"/>
                <w:noProof/>
                <w:color w:val="000000"/>
                <w:sz w:val="22"/>
              </w:rPr>
            </w:pPr>
            <w:r>
              <w:rPr>
                <w:rFonts w:ascii="Calibri" w:hAnsi="Calibri"/>
                <w:noProof/>
                <w:color w:val="000000"/>
                <w:sz w:val="22"/>
              </w:rPr>
              <w:t> </w:t>
            </w:r>
          </w:p>
        </w:tc>
        <w:tc>
          <w:tcPr>
            <w:tcW w:w="3560" w:type="dxa"/>
            <w:tcBorders>
              <w:top w:val="nil"/>
              <w:left w:val="nil"/>
              <w:bottom w:val="nil"/>
              <w:right w:val="single" w:sz="4" w:space="0" w:color="auto"/>
            </w:tcBorders>
            <w:shd w:val="clear" w:color="auto" w:fill="auto"/>
            <w:vAlign w:val="bottom"/>
            <w:hideMark/>
          </w:tcPr>
          <w:p w:rsidR="00824C36" w:rsidRDefault="00B97963">
            <w:pPr>
              <w:spacing w:before="0" w:after="0"/>
              <w:jc w:val="left"/>
              <w:rPr>
                <w:rFonts w:ascii="Calibri" w:eastAsia="Times New Roman" w:hAnsi="Calibri"/>
                <w:b/>
                <w:bCs/>
                <w:noProof/>
                <w:color w:val="000000"/>
                <w:sz w:val="22"/>
              </w:rPr>
            </w:pPr>
            <w:r>
              <w:rPr>
                <w:rFonts w:ascii="Calibri" w:hAnsi="Calibri"/>
                <w:b/>
                <w:noProof/>
                <w:color w:val="000000"/>
                <w:sz w:val="22"/>
              </w:rPr>
              <w:t>Rubrique 4:</w:t>
            </w:r>
          </w:p>
        </w:tc>
        <w:tc>
          <w:tcPr>
            <w:tcW w:w="960" w:type="dxa"/>
            <w:tcBorders>
              <w:top w:val="nil"/>
              <w:left w:val="nil"/>
              <w:bottom w:val="nil"/>
              <w:right w:val="single" w:sz="4" w:space="0" w:color="auto"/>
            </w:tcBorders>
            <w:shd w:val="clear" w:color="auto" w:fill="auto"/>
            <w:noWrap/>
            <w:vAlign w:val="bottom"/>
            <w:hideMark/>
          </w:tcPr>
          <w:p w:rsidR="00824C36" w:rsidRDefault="00B97963">
            <w:pPr>
              <w:spacing w:before="0" w:after="0"/>
              <w:jc w:val="right"/>
              <w:rPr>
                <w:rFonts w:ascii="Calibri" w:eastAsia="Times New Roman" w:hAnsi="Calibri"/>
                <w:noProof/>
                <w:color w:val="000000"/>
                <w:sz w:val="22"/>
              </w:rPr>
            </w:pPr>
            <w:r>
              <w:rPr>
                <w:rFonts w:ascii="Calibri" w:hAnsi="Calibri"/>
                <w:noProof/>
                <w:color w:val="000000"/>
                <w:sz w:val="22"/>
              </w:rPr>
              <w:t>2018</w:t>
            </w:r>
          </w:p>
        </w:tc>
        <w:tc>
          <w:tcPr>
            <w:tcW w:w="960" w:type="dxa"/>
            <w:tcBorders>
              <w:top w:val="nil"/>
              <w:left w:val="nil"/>
              <w:bottom w:val="nil"/>
              <w:right w:val="single" w:sz="4" w:space="0" w:color="auto"/>
            </w:tcBorders>
            <w:shd w:val="clear" w:color="auto" w:fill="auto"/>
            <w:noWrap/>
            <w:vAlign w:val="bottom"/>
            <w:hideMark/>
          </w:tcPr>
          <w:p w:rsidR="00824C36" w:rsidRDefault="00B97963">
            <w:pPr>
              <w:spacing w:before="0" w:after="0"/>
              <w:jc w:val="center"/>
              <w:rPr>
                <w:rFonts w:ascii="Calibri" w:eastAsia="Times New Roman" w:hAnsi="Calibri"/>
                <w:noProof/>
                <w:color w:val="000000"/>
                <w:sz w:val="22"/>
              </w:rPr>
            </w:pPr>
            <w:r>
              <w:rPr>
                <w:rFonts w:ascii="Calibri" w:hAnsi="Calibri"/>
                <w:noProof/>
                <w:color w:val="000000"/>
                <w:sz w:val="22"/>
              </w:rPr>
              <w:t>2019</w:t>
            </w:r>
          </w:p>
        </w:tc>
        <w:tc>
          <w:tcPr>
            <w:tcW w:w="960" w:type="dxa"/>
            <w:tcBorders>
              <w:top w:val="nil"/>
              <w:left w:val="nil"/>
              <w:bottom w:val="nil"/>
              <w:right w:val="single" w:sz="4" w:space="0" w:color="auto"/>
            </w:tcBorders>
            <w:shd w:val="clear" w:color="auto" w:fill="auto"/>
            <w:noWrap/>
            <w:vAlign w:val="bottom"/>
            <w:hideMark/>
          </w:tcPr>
          <w:p w:rsidR="00824C36" w:rsidRDefault="00B97963">
            <w:pPr>
              <w:spacing w:before="0" w:after="0"/>
              <w:jc w:val="center"/>
              <w:rPr>
                <w:rFonts w:ascii="Calibri" w:eastAsia="Times New Roman" w:hAnsi="Calibri"/>
                <w:noProof/>
                <w:color w:val="000000"/>
                <w:sz w:val="22"/>
              </w:rPr>
            </w:pPr>
            <w:r>
              <w:rPr>
                <w:rFonts w:ascii="Calibri" w:hAnsi="Calibri"/>
                <w:noProof/>
                <w:color w:val="000000"/>
                <w:sz w:val="22"/>
              </w:rPr>
              <w:t>2020</w:t>
            </w:r>
          </w:p>
        </w:tc>
        <w:tc>
          <w:tcPr>
            <w:tcW w:w="960" w:type="dxa"/>
            <w:tcBorders>
              <w:top w:val="nil"/>
              <w:left w:val="nil"/>
              <w:bottom w:val="nil"/>
              <w:right w:val="single" w:sz="8" w:space="0" w:color="auto"/>
            </w:tcBorders>
            <w:shd w:val="clear" w:color="auto" w:fill="auto"/>
            <w:noWrap/>
            <w:vAlign w:val="bottom"/>
            <w:hideMark/>
          </w:tcPr>
          <w:p w:rsidR="00824C36" w:rsidRDefault="00B97963">
            <w:pPr>
              <w:spacing w:before="0" w:after="0"/>
              <w:jc w:val="left"/>
              <w:rPr>
                <w:rFonts w:ascii="Calibri" w:eastAsia="Times New Roman" w:hAnsi="Calibri"/>
                <w:noProof/>
                <w:color w:val="000000"/>
                <w:sz w:val="22"/>
              </w:rPr>
            </w:pPr>
            <w:r>
              <w:rPr>
                <w:rFonts w:ascii="Calibri" w:hAnsi="Calibri"/>
                <w:noProof/>
                <w:color w:val="000000"/>
                <w:sz w:val="22"/>
              </w:rPr>
              <w:t>Total</w:t>
            </w:r>
          </w:p>
        </w:tc>
      </w:tr>
      <w:tr w:rsidR="00824C36">
        <w:trPr>
          <w:trHeight w:val="300"/>
        </w:trPr>
        <w:tc>
          <w:tcPr>
            <w:tcW w:w="978" w:type="dxa"/>
            <w:tcBorders>
              <w:top w:val="single" w:sz="4" w:space="0" w:color="auto"/>
              <w:left w:val="single" w:sz="4" w:space="0" w:color="auto"/>
              <w:bottom w:val="nil"/>
              <w:right w:val="nil"/>
            </w:tcBorders>
            <w:shd w:val="clear" w:color="auto" w:fill="auto"/>
            <w:noWrap/>
            <w:vAlign w:val="bottom"/>
            <w:hideMark/>
          </w:tcPr>
          <w:p w:rsidR="00824C36" w:rsidRDefault="00B97963">
            <w:pPr>
              <w:spacing w:before="0" w:after="0"/>
              <w:jc w:val="left"/>
              <w:rPr>
                <w:rFonts w:ascii="Calibri" w:eastAsia="Times New Roman" w:hAnsi="Calibri"/>
                <w:noProof/>
                <w:color w:val="000000"/>
                <w:sz w:val="22"/>
              </w:rPr>
            </w:pPr>
            <w:r>
              <w:rPr>
                <w:rFonts w:ascii="Calibri" w:hAnsi="Calibri"/>
                <w:noProof/>
                <w:color w:val="000000"/>
                <w:sz w:val="22"/>
              </w:rPr>
              <w:t>21 02 07 03</w:t>
            </w:r>
          </w:p>
        </w:tc>
        <w:tc>
          <w:tcPr>
            <w:tcW w:w="3560" w:type="dxa"/>
            <w:tcBorders>
              <w:top w:val="single" w:sz="4" w:space="0" w:color="auto"/>
              <w:left w:val="nil"/>
              <w:bottom w:val="nil"/>
              <w:right w:val="single" w:sz="4" w:space="0" w:color="auto"/>
            </w:tcBorders>
            <w:shd w:val="clear" w:color="auto" w:fill="auto"/>
            <w:vAlign w:val="bottom"/>
            <w:hideMark/>
          </w:tcPr>
          <w:p w:rsidR="00824C36" w:rsidRDefault="00B97963">
            <w:pPr>
              <w:spacing w:before="0" w:after="0"/>
              <w:jc w:val="left"/>
              <w:rPr>
                <w:rFonts w:ascii="Calibri" w:eastAsia="Times New Roman" w:hAnsi="Calibri"/>
                <w:noProof/>
                <w:color w:val="000000"/>
                <w:sz w:val="22"/>
              </w:rPr>
            </w:pPr>
            <w:r>
              <w:rPr>
                <w:rFonts w:ascii="Calibri" w:hAnsi="Calibri"/>
                <w:noProof/>
                <w:color w:val="000000"/>
                <w:sz w:val="22"/>
              </w:rPr>
              <w:t>Développement humain (ICD)</w:t>
            </w:r>
          </w:p>
        </w:tc>
        <w:tc>
          <w:tcPr>
            <w:tcW w:w="960" w:type="dxa"/>
            <w:tcBorders>
              <w:top w:val="single" w:sz="4" w:space="0" w:color="auto"/>
              <w:left w:val="nil"/>
              <w:bottom w:val="nil"/>
              <w:right w:val="single" w:sz="4" w:space="0" w:color="auto"/>
            </w:tcBorders>
            <w:shd w:val="clear" w:color="auto" w:fill="auto"/>
            <w:noWrap/>
            <w:vAlign w:val="bottom"/>
            <w:hideMark/>
          </w:tcPr>
          <w:p w:rsidR="00824C36" w:rsidRDefault="00B97963">
            <w:pPr>
              <w:spacing w:before="0" w:after="0"/>
              <w:jc w:val="right"/>
              <w:rPr>
                <w:rFonts w:ascii="Calibri" w:eastAsia="Times New Roman" w:hAnsi="Calibri"/>
                <w:noProof/>
                <w:color w:val="000000"/>
                <w:sz w:val="22"/>
              </w:rPr>
            </w:pPr>
            <w:r>
              <w:rPr>
                <w:rFonts w:ascii="Calibri" w:hAnsi="Calibri"/>
                <w:noProof/>
                <w:color w:val="000000"/>
                <w:sz w:val="22"/>
              </w:rPr>
              <w:t>2,00</w:t>
            </w:r>
          </w:p>
        </w:tc>
        <w:tc>
          <w:tcPr>
            <w:tcW w:w="960" w:type="dxa"/>
            <w:tcBorders>
              <w:top w:val="single" w:sz="4" w:space="0" w:color="auto"/>
              <w:left w:val="nil"/>
              <w:bottom w:val="nil"/>
              <w:right w:val="single" w:sz="4" w:space="0" w:color="auto"/>
            </w:tcBorders>
            <w:shd w:val="clear" w:color="auto" w:fill="auto"/>
            <w:noWrap/>
            <w:vAlign w:val="bottom"/>
            <w:hideMark/>
          </w:tcPr>
          <w:p w:rsidR="00824C36" w:rsidRDefault="00B97963">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single" w:sz="4" w:space="0" w:color="auto"/>
              <w:left w:val="nil"/>
              <w:bottom w:val="nil"/>
              <w:right w:val="single" w:sz="4" w:space="0" w:color="auto"/>
            </w:tcBorders>
            <w:shd w:val="clear" w:color="auto" w:fill="auto"/>
            <w:noWrap/>
            <w:vAlign w:val="bottom"/>
            <w:hideMark/>
          </w:tcPr>
          <w:p w:rsidR="00824C36" w:rsidRDefault="00B97963">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single" w:sz="4" w:space="0" w:color="auto"/>
              <w:left w:val="nil"/>
              <w:bottom w:val="nil"/>
              <w:right w:val="single" w:sz="4" w:space="0" w:color="auto"/>
            </w:tcBorders>
            <w:shd w:val="clear" w:color="auto" w:fill="auto"/>
            <w:noWrap/>
            <w:vAlign w:val="bottom"/>
            <w:hideMark/>
          </w:tcPr>
          <w:p w:rsidR="00824C36" w:rsidRDefault="00B97963">
            <w:pPr>
              <w:spacing w:before="0" w:after="0"/>
              <w:jc w:val="right"/>
              <w:rPr>
                <w:rFonts w:ascii="Calibri" w:eastAsia="Times New Roman" w:hAnsi="Calibri"/>
                <w:noProof/>
                <w:color w:val="000000"/>
                <w:sz w:val="22"/>
              </w:rPr>
            </w:pPr>
            <w:r>
              <w:rPr>
                <w:rFonts w:ascii="Calibri" w:hAnsi="Calibri"/>
                <w:noProof/>
                <w:color w:val="000000"/>
                <w:sz w:val="22"/>
              </w:rPr>
              <w:t>2,00</w:t>
            </w:r>
          </w:p>
        </w:tc>
      </w:tr>
      <w:tr w:rsidR="00824C36">
        <w:trPr>
          <w:trHeight w:val="930"/>
        </w:trPr>
        <w:tc>
          <w:tcPr>
            <w:tcW w:w="978" w:type="dxa"/>
            <w:tcBorders>
              <w:top w:val="nil"/>
              <w:left w:val="single" w:sz="4" w:space="0" w:color="auto"/>
              <w:bottom w:val="single" w:sz="4" w:space="0" w:color="auto"/>
              <w:right w:val="nil"/>
            </w:tcBorders>
            <w:shd w:val="clear" w:color="auto" w:fill="auto"/>
            <w:noWrap/>
            <w:vAlign w:val="bottom"/>
            <w:hideMark/>
          </w:tcPr>
          <w:p w:rsidR="00824C36" w:rsidRDefault="00B97963">
            <w:pPr>
              <w:spacing w:before="0" w:after="0"/>
              <w:jc w:val="left"/>
              <w:rPr>
                <w:rFonts w:ascii="Calibri" w:eastAsia="Times New Roman" w:hAnsi="Calibri"/>
                <w:noProof/>
                <w:color w:val="000000"/>
                <w:sz w:val="22"/>
              </w:rPr>
            </w:pPr>
            <w:r>
              <w:rPr>
                <w:rFonts w:ascii="Calibri" w:hAnsi="Calibri"/>
                <w:noProof/>
                <w:color w:val="000000"/>
                <w:sz w:val="22"/>
              </w:rPr>
              <w:t>22 02 03 02</w:t>
            </w:r>
          </w:p>
        </w:tc>
        <w:tc>
          <w:tcPr>
            <w:tcW w:w="3560" w:type="dxa"/>
            <w:tcBorders>
              <w:top w:val="nil"/>
              <w:left w:val="nil"/>
              <w:bottom w:val="single" w:sz="4" w:space="0" w:color="auto"/>
              <w:right w:val="single" w:sz="4" w:space="0" w:color="auto"/>
            </w:tcBorders>
            <w:shd w:val="clear" w:color="auto" w:fill="auto"/>
            <w:vAlign w:val="bottom"/>
            <w:hideMark/>
          </w:tcPr>
          <w:p w:rsidR="00824C36" w:rsidRDefault="00B97963">
            <w:pPr>
              <w:spacing w:before="0" w:after="0"/>
              <w:jc w:val="left"/>
              <w:rPr>
                <w:rFonts w:ascii="Calibri" w:eastAsia="Times New Roman" w:hAnsi="Calibri"/>
                <w:noProof/>
                <w:color w:val="000000"/>
                <w:sz w:val="22"/>
              </w:rPr>
            </w:pPr>
            <w:r>
              <w:rPr>
                <w:rFonts w:ascii="Calibri" w:hAnsi="Calibri"/>
                <w:noProof/>
                <w:color w:val="000000"/>
                <w:sz w:val="22"/>
              </w:rPr>
              <w:t xml:space="preserve">Soutenir le développement économique, social et territorial de la </w:t>
            </w:r>
            <w:r>
              <w:rPr>
                <w:rFonts w:ascii="Calibri" w:hAnsi="Calibri"/>
                <w:noProof/>
                <w:color w:val="000000"/>
                <w:sz w:val="22"/>
              </w:rPr>
              <w:t>Turquie et l’alignement progressif connexe sur l’acquis de l’Union (IAP II - Turquie)</w:t>
            </w:r>
          </w:p>
        </w:tc>
        <w:tc>
          <w:tcPr>
            <w:tcW w:w="960" w:type="dxa"/>
            <w:tcBorders>
              <w:top w:val="nil"/>
              <w:left w:val="nil"/>
              <w:bottom w:val="single" w:sz="4" w:space="0" w:color="auto"/>
              <w:right w:val="single" w:sz="4" w:space="0" w:color="auto"/>
            </w:tcBorders>
            <w:shd w:val="clear" w:color="auto" w:fill="auto"/>
            <w:noWrap/>
            <w:vAlign w:val="bottom"/>
            <w:hideMark/>
          </w:tcPr>
          <w:p w:rsidR="00824C36" w:rsidRDefault="00B97963">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24C36" w:rsidRDefault="00B97963">
            <w:pPr>
              <w:spacing w:before="0" w:after="0"/>
              <w:jc w:val="right"/>
              <w:rPr>
                <w:rFonts w:ascii="Calibri" w:eastAsia="Times New Roman" w:hAnsi="Calibri"/>
                <w:noProof/>
                <w:color w:val="000000"/>
                <w:sz w:val="22"/>
              </w:rPr>
            </w:pPr>
            <w:r>
              <w:rPr>
                <w:rFonts w:ascii="Calibri" w:hAnsi="Calibri"/>
                <w:noProof/>
                <w:color w:val="000000"/>
                <w:sz w:val="22"/>
              </w:rPr>
              <w:t>2,00</w:t>
            </w:r>
          </w:p>
        </w:tc>
        <w:tc>
          <w:tcPr>
            <w:tcW w:w="960" w:type="dxa"/>
            <w:tcBorders>
              <w:top w:val="nil"/>
              <w:left w:val="nil"/>
              <w:bottom w:val="single" w:sz="4" w:space="0" w:color="auto"/>
              <w:right w:val="single" w:sz="4" w:space="0" w:color="auto"/>
            </w:tcBorders>
            <w:shd w:val="clear" w:color="auto" w:fill="auto"/>
            <w:noWrap/>
            <w:vAlign w:val="bottom"/>
            <w:hideMark/>
          </w:tcPr>
          <w:p w:rsidR="00824C36" w:rsidRDefault="00B97963">
            <w:pPr>
              <w:spacing w:before="0" w:after="0"/>
              <w:jc w:val="right"/>
              <w:rPr>
                <w:rFonts w:ascii="Calibri" w:eastAsia="Times New Roman" w:hAnsi="Calibri"/>
                <w:noProof/>
                <w:color w:val="000000"/>
                <w:sz w:val="22"/>
              </w:rPr>
            </w:pPr>
            <w:r>
              <w:rPr>
                <w:rFonts w:ascii="Calibri" w:hAnsi="Calibri"/>
                <w:noProof/>
                <w:color w:val="000000"/>
                <w:sz w:val="22"/>
              </w:rPr>
              <w:t>2,28</w:t>
            </w:r>
          </w:p>
        </w:tc>
        <w:tc>
          <w:tcPr>
            <w:tcW w:w="960" w:type="dxa"/>
            <w:tcBorders>
              <w:top w:val="nil"/>
              <w:left w:val="nil"/>
              <w:bottom w:val="single" w:sz="4" w:space="0" w:color="auto"/>
              <w:right w:val="single" w:sz="4" w:space="0" w:color="auto"/>
            </w:tcBorders>
            <w:shd w:val="clear" w:color="auto" w:fill="auto"/>
            <w:noWrap/>
            <w:vAlign w:val="bottom"/>
            <w:hideMark/>
          </w:tcPr>
          <w:p w:rsidR="00824C36" w:rsidRDefault="00B97963">
            <w:pPr>
              <w:spacing w:before="0" w:after="0"/>
              <w:jc w:val="right"/>
              <w:rPr>
                <w:rFonts w:ascii="Calibri" w:eastAsia="Times New Roman" w:hAnsi="Calibri"/>
                <w:noProof/>
                <w:color w:val="000000"/>
                <w:sz w:val="22"/>
              </w:rPr>
            </w:pPr>
            <w:r>
              <w:rPr>
                <w:rFonts w:ascii="Calibri" w:hAnsi="Calibri"/>
                <w:noProof/>
                <w:color w:val="000000"/>
                <w:sz w:val="22"/>
              </w:rPr>
              <w:t>4 284</w:t>
            </w:r>
          </w:p>
        </w:tc>
      </w:tr>
      <w:tr w:rsidR="00824C36">
        <w:trPr>
          <w:trHeight w:val="315"/>
        </w:trPr>
        <w:tc>
          <w:tcPr>
            <w:tcW w:w="978" w:type="dxa"/>
            <w:tcBorders>
              <w:top w:val="nil"/>
              <w:left w:val="single" w:sz="8" w:space="0" w:color="auto"/>
              <w:bottom w:val="single" w:sz="8" w:space="0" w:color="auto"/>
              <w:right w:val="nil"/>
            </w:tcBorders>
            <w:shd w:val="clear" w:color="auto" w:fill="auto"/>
            <w:noWrap/>
            <w:vAlign w:val="bottom"/>
            <w:hideMark/>
          </w:tcPr>
          <w:p w:rsidR="00824C36" w:rsidRDefault="00B97963">
            <w:pPr>
              <w:spacing w:before="0" w:after="0"/>
              <w:jc w:val="left"/>
              <w:rPr>
                <w:rFonts w:ascii="Calibri" w:eastAsia="Times New Roman" w:hAnsi="Calibri"/>
                <w:noProof/>
                <w:color w:val="000000"/>
                <w:sz w:val="22"/>
              </w:rPr>
            </w:pPr>
            <w:r>
              <w:rPr>
                <w:rFonts w:ascii="Calibri" w:hAnsi="Calibri"/>
                <w:noProof/>
                <w:color w:val="000000"/>
                <w:sz w:val="22"/>
              </w:rPr>
              <w:t> </w:t>
            </w:r>
          </w:p>
        </w:tc>
        <w:tc>
          <w:tcPr>
            <w:tcW w:w="3560" w:type="dxa"/>
            <w:tcBorders>
              <w:top w:val="nil"/>
              <w:left w:val="nil"/>
              <w:bottom w:val="single" w:sz="8" w:space="0" w:color="auto"/>
              <w:right w:val="single" w:sz="4" w:space="0" w:color="auto"/>
            </w:tcBorders>
            <w:shd w:val="clear" w:color="auto" w:fill="auto"/>
            <w:vAlign w:val="bottom"/>
            <w:hideMark/>
          </w:tcPr>
          <w:p w:rsidR="00824C36" w:rsidRDefault="00B97963">
            <w:pPr>
              <w:spacing w:before="0" w:after="0"/>
              <w:jc w:val="left"/>
              <w:rPr>
                <w:rFonts w:ascii="Calibri" w:eastAsia="Times New Roman" w:hAnsi="Calibri"/>
                <w:b/>
                <w:bCs/>
                <w:noProof/>
                <w:color w:val="000000"/>
                <w:sz w:val="22"/>
              </w:rPr>
            </w:pPr>
            <w:r>
              <w:rPr>
                <w:rFonts w:ascii="Calibri" w:hAnsi="Calibri"/>
                <w:b/>
                <w:noProof/>
                <w:color w:val="000000"/>
                <w:sz w:val="22"/>
              </w:rPr>
              <w:t>Total rubrique 4</w:t>
            </w:r>
          </w:p>
        </w:tc>
        <w:tc>
          <w:tcPr>
            <w:tcW w:w="960" w:type="dxa"/>
            <w:tcBorders>
              <w:top w:val="nil"/>
              <w:left w:val="nil"/>
              <w:bottom w:val="single" w:sz="8" w:space="0" w:color="auto"/>
              <w:right w:val="single" w:sz="4" w:space="0" w:color="auto"/>
            </w:tcBorders>
            <w:shd w:val="clear" w:color="auto" w:fill="auto"/>
            <w:noWrap/>
            <w:vAlign w:val="bottom"/>
            <w:hideMark/>
          </w:tcPr>
          <w:p w:rsidR="00824C36" w:rsidRDefault="00B97963">
            <w:pPr>
              <w:spacing w:before="0" w:after="0"/>
              <w:jc w:val="right"/>
              <w:rPr>
                <w:rFonts w:ascii="Calibri" w:eastAsia="Times New Roman" w:hAnsi="Calibri"/>
                <w:b/>
                <w:bCs/>
                <w:noProof/>
                <w:color w:val="000000"/>
                <w:sz w:val="22"/>
              </w:rPr>
            </w:pPr>
            <w:r>
              <w:rPr>
                <w:rFonts w:ascii="Calibri" w:hAnsi="Calibri"/>
                <w:b/>
                <w:noProof/>
                <w:color w:val="000000"/>
                <w:sz w:val="22"/>
              </w:rPr>
              <w:t>2,00</w:t>
            </w:r>
          </w:p>
        </w:tc>
        <w:tc>
          <w:tcPr>
            <w:tcW w:w="960" w:type="dxa"/>
            <w:tcBorders>
              <w:top w:val="nil"/>
              <w:left w:val="nil"/>
              <w:bottom w:val="single" w:sz="8" w:space="0" w:color="auto"/>
              <w:right w:val="single" w:sz="4" w:space="0" w:color="auto"/>
            </w:tcBorders>
            <w:shd w:val="clear" w:color="auto" w:fill="auto"/>
            <w:noWrap/>
            <w:vAlign w:val="bottom"/>
            <w:hideMark/>
          </w:tcPr>
          <w:p w:rsidR="00824C36" w:rsidRDefault="00B97963">
            <w:pPr>
              <w:spacing w:before="0" w:after="0"/>
              <w:jc w:val="right"/>
              <w:rPr>
                <w:rFonts w:ascii="Calibri" w:eastAsia="Times New Roman" w:hAnsi="Calibri"/>
                <w:b/>
                <w:bCs/>
                <w:noProof/>
                <w:color w:val="000000"/>
                <w:sz w:val="22"/>
              </w:rPr>
            </w:pPr>
            <w:r>
              <w:rPr>
                <w:rFonts w:ascii="Calibri" w:hAnsi="Calibri"/>
                <w:b/>
                <w:noProof/>
                <w:color w:val="000000"/>
                <w:sz w:val="22"/>
              </w:rPr>
              <w:t>2,00</w:t>
            </w:r>
          </w:p>
        </w:tc>
        <w:tc>
          <w:tcPr>
            <w:tcW w:w="960" w:type="dxa"/>
            <w:tcBorders>
              <w:top w:val="nil"/>
              <w:left w:val="nil"/>
              <w:bottom w:val="single" w:sz="8" w:space="0" w:color="auto"/>
              <w:right w:val="single" w:sz="4" w:space="0" w:color="auto"/>
            </w:tcBorders>
            <w:shd w:val="clear" w:color="auto" w:fill="auto"/>
            <w:noWrap/>
            <w:vAlign w:val="bottom"/>
            <w:hideMark/>
          </w:tcPr>
          <w:p w:rsidR="00824C36" w:rsidRDefault="00B97963">
            <w:pPr>
              <w:spacing w:before="0" w:after="0"/>
              <w:jc w:val="right"/>
              <w:rPr>
                <w:rFonts w:ascii="Calibri" w:eastAsia="Times New Roman" w:hAnsi="Calibri"/>
                <w:b/>
                <w:bCs/>
                <w:noProof/>
                <w:color w:val="000000"/>
                <w:sz w:val="22"/>
              </w:rPr>
            </w:pPr>
            <w:r>
              <w:rPr>
                <w:rFonts w:ascii="Calibri" w:hAnsi="Calibri"/>
                <w:b/>
                <w:noProof/>
                <w:color w:val="000000"/>
                <w:sz w:val="22"/>
              </w:rPr>
              <w:t>2,28</w:t>
            </w:r>
          </w:p>
        </w:tc>
        <w:tc>
          <w:tcPr>
            <w:tcW w:w="960" w:type="dxa"/>
            <w:tcBorders>
              <w:top w:val="nil"/>
              <w:left w:val="nil"/>
              <w:bottom w:val="single" w:sz="8" w:space="0" w:color="auto"/>
              <w:right w:val="single" w:sz="8" w:space="0" w:color="auto"/>
            </w:tcBorders>
            <w:shd w:val="clear" w:color="auto" w:fill="auto"/>
            <w:noWrap/>
            <w:vAlign w:val="bottom"/>
            <w:hideMark/>
          </w:tcPr>
          <w:p w:rsidR="00824C36" w:rsidRDefault="00B97963">
            <w:pPr>
              <w:spacing w:before="0" w:after="0"/>
              <w:jc w:val="right"/>
              <w:rPr>
                <w:rFonts w:ascii="Calibri" w:eastAsia="Times New Roman" w:hAnsi="Calibri"/>
                <w:b/>
                <w:bCs/>
                <w:noProof/>
                <w:color w:val="000000"/>
                <w:sz w:val="22"/>
              </w:rPr>
            </w:pPr>
            <w:r>
              <w:rPr>
                <w:rFonts w:ascii="Calibri" w:hAnsi="Calibri"/>
                <w:b/>
                <w:noProof/>
                <w:color w:val="000000"/>
                <w:sz w:val="22"/>
              </w:rPr>
              <w:t>6,284</w:t>
            </w:r>
          </w:p>
        </w:tc>
      </w:tr>
    </w:tbl>
    <w:p w:rsidR="00824C36" w:rsidRDefault="00824C36">
      <w:pPr>
        <w:ind w:left="283" w:hanging="283"/>
        <w:rPr>
          <w:rFonts w:eastAsia="Times New Roman"/>
          <w:noProof/>
        </w:rPr>
      </w:pPr>
    </w:p>
    <w:p w:rsidR="00824C36" w:rsidRDefault="00B97963">
      <w:pPr>
        <w:ind w:left="851"/>
        <w:rPr>
          <w:rFonts w:eastAsia="Times New Roman"/>
          <w:noProof/>
        </w:rPr>
      </w:pPr>
      <w:r>
        <w:rPr>
          <w:noProof/>
        </w:rPr>
        <w:t>X</w:t>
      </w:r>
      <w:r>
        <w:rPr>
          <w:noProof/>
        </w:rPr>
        <w:tab/>
        <w:t>La proposition/l’initiative nécessite le recours à l'instrument de flexibilité.</w:t>
      </w:r>
    </w:p>
    <w:tbl>
      <w:tblPr>
        <w:tblW w:w="9855" w:type="dxa"/>
        <w:tblInd w:w="93" w:type="dxa"/>
        <w:tblLook w:val="04A0" w:firstRow="1" w:lastRow="0" w:firstColumn="1" w:lastColumn="0" w:noHBand="0" w:noVBand="1"/>
      </w:tblPr>
      <w:tblGrid>
        <w:gridCol w:w="5415"/>
        <w:gridCol w:w="2280"/>
        <w:gridCol w:w="1080"/>
        <w:gridCol w:w="120"/>
        <w:gridCol w:w="960"/>
      </w:tblGrid>
      <w:tr w:rsidR="00824C36">
        <w:trPr>
          <w:trHeight w:val="300"/>
        </w:trPr>
        <w:tc>
          <w:tcPr>
            <w:tcW w:w="5415" w:type="dxa"/>
            <w:tcBorders>
              <w:top w:val="single" w:sz="4" w:space="0" w:color="auto"/>
              <w:left w:val="single" w:sz="4" w:space="0" w:color="auto"/>
              <w:bottom w:val="nil"/>
              <w:right w:val="nil"/>
            </w:tcBorders>
            <w:shd w:val="clear" w:color="auto" w:fill="auto"/>
            <w:noWrap/>
            <w:vAlign w:val="bottom"/>
            <w:hideMark/>
          </w:tcPr>
          <w:p w:rsidR="00824C36" w:rsidRDefault="00B97963">
            <w:pPr>
              <w:spacing w:before="0" w:after="0"/>
              <w:jc w:val="left"/>
              <w:rPr>
                <w:rFonts w:ascii="Calibri" w:eastAsia="Times New Roman" w:hAnsi="Calibri"/>
                <w:noProof/>
                <w:color w:val="000000"/>
                <w:sz w:val="22"/>
              </w:rPr>
            </w:pPr>
            <w:r>
              <w:rPr>
                <w:rFonts w:ascii="Calibri" w:hAnsi="Calibri"/>
                <w:noProof/>
                <w:color w:val="000000"/>
                <w:sz w:val="22"/>
              </w:rPr>
              <w:t> </w:t>
            </w:r>
          </w:p>
        </w:tc>
        <w:tc>
          <w:tcPr>
            <w:tcW w:w="2280" w:type="dxa"/>
            <w:tcBorders>
              <w:top w:val="single" w:sz="4" w:space="0" w:color="auto"/>
              <w:left w:val="single" w:sz="4" w:space="0" w:color="auto"/>
              <w:bottom w:val="single" w:sz="4" w:space="0" w:color="auto"/>
              <w:right w:val="nil"/>
            </w:tcBorders>
            <w:shd w:val="clear" w:color="auto" w:fill="auto"/>
            <w:noWrap/>
            <w:vAlign w:val="bottom"/>
            <w:hideMark/>
          </w:tcPr>
          <w:p w:rsidR="00824C36" w:rsidRDefault="00B97963">
            <w:pPr>
              <w:spacing w:before="0" w:after="0"/>
              <w:jc w:val="center"/>
              <w:rPr>
                <w:rFonts w:ascii="Calibri" w:eastAsia="Times New Roman" w:hAnsi="Calibri"/>
                <w:noProof/>
                <w:color w:val="000000"/>
                <w:sz w:val="22"/>
              </w:rPr>
            </w:pPr>
            <w:r>
              <w:rPr>
                <w:rFonts w:ascii="Calibri" w:hAnsi="Calibri"/>
                <w:noProof/>
                <w:color w:val="000000"/>
                <w:sz w:val="22"/>
              </w:rPr>
              <w:t xml:space="preserve">       2018</w:t>
            </w:r>
          </w:p>
        </w:tc>
        <w:tc>
          <w:tcPr>
            <w:tcW w:w="1200" w:type="dxa"/>
            <w:gridSpan w:val="2"/>
            <w:tcBorders>
              <w:top w:val="single" w:sz="4" w:space="0" w:color="auto"/>
              <w:left w:val="nil"/>
              <w:bottom w:val="single" w:sz="4" w:space="0" w:color="auto"/>
              <w:right w:val="nil"/>
            </w:tcBorders>
            <w:shd w:val="clear" w:color="auto" w:fill="auto"/>
            <w:noWrap/>
            <w:vAlign w:val="bottom"/>
            <w:hideMark/>
          </w:tcPr>
          <w:p w:rsidR="00824C36" w:rsidRDefault="00B97963">
            <w:pPr>
              <w:spacing w:before="0" w:after="0"/>
              <w:jc w:val="center"/>
              <w:rPr>
                <w:rFonts w:ascii="Calibri" w:eastAsia="Times New Roman" w:hAnsi="Calibri"/>
                <w:noProof/>
                <w:color w:val="000000"/>
                <w:sz w:val="22"/>
              </w:rPr>
            </w:pPr>
            <w:r>
              <w:rPr>
                <w:rFonts w:ascii="Calibri" w:hAnsi="Calibri"/>
                <w:noProof/>
                <w:color w:val="000000"/>
                <w:sz w:val="22"/>
              </w:rPr>
              <w:t xml:space="preserve">       2019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24C36" w:rsidRDefault="00B97963">
            <w:pPr>
              <w:spacing w:before="0" w:after="0"/>
              <w:jc w:val="center"/>
              <w:rPr>
                <w:rFonts w:ascii="Calibri" w:eastAsia="Times New Roman" w:hAnsi="Calibri"/>
                <w:noProof/>
                <w:color w:val="000000"/>
                <w:sz w:val="22"/>
              </w:rPr>
            </w:pPr>
            <w:r>
              <w:rPr>
                <w:rFonts w:ascii="Calibri" w:hAnsi="Calibri"/>
                <w:noProof/>
                <w:color w:val="000000"/>
                <w:sz w:val="22"/>
              </w:rPr>
              <w:t>2020</w:t>
            </w:r>
          </w:p>
        </w:tc>
      </w:tr>
      <w:tr w:rsidR="00824C36">
        <w:trPr>
          <w:trHeight w:val="300"/>
        </w:trPr>
        <w:tc>
          <w:tcPr>
            <w:tcW w:w="5415" w:type="dxa"/>
            <w:tcBorders>
              <w:top w:val="nil"/>
              <w:left w:val="single" w:sz="4" w:space="0" w:color="auto"/>
              <w:bottom w:val="single" w:sz="4" w:space="0" w:color="auto"/>
              <w:right w:val="single" w:sz="4" w:space="0" w:color="auto"/>
            </w:tcBorders>
            <w:shd w:val="clear" w:color="auto" w:fill="auto"/>
            <w:noWrap/>
            <w:vAlign w:val="bottom"/>
            <w:hideMark/>
          </w:tcPr>
          <w:p w:rsidR="00824C36" w:rsidRDefault="00B97963">
            <w:pPr>
              <w:spacing w:before="0" w:after="0"/>
              <w:jc w:val="left"/>
              <w:rPr>
                <w:rFonts w:ascii="Calibri" w:eastAsia="Times New Roman" w:hAnsi="Calibri"/>
                <w:noProof/>
                <w:color w:val="000000"/>
                <w:sz w:val="22"/>
              </w:rPr>
            </w:pPr>
            <w:r>
              <w:rPr>
                <w:rFonts w:ascii="Calibri" w:hAnsi="Calibri"/>
                <w:noProof/>
                <w:color w:val="000000"/>
                <w:sz w:val="22"/>
              </w:rPr>
              <w:t>Recours à l'instrument de flexibilité</w:t>
            </w:r>
          </w:p>
        </w:tc>
        <w:tc>
          <w:tcPr>
            <w:tcW w:w="2280" w:type="dxa"/>
            <w:tcBorders>
              <w:top w:val="single" w:sz="4" w:space="0" w:color="auto"/>
              <w:left w:val="single" w:sz="4" w:space="0" w:color="auto"/>
              <w:bottom w:val="single" w:sz="4" w:space="0" w:color="auto"/>
              <w:right w:val="nil"/>
            </w:tcBorders>
            <w:shd w:val="clear" w:color="auto" w:fill="auto"/>
            <w:noWrap/>
            <w:vAlign w:val="bottom"/>
            <w:hideMark/>
          </w:tcPr>
          <w:p w:rsidR="00824C36" w:rsidRDefault="00B97963">
            <w:pPr>
              <w:spacing w:before="0" w:after="0"/>
              <w:jc w:val="center"/>
              <w:rPr>
                <w:rFonts w:ascii="Calibri" w:eastAsia="Times New Roman" w:hAnsi="Calibri"/>
                <w:noProof/>
                <w:color w:val="000000"/>
                <w:sz w:val="22"/>
              </w:rPr>
            </w:pPr>
            <w:r>
              <w:rPr>
                <w:rFonts w:ascii="Calibri" w:hAnsi="Calibri"/>
                <w:noProof/>
                <w:color w:val="000000"/>
                <w:sz w:val="22"/>
              </w:rPr>
              <w:t>19,157</w:t>
            </w:r>
          </w:p>
        </w:tc>
        <w:tc>
          <w:tcPr>
            <w:tcW w:w="1080" w:type="dxa"/>
            <w:tcBorders>
              <w:top w:val="single" w:sz="4" w:space="0" w:color="auto"/>
              <w:left w:val="nil"/>
              <w:bottom w:val="single" w:sz="4" w:space="0" w:color="auto"/>
              <w:right w:val="nil"/>
            </w:tcBorders>
            <w:shd w:val="clear" w:color="auto" w:fill="auto"/>
            <w:noWrap/>
            <w:vAlign w:val="bottom"/>
            <w:hideMark/>
          </w:tcPr>
          <w:p w:rsidR="00824C36" w:rsidRDefault="00B97963">
            <w:pPr>
              <w:spacing w:before="0" w:after="0"/>
              <w:jc w:val="right"/>
              <w:rPr>
                <w:rFonts w:ascii="Calibri" w:eastAsia="Times New Roman" w:hAnsi="Calibri"/>
                <w:noProof/>
                <w:color w:val="000000"/>
                <w:sz w:val="22"/>
              </w:rPr>
            </w:pPr>
            <w:r>
              <w:rPr>
                <w:rFonts w:ascii="Calibri" w:hAnsi="Calibri"/>
                <w:noProof/>
                <w:color w:val="000000"/>
                <w:sz w:val="22"/>
              </w:rPr>
              <w:t>103,18</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824C36" w:rsidRDefault="00B97963">
            <w:pPr>
              <w:spacing w:before="0" w:after="0"/>
              <w:jc w:val="right"/>
              <w:rPr>
                <w:rFonts w:ascii="Calibri" w:eastAsia="Times New Roman" w:hAnsi="Calibri"/>
                <w:noProof/>
                <w:color w:val="000000"/>
                <w:sz w:val="22"/>
              </w:rPr>
            </w:pPr>
            <w:r>
              <w:rPr>
                <w:rFonts w:ascii="Calibri" w:hAnsi="Calibri"/>
                <w:noProof/>
                <w:color w:val="000000"/>
                <w:sz w:val="22"/>
              </w:rPr>
              <w:t>109,457</w:t>
            </w:r>
          </w:p>
        </w:tc>
      </w:tr>
    </w:tbl>
    <w:p w:rsidR="00824C36" w:rsidRDefault="00824C36">
      <w:pPr>
        <w:rPr>
          <w:rFonts w:eastAsia="Times New Roman"/>
          <w:noProof/>
        </w:rPr>
      </w:pPr>
    </w:p>
    <w:p w:rsidR="00824C36" w:rsidRDefault="00B97963">
      <w:pPr>
        <w:pStyle w:val="ManualNumPar3"/>
        <w:rPr>
          <w:noProof/>
        </w:rPr>
      </w:pPr>
      <w:r>
        <w:t>3.2.5.</w:t>
      </w:r>
      <w:r>
        <w:tab/>
      </w:r>
      <w:r>
        <w:rPr>
          <w:noProof/>
        </w:rPr>
        <w:t xml:space="preserve">Participation de tiers au financement </w:t>
      </w:r>
    </w:p>
    <w:p w:rsidR="00824C36" w:rsidRDefault="00B97963">
      <w:pPr>
        <w:tabs>
          <w:tab w:val="num" w:pos="1134"/>
        </w:tabs>
        <w:ind w:left="1134" w:hanging="283"/>
        <w:rPr>
          <w:rFonts w:eastAsia="Times New Roman"/>
          <w:noProof/>
        </w:rPr>
      </w:pPr>
      <w:r>
        <w:rPr>
          <w:noProof/>
        </w:rPr>
        <w:t xml:space="preserve">La proposition/l'initiative ne prévoit pas de cofinancement par des tierces parties. </w:t>
      </w:r>
    </w:p>
    <w:p w:rsidR="00824C36" w:rsidRDefault="00B97963">
      <w:pPr>
        <w:tabs>
          <w:tab w:val="num" w:pos="1134"/>
        </w:tabs>
        <w:ind w:left="1134" w:hanging="283"/>
        <w:rPr>
          <w:rFonts w:eastAsia="Times New Roman"/>
          <w:noProof/>
        </w:rPr>
      </w:pPr>
      <w:r>
        <w:rPr>
          <w:noProof/>
        </w:rPr>
        <w:t xml:space="preserve">La proposition/l’initiative prévoit un cofinancement </w:t>
      </w:r>
      <w:r>
        <w:rPr>
          <w:noProof/>
        </w:rPr>
        <w:t>estimé ci-après:</w:t>
      </w:r>
    </w:p>
    <w:p w:rsidR="00824C36" w:rsidRDefault="00B97963">
      <w:pPr>
        <w:jc w:val="right"/>
        <w:rPr>
          <w:noProof/>
          <w:sz w:val="20"/>
        </w:rPr>
      </w:pPr>
      <w:r>
        <w:rPr>
          <w:noProof/>
          <w:sz w:val="20"/>
        </w:rPr>
        <w:t>Crédits en Mio EUR (à la 3</w:t>
      </w:r>
      <w:r>
        <w:rPr>
          <w:noProof/>
          <w:sz w:val="20"/>
          <w:vertAlign w:val="superscript"/>
        </w:rPr>
        <w:t>e</w:t>
      </w:r>
      <w:r>
        <w:rPr>
          <w:noProof/>
          <w:sz w:val="20"/>
        </w:rPr>
        <w:t>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824C36">
        <w:trPr>
          <w:cantSplit/>
        </w:trPr>
        <w:tc>
          <w:tcPr>
            <w:tcW w:w="2340" w:type="dxa"/>
          </w:tcPr>
          <w:p w:rsidR="00824C36" w:rsidRDefault="00824C36">
            <w:pPr>
              <w:spacing w:before="60" w:after="60"/>
              <w:rPr>
                <w:noProof/>
                <w:sz w:val="20"/>
              </w:rPr>
            </w:pPr>
          </w:p>
        </w:tc>
        <w:tc>
          <w:tcPr>
            <w:tcW w:w="964" w:type="dxa"/>
            <w:vAlign w:val="center"/>
          </w:tcPr>
          <w:p w:rsidR="00824C36" w:rsidRDefault="00B97963">
            <w:pPr>
              <w:jc w:val="center"/>
              <w:rPr>
                <w:noProof/>
                <w:sz w:val="20"/>
              </w:rPr>
            </w:pPr>
            <w:r>
              <w:rPr>
                <w:noProof/>
                <w:sz w:val="20"/>
              </w:rPr>
              <w:t>Année</w:t>
            </w:r>
            <w:r>
              <w:rPr>
                <w:noProof/>
                <w:sz w:val="22"/>
              </w:rPr>
              <w:br/>
            </w:r>
            <w:r>
              <w:rPr>
                <w:b/>
                <w:noProof/>
                <w:sz w:val="20"/>
              </w:rPr>
              <w:t>N</w:t>
            </w:r>
          </w:p>
        </w:tc>
        <w:tc>
          <w:tcPr>
            <w:tcW w:w="964" w:type="dxa"/>
            <w:vAlign w:val="center"/>
          </w:tcPr>
          <w:p w:rsidR="00824C36" w:rsidRDefault="00B97963">
            <w:pPr>
              <w:jc w:val="center"/>
              <w:rPr>
                <w:noProof/>
                <w:sz w:val="20"/>
              </w:rPr>
            </w:pPr>
            <w:r>
              <w:rPr>
                <w:noProof/>
                <w:sz w:val="20"/>
              </w:rPr>
              <w:t>Année</w:t>
            </w:r>
            <w:r>
              <w:rPr>
                <w:noProof/>
                <w:sz w:val="22"/>
              </w:rPr>
              <w:br/>
            </w:r>
            <w:r>
              <w:rPr>
                <w:b/>
                <w:noProof/>
                <w:sz w:val="20"/>
              </w:rPr>
              <w:t>N+1</w:t>
            </w:r>
          </w:p>
        </w:tc>
        <w:tc>
          <w:tcPr>
            <w:tcW w:w="964" w:type="dxa"/>
            <w:vAlign w:val="center"/>
          </w:tcPr>
          <w:p w:rsidR="00824C36" w:rsidRDefault="00B97963">
            <w:pPr>
              <w:jc w:val="center"/>
              <w:rPr>
                <w:noProof/>
                <w:sz w:val="20"/>
              </w:rPr>
            </w:pPr>
            <w:r>
              <w:rPr>
                <w:noProof/>
                <w:sz w:val="20"/>
              </w:rPr>
              <w:t>Année</w:t>
            </w:r>
            <w:r>
              <w:rPr>
                <w:noProof/>
                <w:sz w:val="22"/>
              </w:rPr>
              <w:br/>
            </w:r>
            <w:r>
              <w:rPr>
                <w:b/>
                <w:noProof/>
                <w:sz w:val="20"/>
              </w:rPr>
              <w:t>N+2</w:t>
            </w:r>
          </w:p>
        </w:tc>
        <w:tc>
          <w:tcPr>
            <w:tcW w:w="964" w:type="dxa"/>
            <w:vAlign w:val="center"/>
          </w:tcPr>
          <w:p w:rsidR="00824C36" w:rsidRDefault="00B97963">
            <w:pPr>
              <w:jc w:val="center"/>
              <w:rPr>
                <w:noProof/>
                <w:sz w:val="20"/>
              </w:rPr>
            </w:pPr>
            <w:r>
              <w:rPr>
                <w:noProof/>
                <w:sz w:val="20"/>
              </w:rPr>
              <w:t>Année</w:t>
            </w:r>
            <w:r>
              <w:rPr>
                <w:noProof/>
                <w:sz w:val="22"/>
              </w:rPr>
              <w:br/>
            </w:r>
            <w:r>
              <w:rPr>
                <w:b/>
                <w:noProof/>
                <w:sz w:val="20"/>
              </w:rPr>
              <w:t>N+3</w:t>
            </w:r>
          </w:p>
        </w:tc>
        <w:tc>
          <w:tcPr>
            <w:tcW w:w="2892" w:type="dxa"/>
            <w:gridSpan w:val="3"/>
            <w:vAlign w:val="center"/>
          </w:tcPr>
          <w:p w:rsidR="00824C36" w:rsidRDefault="00B97963">
            <w:pPr>
              <w:jc w:val="center"/>
              <w:rPr>
                <w:b/>
                <w:noProof/>
                <w:sz w:val="20"/>
              </w:rPr>
            </w:pPr>
            <w:r>
              <w:rPr>
                <w:noProof/>
                <w:sz w:val="20"/>
              </w:rPr>
              <w:t>Insérer autant d’années que nécessaire, pour refléter la durée de l’incidence (cf. point 1.6)</w:t>
            </w:r>
          </w:p>
        </w:tc>
        <w:tc>
          <w:tcPr>
            <w:tcW w:w="1158" w:type="dxa"/>
            <w:vAlign w:val="center"/>
          </w:tcPr>
          <w:p w:rsidR="00824C36" w:rsidRDefault="00B97963">
            <w:pPr>
              <w:spacing w:before="60" w:after="60"/>
              <w:jc w:val="center"/>
              <w:rPr>
                <w:noProof/>
                <w:sz w:val="20"/>
              </w:rPr>
            </w:pPr>
            <w:r>
              <w:rPr>
                <w:noProof/>
                <w:sz w:val="20"/>
              </w:rPr>
              <w:t>Total</w:t>
            </w:r>
          </w:p>
        </w:tc>
      </w:tr>
      <w:tr w:rsidR="00824C36">
        <w:trPr>
          <w:cantSplit/>
        </w:trPr>
        <w:tc>
          <w:tcPr>
            <w:tcW w:w="2340" w:type="dxa"/>
          </w:tcPr>
          <w:p w:rsidR="00824C36" w:rsidRDefault="00B97963">
            <w:pPr>
              <w:rPr>
                <w:noProof/>
                <w:sz w:val="22"/>
              </w:rPr>
            </w:pPr>
            <w:r>
              <w:rPr>
                <w:noProof/>
                <w:sz w:val="20"/>
              </w:rPr>
              <w:t>Préciser l’organisme de cofinancement</w:t>
            </w:r>
            <w:r>
              <w:rPr>
                <w:i/>
                <w:noProof/>
                <w:sz w:val="20"/>
              </w:rPr>
              <w:t xml:space="preserve"> </w:t>
            </w:r>
          </w:p>
        </w:tc>
        <w:tc>
          <w:tcPr>
            <w:tcW w:w="964" w:type="dxa"/>
            <w:vAlign w:val="center"/>
          </w:tcPr>
          <w:p w:rsidR="00824C36" w:rsidRDefault="00824C36">
            <w:pPr>
              <w:spacing w:before="60" w:after="60"/>
              <w:jc w:val="center"/>
              <w:rPr>
                <w:noProof/>
                <w:sz w:val="20"/>
              </w:rPr>
            </w:pPr>
          </w:p>
        </w:tc>
        <w:tc>
          <w:tcPr>
            <w:tcW w:w="964" w:type="dxa"/>
            <w:vAlign w:val="center"/>
          </w:tcPr>
          <w:p w:rsidR="00824C36" w:rsidRDefault="00824C36">
            <w:pPr>
              <w:spacing w:before="60" w:after="60"/>
              <w:jc w:val="center"/>
              <w:rPr>
                <w:noProof/>
                <w:sz w:val="20"/>
              </w:rPr>
            </w:pPr>
          </w:p>
        </w:tc>
        <w:tc>
          <w:tcPr>
            <w:tcW w:w="964" w:type="dxa"/>
            <w:vAlign w:val="center"/>
          </w:tcPr>
          <w:p w:rsidR="00824C36" w:rsidRDefault="00824C36">
            <w:pPr>
              <w:spacing w:before="60" w:after="60"/>
              <w:jc w:val="center"/>
              <w:rPr>
                <w:noProof/>
                <w:sz w:val="20"/>
              </w:rPr>
            </w:pPr>
          </w:p>
        </w:tc>
        <w:tc>
          <w:tcPr>
            <w:tcW w:w="964" w:type="dxa"/>
            <w:vAlign w:val="center"/>
          </w:tcPr>
          <w:p w:rsidR="00824C36" w:rsidRDefault="00824C36">
            <w:pPr>
              <w:spacing w:before="60" w:after="60"/>
              <w:jc w:val="center"/>
              <w:rPr>
                <w:noProof/>
                <w:sz w:val="20"/>
              </w:rPr>
            </w:pPr>
          </w:p>
        </w:tc>
        <w:tc>
          <w:tcPr>
            <w:tcW w:w="964" w:type="dxa"/>
            <w:vAlign w:val="center"/>
          </w:tcPr>
          <w:p w:rsidR="00824C36" w:rsidRDefault="00824C36">
            <w:pPr>
              <w:spacing w:before="60" w:after="60"/>
              <w:jc w:val="center"/>
              <w:rPr>
                <w:noProof/>
                <w:sz w:val="20"/>
              </w:rPr>
            </w:pPr>
          </w:p>
        </w:tc>
        <w:tc>
          <w:tcPr>
            <w:tcW w:w="964" w:type="dxa"/>
            <w:vAlign w:val="center"/>
          </w:tcPr>
          <w:p w:rsidR="00824C36" w:rsidRDefault="00824C36">
            <w:pPr>
              <w:spacing w:before="60" w:after="60"/>
              <w:jc w:val="center"/>
              <w:rPr>
                <w:noProof/>
                <w:sz w:val="20"/>
              </w:rPr>
            </w:pPr>
          </w:p>
        </w:tc>
        <w:tc>
          <w:tcPr>
            <w:tcW w:w="964" w:type="dxa"/>
            <w:vAlign w:val="center"/>
          </w:tcPr>
          <w:p w:rsidR="00824C36" w:rsidRDefault="00824C36">
            <w:pPr>
              <w:spacing w:before="60" w:after="60"/>
              <w:jc w:val="center"/>
              <w:rPr>
                <w:noProof/>
                <w:sz w:val="20"/>
              </w:rPr>
            </w:pPr>
          </w:p>
        </w:tc>
        <w:tc>
          <w:tcPr>
            <w:tcW w:w="1158" w:type="dxa"/>
            <w:vAlign w:val="center"/>
          </w:tcPr>
          <w:p w:rsidR="00824C36" w:rsidRDefault="00824C36">
            <w:pPr>
              <w:spacing w:before="60" w:after="60"/>
              <w:jc w:val="center"/>
              <w:rPr>
                <w:noProof/>
                <w:sz w:val="20"/>
              </w:rPr>
            </w:pPr>
          </w:p>
        </w:tc>
      </w:tr>
      <w:tr w:rsidR="00824C36">
        <w:trPr>
          <w:cantSplit/>
        </w:trPr>
        <w:tc>
          <w:tcPr>
            <w:tcW w:w="2340" w:type="dxa"/>
          </w:tcPr>
          <w:p w:rsidR="00824C36" w:rsidRDefault="00B97963">
            <w:pPr>
              <w:spacing w:before="60" w:after="60"/>
              <w:jc w:val="left"/>
              <w:rPr>
                <w:noProof/>
                <w:sz w:val="20"/>
              </w:rPr>
            </w:pPr>
            <w:r>
              <w:rPr>
                <w:noProof/>
                <w:sz w:val="20"/>
              </w:rPr>
              <w:t xml:space="preserve">TOTAL des crédits cofinancés </w:t>
            </w:r>
          </w:p>
        </w:tc>
        <w:tc>
          <w:tcPr>
            <w:tcW w:w="964" w:type="dxa"/>
            <w:vAlign w:val="center"/>
          </w:tcPr>
          <w:p w:rsidR="00824C36" w:rsidRDefault="00824C36">
            <w:pPr>
              <w:spacing w:before="60" w:after="60"/>
              <w:jc w:val="center"/>
              <w:rPr>
                <w:noProof/>
                <w:sz w:val="20"/>
              </w:rPr>
            </w:pPr>
          </w:p>
        </w:tc>
        <w:tc>
          <w:tcPr>
            <w:tcW w:w="964" w:type="dxa"/>
            <w:vAlign w:val="center"/>
          </w:tcPr>
          <w:p w:rsidR="00824C36" w:rsidRDefault="00824C36">
            <w:pPr>
              <w:spacing w:before="60" w:after="60"/>
              <w:jc w:val="center"/>
              <w:rPr>
                <w:noProof/>
                <w:sz w:val="20"/>
              </w:rPr>
            </w:pPr>
          </w:p>
        </w:tc>
        <w:tc>
          <w:tcPr>
            <w:tcW w:w="964" w:type="dxa"/>
            <w:vAlign w:val="center"/>
          </w:tcPr>
          <w:p w:rsidR="00824C36" w:rsidRDefault="00824C36">
            <w:pPr>
              <w:spacing w:before="60" w:after="60"/>
              <w:jc w:val="center"/>
              <w:rPr>
                <w:noProof/>
                <w:sz w:val="20"/>
              </w:rPr>
            </w:pPr>
          </w:p>
        </w:tc>
        <w:tc>
          <w:tcPr>
            <w:tcW w:w="964" w:type="dxa"/>
            <w:vAlign w:val="center"/>
          </w:tcPr>
          <w:p w:rsidR="00824C36" w:rsidRDefault="00824C36">
            <w:pPr>
              <w:spacing w:before="60" w:after="60"/>
              <w:jc w:val="center"/>
              <w:rPr>
                <w:noProof/>
                <w:sz w:val="20"/>
              </w:rPr>
            </w:pPr>
          </w:p>
        </w:tc>
        <w:tc>
          <w:tcPr>
            <w:tcW w:w="964" w:type="dxa"/>
            <w:vAlign w:val="center"/>
          </w:tcPr>
          <w:p w:rsidR="00824C36" w:rsidRDefault="00824C36">
            <w:pPr>
              <w:spacing w:before="60" w:after="60"/>
              <w:jc w:val="center"/>
              <w:rPr>
                <w:noProof/>
                <w:sz w:val="20"/>
              </w:rPr>
            </w:pPr>
          </w:p>
        </w:tc>
        <w:tc>
          <w:tcPr>
            <w:tcW w:w="964" w:type="dxa"/>
            <w:vAlign w:val="center"/>
          </w:tcPr>
          <w:p w:rsidR="00824C36" w:rsidRDefault="00824C36">
            <w:pPr>
              <w:spacing w:before="60" w:after="60"/>
              <w:jc w:val="center"/>
              <w:rPr>
                <w:noProof/>
                <w:sz w:val="20"/>
              </w:rPr>
            </w:pPr>
          </w:p>
        </w:tc>
        <w:tc>
          <w:tcPr>
            <w:tcW w:w="964" w:type="dxa"/>
            <w:vAlign w:val="center"/>
          </w:tcPr>
          <w:p w:rsidR="00824C36" w:rsidRDefault="00824C36">
            <w:pPr>
              <w:spacing w:before="60" w:after="60"/>
              <w:jc w:val="center"/>
              <w:rPr>
                <w:noProof/>
                <w:sz w:val="20"/>
              </w:rPr>
            </w:pPr>
          </w:p>
        </w:tc>
        <w:tc>
          <w:tcPr>
            <w:tcW w:w="1158" w:type="dxa"/>
            <w:vAlign w:val="center"/>
          </w:tcPr>
          <w:p w:rsidR="00824C36" w:rsidRDefault="00824C36">
            <w:pPr>
              <w:spacing w:before="60" w:after="60"/>
              <w:jc w:val="center"/>
              <w:rPr>
                <w:noProof/>
                <w:sz w:val="20"/>
              </w:rPr>
            </w:pPr>
          </w:p>
        </w:tc>
      </w:tr>
    </w:tbl>
    <w:p w:rsidR="00824C36" w:rsidRDefault="00B97963">
      <w:pPr>
        <w:rPr>
          <w:noProof/>
        </w:rPr>
      </w:pPr>
      <w:r>
        <w:rPr>
          <w:noProof/>
        </w:rPr>
        <w:br/>
      </w:r>
    </w:p>
    <w:p w:rsidR="00824C36" w:rsidRDefault="00B97963">
      <w:pPr>
        <w:pStyle w:val="ManualNumPar2"/>
        <w:rPr>
          <w:noProof/>
        </w:rPr>
      </w:pPr>
      <w:r>
        <w:rPr>
          <w:noProof/>
        </w:rPr>
        <w:br w:type="page"/>
      </w:r>
      <w:r>
        <w:t>3.3.</w:t>
      </w:r>
      <w:r>
        <w:tab/>
      </w:r>
      <w:r>
        <w:rPr>
          <w:noProof/>
        </w:rPr>
        <w:t xml:space="preserve">Incidence estimée sur les recettes </w:t>
      </w:r>
    </w:p>
    <w:p w:rsidR="00824C36" w:rsidRDefault="00B97963">
      <w:pPr>
        <w:tabs>
          <w:tab w:val="num" w:pos="1134"/>
        </w:tabs>
        <w:ind w:left="1134" w:hanging="283"/>
        <w:rPr>
          <w:rFonts w:eastAsia="Times New Roman"/>
          <w:noProof/>
        </w:rPr>
      </w:pPr>
      <w:r>
        <w:rPr>
          <w:noProof/>
        </w:rPr>
        <w:t>X</w:t>
      </w:r>
      <w:r>
        <w:rPr>
          <w:noProof/>
        </w:rPr>
        <w:tab/>
        <w:t>La proposition/l'initiative est sans incidence financière sur les recettes.</w:t>
      </w:r>
    </w:p>
    <w:p w:rsidR="00824C36" w:rsidRDefault="00B97963">
      <w:pPr>
        <w:tabs>
          <w:tab w:val="num" w:pos="1134"/>
        </w:tabs>
        <w:ind w:left="1134" w:hanging="283"/>
        <w:rPr>
          <w:rFonts w:eastAsia="Times New Roman"/>
          <w:noProof/>
        </w:rPr>
      </w:pPr>
      <w:r>
        <w:rPr>
          <w:rFonts w:eastAsia="Times New Roman"/>
          <w:noProof/>
        </w:rPr>
        <w:sym w:font="Wingdings" w:char="F0A8"/>
      </w:r>
      <w:r>
        <w:rPr>
          <w:noProof/>
        </w:rPr>
        <w:tab/>
        <w:t>La proposition/l’initiative a une incidence financière décrite ci-après:</w:t>
      </w:r>
    </w:p>
    <w:p w:rsidR="00824C36" w:rsidRDefault="00B97963">
      <w:pPr>
        <w:numPr>
          <w:ilvl w:val="2"/>
          <w:numId w:val="0"/>
        </w:numPr>
        <w:tabs>
          <w:tab w:val="num" w:pos="2126"/>
        </w:tabs>
        <w:ind w:left="2126" w:hanging="709"/>
        <w:rPr>
          <w:rFonts w:eastAsia="Times New Roman"/>
          <w:noProof/>
        </w:rPr>
      </w:pPr>
      <w:r>
        <w:rPr>
          <w:rFonts w:eastAsia="Times New Roman"/>
          <w:noProof/>
        </w:rPr>
        <w:sym w:font="Wingdings" w:char="F0A8"/>
      </w:r>
      <w:r>
        <w:rPr>
          <w:noProof/>
        </w:rPr>
        <w:tab/>
      </w:r>
      <w:r>
        <w:rPr>
          <w:noProof/>
        </w:rPr>
        <w:t xml:space="preserve">sur les ressources propres </w:t>
      </w:r>
    </w:p>
    <w:p w:rsidR="00824C36" w:rsidRDefault="00B97963">
      <w:pPr>
        <w:numPr>
          <w:ilvl w:val="2"/>
          <w:numId w:val="0"/>
        </w:numPr>
        <w:tabs>
          <w:tab w:val="num" w:pos="2126"/>
        </w:tabs>
        <w:ind w:left="2126" w:hanging="709"/>
        <w:rPr>
          <w:rFonts w:eastAsia="Times New Roman"/>
          <w:noProof/>
        </w:rPr>
      </w:pPr>
      <w:r>
        <w:rPr>
          <w:rFonts w:eastAsia="Times New Roman"/>
          <w:noProof/>
        </w:rPr>
        <w:sym w:font="Wingdings" w:char="F0A8"/>
      </w:r>
      <w:r>
        <w:rPr>
          <w:noProof/>
        </w:rPr>
        <w:tab/>
        <w:t xml:space="preserve">sur les recettes diverses </w:t>
      </w:r>
    </w:p>
    <w:p w:rsidR="00824C36" w:rsidRDefault="00B97963">
      <w:pPr>
        <w:jc w:val="right"/>
        <w:rPr>
          <w:i/>
          <w:noProof/>
          <w:sz w:val="20"/>
        </w:rPr>
      </w:pPr>
      <w:r>
        <w:rPr>
          <w:noProof/>
        </w:rPr>
        <w:t>En Mio EUR (à la 3</w:t>
      </w:r>
      <w:r>
        <w:rPr>
          <w:noProof/>
          <w:vertAlign w:val="superscript"/>
        </w:rPr>
        <w:t>e</w:t>
      </w:r>
      <w:r>
        <w:rPr>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824C36">
        <w:trPr>
          <w:trHeight w:val="388"/>
        </w:trPr>
        <w:tc>
          <w:tcPr>
            <w:tcW w:w="2144" w:type="dxa"/>
            <w:vMerge w:val="restart"/>
            <w:vAlign w:val="center"/>
          </w:tcPr>
          <w:p w:rsidR="00824C36" w:rsidRDefault="00B97963">
            <w:pPr>
              <w:spacing w:before="40" w:after="40"/>
              <w:rPr>
                <w:noProof/>
                <w:sz w:val="18"/>
              </w:rPr>
            </w:pPr>
            <w:r>
              <w:rPr>
                <w:noProof/>
                <w:sz w:val="18"/>
              </w:rPr>
              <w:t>Ligne budgétaire de recettes:</w:t>
            </w:r>
          </w:p>
        </w:tc>
        <w:tc>
          <w:tcPr>
            <w:tcW w:w="1276" w:type="dxa"/>
            <w:vMerge w:val="restart"/>
            <w:vAlign w:val="center"/>
          </w:tcPr>
          <w:p w:rsidR="00824C36" w:rsidRDefault="00B97963">
            <w:pPr>
              <w:jc w:val="center"/>
              <w:rPr>
                <w:noProof/>
                <w:sz w:val="18"/>
              </w:rPr>
            </w:pPr>
            <w:r>
              <w:rPr>
                <w:noProof/>
                <w:sz w:val="18"/>
              </w:rPr>
              <w:t>Montants inscrits pour l’exercice en cours</w:t>
            </w:r>
          </w:p>
        </w:tc>
        <w:tc>
          <w:tcPr>
            <w:tcW w:w="7200" w:type="dxa"/>
            <w:gridSpan w:val="7"/>
            <w:vAlign w:val="center"/>
          </w:tcPr>
          <w:p w:rsidR="00824C36" w:rsidRDefault="00B97963">
            <w:pPr>
              <w:jc w:val="center"/>
              <w:rPr>
                <w:noProof/>
                <w:sz w:val="18"/>
              </w:rPr>
            </w:pPr>
            <w:r>
              <w:rPr>
                <w:noProof/>
                <w:sz w:val="18"/>
              </w:rPr>
              <w:t>Incidence de la proposition/de l'initiative</w:t>
            </w:r>
            <w:r>
              <w:rPr>
                <w:rStyle w:val="FootnoteReference"/>
                <w:noProof/>
              </w:rPr>
              <w:footnoteReference w:id="32"/>
            </w:r>
          </w:p>
        </w:tc>
      </w:tr>
      <w:tr w:rsidR="00824C36">
        <w:trPr>
          <w:trHeight w:val="388"/>
        </w:trPr>
        <w:tc>
          <w:tcPr>
            <w:tcW w:w="2144" w:type="dxa"/>
            <w:vMerge/>
          </w:tcPr>
          <w:p w:rsidR="00824C36" w:rsidRDefault="00824C36">
            <w:pPr>
              <w:spacing w:before="40" w:after="40"/>
              <w:rPr>
                <w:noProof/>
                <w:sz w:val="18"/>
              </w:rPr>
            </w:pPr>
          </w:p>
        </w:tc>
        <w:tc>
          <w:tcPr>
            <w:tcW w:w="1276" w:type="dxa"/>
            <w:vMerge/>
          </w:tcPr>
          <w:p w:rsidR="00824C36" w:rsidRDefault="00824C36">
            <w:pPr>
              <w:spacing w:beforeLines="40" w:before="96" w:afterLines="40" w:after="96"/>
              <w:rPr>
                <w:i/>
                <w:noProof/>
                <w:sz w:val="18"/>
              </w:rPr>
            </w:pPr>
          </w:p>
        </w:tc>
        <w:tc>
          <w:tcPr>
            <w:tcW w:w="1080" w:type="dxa"/>
            <w:vAlign w:val="center"/>
          </w:tcPr>
          <w:p w:rsidR="00824C36" w:rsidRDefault="00B97963">
            <w:pPr>
              <w:jc w:val="center"/>
              <w:rPr>
                <w:noProof/>
                <w:sz w:val="18"/>
              </w:rPr>
            </w:pPr>
            <w:r>
              <w:rPr>
                <w:noProof/>
                <w:sz w:val="18"/>
              </w:rPr>
              <w:t>Année</w:t>
            </w:r>
            <w:r>
              <w:rPr>
                <w:noProof/>
                <w:sz w:val="22"/>
              </w:rPr>
              <w:br/>
            </w:r>
            <w:r>
              <w:rPr>
                <w:b/>
                <w:noProof/>
                <w:sz w:val="18"/>
              </w:rPr>
              <w:t>N</w:t>
            </w:r>
          </w:p>
        </w:tc>
        <w:tc>
          <w:tcPr>
            <w:tcW w:w="900" w:type="dxa"/>
            <w:vAlign w:val="center"/>
          </w:tcPr>
          <w:p w:rsidR="00824C36" w:rsidRDefault="00B97963">
            <w:pPr>
              <w:jc w:val="center"/>
              <w:rPr>
                <w:noProof/>
                <w:sz w:val="18"/>
              </w:rPr>
            </w:pPr>
            <w:r>
              <w:rPr>
                <w:noProof/>
                <w:sz w:val="18"/>
              </w:rPr>
              <w:t>Année</w:t>
            </w:r>
            <w:r>
              <w:rPr>
                <w:noProof/>
                <w:sz w:val="22"/>
              </w:rPr>
              <w:br/>
            </w:r>
            <w:r>
              <w:rPr>
                <w:b/>
                <w:noProof/>
                <w:sz w:val="18"/>
              </w:rPr>
              <w:t>N+1</w:t>
            </w:r>
          </w:p>
        </w:tc>
        <w:tc>
          <w:tcPr>
            <w:tcW w:w="900" w:type="dxa"/>
            <w:vAlign w:val="center"/>
          </w:tcPr>
          <w:p w:rsidR="00824C36" w:rsidRDefault="00B97963">
            <w:pPr>
              <w:jc w:val="center"/>
              <w:rPr>
                <w:noProof/>
                <w:sz w:val="18"/>
              </w:rPr>
            </w:pPr>
            <w:r>
              <w:rPr>
                <w:noProof/>
                <w:sz w:val="18"/>
              </w:rPr>
              <w:t>Année</w:t>
            </w:r>
            <w:r>
              <w:rPr>
                <w:noProof/>
                <w:sz w:val="22"/>
              </w:rPr>
              <w:br/>
            </w:r>
            <w:r>
              <w:rPr>
                <w:b/>
                <w:noProof/>
                <w:sz w:val="18"/>
              </w:rPr>
              <w:t>N+2</w:t>
            </w:r>
          </w:p>
        </w:tc>
        <w:tc>
          <w:tcPr>
            <w:tcW w:w="1080" w:type="dxa"/>
            <w:vAlign w:val="center"/>
          </w:tcPr>
          <w:p w:rsidR="00824C36" w:rsidRDefault="00B97963">
            <w:pPr>
              <w:jc w:val="center"/>
              <w:rPr>
                <w:noProof/>
                <w:sz w:val="18"/>
              </w:rPr>
            </w:pPr>
            <w:r>
              <w:rPr>
                <w:noProof/>
                <w:sz w:val="18"/>
              </w:rPr>
              <w:t>Année</w:t>
            </w:r>
            <w:r>
              <w:rPr>
                <w:noProof/>
                <w:sz w:val="22"/>
              </w:rPr>
              <w:br/>
            </w:r>
            <w:r>
              <w:rPr>
                <w:b/>
                <w:noProof/>
                <w:sz w:val="18"/>
              </w:rPr>
              <w:t>N+3</w:t>
            </w:r>
          </w:p>
        </w:tc>
        <w:tc>
          <w:tcPr>
            <w:tcW w:w="3240" w:type="dxa"/>
            <w:gridSpan w:val="3"/>
            <w:vAlign w:val="center"/>
          </w:tcPr>
          <w:p w:rsidR="00824C36" w:rsidRDefault="00B97963">
            <w:pPr>
              <w:jc w:val="center"/>
              <w:rPr>
                <w:b/>
                <w:noProof/>
                <w:sz w:val="18"/>
              </w:rPr>
            </w:pPr>
            <w:r>
              <w:rPr>
                <w:noProof/>
                <w:sz w:val="18"/>
              </w:rPr>
              <w:t xml:space="preserve">Insérer </w:t>
            </w:r>
            <w:r>
              <w:rPr>
                <w:noProof/>
                <w:sz w:val="18"/>
              </w:rPr>
              <w:t>autant d’années que nécessaire, pour refléter la durée de l’incidence (cf. point 1.6)</w:t>
            </w:r>
          </w:p>
        </w:tc>
      </w:tr>
      <w:tr w:rsidR="00824C36">
        <w:trPr>
          <w:trHeight w:val="388"/>
        </w:trPr>
        <w:tc>
          <w:tcPr>
            <w:tcW w:w="2144" w:type="dxa"/>
            <w:vAlign w:val="center"/>
          </w:tcPr>
          <w:p w:rsidR="00824C36" w:rsidRDefault="00B97963">
            <w:pPr>
              <w:spacing w:before="40" w:after="40"/>
              <w:rPr>
                <w:noProof/>
                <w:sz w:val="18"/>
              </w:rPr>
            </w:pPr>
            <w:r>
              <w:rPr>
                <w:noProof/>
                <w:sz w:val="18"/>
              </w:rPr>
              <w:t>Article ………….</w:t>
            </w:r>
          </w:p>
        </w:tc>
        <w:tc>
          <w:tcPr>
            <w:tcW w:w="1276" w:type="dxa"/>
          </w:tcPr>
          <w:p w:rsidR="00824C36" w:rsidRDefault="00824C36">
            <w:pPr>
              <w:spacing w:beforeLines="40" w:before="96" w:afterLines="40" w:after="96"/>
              <w:jc w:val="center"/>
              <w:rPr>
                <w:i/>
                <w:noProof/>
                <w:sz w:val="18"/>
              </w:rPr>
            </w:pPr>
          </w:p>
        </w:tc>
        <w:tc>
          <w:tcPr>
            <w:tcW w:w="1080" w:type="dxa"/>
          </w:tcPr>
          <w:p w:rsidR="00824C36" w:rsidRDefault="00824C36">
            <w:pPr>
              <w:spacing w:beforeLines="40" w:before="96" w:afterLines="40" w:after="96"/>
              <w:jc w:val="center"/>
              <w:rPr>
                <w:noProof/>
                <w:sz w:val="18"/>
              </w:rPr>
            </w:pPr>
          </w:p>
        </w:tc>
        <w:tc>
          <w:tcPr>
            <w:tcW w:w="900" w:type="dxa"/>
          </w:tcPr>
          <w:p w:rsidR="00824C36" w:rsidRDefault="00824C36">
            <w:pPr>
              <w:spacing w:beforeLines="40" w:before="96" w:afterLines="40" w:after="96"/>
              <w:jc w:val="center"/>
              <w:rPr>
                <w:noProof/>
                <w:sz w:val="18"/>
              </w:rPr>
            </w:pPr>
          </w:p>
        </w:tc>
        <w:tc>
          <w:tcPr>
            <w:tcW w:w="900" w:type="dxa"/>
          </w:tcPr>
          <w:p w:rsidR="00824C36" w:rsidRDefault="00824C36">
            <w:pPr>
              <w:spacing w:beforeLines="40" w:before="96" w:afterLines="40" w:after="96"/>
              <w:jc w:val="center"/>
              <w:rPr>
                <w:noProof/>
                <w:sz w:val="18"/>
              </w:rPr>
            </w:pPr>
          </w:p>
        </w:tc>
        <w:tc>
          <w:tcPr>
            <w:tcW w:w="1080" w:type="dxa"/>
          </w:tcPr>
          <w:p w:rsidR="00824C36" w:rsidRDefault="00824C36">
            <w:pPr>
              <w:spacing w:beforeLines="40" w:before="96" w:afterLines="40" w:after="96"/>
              <w:jc w:val="center"/>
              <w:rPr>
                <w:noProof/>
                <w:sz w:val="18"/>
              </w:rPr>
            </w:pPr>
          </w:p>
        </w:tc>
        <w:tc>
          <w:tcPr>
            <w:tcW w:w="1080" w:type="dxa"/>
          </w:tcPr>
          <w:p w:rsidR="00824C36" w:rsidRDefault="00824C36">
            <w:pPr>
              <w:spacing w:beforeLines="40" w:before="96" w:afterLines="40" w:after="96"/>
              <w:jc w:val="center"/>
              <w:rPr>
                <w:noProof/>
                <w:sz w:val="18"/>
              </w:rPr>
            </w:pPr>
          </w:p>
        </w:tc>
        <w:tc>
          <w:tcPr>
            <w:tcW w:w="1080" w:type="dxa"/>
          </w:tcPr>
          <w:p w:rsidR="00824C36" w:rsidRDefault="00824C36">
            <w:pPr>
              <w:spacing w:beforeLines="40" w:before="96" w:afterLines="40" w:after="96"/>
              <w:jc w:val="center"/>
              <w:rPr>
                <w:noProof/>
                <w:sz w:val="18"/>
              </w:rPr>
            </w:pPr>
          </w:p>
        </w:tc>
        <w:tc>
          <w:tcPr>
            <w:tcW w:w="1080" w:type="dxa"/>
          </w:tcPr>
          <w:p w:rsidR="00824C36" w:rsidRDefault="00824C36">
            <w:pPr>
              <w:spacing w:beforeLines="40" w:before="96" w:afterLines="40" w:after="96"/>
              <w:jc w:val="center"/>
              <w:rPr>
                <w:noProof/>
                <w:sz w:val="18"/>
              </w:rPr>
            </w:pPr>
          </w:p>
        </w:tc>
      </w:tr>
    </w:tbl>
    <w:p w:rsidR="00824C36" w:rsidRDefault="00B97963">
      <w:pPr>
        <w:ind w:left="850"/>
        <w:rPr>
          <w:noProof/>
          <w:sz w:val="20"/>
        </w:rPr>
      </w:pPr>
      <w:r>
        <w:rPr>
          <w:noProof/>
          <w:sz w:val="20"/>
        </w:rPr>
        <w:t>Pour les recettes diverses qui seront «affectées», préciser la (les) ligne(s) budgétaire(s) de dépenses concernée(s).</w:t>
      </w:r>
    </w:p>
    <w:p w:rsidR="00824C36" w:rsidRDefault="00B97963">
      <w:pPr>
        <w:pBdr>
          <w:top w:val="single" w:sz="4" w:space="1" w:color="auto"/>
          <w:left w:val="single" w:sz="4" w:space="4" w:color="auto"/>
          <w:bottom w:val="single" w:sz="4" w:space="1" w:color="auto"/>
          <w:right w:val="single" w:sz="4" w:space="4" w:color="auto"/>
        </w:pBdr>
        <w:ind w:left="850"/>
        <w:rPr>
          <w:noProof/>
        </w:rPr>
      </w:pPr>
      <w:r>
        <w:rPr>
          <w:noProof/>
          <w:color w:val="0000FF"/>
        </w:rPr>
        <w:t>[…]</w:t>
      </w:r>
    </w:p>
    <w:p w:rsidR="00824C36" w:rsidRDefault="00B97963">
      <w:pPr>
        <w:ind w:left="850"/>
        <w:rPr>
          <w:noProof/>
          <w:sz w:val="20"/>
        </w:rPr>
      </w:pPr>
      <w:r>
        <w:rPr>
          <w:noProof/>
          <w:sz w:val="20"/>
        </w:rPr>
        <w:t xml:space="preserve">Préciser la méthode de </w:t>
      </w:r>
      <w:r>
        <w:rPr>
          <w:noProof/>
          <w:sz w:val="20"/>
        </w:rPr>
        <w:t>calcul de l'incidence sur les recettes.</w:t>
      </w:r>
    </w:p>
    <w:p w:rsidR="00824C36" w:rsidRPr="00B97963" w:rsidRDefault="00B97963">
      <w:pPr>
        <w:pBdr>
          <w:top w:val="single" w:sz="4" w:space="1" w:color="auto"/>
          <w:left w:val="single" w:sz="4" w:space="4" w:color="auto"/>
          <w:bottom w:val="single" w:sz="4" w:space="1" w:color="auto"/>
          <w:right w:val="single" w:sz="4" w:space="4" w:color="auto"/>
        </w:pBdr>
        <w:ind w:left="850"/>
        <w:rPr>
          <w:noProof/>
        </w:rPr>
      </w:pPr>
      <w:r>
        <w:rPr>
          <w:noProof/>
          <w:color w:val="0000FF"/>
        </w:rPr>
        <w:t>[…]</w:t>
      </w:r>
    </w:p>
    <w:sectPr w:rsidR="00824C36" w:rsidRPr="00B97963" w:rsidSect="00B97963">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C36" w:rsidRDefault="00B97963">
      <w:pPr>
        <w:spacing w:before="0" w:after="0"/>
      </w:pPr>
      <w:r>
        <w:separator/>
      </w:r>
    </w:p>
  </w:endnote>
  <w:endnote w:type="continuationSeparator" w:id="0">
    <w:p w:rsidR="00824C36" w:rsidRDefault="00B97963">
      <w:pPr>
        <w:spacing w:before="0" w:after="0"/>
      </w:pPr>
      <w:r>
        <w:continuationSeparator/>
      </w:r>
    </w:p>
  </w:endnote>
  <w:endnote w:type="continuationNotice" w:id="1">
    <w:p w:rsidR="00824C36" w:rsidRDefault="00824C3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963" w:rsidRPr="00B97963" w:rsidRDefault="00B97963" w:rsidP="00B979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C36" w:rsidRPr="00B97963" w:rsidRDefault="00B97963" w:rsidP="00B97963">
    <w:pPr>
      <w:pStyle w:val="Footer"/>
      <w:rPr>
        <w:rFonts w:ascii="Arial" w:hAnsi="Arial" w:cs="Arial"/>
        <w:b/>
        <w:sz w:val="48"/>
      </w:rPr>
    </w:pPr>
    <w:r w:rsidRPr="00B97963">
      <w:rPr>
        <w:rFonts w:ascii="Arial" w:hAnsi="Arial" w:cs="Arial"/>
        <w:b/>
        <w:sz w:val="48"/>
      </w:rPr>
      <w:t>FR</w:t>
    </w:r>
    <w:r w:rsidRPr="00B97963">
      <w:rPr>
        <w:rFonts w:ascii="Arial" w:hAnsi="Arial" w:cs="Arial"/>
        <w:b/>
        <w:sz w:val="48"/>
      </w:rPr>
      <w:tab/>
    </w:r>
    <w:r w:rsidRPr="00B97963">
      <w:rPr>
        <w:rFonts w:ascii="Arial" w:hAnsi="Arial" w:cs="Arial"/>
        <w:b/>
        <w:sz w:val="48"/>
      </w:rPr>
      <w:tab/>
    </w:r>
    <w:r w:rsidRPr="00B97963">
      <w:tab/>
    </w:r>
    <w:r w:rsidRPr="00B97963">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963" w:rsidRPr="00B97963" w:rsidRDefault="00B97963" w:rsidP="00B9796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963" w:rsidRPr="00B97963" w:rsidRDefault="00B97963" w:rsidP="00B97963">
    <w:pPr>
      <w:pStyle w:val="Footer"/>
      <w:rPr>
        <w:rFonts w:ascii="Arial" w:hAnsi="Arial" w:cs="Arial"/>
        <w:b/>
        <w:sz w:val="48"/>
      </w:rPr>
    </w:pPr>
    <w:r w:rsidRPr="00B97963">
      <w:rPr>
        <w:rFonts w:ascii="Arial" w:hAnsi="Arial" w:cs="Arial"/>
        <w:b/>
        <w:sz w:val="48"/>
      </w:rPr>
      <w:t>FR</w:t>
    </w:r>
    <w:r w:rsidRPr="00B97963">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rsidRPr="00B97963">
      <w:tab/>
    </w:r>
    <w:r w:rsidRPr="00B97963">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963" w:rsidRPr="00B97963" w:rsidRDefault="00B97963" w:rsidP="00B9796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963" w:rsidRPr="00B97963" w:rsidRDefault="00B97963" w:rsidP="00B97963">
    <w:pPr>
      <w:pStyle w:val="FooterLandscape"/>
      <w:rPr>
        <w:rFonts w:ascii="Arial" w:hAnsi="Arial" w:cs="Arial"/>
        <w:b/>
        <w:sz w:val="48"/>
      </w:rPr>
    </w:pPr>
    <w:r w:rsidRPr="00B97963">
      <w:rPr>
        <w:rFonts w:ascii="Arial" w:hAnsi="Arial" w:cs="Arial"/>
        <w:b/>
        <w:sz w:val="48"/>
      </w:rPr>
      <w:t>FR</w:t>
    </w:r>
    <w:r w:rsidRPr="00B97963">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B97963">
      <w:tab/>
    </w:r>
    <w:r w:rsidRPr="00B97963">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963" w:rsidRPr="00B97963" w:rsidRDefault="00B97963" w:rsidP="00B97963">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963" w:rsidRPr="00B97963" w:rsidRDefault="00B97963" w:rsidP="00B97963">
    <w:pPr>
      <w:pStyle w:val="Footer"/>
      <w:rPr>
        <w:rFonts w:ascii="Arial" w:hAnsi="Arial" w:cs="Arial"/>
        <w:b/>
        <w:sz w:val="48"/>
      </w:rPr>
    </w:pPr>
    <w:r w:rsidRPr="00B97963">
      <w:rPr>
        <w:rFonts w:ascii="Arial" w:hAnsi="Arial" w:cs="Arial"/>
        <w:b/>
        <w:sz w:val="48"/>
      </w:rPr>
      <w:t>FR</w:t>
    </w:r>
    <w:r w:rsidRPr="00B97963">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B97963">
      <w:tab/>
    </w:r>
    <w:r w:rsidRPr="00B97963">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963" w:rsidRPr="00B97963" w:rsidRDefault="00B97963" w:rsidP="00B979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C36" w:rsidRDefault="00B97963">
      <w:pPr>
        <w:spacing w:before="0" w:after="0"/>
      </w:pPr>
      <w:r>
        <w:separator/>
      </w:r>
    </w:p>
  </w:footnote>
  <w:footnote w:type="continuationSeparator" w:id="0">
    <w:p w:rsidR="00824C36" w:rsidRDefault="00B97963">
      <w:pPr>
        <w:spacing w:before="0" w:after="0"/>
      </w:pPr>
      <w:r>
        <w:continuationSeparator/>
      </w:r>
    </w:p>
  </w:footnote>
  <w:footnote w:type="continuationNotice" w:id="1">
    <w:p w:rsidR="00824C36" w:rsidRDefault="00824C36">
      <w:pPr>
        <w:spacing w:before="0" w:after="0"/>
      </w:pPr>
    </w:p>
  </w:footnote>
  <w:footnote w:id="2">
    <w:p w:rsidR="00824C36" w:rsidRDefault="00B97963">
      <w:pPr>
        <w:pStyle w:val="FootnoteText"/>
        <w:ind w:left="0" w:firstLine="0"/>
        <w:rPr>
          <w:sz w:val="18"/>
        </w:rPr>
      </w:pPr>
      <w:r>
        <w:rPr>
          <w:rStyle w:val="FootnoteReference"/>
        </w:rPr>
        <w:footnoteRef/>
      </w:r>
      <w:r>
        <w:tab/>
      </w:r>
      <w:r>
        <w:rPr>
          <w:sz w:val="18"/>
        </w:rPr>
        <w:t xml:space="preserve">ICF, «Évaluation intermédiaire du mécanisme de protection civile de l’Union.  2014-2016», rapport final, août 2017  (ci-après l’«évaluation intermédiaire»). Le rapport final de l’évaluation intermédiaire </w:t>
      </w:r>
      <w:r>
        <w:rPr>
          <w:sz w:val="18"/>
        </w:rPr>
        <w:t>peut être consulté à l'adresse suivante (en anglais uniquement): https://publications.europa.eu/en/publication-detail/-/publication/eb41bfee-78c3-11e7-b2f2-01aa75ed71a1/language-en/format-PDF</w:t>
      </w:r>
    </w:p>
  </w:footnote>
  <w:footnote w:id="3">
    <w:p w:rsidR="00824C36" w:rsidRDefault="00B97963">
      <w:pPr>
        <w:pStyle w:val="FootnoteText"/>
        <w:ind w:left="0" w:firstLine="0"/>
        <w:rPr>
          <w:sz w:val="18"/>
        </w:rPr>
      </w:pPr>
      <w:r>
        <w:rPr>
          <w:rStyle w:val="FootnoteReference"/>
        </w:rPr>
        <w:footnoteRef/>
      </w:r>
      <w:r>
        <w:tab/>
      </w:r>
      <w:r>
        <w:rPr>
          <w:sz w:val="18"/>
        </w:rPr>
        <w:t>Cour des comptes européenne, Rapport spécial (2016), Mécanisme</w:t>
      </w:r>
      <w:r>
        <w:rPr>
          <w:sz w:val="18"/>
        </w:rPr>
        <w:t xml:space="preserve"> de protection civile de l’Union: la coordination des réactions en cas de catastrophe en dehors de l’UE jugée globalement efficace. Disponible à l'adresse suivante: http://www.eca.europa.eu/Lists/ECADocuments/SR16_33/SR_DISASTER_RESPONSE_FR.pdf</w:t>
      </w:r>
    </w:p>
  </w:footnote>
  <w:footnote w:id="4">
    <w:p w:rsidR="00824C36" w:rsidRDefault="00B97963">
      <w:pPr>
        <w:pStyle w:val="FootnoteText"/>
        <w:ind w:left="0" w:firstLine="0"/>
      </w:pPr>
      <w:r>
        <w:rPr>
          <w:rStyle w:val="FootnoteReference"/>
        </w:rPr>
        <w:footnoteRef/>
      </w:r>
      <w:r>
        <w:tab/>
      </w:r>
      <w:r>
        <w:rPr>
          <w:sz w:val="18"/>
        </w:rPr>
        <w:t>Rapport d</w:t>
      </w:r>
      <w:r>
        <w:rPr>
          <w:sz w:val="18"/>
        </w:rPr>
        <w:t>e la Commission au Parlement européen et au Conseil concernant les progrès réalisés et les déficits subsistant dans la capacité européenne de réaction d’urgence, 17.2.2017.</w:t>
      </w:r>
    </w:p>
  </w:footnote>
  <w:footnote w:id="5">
    <w:p w:rsidR="00824C36" w:rsidRDefault="00B97963">
      <w:pPr>
        <w:pStyle w:val="FootnoteText"/>
      </w:pPr>
      <w:r>
        <w:rPr>
          <w:rStyle w:val="FootnoteReference"/>
        </w:rPr>
        <w:footnoteRef/>
      </w:r>
      <w:r>
        <w:tab/>
      </w:r>
      <w:r>
        <w:rPr>
          <w:sz w:val="16"/>
        </w:rPr>
        <w:t>Voir la note de bas de page 2.</w:t>
      </w:r>
    </w:p>
  </w:footnote>
  <w:footnote w:id="6">
    <w:p w:rsidR="00824C36" w:rsidRDefault="00B97963">
      <w:pPr>
        <w:pStyle w:val="FootnoteText"/>
      </w:pPr>
      <w:r>
        <w:rPr>
          <w:rStyle w:val="FootnoteReference"/>
        </w:rPr>
        <w:footnoteRef/>
      </w:r>
      <w:r>
        <w:tab/>
      </w:r>
      <w:r>
        <w:rPr>
          <w:sz w:val="16"/>
        </w:rPr>
        <w:t>Voir la note de bas de page 3.</w:t>
      </w:r>
    </w:p>
  </w:footnote>
  <w:footnote w:id="7">
    <w:p w:rsidR="00824C36" w:rsidRDefault="00B97963">
      <w:pPr>
        <w:pStyle w:val="FootnoteText"/>
      </w:pPr>
      <w:r>
        <w:rPr>
          <w:rStyle w:val="FootnoteReference"/>
        </w:rPr>
        <w:footnoteRef/>
      </w:r>
      <w:r>
        <w:tab/>
      </w:r>
      <w:r>
        <w:rPr>
          <w:sz w:val="16"/>
        </w:rPr>
        <w:t xml:space="preserve">Document de </w:t>
      </w:r>
      <w:r>
        <w:rPr>
          <w:sz w:val="16"/>
        </w:rPr>
        <w:t>travail des services de la Commission intitulé «Overview of Natural and Man-made Disaster Risks the European Union may face» [Aperçu des risques de catastrophes naturelles ou d’origine humaine auxquels l’Union européenne peut être exposée], 23.5.2017, SWD(</w:t>
      </w:r>
      <w:r>
        <w:rPr>
          <w:sz w:val="16"/>
        </w:rPr>
        <w:t>2017) 176 final.</w:t>
      </w:r>
    </w:p>
  </w:footnote>
  <w:footnote w:id="8">
    <w:p w:rsidR="00824C36" w:rsidRDefault="00B97963">
      <w:pPr>
        <w:pStyle w:val="FootnoteText"/>
      </w:pPr>
      <w:r>
        <w:rPr>
          <w:rStyle w:val="FootnoteReference"/>
        </w:rPr>
        <w:footnoteRef/>
      </w:r>
      <w:r>
        <w:tab/>
      </w:r>
      <w:r>
        <w:rPr>
          <w:sz w:val="16"/>
        </w:rPr>
        <w:t>Rapport de la Commission au Parlement européen et au Conseil sur l’évaluation intermédiaire du mécanisme de protection civile de l’Union pour la période 2014-2016, 30.8.2017, COM(2017) 460 final.</w:t>
      </w:r>
    </w:p>
  </w:footnote>
  <w:footnote w:id="9">
    <w:p w:rsidR="00824C36" w:rsidRDefault="00B97963">
      <w:pPr>
        <w:pStyle w:val="FootnoteText"/>
      </w:pPr>
      <w:r>
        <w:rPr>
          <w:rStyle w:val="FootnoteReference"/>
        </w:rPr>
        <w:footnoteRef/>
      </w:r>
      <w:r>
        <w:tab/>
      </w:r>
      <w:r>
        <w:rPr>
          <w:sz w:val="16"/>
        </w:rPr>
        <w:t>L'ancienne République yougoslave de Mac</w:t>
      </w:r>
      <w:r>
        <w:rPr>
          <w:sz w:val="16"/>
        </w:rPr>
        <w:t>édoine, l’Islande, le Monténégro, la Norvège, la Serbie et la Turquie.</w:t>
      </w:r>
    </w:p>
  </w:footnote>
  <w:footnote w:id="10">
    <w:p w:rsidR="00824C36" w:rsidRDefault="00B97963">
      <w:pPr>
        <w:pStyle w:val="FootnoteText"/>
      </w:pPr>
      <w:r>
        <w:rPr>
          <w:rStyle w:val="FootnoteReference"/>
        </w:rPr>
        <w:footnoteRef/>
      </w:r>
      <w:r>
        <w:tab/>
      </w:r>
      <w:r>
        <w:rPr>
          <w:sz w:val="16"/>
        </w:rPr>
        <w:t>Parmi les parties prenantes qui ont répondu figurent: les autorités de protection civile de 26 États participants (enquêtes en ligne); les autorités de protection civile de 17 États p</w:t>
      </w:r>
      <w:r>
        <w:rPr>
          <w:sz w:val="16"/>
        </w:rPr>
        <w:t xml:space="preserve">articipants (entretiens); les coordinateurs de formation au niveau national de 21 États participants (enquêtes en ligne); 137 experts ayant participé au programme d’échange d’experts et 23 chefs de projets financés par l’intermédiaire du MPCU provenant de </w:t>
      </w:r>
      <w:r>
        <w:rPr>
          <w:sz w:val="16"/>
        </w:rPr>
        <w:t>13 États participants (enquêtes en ligne); 14 partenaires internationaux, notamment des agences de l’ONU, l’OCDE, la Banque mondiale, la Croix-Rouge, etc. (entretiens) et 15 directions générales et services de l’UE (entretiens).</w:t>
      </w:r>
    </w:p>
  </w:footnote>
  <w:footnote w:id="11">
    <w:p w:rsidR="00824C36" w:rsidRDefault="00B97963">
      <w:pPr>
        <w:pStyle w:val="FootnoteText"/>
      </w:pPr>
      <w:r>
        <w:rPr>
          <w:rStyle w:val="FootnoteReference"/>
        </w:rPr>
        <w:footnoteRef/>
      </w:r>
      <w:r>
        <w:tab/>
      </w:r>
      <w:r>
        <w:rPr>
          <w:color w:val="000000"/>
          <w:sz w:val="16"/>
        </w:rPr>
        <w:t>Ce rapport peut être cons</w:t>
      </w:r>
      <w:r>
        <w:rPr>
          <w:color w:val="000000"/>
          <w:sz w:val="16"/>
        </w:rPr>
        <w:t>ulté à l’adresse suivante:</w:t>
      </w:r>
      <w:r>
        <w:rPr>
          <w:color w:val="000000"/>
        </w:rPr>
        <w:t xml:space="preserve"> </w:t>
      </w:r>
      <w:hyperlink r:id="rId1">
        <w:r>
          <w:rPr>
            <w:rStyle w:val="Hyperlink"/>
          </w:rPr>
          <w:t>http://ec.europa.eu/echo/EUCPM-consult_fr</w:t>
        </w:r>
      </w:hyperlink>
    </w:p>
  </w:footnote>
  <w:footnote w:id="12">
    <w:p w:rsidR="00824C36" w:rsidRDefault="00B97963">
      <w:pPr>
        <w:autoSpaceDE w:val="0"/>
        <w:autoSpaceDN w:val="0"/>
        <w:adjustRightInd w:val="0"/>
        <w:spacing w:before="0" w:after="0"/>
        <w:jc w:val="left"/>
        <w:rPr>
          <w:sz w:val="16"/>
          <w:szCs w:val="16"/>
        </w:rPr>
      </w:pPr>
      <w:r>
        <w:rPr>
          <w:rStyle w:val="FootnoteReference"/>
        </w:rPr>
        <w:footnoteRef/>
      </w:r>
      <w:r>
        <w:tab/>
      </w:r>
      <w:r>
        <w:rPr>
          <w:sz w:val="16"/>
        </w:rPr>
        <w:t>Règlement (UE, Euratom) n° 966/2012 du Parlement européen et du Conseil du 25 octobre 2012 relatif aux règles financières ap</w:t>
      </w:r>
      <w:r>
        <w:rPr>
          <w:sz w:val="16"/>
        </w:rPr>
        <w:t>plicables au budget général de l’Union et abrogeant le règlement (CE, Euratom) n° 1605/2002 du Conseil (JO L 298 du 26.10.2012, p. 1).</w:t>
      </w:r>
    </w:p>
  </w:footnote>
  <w:footnote w:id="13">
    <w:p w:rsidR="00824C36" w:rsidRDefault="00B97963">
      <w:pPr>
        <w:pStyle w:val="FootnoteText"/>
      </w:pPr>
      <w:r>
        <w:rPr>
          <w:rStyle w:val="FootnoteReference"/>
        </w:rPr>
        <w:footnoteRef/>
      </w:r>
      <w:r>
        <w:tab/>
      </w:r>
      <w:r>
        <w:rPr>
          <w:sz w:val="16"/>
        </w:rPr>
        <w:t>Décision n° 1313/2013/UE du Parlement européen et du Conseil du 17 décembre 2013 relative au mécanisme de protection ci</w:t>
      </w:r>
      <w:r>
        <w:rPr>
          <w:sz w:val="16"/>
        </w:rPr>
        <w:t>vile de l'Union (JO L 347 du 20.12.2013, p. 924).</w:t>
      </w:r>
    </w:p>
  </w:footnote>
  <w:footnote w:id="14">
    <w:p w:rsidR="00824C36" w:rsidRDefault="00B97963">
      <w:pPr>
        <w:pStyle w:val="FootnoteText"/>
      </w:pPr>
      <w:r>
        <w:rPr>
          <w:rStyle w:val="FootnoteReference"/>
        </w:rPr>
        <w:footnoteRef/>
      </w:r>
      <w:r>
        <w:tab/>
        <w:t xml:space="preserve">Règlement (UE) n° 1303/2013 du Parlement européen et du Conseil du 17 décembre 2013 portant dispositions communes relatives au Fonds européen de développement régional, au Fonds social européen, au Fonds </w:t>
      </w:r>
      <w:r>
        <w:t xml:space="preserve">de cohésion, au Fonds européen agricole pour le développement rural et au Fonds européen pour les affaires maritimes et la pêche, portant dispositions générales applicables au Fonds européen de développement régional, au Fonds social européen, au Fonds de </w:t>
      </w:r>
      <w:r>
        <w:t>cohésion et au Fonds européen pour les affaires maritimes et la pêche, et abrogeant le règlement (CE) n° 1083/2006 du Conseil (JO L 347 du 20.12.2013, p. 320).</w:t>
      </w:r>
    </w:p>
  </w:footnote>
  <w:footnote w:id="15">
    <w:p w:rsidR="00824C36" w:rsidRDefault="00B97963">
      <w:pPr>
        <w:pStyle w:val="FootnoteText"/>
      </w:pPr>
      <w:r>
        <w:rPr>
          <w:rStyle w:val="FootnoteReference"/>
        </w:rPr>
        <w:footnoteRef/>
      </w:r>
      <w:r>
        <w:tab/>
        <w:t>Règlement (UE, Euratom) nº 966/2012 du Parlement européen et du Conseil du 25 octobre 2012 rel</w:t>
      </w:r>
      <w:r>
        <w:t>atif aux règles financières applicables au budget général de l’Union et abrogeant le règlement (CE, Euratom) nº 1605/2002 du Conseil (JO L 298 du 26.10.2012, p. 1).</w:t>
      </w:r>
    </w:p>
  </w:footnote>
  <w:footnote w:id="16">
    <w:p w:rsidR="00824C36" w:rsidRDefault="00B97963">
      <w:pPr>
        <w:pStyle w:val="FootnoteText"/>
      </w:pPr>
      <w:r>
        <w:rPr>
          <w:rStyle w:val="FootnoteReference"/>
        </w:rPr>
        <w:footnoteRef/>
      </w:r>
      <w:r>
        <w:tab/>
        <w:t xml:space="preserve">Décision n° 1082/2013/UE du Parlement européen et du Conseil du 22 octobre 2013 relative </w:t>
      </w:r>
      <w:r>
        <w:t>aux menaces transfrontières graves sur la santé et abrogeant la décision n° 2119/98/CE (JO L 293 du 5.11.2013, p. 1).</w:t>
      </w:r>
    </w:p>
  </w:footnote>
  <w:footnote w:id="17">
    <w:p w:rsidR="00824C36" w:rsidRDefault="00B97963">
      <w:pPr>
        <w:pStyle w:val="FootnoteText"/>
        <w:rPr>
          <w:szCs w:val="24"/>
        </w:rPr>
      </w:pPr>
      <w:r>
        <w:rPr>
          <w:rStyle w:val="FootnoteReference"/>
        </w:rPr>
        <w:footnoteRef/>
      </w:r>
      <w:r>
        <w:tab/>
        <w:t>ABM: gestion par activité (activity-based management); ABB: établissement du budget par activité (activity-based budgeting).</w:t>
      </w:r>
    </w:p>
  </w:footnote>
  <w:footnote w:id="18">
    <w:p w:rsidR="00824C36" w:rsidRDefault="00B97963">
      <w:pPr>
        <w:pStyle w:val="FootnoteText"/>
        <w:rPr>
          <w:szCs w:val="24"/>
        </w:rPr>
      </w:pPr>
      <w:r>
        <w:rPr>
          <w:rStyle w:val="FootnoteReference"/>
        </w:rPr>
        <w:footnoteRef/>
      </w:r>
      <w:r>
        <w:tab/>
        <w:t>Telle que</w:t>
      </w:r>
      <w:r>
        <w:t xml:space="preserve"> visée à l’article 54, paragraphe 2, point a) ou b), du règlement financier.</w:t>
      </w:r>
    </w:p>
  </w:footnote>
  <w:footnote w:id="19">
    <w:p w:rsidR="00824C36" w:rsidRDefault="00B97963">
      <w:pPr>
        <w:pStyle w:val="FootnoteText"/>
        <w:rPr>
          <w:szCs w:val="24"/>
        </w:rPr>
      </w:pPr>
      <w:r>
        <w:rPr>
          <w:rStyle w:val="FootnoteReference"/>
        </w:rPr>
        <w:footnoteRef/>
      </w:r>
      <w:r>
        <w:tab/>
        <w:t xml:space="preserve">Les explications sur les modes de gestion ainsi que les références au règlement financier sont disponibles sur le site BudgWeb: </w:t>
      </w:r>
      <w:hyperlink r:id="rId2">
        <w:r>
          <w:rPr>
            <w:rStyle w:val="Hyperlink"/>
            <w:sz w:val="18"/>
          </w:rPr>
          <w:t>http://www.cc.cec/budg/man/budgmanag/budgmanag_fr.html</w:t>
        </w:r>
      </w:hyperlink>
    </w:p>
  </w:footnote>
  <w:footnote w:id="20">
    <w:p w:rsidR="00824C36" w:rsidRDefault="00B97963">
      <w:pPr>
        <w:pStyle w:val="FootnoteText"/>
        <w:rPr>
          <w:szCs w:val="24"/>
        </w:rPr>
      </w:pPr>
      <w:r>
        <w:rPr>
          <w:rStyle w:val="FootnoteReference"/>
        </w:rPr>
        <w:footnoteRef/>
      </w:r>
      <w:r>
        <w:tab/>
        <w:t>CD = crédits dissociés / CND = crédits non dissociés.</w:t>
      </w:r>
    </w:p>
  </w:footnote>
  <w:footnote w:id="21">
    <w:p w:rsidR="00824C36" w:rsidRDefault="00B97963">
      <w:pPr>
        <w:pStyle w:val="FootnoteText"/>
        <w:rPr>
          <w:szCs w:val="24"/>
        </w:rPr>
      </w:pPr>
      <w:r>
        <w:rPr>
          <w:rStyle w:val="FootnoteReference"/>
        </w:rPr>
        <w:footnoteRef/>
      </w:r>
      <w:r>
        <w:tab/>
        <w:t xml:space="preserve">AELE: Association européenne de libre-échange. </w:t>
      </w:r>
    </w:p>
  </w:footnote>
  <w:footnote w:id="22">
    <w:p w:rsidR="00824C36" w:rsidRDefault="00B97963">
      <w:pPr>
        <w:pStyle w:val="FootnoteText"/>
        <w:rPr>
          <w:szCs w:val="24"/>
        </w:rPr>
      </w:pPr>
      <w:r>
        <w:rPr>
          <w:rStyle w:val="FootnoteReference"/>
        </w:rPr>
        <w:footnoteRef/>
      </w:r>
      <w:r>
        <w:tab/>
        <w:t>Pays candidats et, le cas échéant, pays candidats potentiels des Bal</w:t>
      </w:r>
      <w:r>
        <w:t>kans occidentaux.</w:t>
      </w:r>
    </w:p>
  </w:footnote>
  <w:footnote w:id="23">
    <w:p w:rsidR="00824C36" w:rsidRDefault="00B97963">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24">
    <w:p w:rsidR="00824C36" w:rsidRDefault="00B97963">
      <w:pPr>
        <w:pStyle w:val="FootnoteText"/>
        <w:rPr>
          <w:szCs w:val="24"/>
        </w:rPr>
      </w:pPr>
      <w:r>
        <w:rPr>
          <w:rStyle w:val="FootnoteReference"/>
        </w:rPr>
        <w:footnoteRef/>
      </w:r>
      <w:r>
        <w:tab/>
        <w:t>Assistance technique et/ou administrative et dépen</w:t>
      </w:r>
      <w:r>
        <w:t>ses d'appui à la mise en œuvre de programmes et/ou d'actions de l'UE (anciennes lignes «BA»), recherche indirecte, recherche directe.</w:t>
      </w:r>
    </w:p>
  </w:footnote>
  <w:footnote w:id="25">
    <w:p w:rsidR="00824C36" w:rsidRDefault="00B97963">
      <w:pPr>
        <w:pStyle w:val="FootnoteText"/>
      </w:pPr>
      <w:r>
        <w:rPr>
          <w:rStyle w:val="FootnoteReference"/>
        </w:rPr>
        <w:footnoteRef/>
      </w:r>
      <w:r>
        <w:tab/>
        <w:t>Les réalisations se réfèrent aux produits et services qui seront fournis (par exemple: nombre d’échanges d’étudiants fin</w:t>
      </w:r>
      <w:r>
        <w:t>ancés, nombre de km de routes construites, etc.).</w:t>
      </w:r>
    </w:p>
  </w:footnote>
  <w:footnote w:id="26">
    <w:p w:rsidR="00824C36" w:rsidRDefault="00B97963">
      <w:pPr>
        <w:pStyle w:val="FootnoteText"/>
      </w:pPr>
      <w:r>
        <w:rPr>
          <w:rStyle w:val="FootnoteReference"/>
        </w:rPr>
        <w:footnoteRef/>
      </w:r>
      <w:r>
        <w:tab/>
        <w:t>Tel que décrit dans la partie 1.4.2. «Objectif(s) spécifique(s)...»</w:t>
      </w:r>
    </w:p>
  </w:footnote>
  <w:footnote w:id="27">
    <w:p w:rsidR="00824C36" w:rsidRDefault="00B97963">
      <w:pPr>
        <w:pStyle w:val="FootnoteText"/>
      </w:pPr>
      <w:r>
        <w:rPr>
          <w:rStyle w:val="FootnoteReference"/>
        </w:rPr>
        <w:footnoteRef/>
      </w:r>
      <w:r>
        <w:tab/>
        <w:t>Tel que décrit dans la partie 1.4.2. «Objectif(s) spécifique(s)...»</w:t>
      </w:r>
    </w:p>
  </w:footnote>
  <w:footnote w:id="28">
    <w:p w:rsidR="00824C36" w:rsidRDefault="00B97963">
      <w:pPr>
        <w:pStyle w:val="FootnoteText"/>
        <w:rPr>
          <w:szCs w:val="24"/>
        </w:rPr>
      </w:pPr>
      <w:r>
        <w:rPr>
          <w:rStyle w:val="FootnoteReference"/>
        </w:rPr>
        <w:footnoteRef/>
      </w:r>
      <w:r>
        <w:tab/>
        <w:t xml:space="preserve">Assistance technique et/ou administrative et dépenses d'appui à </w:t>
      </w:r>
      <w:r>
        <w:t>la mise en œuvre de programmes et/ou d'actions de l'UE (anciennes lignes «BA»), recherche indirecte, recherche directe.</w:t>
      </w:r>
    </w:p>
  </w:footnote>
  <w:footnote w:id="29">
    <w:p w:rsidR="00824C36" w:rsidRDefault="00B97963">
      <w:pPr>
        <w:pStyle w:val="FootnoteText"/>
      </w:pPr>
      <w:r>
        <w:rPr>
          <w:rStyle w:val="FootnoteReference"/>
        </w:rPr>
        <w:footnoteRef/>
      </w:r>
      <w:r>
        <w:tab/>
        <w:t xml:space="preserve">AC = agent contractuel; INT = intérimaire; JED= jeune expert en délégation; AL= agent local; END = expert national détaché. </w:t>
      </w:r>
    </w:p>
  </w:footnote>
  <w:footnote w:id="30">
    <w:p w:rsidR="00824C36" w:rsidRDefault="00B97963">
      <w:pPr>
        <w:pStyle w:val="FootnoteText"/>
      </w:pPr>
      <w:r>
        <w:rPr>
          <w:rStyle w:val="FootnoteReference"/>
        </w:rPr>
        <w:footnoteRef/>
      </w:r>
      <w:r>
        <w:tab/>
        <w:t>Sous-pl</w:t>
      </w:r>
      <w:r>
        <w:t>afond de</w:t>
      </w:r>
      <w:r>
        <w:rPr>
          <w:sz w:val="18"/>
        </w:rPr>
        <w:t xml:space="preserve"> </w:t>
      </w:r>
      <w:r>
        <w:t>personnel externe sur crédits opérationnels (anciennes lignes «BA»).</w:t>
      </w:r>
    </w:p>
  </w:footnote>
  <w:footnote w:id="31">
    <w:p w:rsidR="00824C36" w:rsidRDefault="00B97963">
      <w:pPr>
        <w:pStyle w:val="FootnoteText"/>
      </w:pPr>
      <w:r>
        <w:rPr>
          <w:rStyle w:val="FootnoteReference"/>
        </w:rPr>
        <w:footnoteRef/>
      </w:r>
      <w:r>
        <w:tab/>
        <w:t>Essentiellement pour les Fonds structurels, le Fonds européen agricole pour le développement rural (Feader) et le Fonds européen pour la pêche (FEP).</w:t>
      </w:r>
    </w:p>
  </w:footnote>
  <w:footnote w:id="32">
    <w:p w:rsidR="00824C36" w:rsidRDefault="00B97963">
      <w:pPr>
        <w:pStyle w:val="FootnoteText"/>
        <w:rPr>
          <w:szCs w:val="24"/>
        </w:rPr>
      </w:pPr>
      <w:r>
        <w:rPr>
          <w:rStyle w:val="FootnoteReference"/>
        </w:rPr>
        <w:footnoteRef/>
      </w:r>
      <w:r>
        <w:tab/>
        <w:t>En ce qui concerne les r</w:t>
      </w:r>
      <w:r>
        <w:t>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963" w:rsidRPr="00B97963" w:rsidRDefault="00B97963" w:rsidP="00B979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963" w:rsidRPr="00B97963" w:rsidRDefault="00B97963" w:rsidP="00B979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963" w:rsidRPr="00B97963" w:rsidRDefault="00B97963" w:rsidP="00B9796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963" w:rsidRPr="00B97963" w:rsidRDefault="00B97963" w:rsidP="00B97963">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963" w:rsidRPr="00B97963" w:rsidRDefault="00B97963" w:rsidP="00B97963">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963" w:rsidRPr="00B97963" w:rsidRDefault="00B97963" w:rsidP="00B9796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963" w:rsidRPr="00B97963" w:rsidRDefault="00B97963" w:rsidP="00B979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E962E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096FA3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FE2013E"/>
    <w:lvl w:ilvl="0">
      <w:start w:val="1"/>
      <w:numFmt w:val="decimal"/>
      <w:pStyle w:val="ListNumber2"/>
      <w:lvlText w:val="%1."/>
      <w:lvlJc w:val="left"/>
      <w:pPr>
        <w:tabs>
          <w:tab w:val="num" w:pos="643"/>
        </w:tabs>
        <w:ind w:left="643" w:hanging="360"/>
      </w:pPr>
    </w:lvl>
  </w:abstractNum>
  <w:abstractNum w:abstractNumId="3">
    <w:nsid w:val="FFFFFF81"/>
    <w:multiLevelType w:val="singleLevel"/>
    <w:tmpl w:val="5F76992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522588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47A05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7B06832"/>
    <w:lvl w:ilvl="0">
      <w:start w:val="1"/>
      <w:numFmt w:val="decimal"/>
      <w:pStyle w:val="ListNumber"/>
      <w:lvlText w:val="%1."/>
      <w:lvlJc w:val="left"/>
      <w:pPr>
        <w:tabs>
          <w:tab w:val="num" w:pos="360"/>
        </w:tabs>
        <w:ind w:left="360" w:hanging="360"/>
      </w:pPr>
    </w:lvl>
  </w:abstractNum>
  <w:abstractNum w:abstractNumId="7">
    <w:nsid w:val="FFFFFF89"/>
    <w:multiLevelType w:val="singleLevel"/>
    <w:tmpl w:val="AE8EEED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24"/>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num>
  <w:num w:numId="12">
    <w:abstractNumId w:val="8"/>
  </w:num>
  <w:num w:numId="13">
    <w:abstractNumId w:val="17"/>
  </w:num>
  <w:num w:numId="14">
    <w:abstractNumId w:val="1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0"/>
  </w:num>
  <w:num w:numId="18">
    <w:abstractNumId w:val="9"/>
  </w:num>
  <w:num w:numId="19">
    <w:abstractNumId w:val="24"/>
  </w:num>
  <w:num w:numId="20">
    <w:abstractNumId w:val="21"/>
  </w:num>
  <w:num w:numId="21">
    <w:abstractNumId w:val="13"/>
  </w:num>
  <w:num w:numId="22">
    <w:abstractNumId w:val="23"/>
  </w:num>
  <w:num w:numId="23">
    <w:abstractNumId w:val="12"/>
  </w:num>
  <w:num w:numId="24">
    <w:abstractNumId w:val="14"/>
  </w:num>
  <w:num w:numId="25">
    <w:abstractNumId w:val="10"/>
  </w:num>
  <w:num w:numId="26">
    <w:abstractNumId w:val="22"/>
  </w:num>
  <w:num w:numId="27">
    <w:abstractNumId w:val="9"/>
  </w:num>
  <w:num w:numId="28">
    <w:abstractNumId w:val="15"/>
  </w:num>
  <w:num w:numId="29">
    <w:abstractNumId w:val="19"/>
  </w:num>
  <w:num w:numId="30">
    <w:abstractNumId w:val="20"/>
  </w:num>
  <w:num w:numId="31">
    <w:abstractNumId w:val="11"/>
  </w:num>
  <w:num w:numId="32">
    <w:abstractNumId w:val="18"/>
  </w:num>
  <w:num w:numId="33">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hideSpellingErrors/>
  <w:hideGrammaticalErrors/>
  <w:attachedTemplate r:id="rId1"/>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19 15:47: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85"/>
    <w:docVar w:name="DQCResult_ModifiedMarkers" w:val="0;0"/>
    <w:docVar w:name="DQCResult_ModifiedNumbering" w:val="0;0"/>
    <w:docVar w:name="DQCResult_Objects" w:val="0;0"/>
    <w:docVar w:name="DQCResult_Sections" w:val="0;0"/>
    <w:docVar w:name="DQCResult_StructureCheck" w:val="0;0"/>
    <w:docVar w:name="DQCResult_SuperfluousWhitespace" w:val="0;36"/>
    <w:docVar w:name="DQCResult_UnknownFonts" w:val="0;0"/>
    <w:docVar w:name="DQCResult_UnknownStyles" w:val="0;1"/>
    <w:docVar w:name="DQCStatus" w:val="Yellow"/>
    <w:docVar w:name="DQCVersion" w:val="3"/>
    <w:docVar w:name="DQCWithWarnings" w:val="0"/>
    <w:docVar w:name="LW_CORRIGENDUM" w:val="This document corrects document COM(2017) 772 final of 23/11/2017_x000b_Concerns all language versions_x000b_In Article 1, correction of the numbering as from point 4 (erroneously repeated on p. 12)._x000b_In point 4 of Article 1, point (b) is corrected and point (c) is integrated in point (b) as third subparagraph_x000b_The text shall read as follows"/>
    <w:docVar w:name="LW_COVERPAGE_EXISTS" w:val="True"/>
    <w:docVar w:name="LW_COVERPAGE_GUID" w:val="A0EE70F9-538A-4D18-A7C5-58853C3679EE"/>
    <w:docVar w:name="LW_COVERPAGE_TYPE" w:val="1"/>
    <w:docVar w:name="LW_CROSSREFERENCE" w:val="&lt;UNUSED&gt;"/>
    <w:docVar w:name="LW_DocType" w:val="COM"/>
    <w:docVar w:name="LW_EMISSION" w:val="19.2.2018"/>
    <w:docVar w:name="LW_EMISSION_ISODATE" w:val="2018-02-19"/>
    <w:docVar w:name="LW_EMISSION_LOCATION" w:val="BRX"/>
    <w:docVar w:name="LW_EMISSION_PREFIX" w:val="Bruxelles, le "/>
    <w:docVar w:name="LW_EMISSION_SUFFIX" w:val=" "/>
    <w:docVar w:name="LW_ID_DOCMODEL" w:val="SJ-025"/>
    <w:docVar w:name="LW_ID_DOCSIGNATURE" w:val="SJ-025"/>
    <w:docVar w:name="LW_ID_DOCSTRUCTURE" w:val="COM/PL/ORG"/>
    <w:docVar w:name="LW_ID_DOCTYPE" w:val="SJ-025"/>
    <w:docVar w:name="LW_ID_EXP.MOTIFS.NEW" w:val="EM_PL_"/>
    <w:docVar w:name="LW_ID_STATUT" w:val="SJ-025"/>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09"/>
    <w:docVar w:name="LW_REF.II.NEW.CP_YEAR" w:val="2017"/>
    <w:docVar w:name="LW_REF.INST.NEW" w:val="COM"/>
    <w:docVar w:name="LW_REF.INST.NEW_ADOPTED" w:val="final/2"/>
    <w:docVar w:name="LW_REF.INST.NEW_TEXT" w:val="(2017) 7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a décision n° 1313/2013/UE relative au mécanisme de protection civile de l'Union"/>
    <w:docVar w:name="LW_TYPE.DOC.CP" w:val="DÉCISION DU PARLEMENT EUROPÉEN ET DU CONSEIL"/>
  </w:docVars>
  <w:rsids>
    <w:rsidRoot w:val="00824C36"/>
    <w:rsid w:val="00824C36"/>
    <w:rsid w:val="00B97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normal2">
    <w:name w:val="normal2"/>
    <w:basedOn w:val="Normal"/>
    <w:pPr>
      <w:spacing w:after="0" w:line="312" w:lineRule="atLeast"/>
    </w:pPr>
    <w:rPr>
      <w:rFonts w:eastAsia="Times New Roman"/>
      <w:szCs w:val="24"/>
      <w:lang w:eastAsia="en-GB"/>
    </w:rPr>
  </w:style>
  <w:style w:type="paragraph" w:styleId="ListNumber2">
    <w:name w:val="List Number 2"/>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3"/>
      </w:numPr>
      <w:contextualSpacing/>
    </w:pPr>
  </w:style>
  <w:style w:type="paragraph" w:styleId="ListBullet2">
    <w:name w:val="List Bullet 2"/>
    <w:basedOn w:val="Normal"/>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ListBullet1">
    <w:name w:val="List Bullet 1"/>
    <w:basedOn w:val="Normal"/>
    <w:pPr>
      <w:numPr>
        <w:numId w:val="12"/>
      </w:numPr>
    </w:pPr>
    <w:rPr>
      <w:rFonts w:eastAsia="Times New Roman"/>
      <w:lang w:eastAsia="de-DE"/>
    </w:rPr>
  </w:style>
  <w:style w:type="paragraph" w:customStyle="1" w:styleId="ListDash1">
    <w:name w:val="List Dash 1"/>
    <w:basedOn w:val="Normal"/>
    <w:pPr>
      <w:numPr>
        <w:numId w:val="13"/>
      </w:numPr>
    </w:pPr>
    <w:rPr>
      <w:rFonts w:eastAsia="Times New Roman"/>
      <w:lang w:eastAsia="de-DE"/>
    </w:rPr>
  </w:style>
  <w:style w:type="paragraph" w:customStyle="1" w:styleId="ListDash2">
    <w:name w:val="List Dash 2"/>
    <w:basedOn w:val="Normal"/>
    <w:pPr>
      <w:numPr>
        <w:numId w:val="14"/>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FollowedHyperlink">
    <w:name w:val="FollowedHyperlink"/>
    <w:basedOn w:val="DefaultParagraphFont"/>
    <w:uiPriority w:val="99"/>
    <w:semiHidden/>
    <w:unhideWhenUsed/>
    <w:rPr>
      <w:color w:val="800080" w:themeColor="followedHyperlink"/>
      <w:u w:val="single"/>
    </w:rPr>
  </w:style>
  <w:style w:type="character" w:styleId="PageNumber">
    <w:name w:val="page number"/>
    <w:rPr>
      <w:rFonts w:cs="Times New Roman"/>
      <w:lang w:val="en-GB" w:eastAsia="en-GB"/>
    </w:rPr>
  </w:style>
  <w:style w:type="paragraph" w:styleId="Header">
    <w:name w:val="header"/>
    <w:basedOn w:val="Normal"/>
    <w:link w:val="HeaderChar"/>
    <w:uiPriority w:val="99"/>
    <w:unhideWhenUsed/>
    <w:rsid w:val="00B97963"/>
    <w:pPr>
      <w:tabs>
        <w:tab w:val="center" w:pos="4535"/>
        <w:tab w:val="right" w:pos="9071"/>
      </w:tabs>
      <w:spacing w:before="0"/>
    </w:pPr>
  </w:style>
  <w:style w:type="character" w:customStyle="1" w:styleId="HeaderChar">
    <w:name w:val="Header Char"/>
    <w:basedOn w:val="DefaultParagraphFont"/>
    <w:link w:val="Header"/>
    <w:uiPriority w:val="99"/>
    <w:rsid w:val="00B97963"/>
    <w:rPr>
      <w:rFonts w:ascii="Times New Roman" w:hAnsi="Times New Roman" w:cs="Times New Roman"/>
      <w:sz w:val="24"/>
      <w:lang w:val="fr-FR"/>
    </w:rPr>
  </w:style>
  <w:style w:type="paragraph" w:styleId="Footer">
    <w:name w:val="footer"/>
    <w:basedOn w:val="Normal"/>
    <w:link w:val="FooterChar"/>
    <w:uiPriority w:val="99"/>
    <w:unhideWhenUsed/>
    <w:rsid w:val="00B9796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97963"/>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B97963"/>
    <w:pPr>
      <w:tabs>
        <w:tab w:val="center" w:pos="7285"/>
        <w:tab w:val="right" w:pos="14003"/>
      </w:tabs>
      <w:spacing w:before="0"/>
    </w:pPr>
  </w:style>
  <w:style w:type="paragraph" w:customStyle="1" w:styleId="FooterLandscape">
    <w:name w:val="FooterLandscape"/>
    <w:basedOn w:val="Normal"/>
    <w:rsid w:val="00B9796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B9796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B9796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normal2">
    <w:name w:val="normal2"/>
    <w:basedOn w:val="Normal"/>
    <w:pPr>
      <w:spacing w:after="0" w:line="312" w:lineRule="atLeast"/>
    </w:pPr>
    <w:rPr>
      <w:rFonts w:eastAsia="Times New Roman"/>
      <w:szCs w:val="24"/>
      <w:lang w:eastAsia="en-GB"/>
    </w:rPr>
  </w:style>
  <w:style w:type="paragraph" w:styleId="ListNumber2">
    <w:name w:val="List Number 2"/>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3"/>
      </w:numPr>
      <w:contextualSpacing/>
    </w:pPr>
  </w:style>
  <w:style w:type="paragraph" w:styleId="ListBullet2">
    <w:name w:val="List Bullet 2"/>
    <w:basedOn w:val="Normal"/>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ListBullet1">
    <w:name w:val="List Bullet 1"/>
    <w:basedOn w:val="Normal"/>
    <w:pPr>
      <w:numPr>
        <w:numId w:val="12"/>
      </w:numPr>
    </w:pPr>
    <w:rPr>
      <w:rFonts w:eastAsia="Times New Roman"/>
      <w:lang w:eastAsia="de-DE"/>
    </w:rPr>
  </w:style>
  <w:style w:type="paragraph" w:customStyle="1" w:styleId="ListDash1">
    <w:name w:val="List Dash 1"/>
    <w:basedOn w:val="Normal"/>
    <w:pPr>
      <w:numPr>
        <w:numId w:val="13"/>
      </w:numPr>
    </w:pPr>
    <w:rPr>
      <w:rFonts w:eastAsia="Times New Roman"/>
      <w:lang w:eastAsia="de-DE"/>
    </w:rPr>
  </w:style>
  <w:style w:type="paragraph" w:customStyle="1" w:styleId="ListDash2">
    <w:name w:val="List Dash 2"/>
    <w:basedOn w:val="Normal"/>
    <w:pPr>
      <w:numPr>
        <w:numId w:val="14"/>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FollowedHyperlink">
    <w:name w:val="FollowedHyperlink"/>
    <w:basedOn w:val="DefaultParagraphFont"/>
    <w:uiPriority w:val="99"/>
    <w:semiHidden/>
    <w:unhideWhenUsed/>
    <w:rPr>
      <w:color w:val="800080" w:themeColor="followedHyperlink"/>
      <w:u w:val="single"/>
    </w:rPr>
  </w:style>
  <w:style w:type="character" w:styleId="PageNumber">
    <w:name w:val="page number"/>
    <w:rPr>
      <w:rFonts w:cs="Times New Roman"/>
      <w:lang w:val="en-GB" w:eastAsia="en-GB"/>
    </w:rPr>
  </w:style>
  <w:style w:type="paragraph" w:styleId="Header">
    <w:name w:val="header"/>
    <w:basedOn w:val="Normal"/>
    <w:link w:val="HeaderChar"/>
    <w:uiPriority w:val="99"/>
    <w:unhideWhenUsed/>
    <w:rsid w:val="00B97963"/>
    <w:pPr>
      <w:tabs>
        <w:tab w:val="center" w:pos="4535"/>
        <w:tab w:val="right" w:pos="9071"/>
      </w:tabs>
      <w:spacing w:before="0"/>
    </w:pPr>
  </w:style>
  <w:style w:type="character" w:customStyle="1" w:styleId="HeaderChar">
    <w:name w:val="Header Char"/>
    <w:basedOn w:val="DefaultParagraphFont"/>
    <w:link w:val="Header"/>
    <w:uiPriority w:val="99"/>
    <w:rsid w:val="00B97963"/>
    <w:rPr>
      <w:rFonts w:ascii="Times New Roman" w:hAnsi="Times New Roman" w:cs="Times New Roman"/>
      <w:sz w:val="24"/>
      <w:lang w:val="fr-FR"/>
    </w:rPr>
  </w:style>
  <w:style w:type="paragraph" w:styleId="Footer">
    <w:name w:val="footer"/>
    <w:basedOn w:val="Normal"/>
    <w:link w:val="FooterChar"/>
    <w:uiPriority w:val="99"/>
    <w:unhideWhenUsed/>
    <w:rsid w:val="00B9796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97963"/>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B97963"/>
    <w:pPr>
      <w:tabs>
        <w:tab w:val="center" w:pos="7285"/>
        <w:tab w:val="right" w:pos="14003"/>
      </w:tabs>
      <w:spacing w:before="0"/>
    </w:pPr>
  </w:style>
  <w:style w:type="paragraph" w:customStyle="1" w:styleId="FooterLandscape">
    <w:name w:val="FooterLandscape"/>
    <w:basedOn w:val="Normal"/>
    <w:rsid w:val="00B9796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B9796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B9796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c.cec/budg/man/budgmanag/budgmanag_fr.html" TargetMode="External"/><Relationship Id="rId1" Type="http://schemas.openxmlformats.org/officeDocument/2006/relationships/hyperlink" Target="http://ec.europa.eu/echo/EUCPM-consult_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CBFE9-402A-448F-9F1A-C1A98D341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12566</Words>
  <Characters>73009</Characters>
  <Application>Microsoft Office Word</Application>
  <DocSecurity>0</DocSecurity>
  <Lines>2355</Lines>
  <Paragraphs>1188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ANDRIKAKIS Nikolaos (SG)</cp:lastModifiedBy>
  <cp:revision>19</cp:revision>
  <cp:lastPrinted>2018-02-08T15:51:00Z</cp:lastPrinted>
  <dcterms:created xsi:type="dcterms:W3CDTF">2018-02-13T09:20:00Z</dcterms:created>
  <dcterms:modified xsi:type="dcterms:W3CDTF">2018-02-19T16:01:00Z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SJ-025</vt:lpwstr>
  </property>
  <property fmtid="{D5CDD505-2E9C-101B-9397-08002B2CF9AE}" pid="10" name="DQCStatus">
    <vt:lpwstr>Yellow (DQC version 03)</vt:lpwstr>
  </property>
</Properties>
</file>