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631" w:rsidRPr="00064631" w:rsidRDefault="005D172F" w:rsidP="00C8611E">
      <w:pPr>
        <w:pStyle w:val="Pagedecouverture"/>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AB7D3BC-4C8B-469B-8F15-414EED7F5FE6" style="width:451.8pt;height:458.4pt">
            <v:imagedata r:id="rId9" o:title=""/>
          </v:shape>
        </w:pict>
      </w:r>
    </w:p>
    <w:p w:rsidR="00D24A2B" w:rsidRPr="00446BB8" w:rsidRDefault="00D24A2B" w:rsidP="00D24A2B">
      <w:pPr>
        <w:sectPr w:rsidR="00D24A2B" w:rsidRPr="00446BB8" w:rsidSect="005D172F">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D24A2B" w:rsidRPr="00446BB8" w:rsidRDefault="00D431AD" w:rsidP="00C8611E">
      <w:pPr>
        <w:pStyle w:val="Annexetitre"/>
      </w:pPr>
      <w:r w:rsidRPr="00D431AD">
        <w:lastRenderedPageBreak/>
        <w:t>ANNEXE</w:t>
      </w:r>
    </w:p>
    <w:p w:rsidR="00D24A2B" w:rsidRPr="00446BB8" w:rsidRDefault="00D24A2B" w:rsidP="00D24A2B">
      <w:pPr>
        <w:widowControl w:val="0"/>
        <w:tabs>
          <w:tab w:val="left" w:pos="-720"/>
        </w:tabs>
        <w:suppressAutoHyphens/>
        <w:adjustRightInd w:val="0"/>
        <w:spacing w:after="0" w:line="360" w:lineRule="auto"/>
        <w:jc w:val="center"/>
        <w:textAlignment w:val="baseline"/>
        <w:rPr>
          <w:rFonts w:eastAsia="Times New Roman"/>
          <w:b/>
          <w:szCs w:val="24"/>
          <w:lang w:eastAsia="fr-BE"/>
        </w:rPr>
      </w:pPr>
      <w:r w:rsidRPr="00446BB8">
        <w:rPr>
          <w:rFonts w:eastAsia="Times New Roman"/>
          <w:b/>
          <w:szCs w:val="24"/>
          <w:lang w:eastAsia="fr-BE"/>
        </w:rPr>
        <w:t xml:space="preserve">DIRECTIVES </w:t>
      </w:r>
      <w:r w:rsidR="004211A2">
        <w:rPr>
          <w:rFonts w:eastAsia="Times New Roman"/>
          <w:b/>
          <w:szCs w:val="24"/>
          <w:lang w:eastAsia="fr-BE"/>
        </w:rPr>
        <w:t>D</w:t>
      </w:r>
      <w:r w:rsidRPr="00446BB8">
        <w:rPr>
          <w:rFonts w:eastAsia="Times New Roman"/>
          <w:b/>
          <w:szCs w:val="24"/>
          <w:lang w:eastAsia="fr-BE"/>
        </w:rPr>
        <w:t>E N</w:t>
      </w:r>
      <w:r w:rsidR="004211A2">
        <w:rPr>
          <w:rFonts w:eastAsia="Times New Roman"/>
          <w:b/>
          <w:szCs w:val="24"/>
          <w:lang w:eastAsia="fr-BE"/>
        </w:rPr>
        <w:t>É</w:t>
      </w:r>
      <w:r w:rsidRPr="00446BB8">
        <w:rPr>
          <w:rFonts w:eastAsia="Times New Roman"/>
          <w:b/>
          <w:szCs w:val="24"/>
          <w:lang w:eastAsia="fr-BE"/>
        </w:rPr>
        <w:t>GO</w:t>
      </w:r>
      <w:r w:rsidR="004211A2">
        <w:rPr>
          <w:rFonts w:eastAsia="Times New Roman"/>
          <w:b/>
          <w:szCs w:val="24"/>
          <w:lang w:eastAsia="fr-BE"/>
        </w:rPr>
        <w:t>C</w:t>
      </w:r>
      <w:r w:rsidRPr="00446BB8">
        <w:rPr>
          <w:rFonts w:eastAsia="Times New Roman"/>
          <w:b/>
          <w:szCs w:val="24"/>
          <w:lang w:eastAsia="fr-BE"/>
        </w:rPr>
        <w:t xml:space="preserve">IATION </w:t>
      </w:r>
      <w:r w:rsidR="004211A2">
        <w:rPr>
          <w:rFonts w:eastAsia="Times New Roman"/>
          <w:b/>
          <w:szCs w:val="24"/>
          <w:lang w:eastAsia="fr-BE"/>
        </w:rPr>
        <w:t>D’UN ACCORD D’ASS</w:t>
      </w:r>
      <w:r w:rsidRPr="00446BB8">
        <w:rPr>
          <w:rFonts w:eastAsia="Times New Roman"/>
          <w:b/>
          <w:szCs w:val="24"/>
          <w:lang w:eastAsia="fr-BE"/>
        </w:rPr>
        <w:t>O</w:t>
      </w:r>
      <w:r w:rsidR="004211A2">
        <w:rPr>
          <w:rFonts w:eastAsia="Times New Roman"/>
          <w:b/>
          <w:szCs w:val="24"/>
          <w:lang w:eastAsia="fr-BE"/>
        </w:rPr>
        <w:t>CIATION MODERNISÉ AVEC LE CHILI</w:t>
      </w:r>
    </w:p>
    <w:p w:rsidR="00D24A2B" w:rsidRPr="00446BB8" w:rsidRDefault="00D24A2B" w:rsidP="00D24A2B">
      <w:pPr>
        <w:widowControl w:val="0"/>
        <w:adjustRightInd w:val="0"/>
        <w:spacing w:after="0" w:line="360" w:lineRule="auto"/>
        <w:jc w:val="center"/>
        <w:textAlignment w:val="baseline"/>
        <w:rPr>
          <w:rFonts w:eastAsia="Times New Roman"/>
          <w:b/>
          <w:color w:val="000000"/>
          <w:szCs w:val="24"/>
          <w:lang w:eastAsia="fr-BE"/>
        </w:rPr>
      </w:pPr>
    </w:p>
    <w:p w:rsidR="00D24A2B" w:rsidRPr="00446BB8" w:rsidRDefault="00D24A2B" w:rsidP="00D24A2B">
      <w:pPr>
        <w:spacing w:after="0"/>
        <w:rPr>
          <w:b/>
          <w:smallCaps/>
          <w:color w:val="000000"/>
          <w:szCs w:val="24"/>
        </w:rPr>
      </w:pPr>
      <w:r w:rsidRPr="00446BB8">
        <w:rPr>
          <w:b/>
          <w:smallCaps/>
          <w:color w:val="000000"/>
          <w:szCs w:val="24"/>
        </w:rPr>
        <w:t>A.</w:t>
      </w:r>
      <w:r w:rsidRPr="00446BB8">
        <w:rPr>
          <w:b/>
          <w:smallCaps/>
          <w:color w:val="000000"/>
          <w:szCs w:val="24"/>
        </w:rPr>
        <w:tab/>
      </w:r>
      <w:r w:rsidRPr="00446BB8">
        <w:rPr>
          <w:b/>
          <w:smallCaps/>
          <w:color w:val="000000"/>
          <w:szCs w:val="24"/>
          <w:u w:val="single"/>
        </w:rPr>
        <w:t xml:space="preserve">NATURE </w:t>
      </w:r>
      <w:r w:rsidR="004211A2">
        <w:rPr>
          <w:b/>
          <w:smallCaps/>
          <w:color w:val="000000"/>
          <w:szCs w:val="24"/>
          <w:u w:val="single"/>
        </w:rPr>
        <w:t>ET CHAMP D’APPLICATION DE L’ACCORD</w:t>
      </w:r>
    </w:p>
    <w:p w:rsidR="00D24A2B" w:rsidRPr="00446BB8" w:rsidRDefault="00D24A2B" w:rsidP="00D24A2B">
      <w:pPr>
        <w:spacing w:after="0"/>
        <w:rPr>
          <w:color w:val="000000"/>
          <w:szCs w:val="24"/>
        </w:rPr>
      </w:pPr>
    </w:p>
    <w:p w:rsidR="00330E69" w:rsidRPr="00446BB8" w:rsidRDefault="004211A2" w:rsidP="00330E69">
      <w:pPr>
        <w:spacing w:after="0"/>
        <w:rPr>
          <w:color w:val="000000"/>
          <w:szCs w:val="24"/>
        </w:rPr>
      </w:pPr>
      <w:r>
        <w:rPr>
          <w:color w:val="000000"/>
          <w:szCs w:val="24"/>
        </w:rPr>
        <w:t>La négociation a pour objet de conclure un accord global avec le Chili</w:t>
      </w:r>
      <w:r w:rsidR="00330E69" w:rsidRPr="00446BB8">
        <w:rPr>
          <w:color w:val="000000"/>
          <w:szCs w:val="24"/>
        </w:rPr>
        <w:t xml:space="preserve"> (</w:t>
      </w:r>
      <w:r w:rsidR="008D3A81">
        <w:rPr>
          <w:color w:val="000000"/>
          <w:szCs w:val="24"/>
        </w:rPr>
        <w:t>l’«</w:t>
      </w:r>
      <w:r>
        <w:rPr>
          <w:color w:val="000000"/>
          <w:szCs w:val="24"/>
        </w:rPr>
        <w:t>accord modernisé</w:t>
      </w:r>
      <w:r w:rsidR="008D3A81">
        <w:rPr>
          <w:color w:val="000000"/>
          <w:szCs w:val="24"/>
        </w:rPr>
        <w:t>»</w:t>
      </w:r>
      <w:r w:rsidR="00330E69" w:rsidRPr="00446BB8">
        <w:rPr>
          <w:color w:val="000000"/>
          <w:szCs w:val="24"/>
        </w:rPr>
        <w:t xml:space="preserve">) </w:t>
      </w:r>
      <w:r>
        <w:rPr>
          <w:color w:val="000000"/>
          <w:szCs w:val="24"/>
        </w:rPr>
        <w:t xml:space="preserve">afin de remplacer </w:t>
      </w:r>
      <w:r w:rsidR="00F97549">
        <w:rPr>
          <w:color w:val="000000"/>
          <w:szCs w:val="24"/>
        </w:rPr>
        <w:t xml:space="preserve">en le modernisant l’accord existant établissant une </w:t>
      </w:r>
      <w:r w:rsidR="00330E69" w:rsidRPr="00446BB8">
        <w:rPr>
          <w:noProof/>
          <w:szCs w:val="24"/>
          <w:lang w:eastAsia="en-GB"/>
        </w:rPr>
        <w:t xml:space="preserve">association </w:t>
      </w:r>
      <w:r w:rsidR="00F97549">
        <w:rPr>
          <w:noProof/>
          <w:szCs w:val="24"/>
          <w:lang w:eastAsia="en-GB"/>
        </w:rPr>
        <w:t>entre la Communauté européenne et ses États membres, d’une part, et la République du Chili, d’autre part</w:t>
      </w:r>
      <w:r w:rsidR="00330E69" w:rsidRPr="00446BB8">
        <w:rPr>
          <w:rStyle w:val="FootnoteReference"/>
        </w:rPr>
        <w:footnoteReference w:id="1"/>
      </w:r>
      <w:r w:rsidR="00330E69" w:rsidRPr="00446BB8">
        <w:rPr>
          <w:noProof/>
          <w:szCs w:val="24"/>
          <w:lang w:eastAsia="en-GB"/>
        </w:rPr>
        <w:t xml:space="preserve"> (</w:t>
      </w:r>
      <w:r w:rsidR="008D3A81">
        <w:rPr>
          <w:noProof/>
          <w:szCs w:val="24"/>
          <w:lang w:eastAsia="en-GB"/>
        </w:rPr>
        <w:t>l’«</w:t>
      </w:r>
      <w:r w:rsidR="00F97549">
        <w:rPr>
          <w:noProof/>
          <w:szCs w:val="24"/>
          <w:lang w:eastAsia="en-GB"/>
        </w:rPr>
        <w:t>accord d’association</w:t>
      </w:r>
      <w:r w:rsidR="008D3A81">
        <w:rPr>
          <w:noProof/>
          <w:szCs w:val="24"/>
          <w:lang w:eastAsia="en-GB"/>
        </w:rPr>
        <w:t>»</w:t>
      </w:r>
      <w:r w:rsidR="00330E69" w:rsidRPr="00446BB8">
        <w:rPr>
          <w:noProof/>
          <w:szCs w:val="24"/>
          <w:lang w:eastAsia="en-GB"/>
        </w:rPr>
        <w:t>).</w:t>
      </w:r>
    </w:p>
    <w:p w:rsidR="00330E69" w:rsidRPr="00446BB8" w:rsidRDefault="00330E69" w:rsidP="00330E69">
      <w:pPr>
        <w:spacing w:after="0"/>
        <w:rPr>
          <w:color w:val="000000"/>
          <w:szCs w:val="24"/>
        </w:rPr>
      </w:pPr>
    </w:p>
    <w:p w:rsidR="00330E69" w:rsidRPr="00446BB8" w:rsidRDefault="00F97549" w:rsidP="00330E69">
      <w:pPr>
        <w:widowControl w:val="0"/>
        <w:tabs>
          <w:tab w:val="left" w:pos="-720"/>
        </w:tabs>
        <w:suppressAutoHyphens/>
        <w:adjustRightInd w:val="0"/>
        <w:spacing w:after="0"/>
        <w:textAlignment w:val="baseline"/>
        <w:rPr>
          <w:rFonts w:eastAsia="Times New Roman"/>
          <w:color w:val="000000"/>
          <w:szCs w:val="24"/>
          <w:lang w:eastAsia="fr-BE"/>
        </w:rPr>
      </w:pPr>
      <w:r>
        <w:rPr>
          <w:rFonts w:eastAsia="Times New Roman"/>
          <w:color w:val="000000"/>
          <w:szCs w:val="24"/>
          <w:lang w:eastAsia="fr-BE"/>
        </w:rPr>
        <w:t xml:space="preserve">Les négociations devraient servir à élargir le champ d’application actuel de l’accord d’association pour l’adapter aux nouveaux défis </w:t>
      </w:r>
      <w:r w:rsidR="00330E69" w:rsidRPr="00446BB8">
        <w:rPr>
          <w:rFonts w:eastAsia="Times New Roman"/>
          <w:color w:val="000000"/>
          <w:szCs w:val="24"/>
          <w:lang w:eastAsia="fr-BE"/>
        </w:rPr>
        <w:t>politi</w:t>
      </w:r>
      <w:r>
        <w:rPr>
          <w:rFonts w:eastAsia="Times New Roman"/>
          <w:color w:val="000000"/>
          <w:szCs w:val="24"/>
          <w:lang w:eastAsia="fr-BE"/>
        </w:rPr>
        <w:t>ques et économiques mondiaux</w:t>
      </w:r>
      <w:r w:rsidR="00330E69" w:rsidRPr="00446BB8">
        <w:rPr>
          <w:rFonts w:eastAsia="Times New Roman"/>
          <w:color w:val="000000"/>
          <w:szCs w:val="24"/>
          <w:lang w:eastAsia="fr-BE"/>
        </w:rPr>
        <w:t xml:space="preserve">, </w:t>
      </w:r>
      <w:r>
        <w:rPr>
          <w:rFonts w:eastAsia="Times New Roman"/>
          <w:color w:val="000000"/>
          <w:szCs w:val="24"/>
          <w:lang w:eastAsia="fr-BE"/>
        </w:rPr>
        <w:t xml:space="preserve">à la nouvelle réalité du partenariat </w:t>
      </w:r>
      <w:r w:rsidR="00330E69" w:rsidRPr="00446BB8">
        <w:rPr>
          <w:rFonts w:eastAsia="Times New Roman"/>
          <w:color w:val="000000"/>
          <w:szCs w:val="24"/>
          <w:lang w:eastAsia="fr-BE"/>
        </w:rPr>
        <w:t>U</w:t>
      </w:r>
      <w:r>
        <w:rPr>
          <w:rFonts w:eastAsia="Times New Roman"/>
          <w:color w:val="000000"/>
          <w:szCs w:val="24"/>
          <w:lang w:eastAsia="fr-BE"/>
        </w:rPr>
        <w:t>E</w:t>
      </w:r>
      <w:r w:rsidR="00330E69" w:rsidRPr="00446BB8">
        <w:rPr>
          <w:rFonts w:eastAsia="Times New Roman"/>
          <w:color w:val="000000"/>
          <w:szCs w:val="24"/>
          <w:lang w:eastAsia="fr-BE"/>
        </w:rPr>
        <w:t>-Chil</w:t>
      </w:r>
      <w:r>
        <w:rPr>
          <w:rFonts w:eastAsia="Times New Roman"/>
          <w:color w:val="000000"/>
          <w:szCs w:val="24"/>
          <w:lang w:eastAsia="fr-BE"/>
        </w:rPr>
        <w:t>i</w:t>
      </w:r>
      <w:r w:rsidR="00330E69" w:rsidRPr="00446BB8">
        <w:rPr>
          <w:rFonts w:eastAsia="Times New Roman"/>
          <w:color w:val="000000"/>
          <w:szCs w:val="24"/>
          <w:lang w:eastAsia="fr-BE"/>
        </w:rPr>
        <w:t xml:space="preserve">, </w:t>
      </w:r>
      <w:r>
        <w:rPr>
          <w:rFonts w:eastAsia="Times New Roman"/>
          <w:color w:val="000000"/>
          <w:szCs w:val="24"/>
          <w:lang w:eastAsia="fr-BE"/>
        </w:rPr>
        <w:t>et au niveau d’ambition des accords récemment conclus et des négociations actuellement menées par l’UE et le Chili</w:t>
      </w:r>
      <w:r w:rsidR="00330E69" w:rsidRPr="00446BB8">
        <w:rPr>
          <w:rFonts w:eastAsia="Times New Roman"/>
          <w:color w:val="000000"/>
          <w:szCs w:val="24"/>
          <w:lang w:eastAsia="fr-BE"/>
        </w:rPr>
        <w:t xml:space="preserve">. </w:t>
      </w:r>
    </w:p>
    <w:p w:rsidR="00330E69" w:rsidRPr="00446BB8" w:rsidRDefault="00330E69" w:rsidP="00330E69">
      <w:pPr>
        <w:spacing w:after="0"/>
        <w:rPr>
          <w:color w:val="000000"/>
          <w:szCs w:val="24"/>
        </w:rPr>
      </w:pPr>
    </w:p>
    <w:p w:rsidR="00330E69" w:rsidRPr="00446BB8" w:rsidRDefault="00F97549" w:rsidP="00330E69">
      <w:pPr>
        <w:spacing w:after="0"/>
        <w:rPr>
          <w:color w:val="000000"/>
          <w:szCs w:val="24"/>
        </w:rPr>
      </w:pPr>
      <w:r>
        <w:rPr>
          <w:color w:val="000000"/>
          <w:szCs w:val="24"/>
        </w:rPr>
        <w:t>L’accord modernisé</w:t>
      </w:r>
      <w:r w:rsidR="00330E69" w:rsidRPr="00446BB8">
        <w:rPr>
          <w:color w:val="000000"/>
          <w:szCs w:val="24"/>
        </w:rPr>
        <w:t xml:space="preserve"> </w:t>
      </w:r>
      <w:r>
        <w:rPr>
          <w:color w:val="000000"/>
          <w:szCs w:val="24"/>
        </w:rPr>
        <w:t xml:space="preserve">devrait créer un cadre </w:t>
      </w:r>
      <w:r w:rsidR="00FB76E3">
        <w:rPr>
          <w:color w:val="000000"/>
          <w:szCs w:val="24"/>
        </w:rPr>
        <w:t>juridiquement</w:t>
      </w:r>
      <w:r>
        <w:rPr>
          <w:color w:val="000000"/>
          <w:szCs w:val="24"/>
        </w:rPr>
        <w:t xml:space="preserve"> contraignant pour les relations </w:t>
      </w:r>
      <w:r w:rsidR="00FB76E3">
        <w:rPr>
          <w:color w:val="000000"/>
          <w:szCs w:val="24"/>
        </w:rPr>
        <w:t>d</w:t>
      </w:r>
      <w:r>
        <w:rPr>
          <w:color w:val="000000"/>
          <w:szCs w:val="24"/>
        </w:rPr>
        <w:t xml:space="preserve">e l’UE </w:t>
      </w:r>
      <w:r w:rsidR="00FB76E3">
        <w:rPr>
          <w:color w:val="000000"/>
          <w:szCs w:val="24"/>
        </w:rPr>
        <w:t>avec</w:t>
      </w:r>
      <w:r>
        <w:rPr>
          <w:color w:val="000000"/>
          <w:szCs w:val="24"/>
        </w:rPr>
        <w:t xml:space="preserve"> le Chili</w:t>
      </w:r>
      <w:r w:rsidR="00E578A4">
        <w:rPr>
          <w:color w:val="000000"/>
          <w:szCs w:val="24"/>
        </w:rPr>
        <w:t>,</w:t>
      </w:r>
      <w:r>
        <w:rPr>
          <w:color w:val="000000"/>
          <w:szCs w:val="24"/>
        </w:rPr>
        <w:t xml:space="preserve"> qui soit à la fois </w:t>
      </w:r>
      <w:r w:rsidR="00330E69" w:rsidRPr="00446BB8">
        <w:rPr>
          <w:color w:val="000000"/>
          <w:szCs w:val="24"/>
        </w:rPr>
        <w:t>coh</w:t>
      </w:r>
      <w:r>
        <w:rPr>
          <w:color w:val="000000"/>
          <w:szCs w:val="24"/>
        </w:rPr>
        <w:t>é</w:t>
      </w:r>
      <w:r w:rsidR="00330E69" w:rsidRPr="00446BB8">
        <w:rPr>
          <w:color w:val="000000"/>
          <w:szCs w:val="24"/>
        </w:rPr>
        <w:t xml:space="preserve">rent, </w:t>
      </w:r>
      <w:r>
        <w:rPr>
          <w:color w:val="000000"/>
          <w:szCs w:val="24"/>
        </w:rPr>
        <w:t>global et actualisé</w:t>
      </w:r>
      <w:r w:rsidR="00330E69" w:rsidRPr="00446BB8">
        <w:rPr>
          <w:color w:val="000000"/>
          <w:szCs w:val="24"/>
        </w:rPr>
        <w:t>.</w:t>
      </w:r>
    </w:p>
    <w:p w:rsidR="00330E69" w:rsidRPr="00446BB8" w:rsidRDefault="00330E69" w:rsidP="00330E69">
      <w:pPr>
        <w:spacing w:after="0"/>
        <w:rPr>
          <w:color w:val="000000"/>
          <w:szCs w:val="24"/>
        </w:rPr>
      </w:pPr>
    </w:p>
    <w:p w:rsidR="00330E69" w:rsidRPr="00446BB8" w:rsidRDefault="00E578A4" w:rsidP="00330E69">
      <w:pPr>
        <w:spacing w:after="0"/>
        <w:rPr>
          <w:szCs w:val="24"/>
        </w:rPr>
      </w:pPr>
      <w:r>
        <w:rPr>
          <w:color w:val="000000"/>
          <w:szCs w:val="24"/>
        </w:rPr>
        <w:t xml:space="preserve">Étant donné que le Chili </w:t>
      </w:r>
      <w:r w:rsidR="009C5061">
        <w:rPr>
          <w:color w:val="000000"/>
          <w:szCs w:val="24"/>
        </w:rPr>
        <w:t>ne bénéficie plus de l’aide au développement bilatérale de l’UE</w:t>
      </w:r>
      <w:r w:rsidR="00330E69" w:rsidRPr="00446BB8">
        <w:rPr>
          <w:color w:val="000000"/>
          <w:szCs w:val="24"/>
        </w:rPr>
        <w:t xml:space="preserve">, </w:t>
      </w:r>
      <w:r w:rsidR="009C5061">
        <w:rPr>
          <w:color w:val="000000"/>
          <w:szCs w:val="24"/>
        </w:rPr>
        <w:t xml:space="preserve">il importe que </w:t>
      </w:r>
      <w:r w:rsidR="00151ABC">
        <w:rPr>
          <w:color w:val="000000"/>
          <w:szCs w:val="24"/>
        </w:rPr>
        <w:t>le nouveau mode de coopération entre l’UE et le Chili soit pris en compte dans la substance et la s</w:t>
      </w:r>
      <w:r w:rsidR="00330E69" w:rsidRPr="00446BB8">
        <w:rPr>
          <w:color w:val="000000"/>
          <w:szCs w:val="24"/>
        </w:rPr>
        <w:t xml:space="preserve">tructure </w:t>
      </w:r>
      <w:r w:rsidR="00151ABC">
        <w:rPr>
          <w:color w:val="000000"/>
          <w:szCs w:val="24"/>
        </w:rPr>
        <w:t>de l’accord modernisé</w:t>
      </w:r>
      <w:r w:rsidR="00330E69" w:rsidRPr="00446BB8">
        <w:rPr>
          <w:color w:val="000000"/>
          <w:szCs w:val="24"/>
        </w:rPr>
        <w:t>.</w:t>
      </w:r>
      <w:r w:rsidR="00330E69" w:rsidRPr="00446BB8">
        <w:rPr>
          <w:szCs w:val="24"/>
        </w:rPr>
        <w:t xml:space="preserve"> </w:t>
      </w:r>
      <w:r w:rsidR="00151ABC">
        <w:rPr>
          <w:szCs w:val="24"/>
        </w:rPr>
        <w:t xml:space="preserve">Ce dernier devrait refléter le caractère </w:t>
      </w:r>
      <w:r w:rsidR="006958E2">
        <w:rPr>
          <w:szCs w:val="24"/>
        </w:rPr>
        <w:t xml:space="preserve">transformateur </w:t>
      </w:r>
      <w:r w:rsidR="00151ABC">
        <w:rPr>
          <w:szCs w:val="24"/>
        </w:rPr>
        <w:t xml:space="preserve">du programme de développement durable à l’horizon </w:t>
      </w:r>
      <w:r w:rsidR="00644E8B" w:rsidRPr="00446BB8">
        <w:rPr>
          <w:szCs w:val="24"/>
        </w:rPr>
        <w:t xml:space="preserve">2030 </w:t>
      </w:r>
      <w:r w:rsidR="006958E2">
        <w:rPr>
          <w:szCs w:val="24"/>
        </w:rPr>
        <w:t xml:space="preserve">ainsi que le </w:t>
      </w:r>
      <w:r w:rsidR="00330E69" w:rsidRPr="00446BB8">
        <w:rPr>
          <w:szCs w:val="24"/>
        </w:rPr>
        <w:t>r</w:t>
      </w:r>
      <w:r w:rsidR="006958E2">
        <w:rPr>
          <w:szCs w:val="24"/>
        </w:rPr>
        <w:t>ô</w:t>
      </w:r>
      <w:r w:rsidR="00330E69" w:rsidRPr="00446BB8">
        <w:rPr>
          <w:szCs w:val="24"/>
        </w:rPr>
        <w:t xml:space="preserve">le </w:t>
      </w:r>
      <w:r w:rsidR="006958E2">
        <w:rPr>
          <w:szCs w:val="24"/>
        </w:rPr>
        <w:t>joué par la coopération internationale au développement dans la réalisation des objectifs de développement durable</w:t>
      </w:r>
      <w:r w:rsidR="00330E69" w:rsidRPr="00446BB8">
        <w:rPr>
          <w:szCs w:val="24"/>
        </w:rPr>
        <w:t xml:space="preserve">. </w:t>
      </w:r>
    </w:p>
    <w:p w:rsidR="00330E69" w:rsidRPr="00446BB8" w:rsidRDefault="00330E69" w:rsidP="00330E69">
      <w:pPr>
        <w:spacing w:after="0"/>
        <w:rPr>
          <w:szCs w:val="24"/>
        </w:rPr>
      </w:pPr>
    </w:p>
    <w:p w:rsidR="00330E69" w:rsidRPr="00446BB8" w:rsidRDefault="006958E2" w:rsidP="00330E69">
      <w:pPr>
        <w:spacing w:after="0"/>
        <w:rPr>
          <w:szCs w:val="24"/>
        </w:rPr>
      </w:pPr>
      <w:r>
        <w:rPr>
          <w:szCs w:val="24"/>
        </w:rPr>
        <w:t>L’accord devrait prévoir un renforcement de la coopération politique en matière d’affaires étrangères et de sécurité</w:t>
      </w:r>
      <w:r w:rsidR="00330E69" w:rsidRPr="00446BB8">
        <w:rPr>
          <w:szCs w:val="24"/>
        </w:rPr>
        <w:t>.</w:t>
      </w:r>
    </w:p>
    <w:p w:rsidR="0052184B" w:rsidRDefault="0052184B" w:rsidP="0052184B">
      <w:pPr>
        <w:spacing w:after="0"/>
        <w:rPr>
          <w:color w:val="000000"/>
          <w:szCs w:val="24"/>
        </w:rPr>
      </w:pPr>
    </w:p>
    <w:p w:rsidR="0052184B" w:rsidRPr="00782E96" w:rsidRDefault="0052184B" w:rsidP="0052184B">
      <w:pPr>
        <w:spacing w:after="0"/>
        <w:rPr>
          <w:color w:val="000000"/>
          <w:szCs w:val="24"/>
        </w:rPr>
      </w:pPr>
      <w:r>
        <w:t xml:space="preserve">La </w:t>
      </w:r>
      <w:r w:rsidRPr="005E56BC">
        <w:t>structure</w:t>
      </w:r>
      <w:r>
        <w:t xml:space="preserve"> précise de l’accord sera déterminée à la </w:t>
      </w:r>
      <w:r w:rsidR="00C73657">
        <w:t>l</w:t>
      </w:r>
      <w:r>
        <w:t>umière d’une analyse plus approfondie de l’avis</w:t>
      </w:r>
      <w:r w:rsidRPr="005E56BC">
        <w:t xml:space="preserve"> 2/15 </w:t>
      </w:r>
      <w:r>
        <w:t>d</w:t>
      </w:r>
      <w:r w:rsidRPr="005E56BC">
        <w:t xml:space="preserve">e </w:t>
      </w:r>
      <w:r>
        <w:t xml:space="preserve">la </w:t>
      </w:r>
      <w:r w:rsidRPr="005E56BC">
        <w:t xml:space="preserve">Cour </w:t>
      </w:r>
      <w:r>
        <w:t>de</w:t>
      </w:r>
      <w:r w:rsidRPr="005E56BC">
        <w:t xml:space="preserve"> </w:t>
      </w:r>
      <w:r>
        <w:t>j</w:t>
      </w:r>
      <w:r w:rsidRPr="005E56BC">
        <w:t>ustice</w:t>
      </w:r>
      <w:r>
        <w:t>.</w:t>
      </w:r>
    </w:p>
    <w:p w:rsidR="006D6B9F" w:rsidRPr="00446BB8" w:rsidRDefault="006D6B9F" w:rsidP="00D24A2B">
      <w:pPr>
        <w:spacing w:after="0"/>
        <w:rPr>
          <w:color w:val="000000"/>
          <w:szCs w:val="24"/>
        </w:rPr>
      </w:pPr>
    </w:p>
    <w:p w:rsidR="00D24A2B" w:rsidRPr="006958E2" w:rsidRDefault="00D24A2B" w:rsidP="00D24A2B">
      <w:pPr>
        <w:spacing w:after="0"/>
        <w:rPr>
          <w:b/>
          <w:smallCaps/>
          <w:color w:val="000000"/>
          <w:u w:val="single"/>
        </w:rPr>
      </w:pPr>
      <w:r w:rsidRPr="00446BB8">
        <w:rPr>
          <w:b/>
          <w:smallCaps/>
          <w:color w:val="000000"/>
        </w:rPr>
        <w:t>B.</w:t>
      </w:r>
      <w:r w:rsidRPr="00446BB8">
        <w:rPr>
          <w:b/>
          <w:smallCaps/>
          <w:color w:val="000000"/>
        </w:rPr>
        <w:tab/>
      </w:r>
      <w:r w:rsidR="006958E2" w:rsidRPr="006958E2">
        <w:rPr>
          <w:b/>
          <w:smallCaps/>
          <w:color w:val="000000"/>
          <w:u w:val="single"/>
        </w:rPr>
        <w:t>CONTENU PROPOSÉ DE L’ACCORD</w:t>
      </w:r>
    </w:p>
    <w:p w:rsidR="00D24A2B" w:rsidRPr="00446BB8" w:rsidRDefault="00D24A2B" w:rsidP="00D24A2B">
      <w:pPr>
        <w:spacing w:after="0"/>
        <w:rPr>
          <w:b/>
          <w:smallCaps/>
          <w:color w:val="000000"/>
        </w:rPr>
      </w:pPr>
    </w:p>
    <w:p w:rsidR="00D24A2B" w:rsidRPr="00446BB8" w:rsidRDefault="00D24A2B" w:rsidP="00D24A2B">
      <w:pPr>
        <w:spacing w:after="0"/>
        <w:rPr>
          <w:rFonts w:eastAsia="Times New Roman"/>
          <w:b/>
          <w:smallCaps/>
          <w:color w:val="000000"/>
          <w:szCs w:val="24"/>
          <w:lang w:eastAsia="fr-BE"/>
        </w:rPr>
      </w:pPr>
      <w:r w:rsidRPr="00446BB8">
        <w:rPr>
          <w:rFonts w:eastAsia="Times New Roman"/>
          <w:b/>
          <w:smallCaps/>
          <w:color w:val="000000"/>
          <w:szCs w:val="24"/>
          <w:lang w:eastAsia="fr-BE"/>
        </w:rPr>
        <w:t>I.</w:t>
      </w:r>
      <w:r w:rsidRPr="00446BB8">
        <w:rPr>
          <w:rFonts w:eastAsia="Times New Roman"/>
          <w:b/>
          <w:smallCaps/>
          <w:color w:val="000000"/>
          <w:szCs w:val="24"/>
          <w:lang w:eastAsia="fr-BE"/>
        </w:rPr>
        <w:tab/>
      </w:r>
      <w:r w:rsidR="006958E2">
        <w:rPr>
          <w:rFonts w:eastAsia="Times New Roman"/>
          <w:b/>
          <w:smallCaps/>
          <w:color w:val="000000"/>
          <w:szCs w:val="24"/>
          <w:u w:val="single"/>
          <w:lang w:eastAsia="fr-BE"/>
        </w:rPr>
        <w:t>P</w:t>
      </w:r>
      <w:r w:rsidRPr="00446BB8">
        <w:rPr>
          <w:rFonts w:eastAsia="Times New Roman"/>
          <w:b/>
          <w:smallCaps/>
          <w:color w:val="000000"/>
          <w:szCs w:val="24"/>
          <w:u w:val="single"/>
          <w:lang w:eastAsia="fr-BE"/>
        </w:rPr>
        <w:t>r</w:t>
      </w:r>
      <w:r w:rsidR="006958E2">
        <w:rPr>
          <w:rFonts w:eastAsia="Times New Roman"/>
          <w:b/>
          <w:smallCaps/>
          <w:color w:val="000000"/>
          <w:szCs w:val="24"/>
          <w:u w:val="single"/>
          <w:lang w:eastAsia="fr-BE"/>
        </w:rPr>
        <w:t>i</w:t>
      </w:r>
      <w:r w:rsidRPr="00446BB8">
        <w:rPr>
          <w:rFonts w:eastAsia="Times New Roman"/>
          <w:b/>
          <w:smallCaps/>
          <w:color w:val="000000"/>
          <w:szCs w:val="24"/>
          <w:u w:val="single"/>
          <w:lang w:eastAsia="fr-BE"/>
        </w:rPr>
        <w:t xml:space="preserve">ncipes </w:t>
      </w:r>
      <w:r w:rsidR="006958E2">
        <w:rPr>
          <w:rFonts w:eastAsia="Times New Roman"/>
          <w:b/>
          <w:smallCaps/>
          <w:color w:val="000000"/>
          <w:szCs w:val="24"/>
          <w:u w:val="single"/>
          <w:lang w:eastAsia="fr-BE"/>
        </w:rPr>
        <w:t xml:space="preserve">généraux et </w:t>
      </w:r>
      <w:r w:rsidRPr="00446BB8">
        <w:rPr>
          <w:rFonts w:eastAsia="Times New Roman"/>
          <w:b/>
          <w:smallCaps/>
          <w:color w:val="000000"/>
          <w:szCs w:val="24"/>
          <w:u w:val="single"/>
          <w:lang w:eastAsia="fr-BE"/>
        </w:rPr>
        <w:t>Objecti</w:t>
      </w:r>
      <w:r w:rsidR="006958E2">
        <w:rPr>
          <w:rFonts w:eastAsia="Times New Roman"/>
          <w:b/>
          <w:smallCaps/>
          <w:color w:val="000000"/>
          <w:szCs w:val="24"/>
          <w:u w:val="single"/>
          <w:lang w:eastAsia="fr-BE"/>
        </w:rPr>
        <w:t>f</w:t>
      </w:r>
      <w:r w:rsidRPr="00446BB8">
        <w:rPr>
          <w:rFonts w:eastAsia="Times New Roman"/>
          <w:b/>
          <w:smallCaps/>
          <w:color w:val="000000"/>
          <w:szCs w:val="24"/>
          <w:u w:val="single"/>
          <w:lang w:eastAsia="fr-BE"/>
        </w:rPr>
        <w:t>s</w:t>
      </w:r>
    </w:p>
    <w:p w:rsidR="00D24A2B" w:rsidRPr="00446BB8" w:rsidRDefault="00D24A2B" w:rsidP="00D24A2B">
      <w:pPr>
        <w:spacing w:after="0"/>
        <w:rPr>
          <w:color w:val="000000"/>
          <w:szCs w:val="24"/>
        </w:rPr>
      </w:pPr>
    </w:p>
    <w:p w:rsidR="00330E69" w:rsidRPr="00446BB8" w:rsidRDefault="0044424C" w:rsidP="00330E69">
      <w:pPr>
        <w:spacing w:after="0"/>
        <w:rPr>
          <w:color w:val="000000"/>
          <w:szCs w:val="24"/>
        </w:rPr>
      </w:pPr>
      <w:r>
        <w:rPr>
          <w:color w:val="000000"/>
          <w:szCs w:val="24"/>
        </w:rPr>
        <w:t xml:space="preserve">L’accord modernisé devrait être fondé sur le respect des </w:t>
      </w:r>
      <w:r w:rsidR="00330E69" w:rsidRPr="00446BB8">
        <w:rPr>
          <w:color w:val="000000"/>
          <w:szCs w:val="24"/>
        </w:rPr>
        <w:t>principes</w:t>
      </w:r>
      <w:r>
        <w:rPr>
          <w:color w:val="000000"/>
          <w:szCs w:val="24"/>
        </w:rPr>
        <w:t xml:space="preserve"> démocratiques</w:t>
      </w:r>
      <w:r w:rsidR="00330E69" w:rsidRPr="00446BB8">
        <w:rPr>
          <w:color w:val="000000"/>
          <w:szCs w:val="24"/>
        </w:rPr>
        <w:t xml:space="preserve">, </w:t>
      </w:r>
      <w:r w:rsidR="00FB76E3">
        <w:rPr>
          <w:color w:val="000000"/>
          <w:szCs w:val="24"/>
        </w:rPr>
        <w:t xml:space="preserve">de </w:t>
      </w:r>
      <w:r>
        <w:rPr>
          <w:color w:val="000000"/>
          <w:szCs w:val="24"/>
        </w:rPr>
        <w:t>la primauté du droit</w:t>
      </w:r>
      <w:r w:rsidR="00330E69" w:rsidRPr="00446BB8">
        <w:rPr>
          <w:color w:val="000000"/>
          <w:szCs w:val="24"/>
        </w:rPr>
        <w:t xml:space="preserve">, </w:t>
      </w:r>
      <w:r w:rsidR="00FB76E3">
        <w:rPr>
          <w:color w:val="000000"/>
          <w:szCs w:val="24"/>
        </w:rPr>
        <w:t>d</w:t>
      </w:r>
      <w:r>
        <w:rPr>
          <w:color w:val="000000"/>
          <w:szCs w:val="24"/>
        </w:rPr>
        <w:t xml:space="preserve">es droits de l’homme et </w:t>
      </w:r>
      <w:r w:rsidR="00FB76E3">
        <w:rPr>
          <w:color w:val="000000"/>
          <w:szCs w:val="24"/>
        </w:rPr>
        <w:t>d</w:t>
      </w:r>
      <w:r>
        <w:rPr>
          <w:color w:val="000000"/>
          <w:szCs w:val="24"/>
        </w:rPr>
        <w:t>es libertés fondamentales</w:t>
      </w:r>
      <w:r w:rsidR="00330E69" w:rsidRPr="00446BB8">
        <w:rPr>
          <w:color w:val="000000"/>
          <w:szCs w:val="24"/>
        </w:rPr>
        <w:t xml:space="preserve">, </w:t>
      </w:r>
      <w:r>
        <w:rPr>
          <w:color w:val="000000"/>
          <w:szCs w:val="24"/>
        </w:rPr>
        <w:t>tels que consacrés notamment dans la charte des Nations unies et d’autres instruments applicables en matière de droits de l’homme</w:t>
      </w:r>
      <w:r w:rsidR="00330E69" w:rsidRPr="00446BB8">
        <w:rPr>
          <w:color w:val="000000"/>
          <w:szCs w:val="24"/>
        </w:rPr>
        <w:t xml:space="preserve">, </w:t>
      </w:r>
      <w:r>
        <w:rPr>
          <w:color w:val="000000"/>
          <w:szCs w:val="24"/>
        </w:rPr>
        <w:t>parmi lesquels la Déclaration universelle des droits de l’homme</w:t>
      </w:r>
      <w:r w:rsidR="00330E69" w:rsidRPr="00446BB8">
        <w:rPr>
          <w:color w:val="000000"/>
          <w:szCs w:val="24"/>
        </w:rPr>
        <w:t xml:space="preserve">. </w:t>
      </w:r>
      <w:r w:rsidR="001D2EDA">
        <w:rPr>
          <w:color w:val="000000"/>
          <w:szCs w:val="24"/>
        </w:rPr>
        <w:t xml:space="preserve">Avec la première partie de la clause de l’UE sur la </w:t>
      </w:r>
      <w:r w:rsidR="00330E69" w:rsidRPr="00446BB8">
        <w:rPr>
          <w:color w:val="000000"/>
          <w:szCs w:val="24"/>
        </w:rPr>
        <w:t>non-prolif</w:t>
      </w:r>
      <w:r w:rsidR="001D2EDA">
        <w:rPr>
          <w:color w:val="000000"/>
          <w:szCs w:val="24"/>
        </w:rPr>
        <w:t>é</w:t>
      </w:r>
      <w:r w:rsidR="00330E69" w:rsidRPr="00446BB8">
        <w:rPr>
          <w:color w:val="000000"/>
          <w:szCs w:val="24"/>
        </w:rPr>
        <w:t xml:space="preserve">ration </w:t>
      </w:r>
      <w:r w:rsidR="001D2EDA">
        <w:rPr>
          <w:color w:val="000000"/>
          <w:szCs w:val="24"/>
        </w:rPr>
        <w:t xml:space="preserve">des armes de </w:t>
      </w:r>
      <w:r w:rsidR="00330E69" w:rsidRPr="00446BB8">
        <w:rPr>
          <w:color w:val="000000"/>
          <w:szCs w:val="24"/>
        </w:rPr>
        <w:t>destruction</w:t>
      </w:r>
      <w:r w:rsidR="001D2EDA">
        <w:rPr>
          <w:color w:val="000000"/>
          <w:szCs w:val="24"/>
        </w:rPr>
        <w:t xml:space="preserve"> massive</w:t>
      </w:r>
      <w:r w:rsidR="00330E69" w:rsidRPr="00446BB8">
        <w:rPr>
          <w:color w:val="000000"/>
          <w:szCs w:val="24"/>
        </w:rPr>
        <w:t xml:space="preserve">, </w:t>
      </w:r>
      <w:r w:rsidR="001D2EDA">
        <w:rPr>
          <w:color w:val="000000"/>
          <w:szCs w:val="24"/>
        </w:rPr>
        <w:t xml:space="preserve">ces </w:t>
      </w:r>
      <w:r w:rsidR="00FB76E3">
        <w:rPr>
          <w:color w:val="000000"/>
          <w:szCs w:val="24"/>
        </w:rPr>
        <w:t>principes</w:t>
      </w:r>
      <w:r w:rsidR="001D2EDA">
        <w:rPr>
          <w:color w:val="000000"/>
          <w:szCs w:val="24"/>
        </w:rPr>
        <w:t xml:space="preserve"> devraient constituer des éléments essentiels de l’accord modernisé, lequel devrait prévoir la</w:t>
      </w:r>
      <w:r w:rsidR="00330E69" w:rsidRPr="00446BB8">
        <w:rPr>
          <w:color w:val="000000"/>
          <w:szCs w:val="24"/>
        </w:rPr>
        <w:t xml:space="preserve"> possibilit</w:t>
      </w:r>
      <w:r w:rsidR="001D2EDA">
        <w:rPr>
          <w:color w:val="000000"/>
          <w:szCs w:val="24"/>
        </w:rPr>
        <w:t>é</w:t>
      </w:r>
      <w:r w:rsidR="00330E69" w:rsidRPr="00446BB8">
        <w:rPr>
          <w:color w:val="000000"/>
          <w:szCs w:val="24"/>
        </w:rPr>
        <w:t xml:space="preserve"> </w:t>
      </w:r>
      <w:r w:rsidR="001D2EDA">
        <w:rPr>
          <w:color w:val="000000"/>
          <w:szCs w:val="24"/>
        </w:rPr>
        <w:t>de suspendre partiellement ou totalement ses dispositions de façon u</w:t>
      </w:r>
      <w:r w:rsidR="0042023F">
        <w:rPr>
          <w:color w:val="000000"/>
          <w:szCs w:val="24"/>
        </w:rPr>
        <w:t>n</w:t>
      </w:r>
      <w:r w:rsidR="001D2EDA">
        <w:rPr>
          <w:color w:val="000000"/>
          <w:szCs w:val="24"/>
        </w:rPr>
        <w:t>ilatérale en cas de violation de ces principes</w:t>
      </w:r>
      <w:r w:rsidR="00330E69" w:rsidRPr="00446BB8">
        <w:rPr>
          <w:color w:val="000000"/>
          <w:szCs w:val="24"/>
        </w:rPr>
        <w:t>.</w:t>
      </w:r>
      <w:r w:rsidR="00330E69" w:rsidRPr="00446BB8">
        <w:rPr>
          <w:rFonts w:eastAsia="Times New Roman"/>
          <w:color w:val="000000"/>
          <w:szCs w:val="24"/>
        </w:rPr>
        <w:t xml:space="preserve"> </w:t>
      </w:r>
    </w:p>
    <w:p w:rsidR="00330E69" w:rsidRPr="00446BB8" w:rsidRDefault="00330E69" w:rsidP="00330E69">
      <w:pPr>
        <w:spacing w:after="0"/>
        <w:rPr>
          <w:color w:val="000000"/>
          <w:szCs w:val="24"/>
        </w:rPr>
      </w:pPr>
    </w:p>
    <w:p w:rsidR="00330E69" w:rsidRPr="00446BB8" w:rsidRDefault="0042023F" w:rsidP="00330E69">
      <w:pPr>
        <w:spacing w:after="0"/>
        <w:rPr>
          <w:rFonts w:eastAsia="Times New Roman"/>
          <w:color w:val="000000"/>
          <w:szCs w:val="24"/>
        </w:rPr>
      </w:pPr>
      <w:r>
        <w:rPr>
          <w:rFonts w:eastAsia="Times New Roman"/>
          <w:color w:val="000000"/>
          <w:szCs w:val="24"/>
        </w:rPr>
        <w:t>L’accord modernisé devrait permettre au Chili et à l’UE de renforcer leurs capacités institutionnelles</w:t>
      </w:r>
      <w:r w:rsidR="00330E69" w:rsidRPr="00446BB8">
        <w:rPr>
          <w:rFonts w:eastAsia="Times New Roman"/>
          <w:color w:val="000000"/>
          <w:szCs w:val="24"/>
        </w:rPr>
        <w:t xml:space="preserve">, </w:t>
      </w:r>
      <w:r>
        <w:rPr>
          <w:rFonts w:eastAsia="Times New Roman"/>
          <w:color w:val="000000"/>
          <w:szCs w:val="24"/>
        </w:rPr>
        <w:t>leurs politiques publiques et leurs cadres législatifs</w:t>
      </w:r>
      <w:r w:rsidR="00330E69" w:rsidRPr="00446BB8">
        <w:rPr>
          <w:rFonts w:eastAsia="Times New Roman"/>
          <w:color w:val="000000"/>
          <w:szCs w:val="24"/>
        </w:rPr>
        <w:t xml:space="preserve">, </w:t>
      </w:r>
      <w:r>
        <w:rPr>
          <w:rFonts w:eastAsia="Times New Roman"/>
          <w:color w:val="000000"/>
          <w:szCs w:val="24"/>
        </w:rPr>
        <w:t xml:space="preserve">de même que d’agir comme des partenaires stratégiques dans les principales enceintes et institutions </w:t>
      </w:r>
      <w:r w:rsidR="00330E69" w:rsidRPr="00446BB8">
        <w:rPr>
          <w:rFonts w:eastAsia="Times New Roman"/>
          <w:color w:val="000000"/>
          <w:szCs w:val="24"/>
        </w:rPr>
        <w:t>multilat</w:t>
      </w:r>
      <w:r>
        <w:rPr>
          <w:rFonts w:eastAsia="Times New Roman"/>
          <w:color w:val="000000"/>
          <w:szCs w:val="24"/>
        </w:rPr>
        <w:t>é</w:t>
      </w:r>
      <w:r w:rsidR="00330E69" w:rsidRPr="00446BB8">
        <w:rPr>
          <w:rFonts w:eastAsia="Times New Roman"/>
          <w:color w:val="000000"/>
          <w:szCs w:val="24"/>
        </w:rPr>
        <w:t>ral</w:t>
      </w:r>
      <w:r>
        <w:rPr>
          <w:rFonts w:eastAsia="Times New Roman"/>
          <w:color w:val="000000"/>
          <w:szCs w:val="24"/>
        </w:rPr>
        <w:t>es</w:t>
      </w:r>
      <w:r w:rsidR="00330E69" w:rsidRPr="00446BB8">
        <w:rPr>
          <w:rFonts w:eastAsia="Times New Roman"/>
          <w:color w:val="000000"/>
          <w:szCs w:val="24"/>
        </w:rPr>
        <w:t xml:space="preserve"> </w:t>
      </w:r>
      <w:r>
        <w:rPr>
          <w:rFonts w:eastAsia="Times New Roman"/>
          <w:color w:val="000000"/>
          <w:szCs w:val="24"/>
        </w:rPr>
        <w:t>et</w:t>
      </w:r>
      <w:r w:rsidR="00330E69" w:rsidRPr="00446BB8">
        <w:rPr>
          <w:rFonts w:eastAsia="Times New Roman"/>
          <w:color w:val="000000"/>
          <w:szCs w:val="24"/>
        </w:rPr>
        <w:t xml:space="preserve"> r</w:t>
      </w:r>
      <w:r>
        <w:rPr>
          <w:rFonts w:eastAsia="Times New Roman"/>
          <w:color w:val="000000"/>
          <w:szCs w:val="24"/>
        </w:rPr>
        <w:t>é</w:t>
      </w:r>
      <w:r w:rsidR="00330E69" w:rsidRPr="00446BB8">
        <w:rPr>
          <w:rFonts w:eastAsia="Times New Roman"/>
          <w:color w:val="000000"/>
          <w:szCs w:val="24"/>
        </w:rPr>
        <w:t>gional</w:t>
      </w:r>
      <w:r>
        <w:rPr>
          <w:rFonts w:eastAsia="Times New Roman"/>
          <w:color w:val="000000"/>
          <w:szCs w:val="24"/>
        </w:rPr>
        <w:t>es</w:t>
      </w:r>
      <w:r w:rsidR="00330E69" w:rsidRPr="00446BB8">
        <w:rPr>
          <w:rFonts w:eastAsia="Times New Roman"/>
          <w:color w:val="000000"/>
          <w:szCs w:val="24"/>
        </w:rPr>
        <w:t xml:space="preserve">, </w:t>
      </w:r>
      <w:r>
        <w:rPr>
          <w:rFonts w:eastAsia="Times New Roman"/>
          <w:color w:val="000000"/>
          <w:szCs w:val="24"/>
        </w:rPr>
        <w:t>lorsqu’ils en conviennent</w:t>
      </w:r>
      <w:r w:rsidR="00330E69" w:rsidRPr="00446BB8">
        <w:rPr>
          <w:rFonts w:eastAsia="Times New Roman"/>
          <w:color w:val="000000"/>
          <w:szCs w:val="24"/>
        </w:rPr>
        <w:t>.</w:t>
      </w:r>
    </w:p>
    <w:p w:rsidR="00330E69" w:rsidRPr="00446BB8" w:rsidRDefault="00330E69" w:rsidP="00330E69">
      <w:pPr>
        <w:spacing w:after="0"/>
        <w:rPr>
          <w:color w:val="000000"/>
          <w:szCs w:val="24"/>
        </w:rPr>
      </w:pPr>
    </w:p>
    <w:p w:rsidR="00330E69" w:rsidRPr="00446BB8" w:rsidRDefault="007D1C25" w:rsidP="00330E69">
      <w:pPr>
        <w:spacing w:after="0"/>
        <w:rPr>
          <w:color w:val="000000"/>
          <w:szCs w:val="24"/>
        </w:rPr>
      </w:pPr>
      <w:r>
        <w:rPr>
          <w:color w:val="000000"/>
          <w:szCs w:val="24"/>
        </w:rPr>
        <w:t xml:space="preserve">L’accord modernisé devrait exiger de chaque partie qu’elle prenne </w:t>
      </w:r>
      <w:r w:rsidR="00FB76E3">
        <w:rPr>
          <w:color w:val="000000"/>
          <w:szCs w:val="24"/>
        </w:rPr>
        <w:t xml:space="preserve">toutes </w:t>
      </w:r>
      <w:r>
        <w:rPr>
          <w:color w:val="000000"/>
          <w:szCs w:val="24"/>
        </w:rPr>
        <w:t>les mesures nécessaires pour donner effet à ses dispositions</w:t>
      </w:r>
      <w:r w:rsidR="00330E69" w:rsidRPr="00446BB8">
        <w:rPr>
          <w:color w:val="000000"/>
          <w:szCs w:val="24"/>
        </w:rPr>
        <w:t xml:space="preserve">, </w:t>
      </w:r>
      <w:r>
        <w:rPr>
          <w:color w:val="000000"/>
          <w:szCs w:val="24"/>
        </w:rPr>
        <w:t>y compris pour assurer leur observation par tous les niveaux de gouvernement</w:t>
      </w:r>
      <w:r w:rsidR="00330E69" w:rsidRPr="00446BB8">
        <w:rPr>
          <w:color w:val="000000"/>
          <w:szCs w:val="24"/>
        </w:rPr>
        <w:t>.</w:t>
      </w:r>
    </w:p>
    <w:p w:rsidR="00330E69" w:rsidRPr="00446BB8" w:rsidRDefault="00330E69" w:rsidP="00330E69">
      <w:pPr>
        <w:spacing w:after="0"/>
        <w:rPr>
          <w:color w:val="000000"/>
          <w:szCs w:val="24"/>
        </w:rPr>
      </w:pPr>
    </w:p>
    <w:p w:rsidR="00330E69" w:rsidRPr="00446BB8" w:rsidRDefault="007D1C25" w:rsidP="00330E69">
      <w:pPr>
        <w:spacing w:after="0"/>
        <w:rPr>
          <w:color w:val="000000"/>
          <w:szCs w:val="24"/>
        </w:rPr>
      </w:pPr>
      <w:r w:rsidRPr="007D1C25">
        <w:rPr>
          <w:rFonts w:eastAsia="Times New Roman"/>
          <w:color w:val="000000"/>
          <w:szCs w:val="24"/>
        </w:rPr>
        <w:t>L’accord modernisé</w:t>
      </w:r>
      <w:r>
        <w:rPr>
          <w:rFonts w:eastAsia="Times New Roman"/>
          <w:color w:val="000000"/>
          <w:szCs w:val="24"/>
        </w:rPr>
        <w:t xml:space="preserve"> devrait</w:t>
      </w:r>
      <w:r w:rsidR="00330E69" w:rsidRPr="00446BB8">
        <w:rPr>
          <w:color w:val="000000"/>
          <w:szCs w:val="24"/>
        </w:rPr>
        <w:t xml:space="preserve"> refl</w:t>
      </w:r>
      <w:r w:rsidR="00144593">
        <w:rPr>
          <w:color w:val="000000"/>
          <w:szCs w:val="24"/>
        </w:rPr>
        <w:t>é</w:t>
      </w:r>
      <w:r w:rsidR="00330E69" w:rsidRPr="00446BB8">
        <w:rPr>
          <w:color w:val="000000"/>
          <w:szCs w:val="24"/>
        </w:rPr>
        <w:t>t</w:t>
      </w:r>
      <w:r w:rsidR="00144593">
        <w:rPr>
          <w:color w:val="000000"/>
          <w:szCs w:val="24"/>
        </w:rPr>
        <w:t>er l’héritage culturel commun et les liens historiques, politiques et économiques étroits qui unissent les deux parties, et être conforme aux principes</w:t>
      </w:r>
      <w:r w:rsidR="00FB76E3">
        <w:rPr>
          <w:color w:val="000000"/>
          <w:szCs w:val="24"/>
        </w:rPr>
        <w:t xml:space="preserve"> sous-jacents</w:t>
      </w:r>
      <w:r w:rsidR="00144593">
        <w:rPr>
          <w:color w:val="000000"/>
          <w:szCs w:val="24"/>
        </w:rPr>
        <w:t xml:space="preserve"> et aux objectifs essentiels suivants</w:t>
      </w:r>
      <w:r w:rsidR="00330E69" w:rsidRPr="00446BB8">
        <w:rPr>
          <w:color w:val="000000"/>
          <w:szCs w:val="24"/>
        </w:rPr>
        <w:t>:</w:t>
      </w:r>
    </w:p>
    <w:p w:rsidR="00330E69" w:rsidRPr="00446BB8" w:rsidRDefault="00330E69" w:rsidP="00330E69">
      <w:pPr>
        <w:spacing w:after="0"/>
        <w:rPr>
          <w:color w:val="000000"/>
          <w:szCs w:val="24"/>
        </w:rPr>
      </w:pPr>
    </w:p>
    <w:p w:rsidR="00330E69" w:rsidRPr="00446BB8" w:rsidRDefault="00144593" w:rsidP="003D2049">
      <w:pPr>
        <w:pStyle w:val="Bullet0"/>
        <w:numPr>
          <w:ilvl w:val="0"/>
          <w:numId w:val="24"/>
        </w:numPr>
      </w:pPr>
      <w:r>
        <w:t>Adaptation du contenu de l’accord d’association en vue de mieux prendre en considération les évolutions récentes au niveau mondial</w:t>
      </w:r>
      <w:r w:rsidR="00330E69" w:rsidRPr="00446BB8">
        <w:t>.</w:t>
      </w:r>
    </w:p>
    <w:p w:rsidR="00330E69" w:rsidRPr="00446BB8" w:rsidRDefault="00144593" w:rsidP="002D3E50">
      <w:pPr>
        <w:pStyle w:val="Bullet0"/>
        <w:rPr>
          <w:rFonts w:eastAsia="Times New Roman"/>
          <w:b/>
          <w:smallCaps/>
          <w:lang w:eastAsia="fr-BE"/>
        </w:rPr>
      </w:pPr>
      <w:r>
        <w:t>Expression des valeurs communes de démocratie, de respect des droits de l’homme et des libertés fondamentales, et de primauté du droit</w:t>
      </w:r>
      <w:r w:rsidR="00330E69" w:rsidRPr="00446BB8">
        <w:t>.</w:t>
      </w:r>
    </w:p>
    <w:p w:rsidR="00330E69" w:rsidRPr="00446BB8" w:rsidRDefault="00144593" w:rsidP="002D3E50">
      <w:pPr>
        <w:pStyle w:val="Bullet0"/>
      </w:pPr>
      <w:r>
        <w:t>Expression de la détermination d’encourager une association renforcée dans le but de favoriser la prospérité et le bien-être de leurs citoyens</w:t>
      </w:r>
      <w:r w:rsidR="00330E69" w:rsidRPr="00446BB8">
        <w:t>.</w:t>
      </w:r>
    </w:p>
    <w:p w:rsidR="00330E69" w:rsidRPr="00446BB8" w:rsidRDefault="00144593" w:rsidP="002D3E50">
      <w:pPr>
        <w:pStyle w:val="Bullet0"/>
      </w:pPr>
      <w:r>
        <w:t xml:space="preserve">Renforcement de la coordination </w:t>
      </w:r>
      <w:r w:rsidR="00FB76E3">
        <w:t xml:space="preserve">plus étroite </w:t>
      </w:r>
      <w:r>
        <w:t xml:space="preserve">relative aux questions </w:t>
      </w:r>
      <w:r w:rsidR="00330E69" w:rsidRPr="00446BB8">
        <w:t>bilat</w:t>
      </w:r>
      <w:r>
        <w:t>é</w:t>
      </w:r>
      <w:r w:rsidR="00330E69" w:rsidRPr="00446BB8">
        <w:t>ral</w:t>
      </w:r>
      <w:r>
        <w:t>es</w:t>
      </w:r>
      <w:r w:rsidR="00330E69" w:rsidRPr="00446BB8">
        <w:t xml:space="preserve"> </w:t>
      </w:r>
      <w:r>
        <w:t>et internationales d’intérêt mutuel</w:t>
      </w:r>
      <w:r w:rsidR="00330E69" w:rsidRPr="00446BB8">
        <w:t xml:space="preserve">, </w:t>
      </w:r>
      <w:r>
        <w:t xml:space="preserve">y compris </w:t>
      </w:r>
      <w:r w:rsidR="00FB76E3">
        <w:t>l</w:t>
      </w:r>
      <w:r>
        <w:t>es aspects régionaux</w:t>
      </w:r>
      <w:r w:rsidR="00330E69" w:rsidRPr="00446BB8">
        <w:t>.</w:t>
      </w:r>
    </w:p>
    <w:p w:rsidR="00330E69" w:rsidRPr="00446BB8" w:rsidRDefault="00144593" w:rsidP="002D3E50">
      <w:pPr>
        <w:pStyle w:val="Bullet0"/>
      </w:pPr>
      <w:r>
        <w:t>Renforcement de la coopération relative aux questions bilatérales</w:t>
      </w:r>
      <w:r w:rsidR="00330E69" w:rsidRPr="00446BB8">
        <w:t>, r</w:t>
      </w:r>
      <w:r>
        <w:t>é</w:t>
      </w:r>
      <w:r w:rsidR="00330E69" w:rsidRPr="00446BB8">
        <w:t>gional</w:t>
      </w:r>
      <w:r>
        <w:t>es</w:t>
      </w:r>
      <w:r w:rsidR="00330E69" w:rsidRPr="00446BB8">
        <w:t xml:space="preserve"> </w:t>
      </w:r>
      <w:r>
        <w:t>et</w:t>
      </w:r>
      <w:r w:rsidR="00330E69" w:rsidRPr="00446BB8">
        <w:t xml:space="preserve"> </w:t>
      </w:r>
      <w:r>
        <w:t>mondiales d’intérêt commun</w:t>
      </w:r>
      <w:r w:rsidR="00330E69" w:rsidRPr="00446BB8">
        <w:t>.</w:t>
      </w:r>
    </w:p>
    <w:p w:rsidR="00330E69" w:rsidRPr="00446BB8" w:rsidRDefault="00C1019B" w:rsidP="002D3E50">
      <w:pPr>
        <w:pStyle w:val="Bullet0"/>
      </w:pPr>
      <w:r>
        <w:t xml:space="preserve">Affirmation de l’importance d’un système </w:t>
      </w:r>
      <w:r w:rsidR="00396B47">
        <w:t>multilatéral solide et efficace</w:t>
      </w:r>
      <w:r w:rsidR="00330E69" w:rsidRPr="00446BB8">
        <w:t xml:space="preserve">, </w:t>
      </w:r>
      <w:r w:rsidR="00396B47">
        <w:t>fondé sur le droit international</w:t>
      </w:r>
      <w:r w:rsidR="00330E69" w:rsidRPr="00446BB8">
        <w:t xml:space="preserve">, </w:t>
      </w:r>
      <w:r w:rsidR="00A6419F">
        <w:t>visant à préserver la paix, à prévenir les conflits</w:t>
      </w:r>
      <w:r w:rsidR="00330E69" w:rsidRPr="00446BB8">
        <w:t xml:space="preserve"> </w:t>
      </w:r>
      <w:r w:rsidR="00A6419F">
        <w:t>et à renforcer la sécurité internationale ainsi qu’à relever les défis communs</w:t>
      </w:r>
      <w:r w:rsidR="00330E69" w:rsidRPr="00446BB8">
        <w:t>.</w:t>
      </w:r>
    </w:p>
    <w:p w:rsidR="00330E69" w:rsidRPr="00446BB8" w:rsidRDefault="00F36DED" w:rsidP="002D3E50">
      <w:pPr>
        <w:pStyle w:val="Bullet0"/>
      </w:pPr>
      <w:r>
        <w:t>A</w:t>
      </w:r>
      <w:r w:rsidR="00A6419F">
        <w:t xml:space="preserve">ffirmation de la </w:t>
      </w:r>
      <w:r w:rsidR="00FB76E3">
        <w:t>reconnaissance</w:t>
      </w:r>
      <w:r w:rsidR="00A6419F">
        <w:t xml:space="preserve"> du développement durable comme objectif </w:t>
      </w:r>
      <w:r>
        <w:t>général</w:t>
      </w:r>
      <w:r w:rsidR="00A6419F">
        <w:t xml:space="preserve"> des </w:t>
      </w:r>
      <w:r w:rsidR="00311882">
        <w:t>parties</w:t>
      </w:r>
      <w:r w:rsidR="00330E69" w:rsidRPr="00446BB8">
        <w:t xml:space="preserve"> </w:t>
      </w:r>
      <w:r w:rsidR="00A6419F">
        <w:t xml:space="preserve">et de la volonté de ces dernières de veiller au respect, à la promotion et à la mise en œuvre effective des conventions et des normes </w:t>
      </w:r>
      <w:r w:rsidR="00E77F75" w:rsidRPr="00446BB8">
        <w:t>i</w:t>
      </w:r>
      <w:r w:rsidR="00330E69" w:rsidRPr="00446BB8">
        <w:t>nternational</w:t>
      </w:r>
      <w:r w:rsidR="00A6419F">
        <w:t>es</w:t>
      </w:r>
      <w:r w:rsidR="00330E69" w:rsidRPr="00446BB8">
        <w:t xml:space="preserve"> </w:t>
      </w:r>
      <w:r w:rsidR="00A6419F">
        <w:t>en matière d’</w:t>
      </w:r>
      <w:r w:rsidR="00330E69" w:rsidRPr="00446BB8">
        <w:t>environ</w:t>
      </w:r>
      <w:r w:rsidR="00A6419F">
        <w:t>ne</w:t>
      </w:r>
      <w:r w:rsidR="00330E69" w:rsidRPr="00446BB8">
        <w:t xml:space="preserve">ment </w:t>
      </w:r>
      <w:r w:rsidR="00A6419F">
        <w:t>et de travail</w:t>
      </w:r>
      <w:r w:rsidR="00330E69" w:rsidRPr="00446BB8">
        <w:t xml:space="preserve"> </w:t>
      </w:r>
      <w:r w:rsidR="00A6419F">
        <w:t>qui sont conformes à l’acquis de l’UE</w:t>
      </w:r>
      <w:r w:rsidR="00167806" w:rsidRPr="00446BB8">
        <w:rPr>
          <w:color w:val="000000"/>
        </w:rPr>
        <w:t xml:space="preserve">. </w:t>
      </w:r>
      <w:r w:rsidR="00A6419F">
        <w:rPr>
          <w:color w:val="000000"/>
        </w:rPr>
        <w:t xml:space="preserve">Il devrait aussi </w:t>
      </w:r>
      <w:r w:rsidR="00A6419F">
        <w:rPr>
          <w:color w:val="000000"/>
        </w:rPr>
        <w:lastRenderedPageBreak/>
        <w:t xml:space="preserve">affirmer l’engagement des </w:t>
      </w:r>
      <w:r w:rsidR="00311882">
        <w:t>parties</w:t>
      </w:r>
      <w:r w:rsidR="00330E69" w:rsidRPr="00446BB8">
        <w:t xml:space="preserve"> </w:t>
      </w:r>
      <w:r w:rsidR="00947021">
        <w:t>de</w:t>
      </w:r>
      <w:r w:rsidR="00A6419F">
        <w:t xml:space="preserve"> ne pas </w:t>
      </w:r>
      <w:r w:rsidR="00FB76E3">
        <w:t xml:space="preserve">encourager </w:t>
      </w:r>
      <w:r w:rsidR="00947021">
        <w:t>les échanges ou les investissements directs étrangers</w:t>
      </w:r>
      <w:r w:rsidR="00330E69" w:rsidRPr="00446BB8">
        <w:t xml:space="preserve"> </w:t>
      </w:r>
      <w:r w:rsidR="00947021">
        <w:t xml:space="preserve">en rendant moins strictes </w:t>
      </w:r>
      <w:r w:rsidR="00C0403C">
        <w:t>la législation</w:t>
      </w:r>
      <w:r w:rsidR="00947021">
        <w:t xml:space="preserve"> et les normes nationales en matière d’</w:t>
      </w:r>
      <w:r w:rsidR="00330E69" w:rsidRPr="00446BB8">
        <w:t>environ</w:t>
      </w:r>
      <w:r w:rsidR="00947021">
        <w:t>ne</w:t>
      </w:r>
      <w:r w:rsidR="00330E69" w:rsidRPr="00446BB8">
        <w:t xml:space="preserve">ment, </w:t>
      </w:r>
      <w:r w:rsidR="00947021">
        <w:t>d’emploi ou de santé et de sécurité au travail</w:t>
      </w:r>
      <w:r w:rsidR="00330E69" w:rsidRPr="00446BB8">
        <w:t xml:space="preserve">, </w:t>
      </w:r>
      <w:r w:rsidR="00947021">
        <w:t>ou en assouplissant les normes fondamentales, les politiques ou le droit du travail</w:t>
      </w:r>
      <w:r w:rsidR="00E77F75" w:rsidRPr="00446BB8">
        <w:t>,</w:t>
      </w:r>
      <w:r w:rsidR="00167806" w:rsidRPr="00446BB8">
        <w:t xml:space="preserve"> </w:t>
      </w:r>
      <w:r w:rsidR="00947021">
        <w:t xml:space="preserve">ainsi que l’engagement </w:t>
      </w:r>
      <w:r w:rsidR="00C0403C">
        <w:t xml:space="preserve">des </w:t>
      </w:r>
      <w:r w:rsidR="00311882">
        <w:t>parties</w:t>
      </w:r>
      <w:r w:rsidR="00C0403C">
        <w:t xml:space="preserve"> </w:t>
      </w:r>
      <w:r w:rsidR="00947021">
        <w:t>d’améliorer la législation</w:t>
      </w:r>
      <w:r w:rsidR="00E77F75" w:rsidRPr="00446BB8">
        <w:t xml:space="preserve">, </w:t>
      </w:r>
      <w:r w:rsidR="00947021">
        <w:t xml:space="preserve">les </w:t>
      </w:r>
      <w:r w:rsidR="00E77F75" w:rsidRPr="00446BB8">
        <w:t>poli</w:t>
      </w:r>
      <w:r w:rsidR="00947021">
        <w:t>t</w:t>
      </w:r>
      <w:r w:rsidR="00E77F75" w:rsidRPr="00446BB8">
        <w:t>i</w:t>
      </w:r>
      <w:r w:rsidR="00947021">
        <w:t>qu</w:t>
      </w:r>
      <w:r w:rsidR="00E77F75" w:rsidRPr="00446BB8">
        <w:t xml:space="preserve">es </w:t>
      </w:r>
      <w:r w:rsidR="00947021">
        <w:t xml:space="preserve">et les niveaux </w:t>
      </w:r>
      <w:r w:rsidR="00C0403C">
        <w:t xml:space="preserve">correspondants </w:t>
      </w:r>
      <w:r w:rsidR="00947021">
        <w:t>de protection de l’environnement et du travail</w:t>
      </w:r>
      <w:r w:rsidR="00330E69" w:rsidRPr="00446BB8">
        <w:t>.</w:t>
      </w:r>
    </w:p>
    <w:p w:rsidR="00D24A2B" w:rsidRPr="00446BB8" w:rsidRDefault="00D24A2B" w:rsidP="00D24A2B">
      <w:pPr>
        <w:spacing w:after="0"/>
        <w:rPr>
          <w:b/>
          <w:color w:val="FF0000"/>
          <w:szCs w:val="24"/>
        </w:rPr>
      </w:pPr>
    </w:p>
    <w:p w:rsidR="00D24A2B" w:rsidRPr="00446BB8" w:rsidRDefault="00BF496A" w:rsidP="00E42D6D">
      <w:pPr>
        <w:spacing w:line="276" w:lineRule="auto"/>
        <w:rPr>
          <w:bCs/>
          <w:szCs w:val="24"/>
        </w:rPr>
      </w:pPr>
      <w:r>
        <w:rPr>
          <w:bCs/>
          <w:szCs w:val="24"/>
        </w:rPr>
        <w:t xml:space="preserve">Les dispositions de l’accord </w:t>
      </w:r>
      <w:r w:rsidR="00FB76E3">
        <w:rPr>
          <w:bCs/>
          <w:szCs w:val="24"/>
        </w:rPr>
        <w:t>concernant le</w:t>
      </w:r>
      <w:r>
        <w:rPr>
          <w:bCs/>
          <w:szCs w:val="24"/>
        </w:rPr>
        <w:t xml:space="preserve"> commerce et </w:t>
      </w:r>
      <w:r w:rsidR="00FB76E3">
        <w:rPr>
          <w:bCs/>
          <w:szCs w:val="24"/>
        </w:rPr>
        <w:t>l’</w:t>
      </w:r>
      <w:r>
        <w:rPr>
          <w:bCs/>
          <w:szCs w:val="24"/>
        </w:rPr>
        <w:t>investissement devraient avoir pour obje</w:t>
      </w:r>
      <w:r w:rsidR="00884A56">
        <w:rPr>
          <w:bCs/>
          <w:szCs w:val="24"/>
        </w:rPr>
        <w:t>c</w:t>
      </w:r>
      <w:r>
        <w:rPr>
          <w:bCs/>
          <w:szCs w:val="24"/>
        </w:rPr>
        <w:t>t</w:t>
      </w:r>
      <w:r w:rsidR="00884A56">
        <w:rPr>
          <w:bCs/>
          <w:szCs w:val="24"/>
        </w:rPr>
        <w:t>if</w:t>
      </w:r>
      <w:r>
        <w:rPr>
          <w:bCs/>
          <w:szCs w:val="24"/>
        </w:rPr>
        <w:t xml:space="preserve"> d’accroître les échanges</w:t>
      </w:r>
      <w:r w:rsidR="001C2CFA">
        <w:rPr>
          <w:bCs/>
          <w:szCs w:val="24"/>
        </w:rPr>
        <w:t xml:space="preserve"> commerciaux</w:t>
      </w:r>
      <w:r>
        <w:rPr>
          <w:bCs/>
          <w:szCs w:val="24"/>
        </w:rPr>
        <w:t xml:space="preserve"> et l’investissement entre l’UE et le Chili en tirant parti du potentiel inexploité </w:t>
      </w:r>
      <w:r w:rsidR="00FB76E3">
        <w:rPr>
          <w:bCs/>
          <w:szCs w:val="24"/>
        </w:rPr>
        <w:t>offert par</w:t>
      </w:r>
      <w:r>
        <w:rPr>
          <w:bCs/>
          <w:szCs w:val="24"/>
        </w:rPr>
        <w:t xml:space="preserve"> leur relation bilatérale</w:t>
      </w:r>
      <w:r w:rsidR="00D24A2B" w:rsidRPr="00446BB8">
        <w:rPr>
          <w:bCs/>
          <w:szCs w:val="24"/>
        </w:rPr>
        <w:t xml:space="preserve">, </w:t>
      </w:r>
      <w:r>
        <w:rPr>
          <w:bCs/>
          <w:szCs w:val="24"/>
        </w:rPr>
        <w:t>en générant de nouvelles possibilités économiques</w:t>
      </w:r>
      <w:r w:rsidR="00D24A2B" w:rsidRPr="00446BB8">
        <w:rPr>
          <w:bCs/>
          <w:szCs w:val="24"/>
        </w:rPr>
        <w:t xml:space="preserve">, </w:t>
      </w:r>
      <w:r>
        <w:rPr>
          <w:bCs/>
          <w:szCs w:val="24"/>
        </w:rPr>
        <w:t>en améliorant le bien-être des consommateurs</w:t>
      </w:r>
      <w:r w:rsidR="006D6B9F" w:rsidRPr="00446BB8">
        <w:rPr>
          <w:bCs/>
          <w:szCs w:val="24"/>
        </w:rPr>
        <w:t>,</w:t>
      </w:r>
      <w:r w:rsidR="00E42D6D" w:rsidRPr="00446BB8">
        <w:rPr>
          <w:bCs/>
          <w:szCs w:val="24"/>
        </w:rPr>
        <w:t xml:space="preserve"> </w:t>
      </w:r>
      <w:r>
        <w:rPr>
          <w:bCs/>
          <w:szCs w:val="24"/>
        </w:rPr>
        <w:t xml:space="preserve">en renforçant la compétitivité </w:t>
      </w:r>
      <w:r w:rsidR="00CD422F">
        <w:rPr>
          <w:bCs/>
          <w:szCs w:val="24"/>
        </w:rPr>
        <w:t>et en cr</w:t>
      </w:r>
      <w:r w:rsidR="00B85C12">
        <w:rPr>
          <w:bCs/>
          <w:szCs w:val="24"/>
        </w:rPr>
        <w:t>é</w:t>
      </w:r>
      <w:r w:rsidR="00CD422F">
        <w:rPr>
          <w:bCs/>
          <w:szCs w:val="24"/>
        </w:rPr>
        <w:t>ant des emplois et de la croissance</w:t>
      </w:r>
      <w:r w:rsidR="00D24A2B" w:rsidRPr="00446BB8">
        <w:rPr>
          <w:bCs/>
          <w:szCs w:val="24"/>
        </w:rPr>
        <w:t xml:space="preserve">, </w:t>
      </w:r>
      <w:r w:rsidR="00CD422F">
        <w:rPr>
          <w:bCs/>
          <w:szCs w:val="24"/>
        </w:rPr>
        <w:t xml:space="preserve">notamment </w:t>
      </w:r>
      <w:r w:rsidR="00884A56">
        <w:rPr>
          <w:bCs/>
          <w:szCs w:val="24"/>
        </w:rPr>
        <w:t>grâce aux éléments suivants</w:t>
      </w:r>
      <w:r w:rsidR="00D24A2B" w:rsidRPr="00446BB8">
        <w:rPr>
          <w:bCs/>
          <w:szCs w:val="24"/>
        </w:rPr>
        <w:t>:</w:t>
      </w:r>
    </w:p>
    <w:p w:rsidR="00D24A2B" w:rsidRPr="00446BB8" w:rsidRDefault="00884A56" w:rsidP="003D2049">
      <w:pPr>
        <w:pStyle w:val="Bullet0"/>
        <w:numPr>
          <w:ilvl w:val="0"/>
          <w:numId w:val="9"/>
        </w:numPr>
      </w:pPr>
      <w:r>
        <w:t xml:space="preserve">La poursuite de la libéralisation progressive et réciproque </w:t>
      </w:r>
      <w:r w:rsidR="001C2CFA">
        <w:t>du commerce</w:t>
      </w:r>
      <w:r>
        <w:t xml:space="preserve"> de</w:t>
      </w:r>
      <w:r w:rsidR="001C2CFA">
        <w:t>s</w:t>
      </w:r>
      <w:r>
        <w:t xml:space="preserve"> biens et de</w:t>
      </w:r>
      <w:r w:rsidR="001C2CFA">
        <w:t>s</w:t>
      </w:r>
      <w:r>
        <w:t xml:space="preserve"> services</w:t>
      </w:r>
      <w:r w:rsidR="00D24A2B" w:rsidRPr="00446BB8">
        <w:t xml:space="preserve">, </w:t>
      </w:r>
      <w:r>
        <w:t>l’investissement et l’accès aux possibilités offertes en matière de marchés publics</w:t>
      </w:r>
      <w:r w:rsidR="00D24A2B" w:rsidRPr="00446BB8">
        <w:t>.</w:t>
      </w:r>
    </w:p>
    <w:p w:rsidR="00D24A2B" w:rsidRPr="00446BB8" w:rsidRDefault="00D24A2B" w:rsidP="00D24A2B">
      <w:pPr>
        <w:spacing w:after="0"/>
        <w:contextualSpacing/>
        <w:rPr>
          <w:color w:val="000000"/>
          <w:sz w:val="10"/>
          <w:szCs w:val="10"/>
        </w:rPr>
      </w:pPr>
    </w:p>
    <w:p w:rsidR="00D24A2B" w:rsidRPr="00446BB8" w:rsidRDefault="00884A56" w:rsidP="008D62F5">
      <w:pPr>
        <w:pStyle w:val="Bullet0"/>
      </w:pPr>
      <w:r>
        <w:t>Un niveau élevé de protection des investissements</w:t>
      </w:r>
      <w:r w:rsidR="00D24A2B" w:rsidRPr="00446BB8">
        <w:t>.</w:t>
      </w:r>
    </w:p>
    <w:p w:rsidR="00D24A2B" w:rsidRPr="00446BB8" w:rsidRDefault="00D24A2B" w:rsidP="00D24A2B">
      <w:pPr>
        <w:spacing w:after="0"/>
        <w:ind w:left="720"/>
        <w:contextualSpacing/>
        <w:rPr>
          <w:color w:val="000000"/>
          <w:szCs w:val="24"/>
        </w:rPr>
      </w:pPr>
    </w:p>
    <w:p w:rsidR="00D24A2B" w:rsidRPr="00446BB8" w:rsidRDefault="00884A56" w:rsidP="008D62F5">
      <w:pPr>
        <w:pStyle w:val="Bullet0"/>
      </w:pPr>
      <w:r>
        <w:t>Un niveau élevé de protection des droits de propriété intellectuelle</w:t>
      </w:r>
      <w:r w:rsidR="00D24A2B" w:rsidRPr="00446BB8">
        <w:t xml:space="preserve">, </w:t>
      </w:r>
      <w:r>
        <w:t>notamment des i</w:t>
      </w:r>
      <w:r w:rsidR="00D24A2B" w:rsidRPr="00446BB8">
        <w:t>ndications</w:t>
      </w:r>
      <w:r>
        <w:t xml:space="preserve"> géographiques</w:t>
      </w:r>
      <w:r w:rsidR="00D24A2B" w:rsidRPr="00446BB8">
        <w:t>.</w:t>
      </w:r>
    </w:p>
    <w:p w:rsidR="00E77F75" w:rsidRPr="00446BB8" w:rsidRDefault="00E77F75" w:rsidP="002D3E50"/>
    <w:p w:rsidR="00E77F75" w:rsidRPr="00446BB8" w:rsidRDefault="00884A56" w:rsidP="00E77F75">
      <w:pPr>
        <w:pStyle w:val="Bullet0"/>
      </w:pPr>
      <w:r>
        <w:t>Un niveau élevé de protection des</w:t>
      </w:r>
      <w:r w:rsidR="00E77F75" w:rsidRPr="00446BB8">
        <w:t xml:space="preserve"> cons</w:t>
      </w:r>
      <w:r>
        <w:t>om</w:t>
      </w:r>
      <w:r w:rsidR="00E77F75" w:rsidRPr="00446BB8">
        <w:t>m</w:t>
      </w:r>
      <w:r>
        <w:t>at</w:t>
      </w:r>
      <w:r w:rsidR="00E77F75" w:rsidRPr="00446BB8">
        <w:t>e</w:t>
      </w:r>
      <w:r>
        <w:t>u</w:t>
      </w:r>
      <w:r w:rsidR="00E77F75" w:rsidRPr="00446BB8">
        <w:t>rs</w:t>
      </w:r>
      <w:r w:rsidR="006D6B9F" w:rsidRPr="00446BB8">
        <w:t>.</w:t>
      </w:r>
    </w:p>
    <w:p w:rsidR="00D24A2B" w:rsidRPr="00446BB8" w:rsidRDefault="00D24A2B" w:rsidP="00D24A2B">
      <w:pPr>
        <w:spacing w:after="0"/>
        <w:contextualSpacing/>
        <w:rPr>
          <w:color w:val="000000"/>
          <w:sz w:val="10"/>
          <w:szCs w:val="10"/>
        </w:rPr>
      </w:pPr>
    </w:p>
    <w:p w:rsidR="00D24A2B" w:rsidRPr="00446BB8" w:rsidRDefault="00884A56" w:rsidP="008D62F5">
      <w:pPr>
        <w:pStyle w:val="Bullet0"/>
      </w:pPr>
      <w:r>
        <w:t>L’élimination, la réduction ou la prévention des obstacles non tarifaires inutiles</w:t>
      </w:r>
      <w:r w:rsidR="00D24A2B" w:rsidRPr="00446BB8">
        <w:t>.</w:t>
      </w:r>
    </w:p>
    <w:p w:rsidR="00D24A2B" w:rsidRPr="00446BB8" w:rsidRDefault="00D24A2B" w:rsidP="00D24A2B">
      <w:pPr>
        <w:spacing w:after="0"/>
        <w:contextualSpacing/>
        <w:rPr>
          <w:color w:val="000000"/>
          <w:sz w:val="10"/>
          <w:szCs w:val="10"/>
        </w:rPr>
      </w:pPr>
    </w:p>
    <w:p w:rsidR="00D24A2B" w:rsidRPr="00446BB8" w:rsidRDefault="00884A56" w:rsidP="008D62F5">
      <w:pPr>
        <w:pStyle w:val="Bullet0"/>
      </w:pPr>
      <w:r>
        <w:t>Le droit de régle</w:t>
      </w:r>
      <w:r w:rsidR="00A121FA">
        <w:t>mente</w:t>
      </w:r>
      <w:r>
        <w:t>r l’activité économique dans l’intérêt public</w:t>
      </w:r>
      <w:r w:rsidR="00A121FA">
        <w:t xml:space="preserve"> et</w:t>
      </w:r>
      <w:r w:rsidR="00D24A2B" w:rsidRPr="00446BB8">
        <w:t xml:space="preserve"> </w:t>
      </w:r>
      <w:r w:rsidR="00A121FA">
        <w:t>de réaliser des objectifs légitimes de politique publique tels que la protection et la promotion de la santé publique, des services sociaux, de l’éducation publique, de la sécurité, de l’environnement et de la moralité publique, la protection sociale ou des consommateurs, la protection de la vie privée et des données, ainsi que la promotion et la protection de la diversité culturelle</w:t>
      </w:r>
      <w:r w:rsidR="00D24A2B" w:rsidRPr="00446BB8">
        <w:t>.</w:t>
      </w:r>
    </w:p>
    <w:p w:rsidR="00D24A2B" w:rsidRPr="00446BB8" w:rsidRDefault="00D24A2B" w:rsidP="00D24A2B">
      <w:pPr>
        <w:spacing w:after="0"/>
        <w:contextualSpacing/>
        <w:rPr>
          <w:color w:val="000000"/>
          <w:sz w:val="10"/>
          <w:szCs w:val="10"/>
        </w:rPr>
      </w:pPr>
    </w:p>
    <w:p w:rsidR="00D24A2B" w:rsidRPr="00446BB8" w:rsidRDefault="00F36DED" w:rsidP="008D62F5">
      <w:pPr>
        <w:pStyle w:val="Bullet0"/>
      </w:pPr>
      <w:r>
        <w:t xml:space="preserve">Des mesures visant à garantir que le commerce international </w:t>
      </w:r>
      <w:r w:rsidR="00D24A2B" w:rsidRPr="00446BB8">
        <w:t xml:space="preserve">contribue </w:t>
      </w:r>
      <w:r>
        <w:t xml:space="preserve">à l’objectif général de développement durable, et l’engagement des </w:t>
      </w:r>
      <w:r w:rsidR="00311882">
        <w:t>parties</w:t>
      </w:r>
      <w:r w:rsidR="00D24A2B" w:rsidRPr="00446BB8">
        <w:t xml:space="preserve"> </w:t>
      </w:r>
      <w:r>
        <w:t>de mettre en œuvre cet accord en conséquence</w:t>
      </w:r>
      <w:r w:rsidR="00D24A2B" w:rsidRPr="00446BB8">
        <w:t>.</w:t>
      </w:r>
    </w:p>
    <w:p w:rsidR="00D24A2B" w:rsidRPr="00446BB8" w:rsidRDefault="00D24A2B" w:rsidP="00D24A2B">
      <w:pPr>
        <w:spacing w:after="0"/>
        <w:contextualSpacing/>
        <w:rPr>
          <w:color w:val="000000"/>
          <w:sz w:val="10"/>
          <w:szCs w:val="10"/>
        </w:rPr>
      </w:pPr>
    </w:p>
    <w:p w:rsidR="00D24A2B" w:rsidRPr="00446BB8" w:rsidRDefault="00F36DED" w:rsidP="008D62F5">
      <w:pPr>
        <w:pStyle w:val="Bullet0"/>
      </w:pPr>
      <w:r>
        <w:t xml:space="preserve">L’objectif commun des </w:t>
      </w:r>
      <w:r w:rsidR="00311882">
        <w:t>parties</w:t>
      </w:r>
      <w:r w:rsidR="00D24A2B" w:rsidRPr="00446BB8">
        <w:t xml:space="preserve"> </w:t>
      </w:r>
      <w:r>
        <w:t>de prendre en compte les difficultés particulières que connaissent les petites et moyennes entreprises</w:t>
      </w:r>
      <w:r w:rsidR="00D24A2B" w:rsidRPr="00446BB8">
        <w:t xml:space="preserve"> </w:t>
      </w:r>
      <w:r w:rsidR="004E7D3E">
        <w:t>dans la contribution au développement des échanges commerciaux et de l’investissement</w:t>
      </w:r>
      <w:r w:rsidR="00D24A2B" w:rsidRPr="00446BB8">
        <w:t>.</w:t>
      </w:r>
    </w:p>
    <w:p w:rsidR="00D24A2B" w:rsidRPr="00446BB8" w:rsidRDefault="00D24A2B" w:rsidP="00D24A2B">
      <w:pPr>
        <w:spacing w:after="0"/>
        <w:rPr>
          <w:color w:val="000000"/>
          <w:szCs w:val="24"/>
        </w:rPr>
      </w:pPr>
    </w:p>
    <w:p w:rsidR="00D24A2B" w:rsidRPr="00446BB8" w:rsidRDefault="004E7D3E" w:rsidP="008D62F5">
      <w:pPr>
        <w:pStyle w:val="Bullet0"/>
      </w:pPr>
      <w:r>
        <w:lastRenderedPageBreak/>
        <w:t xml:space="preserve">L’engagement des </w:t>
      </w:r>
      <w:r w:rsidR="00311882">
        <w:t>parties</w:t>
      </w:r>
      <w:r w:rsidR="00D24A2B" w:rsidRPr="00446BB8">
        <w:t xml:space="preserve"> </w:t>
      </w:r>
      <w:r>
        <w:t>de</w:t>
      </w:r>
      <w:r w:rsidR="00D24A2B" w:rsidRPr="00446BB8">
        <w:t xml:space="preserve"> communi</w:t>
      </w:r>
      <w:r>
        <w:t>quer avec toutes les parties prenantes concernées de la société civile, notamment le secteur privé, les syndicats et d’autres organisations non gouvernementales</w:t>
      </w:r>
      <w:r w:rsidR="00D24A2B" w:rsidRPr="00446BB8">
        <w:t>.</w:t>
      </w:r>
    </w:p>
    <w:p w:rsidR="00D24A2B" w:rsidRPr="00446BB8" w:rsidRDefault="00D24A2B" w:rsidP="00D24A2B">
      <w:pPr>
        <w:spacing w:after="0"/>
        <w:rPr>
          <w:color w:val="000000"/>
          <w:sz w:val="10"/>
          <w:szCs w:val="10"/>
        </w:rPr>
      </w:pPr>
    </w:p>
    <w:p w:rsidR="00D24A2B" w:rsidRPr="00446BB8" w:rsidRDefault="004E7D3E" w:rsidP="008D62F5">
      <w:pPr>
        <w:pStyle w:val="Bullet0"/>
      </w:pPr>
      <w:r>
        <w:t>L’engagement des</w:t>
      </w:r>
      <w:r w:rsidR="00D24A2B" w:rsidRPr="00446BB8">
        <w:t xml:space="preserve"> </w:t>
      </w:r>
      <w:r w:rsidR="00311882">
        <w:t>parties</w:t>
      </w:r>
      <w:r w:rsidR="00D24A2B" w:rsidRPr="00446BB8">
        <w:t xml:space="preserve"> </w:t>
      </w:r>
      <w:r>
        <w:t>de conclure un accord pleinement compatible avec leurs droits et obligations découlant de l’accord de l’OMC</w:t>
      </w:r>
      <w:r w:rsidR="00D24A2B" w:rsidRPr="00446BB8">
        <w:t xml:space="preserve"> </w:t>
      </w:r>
      <w:r>
        <w:t xml:space="preserve">et soutenant le système commercial </w:t>
      </w:r>
      <w:r w:rsidR="00D24A2B" w:rsidRPr="00446BB8">
        <w:t>multilat</w:t>
      </w:r>
      <w:r>
        <w:t>é</w:t>
      </w:r>
      <w:r w:rsidR="00D24A2B" w:rsidRPr="00446BB8">
        <w:t>ral.</w:t>
      </w:r>
    </w:p>
    <w:p w:rsidR="00DB02C9" w:rsidRPr="00446BB8" w:rsidRDefault="00DB02C9" w:rsidP="00D24A2B">
      <w:pPr>
        <w:spacing w:after="0"/>
        <w:rPr>
          <w:color w:val="000000"/>
        </w:rPr>
      </w:pPr>
    </w:p>
    <w:p w:rsidR="00DB02C9" w:rsidRPr="00446BB8" w:rsidRDefault="00DB02C9" w:rsidP="00D24A2B">
      <w:pPr>
        <w:spacing w:after="0"/>
        <w:rPr>
          <w:color w:val="000000"/>
        </w:rPr>
      </w:pPr>
    </w:p>
    <w:p w:rsidR="00D24A2B" w:rsidRPr="00446BB8" w:rsidRDefault="00D24A2B" w:rsidP="00D24A2B">
      <w:pPr>
        <w:spacing w:after="0"/>
        <w:rPr>
          <w:color w:val="000000"/>
          <w:szCs w:val="24"/>
        </w:rPr>
      </w:pPr>
      <w:r w:rsidRPr="00446BB8">
        <w:rPr>
          <w:b/>
          <w:smallCaps/>
          <w:color w:val="000000"/>
          <w:szCs w:val="24"/>
        </w:rPr>
        <w:t>II.</w:t>
      </w:r>
      <w:r w:rsidRPr="00446BB8">
        <w:rPr>
          <w:b/>
          <w:smallCaps/>
          <w:color w:val="000000"/>
          <w:szCs w:val="24"/>
        </w:rPr>
        <w:tab/>
      </w:r>
      <w:r w:rsidR="004E7D3E">
        <w:rPr>
          <w:b/>
          <w:smallCaps/>
          <w:color w:val="000000"/>
          <w:szCs w:val="24"/>
          <w:u w:val="single"/>
        </w:rPr>
        <w:t>Domaines de</w:t>
      </w:r>
      <w:r w:rsidRPr="00446BB8">
        <w:rPr>
          <w:b/>
          <w:smallCaps/>
          <w:color w:val="000000"/>
          <w:szCs w:val="24"/>
          <w:u w:val="single"/>
        </w:rPr>
        <w:t xml:space="preserve"> </w:t>
      </w:r>
      <w:r w:rsidR="004E7D3E">
        <w:rPr>
          <w:b/>
          <w:smallCaps/>
          <w:color w:val="000000"/>
          <w:szCs w:val="24"/>
          <w:u w:val="single"/>
        </w:rPr>
        <w:t>c</w:t>
      </w:r>
      <w:r w:rsidRPr="00446BB8">
        <w:rPr>
          <w:b/>
          <w:smallCaps/>
          <w:color w:val="000000"/>
          <w:szCs w:val="24"/>
          <w:u w:val="single"/>
        </w:rPr>
        <w:t>oop</w:t>
      </w:r>
      <w:r w:rsidR="004E7D3E">
        <w:rPr>
          <w:b/>
          <w:smallCaps/>
          <w:color w:val="000000"/>
          <w:szCs w:val="24"/>
          <w:u w:val="single"/>
        </w:rPr>
        <w:t>é</w:t>
      </w:r>
      <w:r w:rsidRPr="00446BB8">
        <w:rPr>
          <w:b/>
          <w:smallCaps/>
          <w:color w:val="000000"/>
          <w:szCs w:val="24"/>
          <w:u w:val="single"/>
        </w:rPr>
        <w:t>ration</w:t>
      </w:r>
      <w:r w:rsidRPr="00446BB8">
        <w:rPr>
          <w:b/>
          <w:smallCaps/>
          <w:color w:val="000000"/>
          <w:szCs w:val="24"/>
        </w:rPr>
        <w:t xml:space="preserve"> </w:t>
      </w:r>
    </w:p>
    <w:p w:rsidR="00D24A2B" w:rsidRPr="00446BB8" w:rsidRDefault="00D24A2B" w:rsidP="00D24A2B">
      <w:pPr>
        <w:spacing w:after="0"/>
        <w:rPr>
          <w:b/>
          <w:smallCaps/>
          <w:color w:val="000000"/>
        </w:rPr>
      </w:pPr>
    </w:p>
    <w:p w:rsidR="00330E69" w:rsidRPr="00446BB8" w:rsidRDefault="00220705" w:rsidP="00330E69">
      <w:pPr>
        <w:spacing w:after="0"/>
        <w:rPr>
          <w:b/>
          <w:smallCaps/>
          <w:color w:val="000000"/>
          <w:szCs w:val="24"/>
        </w:rPr>
      </w:pPr>
      <w:r>
        <w:rPr>
          <w:color w:val="000000"/>
          <w:szCs w:val="24"/>
        </w:rPr>
        <w:t>L’accord devrait préconiser une coopération aussi large que possible dont aucun domaine d’activité ne devrait, en principe, être exclu</w:t>
      </w:r>
      <w:r w:rsidR="00330E69" w:rsidRPr="00446BB8">
        <w:rPr>
          <w:color w:val="000000"/>
          <w:szCs w:val="24"/>
        </w:rPr>
        <w:t xml:space="preserve">. </w:t>
      </w:r>
      <w:r>
        <w:rPr>
          <w:color w:val="000000"/>
          <w:szCs w:val="24"/>
        </w:rPr>
        <w:t xml:space="preserve">Il devrait </w:t>
      </w:r>
      <w:r w:rsidR="00183186">
        <w:rPr>
          <w:color w:val="000000"/>
          <w:szCs w:val="24"/>
        </w:rPr>
        <w:t>tirer parti de</w:t>
      </w:r>
      <w:r>
        <w:rPr>
          <w:color w:val="000000"/>
          <w:szCs w:val="24"/>
        </w:rPr>
        <w:t xml:space="preserve"> l’expérience acquise </w:t>
      </w:r>
      <w:r w:rsidR="00183186">
        <w:rPr>
          <w:color w:val="000000"/>
          <w:szCs w:val="24"/>
        </w:rPr>
        <w:t>dans le cadre de la coopération existante et viser à garantir une coopération internationale efficace dans la mise en œuvre du programme de développement durable à l’horizon </w:t>
      </w:r>
      <w:r w:rsidR="009538F2" w:rsidRPr="00446BB8">
        <w:rPr>
          <w:color w:val="000000"/>
          <w:szCs w:val="24"/>
        </w:rPr>
        <w:t>2030</w:t>
      </w:r>
      <w:r w:rsidR="00CA4772" w:rsidRPr="00446BB8">
        <w:rPr>
          <w:color w:val="000000"/>
          <w:szCs w:val="24"/>
        </w:rPr>
        <w:t xml:space="preserve"> </w:t>
      </w:r>
      <w:r w:rsidR="00183186">
        <w:rPr>
          <w:color w:val="000000"/>
          <w:szCs w:val="24"/>
        </w:rPr>
        <w:t>ainsi que la réalisation des objectifs de développement durable</w:t>
      </w:r>
      <w:r w:rsidR="00330E69" w:rsidRPr="00446BB8">
        <w:rPr>
          <w:color w:val="000000"/>
          <w:szCs w:val="24"/>
        </w:rPr>
        <w:t xml:space="preserve">. </w:t>
      </w:r>
    </w:p>
    <w:p w:rsidR="00330E69" w:rsidRPr="00446BB8" w:rsidRDefault="00330E69" w:rsidP="00330E69">
      <w:pPr>
        <w:spacing w:after="0"/>
        <w:rPr>
          <w:color w:val="000000"/>
          <w:szCs w:val="24"/>
        </w:rPr>
      </w:pPr>
    </w:p>
    <w:p w:rsidR="00330E69" w:rsidRPr="00446BB8" w:rsidRDefault="003B62F8" w:rsidP="00330E69">
      <w:pPr>
        <w:spacing w:after="0"/>
        <w:rPr>
          <w:color w:val="000000"/>
          <w:szCs w:val="24"/>
        </w:rPr>
      </w:pPr>
      <w:r>
        <w:rPr>
          <w:color w:val="000000"/>
          <w:szCs w:val="24"/>
        </w:rPr>
        <w:t xml:space="preserve">L’accord devrait </w:t>
      </w:r>
      <w:r w:rsidR="005212E5">
        <w:rPr>
          <w:color w:val="000000"/>
          <w:szCs w:val="24"/>
        </w:rPr>
        <w:t xml:space="preserve">comporter un </w:t>
      </w:r>
      <w:r>
        <w:rPr>
          <w:color w:val="000000"/>
          <w:szCs w:val="24"/>
        </w:rPr>
        <w:t xml:space="preserve">engagement des deux </w:t>
      </w:r>
      <w:r w:rsidR="00330E69" w:rsidRPr="00446BB8">
        <w:rPr>
          <w:color w:val="000000"/>
          <w:szCs w:val="24"/>
        </w:rPr>
        <w:t xml:space="preserve">parties </w:t>
      </w:r>
      <w:r>
        <w:rPr>
          <w:color w:val="000000"/>
          <w:szCs w:val="24"/>
        </w:rPr>
        <w:t xml:space="preserve">d’approfondir leur </w:t>
      </w:r>
      <w:r w:rsidR="00330E69" w:rsidRPr="00446BB8">
        <w:rPr>
          <w:color w:val="000000"/>
          <w:szCs w:val="24"/>
        </w:rPr>
        <w:t>coop</w:t>
      </w:r>
      <w:r>
        <w:rPr>
          <w:color w:val="000000"/>
          <w:szCs w:val="24"/>
        </w:rPr>
        <w:t>é</w:t>
      </w:r>
      <w:r w:rsidR="00330E69" w:rsidRPr="00446BB8">
        <w:rPr>
          <w:color w:val="000000"/>
          <w:szCs w:val="24"/>
        </w:rPr>
        <w:t xml:space="preserve">ration </w:t>
      </w:r>
      <w:r>
        <w:rPr>
          <w:color w:val="000000"/>
          <w:szCs w:val="24"/>
        </w:rPr>
        <w:t>au moyen d’échanges de connaissances et de bonnes pratiques dans les domaines d’intérêt commun</w:t>
      </w:r>
      <w:r w:rsidR="00330E69" w:rsidRPr="00446BB8">
        <w:rPr>
          <w:color w:val="000000"/>
          <w:szCs w:val="24"/>
        </w:rPr>
        <w:t xml:space="preserve">, </w:t>
      </w:r>
      <w:r>
        <w:rPr>
          <w:color w:val="000000"/>
          <w:szCs w:val="24"/>
        </w:rPr>
        <w:t>compte tenu aussi du fait que le Chili est un pays à revenu élevé et un membre de l’OCDE</w:t>
      </w:r>
      <w:r w:rsidR="00330E69" w:rsidRPr="00446BB8">
        <w:rPr>
          <w:color w:val="000000"/>
          <w:szCs w:val="24"/>
        </w:rPr>
        <w:t xml:space="preserve">. </w:t>
      </w:r>
      <w:r>
        <w:rPr>
          <w:color w:val="000000"/>
          <w:szCs w:val="24"/>
        </w:rPr>
        <w:t>Il devrait affirmer l’</w:t>
      </w:r>
      <w:r w:rsidR="00330E69" w:rsidRPr="00446BB8">
        <w:rPr>
          <w:color w:val="000000"/>
          <w:szCs w:val="24"/>
        </w:rPr>
        <w:t xml:space="preserve">importance </w:t>
      </w:r>
      <w:r>
        <w:rPr>
          <w:color w:val="000000"/>
          <w:szCs w:val="24"/>
        </w:rPr>
        <w:t>de renforcer les activités de coopération sectorielle</w:t>
      </w:r>
      <w:r w:rsidR="00330E69" w:rsidRPr="00446BB8">
        <w:rPr>
          <w:color w:val="000000"/>
          <w:szCs w:val="24"/>
        </w:rPr>
        <w:t xml:space="preserve">, </w:t>
      </w:r>
      <w:r>
        <w:rPr>
          <w:color w:val="000000"/>
          <w:szCs w:val="24"/>
        </w:rPr>
        <w:t xml:space="preserve">lesquelles devraient notamment viser à élaborer des propositions et des mesures concrètes ainsi que des objectifs </w:t>
      </w:r>
      <w:r w:rsidR="00330E69" w:rsidRPr="00446BB8">
        <w:rPr>
          <w:color w:val="000000"/>
          <w:szCs w:val="24"/>
        </w:rPr>
        <w:t>strat</w:t>
      </w:r>
      <w:r>
        <w:rPr>
          <w:color w:val="000000"/>
          <w:szCs w:val="24"/>
        </w:rPr>
        <w:t>é</w:t>
      </w:r>
      <w:r w:rsidR="00330E69" w:rsidRPr="00446BB8">
        <w:rPr>
          <w:color w:val="000000"/>
          <w:szCs w:val="24"/>
        </w:rPr>
        <w:t>gi</w:t>
      </w:r>
      <w:r>
        <w:rPr>
          <w:color w:val="000000"/>
          <w:szCs w:val="24"/>
        </w:rPr>
        <w:t>qu</w:t>
      </w:r>
      <w:r w:rsidR="00330E69" w:rsidRPr="00446BB8">
        <w:rPr>
          <w:color w:val="000000"/>
          <w:szCs w:val="24"/>
        </w:rPr>
        <w:t xml:space="preserve">es </w:t>
      </w:r>
      <w:r>
        <w:rPr>
          <w:color w:val="000000"/>
          <w:szCs w:val="24"/>
        </w:rPr>
        <w:t xml:space="preserve">et à encourager une </w:t>
      </w:r>
      <w:r w:rsidR="00330E69" w:rsidRPr="00446BB8">
        <w:rPr>
          <w:color w:val="000000"/>
          <w:szCs w:val="24"/>
        </w:rPr>
        <w:t>culture</w:t>
      </w:r>
      <w:r>
        <w:rPr>
          <w:color w:val="000000"/>
          <w:szCs w:val="24"/>
        </w:rPr>
        <w:t xml:space="preserve"> dynamique de </w:t>
      </w:r>
      <w:r w:rsidR="00330E69" w:rsidRPr="00446BB8">
        <w:rPr>
          <w:color w:val="000000"/>
          <w:szCs w:val="24"/>
        </w:rPr>
        <w:t xml:space="preserve">consultation </w:t>
      </w:r>
      <w:r>
        <w:rPr>
          <w:color w:val="000000"/>
          <w:szCs w:val="24"/>
        </w:rPr>
        <w:t>et de</w:t>
      </w:r>
      <w:r w:rsidR="00330E69" w:rsidRPr="00446BB8">
        <w:rPr>
          <w:color w:val="000000"/>
          <w:szCs w:val="24"/>
        </w:rPr>
        <w:t xml:space="preserve"> coordination.</w:t>
      </w:r>
    </w:p>
    <w:p w:rsidR="00330E69" w:rsidRPr="00446BB8" w:rsidRDefault="00330E69" w:rsidP="00330E69">
      <w:pPr>
        <w:spacing w:after="0"/>
        <w:rPr>
          <w:color w:val="000000"/>
          <w:szCs w:val="24"/>
        </w:rPr>
      </w:pPr>
    </w:p>
    <w:p w:rsidR="00330E69" w:rsidRPr="00446BB8" w:rsidRDefault="005E5BEE" w:rsidP="00330E69">
      <w:pPr>
        <w:spacing w:after="0"/>
        <w:rPr>
          <w:color w:val="000000"/>
          <w:szCs w:val="24"/>
        </w:rPr>
      </w:pPr>
      <w:r>
        <w:rPr>
          <w:color w:val="000000"/>
          <w:szCs w:val="24"/>
        </w:rPr>
        <w:t xml:space="preserve">L’accord devrait permettre aux </w:t>
      </w:r>
      <w:r w:rsidR="00330E69" w:rsidRPr="00446BB8">
        <w:rPr>
          <w:color w:val="000000"/>
          <w:szCs w:val="24"/>
        </w:rPr>
        <w:t xml:space="preserve">parties </w:t>
      </w:r>
      <w:r>
        <w:rPr>
          <w:color w:val="000000"/>
          <w:szCs w:val="24"/>
        </w:rPr>
        <w:t xml:space="preserve">de </w:t>
      </w:r>
      <w:r w:rsidR="00FB76E3">
        <w:rPr>
          <w:color w:val="000000"/>
          <w:szCs w:val="24"/>
        </w:rPr>
        <w:t>définir</w:t>
      </w:r>
      <w:r>
        <w:rPr>
          <w:color w:val="000000"/>
          <w:szCs w:val="24"/>
        </w:rPr>
        <w:t xml:space="preserve"> les moyens de </w:t>
      </w:r>
      <w:r w:rsidR="00330E69" w:rsidRPr="00446BB8">
        <w:rPr>
          <w:color w:val="000000"/>
          <w:szCs w:val="24"/>
        </w:rPr>
        <w:t>d</w:t>
      </w:r>
      <w:r>
        <w:rPr>
          <w:color w:val="000000"/>
          <w:szCs w:val="24"/>
        </w:rPr>
        <w:t>é</w:t>
      </w:r>
      <w:r w:rsidR="00330E69" w:rsidRPr="00446BB8">
        <w:rPr>
          <w:color w:val="000000"/>
          <w:szCs w:val="24"/>
        </w:rPr>
        <w:t>velop</w:t>
      </w:r>
      <w:r>
        <w:rPr>
          <w:color w:val="000000"/>
          <w:szCs w:val="24"/>
        </w:rPr>
        <w:t xml:space="preserve">per et d’appliquer des méthodes de travail </w:t>
      </w:r>
      <w:r w:rsidR="00330E69" w:rsidRPr="00446BB8">
        <w:rPr>
          <w:color w:val="000000"/>
          <w:szCs w:val="24"/>
        </w:rPr>
        <w:t>modern</w:t>
      </w:r>
      <w:r>
        <w:rPr>
          <w:color w:val="000000"/>
          <w:szCs w:val="24"/>
        </w:rPr>
        <w:t>es</w:t>
      </w:r>
      <w:r w:rsidR="00330E69" w:rsidRPr="00446BB8">
        <w:rPr>
          <w:color w:val="000000"/>
          <w:szCs w:val="24"/>
        </w:rPr>
        <w:t>, effi</w:t>
      </w:r>
      <w:r>
        <w:rPr>
          <w:color w:val="000000"/>
          <w:szCs w:val="24"/>
        </w:rPr>
        <w:t>caces</w:t>
      </w:r>
      <w:r w:rsidR="00330E69" w:rsidRPr="00446BB8">
        <w:rPr>
          <w:color w:val="000000"/>
          <w:szCs w:val="24"/>
        </w:rPr>
        <w:t xml:space="preserve"> </w:t>
      </w:r>
      <w:r>
        <w:rPr>
          <w:color w:val="000000"/>
          <w:szCs w:val="24"/>
        </w:rPr>
        <w:t>et</w:t>
      </w:r>
      <w:r w:rsidR="00330E69" w:rsidRPr="00446BB8">
        <w:rPr>
          <w:color w:val="000000"/>
          <w:szCs w:val="24"/>
        </w:rPr>
        <w:t xml:space="preserve"> dynami</w:t>
      </w:r>
      <w:r>
        <w:rPr>
          <w:color w:val="000000"/>
          <w:szCs w:val="24"/>
        </w:rPr>
        <w:t>ques</w:t>
      </w:r>
      <w:r w:rsidR="00330E69" w:rsidRPr="00446BB8">
        <w:rPr>
          <w:color w:val="000000"/>
          <w:szCs w:val="24"/>
        </w:rPr>
        <w:t xml:space="preserve"> </w:t>
      </w:r>
      <w:r>
        <w:rPr>
          <w:color w:val="000000"/>
          <w:szCs w:val="24"/>
        </w:rPr>
        <w:t>et permettre une évaluation con</w:t>
      </w:r>
      <w:r w:rsidR="00330E69" w:rsidRPr="00446BB8">
        <w:rPr>
          <w:color w:val="000000"/>
          <w:szCs w:val="24"/>
        </w:rPr>
        <w:t>joint</w:t>
      </w:r>
      <w:r>
        <w:rPr>
          <w:color w:val="000000"/>
          <w:szCs w:val="24"/>
        </w:rPr>
        <w:t>e</w:t>
      </w:r>
      <w:r w:rsidR="00330E69" w:rsidRPr="00446BB8">
        <w:rPr>
          <w:color w:val="000000"/>
          <w:szCs w:val="24"/>
        </w:rPr>
        <w:t xml:space="preserve"> </w:t>
      </w:r>
      <w:r>
        <w:rPr>
          <w:color w:val="000000"/>
          <w:szCs w:val="24"/>
        </w:rPr>
        <w:t>des résultats</w:t>
      </w:r>
      <w:r w:rsidR="00330E69" w:rsidRPr="00446BB8">
        <w:rPr>
          <w:color w:val="000000"/>
          <w:szCs w:val="24"/>
        </w:rPr>
        <w:t xml:space="preserve">, </w:t>
      </w:r>
      <w:r>
        <w:rPr>
          <w:color w:val="000000"/>
          <w:szCs w:val="24"/>
        </w:rPr>
        <w:t>sur la base d</w:t>
      </w:r>
      <w:r w:rsidR="00FB76E3">
        <w:rPr>
          <w:color w:val="000000"/>
          <w:szCs w:val="24"/>
        </w:rPr>
        <w:t>’</w:t>
      </w:r>
      <w:r w:rsidR="00330E69" w:rsidRPr="00446BB8">
        <w:rPr>
          <w:color w:val="000000"/>
          <w:szCs w:val="24"/>
        </w:rPr>
        <w:t>objecti</w:t>
      </w:r>
      <w:r>
        <w:rPr>
          <w:color w:val="000000"/>
          <w:szCs w:val="24"/>
        </w:rPr>
        <w:t>f</w:t>
      </w:r>
      <w:r w:rsidR="00330E69" w:rsidRPr="00446BB8">
        <w:rPr>
          <w:color w:val="000000"/>
          <w:szCs w:val="24"/>
        </w:rPr>
        <w:t>s</w:t>
      </w:r>
      <w:r>
        <w:rPr>
          <w:color w:val="000000"/>
          <w:szCs w:val="24"/>
        </w:rPr>
        <w:t xml:space="preserve"> stratégiques</w:t>
      </w:r>
      <w:r w:rsidR="00330E69" w:rsidRPr="00446BB8">
        <w:rPr>
          <w:color w:val="000000"/>
          <w:szCs w:val="24"/>
        </w:rPr>
        <w:t xml:space="preserve">. </w:t>
      </w:r>
      <w:r>
        <w:rPr>
          <w:color w:val="000000"/>
          <w:szCs w:val="24"/>
        </w:rPr>
        <w:t xml:space="preserve">Il devrait encourager la </w:t>
      </w:r>
      <w:r w:rsidR="00330E69" w:rsidRPr="00446BB8">
        <w:rPr>
          <w:color w:val="000000"/>
          <w:szCs w:val="24"/>
        </w:rPr>
        <w:t>cr</w:t>
      </w:r>
      <w:r>
        <w:rPr>
          <w:color w:val="000000"/>
          <w:szCs w:val="24"/>
        </w:rPr>
        <w:t>é</w:t>
      </w:r>
      <w:r w:rsidR="00330E69" w:rsidRPr="00446BB8">
        <w:rPr>
          <w:color w:val="000000"/>
          <w:szCs w:val="24"/>
        </w:rPr>
        <w:t xml:space="preserve">ation </w:t>
      </w:r>
      <w:r>
        <w:rPr>
          <w:color w:val="000000"/>
          <w:szCs w:val="24"/>
        </w:rPr>
        <w:t xml:space="preserve">de réseaux de </w:t>
      </w:r>
      <w:r w:rsidR="00330E69" w:rsidRPr="00446BB8">
        <w:rPr>
          <w:color w:val="000000"/>
          <w:szCs w:val="24"/>
        </w:rPr>
        <w:t xml:space="preserve">contacts </w:t>
      </w:r>
      <w:r>
        <w:rPr>
          <w:color w:val="000000"/>
          <w:szCs w:val="24"/>
        </w:rPr>
        <w:t xml:space="preserve">et renforcer les capacités nécessaires </w:t>
      </w:r>
      <w:r w:rsidR="002D0077">
        <w:rPr>
          <w:color w:val="000000"/>
          <w:szCs w:val="24"/>
        </w:rPr>
        <w:t>en matière de planification, de mise en œuvre, de quantification, d’évaluation, et de diffusion des résultats que la relation a permis d’atteindre</w:t>
      </w:r>
      <w:r w:rsidR="00330E69" w:rsidRPr="00446BB8">
        <w:rPr>
          <w:color w:val="000000"/>
          <w:szCs w:val="24"/>
        </w:rPr>
        <w:t>.</w:t>
      </w:r>
    </w:p>
    <w:p w:rsidR="00330E69" w:rsidRPr="00446BB8" w:rsidRDefault="00330E69" w:rsidP="00330E69">
      <w:pPr>
        <w:spacing w:after="0"/>
        <w:rPr>
          <w:color w:val="000000"/>
          <w:szCs w:val="24"/>
        </w:rPr>
      </w:pPr>
    </w:p>
    <w:p w:rsidR="00945F9A" w:rsidRPr="00446BB8" w:rsidRDefault="002D0077" w:rsidP="00945F9A">
      <w:pPr>
        <w:spacing w:after="0"/>
        <w:rPr>
          <w:b/>
          <w:color w:val="000000"/>
          <w:szCs w:val="24"/>
        </w:rPr>
      </w:pPr>
      <w:r>
        <w:rPr>
          <w:b/>
          <w:color w:val="000000"/>
          <w:szCs w:val="24"/>
          <w:u w:val="single"/>
        </w:rPr>
        <w:t>Domaines de coopération</w:t>
      </w:r>
      <w:r w:rsidR="00330E69" w:rsidRPr="00446BB8">
        <w:rPr>
          <w:b/>
          <w:color w:val="000000"/>
          <w:szCs w:val="24"/>
        </w:rPr>
        <w:t>:</w:t>
      </w:r>
    </w:p>
    <w:p w:rsidR="00330E69" w:rsidRPr="00446BB8" w:rsidRDefault="00311882" w:rsidP="002D3E50">
      <w:pPr>
        <w:pStyle w:val="Bullet0"/>
      </w:pPr>
      <w:r>
        <w:t>Politique étrangère et de sécurité commune</w:t>
      </w:r>
      <w:r w:rsidR="00330E69" w:rsidRPr="00446BB8">
        <w:t xml:space="preserve"> </w:t>
      </w:r>
    </w:p>
    <w:p w:rsidR="00330E69" w:rsidRPr="00446BB8" w:rsidRDefault="00330E69" w:rsidP="002D3E50">
      <w:pPr>
        <w:pStyle w:val="Bullet0"/>
      </w:pPr>
      <w:r w:rsidRPr="00446BB8">
        <w:t>D</w:t>
      </w:r>
      <w:r w:rsidR="00311882">
        <w:t>é</w:t>
      </w:r>
      <w:r w:rsidRPr="00446BB8">
        <w:t>sarm</w:t>
      </w:r>
      <w:r w:rsidR="00311882">
        <w:t>e</w:t>
      </w:r>
      <w:r w:rsidRPr="00446BB8">
        <w:t xml:space="preserve">ment </w:t>
      </w:r>
      <w:r w:rsidR="00311882">
        <w:t>et</w:t>
      </w:r>
      <w:r w:rsidRPr="00446BB8">
        <w:t xml:space="preserve"> non-prolif</w:t>
      </w:r>
      <w:r w:rsidR="00311882">
        <w:t>é</w:t>
      </w:r>
      <w:r w:rsidRPr="00446BB8">
        <w:t>ration</w:t>
      </w:r>
    </w:p>
    <w:p w:rsidR="00330E69" w:rsidRPr="00446BB8" w:rsidRDefault="00311882" w:rsidP="002D3E50">
      <w:pPr>
        <w:pStyle w:val="Bullet0"/>
      </w:pPr>
      <w:r>
        <w:t>Droit de l’homme</w:t>
      </w:r>
      <w:r w:rsidR="003B3E3B" w:rsidRPr="00446BB8">
        <w:t xml:space="preserve">, </w:t>
      </w:r>
      <w:r>
        <w:t>primauté du droit et bonne gouvernance</w:t>
      </w:r>
    </w:p>
    <w:p w:rsidR="00330E69" w:rsidRPr="00446BB8" w:rsidRDefault="00311882" w:rsidP="002D3E50">
      <w:pPr>
        <w:pStyle w:val="Bullet0"/>
      </w:pPr>
      <w:r>
        <w:t xml:space="preserve">Égalité </w:t>
      </w:r>
      <w:r w:rsidR="003D3E28">
        <w:t>entre les</w:t>
      </w:r>
      <w:r w:rsidR="006416A2">
        <w:t xml:space="preserve"> hommes</w:t>
      </w:r>
      <w:r w:rsidR="003D3E28">
        <w:t xml:space="preserve"> et les </w:t>
      </w:r>
      <w:r w:rsidR="006416A2">
        <w:t>femmes</w:t>
      </w:r>
    </w:p>
    <w:p w:rsidR="00330E69" w:rsidRPr="00446BB8" w:rsidRDefault="00311882" w:rsidP="002D3E50">
      <w:pPr>
        <w:pStyle w:val="Bullet0"/>
      </w:pPr>
      <w:r>
        <w:t>Sécurité i</w:t>
      </w:r>
      <w:r w:rsidR="00330E69" w:rsidRPr="00446BB8">
        <w:t>nternational</w:t>
      </w:r>
      <w:r>
        <w:t>e</w:t>
      </w:r>
      <w:r w:rsidR="00330E69" w:rsidRPr="00446BB8">
        <w:t xml:space="preserve"> </w:t>
      </w:r>
      <w:r>
        <w:t>et</w:t>
      </w:r>
      <w:r w:rsidR="00330E69" w:rsidRPr="00446BB8">
        <w:t xml:space="preserve"> cyber</w:t>
      </w:r>
      <w:r w:rsidR="006729B0">
        <w:t>e</w:t>
      </w:r>
      <w:r w:rsidR="00330E69" w:rsidRPr="00446BB8">
        <w:t>space</w:t>
      </w:r>
    </w:p>
    <w:p w:rsidR="00330E69" w:rsidRPr="00446BB8" w:rsidRDefault="00311882" w:rsidP="002D3E50">
      <w:pPr>
        <w:pStyle w:val="Bullet0"/>
      </w:pPr>
      <w:r>
        <w:t xml:space="preserve">Lutte contre le </w:t>
      </w:r>
      <w:r w:rsidR="00330E69" w:rsidRPr="00446BB8">
        <w:t>terrorism</w:t>
      </w:r>
      <w:r>
        <w:t>e</w:t>
      </w:r>
    </w:p>
    <w:p w:rsidR="00330E69" w:rsidRPr="00446BB8" w:rsidRDefault="00311882" w:rsidP="002D3E50">
      <w:pPr>
        <w:pStyle w:val="Bullet0"/>
      </w:pPr>
      <w:r>
        <w:lastRenderedPageBreak/>
        <w:t>Coopération judiciai</w:t>
      </w:r>
      <w:r w:rsidR="000F1043">
        <w:t>r</w:t>
      </w:r>
      <w:r>
        <w:t>e</w:t>
      </w:r>
    </w:p>
    <w:p w:rsidR="005652D3" w:rsidRPr="00446BB8" w:rsidRDefault="00311882" w:rsidP="002D3E50">
      <w:pPr>
        <w:pStyle w:val="Bullet0"/>
      </w:pPr>
      <w:r>
        <w:t>Lutte contre le trafic illicite de stupéfiants</w:t>
      </w:r>
      <w:r w:rsidR="00E10F1E" w:rsidRPr="00446BB8">
        <w:t>,</w:t>
      </w:r>
      <w:r w:rsidR="00330E69" w:rsidRPr="00446BB8">
        <w:t xml:space="preserve"> </w:t>
      </w:r>
      <w:r>
        <w:t xml:space="preserve">la criminalité </w:t>
      </w:r>
      <w:r w:rsidR="00330E69" w:rsidRPr="00446BB8">
        <w:t>organi</w:t>
      </w:r>
      <w:r>
        <w:t>sé</w:t>
      </w:r>
      <w:r w:rsidR="00330E69" w:rsidRPr="00446BB8">
        <w:t xml:space="preserve">e </w:t>
      </w:r>
      <w:r>
        <w:t>et la</w:t>
      </w:r>
      <w:r w:rsidR="00E10F1E" w:rsidRPr="00446BB8">
        <w:t xml:space="preserve"> corruption</w:t>
      </w:r>
    </w:p>
    <w:p w:rsidR="00330E69" w:rsidRPr="00446BB8" w:rsidRDefault="00311882" w:rsidP="002D3E50">
      <w:pPr>
        <w:pStyle w:val="Bullet0"/>
      </w:pPr>
      <w:r>
        <w:t>Migrations i</w:t>
      </w:r>
      <w:r w:rsidR="00330E69" w:rsidRPr="00446BB8">
        <w:t>nternational</w:t>
      </w:r>
      <w:r>
        <w:t>es</w:t>
      </w:r>
      <w:r w:rsidR="00330E69" w:rsidRPr="00446BB8">
        <w:t xml:space="preserve"> </w:t>
      </w:r>
    </w:p>
    <w:p w:rsidR="00330E69" w:rsidRPr="00446BB8" w:rsidRDefault="00311882" w:rsidP="002D3E50">
      <w:pPr>
        <w:pStyle w:val="Bullet0"/>
      </w:pPr>
      <w:r>
        <w:t>P</w:t>
      </w:r>
      <w:r w:rsidR="00330E69" w:rsidRPr="00446BB8">
        <w:t>rotection</w:t>
      </w:r>
      <w:r>
        <w:t xml:space="preserve"> consulaire</w:t>
      </w:r>
    </w:p>
    <w:p w:rsidR="00330E69" w:rsidRPr="00446BB8" w:rsidRDefault="00773A31" w:rsidP="002D3E50">
      <w:pPr>
        <w:pStyle w:val="Bullet0"/>
      </w:pPr>
      <w:r>
        <w:t>Sécurité des citoyens</w:t>
      </w:r>
    </w:p>
    <w:p w:rsidR="00330E69" w:rsidRPr="00446BB8" w:rsidRDefault="00330E69" w:rsidP="002D3E50">
      <w:pPr>
        <w:pStyle w:val="Bullet0"/>
      </w:pPr>
      <w:r w:rsidRPr="00446BB8">
        <w:t>Coop</w:t>
      </w:r>
      <w:r w:rsidR="00773A31">
        <w:t>é</w:t>
      </w:r>
      <w:r w:rsidRPr="00446BB8">
        <w:t xml:space="preserve">ration </w:t>
      </w:r>
      <w:r w:rsidR="00773A31">
        <w:t>e</w:t>
      </w:r>
      <w:r w:rsidRPr="00446BB8">
        <w:t xml:space="preserve">n </w:t>
      </w:r>
      <w:r w:rsidR="00773A31">
        <w:t>matière de gestion internationale des crises</w:t>
      </w:r>
    </w:p>
    <w:p w:rsidR="00330E69" w:rsidRPr="00446BB8" w:rsidRDefault="00330E69" w:rsidP="002D3E50">
      <w:pPr>
        <w:pStyle w:val="Bullet0"/>
      </w:pPr>
      <w:r w:rsidRPr="00446BB8">
        <w:t>Entr</w:t>
      </w:r>
      <w:r w:rsidR="00773A31">
        <w:t>e</w:t>
      </w:r>
      <w:r w:rsidRPr="00446BB8">
        <w:t>prise</w:t>
      </w:r>
      <w:r w:rsidR="00773A31">
        <w:t>s</w:t>
      </w:r>
      <w:r w:rsidRPr="00446BB8">
        <w:t xml:space="preserve"> </w:t>
      </w:r>
      <w:r w:rsidR="00773A31">
        <w:t>et</w:t>
      </w:r>
      <w:r w:rsidRPr="00446BB8">
        <w:t xml:space="preserve"> </w:t>
      </w:r>
      <w:r w:rsidR="00B35B55" w:rsidRPr="00446BB8">
        <w:t>i</w:t>
      </w:r>
      <w:r w:rsidRPr="00446BB8">
        <w:t>ndustr</w:t>
      </w:r>
      <w:r w:rsidR="00773A31">
        <w:t>ies</w:t>
      </w:r>
    </w:p>
    <w:p w:rsidR="00330E69" w:rsidRPr="00446BB8" w:rsidRDefault="00773A31" w:rsidP="002D3E50">
      <w:pPr>
        <w:pStyle w:val="Bullet0"/>
      </w:pPr>
      <w:r>
        <w:t>Matières premières</w:t>
      </w:r>
    </w:p>
    <w:p w:rsidR="00330E69" w:rsidRPr="00446BB8" w:rsidRDefault="00773A31" w:rsidP="002D3E50">
      <w:pPr>
        <w:pStyle w:val="Bullet0"/>
      </w:pPr>
      <w:r>
        <w:t xml:space="preserve">Responsabilité </w:t>
      </w:r>
      <w:r w:rsidR="00B35B55" w:rsidRPr="00446BB8">
        <w:t>s</w:t>
      </w:r>
      <w:r w:rsidR="00330E69" w:rsidRPr="00446BB8">
        <w:t>ocial</w:t>
      </w:r>
      <w:r>
        <w:t>e des entreprises</w:t>
      </w:r>
    </w:p>
    <w:p w:rsidR="00330E69" w:rsidRPr="00446BB8" w:rsidRDefault="00330E69" w:rsidP="002D3E50">
      <w:pPr>
        <w:pStyle w:val="Bullet0"/>
      </w:pPr>
      <w:r w:rsidRPr="00446BB8">
        <w:t>Emplo</w:t>
      </w:r>
      <w:r w:rsidR="00773A31">
        <w:t>i et questions sociales</w:t>
      </w:r>
    </w:p>
    <w:p w:rsidR="00330E69" w:rsidRPr="00446BB8" w:rsidRDefault="00773A31" w:rsidP="002D3E50">
      <w:pPr>
        <w:pStyle w:val="Bullet0"/>
      </w:pPr>
      <w:r>
        <w:t>Coopération ré</w:t>
      </w:r>
      <w:r w:rsidR="00330E69" w:rsidRPr="00446BB8">
        <w:t>gional</w:t>
      </w:r>
      <w:r>
        <w:t>e</w:t>
      </w:r>
    </w:p>
    <w:p w:rsidR="00330E69" w:rsidRPr="00446BB8" w:rsidRDefault="00773A31" w:rsidP="002D3E50">
      <w:pPr>
        <w:pStyle w:val="Bullet0"/>
      </w:pPr>
      <w:r>
        <w:t>Jeunesse</w:t>
      </w:r>
    </w:p>
    <w:p w:rsidR="00330E69" w:rsidRPr="00446BB8" w:rsidRDefault="00330E69" w:rsidP="002D3E50">
      <w:pPr>
        <w:pStyle w:val="Bullet0"/>
      </w:pPr>
      <w:r w:rsidRPr="00446BB8">
        <w:t>Culture</w:t>
      </w:r>
    </w:p>
    <w:p w:rsidR="00330E69" w:rsidRPr="00446BB8" w:rsidRDefault="00773A31" w:rsidP="002D3E50">
      <w:pPr>
        <w:pStyle w:val="Bullet0"/>
      </w:pPr>
      <w:r>
        <w:t>Énergie durable</w:t>
      </w:r>
    </w:p>
    <w:p w:rsidR="00330E69" w:rsidRPr="00446BB8" w:rsidRDefault="00330E69" w:rsidP="002D3E50">
      <w:pPr>
        <w:pStyle w:val="Bullet0"/>
      </w:pPr>
      <w:r w:rsidRPr="00446BB8">
        <w:t>Environ</w:t>
      </w:r>
      <w:r w:rsidR="00773A31">
        <w:t>ne</w:t>
      </w:r>
      <w:r w:rsidRPr="00446BB8">
        <w:t>ment</w:t>
      </w:r>
    </w:p>
    <w:p w:rsidR="00330E69" w:rsidRPr="00446BB8" w:rsidRDefault="00773A31" w:rsidP="002D3E50">
      <w:pPr>
        <w:pStyle w:val="Bullet0"/>
      </w:pPr>
      <w:r>
        <w:t>Changement climatique</w:t>
      </w:r>
    </w:p>
    <w:p w:rsidR="00330E69" w:rsidRPr="00446BB8" w:rsidRDefault="00773A31" w:rsidP="002D3E50">
      <w:pPr>
        <w:pStyle w:val="Bullet0"/>
      </w:pPr>
      <w:r>
        <w:t>Économie c</w:t>
      </w:r>
      <w:r w:rsidR="00330E69" w:rsidRPr="00446BB8">
        <w:t>ircula</w:t>
      </w:r>
      <w:r>
        <w:t>i</w:t>
      </w:r>
      <w:r w:rsidR="00330E69" w:rsidRPr="00446BB8">
        <w:t>r</w:t>
      </w:r>
      <w:r>
        <w:t>e</w:t>
      </w:r>
    </w:p>
    <w:p w:rsidR="00330E69" w:rsidRPr="00446BB8" w:rsidRDefault="00773A31" w:rsidP="002D3E50">
      <w:pPr>
        <w:pStyle w:val="Bullet0"/>
      </w:pPr>
      <w:r>
        <w:t>Pêche</w:t>
      </w:r>
    </w:p>
    <w:p w:rsidR="00330E69" w:rsidRPr="00446BB8" w:rsidRDefault="00773A31" w:rsidP="002D3E50">
      <w:pPr>
        <w:pStyle w:val="Bullet0"/>
      </w:pPr>
      <w:r>
        <w:t>Gouvernance des océans</w:t>
      </w:r>
    </w:p>
    <w:p w:rsidR="00330E69" w:rsidRPr="00446BB8" w:rsidRDefault="00773A31" w:rsidP="002D3E50">
      <w:pPr>
        <w:pStyle w:val="Bullet0"/>
      </w:pPr>
      <w:r>
        <w:t>Préparation aux catastrophes</w:t>
      </w:r>
    </w:p>
    <w:p w:rsidR="00330E69" w:rsidRPr="00446BB8" w:rsidRDefault="00773A31" w:rsidP="002D3E50">
      <w:pPr>
        <w:pStyle w:val="Bullet0"/>
      </w:pPr>
      <w:r>
        <w:t>Coopération i</w:t>
      </w:r>
      <w:r w:rsidR="00330E69" w:rsidRPr="00446BB8">
        <w:t>nternational</w:t>
      </w:r>
      <w:r>
        <w:t>e</w:t>
      </w:r>
      <w:r w:rsidR="00330E69" w:rsidRPr="00446BB8">
        <w:t xml:space="preserve"> </w:t>
      </w:r>
      <w:r>
        <w:t>et</w:t>
      </w:r>
      <w:r w:rsidR="0047208D" w:rsidRPr="00446BB8">
        <w:t xml:space="preserve"> d</w:t>
      </w:r>
      <w:r>
        <w:t>é</w:t>
      </w:r>
      <w:r w:rsidR="0047208D" w:rsidRPr="00446BB8">
        <w:t>velop</w:t>
      </w:r>
      <w:r>
        <w:t>pe</w:t>
      </w:r>
      <w:r w:rsidR="0047208D" w:rsidRPr="00446BB8">
        <w:t>ment</w:t>
      </w:r>
    </w:p>
    <w:p w:rsidR="00330E69" w:rsidRPr="00446BB8" w:rsidRDefault="00706B4D" w:rsidP="002D3E50">
      <w:pPr>
        <w:pStyle w:val="Bullet0"/>
      </w:pPr>
      <w:r>
        <w:t>Croissance bleue</w:t>
      </w:r>
    </w:p>
    <w:p w:rsidR="00330E69" w:rsidRPr="00446BB8" w:rsidRDefault="00330E69" w:rsidP="002D3E50">
      <w:pPr>
        <w:pStyle w:val="Bullet0"/>
      </w:pPr>
      <w:r w:rsidRPr="00446BB8">
        <w:t>Rech</w:t>
      </w:r>
      <w:r w:rsidR="00706B4D">
        <w:t>erche</w:t>
      </w:r>
      <w:r w:rsidRPr="00446BB8">
        <w:t xml:space="preserve">, </w:t>
      </w:r>
      <w:r w:rsidR="00B35B55" w:rsidRPr="00446BB8">
        <w:t>s</w:t>
      </w:r>
      <w:r w:rsidRPr="00446BB8">
        <w:t xml:space="preserve">cience, </w:t>
      </w:r>
      <w:r w:rsidR="00B35B55" w:rsidRPr="00446BB8">
        <w:t>t</w:t>
      </w:r>
      <w:r w:rsidRPr="00446BB8">
        <w:t>echnolog</w:t>
      </w:r>
      <w:r w:rsidR="00706B4D">
        <w:t>ie</w:t>
      </w:r>
      <w:r w:rsidRPr="00446BB8">
        <w:t xml:space="preserve"> </w:t>
      </w:r>
      <w:r w:rsidR="00706B4D">
        <w:t>et</w:t>
      </w:r>
      <w:r w:rsidRPr="00446BB8">
        <w:t xml:space="preserve"> </w:t>
      </w:r>
      <w:r w:rsidR="00B35B55" w:rsidRPr="00446BB8">
        <w:t>i</w:t>
      </w:r>
      <w:r w:rsidRPr="00446BB8">
        <w:t>nnovation</w:t>
      </w:r>
    </w:p>
    <w:p w:rsidR="00330E69" w:rsidRPr="00446BB8" w:rsidRDefault="00706B4D" w:rsidP="002D3E50">
      <w:pPr>
        <w:pStyle w:val="Bullet0"/>
      </w:pPr>
      <w:r>
        <w:t>O</w:t>
      </w:r>
      <w:r w:rsidR="00330E69" w:rsidRPr="00446BB8">
        <w:t>bservation</w:t>
      </w:r>
      <w:r>
        <w:t xml:space="preserve"> de la Terre</w:t>
      </w:r>
    </w:p>
    <w:p w:rsidR="00330E69" w:rsidRPr="00446BB8" w:rsidRDefault="00706B4D" w:rsidP="002D3E50">
      <w:pPr>
        <w:pStyle w:val="Bullet0"/>
        <w:rPr>
          <w:strike/>
        </w:rPr>
      </w:pPr>
      <w:r>
        <w:t>Stratégies de politique numérique</w:t>
      </w:r>
    </w:p>
    <w:p w:rsidR="00330E69" w:rsidRPr="00446BB8" w:rsidRDefault="00706B4D" w:rsidP="002D3E50">
      <w:pPr>
        <w:pStyle w:val="Bullet0"/>
      </w:pPr>
      <w:r>
        <w:t>Capital humain avancé</w:t>
      </w:r>
    </w:p>
    <w:p w:rsidR="00330E69" w:rsidRPr="00446BB8" w:rsidRDefault="00706B4D" w:rsidP="002D3E50">
      <w:pPr>
        <w:pStyle w:val="Bullet0"/>
      </w:pPr>
      <w:r>
        <w:t>Éducation et enseignement supérieur</w:t>
      </w:r>
    </w:p>
    <w:p w:rsidR="00330E69" w:rsidRPr="00446BB8" w:rsidRDefault="00330E69" w:rsidP="002D3E50">
      <w:pPr>
        <w:pStyle w:val="Bullet0"/>
      </w:pPr>
      <w:r w:rsidRPr="00446BB8">
        <w:t>Tourism</w:t>
      </w:r>
      <w:r w:rsidR="00706B4D">
        <w:t>e</w:t>
      </w:r>
    </w:p>
    <w:p w:rsidR="00330E69" w:rsidRPr="00446BB8" w:rsidRDefault="00330E69" w:rsidP="002D3E50">
      <w:pPr>
        <w:pStyle w:val="Bullet0"/>
      </w:pPr>
      <w:r w:rsidRPr="00446BB8">
        <w:t xml:space="preserve">Protection </w:t>
      </w:r>
      <w:r w:rsidR="00706B4D">
        <w:t xml:space="preserve">des données </w:t>
      </w:r>
      <w:r w:rsidR="007A2193">
        <w:t>à caractère personnel</w:t>
      </w:r>
    </w:p>
    <w:p w:rsidR="00330E69" w:rsidRPr="00446BB8" w:rsidRDefault="00330E69" w:rsidP="002D3E50">
      <w:pPr>
        <w:pStyle w:val="Bullet0"/>
      </w:pPr>
      <w:r w:rsidRPr="00446BB8">
        <w:t>Statisti</w:t>
      </w:r>
      <w:r w:rsidR="00706B4D">
        <w:t>que</w:t>
      </w:r>
      <w:r w:rsidRPr="00446BB8">
        <w:t>s</w:t>
      </w:r>
    </w:p>
    <w:p w:rsidR="00330E69" w:rsidRPr="00446BB8" w:rsidRDefault="00706B4D" w:rsidP="002D3E50">
      <w:pPr>
        <w:pStyle w:val="Bullet0"/>
      </w:pPr>
      <w:r>
        <w:t>Autres domaines</w:t>
      </w:r>
      <w:r w:rsidR="00330E69" w:rsidRPr="00446BB8">
        <w:t>, s</w:t>
      </w:r>
      <w:r>
        <w:t>i nécessaire</w:t>
      </w:r>
    </w:p>
    <w:p w:rsidR="00D24A2B" w:rsidRPr="00446BB8" w:rsidRDefault="00D24A2B" w:rsidP="00D24A2B">
      <w:pPr>
        <w:spacing w:after="0"/>
        <w:rPr>
          <w:color w:val="000000"/>
          <w:szCs w:val="24"/>
        </w:rPr>
      </w:pPr>
    </w:p>
    <w:p w:rsidR="00EF2672" w:rsidRPr="00446BB8" w:rsidRDefault="00EF2672">
      <w:pPr>
        <w:spacing w:before="0" w:after="0"/>
        <w:jc w:val="left"/>
        <w:rPr>
          <w:b/>
          <w:smallCaps/>
          <w:color w:val="000000"/>
          <w:szCs w:val="24"/>
        </w:rPr>
      </w:pPr>
      <w:r w:rsidRPr="00446BB8">
        <w:rPr>
          <w:b/>
          <w:smallCaps/>
          <w:color w:val="000000"/>
          <w:szCs w:val="24"/>
        </w:rPr>
        <w:lastRenderedPageBreak/>
        <w:br w:type="page"/>
      </w:r>
    </w:p>
    <w:p w:rsidR="00D24A2B" w:rsidRPr="00446BB8" w:rsidRDefault="00D24A2B" w:rsidP="00D24A2B">
      <w:pPr>
        <w:spacing w:after="0"/>
        <w:rPr>
          <w:smallCaps/>
          <w:color w:val="000000"/>
          <w:szCs w:val="24"/>
        </w:rPr>
      </w:pPr>
      <w:r w:rsidRPr="00446BB8">
        <w:rPr>
          <w:b/>
          <w:smallCaps/>
          <w:color w:val="000000"/>
          <w:szCs w:val="24"/>
        </w:rPr>
        <w:lastRenderedPageBreak/>
        <w:t>III.</w:t>
      </w:r>
      <w:r w:rsidRPr="00446BB8">
        <w:rPr>
          <w:b/>
          <w:smallCaps/>
          <w:color w:val="000000"/>
          <w:szCs w:val="24"/>
        </w:rPr>
        <w:tab/>
      </w:r>
      <w:r w:rsidR="00706B4D">
        <w:rPr>
          <w:b/>
          <w:smallCaps/>
          <w:color w:val="000000"/>
          <w:szCs w:val="24"/>
          <w:u w:val="single"/>
        </w:rPr>
        <w:t xml:space="preserve">Commerce et </w:t>
      </w:r>
      <w:r w:rsidRPr="00446BB8">
        <w:rPr>
          <w:b/>
          <w:smallCaps/>
          <w:color w:val="000000"/>
          <w:szCs w:val="24"/>
          <w:u w:val="single"/>
        </w:rPr>
        <w:t>Invest</w:t>
      </w:r>
      <w:r w:rsidR="00706B4D">
        <w:rPr>
          <w:b/>
          <w:smallCaps/>
          <w:color w:val="000000"/>
          <w:szCs w:val="24"/>
          <w:u w:val="single"/>
        </w:rPr>
        <w:t>isse</w:t>
      </w:r>
      <w:r w:rsidRPr="00446BB8">
        <w:rPr>
          <w:b/>
          <w:smallCaps/>
          <w:color w:val="000000"/>
          <w:szCs w:val="24"/>
          <w:u w:val="single"/>
        </w:rPr>
        <w:t>ment</w:t>
      </w:r>
      <w:r w:rsidRPr="00446BB8">
        <w:rPr>
          <w:smallCaps/>
          <w:color w:val="000000"/>
          <w:szCs w:val="24"/>
        </w:rPr>
        <w:t xml:space="preserve"> </w:t>
      </w:r>
    </w:p>
    <w:p w:rsidR="00D24A2B" w:rsidRPr="00446BB8" w:rsidRDefault="00D24A2B" w:rsidP="00D24A2B">
      <w:pPr>
        <w:spacing w:after="0"/>
        <w:rPr>
          <w:color w:val="000000"/>
          <w:szCs w:val="24"/>
        </w:rPr>
      </w:pPr>
    </w:p>
    <w:p w:rsidR="00D24A2B" w:rsidRPr="00446BB8" w:rsidRDefault="001C2CFA" w:rsidP="00D24A2B">
      <w:pPr>
        <w:spacing w:after="240"/>
        <w:rPr>
          <w:b/>
          <w:smallCaps/>
          <w:color w:val="000000"/>
          <w:szCs w:val="24"/>
        </w:rPr>
      </w:pPr>
      <w:bookmarkStart w:id="1" w:name="_Toc454902651"/>
      <w:bookmarkStart w:id="2" w:name="_Toc454903993"/>
      <w:bookmarkStart w:id="3" w:name="_Toc454979200"/>
      <w:bookmarkStart w:id="4" w:name="_Toc472224229"/>
      <w:bookmarkStart w:id="5" w:name="_Toc472397264"/>
      <w:bookmarkStart w:id="6" w:name="_Toc472855904"/>
      <w:r>
        <w:rPr>
          <w:b/>
          <w:smallCaps/>
          <w:color w:val="000000"/>
          <w:szCs w:val="24"/>
        </w:rPr>
        <w:t>Nature et champ d’application</w:t>
      </w:r>
    </w:p>
    <w:p w:rsidR="00D24A2B" w:rsidRPr="00446BB8" w:rsidRDefault="001C2CFA" w:rsidP="001F750E">
      <w:pPr>
        <w:spacing w:after="0"/>
        <w:rPr>
          <w:color w:val="000000"/>
        </w:rPr>
      </w:pPr>
      <w:r>
        <w:rPr>
          <w:color w:val="000000"/>
        </w:rPr>
        <w:t xml:space="preserve">L’objectif </w:t>
      </w:r>
      <w:r w:rsidR="00467ADC">
        <w:rPr>
          <w:color w:val="000000"/>
        </w:rPr>
        <w:t>du volet d’un accord modernisé consacré</w:t>
      </w:r>
      <w:r>
        <w:rPr>
          <w:color w:val="000000"/>
        </w:rPr>
        <w:t xml:space="preserve"> au commerce et à l’investissement devrait être d’accroître le niveau d’ambition</w:t>
      </w:r>
      <w:r w:rsidR="00D24A2B" w:rsidRPr="00446BB8">
        <w:rPr>
          <w:color w:val="000000"/>
        </w:rPr>
        <w:t xml:space="preserve"> </w:t>
      </w:r>
      <w:r>
        <w:rPr>
          <w:color w:val="000000"/>
        </w:rPr>
        <w:t>dans tous les domaines de l’accord existant</w:t>
      </w:r>
      <w:r w:rsidR="00D24A2B" w:rsidRPr="00446BB8">
        <w:rPr>
          <w:color w:val="000000"/>
        </w:rPr>
        <w:t xml:space="preserve">. </w:t>
      </w:r>
      <w:r w:rsidR="00467ADC">
        <w:rPr>
          <w:color w:val="000000"/>
        </w:rPr>
        <w:t>Il</w:t>
      </w:r>
      <w:r>
        <w:rPr>
          <w:color w:val="000000"/>
        </w:rPr>
        <w:t xml:space="preserve"> devrait prévoir une poursuite de la libéralisation générale et réciproque d</w:t>
      </w:r>
      <w:r w:rsidR="008D62EA">
        <w:rPr>
          <w:color w:val="000000"/>
        </w:rPr>
        <w:t>u commerce</w:t>
      </w:r>
      <w:r>
        <w:rPr>
          <w:color w:val="000000"/>
        </w:rPr>
        <w:t xml:space="preserve"> de</w:t>
      </w:r>
      <w:r w:rsidR="008D62EA">
        <w:rPr>
          <w:color w:val="000000"/>
        </w:rPr>
        <w:t>s</w:t>
      </w:r>
      <w:r>
        <w:rPr>
          <w:color w:val="000000"/>
        </w:rPr>
        <w:t xml:space="preserve"> biens et de</w:t>
      </w:r>
      <w:r w:rsidR="008D62EA">
        <w:rPr>
          <w:color w:val="000000"/>
        </w:rPr>
        <w:t>s</w:t>
      </w:r>
      <w:r>
        <w:rPr>
          <w:color w:val="000000"/>
        </w:rPr>
        <w:t xml:space="preserve"> services</w:t>
      </w:r>
      <w:r w:rsidR="00D24A2B" w:rsidRPr="00446BB8">
        <w:rPr>
          <w:color w:val="000000"/>
        </w:rPr>
        <w:t xml:space="preserve">, </w:t>
      </w:r>
      <w:r>
        <w:rPr>
          <w:color w:val="000000"/>
        </w:rPr>
        <w:t xml:space="preserve">ainsi que la mise en place de règles détaillées sur un grand nombre </w:t>
      </w:r>
      <w:r w:rsidR="008D62EA">
        <w:rPr>
          <w:color w:val="000000"/>
        </w:rPr>
        <w:t xml:space="preserve">de questions liées aux échanges commerciaux </w:t>
      </w:r>
      <w:r w:rsidR="00273192">
        <w:rPr>
          <w:color w:val="000000"/>
        </w:rPr>
        <w:t xml:space="preserve">et </w:t>
      </w:r>
      <w:r w:rsidR="008D62EA">
        <w:rPr>
          <w:color w:val="000000"/>
        </w:rPr>
        <w:t>à l’investissement</w:t>
      </w:r>
      <w:r w:rsidR="00D24A2B" w:rsidRPr="00446BB8">
        <w:rPr>
          <w:color w:val="000000"/>
        </w:rPr>
        <w:t xml:space="preserve">, </w:t>
      </w:r>
      <w:r w:rsidR="008D62EA">
        <w:rPr>
          <w:color w:val="000000"/>
        </w:rPr>
        <w:t>comme précisé ci-dessous</w:t>
      </w:r>
      <w:r w:rsidR="00D24A2B" w:rsidRPr="00446BB8">
        <w:rPr>
          <w:color w:val="000000"/>
        </w:rPr>
        <w:t xml:space="preserve">. </w:t>
      </w:r>
      <w:r w:rsidR="008D62EA">
        <w:rPr>
          <w:color w:val="000000"/>
        </w:rPr>
        <w:t xml:space="preserve">L’accord devrait aussi prévoir la libéralisation </w:t>
      </w:r>
      <w:r w:rsidR="00D24A2B" w:rsidRPr="00446BB8">
        <w:rPr>
          <w:color w:val="000000"/>
        </w:rPr>
        <w:t xml:space="preserve">progressive </w:t>
      </w:r>
      <w:r w:rsidR="008D62EA">
        <w:rPr>
          <w:color w:val="000000"/>
        </w:rPr>
        <w:t>et</w:t>
      </w:r>
      <w:r w:rsidR="00D24A2B" w:rsidRPr="00446BB8">
        <w:rPr>
          <w:color w:val="000000"/>
        </w:rPr>
        <w:t xml:space="preserve"> r</w:t>
      </w:r>
      <w:r w:rsidR="008D62EA">
        <w:rPr>
          <w:color w:val="000000"/>
        </w:rPr>
        <w:t>é</w:t>
      </w:r>
      <w:r w:rsidR="00D24A2B" w:rsidRPr="00446BB8">
        <w:rPr>
          <w:color w:val="000000"/>
        </w:rPr>
        <w:t>cipro</w:t>
      </w:r>
      <w:r w:rsidR="008D62EA">
        <w:rPr>
          <w:color w:val="000000"/>
        </w:rPr>
        <w:t>que</w:t>
      </w:r>
      <w:r w:rsidR="00D24A2B" w:rsidRPr="00446BB8">
        <w:rPr>
          <w:color w:val="000000"/>
        </w:rPr>
        <w:t xml:space="preserve"> </w:t>
      </w:r>
      <w:r w:rsidR="008D62EA">
        <w:rPr>
          <w:color w:val="000000"/>
        </w:rPr>
        <w:t>des investissements</w:t>
      </w:r>
      <w:r w:rsidR="00D24A2B" w:rsidRPr="00446BB8">
        <w:rPr>
          <w:color w:val="000000"/>
        </w:rPr>
        <w:t xml:space="preserve">, </w:t>
      </w:r>
      <w:r w:rsidR="008D62EA">
        <w:rPr>
          <w:color w:val="000000"/>
        </w:rPr>
        <w:t xml:space="preserve">la protection des </w:t>
      </w:r>
      <w:r w:rsidR="00D24A2B" w:rsidRPr="00446BB8">
        <w:rPr>
          <w:color w:val="000000"/>
        </w:rPr>
        <w:t>invest</w:t>
      </w:r>
      <w:r w:rsidR="008D62EA">
        <w:rPr>
          <w:color w:val="000000"/>
        </w:rPr>
        <w:t>isse</w:t>
      </w:r>
      <w:r w:rsidR="00D24A2B" w:rsidRPr="00446BB8">
        <w:rPr>
          <w:color w:val="000000"/>
        </w:rPr>
        <w:t>ment</w:t>
      </w:r>
      <w:r w:rsidR="008D62EA">
        <w:rPr>
          <w:color w:val="000000"/>
        </w:rPr>
        <w:t>s</w:t>
      </w:r>
      <w:r w:rsidR="00D24A2B" w:rsidRPr="00446BB8">
        <w:rPr>
          <w:color w:val="000000"/>
        </w:rPr>
        <w:t xml:space="preserve">, </w:t>
      </w:r>
      <w:r w:rsidR="008D62EA">
        <w:rPr>
          <w:color w:val="000000"/>
        </w:rPr>
        <w:t xml:space="preserve">ainsi qu’un accès </w:t>
      </w:r>
      <w:r w:rsidR="00273192">
        <w:rPr>
          <w:color w:val="000000"/>
        </w:rPr>
        <w:t xml:space="preserve">mutuel </w:t>
      </w:r>
      <w:r w:rsidR="008D62EA">
        <w:rPr>
          <w:color w:val="000000"/>
        </w:rPr>
        <w:t xml:space="preserve">élargi aux marchés </w:t>
      </w:r>
      <w:r w:rsidR="00D24A2B" w:rsidRPr="00446BB8">
        <w:rPr>
          <w:color w:val="000000"/>
        </w:rPr>
        <w:t>public</w:t>
      </w:r>
      <w:r w:rsidR="008D62EA">
        <w:rPr>
          <w:color w:val="000000"/>
        </w:rPr>
        <w:t>s</w:t>
      </w:r>
      <w:r w:rsidR="00D24A2B" w:rsidRPr="00446BB8">
        <w:rPr>
          <w:color w:val="000000"/>
        </w:rPr>
        <w:t xml:space="preserve">. </w:t>
      </w:r>
      <w:r w:rsidR="008D62EA">
        <w:rPr>
          <w:color w:val="000000"/>
        </w:rPr>
        <w:t>L’accord devrait, en outre, viser à supprimer les obstacles inutiles au commerce et à l’investissement</w:t>
      </w:r>
      <w:r w:rsidR="00D24A2B" w:rsidRPr="00446BB8">
        <w:rPr>
          <w:color w:val="000000"/>
        </w:rPr>
        <w:t xml:space="preserve">, </w:t>
      </w:r>
      <w:r w:rsidR="008D62EA">
        <w:rPr>
          <w:color w:val="000000"/>
        </w:rPr>
        <w:t>notamment les obstacles non tarifaires existants</w:t>
      </w:r>
      <w:r w:rsidR="00D24A2B" w:rsidRPr="00446BB8">
        <w:rPr>
          <w:color w:val="000000"/>
        </w:rPr>
        <w:t xml:space="preserve">, </w:t>
      </w:r>
      <w:r w:rsidR="008D62EA">
        <w:rPr>
          <w:color w:val="000000"/>
        </w:rPr>
        <w:t>au moyen de mécanismes efficaces et efficients</w:t>
      </w:r>
      <w:r w:rsidR="00D24A2B" w:rsidRPr="00446BB8">
        <w:rPr>
          <w:color w:val="000000"/>
        </w:rPr>
        <w:t xml:space="preserve">, </w:t>
      </w:r>
      <w:r w:rsidR="008D62EA">
        <w:rPr>
          <w:color w:val="000000"/>
        </w:rPr>
        <w:t>et favoriser un niveau ambitieux de cohérence réglementaire pour les biens et les services</w:t>
      </w:r>
      <w:r w:rsidR="00D24A2B" w:rsidRPr="00446BB8">
        <w:rPr>
          <w:color w:val="000000"/>
        </w:rPr>
        <w:t xml:space="preserve">, </w:t>
      </w:r>
      <w:r w:rsidR="008D62EA">
        <w:rPr>
          <w:color w:val="000000"/>
        </w:rPr>
        <w:t>notamment grâce à une meilleure coopération entre autorités chargées de la réglementation</w:t>
      </w:r>
      <w:r w:rsidR="00D24A2B" w:rsidRPr="00446BB8">
        <w:rPr>
          <w:color w:val="000000"/>
        </w:rPr>
        <w:t xml:space="preserve">. </w:t>
      </w:r>
    </w:p>
    <w:p w:rsidR="00D24A2B" w:rsidRPr="00446BB8" w:rsidRDefault="008D62EA" w:rsidP="00D24A2B">
      <w:pPr>
        <w:rPr>
          <w:color w:val="000000"/>
        </w:rPr>
      </w:pPr>
      <w:r>
        <w:rPr>
          <w:color w:val="000000"/>
        </w:rPr>
        <w:t>Les règles de l’accord relatives à la cohérence réglementaire</w:t>
      </w:r>
      <w:r w:rsidR="00D24A2B" w:rsidRPr="00446BB8">
        <w:rPr>
          <w:color w:val="000000"/>
        </w:rPr>
        <w:t xml:space="preserve">, </w:t>
      </w:r>
      <w:r>
        <w:rPr>
          <w:color w:val="000000"/>
        </w:rPr>
        <w:t>e</w:t>
      </w:r>
      <w:r w:rsidR="00D24A2B" w:rsidRPr="00446BB8">
        <w:rPr>
          <w:color w:val="000000"/>
        </w:rPr>
        <w:t>n particul</w:t>
      </w:r>
      <w:r>
        <w:rPr>
          <w:color w:val="000000"/>
        </w:rPr>
        <w:t>ie</w:t>
      </w:r>
      <w:r w:rsidR="00D24A2B" w:rsidRPr="00446BB8">
        <w:rPr>
          <w:color w:val="000000"/>
        </w:rPr>
        <w:t xml:space="preserve">r, </w:t>
      </w:r>
      <w:r w:rsidR="008E0747">
        <w:rPr>
          <w:color w:val="000000"/>
        </w:rPr>
        <w:t xml:space="preserve">ne devraient pas </w:t>
      </w:r>
      <w:r w:rsidR="00A215DD">
        <w:rPr>
          <w:color w:val="000000"/>
        </w:rPr>
        <w:t>porter atteinte au</w:t>
      </w:r>
      <w:r w:rsidR="008E0747">
        <w:rPr>
          <w:color w:val="000000"/>
        </w:rPr>
        <w:t xml:space="preserve"> droit des parties d’adopter des réglementations adaptées au niveau de protection de la santé</w:t>
      </w:r>
      <w:r w:rsidR="00D24A2B" w:rsidRPr="00446BB8">
        <w:rPr>
          <w:color w:val="000000"/>
        </w:rPr>
        <w:t xml:space="preserve">, </w:t>
      </w:r>
      <w:r w:rsidR="00C2110B">
        <w:rPr>
          <w:color w:val="000000"/>
        </w:rPr>
        <w:t xml:space="preserve">de </w:t>
      </w:r>
      <w:r w:rsidR="008E0747">
        <w:rPr>
          <w:color w:val="000000"/>
        </w:rPr>
        <w:t>la sécurité</w:t>
      </w:r>
      <w:r w:rsidR="00D24A2B" w:rsidRPr="00446BB8">
        <w:rPr>
          <w:color w:val="000000"/>
        </w:rPr>
        <w:t xml:space="preserve">, </w:t>
      </w:r>
      <w:r w:rsidR="008E0747">
        <w:rPr>
          <w:color w:val="000000"/>
        </w:rPr>
        <w:t>des consommateurs</w:t>
      </w:r>
      <w:r w:rsidR="00D24A2B" w:rsidRPr="00446BB8">
        <w:rPr>
          <w:color w:val="000000"/>
        </w:rPr>
        <w:t xml:space="preserve">, </w:t>
      </w:r>
      <w:r w:rsidR="008E0747">
        <w:rPr>
          <w:color w:val="000000"/>
        </w:rPr>
        <w:t>des travailleurs</w:t>
      </w:r>
      <w:r w:rsidR="00F421DB" w:rsidRPr="00446BB8">
        <w:rPr>
          <w:color w:val="000000"/>
        </w:rPr>
        <w:t xml:space="preserve">, </w:t>
      </w:r>
      <w:r w:rsidR="008E0747">
        <w:rPr>
          <w:color w:val="000000"/>
        </w:rPr>
        <w:t>des données et de l’</w:t>
      </w:r>
      <w:r w:rsidR="00D24A2B" w:rsidRPr="00446BB8">
        <w:rPr>
          <w:color w:val="000000"/>
        </w:rPr>
        <w:t>environ</w:t>
      </w:r>
      <w:r w:rsidR="008E0747">
        <w:rPr>
          <w:color w:val="000000"/>
        </w:rPr>
        <w:t>ne</w:t>
      </w:r>
      <w:r w:rsidR="00D24A2B" w:rsidRPr="00446BB8">
        <w:rPr>
          <w:color w:val="000000"/>
        </w:rPr>
        <w:t xml:space="preserve">ment </w:t>
      </w:r>
      <w:r w:rsidR="008E0747">
        <w:rPr>
          <w:color w:val="000000"/>
        </w:rPr>
        <w:t>considéré comme approprié par chacune des parties</w:t>
      </w:r>
      <w:r w:rsidR="00D24A2B" w:rsidRPr="00446BB8">
        <w:rPr>
          <w:color w:val="000000"/>
        </w:rPr>
        <w:t xml:space="preserve">, </w:t>
      </w:r>
      <w:r w:rsidR="008E0747">
        <w:rPr>
          <w:color w:val="000000"/>
        </w:rPr>
        <w:t xml:space="preserve">ou de réaliser des objectifs légitimes de politique publique tels que la </w:t>
      </w:r>
      <w:r w:rsidR="00D24A2B" w:rsidRPr="00446BB8">
        <w:rPr>
          <w:color w:val="000000"/>
        </w:rPr>
        <w:t>diversit</w:t>
      </w:r>
      <w:r w:rsidR="008E0747">
        <w:rPr>
          <w:color w:val="000000"/>
        </w:rPr>
        <w:t xml:space="preserve">é culturelle ou les objectifs de développement durable </w:t>
      </w:r>
      <w:r w:rsidR="00D24A2B" w:rsidRPr="00446BB8">
        <w:rPr>
          <w:color w:val="000000"/>
        </w:rPr>
        <w:t>(</w:t>
      </w:r>
      <w:r w:rsidR="008E0747">
        <w:rPr>
          <w:color w:val="000000"/>
        </w:rPr>
        <w:t>tels que définis par chaque partie</w:t>
      </w:r>
      <w:r w:rsidR="00D24A2B" w:rsidRPr="00446BB8">
        <w:rPr>
          <w:color w:val="000000"/>
        </w:rPr>
        <w:t xml:space="preserve">) </w:t>
      </w:r>
      <w:r w:rsidR="008E0747">
        <w:rPr>
          <w:color w:val="000000"/>
        </w:rPr>
        <w:t>en recourant à la réglementation</w:t>
      </w:r>
      <w:r w:rsidR="00D24A2B" w:rsidRPr="00446BB8">
        <w:rPr>
          <w:color w:val="000000"/>
        </w:rPr>
        <w:t xml:space="preserve">. </w:t>
      </w:r>
    </w:p>
    <w:p w:rsidR="00D24A2B" w:rsidRPr="00446BB8" w:rsidRDefault="00467ADC" w:rsidP="00D24A2B">
      <w:pPr>
        <w:rPr>
          <w:color w:val="000000"/>
        </w:rPr>
      </w:pPr>
      <w:r>
        <w:rPr>
          <w:color w:val="000000"/>
        </w:rPr>
        <w:t>Le volet de l’accord consacré</w:t>
      </w:r>
      <w:r w:rsidR="003D3E28">
        <w:rPr>
          <w:color w:val="000000"/>
        </w:rPr>
        <w:t xml:space="preserve"> au commerce et à l’investissement</w:t>
      </w:r>
      <w:r w:rsidR="003D3E28" w:rsidRPr="00446BB8">
        <w:rPr>
          <w:color w:val="000000"/>
        </w:rPr>
        <w:t xml:space="preserve"> </w:t>
      </w:r>
      <w:r w:rsidR="003D3E28">
        <w:rPr>
          <w:color w:val="000000"/>
        </w:rPr>
        <w:t>devrait aussi contribuer à la promotion du développement durable et de valeurs plus générales de l’UE telles que les droits de l’homme</w:t>
      </w:r>
      <w:r w:rsidR="00D24A2B" w:rsidRPr="00446BB8">
        <w:rPr>
          <w:color w:val="000000"/>
        </w:rPr>
        <w:t xml:space="preserve">, </w:t>
      </w:r>
      <w:r w:rsidR="003D3E28">
        <w:rPr>
          <w:color w:val="000000"/>
        </w:rPr>
        <w:t>ent</w:t>
      </w:r>
      <w:r>
        <w:rPr>
          <w:color w:val="000000"/>
        </w:rPr>
        <w:t>re</w:t>
      </w:r>
      <w:r w:rsidR="00326CBA">
        <w:rPr>
          <w:color w:val="000000"/>
        </w:rPr>
        <w:t xml:space="preserve"> autres</w:t>
      </w:r>
      <w:r w:rsidR="003D3E28">
        <w:rPr>
          <w:color w:val="000000"/>
        </w:rPr>
        <w:t xml:space="preserve"> en incluant des dispositions </w:t>
      </w:r>
      <w:r w:rsidR="006416A2">
        <w:rPr>
          <w:color w:val="000000"/>
        </w:rPr>
        <w:t>en rapport avec les</w:t>
      </w:r>
      <w:r w:rsidR="00D502A4">
        <w:rPr>
          <w:color w:val="000000"/>
        </w:rPr>
        <w:t xml:space="preserve"> échanges commerciaux </w:t>
      </w:r>
      <w:r w:rsidR="006416A2">
        <w:rPr>
          <w:color w:val="000000"/>
        </w:rPr>
        <w:t>qui concernent le travail</w:t>
      </w:r>
      <w:r w:rsidR="00D24A2B" w:rsidRPr="00446BB8">
        <w:rPr>
          <w:color w:val="000000"/>
        </w:rPr>
        <w:t xml:space="preserve">, </w:t>
      </w:r>
      <w:r w:rsidR="006416A2">
        <w:rPr>
          <w:color w:val="000000"/>
        </w:rPr>
        <w:t>l’</w:t>
      </w:r>
      <w:r w:rsidR="00D24A2B" w:rsidRPr="00446BB8">
        <w:rPr>
          <w:color w:val="000000"/>
        </w:rPr>
        <w:t>environ</w:t>
      </w:r>
      <w:r w:rsidR="006416A2">
        <w:rPr>
          <w:color w:val="000000"/>
        </w:rPr>
        <w:t>ne</w:t>
      </w:r>
      <w:r w:rsidR="00D24A2B" w:rsidRPr="00446BB8">
        <w:rPr>
          <w:color w:val="000000"/>
        </w:rPr>
        <w:t xml:space="preserve">ment </w:t>
      </w:r>
      <w:r w:rsidR="006416A2">
        <w:rPr>
          <w:color w:val="000000"/>
        </w:rPr>
        <w:t>et l’égalité hommes-femmes</w:t>
      </w:r>
      <w:r w:rsidR="00D24A2B" w:rsidRPr="00446BB8">
        <w:rPr>
          <w:color w:val="000000"/>
        </w:rPr>
        <w:t xml:space="preserve">, </w:t>
      </w:r>
      <w:r w:rsidR="00677D17">
        <w:rPr>
          <w:color w:val="000000"/>
        </w:rPr>
        <w:t xml:space="preserve">et notamment appeler pour ce faire à la responsabilité sociale des entreprises, à la transparence ainsi qu’à la promotion et à la mise en œuvre </w:t>
      </w:r>
      <w:r w:rsidR="00E77F75" w:rsidRPr="00446BB8">
        <w:rPr>
          <w:color w:val="000000"/>
        </w:rPr>
        <w:t xml:space="preserve">effective </w:t>
      </w:r>
      <w:r w:rsidR="00677D17">
        <w:rPr>
          <w:color w:val="000000"/>
        </w:rPr>
        <w:t xml:space="preserve">des normes </w:t>
      </w:r>
      <w:r w:rsidR="00D24A2B" w:rsidRPr="00446BB8">
        <w:rPr>
          <w:color w:val="000000"/>
        </w:rPr>
        <w:t>international</w:t>
      </w:r>
      <w:r w:rsidR="00677D17">
        <w:rPr>
          <w:color w:val="000000"/>
        </w:rPr>
        <w:t>es</w:t>
      </w:r>
      <w:r w:rsidR="00D24A2B" w:rsidRPr="00446BB8">
        <w:rPr>
          <w:color w:val="000000"/>
        </w:rPr>
        <w:t xml:space="preserve"> </w:t>
      </w:r>
      <w:r w:rsidR="00677D17">
        <w:rPr>
          <w:color w:val="000000"/>
        </w:rPr>
        <w:t>en matière de travail et d’</w:t>
      </w:r>
      <w:r w:rsidR="00167806" w:rsidRPr="00446BB8">
        <w:rPr>
          <w:color w:val="000000"/>
        </w:rPr>
        <w:t>environ</w:t>
      </w:r>
      <w:r w:rsidR="00677D17">
        <w:rPr>
          <w:color w:val="000000"/>
        </w:rPr>
        <w:t>ne</w:t>
      </w:r>
      <w:r w:rsidR="00167806" w:rsidRPr="00446BB8">
        <w:rPr>
          <w:color w:val="000000"/>
        </w:rPr>
        <w:t>ment</w:t>
      </w:r>
      <w:r w:rsidR="00D24A2B" w:rsidRPr="00446BB8">
        <w:rPr>
          <w:color w:val="000000"/>
        </w:rPr>
        <w:t xml:space="preserve">. </w:t>
      </w:r>
      <w:r w:rsidR="00677D17">
        <w:rPr>
          <w:color w:val="000000"/>
        </w:rPr>
        <w:t>Dans ce contexte, le développement durable devrait être pris en considération dans l’ensemble de l’accord</w:t>
      </w:r>
      <w:r w:rsidR="00D24A2B" w:rsidRPr="00446BB8">
        <w:rPr>
          <w:color w:val="000000"/>
        </w:rPr>
        <w:t xml:space="preserve">, </w:t>
      </w:r>
      <w:r w:rsidR="00677D17">
        <w:rPr>
          <w:color w:val="000000"/>
        </w:rPr>
        <w:t>y compris sous la forme d’un chapitre spécifique consacré au commerce et au développement durable</w:t>
      </w:r>
      <w:r w:rsidR="00273192">
        <w:rPr>
          <w:color w:val="000000"/>
        </w:rPr>
        <w:t>,</w:t>
      </w:r>
      <w:r w:rsidR="00677D17">
        <w:rPr>
          <w:color w:val="000000"/>
        </w:rPr>
        <w:t xml:space="preserve"> qui couvrira des questions</w:t>
      </w:r>
      <w:r w:rsidR="00C1681E">
        <w:rPr>
          <w:color w:val="000000"/>
        </w:rPr>
        <w:t xml:space="preserve"> </w:t>
      </w:r>
      <w:r w:rsidR="00677D17">
        <w:rPr>
          <w:color w:val="000000"/>
        </w:rPr>
        <w:t>d’ordre social et</w:t>
      </w:r>
      <w:r w:rsidR="00C1681E">
        <w:rPr>
          <w:color w:val="000000"/>
        </w:rPr>
        <w:t xml:space="preserve"> </w:t>
      </w:r>
      <w:r w:rsidR="00273192">
        <w:rPr>
          <w:color w:val="000000"/>
        </w:rPr>
        <w:t xml:space="preserve">d’ordre </w:t>
      </w:r>
      <w:r w:rsidR="00D24A2B" w:rsidRPr="00446BB8">
        <w:rPr>
          <w:color w:val="000000"/>
        </w:rPr>
        <w:t>environ</w:t>
      </w:r>
      <w:r w:rsidR="00C1681E">
        <w:rPr>
          <w:color w:val="000000"/>
        </w:rPr>
        <w:t>ne</w:t>
      </w:r>
      <w:r w:rsidR="00D24A2B" w:rsidRPr="00446BB8">
        <w:rPr>
          <w:color w:val="000000"/>
        </w:rPr>
        <w:t>mental.</w:t>
      </w:r>
    </w:p>
    <w:p w:rsidR="00D24A2B" w:rsidRPr="00446BB8" w:rsidRDefault="00C1681E" w:rsidP="00D24A2B">
      <w:pPr>
        <w:rPr>
          <w:color w:val="000000"/>
        </w:rPr>
      </w:pPr>
      <w:r>
        <w:rPr>
          <w:color w:val="000000"/>
        </w:rPr>
        <w:t>L’accord devrait garantir que tous les niveaux de gouvernement</w:t>
      </w:r>
      <w:r w:rsidR="00D24A2B" w:rsidRPr="00446BB8">
        <w:rPr>
          <w:color w:val="000000"/>
        </w:rPr>
        <w:t xml:space="preserve">, </w:t>
      </w:r>
      <w:r>
        <w:rPr>
          <w:color w:val="000000"/>
        </w:rPr>
        <w:t>y compris les autorités et les entités concernées au niveau infranational</w:t>
      </w:r>
      <w:r w:rsidR="00D24A2B" w:rsidRPr="00446BB8">
        <w:rPr>
          <w:color w:val="000000"/>
        </w:rPr>
        <w:t xml:space="preserve">, </w:t>
      </w:r>
      <w:r>
        <w:rPr>
          <w:color w:val="000000"/>
        </w:rPr>
        <w:t>se conforment effectivement à ses dispositions</w:t>
      </w:r>
      <w:r w:rsidR="00D24A2B" w:rsidRPr="00446BB8">
        <w:rPr>
          <w:color w:val="000000"/>
        </w:rPr>
        <w:t>.</w:t>
      </w:r>
    </w:p>
    <w:p w:rsidR="00D24A2B" w:rsidRPr="00446BB8" w:rsidRDefault="00C1681E" w:rsidP="00D24A2B">
      <w:pPr>
        <w:rPr>
          <w:color w:val="000000"/>
        </w:rPr>
      </w:pPr>
      <w:r>
        <w:rPr>
          <w:color w:val="000000"/>
        </w:rPr>
        <w:t>L’accord devrait prendre en compte les besoins particuliers des petites et moyennes entreprises</w:t>
      </w:r>
      <w:r w:rsidR="00D24A2B" w:rsidRPr="00446BB8">
        <w:rPr>
          <w:color w:val="000000"/>
        </w:rPr>
        <w:t>.</w:t>
      </w:r>
    </w:p>
    <w:p w:rsidR="00782E96" w:rsidRPr="00446BB8" w:rsidRDefault="00782E96" w:rsidP="00D24A2B">
      <w:pPr>
        <w:rPr>
          <w:color w:val="000000"/>
        </w:rPr>
      </w:pPr>
    </w:p>
    <w:p w:rsidR="00D24A2B" w:rsidRPr="00446BB8" w:rsidRDefault="00C1681E" w:rsidP="00D24A2B">
      <w:pPr>
        <w:spacing w:after="0"/>
        <w:rPr>
          <w:b/>
          <w:smallCaps/>
          <w:color w:val="000000"/>
          <w:szCs w:val="24"/>
        </w:rPr>
      </w:pPr>
      <w:r>
        <w:rPr>
          <w:b/>
          <w:smallCaps/>
          <w:color w:val="000000"/>
          <w:szCs w:val="24"/>
        </w:rPr>
        <w:t>Commerce des biens</w:t>
      </w:r>
    </w:p>
    <w:p w:rsidR="00D24A2B" w:rsidRPr="00446BB8" w:rsidRDefault="00D56A62" w:rsidP="00D24A2B">
      <w:pPr>
        <w:spacing w:before="360"/>
        <w:rPr>
          <w:b/>
          <w:i/>
          <w:szCs w:val="24"/>
        </w:rPr>
      </w:pPr>
      <w:r>
        <w:rPr>
          <w:b/>
          <w:i/>
          <w:szCs w:val="24"/>
        </w:rPr>
        <w:t>Poursuite de l’élimination des droits de douane</w:t>
      </w:r>
      <w:r w:rsidR="00D24A2B" w:rsidRPr="00446BB8">
        <w:rPr>
          <w:b/>
          <w:i/>
          <w:szCs w:val="24"/>
        </w:rPr>
        <w:t xml:space="preserve"> </w:t>
      </w:r>
      <w:bookmarkStart w:id="7" w:name="_Toc454632116"/>
    </w:p>
    <w:p w:rsidR="00D24A2B" w:rsidRPr="00446BB8" w:rsidRDefault="00D56A62" w:rsidP="00D24A2B">
      <w:pPr>
        <w:rPr>
          <w:color w:val="000000"/>
        </w:rPr>
      </w:pPr>
      <w:r>
        <w:rPr>
          <w:color w:val="000000"/>
        </w:rPr>
        <w:t xml:space="preserve">L’accord devrait viser </w:t>
      </w:r>
      <w:r w:rsidR="00AF341D">
        <w:rPr>
          <w:color w:val="000000"/>
        </w:rPr>
        <w:t>un démantèlement tarifaire total</w:t>
      </w:r>
      <w:r w:rsidR="00D24A2B" w:rsidRPr="00446BB8">
        <w:rPr>
          <w:color w:val="000000"/>
        </w:rPr>
        <w:t xml:space="preserve">, </w:t>
      </w:r>
      <w:r>
        <w:rPr>
          <w:color w:val="000000"/>
        </w:rPr>
        <w:t>tout en prévoyant un traitement particulier pour les produits recensés comme sensibles</w:t>
      </w:r>
      <w:r w:rsidR="00D24A2B" w:rsidRPr="00446BB8">
        <w:rPr>
          <w:color w:val="000000"/>
        </w:rPr>
        <w:t xml:space="preserve">, </w:t>
      </w:r>
      <w:r>
        <w:rPr>
          <w:color w:val="000000"/>
        </w:rPr>
        <w:t>pour lesquels un véritable accès au marché devrait être favorisé en recourant</w:t>
      </w:r>
      <w:r w:rsidR="00D24A2B" w:rsidRPr="00446BB8">
        <w:rPr>
          <w:color w:val="000000"/>
        </w:rPr>
        <w:t xml:space="preserve">, </w:t>
      </w:r>
      <w:r>
        <w:rPr>
          <w:color w:val="000000"/>
        </w:rPr>
        <w:t>par exemple</w:t>
      </w:r>
      <w:r w:rsidR="00D24A2B" w:rsidRPr="00446BB8">
        <w:rPr>
          <w:color w:val="000000"/>
        </w:rPr>
        <w:t xml:space="preserve">, </w:t>
      </w:r>
      <w:r>
        <w:rPr>
          <w:color w:val="000000"/>
        </w:rPr>
        <w:t>à des périodes de démantèlement plu</w:t>
      </w:r>
      <w:r w:rsidR="00273192">
        <w:rPr>
          <w:color w:val="000000"/>
        </w:rPr>
        <w:t>s</w:t>
      </w:r>
      <w:r>
        <w:rPr>
          <w:color w:val="000000"/>
        </w:rPr>
        <w:t xml:space="preserve"> </w:t>
      </w:r>
      <w:r>
        <w:rPr>
          <w:color w:val="000000"/>
        </w:rPr>
        <w:lastRenderedPageBreak/>
        <w:t>longues</w:t>
      </w:r>
      <w:r w:rsidR="00D24A2B" w:rsidRPr="00446BB8">
        <w:rPr>
          <w:color w:val="000000"/>
        </w:rPr>
        <w:t>, o</w:t>
      </w:r>
      <w:r>
        <w:rPr>
          <w:color w:val="000000"/>
        </w:rPr>
        <w:t xml:space="preserve">u à des engagements de libéralisation partielle </w:t>
      </w:r>
      <w:r w:rsidR="00D24A2B" w:rsidRPr="00446BB8">
        <w:rPr>
          <w:color w:val="000000"/>
        </w:rPr>
        <w:t>(</w:t>
      </w:r>
      <w:r>
        <w:rPr>
          <w:color w:val="000000"/>
        </w:rPr>
        <w:t>notamment à des contingents tarifaires</w:t>
      </w:r>
      <w:r w:rsidR="00D24A2B" w:rsidRPr="00446BB8">
        <w:rPr>
          <w:color w:val="000000"/>
        </w:rPr>
        <w:t xml:space="preserve">), </w:t>
      </w:r>
      <w:r>
        <w:rPr>
          <w:color w:val="000000"/>
        </w:rPr>
        <w:t>compte tenu des intérêts</w:t>
      </w:r>
      <w:r w:rsidR="00D24A2B" w:rsidRPr="00446BB8">
        <w:rPr>
          <w:color w:val="000000"/>
        </w:rPr>
        <w:t xml:space="preserve"> offensi</w:t>
      </w:r>
      <w:r>
        <w:rPr>
          <w:color w:val="000000"/>
        </w:rPr>
        <w:t>fs</w:t>
      </w:r>
      <w:r w:rsidR="00D24A2B" w:rsidRPr="00446BB8">
        <w:rPr>
          <w:color w:val="000000"/>
        </w:rPr>
        <w:t xml:space="preserve"> </w:t>
      </w:r>
      <w:r>
        <w:rPr>
          <w:color w:val="000000"/>
        </w:rPr>
        <w:t>et</w:t>
      </w:r>
      <w:r w:rsidR="00D24A2B" w:rsidRPr="00446BB8">
        <w:rPr>
          <w:color w:val="000000"/>
        </w:rPr>
        <w:t xml:space="preserve"> d</w:t>
      </w:r>
      <w:r>
        <w:rPr>
          <w:color w:val="000000"/>
        </w:rPr>
        <w:t>é</w:t>
      </w:r>
      <w:r w:rsidR="00D24A2B" w:rsidRPr="00446BB8">
        <w:rPr>
          <w:color w:val="000000"/>
        </w:rPr>
        <w:t>fensi</w:t>
      </w:r>
      <w:r>
        <w:rPr>
          <w:color w:val="000000"/>
        </w:rPr>
        <w:t>fs</w:t>
      </w:r>
      <w:r w:rsidR="00D24A2B" w:rsidRPr="00446BB8">
        <w:rPr>
          <w:color w:val="000000"/>
        </w:rPr>
        <w:t xml:space="preserve"> </w:t>
      </w:r>
      <w:r>
        <w:rPr>
          <w:color w:val="000000"/>
        </w:rPr>
        <w:t>de l’UE</w:t>
      </w:r>
      <w:r w:rsidR="00D24A2B" w:rsidRPr="00446BB8">
        <w:rPr>
          <w:color w:val="000000"/>
        </w:rPr>
        <w:t xml:space="preserve">. </w:t>
      </w:r>
    </w:p>
    <w:p w:rsidR="00D24A2B" w:rsidRPr="00446BB8" w:rsidRDefault="00D56A62" w:rsidP="00D24A2B">
      <w:pPr>
        <w:rPr>
          <w:color w:val="000000"/>
        </w:rPr>
      </w:pPr>
      <w:r>
        <w:rPr>
          <w:color w:val="000000"/>
        </w:rPr>
        <w:t xml:space="preserve">Tous les droits de douane, toutes les </w:t>
      </w:r>
      <w:r w:rsidR="00D24A2B" w:rsidRPr="00446BB8">
        <w:rPr>
          <w:color w:val="000000"/>
        </w:rPr>
        <w:t>taxes</w:t>
      </w:r>
      <w:r w:rsidR="00EB512E">
        <w:rPr>
          <w:color w:val="000000"/>
        </w:rPr>
        <w:t xml:space="preserve"> et tous les</w:t>
      </w:r>
      <w:r>
        <w:rPr>
          <w:color w:val="000000"/>
        </w:rPr>
        <w:t xml:space="preserve"> </w:t>
      </w:r>
      <w:r w:rsidR="00EB512E">
        <w:rPr>
          <w:color w:val="000000"/>
        </w:rPr>
        <w:t xml:space="preserve">prélèvements </w:t>
      </w:r>
      <w:r>
        <w:rPr>
          <w:color w:val="000000"/>
        </w:rPr>
        <w:t xml:space="preserve">sur les exportations </w:t>
      </w:r>
      <w:r w:rsidR="00EB512E">
        <w:rPr>
          <w:color w:val="000000"/>
        </w:rPr>
        <w:t>ou toute mesure d’effet équivalent devraient être abolis</w:t>
      </w:r>
      <w:r w:rsidR="00D24A2B" w:rsidRPr="00446BB8">
        <w:rPr>
          <w:color w:val="000000"/>
        </w:rPr>
        <w:t xml:space="preserve">, </w:t>
      </w:r>
      <w:r w:rsidR="00EB512E">
        <w:rPr>
          <w:color w:val="000000"/>
        </w:rPr>
        <w:t>et l’</w:t>
      </w:r>
      <w:r w:rsidR="00D24A2B" w:rsidRPr="00446BB8">
        <w:rPr>
          <w:color w:val="000000"/>
        </w:rPr>
        <w:t xml:space="preserve">adoption </w:t>
      </w:r>
      <w:r w:rsidR="00EB512E">
        <w:rPr>
          <w:color w:val="000000"/>
        </w:rPr>
        <w:t>de nouvelles mesures de cette nature devrait être interdite</w:t>
      </w:r>
      <w:r w:rsidR="00D24A2B" w:rsidRPr="00446BB8">
        <w:rPr>
          <w:color w:val="000000"/>
        </w:rPr>
        <w:t>.</w:t>
      </w:r>
    </w:p>
    <w:p w:rsidR="00D24A2B" w:rsidRPr="00446BB8" w:rsidRDefault="00EB512E" w:rsidP="00B7500D">
      <w:pPr>
        <w:spacing w:before="360"/>
        <w:jc w:val="left"/>
        <w:rPr>
          <w:b/>
          <w:i/>
          <w:color w:val="000000"/>
        </w:rPr>
      </w:pPr>
      <w:r>
        <w:rPr>
          <w:b/>
          <w:i/>
          <w:color w:val="000000"/>
        </w:rPr>
        <w:t>Restrictions à l’i</w:t>
      </w:r>
      <w:r w:rsidR="00D24A2B" w:rsidRPr="00446BB8">
        <w:rPr>
          <w:b/>
          <w:i/>
          <w:color w:val="000000"/>
        </w:rPr>
        <w:t>mport</w:t>
      </w:r>
      <w:r>
        <w:rPr>
          <w:b/>
          <w:i/>
          <w:color w:val="000000"/>
        </w:rPr>
        <w:t>ation et à l’exportation</w:t>
      </w:r>
    </w:p>
    <w:p w:rsidR="00D24A2B" w:rsidRPr="00446BB8" w:rsidRDefault="00EB512E" w:rsidP="00D24A2B">
      <w:pPr>
        <w:rPr>
          <w:color w:val="000000"/>
        </w:rPr>
      </w:pPr>
      <w:r>
        <w:rPr>
          <w:color w:val="000000"/>
        </w:rPr>
        <w:t>L’accord devrait prohiber toute interdiction ou restriction des échanges entre les parties</w:t>
      </w:r>
      <w:r w:rsidR="00D24A2B" w:rsidRPr="00446BB8">
        <w:rPr>
          <w:color w:val="000000"/>
        </w:rPr>
        <w:t xml:space="preserve">, </w:t>
      </w:r>
      <w:r>
        <w:rPr>
          <w:color w:val="000000"/>
        </w:rPr>
        <w:t>notamment les r</w:t>
      </w:r>
      <w:r w:rsidR="00D24A2B" w:rsidRPr="00446BB8">
        <w:rPr>
          <w:color w:val="000000"/>
        </w:rPr>
        <w:t>estrictions</w:t>
      </w:r>
      <w:r w:rsidRPr="00EB512E">
        <w:rPr>
          <w:color w:val="000000"/>
        </w:rPr>
        <w:t xml:space="preserve"> </w:t>
      </w:r>
      <w:r w:rsidRPr="00446BB8">
        <w:rPr>
          <w:color w:val="000000"/>
        </w:rPr>
        <w:t>quantitative</w:t>
      </w:r>
      <w:r w:rsidR="00800682">
        <w:rPr>
          <w:color w:val="000000"/>
        </w:rPr>
        <w:t>s</w:t>
      </w:r>
      <w:r w:rsidR="00D24A2B" w:rsidRPr="00446BB8">
        <w:rPr>
          <w:color w:val="000000"/>
        </w:rPr>
        <w:t xml:space="preserve"> </w:t>
      </w:r>
      <w:r>
        <w:rPr>
          <w:color w:val="000000"/>
        </w:rPr>
        <w:t xml:space="preserve">ou les </w:t>
      </w:r>
      <w:r w:rsidR="00800682">
        <w:rPr>
          <w:color w:val="000000"/>
        </w:rPr>
        <w:t>obligations d’</w:t>
      </w:r>
      <w:r w:rsidR="00D24A2B" w:rsidRPr="00446BB8">
        <w:rPr>
          <w:color w:val="000000"/>
        </w:rPr>
        <w:t xml:space="preserve">autorisation, </w:t>
      </w:r>
      <w:r w:rsidR="00800682">
        <w:rPr>
          <w:color w:val="000000"/>
        </w:rPr>
        <w:t>qui n’est pas justifiée par les exceptions spécifiques mentionnées ci-dess</w:t>
      </w:r>
      <w:r w:rsidR="00B7500D">
        <w:rPr>
          <w:color w:val="000000"/>
        </w:rPr>
        <w:t>o</w:t>
      </w:r>
      <w:r w:rsidR="00800682">
        <w:rPr>
          <w:color w:val="000000"/>
        </w:rPr>
        <w:t>us</w:t>
      </w:r>
      <w:r w:rsidR="00D24A2B" w:rsidRPr="00446BB8">
        <w:rPr>
          <w:color w:val="000000"/>
        </w:rPr>
        <w:t xml:space="preserve">, </w:t>
      </w:r>
      <w:r w:rsidR="00800682">
        <w:rPr>
          <w:color w:val="000000"/>
        </w:rPr>
        <w:t xml:space="preserve">et devrait contenir des </w:t>
      </w:r>
      <w:r w:rsidR="00D24A2B" w:rsidRPr="00446BB8">
        <w:rPr>
          <w:color w:val="000000"/>
        </w:rPr>
        <w:t>disciplines</w:t>
      </w:r>
      <w:r w:rsidR="00800682">
        <w:rPr>
          <w:color w:val="000000"/>
        </w:rPr>
        <w:t xml:space="preserve"> renforcées concernant les licences d’i</w:t>
      </w:r>
      <w:r w:rsidR="00D24A2B" w:rsidRPr="00446BB8">
        <w:rPr>
          <w:color w:val="000000"/>
        </w:rPr>
        <w:t>mport</w:t>
      </w:r>
      <w:r w:rsidR="00800682">
        <w:rPr>
          <w:color w:val="000000"/>
        </w:rPr>
        <w:t>ation et d’</w:t>
      </w:r>
      <w:r w:rsidR="00D24A2B" w:rsidRPr="00446BB8">
        <w:rPr>
          <w:color w:val="000000"/>
        </w:rPr>
        <w:t>export</w:t>
      </w:r>
      <w:r w:rsidR="00800682">
        <w:rPr>
          <w:color w:val="000000"/>
        </w:rPr>
        <w:t>ation</w:t>
      </w:r>
      <w:r w:rsidR="00D24A2B" w:rsidRPr="00446BB8">
        <w:rPr>
          <w:color w:val="000000"/>
        </w:rPr>
        <w:t xml:space="preserve">, </w:t>
      </w:r>
      <w:r w:rsidR="00800682">
        <w:rPr>
          <w:color w:val="000000"/>
        </w:rPr>
        <w:t xml:space="preserve">les biens réparés, les biens </w:t>
      </w:r>
      <w:proofErr w:type="spellStart"/>
      <w:r w:rsidR="00800682">
        <w:rPr>
          <w:color w:val="000000"/>
        </w:rPr>
        <w:t>remanufacturés</w:t>
      </w:r>
      <w:proofErr w:type="spellEnd"/>
      <w:r w:rsidR="00800682">
        <w:rPr>
          <w:color w:val="000000"/>
        </w:rPr>
        <w:t xml:space="preserve"> et le marquage d’origine</w:t>
      </w:r>
      <w:r w:rsidR="00D24A2B" w:rsidRPr="00446BB8">
        <w:rPr>
          <w:color w:val="000000"/>
        </w:rPr>
        <w:t xml:space="preserve">. </w:t>
      </w:r>
    </w:p>
    <w:p w:rsidR="00D24A2B" w:rsidRPr="00446BB8" w:rsidRDefault="00D24A2B" w:rsidP="00D24A2B">
      <w:pPr>
        <w:spacing w:before="360"/>
        <w:rPr>
          <w:b/>
          <w:i/>
          <w:szCs w:val="24"/>
        </w:rPr>
      </w:pPr>
      <w:r w:rsidRPr="00446BB8">
        <w:rPr>
          <w:b/>
          <w:i/>
          <w:szCs w:val="24"/>
        </w:rPr>
        <w:t>R</w:t>
      </w:r>
      <w:r w:rsidR="00800682">
        <w:rPr>
          <w:b/>
          <w:i/>
          <w:szCs w:val="24"/>
        </w:rPr>
        <w:t>ègle</w:t>
      </w:r>
      <w:r w:rsidRPr="00446BB8">
        <w:rPr>
          <w:b/>
          <w:i/>
          <w:szCs w:val="24"/>
        </w:rPr>
        <w:t xml:space="preserve">s </w:t>
      </w:r>
      <w:r w:rsidR="00800682">
        <w:rPr>
          <w:b/>
          <w:i/>
          <w:szCs w:val="24"/>
        </w:rPr>
        <w:t>d’</w:t>
      </w:r>
      <w:r w:rsidRPr="00446BB8">
        <w:rPr>
          <w:b/>
          <w:i/>
          <w:szCs w:val="24"/>
        </w:rPr>
        <w:t>origin</w:t>
      </w:r>
      <w:r w:rsidR="00800682">
        <w:rPr>
          <w:b/>
          <w:i/>
          <w:szCs w:val="24"/>
        </w:rPr>
        <w:t>e</w:t>
      </w:r>
    </w:p>
    <w:p w:rsidR="00D24A2B" w:rsidRPr="00446BB8" w:rsidRDefault="00F66744" w:rsidP="00D24A2B">
      <w:pPr>
        <w:rPr>
          <w:color w:val="000000"/>
        </w:rPr>
      </w:pPr>
      <w:r>
        <w:rPr>
          <w:color w:val="000000"/>
        </w:rPr>
        <w:t>Les négociations devraient viser à actualiser l’annexe relative aux règles d’origine</w:t>
      </w:r>
      <w:r w:rsidR="00D24A2B" w:rsidRPr="00446BB8">
        <w:rPr>
          <w:color w:val="000000"/>
        </w:rPr>
        <w:t xml:space="preserve">, </w:t>
      </w:r>
      <w:r>
        <w:rPr>
          <w:color w:val="000000"/>
        </w:rPr>
        <w:t xml:space="preserve">de façon à clarifier </w:t>
      </w:r>
      <w:r w:rsidR="00B7500D">
        <w:rPr>
          <w:color w:val="000000"/>
        </w:rPr>
        <w:t xml:space="preserve">et à simplifier </w:t>
      </w:r>
      <w:r>
        <w:rPr>
          <w:color w:val="000000"/>
        </w:rPr>
        <w:t>les règles d’origine et les dispositions de l’accord relatives à la coopération administrative</w:t>
      </w:r>
      <w:r w:rsidR="00D24A2B" w:rsidRPr="00446BB8">
        <w:rPr>
          <w:color w:val="000000"/>
        </w:rPr>
        <w:t xml:space="preserve">, </w:t>
      </w:r>
      <w:r>
        <w:rPr>
          <w:color w:val="000000"/>
        </w:rPr>
        <w:t>ainsi qu’à tenir compte des dernières évolutions en matière de règles d’origine de l’UE</w:t>
      </w:r>
      <w:r w:rsidR="00D24A2B" w:rsidRPr="00446BB8">
        <w:rPr>
          <w:color w:val="000000"/>
        </w:rPr>
        <w:t xml:space="preserve">. </w:t>
      </w:r>
      <w:r>
        <w:rPr>
          <w:color w:val="000000"/>
        </w:rPr>
        <w:t>Les dispositions relatives à la coopération administrative</w:t>
      </w:r>
      <w:r w:rsidR="00D24A2B" w:rsidRPr="00446BB8">
        <w:rPr>
          <w:color w:val="000000"/>
        </w:rPr>
        <w:t xml:space="preserve"> </w:t>
      </w:r>
      <w:r>
        <w:rPr>
          <w:color w:val="000000"/>
        </w:rPr>
        <w:t>devraient aussi viser à garantir que les erreurs administratives sont traitées de façon appropriée</w:t>
      </w:r>
      <w:r w:rsidR="00D24A2B" w:rsidRPr="00446BB8">
        <w:rPr>
          <w:color w:val="000000"/>
        </w:rPr>
        <w:t>.</w:t>
      </w:r>
    </w:p>
    <w:p w:rsidR="00D24A2B" w:rsidRPr="00446BB8" w:rsidRDefault="000C397B" w:rsidP="00D24A2B">
      <w:pPr>
        <w:rPr>
          <w:color w:val="000000"/>
        </w:rPr>
      </w:pPr>
      <w:r>
        <w:rPr>
          <w:color w:val="000000"/>
        </w:rPr>
        <w:t>Dans l’intérêt du commerce et de l’investissement de l’UE</w:t>
      </w:r>
      <w:r w:rsidR="00D24A2B" w:rsidRPr="00446BB8">
        <w:rPr>
          <w:color w:val="000000"/>
        </w:rPr>
        <w:t xml:space="preserve">, </w:t>
      </w:r>
      <w:r w:rsidR="0084328E">
        <w:rPr>
          <w:color w:val="000000"/>
        </w:rPr>
        <w:t>l’</w:t>
      </w:r>
      <w:r w:rsidR="00D24A2B" w:rsidRPr="00446BB8">
        <w:rPr>
          <w:color w:val="000000"/>
        </w:rPr>
        <w:t xml:space="preserve">extension </w:t>
      </w:r>
      <w:r w:rsidR="0084328E">
        <w:rPr>
          <w:color w:val="000000"/>
        </w:rPr>
        <w:t>du cumul de l’origine aux pays tiers pourrait être envisagée au cours des négociations</w:t>
      </w:r>
      <w:r w:rsidR="00D24A2B" w:rsidRPr="00446BB8">
        <w:rPr>
          <w:color w:val="000000"/>
        </w:rPr>
        <w:t>.</w:t>
      </w:r>
    </w:p>
    <w:p w:rsidR="00D24A2B" w:rsidRPr="00446BB8" w:rsidRDefault="0084328E" w:rsidP="00D24A2B">
      <w:pPr>
        <w:spacing w:before="360"/>
        <w:rPr>
          <w:b/>
          <w:i/>
          <w:szCs w:val="24"/>
        </w:rPr>
      </w:pPr>
      <w:r>
        <w:rPr>
          <w:b/>
          <w:i/>
          <w:szCs w:val="24"/>
        </w:rPr>
        <w:t>Questions douan</w:t>
      </w:r>
      <w:r w:rsidR="00CB5870">
        <w:rPr>
          <w:b/>
          <w:i/>
          <w:szCs w:val="24"/>
        </w:rPr>
        <w:t>ièr</w:t>
      </w:r>
      <w:r>
        <w:rPr>
          <w:b/>
          <w:i/>
          <w:szCs w:val="24"/>
        </w:rPr>
        <w:t>es et facilitation des échanges</w:t>
      </w:r>
    </w:p>
    <w:p w:rsidR="00D24A2B" w:rsidRPr="00446BB8" w:rsidRDefault="00CB5870" w:rsidP="00D24A2B">
      <w:pPr>
        <w:rPr>
          <w:color w:val="000000"/>
        </w:rPr>
      </w:pPr>
      <w:r>
        <w:rPr>
          <w:color w:val="000000"/>
        </w:rPr>
        <w:t xml:space="preserve">L’accord devrait </w:t>
      </w:r>
      <w:r w:rsidR="00B967F7">
        <w:rPr>
          <w:color w:val="000000"/>
        </w:rPr>
        <w:t xml:space="preserve">comporter </w:t>
      </w:r>
      <w:r>
        <w:rPr>
          <w:color w:val="000000"/>
        </w:rPr>
        <w:t>des dispositions destinées à encore faciliter les échanges entre les parties</w:t>
      </w:r>
      <w:r w:rsidR="00D24A2B" w:rsidRPr="00446BB8">
        <w:rPr>
          <w:color w:val="000000"/>
        </w:rPr>
        <w:t xml:space="preserve">, </w:t>
      </w:r>
      <w:r>
        <w:rPr>
          <w:color w:val="000000"/>
        </w:rPr>
        <w:t>tout en garantissant des contrôles efficaces et des mesures antifraude</w:t>
      </w:r>
      <w:r w:rsidR="00D24A2B" w:rsidRPr="00446BB8">
        <w:rPr>
          <w:color w:val="000000"/>
        </w:rPr>
        <w:t xml:space="preserve">. </w:t>
      </w:r>
      <w:r>
        <w:rPr>
          <w:color w:val="000000"/>
        </w:rPr>
        <w:t xml:space="preserve">À cet effet, il devrait se fonder sur l’accord sur la facilitation des échanges de l’OMC et comprendre des obligations détaillées visant, entre autres, à </w:t>
      </w:r>
      <w:r w:rsidR="007320C5">
        <w:rPr>
          <w:color w:val="000000"/>
        </w:rPr>
        <w:t>encourager</w:t>
      </w:r>
      <w:r w:rsidR="00D24A2B" w:rsidRPr="00446BB8">
        <w:rPr>
          <w:color w:val="000000"/>
        </w:rPr>
        <w:t xml:space="preserve"> </w:t>
      </w:r>
      <w:r>
        <w:rPr>
          <w:color w:val="000000"/>
        </w:rPr>
        <w:t xml:space="preserve">la </w:t>
      </w:r>
      <w:r w:rsidR="00D24A2B" w:rsidRPr="00446BB8">
        <w:rPr>
          <w:color w:val="000000"/>
        </w:rPr>
        <w:t xml:space="preserve">modernisation </w:t>
      </w:r>
      <w:r>
        <w:rPr>
          <w:color w:val="000000"/>
        </w:rPr>
        <w:t xml:space="preserve">et la </w:t>
      </w:r>
      <w:r w:rsidR="00D24A2B" w:rsidRPr="00446BB8">
        <w:rPr>
          <w:color w:val="000000"/>
        </w:rPr>
        <w:t xml:space="preserve">simplification </w:t>
      </w:r>
      <w:r>
        <w:rPr>
          <w:color w:val="000000"/>
        </w:rPr>
        <w:t>des règles et des procéd</w:t>
      </w:r>
      <w:r w:rsidR="00060035">
        <w:rPr>
          <w:color w:val="000000"/>
        </w:rPr>
        <w:t>u</w:t>
      </w:r>
      <w:r>
        <w:rPr>
          <w:color w:val="000000"/>
        </w:rPr>
        <w:t>res</w:t>
      </w:r>
      <w:r w:rsidR="00D24A2B" w:rsidRPr="00446BB8">
        <w:rPr>
          <w:color w:val="000000"/>
        </w:rPr>
        <w:t xml:space="preserve">, </w:t>
      </w:r>
      <w:r w:rsidR="00060035">
        <w:rPr>
          <w:color w:val="000000"/>
        </w:rPr>
        <w:t xml:space="preserve">une </w:t>
      </w:r>
      <w:r w:rsidR="00D24A2B" w:rsidRPr="00446BB8">
        <w:rPr>
          <w:color w:val="000000"/>
        </w:rPr>
        <w:t>documentation</w:t>
      </w:r>
      <w:r w:rsidR="00060035">
        <w:rPr>
          <w:color w:val="000000"/>
        </w:rPr>
        <w:t xml:space="preserve"> standardisée</w:t>
      </w:r>
      <w:r w:rsidR="00D24A2B" w:rsidRPr="00446BB8">
        <w:rPr>
          <w:color w:val="000000"/>
        </w:rPr>
        <w:t xml:space="preserve">, </w:t>
      </w:r>
      <w:r w:rsidR="00060035">
        <w:rPr>
          <w:color w:val="000000"/>
        </w:rPr>
        <w:t xml:space="preserve">la </w:t>
      </w:r>
      <w:r w:rsidR="00D24A2B" w:rsidRPr="00446BB8">
        <w:rPr>
          <w:color w:val="000000"/>
        </w:rPr>
        <w:t>transparenc</w:t>
      </w:r>
      <w:r w:rsidR="00060035">
        <w:rPr>
          <w:color w:val="000000"/>
        </w:rPr>
        <w:t>e</w:t>
      </w:r>
      <w:r w:rsidR="00D24A2B" w:rsidRPr="00446BB8">
        <w:rPr>
          <w:color w:val="000000"/>
        </w:rPr>
        <w:t xml:space="preserve">, </w:t>
      </w:r>
      <w:r w:rsidR="00060035">
        <w:rPr>
          <w:color w:val="000000"/>
        </w:rPr>
        <w:t xml:space="preserve">la sécurité juridique et la </w:t>
      </w:r>
      <w:r w:rsidR="00D24A2B" w:rsidRPr="00446BB8">
        <w:rPr>
          <w:color w:val="000000"/>
        </w:rPr>
        <w:t>coop</w:t>
      </w:r>
      <w:r w:rsidR="00060035">
        <w:rPr>
          <w:color w:val="000000"/>
        </w:rPr>
        <w:t>é</w:t>
      </w:r>
      <w:r w:rsidR="00D24A2B" w:rsidRPr="00446BB8">
        <w:rPr>
          <w:color w:val="000000"/>
        </w:rPr>
        <w:t>ration</w:t>
      </w:r>
      <w:r w:rsidR="00060035">
        <w:rPr>
          <w:color w:val="000000"/>
        </w:rPr>
        <w:t xml:space="preserve"> </w:t>
      </w:r>
      <w:r w:rsidR="00D24A2B" w:rsidRPr="00446BB8">
        <w:rPr>
          <w:color w:val="000000"/>
        </w:rPr>
        <w:t>en</w:t>
      </w:r>
      <w:r w:rsidR="00060035">
        <w:rPr>
          <w:color w:val="000000"/>
        </w:rPr>
        <w:t>tre les autorités douanières</w:t>
      </w:r>
      <w:r w:rsidR="00D24A2B" w:rsidRPr="00446BB8">
        <w:rPr>
          <w:color w:val="000000"/>
        </w:rPr>
        <w:t xml:space="preserve">. </w:t>
      </w:r>
    </w:p>
    <w:p w:rsidR="00D24A2B" w:rsidRPr="00446BB8" w:rsidRDefault="005C553C" w:rsidP="00D24A2B">
      <w:pPr>
        <w:rPr>
          <w:color w:val="000000"/>
        </w:rPr>
      </w:pPr>
      <w:r>
        <w:rPr>
          <w:color w:val="000000"/>
        </w:rPr>
        <w:t>Cette coopération devrait notamment prendre la forme d’échanges de renseignements relatifs à la sécurité de la chaîne d’approvisionnement et à la gestion des risques et</w:t>
      </w:r>
      <w:r w:rsidR="00D24A2B" w:rsidRPr="00446BB8">
        <w:rPr>
          <w:color w:val="000000"/>
        </w:rPr>
        <w:t xml:space="preserve">, </w:t>
      </w:r>
      <w:r>
        <w:rPr>
          <w:color w:val="000000"/>
        </w:rPr>
        <w:t>si nécessaire</w:t>
      </w:r>
      <w:r w:rsidR="00D24A2B" w:rsidRPr="00446BB8">
        <w:rPr>
          <w:color w:val="000000"/>
        </w:rPr>
        <w:t xml:space="preserve">, </w:t>
      </w:r>
      <w:r>
        <w:rPr>
          <w:color w:val="000000"/>
        </w:rPr>
        <w:t>l’instauration de la reconnaissance mutuelle des techniques de gestion des risques</w:t>
      </w:r>
      <w:r w:rsidR="00D24A2B" w:rsidRPr="00446BB8">
        <w:rPr>
          <w:color w:val="000000"/>
        </w:rPr>
        <w:t xml:space="preserve">, </w:t>
      </w:r>
      <w:r>
        <w:rPr>
          <w:color w:val="000000"/>
        </w:rPr>
        <w:t>des normes en matière de risques</w:t>
      </w:r>
      <w:r w:rsidR="00D24A2B" w:rsidRPr="00446BB8">
        <w:rPr>
          <w:color w:val="000000"/>
        </w:rPr>
        <w:t xml:space="preserve">, </w:t>
      </w:r>
      <w:r>
        <w:rPr>
          <w:color w:val="000000"/>
        </w:rPr>
        <w:t xml:space="preserve">des </w:t>
      </w:r>
      <w:r w:rsidR="00D24A2B" w:rsidRPr="00446BB8">
        <w:rPr>
          <w:color w:val="000000"/>
        </w:rPr>
        <w:t>contr</w:t>
      </w:r>
      <w:r>
        <w:rPr>
          <w:color w:val="000000"/>
        </w:rPr>
        <w:t>ô</w:t>
      </w:r>
      <w:r w:rsidR="00D24A2B" w:rsidRPr="00446BB8">
        <w:rPr>
          <w:color w:val="000000"/>
        </w:rPr>
        <w:t>l</w:t>
      </w:r>
      <w:r>
        <w:rPr>
          <w:color w:val="000000"/>
        </w:rPr>
        <w:t>e</w:t>
      </w:r>
      <w:r w:rsidR="00D24A2B" w:rsidRPr="00446BB8">
        <w:rPr>
          <w:color w:val="000000"/>
        </w:rPr>
        <w:t>s</w:t>
      </w:r>
      <w:r>
        <w:rPr>
          <w:color w:val="000000"/>
        </w:rPr>
        <w:t xml:space="preserve"> de sécurité</w:t>
      </w:r>
      <w:r w:rsidR="00D24A2B" w:rsidRPr="00446BB8">
        <w:rPr>
          <w:color w:val="000000"/>
        </w:rPr>
        <w:t xml:space="preserve"> </w:t>
      </w:r>
      <w:r>
        <w:rPr>
          <w:color w:val="000000"/>
        </w:rPr>
        <w:t xml:space="preserve">et des </w:t>
      </w:r>
      <w:r w:rsidR="00D24A2B" w:rsidRPr="00446BB8">
        <w:rPr>
          <w:color w:val="000000"/>
        </w:rPr>
        <w:t>programmes</w:t>
      </w:r>
      <w:r>
        <w:rPr>
          <w:color w:val="000000"/>
        </w:rPr>
        <w:t xml:space="preserve"> de partenariat commercial</w:t>
      </w:r>
      <w:r w:rsidR="00D24A2B" w:rsidRPr="00446BB8">
        <w:rPr>
          <w:color w:val="000000"/>
        </w:rPr>
        <w:t xml:space="preserve"> </w:t>
      </w:r>
      <w:r>
        <w:rPr>
          <w:color w:val="000000"/>
        </w:rPr>
        <w:t>pour les opérateurs économiques respectueux des règles et fiables</w:t>
      </w:r>
      <w:r w:rsidR="00D24A2B" w:rsidRPr="00446BB8">
        <w:rPr>
          <w:color w:val="000000"/>
        </w:rPr>
        <w:t xml:space="preserve">, </w:t>
      </w:r>
      <w:r>
        <w:rPr>
          <w:color w:val="000000"/>
        </w:rPr>
        <w:t>à arrêter et à mettre en œuvre par le comité compétent</w:t>
      </w:r>
      <w:r w:rsidR="00D24A2B" w:rsidRPr="00446BB8">
        <w:rPr>
          <w:color w:val="000000"/>
        </w:rPr>
        <w:t xml:space="preserve">. </w:t>
      </w:r>
      <w:r>
        <w:rPr>
          <w:color w:val="000000"/>
        </w:rPr>
        <w:t>Il devrait aussi moderniser les dispositions actuelles concernant l’assistance administrative mutuelle en matière douanière</w:t>
      </w:r>
      <w:r w:rsidR="006D6B9F" w:rsidRPr="00446BB8">
        <w:rPr>
          <w:color w:val="000000"/>
        </w:rPr>
        <w:t>.</w:t>
      </w:r>
    </w:p>
    <w:p w:rsidR="00D24A2B" w:rsidRPr="00446BB8" w:rsidRDefault="0035070C" w:rsidP="00D24A2B">
      <w:pPr>
        <w:rPr>
          <w:color w:val="000000"/>
        </w:rPr>
      </w:pPr>
      <w:r>
        <w:rPr>
          <w:color w:val="000000"/>
        </w:rPr>
        <w:t xml:space="preserve">Ces dispositions devraient aussi </w:t>
      </w:r>
      <w:r w:rsidR="007320C5">
        <w:rPr>
          <w:color w:val="000000"/>
        </w:rPr>
        <w:t>encourager</w:t>
      </w:r>
      <w:r>
        <w:rPr>
          <w:color w:val="000000"/>
        </w:rPr>
        <w:t xml:space="preserve"> la </w:t>
      </w:r>
      <w:r w:rsidR="00D24A2B" w:rsidRPr="00446BB8">
        <w:rPr>
          <w:color w:val="000000"/>
        </w:rPr>
        <w:t xml:space="preserve">convergence </w:t>
      </w:r>
      <w:r>
        <w:rPr>
          <w:color w:val="000000"/>
        </w:rPr>
        <w:t xml:space="preserve">dans le domaine de la </w:t>
      </w:r>
      <w:r w:rsidR="00D24A2B" w:rsidRPr="00446BB8">
        <w:rPr>
          <w:color w:val="000000"/>
        </w:rPr>
        <w:t>facilitation</w:t>
      </w:r>
      <w:r>
        <w:rPr>
          <w:color w:val="000000"/>
        </w:rPr>
        <w:t xml:space="preserve"> des échanges</w:t>
      </w:r>
      <w:r w:rsidR="00D24A2B" w:rsidRPr="00446BB8">
        <w:rPr>
          <w:color w:val="000000"/>
        </w:rPr>
        <w:t xml:space="preserve">, </w:t>
      </w:r>
      <w:r>
        <w:rPr>
          <w:color w:val="000000"/>
        </w:rPr>
        <w:t>au moyen de la mise en œuvre et de l’application effectives des règles et des normes internationales dans le domaine des</w:t>
      </w:r>
      <w:r w:rsidR="00D24A2B" w:rsidRPr="00446BB8">
        <w:rPr>
          <w:color w:val="000000"/>
        </w:rPr>
        <w:t xml:space="preserve"> </w:t>
      </w:r>
      <w:r>
        <w:rPr>
          <w:color w:val="000000"/>
        </w:rPr>
        <w:t>procédures douanières et des autres procédures commerciales</w:t>
      </w:r>
      <w:r w:rsidR="00D24A2B" w:rsidRPr="00446BB8">
        <w:rPr>
          <w:color w:val="000000"/>
        </w:rPr>
        <w:t xml:space="preserve">, </w:t>
      </w:r>
      <w:r>
        <w:rPr>
          <w:color w:val="000000"/>
        </w:rPr>
        <w:t xml:space="preserve">notamment des dispositions des instruments de l’OMC et </w:t>
      </w:r>
      <w:r w:rsidR="007604F9">
        <w:rPr>
          <w:color w:val="000000"/>
        </w:rPr>
        <w:t xml:space="preserve">de </w:t>
      </w:r>
      <w:r>
        <w:rPr>
          <w:color w:val="000000"/>
        </w:rPr>
        <w:t>l’Organisation mondiale des douanes</w:t>
      </w:r>
      <w:r w:rsidR="00D24A2B" w:rsidRPr="00446BB8">
        <w:rPr>
          <w:color w:val="000000"/>
        </w:rPr>
        <w:t xml:space="preserve"> </w:t>
      </w:r>
      <w:r>
        <w:rPr>
          <w:color w:val="000000"/>
        </w:rPr>
        <w:t>et</w:t>
      </w:r>
      <w:r w:rsidR="00D24A2B" w:rsidRPr="00446BB8">
        <w:rPr>
          <w:color w:val="000000"/>
        </w:rPr>
        <w:t xml:space="preserve">, </w:t>
      </w:r>
      <w:r>
        <w:rPr>
          <w:color w:val="000000"/>
        </w:rPr>
        <w:t>entre autres</w:t>
      </w:r>
      <w:r w:rsidR="00D24A2B" w:rsidRPr="00446BB8">
        <w:rPr>
          <w:color w:val="000000"/>
        </w:rPr>
        <w:t xml:space="preserve">, </w:t>
      </w:r>
      <w:r>
        <w:rPr>
          <w:color w:val="000000"/>
        </w:rPr>
        <w:t>de la convention de</w:t>
      </w:r>
      <w:r w:rsidR="00D24A2B" w:rsidRPr="00446BB8">
        <w:rPr>
          <w:color w:val="000000"/>
        </w:rPr>
        <w:t xml:space="preserve"> Kyoto</w:t>
      </w:r>
      <w:r>
        <w:rPr>
          <w:color w:val="000000"/>
        </w:rPr>
        <w:t xml:space="preserve"> révisée.</w:t>
      </w:r>
    </w:p>
    <w:p w:rsidR="00D24A2B" w:rsidRPr="00446BB8" w:rsidRDefault="007604F9" w:rsidP="00D24A2B">
      <w:pPr>
        <w:spacing w:before="360"/>
        <w:rPr>
          <w:b/>
          <w:i/>
          <w:szCs w:val="24"/>
        </w:rPr>
      </w:pPr>
      <w:r>
        <w:rPr>
          <w:b/>
          <w:i/>
          <w:szCs w:val="24"/>
        </w:rPr>
        <w:t>Mesures non tarifaires</w:t>
      </w:r>
      <w:r w:rsidR="00D24A2B" w:rsidRPr="00446BB8">
        <w:rPr>
          <w:b/>
          <w:i/>
          <w:szCs w:val="24"/>
        </w:rPr>
        <w:t xml:space="preserve"> </w:t>
      </w:r>
    </w:p>
    <w:p w:rsidR="00D24A2B" w:rsidRPr="00446BB8" w:rsidRDefault="007604F9" w:rsidP="00D24A2B">
      <w:pPr>
        <w:rPr>
          <w:color w:val="000000"/>
        </w:rPr>
      </w:pPr>
      <w:r>
        <w:rPr>
          <w:color w:val="000000"/>
        </w:rPr>
        <w:lastRenderedPageBreak/>
        <w:t>L’accord devrait viser à supprimer les ob</w:t>
      </w:r>
      <w:r w:rsidR="00D24A2B" w:rsidRPr="00446BB8">
        <w:rPr>
          <w:color w:val="000000"/>
        </w:rPr>
        <w:t xml:space="preserve">stacles </w:t>
      </w:r>
      <w:r>
        <w:rPr>
          <w:color w:val="000000"/>
        </w:rPr>
        <w:t xml:space="preserve">superflus au commerce et </w:t>
      </w:r>
      <w:r w:rsidR="007320C5">
        <w:rPr>
          <w:color w:val="000000"/>
        </w:rPr>
        <w:t>à l’</w:t>
      </w:r>
      <w:r>
        <w:rPr>
          <w:color w:val="000000"/>
        </w:rPr>
        <w:t>investissement</w:t>
      </w:r>
      <w:r w:rsidR="00D24A2B" w:rsidRPr="00446BB8">
        <w:rPr>
          <w:color w:val="000000"/>
        </w:rPr>
        <w:t xml:space="preserve">, </w:t>
      </w:r>
      <w:r>
        <w:rPr>
          <w:color w:val="000000"/>
        </w:rPr>
        <w:t>notamment les obstacles non tarifaires restant</w:t>
      </w:r>
      <w:r w:rsidR="00D24A2B" w:rsidRPr="00446BB8">
        <w:rPr>
          <w:color w:val="000000"/>
        </w:rPr>
        <w:t xml:space="preserve">s, </w:t>
      </w:r>
      <w:r>
        <w:rPr>
          <w:color w:val="000000"/>
        </w:rPr>
        <w:t>grâce à des mécanismes efficaces et efficients</w:t>
      </w:r>
      <w:r w:rsidR="00D24A2B" w:rsidRPr="00446BB8">
        <w:rPr>
          <w:color w:val="000000"/>
        </w:rPr>
        <w:t xml:space="preserve">, </w:t>
      </w:r>
      <w:r>
        <w:rPr>
          <w:color w:val="000000"/>
        </w:rPr>
        <w:t xml:space="preserve">et </w:t>
      </w:r>
      <w:r w:rsidR="007320C5">
        <w:rPr>
          <w:color w:val="000000"/>
        </w:rPr>
        <w:t>encourager</w:t>
      </w:r>
      <w:r w:rsidR="00D24A2B" w:rsidRPr="00446BB8">
        <w:rPr>
          <w:color w:val="000000"/>
        </w:rPr>
        <w:t xml:space="preserve"> </w:t>
      </w:r>
      <w:r>
        <w:rPr>
          <w:color w:val="000000"/>
        </w:rPr>
        <w:t xml:space="preserve">la cohérence réglementaire pour les biens et les </w:t>
      </w:r>
      <w:r w:rsidR="00D24A2B" w:rsidRPr="00446BB8">
        <w:rPr>
          <w:color w:val="000000"/>
        </w:rPr>
        <w:t>services en</w:t>
      </w:r>
      <w:r>
        <w:rPr>
          <w:color w:val="000000"/>
        </w:rPr>
        <w:t>tre l’UE et le Chili</w:t>
      </w:r>
      <w:r w:rsidR="00D24A2B" w:rsidRPr="00446BB8">
        <w:rPr>
          <w:color w:val="000000"/>
        </w:rPr>
        <w:t>.</w:t>
      </w:r>
    </w:p>
    <w:p w:rsidR="00D24A2B" w:rsidRPr="00446BB8" w:rsidRDefault="00E84C34" w:rsidP="00D24A2B">
      <w:pPr>
        <w:rPr>
          <w:color w:val="000000"/>
        </w:rPr>
      </w:pPr>
      <w:r>
        <w:rPr>
          <w:color w:val="000000"/>
        </w:rPr>
        <w:t>Le problème des obstacles non tarifaires spécifiques à certains produits devrait être réglé sur la base de demandes et d’offres, parallèlement aux échanges sur les concessions tarifaires</w:t>
      </w:r>
      <w:r w:rsidR="00D24A2B" w:rsidRPr="00446BB8">
        <w:rPr>
          <w:color w:val="000000"/>
        </w:rPr>
        <w:t xml:space="preserve">. </w:t>
      </w:r>
      <w:r w:rsidR="008C6095">
        <w:rPr>
          <w:color w:val="000000"/>
        </w:rPr>
        <w:t>L’accord devrait contenir des engagements sectoriels concernant les obstacles non tarifaires</w:t>
      </w:r>
      <w:r w:rsidR="00D24A2B" w:rsidRPr="00446BB8">
        <w:rPr>
          <w:color w:val="000000"/>
        </w:rPr>
        <w:t xml:space="preserve">. </w:t>
      </w:r>
      <w:r w:rsidR="008C6095">
        <w:rPr>
          <w:color w:val="000000"/>
        </w:rPr>
        <w:t xml:space="preserve">Il devrait aussi prévoir des procédures </w:t>
      </w:r>
      <w:r w:rsidR="00D24A2B" w:rsidRPr="00446BB8">
        <w:rPr>
          <w:color w:val="000000"/>
        </w:rPr>
        <w:t>appropri</w:t>
      </w:r>
      <w:r w:rsidR="008C6095">
        <w:rPr>
          <w:color w:val="000000"/>
        </w:rPr>
        <w:t>é</w:t>
      </w:r>
      <w:r w:rsidR="00D24A2B" w:rsidRPr="00446BB8">
        <w:rPr>
          <w:color w:val="000000"/>
        </w:rPr>
        <w:t>e</w:t>
      </w:r>
      <w:r w:rsidR="008C6095">
        <w:rPr>
          <w:color w:val="000000"/>
        </w:rPr>
        <w:t>s</w:t>
      </w:r>
      <w:r w:rsidR="00D24A2B" w:rsidRPr="00446BB8">
        <w:rPr>
          <w:color w:val="000000"/>
        </w:rPr>
        <w:t xml:space="preserve"> </w:t>
      </w:r>
      <w:r w:rsidR="008C6095">
        <w:rPr>
          <w:color w:val="000000"/>
        </w:rPr>
        <w:t xml:space="preserve">pour prévenir </w:t>
      </w:r>
      <w:r w:rsidR="00FA09BB">
        <w:rPr>
          <w:color w:val="000000"/>
        </w:rPr>
        <w:t>l’apparition de</w:t>
      </w:r>
      <w:r w:rsidR="008C6095">
        <w:rPr>
          <w:color w:val="000000"/>
        </w:rPr>
        <w:t xml:space="preserve"> nouveaux obstacles non tarifaires et </w:t>
      </w:r>
      <w:r w:rsidR="00FA09BB">
        <w:rPr>
          <w:color w:val="000000"/>
        </w:rPr>
        <w:t>d’</w:t>
      </w:r>
      <w:r w:rsidR="008C6095">
        <w:rPr>
          <w:color w:val="000000"/>
        </w:rPr>
        <w:t>autres obstacles au commerce</w:t>
      </w:r>
      <w:r w:rsidR="00FA09BB">
        <w:rPr>
          <w:color w:val="000000"/>
        </w:rPr>
        <w:t xml:space="preserve"> superflus</w:t>
      </w:r>
      <w:r w:rsidR="00D24A2B" w:rsidRPr="00446BB8">
        <w:rPr>
          <w:color w:val="000000"/>
        </w:rPr>
        <w:t xml:space="preserve">, </w:t>
      </w:r>
      <w:r w:rsidR="008C6095">
        <w:rPr>
          <w:color w:val="000000"/>
        </w:rPr>
        <w:t>notamment grâce à la transparence des dispositions législatives et réglementaires applicables</w:t>
      </w:r>
      <w:r w:rsidR="00D24A2B" w:rsidRPr="00446BB8">
        <w:rPr>
          <w:color w:val="000000"/>
        </w:rPr>
        <w:t>.</w:t>
      </w:r>
    </w:p>
    <w:p w:rsidR="00D24A2B" w:rsidRPr="00446BB8" w:rsidRDefault="008C6095" w:rsidP="00D24A2B">
      <w:pPr>
        <w:rPr>
          <w:color w:val="000000"/>
        </w:rPr>
      </w:pPr>
      <w:r>
        <w:rPr>
          <w:color w:val="000000"/>
        </w:rPr>
        <w:t xml:space="preserve">L’accord devrait </w:t>
      </w:r>
      <w:r w:rsidR="005212E5">
        <w:rPr>
          <w:color w:val="000000"/>
        </w:rPr>
        <w:t>comporter</w:t>
      </w:r>
      <w:r>
        <w:rPr>
          <w:color w:val="000000"/>
        </w:rPr>
        <w:t xml:space="preserve"> des dispositions relatives aux entreprises commerciales d’État</w:t>
      </w:r>
      <w:r w:rsidR="00D24A2B" w:rsidRPr="00446BB8">
        <w:rPr>
          <w:color w:val="000000"/>
        </w:rPr>
        <w:t xml:space="preserve">, </w:t>
      </w:r>
      <w:r w:rsidR="0012431A">
        <w:rPr>
          <w:color w:val="000000"/>
        </w:rPr>
        <w:t>et évaluer toute distorsion possible de la concurrence et les obstacles au commerce et à l’investissement qu</w:t>
      </w:r>
      <w:r w:rsidR="00FA09BB">
        <w:rPr>
          <w:color w:val="000000"/>
        </w:rPr>
        <w:t>’elle</w:t>
      </w:r>
      <w:r w:rsidR="0012431A">
        <w:rPr>
          <w:color w:val="000000"/>
        </w:rPr>
        <w:t xml:space="preserve"> pourrait créer</w:t>
      </w:r>
      <w:r w:rsidR="00D24A2B" w:rsidRPr="00446BB8">
        <w:rPr>
          <w:color w:val="000000"/>
        </w:rPr>
        <w:t>.</w:t>
      </w:r>
    </w:p>
    <w:p w:rsidR="00D24A2B" w:rsidRPr="00446BB8" w:rsidRDefault="0012431A" w:rsidP="00D24A2B">
      <w:pPr>
        <w:rPr>
          <w:color w:val="000000"/>
        </w:rPr>
      </w:pPr>
      <w:r>
        <w:rPr>
          <w:color w:val="000000"/>
        </w:rPr>
        <w:t xml:space="preserve">La question des obstacles au commerce liés à la localisation </w:t>
      </w:r>
      <w:r w:rsidR="00D24A2B" w:rsidRPr="00446BB8">
        <w:rPr>
          <w:color w:val="000000"/>
        </w:rPr>
        <w:t xml:space="preserve">(mesures </w:t>
      </w:r>
      <w:r>
        <w:rPr>
          <w:color w:val="000000"/>
        </w:rPr>
        <w:t>destinées à protéger</w:t>
      </w:r>
      <w:r w:rsidR="00D24A2B" w:rsidRPr="00446BB8">
        <w:rPr>
          <w:color w:val="000000"/>
        </w:rPr>
        <w:t>,</w:t>
      </w:r>
      <w:r>
        <w:rPr>
          <w:color w:val="000000"/>
        </w:rPr>
        <w:t xml:space="preserve"> à favoriser ou à </w:t>
      </w:r>
      <w:r w:rsidR="00E2094E">
        <w:rPr>
          <w:color w:val="000000"/>
        </w:rPr>
        <w:t>s</w:t>
      </w:r>
      <w:r w:rsidR="00E2094E" w:rsidRPr="00446BB8">
        <w:rPr>
          <w:color w:val="000000"/>
        </w:rPr>
        <w:t>timuler</w:t>
      </w:r>
      <w:r w:rsidR="00D24A2B" w:rsidRPr="00446BB8">
        <w:rPr>
          <w:color w:val="000000"/>
        </w:rPr>
        <w:t xml:space="preserve"> </w:t>
      </w:r>
      <w:r>
        <w:rPr>
          <w:color w:val="000000"/>
        </w:rPr>
        <w:t>les opérateurs économiques nationaux au détriment des biens</w:t>
      </w:r>
      <w:r w:rsidR="005A1259">
        <w:rPr>
          <w:color w:val="000000"/>
        </w:rPr>
        <w:t xml:space="preserve"> ou des services importés ou de la propriété intellectuelle détenue ou développée à l’étranger</w:t>
      </w:r>
      <w:r w:rsidR="00D24A2B" w:rsidRPr="00446BB8">
        <w:rPr>
          <w:color w:val="000000"/>
        </w:rPr>
        <w:t xml:space="preserve">) </w:t>
      </w:r>
      <w:r w:rsidR="005A1259">
        <w:rPr>
          <w:color w:val="000000"/>
        </w:rPr>
        <w:t>devrait également être abordée</w:t>
      </w:r>
      <w:r w:rsidR="00D24A2B" w:rsidRPr="00446BB8">
        <w:rPr>
          <w:color w:val="000000"/>
        </w:rPr>
        <w:t>.</w:t>
      </w:r>
    </w:p>
    <w:p w:rsidR="00D24A2B" w:rsidRPr="00446BB8" w:rsidRDefault="006C14FE" w:rsidP="00D24A2B">
      <w:pPr>
        <w:spacing w:before="360"/>
        <w:rPr>
          <w:u w:val="single"/>
          <w:lang w:eastAsia="en-GB"/>
        </w:rPr>
      </w:pPr>
      <w:r>
        <w:rPr>
          <w:u w:val="single"/>
          <w:lang w:eastAsia="en-GB"/>
        </w:rPr>
        <w:t>Ré</w:t>
      </w:r>
      <w:r w:rsidR="001F14CD">
        <w:rPr>
          <w:u w:val="single"/>
          <w:lang w:eastAsia="en-GB"/>
        </w:rPr>
        <w:t>glement</w:t>
      </w:r>
      <w:r>
        <w:rPr>
          <w:u w:val="single"/>
          <w:lang w:eastAsia="en-GB"/>
        </w:rPr>
        <w:t>ation</w:t>
      </w:r>
      <w:r w:rsidR="001F14CD">
        <w:rPr>
          <w:u w:val="single"/>
          <w:lang w:eastAsia="en-GB"/>
        </w:rPr>
        <w:t>s techniques</w:t>
      </w:r>
      <w:r w:rsidR="00D24A2B" w:rsidRPr="00446BB8">
        <w:rPr>
          <w:u w:val="single"/>
          <w:lang w:eastAsia="en-GB"/>
        </w:rPr>
        <w:t xml:space="preserve">, </w:t>
      </w:r>
      <w:r w:rsidR="001F14CD">
        <w:rPr>
          <w:u w:val="single"/>
          <w:lang w:eastAsia="en-GB"/>
        </w:rPr>
        <w:t>normes et procédures d’évaluation de la conformité</w:t>
      </w:r>
      <w:r w:rsidR="00D24A2B" w:rsidRPr="00446BB8">
        <w:rPr>
          <w:u w:val="single"/>
          <w:lang w:eastAsia="en-GB"/>
        </w:rPr>
        <w:t xml:space="preserve"> </w:t>
      </w:r>
    </w:p>
    <w:p w:rsidR="00D24A2B" w:rsidRPr="00446BB8" w:rsidRDefault="006C14FE" w:rsidP="00D24A2B">
      <w:pPr>
        <w:rPr>
          <w:color w:val="000000"/>
        </w:rPr>
      </w:pPr>
      <w:r>
        <w:rPr>
          <w:color w:val="000000"/>
        </w:rPr>
        <w:t>Les p</w:t>
      </w:r>
      <w:r w:rsidR="00D24A2B" w:rsidRPr="00446BB8">
        <w:rPr>
          <w:color w:val="000000"/>
        </w:rPr>
        <w:t xml:space="preserve">arties </w:t>
      </w:r>
      <w:r>
        <w:rPr>
          <w:color w:val="000000"/>
        </w:rPr>
        <w:t>devraient prévoir des dispositions complètes sur les obstacles techniques au commerce (OTC)</w:t>
      </w:r>
      <w:r w:rsidR="00D24A2B" w:rsidRPr="00446BB8">
        <w:rPr>
          <w:color w:val="000000"/>
        </w:rPr>
        <w:t xml:space="preserve">, </w:t>
      </w:r>
      <w:r>
        <w:rPr>
          <w:color w:val="000000"/>
        </w:rPr>
        <w:t>lesquelles devraient se fonder sur l’Accord de l’OMC sur les obstacles techniques au commerce (Accord OTC</w:t>
      </w:r>
      <w:r w:rsidR="00D24A2B" w:rsidRPr="00446BB8">
        <w:rPr>
          <w:color w:val="000000"/>
        </w:rPr>
        <w:t>)</w:t>
      </w:r>
      <w:r>
        <w:rPr>
          <w:color w:val="000000"/>
        </w:rPr>
        <w:t xml:space="preserve"> tout en étant plus ambitieuses</w:t>
      </w:r>
      <w:r w:rsidR="00D24A2B" w:rsidRPr="00446BB8">
        <w:rPr>
          <w:color w:val="000000"/>
        </w:rPr>
        <w:t xml:space="preserve">. </w:t>
      </w:r>
      <w:r>
        <w:rPr>
          <w:color w:val="000000"/>
        </w:rPr>
        <w:t xml:space="preserve">Ces dispositions devraient viser, entre autres, à garantir la </w:t>
      </w:r>
      <w:r w:rsidR="00D24A2B" w:rsidRPr="00446BB8">
        <w:rPr>
          <w:color w:val="000000"/>
        </w:rPr>
        <w:t>compatibilit</w:t>
      </w:r>
      <w:r>
        <w:rPr>
          <w:color w:val="000000"/>
        </w:rPr>
        <w:t>é</w:t>
      </w:r>
      <w:r w:rsidR="00D24A2B" w:rsidRPr="00446BB8">
        <w:rPr>
          <w:color w:val="000000"/>
        </w:rPr>
        <w:t xml:space="preserve"> </w:t>
      </w:r>
      <w:r>
        <w:rPr>
          <w:color w:val="000000"/>
        </w:rPr>
        <w:t xml:space="preserve">et la </w:t>
      </w:r>
      <w:r w:rsidR="00D24A2B" w:rsidRPr="00446BB8">
        <w:rPr>
          <w:color w:val="000000"/>
        </w:rPr>
        <w:t xml:space="preserve">convergence </w:t>
      </w:r>
      <w:r>
        <w:rPr>
          <w:color w:val="000000"/>
        </w:rPr>
        <w:t>des réglementations techniques au moyen de l’</w:t>
      </w:r>
      <w:r w:rsidR="00D24A2B" w:rsidRPr="00446BB8">
        <w:rPr>
          <w:color w:val="000000"/>
        </w:rPr>
        <w:t xml:space="preserve">application </w:t>
      </w:r>
      <w:r>
        <w:rPr>
          <w:color w:val="000000"/>
        </w:rPr>
        <w:t xml:space="preserve">de normes </w:t>
      </w:r>
      <w:r w:rsidR="00D24A2B" w:rsidRPr="00446BB8">
        <w:rPr>
          <w:color w:val="000000"/>
        </w:rPr>
        <w:t>international</w:t>
      </w:r>
      <w:r>
        <w:rPr>
          <w:color w:val="000000"/>
        </w:rPr>
        <w:t>es</w:t>
      </w:r>
      <w:r w:rsidR="00D24A2B" w:rsidRPr="00446BB8">
        <w:rPr>
          <w:color w:val="000000"/>
        </w:rPr>
        <w:t xml:space="preserve">, </w:t>
      </w:r>
      <w:r w:rsidR="008F6149">
        <w:rPr>
          <w:color w:val="000000"/>
        </w:rPr>
        <w:t xml:space="preserve">à rationaliser les exigences en matière d’essais et de </w:t>
      </w:r>
      <w:r w:rsidR="00D24A2B" w:rsidRPr="00446BB8">
        <w:rPr>
          <w:color w:val="000000"/>
        </w:rPr>
        <w:t xml:space="preserve">certification, </w:t>
      </w:r>
      <w:r w:rsidR="008F6149">
        <w:rPr>
          <w:color w:val="000000"/>
        </w:rPr>
        <w:t>par exemple grâce à une méthode d’évaluation de la conformité fondée sur les risques</w:t>
      </w:r>
      <w:r w:rsidR="00D24A2B" w:rsidRPr="00446BB8">
        <w:rPr>
          <w:color w:val="000000"/>
        </w:rPr>
        <w:t xml:space="preserve"> (</w:t>
      </w:r>
      <w:r w:rsidR="008F6149">
        <w:rPr>
          <w:color w:val="000000"/>
        </w:rPr>
        <w:t>comprenant l’utilisation d’une déclaration sur l’honneur concernant la conformité dans les secteurs où cela est possible et approprié</w:t>
      </w:r>
      <w:r w:rsidR="00D24A2B" w:rsidRPr="00446BB8">
        <w:rPr>
          <w:color w:val="000000"/>
        </w:rPr>
        <w:t xml:space="preserve">), </w:t>
      </w:r>
      <w:r w:rsidR="008F6149">
        <w:rPr>
          <w:color w:val="000000"/>
        </w:rPr>
        <w:t>ainsi qu’à p</w:t>
      </w:r>
      <w:r w:rsidR="00D24A2B" w:rsidRPr="00446BB8">
        <w:rPr>
          <w:color w:val="000000"/>
        </w:rPr>
        <w:t>romo</w:t>
      </w:r>
      <w:r w:rsidR="008F6149">
        <w:rPr>
          <w:color w:val="000000"/>
        </w:rPr>
        <w:t>uvoir</w:t>
      </w:r>
      <w:r w:rsidR="00D24A2B" w:rsidRPr="00446BB8">
        <w:rPr>
          <w:color w:val="000000"/>
        </w:rPr>
        <w:t xml:space="preserve"> </w:t>
      </w:r>
      <w:r w:rsidR="008F6149">
        <w:rPr>
          <w:color w:val="000000"/>
        </w:rPr>
        <w:t>le recours à des procédures d’accréditation</w:t>
      </w:r>
      <w:r w:rsidR="00D24A2B" w:rsidRPr="00446BB8">
        <w:rPr>
          <w:color w:val="000000"/>
        </w:rPr>
        <w:t xml:space="preserve">, </w:t>
      </w:r>
      <w:r w:rsidR="008F6149">
        <w:rPr>
          <w:color w:val="000000"/>
        </w:rPr>
        <w:t xml:space="preserve">à renforcer la </w:t>
      </w:r>
      <w:r w:rsidR="00D24A2B" w:rsidRPr="00446BB8">
        <w:rPr>
          <w:color w:val="000000"/>
        </w:rPr>
        <w:t>transparenc</w:t>
      </w:r>
      <w:r w:rsidR="008F6149">
        <w:rPr>
          <w:color w:val="000000"/>
        </w:rPr>
        <w:t>e</w:t>
      </w:r>
      <w:r w:rsidR="00D24A2B" w:rsidRPr="00446BB8">
        <w:rPr>
          <w:color w:val="000000"/>
        </w:rPr>
        <w:t xml:space="preserve">, </w:t>
      </w:r>
      <w:r w:rsidR="008F6149">
        <w:rPr>
          <w:color w:val="000000"/>
        </w:rPr>
        <w:t>à établir</w:t>
      </w:r>
      <w:r w:rsidR="00D24A2B" w:rsidRPr="00446BB8">
        <w:rPr>
          <w:color w:val="000000"/>
        </w:rPr>
        <w:t xml:space="preserve"> </w:t>
      </w:r>
      <w:r w:rsidR="008F6149">
        <w:rPr>
          <w:color w:val="000000"/>
        </w:rPr>
        <w:t xml:space="preserve">un mécanisme </w:t>
      </w:r>
      <w:r w:rsidR="001C2D8A">
        <w:rPr>
          <w:color w:val="000000"/>
        </w:rPr>
        <w:t>de renforcement du dialogue et de la coopération</w:t>
      </w:r>
      <w:r w:rsidR="00D24A2B" w:rsidRPr="00446BB8">
        <w:rPr>
          <w:color w:val="000000"/>
        </w:rPr>
        <w:t xml:space="preserve"> </w:t>
      </w:r>
      <w:r w:rsidR="001C2D8A">
        <w:rPr>
          <w:color w:val="000000"/>
        </w:rPr>
        <w:t>pour le règlement des questions bilatérales liées aux OTC</w:t>
      </w:r>
      <w:r w:rsidR="00D24A2B" w:rsidRPr="00446BB8">
        <w:rPr>
          <w:color w:val="000000"/>
        </w:rPr>
        <w:t xml:space="preserve">, </w:t>
      </w:r>
      <w:r w:rsidR="001C2D8A">
        <w:rPr>
          <w:color w:val="000000"/>
        </w:rPr>
        <w:t>et à améliorer la diffusion des in</w:t>
      </w:r>
      <w:r w:rsidR="00D24A2B" w:rsidRPr="00446BB8">
        <w:rPr>
          <w:color w:val="000000"/>
        </w:rPr>
        <w:t>formation</w:t>
      </w:r>
      <w:r w:rsidR="001C2D8A">
        <w:rPr>
          <w:color w:val="000000"/>
        </w:rPr>
        <w:t xml:space="preserve">s auprès des </w:t>
      </w:r>
      <w:r w:rsidR="00D24A2B" w:rsidRPr="00446BB8">
        <w:rPr>
          <w:color w:val="000000"/>
        </w:rPr>
        <w:t>import</w:t>
      </w:r>
      <w:r w:rsidR="001C2D8A">
        <w:rPr>
          <w:color w:val="000000"/>
        </w:rPr>
        <w:t>at</w:t>
      </w:r>
      <w:r w:rsidR="00D24A2B" w:rsidRPr="00446BB8">
        <w:rPr>
          <w:color w:val="000000"/>
        </w:rPr>
        <w:t>e</w:t>
      </w:r>
      <w:r w:rsidR="001C2D8A">
        <w:rPr>
          <w:color w:val="000000"/>
        </w:rPr>
        <w:t>u</w:t>
      </w:r>
      <w:r w:rsidR="00D24A2B" w:rsidRPr="00446BB8">
        <w:rPr>
          <w:color w:val="000000"/>
        </w:rPr>
        <w:t xml:space="preserve">rs </w:t>
      </w:r>
      <w:r w:rsidR="001C2D8A">
        <w:rPr>
          <w:color w:val="000000"/>
        </w:rPr>
        <w:t>et des exportateurs</w:t>
      </w:r>
      <w:r w:rsidR="00D24A2B" w:rsidRPr="00446BB8">
        <w:rPr>
          <w:color w:val="000000"/>
        </w:rPr>
        <w:t>.</w:t>
      </w:r>
    </w:p>
    <w:p w:rsidR="00D24A2B" w:rsidRPr="00446BB8" w:rsidRDefault="00F7586B" w:rsidP="00D24A2B">
      <w:pPr>
        <w:rPr>
          <w:color w:val="000000"/>
        </w:rPr>
      </w:pPr>
      <w:r>
        <w:rPr>
          <w:color w:val="000000"/>
        </w:rPr>
        <w:t>Des annexes sectorielles exposant des disciplines plus détaillées et plus spécifiques pourraient être envisagées</w:t>
      </w:r>
      <w:r w:rsidR="00D24A2B" w:rsidRPr="00446BB8">
        <w:rPr>
          <w:color w:val="000000"/>
        </w:rPr>
        <w:t>.</w:t>
      </w:r>
    </w:p>
    <w:p w:rsidR="00D24A2B" w:rsidRPr="00446BB8" w:rsidRDefault="00F4060F" w:rsidP="00D24A2B">
      <w:pPr>
        <w:spacing w:before="360"/>
        <w:rPr>
          <w:u w:val="single"/>
          <w:lang w:eastAsia="en-GB"/>
        </w:rPr>
      </w:pPr>
      <w:r>
        <w:rPr>
          <w:u w:val="single"/>
          <w:lang w:eastAsia="en-GB"/>
        </w:rPr>
        <w:t>Mesures sanitaires et p</w:t>
      </w:r>
      <w:r w:rsidR="00D24A2B" w:rsidRPr="00446BB8">
        <w:rPr>
          <w:u w:val="single"/>
          <w:lang w:eastAsia="en-GB"/>
        </w:rPr>
        <w:t>hytosanita</w:t>
      </w:r>
      <w:r>
        <w:rPr>
          <w:u w:val="single"/>
          <w:lang w:eastAsia="en-GB"/>
        </w:rPr>
        <w:t>i</w:t>
      </w:r>
      <w:r w:rsidR="00D24A2B" w:rsidRPr="00446BB8">
        <w:rPr>
          <w:u w:val="single"/>
          <w:lang w:eastAsia="en-GB"/>
        </w:rPr>
        <w:t>res (</w:t>
      </w:r>
      <w:r w:rsidR="00F20A5F">
        <w:rPr>
          <w:u w:val="single"/>
          <w:lang w:eastAsia="en-GB"/>
        </w:rPr>
        <w:t>MS</w:t>
      </w:r>
      <w:r>
        <w:rPr>
          <w:u w:val="single"/>
          <w:lang w:eastAsia="en-GB"/>
        </w:rPr>
        <w:t>P</w:t>
      </w:r>
      <w:r w:rsidR="00D24A2B" w:rsidRPr="00446BB8">
        <w:rPr>
          <w:u w:val="single"/>
          <w:lang w:eastAsia="en-GB"/>
        </w:rPr>
        <w:t>)</w:t>
      </w:r>
    </w:p>
    <w:p w:rsidR="00D24A2B" w:rsidRPr="00446BB8" w:rsidRDefault="00F20A5F" w:rsidP="00D24A2B">
      <w:pPr>
        <w:rPr>
          <w:b/>
          <w:i/>
          <w:color w:val="C00000"/>
          <w:szCs w:val="24"/>
        </w:rPr>
      </w:pPr>
      <w:r>
        <w:rPr>
          <w:color w:val="000000"/>
        </w:rPr>
        <w:t>Afin de garantir la cohérence avec d’autres accords commerciaux similaires conclus par l’UE</w:t>
      </w:r>
      <w:r w:rsidR="00D24A2B" w:rsidRPr="00446BB8">
        <w:rPr>
          <w:color w:val="000000"/>
        </w:rPr>
        <w:t xml:space="preserve">, </w:t>
      </w:r>
      <w:r>
        <w:rPr>
          <w:color w:val="000000"/>
        </w:rPr>
        <w:t xml:space="preserve">le nouvel accord devrait </w:t>
      </w:r>
      <w:r w:rsidR="00D24A2B" w:rsidRPr="00446BB8">
        <w:rPr>
          <w:color w:val="000000"/>
        </w:rPr>
        <w:t>incorpore</w:t>
      </w:r>
      <w:r>
        <w:rPr>
          <w:color w:val="000000"/>
        </w:rPr>
        <w:t>r</w:t>
      </w:r>
      <w:r w:rsidR="00D24A2B" w:rsidRPr="00446BB8">
        <w:rPr>
          <w:color w:val="000000"/>
        </w:rPr>
        <w:t xml:space="preserve">, </w:t>
      </w:r>
      <w:r>
        <w:rPr>
          <w:color w:val="000000"/>
        </w:rPr>
        <w:t>en plus des mécanismes institutionnels appropriés</w:t>
      </w:r>
      <w:r w:rsidR="00D24A2B" w:rsidRPr="00446BB8">
        <w:rPr>
          <w:color w:val="000000"/>
        </w:rPr>
        <w:t xml:space="preserve">, </w:t>
      </w:r>
      <w:r>
        <w:rPr>
          <w:color w:val="000000"/>
        </w:rPr>
        <w:t xml:space="preserve">les dispositions de l’accord </w:t>
      </w:r>
      <w:r w:rsidR="001D3065">
        <w:rPr>
          <w:color w:val="000000"/>
        </w:rPr>
        <w:t xml:space="preserve">actuel sur les </w:t>
      </w:r>
      <w:r w:rsidR="0066109F">
        <w:rPr>
          <w:color w:val="000000"/>
        </w:rPr>
        <w:t xml:space="preserve">MSP </w:t>
      </w:r>
      <w:r w:rsidR="00D24A2B" w:rsidRPr="00446BB8">
        <w:rPr>
          <w:color w:val="000000"/>
        </w:rPr>
        <w:t>annex</w:t>
      </w:r>
      <w:r w:rsidR="0066109F">
        <w:rPr>
          <w:color w:val="000000"/>
        </w:rPr>
        <w:t>é</w:t>
      </w:r>
      <w:r w:rsidR="00D24A2B" w:rsidRPr="00446BB8">
        <w:rPr>
          <w:color w:val="000000"/>
        </w:rPr>
        <w:t xml:space="preserve"> </w:t>
      </w:r>
      <w:r w:rsidR="0066109F">
        <w:rPr>
          <w:color w:val="000000"/>
        </w:rPr>
        <w:t>à l’accord d’association existant</w:t>
      </w:r>
      <w:r w:rsidR="001D3065">
        <w:rPr>
          <w:color w:val="000000"/>
        </w:rPr>
        <w:t xml:space="preserve">. </w:t>
      </w:r>
      <w:r w:rsidR="009B2B35">
        <w:rPr>
          <w:color w:val="000000"/>
        </w:rPr>
        <w:t>Des</w:t>
      </w:r>
      <w:r w:rsidR="001D3065">
        <w:rPr>
          <w:color w:val="000000"/>
        </w:rPr>
        <w:t xml:space="preserve"> adaptations pourraient toutefois être envisagées dans certains domaines spécifiques, si nécessaire</w:t>
      </w:r>
      <w:r w:rsidR="00D24A2B" w:rsidRPr="00446BB8">
        <w:rPr>
          <w:color w:val="000000"/>
        </w:rPr>
        <w:t>.</w:t>
      </w:r>
      <w:bookmarkEnd w:id="7"/>
    </w:p>
    <w:p w:rsidR="00D24A2B" w:rsidRPr="00446BB8" w:rsidRDefault="001D3065" w:rsidP="00D24A2B">
      <w:pPr>
        <w:spacing w:before="480" w:after="240"/>
        <w:rPr>
          <w:b/>
          <w:i/>
          <w:szCs w:val="24"/>
        </w:rPr>
      </w:pPr>
      <w:r>
        <w:rPr>
          <w:b/>
          <w:i/>
          <w:szCs w:val="24"/>
        </w:rPr>
        <w:t>I</w:t>
      </w:r>
      <w:r w:rsidR="00D24A2B" w:rsidRPr="00446BB8">
        <w:rPr>
          <w:b/>
          <w:i/>
          <w:szCs w:val="24"/>
        </w:rPr>
        <w:t xml:space="preserve">nstruments </w:t>
      </w:r>
      <w:r>
        <w:rPr>
          <w:b/>
          <w:i/>
          <w:szCs w:val="24"/>
        </w:rPr>
        <w:t>de défense commerciale</w:t>
      </w:r>
    </w:p>
    <w:p w:rsidR="00D24A2B" w:rsidRPr="00446BB8" w:rsidRDefault="001D3065" w:rsidP="00D24A2B">
      <w:pPr>
        <w:snapToGrid w:val="0"/>
        <w:rPr>
          <w:szCs w:val="24"/>
          <w:u w:val="single"/>
        </w:rPr>
      </w:pPr>
      <w:r>
        <w:rPr>
          <w:szCs w:val="24"/>
          <w:u w:val="single"/>
        </w:rPr>
        <w:t>Mesures de sauvegarde</w:t>
      </w:r>
    </w:p>
    <w:p w:rsidR="00D24A2B" w:rsidRPr="00446BB8" w:rsidRDefault="001D3065" w:rsidP="00D24A2B">
      <w:pPr>
        <w:rPr>
          <w:color w:val="000000"/>
        </w:rPr>
      </w:pPr>
      <w:r>
        <w:rPr>
          <w:color w:val="000000"/>
        </w:rPr>
        <w:lastRenderedPageBreak/>
        <w:t xml:space="preserve">L’accord devrait </w:t>
      </w:r>
      <w:r w:rsidR="00B967F7">
        <w:rPr>
          <w:color w:val="000000"/>
        </w:rPr>
        <w:t>comporter</w:t>
      </w:r>
      <w:r>
        <w:rPr>
          <w:color w:val="000000"/>
        </w:rPr>
        <w:t xml:space="preserve"> une clause </w:t>
      </w:r>
      <w:r w:rsidR="00B967F7">
        <w:rPr>
          <w:color w:val="000000"/>
        </w:rPr>
        <w:t>sur les</w:t>
      </w:r>
      <w:r>
        <w:rPr>
          <w:color w:val="000000"/>
        </w:rPr>
        <w:t xml:space="preserve"> mesures de sauvegarde prévoyant que chacun</w:t>
      </w:r>
      <w:r w:rsidR="00B1083C">
        <w:rPr>
          <w:color w:val="000000"/>
        </w:rPr>
        <w:t>e</w:t>
      </w:r>
      <w:r>
        <w:rPr>
          <w:color w:val="000000"/>
        </w:rPr>
        <w:t xml:space="preserve"> des parties peut prendre des mesures appropriées </w:t>
      </w:r>
      <w:r w:rsidR="00B1083C">
        <w:rPr>
          <w:color w:val="000000"/>
        </w:rPr>
        <w:t>conformément à l’accord de l’OMC relatif à la mise en œuvre de l’article </w:t>
      </w:r>
      <w:r w:rsidR="00D24A2B" w:rsidRPr="00446BB8">
        <w:rPr>
          <w:color w:val="000000"/>
        </w:rPr>
        <w:t xml:space="preserve">XIX </w:t>
      </w:r>
      <w:r w:rsidR="00B1083C">
        <w:rPr>
          <w:color w:val="000000"/>
        </w:rPr>
        <w:t>de l’Accord général sur les tarifs douaniers et le commerce</w:t>
      </w:r>
      <w:r w:rsidR="00D24A2B" w:rsidRPr="00446BB8">
        <w:rPr>
          <w:color w:val="000000"/>
        </w:rPr>
        <w:t xml:space="preserve"> (GATT)</w:t>
      </w:r>
      <w:r w:rsidR="00B1083C">
        <w:rPr>
          <w:color w:val="000000"/>
        </w:rPr>
        <w:t xml:space="preserve"> de</w:t>
      </w:r>
      <w:r w:rsidR="00D24A2B" w:rsidRPr="00446BB8">
        <w:rPr>
          <w:color w:val="000000"/>
        </w:rPr>
        <w:t xml:space="preserve"> 1994 </w:t>
      </w:r>
      <w:r w:rsidR="00B1083C">
        <w:rPr>
          <w:color w:val="000000"/>
        </w:rPr>
        <w:t>ou à l’accord sur les sauvegardes de l’OMC</w:t>
      </w:r>
      <w:r w:rsidR="00D24A2B" w:rsidRPr="00446BB8">
        <w:rPr>
          <w:color w:val="000000"/>
        </w:rPr>
        <w:t xml:space="preserve">. </w:t>
      </w:r>
      <w:r w:rsidR="00B1083C">
        <w:rPr>
          <w:color w:val="000000"/>
        </w:rPr>
        <w:t xml:space="preserve">L’accord devrait aussi garantir que ces mesures de sauvegarde génèrent </w:t>
      </w:r>
      <w:r w:rsidR="00556AEC">
        <w:rPr>
          <w:color w:val="000000"/>
        </w:rPr>
        <w:t>une distorsion des échanges bilatéraux aussi faible que possible</w:t>
      </w:r>
      <w:r w:rsidR="00D24A2B" w:rsidRPr="00446BB8">
        <w:rPr>
          <w:color w:val="000000"/>
        </w:rPr>
        <w:t>.</w:t>
      </w:r>
    </w:p>
    <w:p w:rsidR="00D24A2B" w:rsidRPr="00446BB8" w:rsidRDefault="00B967F7" w:rsidP="00D24A2B">
      <w:pPr>
        <w:rPr>
          <w:color w:val="000000"/>
        </w:rPr>
      </w:pPr>
      <w:r>
        <w:rPr>
          <w:color w:val="000000"/>
        </w:rPr>
        <w:t xml:space="preserve">Afin </w:t>
      </w:r>
      <w:r w:rsidR="00056BE8">
        <w:rPr>
          <w:color w:val="000000"/>
        </w:rPr>
        <w:t>d’optimiser</w:t>
      </w:r>
      <w:r w:rsidR="00D24A2B" w:rsidRPr="00446BB8">
        <w:rPr>
          <w:color w:val="000000"/>
        </w:rPr>
        <w:t xml:space="preserve"> </w:t>
      </w:r>
      <w:r>
        <w:rPr>
          <w:color w:val="000000"/>
        </w:rPr>
        <w:t xml:space="preserve">les engagements en matière de </w:t>
      </w:r>
      <w:r w:rsidR="00D24A2B" w:rsidRPr="00446BB8">
        <w:rPr>
          <w:color w:val="000000"/>
        </w:rPr>
        <w:t>lib</w:t>
      </w:r>
      <w:r>
        <w:rPr>
          <w:color w:val="000000"/>
        </w:rPr>
        <w:t>é</w:t>
      </w:r>
      <w:r w:rsidR="00D24A2B" w:rsidRPr="00446BB8">
        <w:rPr>
          <w:color w:val="000000"/>
        </w:rPr>
        <w:t>ralisation</w:t>
      </w:r>
      <w:r>
        <w:rPr>
          <w:color w:val="000000"/>
        </w:rPr>
        <w:t xml:space="preserve"> et de garantir toute protection nécessaire</w:t>
      </w:r>
      <w:r w:rsidR="00D24A2B" w:rsidRPr="00446BB8">
        <w:rPr>
          <w:color w:val="000000"/>
        </w:rPr>
        <w:t xml:space="preserve">, </w:t>
      </w:r>
      <w:r>
        <w:rPr>
          <w:color w:val="000000"/>
        </w:rPr>
        <w:t>compte tenu des particularités des secteurs sensibles</w:t>
      </w:r>
      <w:r w:rsidR="00D24A2B" w:rsidRPr="00446BB8">
        <w:rPr>
          <w:color w:val="000000"/>
        </w:rPr>
        <w:t xml:space="preserve">, </w:t>
      </w:r>
      <w:r>
        <w:rPr>
          <w:color w:val="000000"/>
        </w:rPr>
        <w:t xml:space="preserve">l’accord devrait, en principe, contenir une clause de sauvegarde </w:t>
      </w:r>
      <w:r w:rsidR="00D24A2B" w:rsidRPr="00446BB8">
        <w:rPr>
          <w:color w:val="000000"/>
        </w:rPr>
        <w:t>bilat</w:t>
      </w:r>
      <w:r>
        <w:rPr>
          <w:color w:val="000000"/>
        </w:rPr>
        <w:t>é</w:t>
      </w:r>
      <w:r w:rsidR="00D24A2B" w:rsidRPr="00446BB8">
        <w:rPr>
          <w:color w:val="000000"/>
        </w:rPr>
        <w:t>ral</w:t>
      </w:r>
      <w:r>
        <w:rPr>
          <w:color w:val="000000"/>
        </w:rPr>
        <w:t>e</w:t>
      </w:r>
      <w:r w:rsidR="00D24A2B" w:rsidRPr="00446BB8">
        <w:rPr>
          <w:color w:val="000000"/>
        </w:rPr>
        <w:t xml:space="preserve"> </w:t>
      </w:r>
      <w:r>
        <w:rPr>
          <w:color w:val="000000"/>
        </w:rPr>
        <w:t>permettant à chaque partie de retirer</w:t>
      </w:r>
      <w:r w:rsidR="00D24A2B" w:rsidRPr="00446BB8">
        <w:rPr>
          <w:color w:val="000000"/>
        </w:rPr>
        <w:t xml:space="preserve">, </w:t>
      </w:r>
      <w:r>
        <w:rPr>
          <w:color w:val="000000"/>
        </w:rPr>
        <w:t>partiellement ou intégralement</w:t>
      </w:r>
      <w:r w:rsidR="00D24A2B" w:rsidRPr="00446BB8">
        <w:rPr>
          <w:color w:val="000000"/>
        </w:rPr>
        <w:t xml:space="preserve">, </w:t>
      </w:r>
      <w:r>
        <w:rPr>
          <w:color w:val="000000"/>
        </w:rPr>
        <w:t>le bénéfice des préférences si, en raison de l’entrée en vigueur de l’accord</w:t>
      </w:r>
      <w:r w:rsidR="00D24A2B" w:rsidRPr="00446BB8">
        <w:rPr>
          <w:color w:val="000000"/>
        </w:rPr>
        <w:t xml:space="preserve">, </w:t>
      </w:r>
      <w:r>
        <w:rPr>
          <w:color w:val="000000"/>
        </w:rPr>
        <w:t>une augmentation des importations d’un produit provenant de l’autre partie cause ou menace de causer un préjudice grave à sa branche de production intérieure</w:t>
      </w:r>
      <w:r w:rsidR="00D24A2B" w:rsidRPr="00446BB8">
        <w:rPr>
          <w:color w:val="000000"/>
        </w:rPr>
        <w:t>.</w:t>
      </w:r>
    </w:p>
    <w:p w:rsidR="00782E96" w:rsidRPr="00446BB8" w:rsidRDefault="00782E96" w:rsidP="00D24A2B">
      <w:pPr>
        <w:snapToGrid w:val="0"/>
        <w:rPr>
          <w:szCs w:val="24"/>
        </w:rPr>
      </w:pPr>
    </w:p>
    <w:p w:rsidR="00D24A2B" w:rsidRPr="00446BB8" w:rsidRDefault="00B967F7" w:rsidP="00D24A2B">
      <w:pPr>
        <w:snapToGrid w:val="0"/>
        <w:rPr>
          <w:szCs w:val="24"/>
          <w:u w:val="single"/>
        </w:rPr>
      </w:pPr>
      <w:r>
        <w:rPr>
          <w:szCs w:val="24"/>
          <w:u w:val="single"/>
        </w:rPr>
        <w:t>Mesures a</w:t>
      </w:r>
      <w:r w:rsidR="00D24A2B" w:rsidRPr="00446BB8">
        <w:rPr>
          <w:szCs w:val="24"/>
          <w:u w:val="single"/>
        </w:rPr>
        <w:t xml:space="preserve">ntidumping </w:t>
      </w:r>
      <w:r>
        <w:rPr>
          <w:szCs w:val="24"/>
          <w:u w:val="single"/>
        </w:rPr>
        <w:t>et mesures compensatoires</w:t>
      </w:r>
      <w:r w:rsidR="00D24A2B" w:rsidRPr="00446BB8">
        <w:rPr>
          <w:szCs w:val="24"/>
          <w:u w:val="single"/>
        </w:rPr>
        <w:t xml:space="preserve"> </w:t>
      </w:r>
    </w:p>
    <w:p w:rsidR="00D24A2B" w:rsidRPr="00446BB8" w:rsidRDefault="00B967F7" w:rsidP="00D24A2B">
      <w:pPr>
        <w:rPr>
          <w:color w:val="000000"/>
        </w:rPr>
      </w:pPr>
      <w:r>
        <w:rPr>
          <w:color w:val="000000"/>
        </w:rPr>
        <w:t xml:space="preserve">L’accord devrait comporter une clause </w:t>
      </w:r>
      <w:r w:rsidR="005212E5">
        <w:rPr>
          <w:color w:val="000000"/>
        </w:rPr>
        <w:t xml:space="preserve">sur les mesures </w:t>
      </w:r>
      <w:r w:rsidR="00D24A2B" w:rsidRPr="00446BB8">
        <w:rPr>
          <w:color w:val="000000"/>
        </w:rPr>
        <w:t xml:space="preserve">antidumping </w:t>
      </w:r>
      <w:r w:rsidR="005212E5">
        <w:rPr>
          <w:color w:val="000000"/>
        </w:rPr>
        <w:t>et les mesures compensatoires prévoyant que chacune des</w:t>
      </w:r>
      <w:r w:rsidR="00D5141B">
        <w:rPr>
          <w:color w:val="000000"/>
        </w:rPr>
        <w:t xml:space="preserve"> </w:t>
      </w:r>
      <w:r w:rsidR="005212E5">
        <w:rPr>
          <w:color w:val="000000"/>
        </w:rPr>
        <w:t xml:space="preserve">parties </w:t>
      </w:r>
      <w:r w:rsidR="00D5141B">
        <w:rPr>
          <w:color w:val="000000"/>
        </w:rPr>
        <w:t>peut prendre des mesures appropriées contre le dumping et</w:t>
      </w:r>
      <w:r w:rsidR="00D24A2B" w:rsidRPr="00446BB8">
        <w:rPr>
          <w:color w:val="000000"/>
        </w:rPr>
        <w:t>/o</w:t>
      </w:r>
      <w:r w:rsidR="00D5141B">
        <w:rPr>
          <w:color w:val="000000"/>
        </w:rPr>
        <w:t>u</w:t>
      </w:r>
      <w:r w:rsidR="00D24A2B" w:rsidRPr="00446BB8">
        <w:rPr>
          <w:color w:val="000000"/>
        </w:rPr>
        <w:t xml:space="preserve"> </w:t>
      </w:r>
      <w:r w:rsidR="00D5141B">
        <w:rPr>
          <w:color w:val="000000"/>
        </w:rPr>
        <w:t>les subventions passibles de droits compensateurs conformément à l’accord de l’OMC relatif à la mise en œuvre de l’article VI</w:t>
      </w:r>
      <w:r w:rsidR="00D5141B" w:rsidRPr="00446BB8">
        <w:rPr>
          <w:color w:val="000000"/>
        </w:rPr>
        <w:t xml:space="preserve"> </w:t>
      </w:r>
      <w:r w:rsidR="00D5141B">
        <w:rPr>
          <w:color w:val="000000"/>
        </w:rPr>
        <w:t>de l’Accord général sur les tarifs douaniers et le commerce</w:t>
      </w:r>
      <w:r w:rsidR="00D5141B" w:rsidRPr="00446BB8">
        <w:rPr>
          <w:color w:val="000000"/>
        </w:rPr>
        <w:t xml:space="preserve"> (GATT)</w:t>
      </w:r>
      <w:r w:rsidR="00D5141B">
        <w:rPr>
          <w:color w:val="000000"/>
        </w:rPr>
        <w:t xml:space="preserve"> de</w:t>
      </w:r>
      <w:r w:rsidR="00D5141B" w:rsidRPr="00446BB8">
        <w:rPr>
          <w:color w:val="000000"/>
        </w:rPr>
        <w:t xml:space="preserve"> 1994 </w:t>
      </w:r>
      <w:r w:rsidR="00D5141B">
        <w:rPr>
          <w:color w:val="000000"/>
        </w:rPr>
        <w:t>ou à l’accord de l’OMC</w:t>
      </w:r>
      <w:r w:rsidR="00D24A2B" w:rsidRPr="00446BB8">
        <w:rPr>
          <w:color w:val="000000"/>
        </w:rPr>
        <w:t xml:space="preserve"> </w:t>
      </w:r>
      <w:r w:rsidR="00044678">
        <w:rPr>
          <w:color w:val="000000"/>
        </w:rPr>
        <w:t>sur les</w:t>
      </w:r>
      <w:r w:rsidR="00D5141B">
        <w:rPr>
          <w:color w:val="000000"/>
        </w:rPr>
        <w:t xml:space="preserve"> subventions et </w:t>
      </w:r>
      <w:r w:rsidR="00044678">
        <w:rPr>
          <w:color w:val="000000"/>
        </w:rPr>
        <w:t>les</w:t>
      </w:r>
      <w:r w:rsidR="00D5141B">
        <w:rPr>
          <w:color w:val="000000"/>
        </w:rPr>
        <w:t xml:space="preserve"> mesures compensatoires</w:t>
      </w:r>
      <w:r w:rsidR="00D24A2B" w:rsidRPr="00446BB8">
        <w:rPr>
          <w:color w:val="000000"/>
        </w:rPr>
        <w:t xml:space="preserve">. </w:t>
      </w:r>
      <w:r w:rsidR="00044678">
        <w:rPr>
          <w:color w:val="000000"/>
        </w:rPr>
        <w:t>L’accord devrait aussi cont</w:t>
      </w:r>
      <w:r w:rsidR="00D24A2B" w:rsidRPr="00446BB8">
        <w:rPr>
          <w:color w:val="000000"/>
        </w:rPr>
        <w:t>e</w:t>
      </w:r>
      <w:r w:rsidR="00044678">
        <w:rPr>
          <w:color w:val="000000"/>
        </w:rPr>
        <w:t>nir</w:t>
      </w:r>
      <w:r w:rsidR="00D24A2B" w:rsidRPr="00446BB8">
        <w:rPr>
          <w:color w:val="000000"/>
        </w:rPr>
        <w:t xml:space="preserve"> </w:t>
      </w:r>
      <w:r w:rsidR="00044678">
        <w:rPr>
          <w:color w:val="000000"/>
        </w:rPr>
        <w:t>des engagements allant au-delà des règles de l’OMC existant dans ce domaine</w:t>
      </w:r>
      <w:r w:rsidR="00CA7857">
        <w:rPr>
          <w:color w:val="000000"/>
        </w:rPr>
        <w:t>,</w:t>
      </w:r>
      <w:r w:rsidR="00044678">
        <w:rPr>
          <w:color w:val="000000"/>
        </w:rPr>
        <w:t xml:space="preserve"> et </w:t>
      </w:r>
      <w:r w:rsidR="00CA7857">
        <w:rPr>
          <w:color w:val="000000"/>
        </w:rPr>
        <w:t>compatibles avec les</w:t>
      </w:r>
      <w:r w:rsidR="00044678">
        <w:rPr>
          <w:color w:val="000000"/>
        </w:rPr>
        <w:t xml:space="preserve"> règles et </w:t>
      </w:r>
      <w:r w:rsidR="00CA7857">
        <w:rPr>
          <w:color w:val="000000"/>
        </w:rPr>
        <w:t>les</w:t>
      </w:r>
      <w:r w:rsidR="00044678">
        <w:rPr>
          <w:color w:val="000000"/>
        </w:rPr>
        <w:t xml:space="preserve"> accords précédents de l’UE</w:t>
      </w:r>
      <w:r w:rsidR="00D24A2B" w:rsidRPr="00446BB8">
        <w:rPr>
          <w:color w:val="000000"/>
        </w:rPr>
        <w:t>.</w:t>
      </w:r>
    </w:p>
    <w:p w:rsidR="00D24A2B" w:rsidRPr="00446BB8" w:rsidRDefault="00044678" w:rsidP="00D24A2B">
      <w:pPr>
        <w:snapToGrid w:val="0"/>
        <w:rPr>
          <w:szCs w:val="24"/>
          <w:u w:val="single"/>
        </w:rPr>
      </w:pPr>
      <w:r>
        <w:rPr>
          <w:szCs w:val="24"/>
          <w:u w:val="single"/>
        </w:rPr>
        <w:t>Dispositions spé</w:t>
      </w:r>
      <w:r w:rsidR="00D24A2B" w:rsidRPr="00446BB8">
        <w:rPr>
          <w:szCs w:val="24"/>
          <w:u w:val="single"/>
        </w:rPr>
        <w:t>cifi</w:t>
      </w:r>
      <w:r>
        <w:rPr>
          <w:szCs w:val="24"/>
          <w:u w:val="single"/>
        </w:rPr>
        <w:t>que</w:t>
      </w:r>
      <w:r w:rsidR="00D24A2B" w:rsidRPr="00446BB8">
        <w:rPr>
          <w:szCs w:val="24"/>
          <w:u w:val="single"/>
        </w:rPr>
        <w:t>s</w:t>
      </w:r>
    </w:p>
    <w:p w:rsidR="00D24A2B" w:rsidRPr="00446BB8" w:rsidRDefault="00044678" w:rsidP="00D24A2B">
      <w:pPr>
        <w:rPr>
          <w:color w:val="000000"/>
        </w:rPr>
      </w:pPr>
      <w:r>
        <w:rPr>
          <w:color w:val="000000"/>
        </w:rPr>
        <w:t xml:space="preserve">L’accord devrait reconnaître que les paiements effectués dans le cadre de la boîte verte ne faussent pas les prix et ne devraient dès lors, en principe, pas être ciblés par les mesures </w:t>
      </w:r>
      <w:r w:rsidR="00D24A2B" w:rsidRPr="00446BB8">
        <w:rPr>
          <w:color w:val="000000"/>
        </w:rPr>
        <w:t>antidumping o</w:t>
      </w:r>
      <w:r>
        <w:rPr>
          <w:color w:val="000000"/>
        </w:rPr>
        <w:t>u les mesures compensatoires</w:t>
      </w:r>
      <w:r w:rsidR="00D24A2B" w:rsidRPr="00446BB8">
        <w:rPr>
          <w:color w:val="000000"/>
        </w:rPr>
        <w:t>.</w:t>
      </w:r>
    </w:p>
    <w:p w:rsidR="00D24A2B" w:rsidRPr="00446BB8" w:rsidRDefault="00044678" w:rsidP="00D24A2B">
      <w:pPr>
        <w:tabs>
          <w:tab w:val="left" w:pos="3330"/>
        </w:tabs>
        <w:spacing w:before="360" w:after="240"/>
        <w:rPr>
          <w:b/>
          <w:smallCaps/>
          <w:szCs w:val="24"/>
        </w:rPr>
      </w:pPr>
      <w:r>
        <w:rPr>
          <w:b/>
          <w:smallCaps/>
          <w:szCs w:val="24"/>
        </w:rPr>
        <w:t>Commerce des s</w:t>
      </w:r>
      <w:r w:rsidR="00D24A2B" w:rsidRPr="00446BB8">
        <w:rPr>
          <w:b/>
          <w:smallCaps/>
          <w:szCs w:val="24"/>
        </w:rPr>
        <w:t xml:space="preserve">ervices </w:t>
      </w:r>
      <w:r>
        <w:rPr>
          <w:b/>
          <w:smallCaps/>
          <w:szCs w:val="24"/>
        </w:rPr>
        <w:t>et</w:t>
      </w:r>
      <w:r w:rsidR="00D24A2B" w:rsidRPr="00446BB8">
        <w:rPr>
          <w:b/>
          <w:smallCaps/>
          <w:szCs w:val="24"/>
        </w:rPr>
        <w:t xml:space="preserve"> </w:t>
      </w:r>
      <w:r>
        <w:rPr>
          <w:b/>
          <w:smallCaps/>
          <w:szCs w:val="24"/>
        </w:rPr>
        <w:t>i</w:t>
      </w:r>
      <w:r w:rsidR="00D24A2B" w:rsidRPr="00446BB8">
        <w:rPr>
          <w:b/>
          <w:smallCaps/>
          <w:szCs w:val="24"/>
        </w:rPr>
        <w:t>nvest</w:t>
      </w:r>
      <w:r>
        <w:rPr>
          <w:b/>
          <w:smallCaps/>
          <w:szCs w:val="24"/>
        </w:rPr>
        <w:t>isse</w:t>
      </w:r>
      <w:r w:rsidR="00D24A2B" w:rsidRPr="00446BB8">
        <w:rPr>
          <w:b/>
          <w:smallCaps/>
          <w:szCs w:val="24"/>
        </w:rPr>
        <w:t>ment</w:t>
      </w:r>
    </w:p>
    <w:p w:rsidR="00D24A2B" w:rsidRPr="00446BB8" w:rsidRDefault="00044678" w:rsidP="00D24A2B">
      <w:pPr>
        <w:spacing w:before="360"/>
        <w:rPr>
          <w:b/>
          <w:i/>
          <w:szCs w:val="24"/>
        </w:rPr>
      </w:pPr>
      <w:r>
        <w:rPr>
          <w:b/>
          <w:i/>
          <w:szCs w:val="24"/>
        </w:rPr>
        <w:t xml:space="preserve">Libéralisation des services </w:t>
      </w:r>
      <w:r w:rsidR="007F6EFF">
        <w:rPr>
          <w:b/>
          <w:i/>
          <w:szCs w:val="24"/>
        </w:rPr>
        <w:t>et de l’investissement et commerce électronique</w:t>
      </w:r>
      <w:r w:rsidR="00D24A2B" w:rsidRPr="00446BB8">
        <w:rPr>
          <w:b/>
          <w:i/>
          <w:szCs w:val="24"/>
        </w:rPr>
        <w:t xml:space="preserve"> </w:t>
      </w:r>
    </w:p>
    <w:p w:rsidR="00D24A2B" w:rsidRPr="00446BB8" w:rsidRDefault="007F6EFF" w:rsidP="00D24A2B">
      <w:pPr>
        <w:rPr>
          <w:color w:val="000000"/>
        </w:rPr>
      </w:pPr>
      <w:r>
        <w:rPr>
          <w:color w:val="000000"/>
        </w:rPr>
        <w:t>Conformément à l’a</w:t>
      </w:r>
      <w:r w:rsidR="00D24A2B" w:rsidRPr="00446BB8">
        <w:rPr>
          <w:color w:val="000000"/>
        </w:rPr>
        <w:t>rticle</w:t>
      </w:r>
      <w:r>
        <w:rPr>
          <w:color w:val="000000"/>
        </w:rPr>
        <w:t> </w:t>
      </w:r>
      <w:r w:rsidR="00D24A2B" w:rsidRPr="00446BB8">
        <w:rPr>
          <w:color w:val="000000"/>
        </w:rPr>
        <w:t xml:space="preserve">V </w:t>
      </w:r>
      <w:r>
        <w:rPr>
          <w:color w:val="000000"/>
        </w:rPr>
        <w:t>de l’Accord général sur le commerce des services</w:t>
      </w:r>
      <w:r w:rsidR="00D24A2B" w:rsidRPr="00446BB8">
        <w:rPr>
          <w:color w:val="000000"/>
        </w:rPr>
        <w:t xml:space="preserve"> (</w:t>
      </w:r>
      <w:r w:rsidR="0034758B">
        <w:rPr>
          <w:color w:val="000000"/>
        </w:rPr>
        <w:t>AGC</w:t>
      </w:r>
      <w:r w:rsidR="00D24A2B" w:rsidRPr="00446BB8">
        <w:rPr>
          <w:color w:val="000000"/>
        </w:rPr>
        <w:t xml:space="preserve">S), </w:t>
      </w:r>
      <w:r>
        <w:rPr>
          <w:color w:val="000000"/>
        </w:rPr>
        <w:t>l’accord devrait couvrir un nombre substantiel de secteurs et tous les modes de fourniture</w:t>
      </w:r>
      <w:r w:rsidR="00D24A2B" w:rsidRPr="00446BB8">
        <w:rPr>
          <w:color w:val="000000"/>
        </w:rPr>
        <w:t xml:space="preserve">. </w:t>
      </w:r>
      <w:r w:rsidR="00C8395A">
        <w:rPr>
          <w:color w:val="000000"/>
        </w:rPr>
        <w:t>Il</w:t>
      </w:r>
      <w:r>
        <w:rPr>
          <w:color w:val="000000"/>
        </w:rPr>
        <w:t xml:space="preserve"> </w:t>
      </w:r>
      <w:r w:rsidR="00C8395A">
        <w:rPr>
          <w:color w:val="000000"/>
        </w:rPr>
        <w:t xml:space="preserve">ne </w:t>
      </w:r>
      <w:r>
        <w:rPr>
          <w:color w:val="000000"/>
        </w:rPr>
        <w:t xml:space="preserve">devrait </w:t>
      </w:r>
      <w:r w:rsidR="00C8395A">
        <w:rPr>
          <w:color w:val="000000"/>
        </w:rPr>
        <w:t>comporter aucune exclusion a priori de son champ d’application autre que l’exclusion des services audiovisuels des engagements relatifs à la libéralisation des se</w:t>
      </w:r>
      <w:r w:rsidR="00D24A2B" w:rsidRPr="00446BB8">
        <w:rPr>
          <w:color w:val="000000"/>
        </w:rPr>
        <w:t xml:space="preserve">rvices </w:t>
      </w:r>
      <w:r w:rsidR="00C8395A">
        <w:rPr>
          <w:color w:val="000000"/>
        </w:rPr>
        <w:t>et de l’</w:t>
      </w:r>
      <w:r w:rsidR="00D24A2B" w:rsidRPr="00446BB8">
        <w:rPr>
          <w:color w:val="000000"/>
        </w:rPr>
        <w:t>invest</w:t>
      </w:r>
      <w:r w:rsidR="00C8395A">
        <w:rPr>
          <w:color w:val="000000"/>
        </w:rPr>
        <w:t>isse</w:t>
      </w:r>
      <w:r w:rsidR="00D24A2B" w:rsidRPr="00446BB8">
        <w:rPr>
          <w:color w:val="000000"/>
        </w:rPr>
        <w:t xml:space="preserve">ment, </w:t>
      </w:r>
      <w:r w:rsidR="00CA7857">
        <w:rPr>
          <w:color w:val="000000"/>
        </w:rPr>
        <w:t>outre</w:t>
      </w:r>
      <w:r w:rsidR="00C8395A">
        <w:rPr>
          <w:color w:val="000000"/>
        </w:rPr>
        <w:t xml:space="preserve"> les </w:t>
      </w:r>
      <w:r w:rsidR="00D24A2B" w:rsidRPr="00446BB8">
        <w:rPr>
          <w:color w:val="000000"/>
        </w:rPr>
        <w:t xml:space="preserve">services </w:t>
      </w:r>
      <w:r w:rsidR="00C8395A">
        <w:rPr>
          <w:color w:val="000000"/>
        </w:rPr>
        <w:t>fournis et les activités exercées dans l’exercice de la puissance publique</w:t>
      </w:r>
      <w:r w:rsidR="00D24A2B" w:rsidRPr="00446BB8">
        <w:rPr>
          <w:color w:val="000000"/>
        </w:rPr>
        <w:t xml:space="preserve">. </w:t>
      </w:r>
      <w:r w:rsidR="00C8395A">
        <w:rPr>
          <w:color w:val="000000"/>
        </w:rPr>
        <w:t xml:space="preserve">Les négociations devraient viser à la libéralisation </w:t>
      </w:r>
      <w:r w:rsidR="00D24A2B" w:rsidRPr="00446BB8">
        <w:rPr>
          <w:color w:val="000000"/>
        </w:rPr>
        <w:t xml:space="preserve">progressive </w:t>
      </w:r>
      <w:r w:rsidR="00C8395A">
        <w:rPr>
          <w:color w:val="000000"/>
        </w:rPr>
        <w:t>et</w:t>
      </w:r>
      <w:r w:rsidR="00D24A2B" w:rsidRPr="00446BB8">
        <w:rPr>
          <w:color w:val="000000"/>
        </w:rPr>
        <w:t xml:space="preserve"> r</w:t>
      </w:r>
      <w:r w:rsidR="00C8395A">
        <w:rPr>
          <w:color w:val="000000"/>
        </w:rPr>
        <w:t>é</w:t>
      </w:r>
      <w:r w:rsidR="00D24A2B" w:rsidRPr="00446BB8">
        <w:rPr>
          <w:color w:val="000000"/>
        </w:rPr>
        <w:t>cipro</w:t>
      </w:r>
      <w:r w:rsidR="00C8395A">
        <w:rPr>
          <w:color w:val="000000"/>
        </w:rPr>
        <w:t>que</w:t>
      </w:r>
      <w:r w:rsidR="00D24A2B" w:rsidRPr="00446BB8">
        <w:rPr>
          <w:color w:val="000000"/>
        </w:rPr>
        <w:t xml:space="preserve"> </w:t>
      </w:r>
      <w:r w:rsidR="00C8395A">
        <w:rPr>
          <w:color w:val="000000"/>
        </w:rPr>
        <w:t xml:space="preserve">du commerce des services et de l’investissement en supprimant les </w:t>
      </w:r>
      <w:r w:rsidR="00D24A2B" w:rsidRPr="00446BB8">
        <w:rPr>
          <w:color w:val="000000"/>
        </w:rPr>
        <w:t xml:space="preserve">restrictions </w:t>
      </w:r>
      <w:r w:rsidR="00773438">
        <w:rPr>
          <w:color w:val="000000"/>
        </w:rPr>
        <w:t>en matière d’accès au marché et de traitement national</w:t>
      </w:r>
      <w:r w:rsidR="00D24A2B" w:rsidRPr="00446BB8">
        <w:rPr>
          <w:color w:val="000000"/>
        </w:rPr>
        <w:t xml:space="preserve">, </w:t>
      </w:r>
      <w:r w:rsidR="00773438">
        <w:rPr>
          <w:color w:val="000000"/>
        </w:rPr>
        <w:t>au-delà des engagements pris par les parties dans le cadre de l’OMC et des offres soumises dans le contexte des nég</w:t>
      </w:r>
      <w:r w:rsidR="00D24A2B" w:rsidRPr="00446BB8">
        <w:rPr>
          <w:color w:val="000000"/>
        </w:rPr>
        <w:t>o</w:t>
      </w:r>
      <w:r w:rsidR="00773438">
        <w:rPr>
          <w:color w:val="000000"/>
        </w:rPr>
        <w:t>c</w:t>
      </w:r>
      <w:r w:rsidR="00D24A2B" w:rsidRPr="00446BB8">
        <w:rPr>
          <w:color w:val="000000"/>
        </w:rPr>
        <w:t xml:space="preserve">iations </w:t>
      </w:r>
      <w:r w:rsidR="00773438">
        <w:rPr>
          <w:color w:val="000000"/>
        </w:rPr>
        <w:t>de l’accord sur le commerce des services</w:t>
      </w:r>
      <w:r w:rsidR="00D24A2B" w:rsidRPr="00446BB8">
        <w:rPr>
          <w:color w:val="000000"/>
        </w:rPr>
        <w:t xml:space="preserve">. </w:t>
      </w:r>
      <w:r w:rsidR="00773438">
        <w:rPr>
          <w:color w:val="000000"/>
        </w:rPr>
        <w:t>L’accord devrait comporter des règles concernant les prescriptions de résultats en matière d’investissements</w:t>
      </w:r>
      <w:r w:rsidR="00D24A2B" w:rsidRPr="00446BB8">
        <w:rPr>
          <w:color w:val="000000"/>
        </w:rPr>
        <w:t>.</w:t>
      </w:r>
    </w:p>
    <w:p w:rsidR="00D24A2B" w:rsidRPr="00446BB8" w:rsidRDefault="00773438" w:rsidP="00D24A2B">
      <w:pPr>
        <w:rPr>
          <w:color w:val="000000"/>
        </w:rPr>
      </w:pPr>
      <w:r>
        <w:rPr>
          <w:color w:val="000000"/>
        </w:rPr>
        <w:lastRenderedPageBreak/>
        <w:t>L’accord devrait, en outre, contenir des disciplines réglementaires nouvelles ou renforcées par rapport à celles d</w:t>
      </w:r>
      <w:r w:rsidR="0034758B">
        <w:rPr>
          <w:color w:val="000000"/>
        </w:rPr>
        <w:t>e l’AGCS</w:t>
      </w:r>
      <w:r w:rsidR="00D24A2B" w:rsidRPr="00446BB8">
        <w:rPr>
          <w:color w:val="000000"/>
        </w:rPr>
        <w:t xml:space="preserve">. </w:t>
      </w:r>
      <w:r w:rsidR="0034758B">
        <w:rPr>
          <w:color w:val="000000"/>
        </w:rPr>
        <w:t>À cette fin, les</w:t>
      </w:r>
      <w:r w:rsidR="00D24A2B" w:rsidRPr="00446BB8">
        <w:rPr>
          <w:color w:val="000000"/>
        </w:rPr>
        <w:t xml:space="preserve"> n</w:t>
      </w:r>
      <w:r w:rsidR="0034758B">
        <w:rPr>
          <w:color w:val="000000"/>
        </w:rPr>
        <w:t>é</w:t>
      </w:r>
      <w:r w:rsidR="00D24A2B" w:rsidRPr="00446BB8">
        <w:rPr>
          <w:color w:val="000000"/>
        </w:rPr>
        <w:t>go</w:t>
      </w:r>
      <w:r w:rsidR="0034758B">
        <w:rPr>
          <w:color w:val="000000"/>
        </w:rPr>
        <w:t>c</w:t>
      </w:r>
      <w:r w:rsidR="00D24A2B" w:rsidRPr="00446BB8">
        <w:rPr>
          <w:color w:val="000000"/>
        </w:rPr>
        <w:t xml:space="preserve">iations </w:t>
      </w:r>
      <w:r w:rsidR="0034758B">
        <w:rPr>
          <w:color w:val="000000"/>
        </w:rPr>
        <w:t>devrai</w:t>
      </w:r>
      <w:r w:rsidR="0042026C">
        <w:rPr>
          <w:color w:val="000000"/>
        </w:rPr>
        <w:t>en</w:t>
      </w:r>
      <w:r w:rsidR="0034758B">
        <w:rPr>
          <w:color w:val="000000"/>
        </w:rPr>
        <w:t xml:space="preserve">t couvrir des éléments </w:t>
      </w:r>
      <w:r w:rsidR="00CA7857">
        <w:rPr>
          <w:color w:val="000000"/>
        </w:rPr>
        <w:t>tels que</w:t>
      </w:r>
      <w:r w:rsidR="00D24A2B" w:rsidRPr="00446BB8">
        <w:rPr>
          <w:color w:val="000000"/>
        </w:rPr>
        <w:t>:</w:t>
      </w:r>
    </w:p>
    <w:p w:rsidR="00D24A2B" w:rsidRPr="00446BB8" w:rsidRDefault="00CA7857" w:rsidP="008D62F5">
      <w:pPr>
        <w:pStyle w:val="Bullet0"/>
      </w:pPr>
      <w:r>
        <w:t>l</w:t>
      </w:r>
      <w:r w:rsidR="0034758B">
        <w:t>es dispositions réglementaires en matière de transparence et de reconnaissance mutuelle</w:t>
      </w:r>
      <w:r w:rsidR="00D24A2B" w:rsidRPr="00446BB8">
        <w:t xml:space="preserve">; </w:t>
      </w:r>
    </w:p>
    <w:p w:rsidR="00D24A2B" w:rsidRPr="00446BB8" w:rsidRDefault="00CA7857" w:rsidP="008D62F5">
      <w:pPr>
        <w:pStyle w:val="Bullet0"/>
      </w:pPr>
      <w:r>
        <w:t>l</w:t>
      </w:r>
      <w:r w:rsidR="0034758B">
        <w:t>es dispositions horizontales relatives à la réglementation nationale</w:t>
      </w:r>
      <w:r w:rsidR="00D24A2B" w:rsidRPr="00446BB8">
        <w:t xml:space="preserve">, </w:t>
      </w:r>
      <w:r w:rsidR="0034758B">
        <w:t>telles que celles garantissant l’</w:t>
      </w:r>
      <w:r w:rsidR="00D24A2B" w:rsidRPr="00446BB8">
        <w:t>impartialit</w:t>
      </w:r>
      <w:r w:rsidR="0034758B">
        <w:t>é</w:t>
      </w:r>
      <w:r w:rsidR="00D24A2B" w:rsidRPr="00446BB8">
        <w:t xml:space="preserve"> </w:t>
      </w:r>
      <w:r w:rsidR="00197588">
        <w:t>et la régularité de traitement en ce qui concerne les exigences et les procédures en matière de licences et de qualifications</w:t>
      </w:r>
      <w:r w:rsidR="00D24A2B" w:rsidRPr="00446BB8">
        <w:t xml:space="preserve">; </w:t>
      </w:r>
      <w:r w:rsidR="00197588">
        <w:t>et</w:t>
      </w:r>
      <w:r w:rsidR="00D24A2B" w:rsidRPr="00446BB8">
        <w:t xml:space="preserve"> </w:t>
      </w:r>
    </w:p>
    <w:p w:rsidR="00D24A2B" w:rsidRPr="00446BB8" w:rsidRDefault="00CA7857" w:rsidP="008D62F5">
      <w:pPr>
        <w:pStyle w:val="Bullet0"/>
      </w:pPr>
      <w:r>
        <w:t>l</w:t>
      </w:r>
      <w:r w:rsidR="00197588">
        <w:t>es dispositions réglementaires concernant des secteurs spécifiques</w:t>
      </w:r>
      <w:r w:rsidR="00D24A2B" w:rsidRPr="00446BB8">
        <w:t xml:space="preserve"> – </w:t>
      </w:r>
      <w:r w:rsidR="00197588">
        <w:t xml:space="preserve">notamment les services de </w:t>
      </w:r>
      <w:r w:rsidR="00D24A2B" w:rsidRPr="00446BB8">
        <w:t>t</w:t>
      </w:r>
      <w:r w:rsidR="00197588">
        <w:t>é</w:t>
      </w:r>
      <w:r w:rsidR="00D24A2B" w:rsidRPr="00446BB8">
        <w:t>l</w:t>
      </w:r>
      <w:r w:rsidR="00197588">
        <w:t>é</w:t>
      </w:r>
      <w:r w:rsidR="00D24A2B" w:rsidRPr="00446BB8">
        <w:t xml:space="preserve">communication, </w:t>
      </w:r>
      <w:r w:rsidR="00197588">
        <w:t>les</w:t>
      </w:r>
      <w:r w:rsidR="00D24A2B" w:rsidRPr="00446BB8">
        <w:t xml:space="preserve"> services</w:t>
      </w:r>
      <w:r w:rsidR="00197588">
        <w:t xml:space="preserve"> financiers</w:t>
      </w:r>
      <w:r w:rsidR="00D24A2B" w:rsidRPr="00446BB8">
        <w:t xml:space="preserve">, </w:t>
      </w:r>
      <w:r w:rsidR="00197588">
        <w:t xml:space="preserve">les </w:t>
      </w:r>
      <w:r w:rsidR="00D24A2B" w:rsidRPr="00446BB8">
        <w:t>services</w:t>
      </w:r>
      <w:r w:rsidR="00197588">
        <w:t xml:space="preserve"> de poste et de courrier</w:t>
      </w:r>
      <w:r w:rsidR="00D24A2B" w:rsidRPr="00446BB8">
        <w:t xml:space="preserve"> </w:t>
      </w:r>
      <w:r w:rsidR="00197588">
        <w:t xml:space="preserve">et les services de transport maritime </w:t>
      </w:r>
      <w:r w:rsidR="00D24A2B" w:rsidRPr="00446BB8">
        <w:t xml:space="preserve">international. </w:t>
      </w:r>
    </w:p>
    <w:p w:rsidR="00D24A2B" w:rsidRPr="00446BB8" w:rsidRDefault="000B3843" w:rsidP="00D24A2B">
      <w:pPr>
        <w:rPr>
          <w:b/>
          <w:bCs/>
          <w:szCs w:val="24"/>
        </w:rPr>
      </w:pPr>
      <w:r>
        <w:rPr>
          <w:color w:val="000000"/>
        </w:rPr>
        <w:t xml:space="preserve">Dans le contexte de </w:t>
      </w:r>
      <w:r w:rsidR="005423AC">
        <w:rPr>
          <w:color w:val="000000"/>
        </w:rPr>
        <w:t xml:space="preserve">la </w:t>
      </w:r>
      <w:r>
        <w:rPr>
          <w:color w:val="000000"/>
        </w:rPr>
        <w:t>numérisation croissante des échanges</w:t>
      </w:r>
      <w:r w:rsidR="00D24A2B" w:rsidRPr="00446BB8">
        <w:rPr>
          <w:color w:val="000000"/>
        </w:rPr>
        <w:t xml:space="preserve">, </w:t>
      </w:r>
      <w:r>
        <w:rPr>
          <w:color w:val="000000"/>
        </w:rPr>
        <w:t>les</w:t>
      </w:r>
      <w:r w:rsidR="00D24A2B" w:rsidRPr="00446BB8">
        <w:rPr>
          <w:color w:val="000000"/>
        </w:rPr>
        <w:t xml:space="preserve"> n</w:t>
      </w:r>
      <w:r>
        <w:rPr>
          <w:color w:val="000000"/>
        </w:rPr>
        <w:t>é</w:t>
      </w:r>
      <w:r w:rsidR="00D24A2B" w:rsidRPr="00446BB8">
        <w:rPr>
          <w:color w:val="000000"/>
        </w:rPr>
        <w:t>go</w:t>
      </w:r>
      <w:r>
        <w:rPr>
          <w:color w:val="000000"/>
        </w:rPr>
        <w:t>c</w:t>
      </w:r>
      <w:r w:rsidR="00D24A2B" w:rsidRPr="00446BB8">
        <w:rPr>
          <w:color w:val="000000"/>
        </w:rPr>
        <w:t xml:space="preserve">iations </w:t>
      </w:r>
      <w:r>
        <w:rPr>
          <w:color w:val="000000"/>
        </w:rPr>
        <w:t>devraient déboucher sur des règles couvrant le commerce électronique et les flux de données transfrontières</w:t>
      </w:r>
      <w:r w:rsidR="00D24A2B" w:rsidRPr="00446BB8">
        <w:rPr>
          <w:color w:val="000000"/>
        </w:rPr>
        <w:t xml:space="preserve">, </w:t>
      </w:r>
      <w:r>
        <w:rPr>
          <w:color w:val="000000"/>
        </w:rPr>
        <w:t>les services électroniques de confiance et d’authentification</w:t>
      </w:r>
      <w:r w:rsidR="00D24A2B" w:rsidRPr="00446BB8">
        <w:rPr>
          <w:color w:val="000000"/>
        </w:rPr>
        <w:t xml:space="preserve">, </w:t>
      </w:r>
      <w:r w:rsidR="005423AC">
        <w:rPr>
          <w:color w:val="000000"/>
        </w:rPr>
        <w:t xml:space="preserve">ainsi que </w:t>
      </w:r>
      <w:r w:rsidR="007A6BA7">
        <w:rPr>
          <w:color w:val="000000"/>
        </w:rPr>
        <w:t>les communications de marketing direct non sollicité</w:t>
      </w:r>
      <w:r w:rsidR="00D24A2B" w:rsidRPr="00446BB8">
        <w:rPr>
          <w:color w:val="000000"/>
        </w:rPr>
        <w:t xml:space="preserve">, </w:t>
      </w:r>
      <w:r w:rsidR="005423AC">
        <w:rPr>
          <w:color w:val="000000"/>
        </w:rPr>
        <w:t>et devrai</w:t>
      </w:r>
      <w:r w:rsidR="0042026C">
        <w:rPr>
          <w:color w:val="000000"/>
        </w:rPr>
        <w:t>en</w:t>
      </w:r>
      <w:r w:rsidR="005423AC">
        <w:rPr>
          <w:color w:val="000000"/>
        </w:rPr>
        <w:t>t aborder la question du protectionnisme numérique et des exigences injustifiées en matière de localisation des données</w:t>
      </w:r>
      <w:r w:rsidR="00D24A2B" w:rsidRPr="00446BB8">
        <w:rPr>
          <w:color w:val="000000"/>
        </w:rPr>
        <w:t xml:space="preserve">, </w:t>
      </w:r>
      <w:r w:rsidR="005423AC">
        <w:rPr>
          <w:color w:val="000000"/>
        </w:rPr>
        <w:t xml:space="preserve">sans pour autant négocier ni </w:t>
      </w:r>
      <w:r w:rsidR="00A215DD">
        <w:rPr>
          <w:color w:val="000000"/>
        </w:rPr>
        <w:t>porter atteinte aux</w:t>
      </w:r>
      <w:r w:rsidR="005423AC">
        <w:rPr>
          <w:color w:val="000000"/>
        </w:rPr>
        <w:t xml:space="preserve"> règles de l’UE concernant la protection des données </w:t>
      </w:r>
      <w:r w:rsidR="007A2193">
        <w:rPr>
          <w:color w:val="000000"/>
        </w:rPr>
        <w:t>à caractère personnel</w:t>
      </w:r>
      <w:r w:rsidR="00D24A2B" w:rsidRPr="00446BB8">
        <w:rPr>
          <w:color w:val="000000"/>
        </w:rPr>
        <w:t>.</w:t>
      </w:r>
    </w:p>
    <w:p w:rsidR="00D24A2B" w:rsidRPr="00446BB8" w:rsidRDefault="005423AC" w:rsidP="00D24A2B">
      <w:pPr>
        <w:rPr>
          <w:color w:val="000000"/>
        </w:rPr>
      </w:pPr>
      <w:r>
        <w:rPr>
          <w:color w:val="000000"/>
        </w:rPr>
        <w:t xml:space="preserve">L’accord peut comporter des engagements </w:t>
      </w:r>
      <w:r w:rsidR="00D24A2B" w:rsidRPr="00446BB8">
        <w:rPr>
          <w:color w:val="000000"/>
        </w:rPr>
        <w:t>proc</w:t>
      </w:r>
      <w:r>
        <w:rPr>
          <w:color w:val="000000"/>
        </w:rPr>
        <w:t>é</w:t>
      </w:r>
      <w:r w:rsidR="00D24A2B" w:rsidRPr="00446BB8">
        <w:rPr>
          <w:color w:val="000000"/>
        </w:rPr>
        <w:t>dura</w:t>
      </w:r>
      <w:r>
        <w:rPr>
          <w:color w:val="000000"/>
        </w:rPr>
        <w:t>ux</w:t>
      </w:r>
      <w:r w:rsidR="00D24A2B" w:rsidRPr="00446BB8">
        <w:rPr>
          <w:color w:val="000000"/>
        </w:rPr>
        <w:t xml:space="preserve"> </w:t>
      </w:r>
      <w:r w:rsidR="009507F7">
        <w:rPr>
          <w:color w:val="000000"/>
        </w:rPr>
        <w:t>concernant l’admission et le séjour des personnes physiques à des fins professionnelles</w:t>
      </w:r>
      <w:r w:rsidR="00D24A2B" w:rsidRPr="00446BB8">
        <w:rPr>
          <w:color w:val="000000"/>
        </w:rPr>
        <w:t xml:space="preserve"> </w:t>
      </w:r>
      <w:r w:rsidR="005B720A">
        <w:rPr>
          <w:color w:val="000000"/>
        </w:rPr>
        <w:t>reposant sur les</w:t>
      </w:r>
      <w:r w:rsidR="009507F7">
        <w:rPr>
          <w:color w:val="000000"/>
        </w:rPr>
        <w:t xml:space="preserve"> engagements </w:t>
      </w:r>
      <w:r w:rsidR="005B720A">
        <w:rPr>
          <w:color w:val="000000"/>
        </w:rPr>
        <w:t xml:space="preserve">des </w:t>
      </w:r>
      <w:r w:rsidR="009507F7">
        <w:rPr>
          <w:color w:val="000000"/>
        </w:rPr>
        <w:t xml:space="preserve">parties </w:t>
      </w:r>
      <w:r w:rsidR="005B720A">
        <w:rPr>
          <w:color w:val="000000"/>
        </w:rPr>
        <w:t>relatifs au</w:t>
      </w:r>
      <w:r w:rsidR="009507F7">
        <w:rPr>
          <w:color w:val="000000"/>
        </w:rPr>
        <w:t xml:space="preserve"> mo</w:t>
      </w:r>
      <w:r w:rsidR="00D24A2B" w:rsidRPr="00446BB8">
        <w:rPr>
          <w:color w:val="000000"/>
        </w:rPr>
        <w:t xml:space="preserve">de 4. </w:t>
      </w:r>
      <w:r w:rsidR="005B720A">
        <w:rPr>
          <w:color w:val="000000"/>
        </w:rPr>
        <w:t>Rien dans l’accord ne devrait cependant empêcher les parties d’appliquer leur législati</w:t>
      </w:r>
      <w:r w:rsidR="005D51FA">
        <w:rPr>
          <w:color w:val="000000"/>
        </w:rPr>
        <w:t xml:space="preserve">on, leur </w:t>
      </w:r>
      <w:r w:rsidR="005B720A">
        <w:rPr>
          <w:color w:val="000000"/>
        </w:rPr>
        <w:t>réglementa</w:t>
      </w:r>
      <w:r w:rsidR="005D51FA">
        <w:rPr>
          <w:color w:val="000000"/>
        </w:rPr>
        <w:t>tion</w:t>
      </w:r>
      <w:r w:rsidR="005B720A">
        <w:rPr>
          <w:color w:val="000000"/>
        </w:rPr>
        <w:t xml:space="preserve"> ou leurs exigences nationales</w:t>
      </w:r>
      <w:r w:rsidR="00D24A2B" w:rsidRPr="00446BB8">
        <w:rPr>
          <w:color w:val="000000"/>
        </w:rPr>
        <w:t xml:space="preserve"> </w:t>
      </w:r>
      <w:r w:rsidR="005B720A">
        <w:rPr>
          <w:color w:val="000000"/>
        </w:rPr>
        <w:t>en matière d’admission et de séjour</w:t>
      </w:r>
      <w:r w:rsidR="00D24A2B" w:rsidRPr="00446BB8">
        <w:rPr>
          <w:color w:val="000000"/>
        </w:rPr>
        <w:t xml:space="preserve">, </w:t>
      </w:r>
      <w:r w:rsidR="005B720A">
        <w:rPr>
          <w:color w:val="000000"/>
        </w:rPr>
        <w:t>pour autant que ce faisant, elles n</w:t>
      </w:r>
      <w:r w:rsidR="008260A3">
        <w:rPr>
          <w:color w:val="000000"/>
        </w:rPr>
        <w:t>’annulent pas ni ne compromettent les avantages découlant de l’accord</w:t>
      </w:r>
      <w:r w:rsidR="00D24A2B" w:rsidRPr="00446BB8">
        <w:rPr>
          <w:color w:val="000000"/>
        </w:rPr>
        <w:t xml:space="preserve">. </w:t>
      </w:r>
      <w:r w:rsidR="008260A3">
        <w:rPr>
          <w:color w:val="000000"/>
        </w:rPr>
        <w:t>La législation, la réglementation et les exigences de l’UE et de ses États membres relatives aux conditions de travail et aux droits des travailleurs continueront de s’appliquer</w:t>
      </w:r>
      <w:r w:rsidR="00D24A2B" w:rsidRPr="00446BB8">
        <w:rPr>
          <w:color w:val="000000"/>
        </w:rPr>
        <w:t>.</w:t>
      </w:r>
    </w:p>
    <w:p w:rsidR="00D24A2B" w:rsidRPr="00446BB8" w:rsidRDefault="00DA63A0" w:rsidP="00D24A2B">
      <w:pPr>
        <w:rPr>
          <w:color w:val="000000"/>
        </w:rPr>
      </w:pPr>
      <w:r>
        <w:rPr>
          <w:color w:val="000000"/>
        </w:rPr>
        <w:t>L’accord devrait réaffirmer le droit de l’UE, de ses États membres et de leurs autorités</w:t>
      </w:r>
      <w:r w:rsidR="00D24A2B" w:rsidRPr="00446BB8">
        <w:rPr>
          <w:color w:val="000000"/>
        </w:rPr>
        <w:t xml:space="preserve"> national</w:t>
      </w:r>
      <w:r>
        <w:rPr>
          <w:color w:val="000000"/>
        </w:rPr>
        <w:t>es</w:t>
      </w:r>
      <w:r w:rsidR="00D24A2B" w:rsidRPr="00446BB8">
        <w:rPr>
          <w:color w:val="000000"/>
        </w:rPr>
        <w:t>, r</w:t>
      </w:r>
      <w:r>
        <w:rPr>
          <w:color w:val="000000"/>
        </w:rPr>
        <w:t>é</w:t>
      </w:r>
      <w:r w:rsidR="00D24A2B" w:rsidRPr="00446BB8">
        <w:rPr>
          <w:color w:val="000000"/>
        </w:rPr>
        <w:t>gional</w:t>
      </w:r>
      <w:r>
        <w:rPr>
          <w:color w:val="000000"/>
        </w:rPr>
        <w:t>es</w:t>
      </w:r>
      <w:r w:rsidR="00D24A2B" w:rsidRPr="00446BB8">
        <w:rPr>
          <w:color w:val="000000"/>
        </w:rPr>
        <w:t xml:space="preserve"> </w:t>
      </w:r>
      <w:r>
        <w:rPr>
          <w:color w:val="000000"/>
        </w:rPr>
        <w:t>et</w:t>
      </w:r>
      <w:r w:rsidR="00D24A2B" w:rsidRPr="00446BB8">
        <w:rPr>
          <w:color w:val="000000"/>
        </w:rPr>
        <w:t xml:space="preserve"> local</w:t>
      </w:r>
      <w:r>
        <w:rPr>
          <w:color w:val="000000"/>
        </w:rPr>
        <w:t>es</w:t>
      </w:r>
      <w:r w:rsidR="00D24A2B" w:rsidRPr="00446BB8">
        <w:rPr>
          <w:color w:val="000000"/>
        </w:rPr>
        <w:t xml:space="preserve"> </w:t>
      </w:r>
      <w:r>
        <w:rPr>
          <w:color w:val="000000"/>
        </w:rPr>
        <w:t>d</w:t>
      </w:r>
      <w:r w:rsidR="00F606EF">
        <w:rPr>
          <w:color w:val="000000"/>
        </w:rPr>
        <w:t>’adopter des réglementations sur leur territoire</w:t>
      </w:r>
      <w:r>
        <w:rPr>
          <w:color w:val="000000"/>
        </w:rPr>
        <w:t xml:space="preserve"> </w:t>
      </w:r>
      <w:r w:rsidR="00F606EF">
        <w:rPr>
          <w:color w:val="000000"/>
        </w:rPr>
        <w:t xml:space="preserve">en vue de réaliser des objectifs légitimes de politique publique </w:t>
      </w:r>
      <w:r w:rsidR="00F606EF">
        <w:t>tels que la protection et la promotion de la santé publique, des services sociaux, de l’éducation publique, de la sécurité, de l’environnement et de la moralité publique, la protection sociale ou des consommateurs, la protection de la vie privée et des données, ainsi que la promotion et la protection de la diversité culturelle</w:t>
      </w:r>
      <w:r w:rsidR="00D24A2B" w:rsidRPr="00446BB8">
        <w:rPr>
          <w:color w:val="000000"/>
        </w:rPr>
        <w:t xml:space="preserve">. </w:t>
      </w:r>
      <w:r w:rsidR="00D95165">
        <w:rPr>
          <w:color w:val="000000"/>
        </w:rPr>
        <w:t xml:space="preserve">L’accord devrait préserver la qualité </w:t>
      </w:r>
      <w:r w:rsidR="00726262">
        <w:rPr>
          <w:color w:val="000000"/>
        </w:rPr>
        <w:t xml:space="preserve">élevée </w:t>
      </w:r>
      <w:r w:rsidR="00D95165">
        <w:rPr>
          <w:color w:val="000000"/>
        </w:rPr>
        <w:t>des services publics de l’UE conformément au TFUE et, en particulier, au protocole nº </w:t>
      </w:r>
      <w:r w:rsidR="00D24A2B" w:rsidRPr="00446BB8">
        <w:rPr>
          <w:color w:val="000000"/>
        </w:rPr>
        <w:t xml:space="preserve">26 </w:t>
      </w:r>
      <w:r w:rsidR="00D95165">
        <w:rPr>
          <w:color w:val="000000"/>
        </w:rPr>
        <w:t>sur les services d’intérêt général</w:t>
      </w:r>
      <w:r w:rsidR="00D24A2B" w:rsidRPr="00446BB8">
        <w:rPr>
          <w:color w:val="000000"/>
        </w:rPr>
        <w:t xml:space="preserve">, </w:t>
      </w:r>
      <w:r w:rsidR="00D95165">
        <w:rPr>
          <w:color w:val="000000"/>
        </w:rPr>
        <w:t xml:space="preserve">et tenir compte des réserves </w:t>
      </w:r>
      <w:r w:rsidR="00CA7857">
        <w:rPr>
          <w:color w:val="000000"/>
        </w:rPr>
        <w:t>émises par</w:t>
      </w:r>
      <w:r w:rsidR="00D95165">
        <w:rPr>
          <w:color w:val="000000"/>
        </w:rPr>
        <w:t xml:space="preserve"> l’UE dans ce domaine, notamment dans le cadre de l’AGCS</w:t>
      </w:r>
      <w:r w:rsidR="00D24A2B" w:rsidRPr="00446BB8">
        <w:rPr>
          <w:color w:val="000000"/>
        </w:rPr>
        <w:t>.</w:t>
      </w:r>
    </w:p>
    <w:p w:rsidR="00D24A2B" w:rsidRPr="00446BB8" w:rsidRDefault="00D95165" w:rsidP="00D24A2B">
      <w:pPr>
        <w:spacing w:before="360"/>
        <w:rPr>
          <w:b/>
          <w:i/>
          <w:szCs w:val="24"/>
        </w:rPr>
      </w:pPr>
      <w:r>
        <w:rPr>
          <w:b/>
          <w:i/>
          <w:szCs w:val="24"/>
        </w:rPr>
        <w:t>Protection des investissements</w:t>
      </w:r>
    </w:p>
    <w:p w:rsidR="00D24A2B" w:rsidRPr="00446BB8" w:rsidRDefault="00D95165" w:rsidP="00D24A2B">
      <w:pPr>
        <w:rPr>
          <w:color w:val="000000"/>
        </w:rPr>
      </w:pPr>
      <w:r>
        <w:rPr>
          <w:color w:val="000000"/>
        </w:rPr>
        <w:t>L’accord devrait comporter</w:t>
      </w:r>
      <w:r w:rsidR="00D24A2B" w:rsidRPr="00446BB8">
        <w:rPr>
          <w:color w:val="000000"/>
        </w:rPr>
        <w:t>:</w:t>
      </w:r>
    </w:p>
    <w:p w:rsidR="00D24A2B" w:rsidRPr="00446BB8" w:rsidRDefault="00B909D5" w:rsidP="008D62F5">
      <w:pPr>
        <w:pStyle w:val="Bullet0"/>
      </w:pPr>
      <w:r>
        <w:t>des normes de protection modernes, définies avec précision,</w:t>
      </w:r>
      <w:r w:rsidR="00D24A2B" w:rsidRPr="00446BB8">
        <w:t xml:space="preserve"> </w:t>
      </w:r>
      <w:r>
        <w:t xml:space="preserve">notamment des </w:t>
      </w:r>
      <w:r w:rsidR="00CA7857">
        <w:t xml:space="preserve">dispositions </w:t>
      </w:r>
      <w:r>
        <w:t>concernant le traitement juste et équitable</w:t>
      </w:r>
      <w:r w:rsidR="00D24A2B" w:rsidRPr="00446BB8">
        <w:t xml:space="preserve">, </w:t>
      </w:r>
      <w:r>
        <w:t>la protection et la sécurité intégrales</w:t>
      </w:r>
      <w:r w:rsidR="00D24A2B" w:rsidRPr="00446BB8">
        <w:t xml:space="preserve">, </w:t>
      </w:r>
      <w:r>
        <w:t>le traitement national</w:t>
      </w:r>
      <w:r w:rsidR="00D24A2B" w:rsidRPr="00446BB8">
        <w:t xml:space="preserve">, </w:t>
      </w:r>
      <w:r>
        <w:t>le traitement de la nation la plus favorisée</w:t>
      </w:r>
      <w:r w:rsidR="00D24A2B" w:rsidRPr="00446BB8">
        <w:t xml:space="preserve">, </w:t>
      </w:r>
      <w:r>
        <w:t xml:space="preserve">la </w:t>
      </w:r>
      <w:r w:rsidR="00D24A2B" w:rsidRPr="00446BB8">
        <w:lastRenderedPageBreak/>
        <w:t xml:space="preserve">protection </w:t>
      </w:r>
      <w:r>
        <w:t>contre l’expropriation directe et indirecte</w:t>
      </w:r>
      <w:r w:rsidR="00D24A2B" w:rsidRPr="00446BB8">
        <w:t xml:space="preserve">, </w:t>
      </w:r>
      <w:r>
        <w:t xml:space="preserve">la gratuité des </w:t>
      </w:r>
      <w:r w:rsidR="00D24A2B" w:rsidRPr="00446BB8">
        <w:t>transfer</w:t>
      </w:r>
      <w:r>
        <w:t>t</w:t>
      </w:r>
      <w:r w:rsidR="00D24A2B" w:rsidRPr="00446BB8">
        <w:t xml:space="preserve">s, </w:t>
      </w:r>
      <w:r>
        <w:t xml:space="preserve">la </w:t>
      </w:r>
      <w:r w:rsidR="00D24A2B" w:rsidRPr="00446BB8">
        <w:t xml:space="preserve">compensation </w:t>
      </w:r>
      <w:r>
        <w:t>des</w:t>
      </w:r>
      <w:r w:rsidR="00D24A2B" w:rsidRPr="00446BB8">
        <w:t xml:space="preserve"> </w:t>
      </w:r>
      <w:r>
        <w:t>perte</w:t>
      </w:r>
      <w:r w:rsidR="00D24A2B" w:rsidRPr="00446BB8">
        <w:t xml:space="preserve">s, </w:t>
      </w:r>
      <w:r>
        <w:t>le respect des engagements écrits</w:t>
      </w:r>
      <w:r w:rsidR="00D24A2B" w:rsidRPr="00446BB8">
        <w:t xml:space="preserve">; </w:t>
      </w:r>
      <w:r>
        <w:t>et</w:t>
      </w:r>
    </w:p>
    <w:p w:rsidR="00D24A2B" w:rsidRPr="00446BB8" w:rsidRDefault="00B909D5" w:rsidP="008D62F5">
      <w:pPr>
        <w:pStyle w:val="Bullet0"/>
      </w:pPr>
      <w:r>
        <w:t>un mécanisme juridictionnel moderne pour l</w:t>
      </w:r>
      <w:r w:rsidR="00C85304">
        <w:t>e règlement des différends</w:t>
      </w:r>
      <w:r>
        <w:t xml:space="preserve"> entre investisseurs et États</w:t>
      </w:r>
      <w:r w:rsidR="00D24A2B" w:rsidRPr="00446BB8">
        <w:t xml:space="preserve">, </w:t>
      </w:r>
      <w:r w:rsidR="005D15A4">
        <w:t xml:space="preserve">se composant d’un </w:t>
      </w:r>
      <w:r w:rsidR="00D24A2B" w:rsidRPr="00446BB8">
        <w:t>tribunal</w:t>
      </w:r>
      <w:r w:rsidR="005D15A4">
        <w:t xml:space="preserve"> des investissements et d’un mécanisme d’appel connexe</w:t>
      </w:r>
      <w:r w:rsidR="00D24A2B" w:rsidRPr="00446BB8">
        <w:t xml:space="preserve"> (</w:t>
      </w:r>
      <w:r w:rsidR="00C85304">
        <w:t>système juridictionnel des investissements</w:t>
      </w:r>
      <w:r w:rsidR="00D24A2B" w:rsidRPr="00446BB8">
        <w:t xml:space="preserve">). </w:t>
      </w:r>
      <w:r w:rsidR="00C85304">
        <w:t>Ce mécanisme devrait garantir une impartialité et une transparence totales des procédures de règlement des différends</w:t>
      </w:r>
      <w:r w:rsidR="00D24A2B" w:rsidRPr="00446BB8">
        <w:t xml:space="preserve">, </w:t>
      </w:r>
      <w:r w:rsidR="00C85304">
        <w:t>permettre d’éviter les procédures fantaisistes et comporter des outils appropriés pour faciliter le règlement amiable des réclamations</w:t>
      </w:r>
      <w:r w:rsidR="00D24A2B" w:rsidRPr="00446BB8">
        <w:t>.</w:t>
      </w:r>
    </w:p>
    <w:p w:rsidR="00D24A2B" w:rsidRPr="00446BB8" w:rsidRDefault="00420EF4" w:rsidP="00D24A2B">
      <w:pPr>
        <w:rPr>
          <w:color w:val="000000"/>
        </w:rPr>
      </w:pPr>
      <w:r>
        <w:rPr>
          <w:color w:val="000000"/>
        </w:rPr>
        <w:t xml:space="preserve">Les dispositions concernant la protection des </w:t>
      </w:r>
      <w:r w:rsidR="00D24A2B" w:rsidRPr="00446BB8">
        <w:rPr>
          <w:color w:val="000000"/>
        </w:rPr>
        <w:t>invest</w:t>
      </w:r>
      <w:r>
        <w:rPr>
          <w:color w:val="000000"/>
        </w:rPr>
        <w:t>isse</w:t>
      </w:r>
      <w:r w:rsidR="00D24A2B" w:rsidRPr="00446BB8">
        <w:rPr>
          <w:color w:val="000000"/>
        </w:rPr>
        <w:t>ment</w:t>
      </w:r>
      <w:r>
        <w:rPr>
          <w:color w:val="000000"/>
        </w:rPr>
        <w:t>s</w:t>
      </w:r>
      <w:r w:rsidR="00D24A2B" w:rsidRPr="00446BB8">
        <w:rPr>
          <w:color w:val="000000"/>
        </w:rPr>
        <w:t xml:space="preserve"> </w:t>
      </w:r>
      <w:r>
        <w:rPr>
          <w:color w:val="000000"/>
        </w:rPr>
        <w:t>devraient</w:t>
      </w:r>
      <w:r w:rsidR="00D24A2B" w:rsidRPr="00446BB8">
        <w:rPr>
          <w:color w:val="000000"/>
        </w:rPr>
        <w:t xml:space="preserve"> </w:t>
      </w:r>
      <w:r>
        <w:rPr>
          <w:color w:val="000000"/>
        </w:rPr>
        <w:t xml:space="preserve">garantir une solide protection des </w:t>
      </w:r>
      <w:r w:rsidR="00D24A2B" w:rsidRPr="00446BB8">
        <w:rPr>
          <w:color w:val="000000"/>
        </w:rPr>
        <w:t>invest</w:t>
      </w:r>
      <w:r>
        <w:rPr>
          <w:color w:val="000000"/>
        </w:rPr>
        <w:t>isseu</w:t>
      </w:r>
      <w:r w:rsidR="00D24A2B" w:rsidRPr="00446BB8">
        <w:rPr>
          <w:color w:val="000000"/>
        </w:rPr>
        <w:t xml:space="preserve">rs </w:t>
      </w:r>
      <w:r>
        <w:rPr>
          <w:color w:val="000000"/>
        </w:rPr>
        <w:t xml:space="preserve">et des </w:t>
      </w:r>
      <w:r w:rsidR="00D24A2B" w:rsidRPr="00446BB8">
        <w:rPr>
          <w:color w:val="000000"/>
        </w:rPr>
        <w:t>invest</w:t>
      </w:r>
      <w:r>
        <w:rPr>
          <w:color w:val="000000"/>
        </w:rPr>
        <w:t>isse</w:t>
      </w:r>
      <w:r w:rsidR="00D24A2B" w:rsidRPr="00446BB8">
        <w:rPr>
          <w:color w:val="000000"/>
        </w:rPr>
        <w:t xml:space="preserve">ments, </w:t>
      </w:r>
      <w:r>
        <w:rPr>
          <w:color w:val="000000"/>
        </w:rPr>
        <w:t xml:space="preserve">tout en préservant totalement le droit des parties d’adopter des réglementations sur leur territoire en vue de réaliser des objectifs légitimes de politique publique </w:t>
      </w:r>
      <w:r>
        <w:t>tels que la protection et la promotion de la santé publique, des services sociaux, de l’éducation publique, de la sécurité, de l’environnement et de la moralité publique, la protection sociale ou des consommateurs, la protection de la vie privée et des données, ainsi que la promotion et la protection de la diversité culturelle</w:t>
      </w:r>
      <w:r w:rsidR="00D24A2B" w:rsidRPr="00446BB8">
        <w:rPr>
          <w:color w:val="000000"/>
        </w:rPr>
        <w:t>.</w:t>
      </w:r>
    </w:p>
    <w:p w:rsidR="00D24A2B" w:rsidRPr="00446BB8" w:rsidRDefault="004D04ED" w:rsidP="00D24A2B">
      <w:pPr>
        <w:spacing w:before="360" w:after="240"/>
        <w:rPr>
          <w:b/>
          <w:smallCaps/>
          <w:szCs w:val="24"/>
        </w:rPr>
      </w:pPr>
      <w:r>
        <w:rPr>
          <w:b/>
          <w:smallCaps/>
          <w:szCs w:val="24"/>
        </w:rPr>
        <w:t>Circulation des capitaux et paiements</w:t>
      </w:r>
    </w:p>
    <w:p w:rsidR="00D24A2B" w:rsidRPr="00446BB8" w:rsidRDefault="00EC56C2" w:rsidP="00D24A2B">
      <w:pPr>
        <w:rPr>
          <w:color w:val="000000"/>
        </w:rPr>
      </w:pPr>
      <w:r>
        <w:rPr>
          <w:color w:val="000000"/>
        </w:rPr>
        <w:t>L’accord devrait maintenir des dispositions concernant la libéralisation complète des paiements courants et de la circulation des capitaux</w:t>
      </w:r>
      <w:r w:rsidR="006B311C">
        <w:rPr>
          <w:color w:val="000000"/>
        </w:rPr>
        <w:t>,</w:t>
      </w:r>
      <w:r>
        <w:rPr>
          <w:color w:val="000000"/>
        </w:rPr>
        <w:t xml:space="preserve"> et comporter une clause </w:t>
      </w:r>
      <w:r w:rsidR="005313ED">
        <w:rPr>
          <w:color w:val="000000"/>
        </w:rPr>
        <w:t>de statu quo</w:t>
      </w:r>
      <w:r w:rsidR="00D24A2B" w:rsidRPr="00446BB8">
        <w:rPr>
          <w:color w:val="000000"/>
        </w:rPr>
        <w:t xml:space="preserve">. </w:t>
      </w:r>
      <w:r w:rsidR="005313ED">
        <w:rPr>
          <w:color w:val="000000"/>
        </w:rPr>
        <w:t xml:space="preserve">Il devrait contenir des clauses dérogatoires et de sauvegarde </w:t>
      </w:r>
      <w:r w:rsidR="00D24A2B" w:rsidRPr="00446BB8">
        <w:rPr>
          <w:color w:val="000000"/>
        </w:rPr>
        <w:t>(</w:t>
      </w:r>
      <w:r w:rsidR="005313ED">
        <w:rPr>
          <w:color w:val="000000"/>
        </w:rPr>
        <w:t>par exemple, concernant la politique économique et monétaire de l’Union et sa balance des paiements</w:t>
      </w:r>
      <w:r w:rsidR="00D24A2B" w:rsidRPr="00446BB8">
        <w:rPr>
          <w:color w:val="000000"/>
        </w:rPr>
        <w:t xml:space="preserve">), </w:t>
      </w:r>
      <w:r w:rsidR="005313ED">
        <w:rPr>
          <w:color w:val="000000"/>
        </w:rPr>
        <w:t>lesquelles seraient conformes aux dispositions du TFUE concernant la libre circulation des capitaux</w:t>
      </w:r>
      <w:r w:rsidR="00D24A2B" w:rsidRPr="00446BB8">
        <w:rPr>
          <w:color w:val="000000"/>
        </w:rPr>
        <w:t>.</w:t>
      </w:r>
    </w:p>
    <w:p w:rsidR="00D24A2B" w:rsidRPr="00446BB8" w:rsidRDefault="005313ED" w:rsidP="00D24A2B">
      <w:pPr>
        <w:rPr>
          <w:color w:val="000000"/>
        </w:rPr>
      </w:pPr>
      <w:r>
        <w:rPr>
          <w:color w:val="000000"/>
        </w:rPr>
        <w:t xml:space="preserve">L’accord ne devrait pas </w:t>
      </w:r>
      <w:r w:rsidR="00086AC4">
        <w:rPr>
          <w:color w:val="000000"/>
        </w:rPr>
        <w:t xml:space="preserve">empêcher l’application des exceptions à la libre circulation des capitaux et des paiements qui sont </w:t>
      </w:r>
      <w:r w:rsidR="00D24A2B" w:rsidRPr="00446BB8">
        <w:rPr>
          <w:color w:val="000000"/>
        </w:rPr>
        <w:t>justifiable</w:t>
      </w:r>
      <w:r w:rsidR="00086AC4">
        <w:rPr>
          <w:color w:val="000000"/>
        </w:rPr>
        <w:t>s</w:t>
      </w:r>
      <w:r w:rsidR="00D24A2B" w:rsidRPr="00446BB8">
        <w:rPr>
          <w:color w:val="000000"/>
        </w:rPr>
        <w:t xml:space="preserve"> </w:t>
      </w:r>
      <w:r w:rsidR="00086AC4">
        <w:rPr>
          <w:color w:val="000000"/>
        </w:rPr>
        <w:t>au regard des règles applicables de l’OMC</w:t>
      </w:r>
      <w:r w:rsidR="00D24A2B" w:rsidRPr="00446BB8">
        <w:rPr>
          <w:color w:val="000000"/>
        </w:rPr>
        <w:t>.</w:t>
      </w:r>
    </w:p>
    <w:p w:rsidR="00EF2672" w:rsidRPr="00446BB8" w:rsidRDefault="00EF2672" w:rsidP="00EF2672">
      <w:pPr>
        <w:spacing w:before="0" w:after="0"/>
        <w:jc w:val="left"/>
        <w:rPr>
          <w:b/>
          <w:smallCaps/>
          <w:szCs w:val="24"/>
        </w:rPr>
      </w:pPr>
    </w:p>
    <w:p w:rsidR="00D24A2B" w:rsidRPr="00446BB8" w:rsidRDefault="00086AC4" w:rsidP="00EF2672">
      <w:pPr>
        <w:spacing w:before="0" w:after="0"/>
        <w:jc w:val="left"/>
        <w:rPr>
          <w:b/>
          <w:smallCaps/>
          <w:szCs w:val="24"/>
        </w:rPr>
      </w:pPr>
      <w:r>
        <w:rPr>
          <w:b/>
          <w:smallCaps/>
          <w:szCs w:val="24"/>
        </w:rPr>
        <w:t xml:space="preserve">Droits de propriété </w:t>
      </w:r>
      <w:r w:rsidR="00D24A2B" w:rsidRPr="00446BB8">
        <w:rPr>
          <w:b/>
          <w:smallCaps/>
          <w:szCs w:val="24"/>
        </w:rPr>
        <w:t>Intellectu</w:t>
      </w:r>
      <w:r>
        <w:rPr>
          <w:b/>
          <w:smallCaps/>
          <w:szCs w:val="24"/>
        </w:rPr>
        <w:t>e</w:t>
      </w:r>
      <w:r w:rsidR="00D24A2B" w:rsidRPr="00446BB8">
        <w:rPr>
          <w:b/>
          <w:smallCaps/>
          <w:szCs w:val="24"/>
        </w:rPr>
        <w:t>l</w:t>
      </w:r>
      <w:r>
        <w:rPr>
          <w:b/>
          <w:smallCaps/>
          <w:szCs w:val="24"/>
        </w:rPr>
        <w:t>le</w:t>
      </w:r>
    </w:p>
    <w:p w:rsidR="00D24A2B" w:rsidRPr="00446BB8" w:rsidRDefault="00086AC4" w:rsidP="00D24A2B">
      <w:pPr>
        <w:rPr>
          <w:color w:val="000000"/>
        </w:rPr>
      </w:pPr>
      <w:r>
        <w:rPr>
          <w:color w:val="000000"/>
        </w:rPr>
        <w:t>L’accord devrait compléter, tout en s’en inspirant, l’accord sur les ADPIC</w:t>
      </w:r>
      <w:r w:rsidR="00D24A2B" w:rsidRPr="00446BB8">
        <w:rPr>
          <w:color w:val="000000"/>
        </w:rPr>
        <w:t xml:space="preserve">, </w:t>
      </w:r>
      <w:r>
        <w:rPr>
          <w:color w:val="000000"/>
        </w:rPr>
        <w:t>de façon à garantir un niveau élevé de</w:t>
      </w:r>
      <w:r w:rsidR="00D24A2B" w:rsidRPr="00446BB8">
        <w:rPr>
          <w:color w:val="000000"/>
        </w:rPr>
        <w:t xml:space="preserve"> protection </w:t>
      </w:r>
      <w:r>
        <w:rPr>
          <w:color w:val="000000"/>
        </w:rPr>
        <w:t xml:space="preserve">et </w:t>
      </w:r>
      <w:r w:rsidR="00876ECF">
        <w:rPr>
          <w:color w:val="000000"/>
        </w:rPr>
        <w:t>de respect</w:t>
      </w:r>
      <w:r>
        <w:rPr>
          <w:color w:val="000000"/>
        </w:rPr>
        <w:t xml:space="preserve"> de toutes les formes de droit</w:t>
      </w:r>
      <w:r w:rsidR="006B311C">
        <w:rPr>
          <w:color w:val="000000"/>
        </w:rPr>
        <w:t>s</w:t>
      </w:r>
      <w:r>
        <w:rPr>
          <w:color w:val="000000"/>
        </w:rPr>
        <w:t xml:space="preserve"> de propriété intellectuelle</w:t>
      </w:r>
      <w:r w:rsidR="00D24A2B" w:rsidRPr="00446BB8">
        <w:rPr>
          <w:color w:val="000000"/>
        </w:rPr>
        <w:t>.</w:t>
      </w:r>
    </w:p>
    <w:p w:rsidR="00D24A2B" w:rsidRPr="00446BB8" w:rsidRDefault="00876ECF" w:rsidP="00D24A2B">
      <w:pPr>
        <w:rPr>
          <w:color w:val="000000"/>
        </w:rPr>
      </w:pPr>
      <w:r>
        <w:rPr>
          <w:color w:val="000000"/>
        </w:rPr>
        <w:t>Selon la même logique</w:t>
      </w:r>
      <w:r w:rsidR="00D24A2B" w:rsidRPr="00446BB8">
        <w:rPr>
          <w:color w:val="000000"/>
        </w:rPr>
        <w:t xml:space="preserve">, </w:t>
      </w:r>
      <w:r>
        <w:rPr>
          <w:color w:val="000000"/>
        </w:rPr>
        <w:t>l’accord devrait couvrir des dispositions générales</w:t>
      </w:r>
      <w:r w:rsidR="00D24A2B" w:rsidRPr="00446BB8">
        <w:rPr>
          <w:color w:val="000000"/>
        </w:rPr>
        <w:t xml:space="preserve">; </w:t>
      </w:r>
      <w:r>
        <w:rPr>
          <w:color w:val="000000"/>
        </w:rPr>
        <w:t>le droit d’auteur et les droits voisins</w:t>
      </w:r>
      <w:r w:rsidR="00D24A2B" w:rsidRPr="00446BB8">
        <w:rPr>
          <w:color w:val="000000"/>
        </w:rPr>
        <w:t xml:space="preserve">; </w:t>
      </w:r>
      <w:r>
        <w:rPr>
          <w:color w:val="000000"/>
        </w:rPr>
        <w:t>les marques</w:t>
      </w:r>
      <w:r w:rsidR="00D24A2B" w:rsidRPr="00446BB8">
        <w:rPr>
          <w:color w:val="000000"/>
        </w:rPr>
        <w:t xml:space="preserve">; </w:t>
      </w:r>
      <w:r w:rsidR="00453986">
        <w:rPr>
          <w:color w:val="000000"/>
        </w:rPr>
        <w:t>les dessins et modèles</w:t>
      </w:r>
      <w:r w:rsidR="00D24A2B" w:rsidRPr="00446BB8">
        <w:rPr>
          <w:color w:val="000000"/>
        </w:rPr>
        <w:t xml:space="preserve">; </w:t>
      </w:r>
      <w:r w:rsidR="00453986">
        <w:rPr>
          <w:color w:val="000000"/>
        </w:rPr>
        <w:t>les brevets</w:t>
      </w:r>
      <w:r w:rsidR="00D24A2B" w:rsidRPr="00446BB8">
        <w:rPr>
          <w:color w:val="000000"/>
        </w:rPr>
        <w:t xml:space="preserve">; </w:t>
      </w:r>
      <w:r w:rsidR="00453986">
        <w:rPr>
          <w:color w:val="000000"/>
        </w:rPr>
        <w:t>les variétés végétales</w:t>
      </w:r>
      <w:r w:rsidR="00D24A2B" w:rsidRPr="00446BB8">
        <w:rPr>
          <w:color w:val="000000"/>
        </w:rPr>
        <w:t xml:space="preserve">; </w:t>
      </w:r>
      <w:r w:rsidR="00453986">
        <w:rPr>
          <w:color w:val="000000"/>
        </w:rPr>
        <w:t xml:space="preserve">la </w:t>
      </w:r>
      <w:r w:rsidR="00D24A2B" w:rsidRPr="00446BB8">
        <w:rPr>
          <w:color w:val="000000"/>
        </w:rPr>
        <w:t xml:space="preserve">protection </w:t>
      </w:r>
      <w:r w:rsidR="00453986">
        <w:rPr>
          <w:color w:val="000000"/>
        </w:rPr>
        <w:t>des renseignements non divulgués, notamment des secrets d’affaires</w:t>
      </w:r>
      <w:r w:rsidR="00D24A2B" w:rsidRPr="00446BB8">
        <w:rPr>
          <w:color w:val="000000"/>
        </w:rPr>
        <w:t xml:space="preserve">; </w:t>
      </w:r>
      <w:r w:rsidR="00453986">
        <w:rPr>
          <w:color w:val="000000"/>
        </w:rPr>
        <w:t>les indications géographiques</w:t>
      </w:r>
      <w:r w:rsidR="00D24A2B" w:rsidRPr="00446BB8">
        <w:rPr>
          <w:color w:val="000000"/>
        </w:rPr>
        <w:t xml:space="preserve">; </w:t>
      </w:r>
      <w:r w:rsidR="00453986">
        <w:rPr>
          <w:color w:val="000000"/>
        </w:rPr>
        <w:t>et des engagements</w:t>
      </w:r>
      <w:r w:rsidR="00D24A2B" w:rsidRPr="00446BB8">
        <w:rPr>
          <w:color w:val="000000"/>
        </w:rPr>
        <w:t xml:space="preserve">, </w:t>
      </w:r>
      <w:r w:rsidR="00453986">
        <w:rPr>
          <w:color w:val="000000"/>
        </w:rPr>
        <w:t>le cas échéant</w:t>
      </w:r>
      <w:r w:rsidR="00D24A2B" w:rsidRPr="00446BB8">
        <w:rPr>
          <w:color w:val="000000"/>
        </w:rPr>
        <w:t xml:space="preserve">, </w:t>
      </w:r>
      <w:r w:rsidR="00453986">
        <w:rPr>
          <w:color w:val="000000"/>
        </w:rPr>
        <w:t>d’</w:t>
      </w:r>
      <w:r w:rsidR="00D24A2B" w:rsidRPr="00446BB8">
        <w:rPr>
          <w:color w:val="000000"/>
        </w:rPr>
        <w:t>adh</w:t>
      </w:r>
      <w:r w:rsidR="00453986">
        <w:rPr>
          <w:color w:val="000000"/>
        </w:rPr>
        <w:t>é</w:t>
      </w:r>
      <w:r w:rsidR="00D24A2B" w:rsidRPr="00446BB8">
        <w:rPr>
          <w:color w:val="000000"/>
        </w:rPr>
        <w:t>re</w:t>
      </w:r>
      <w:r w:rsidR="00453986">
        <w:rPr>
          <w:color w:val="000000"/>
        </w:rPr>
        <w:t>r</w:t>
      </w:r>
      <w:r w:rsidR="00D24A2B" w:rsidRPr="00446BB8">
        <w:rPr>
          <w:color w:val="000000"/>
        </w:rPr>
        <w:t xml:space="preserve"> </w:t>
      </w:r>
      <w:r w:rsidR="00453986">
        <w:rPr>
          <w:color w:val="000000"/>
        </w:rPr>
        <w:t>aux accords et conventions multilatérales applicables et</w:t>
      </w:r>
      <w:r w:rsidR="00D24A2B" w:rsidRPr="00446BB8">
        <w:rPr>
          <w:color w:val="000000"/>
        </w:rPr>
        <w:t>/o</w:t>
      </w:r>
      <w:r w:rsidR="00453986">
        <w:rPr>
          <w:color w:val="000000"/>
        </w:rPr>
        <w:t>u</w:t>
      </w:r>
      <w:r w:rsidR="00D24A2B" w:rsidRPr="00446BB8">
        <w:rPr>
          <w:color w:val="000000"/>
        </w:rPr>
        <w:t xml:space="preserve"> </w:t>
      </w:r>
      <w:r w:rsidR="00453986">
        <w:rPr>
          <w:color w:val="000000"/>
        </w:rPr>
        <w:t>de s’y conformer</w:t>
      </w:r>
      <w:r w:rsidR="00D24A2B" w:rsidRPr="00446BB8">
        <w:rPr>
          <w:color w:val="000000"/>
        </w:rPr>
        <w:t>.</w:t>
      </w:r>
    </w:p>
    <w:p w:rsidR="00D24A2B" w:rsidRPr="00446BB8" w:rsidRDefault="00453986" w:rsidP="00D24A2B">
      <w:pPr>
        <w:rPr>
          <w:color w:val="000000"/>
        </w:rPr>
      </w:pPr>
      <w:r>
        <w:rPr>
          <w:color w:val="000000"/>
        </w:rPr>
        <w:t>L’accord devrait garantir une application renforcée des DPI</w:t>
      </w:r>
      <w:r w:rsidR="00D24A2B" w:rsidRPr="00446BB8">
        <w:rPr>
          <w:color w:val="000000"/>
        </w:rPr>
        <w:t xml:space="preserve">, </w:t>
      </w:r>
      <w:r>
        <w:rPr>
          <w:color w:val="000000"/>
        </w:rPr>
        <w:t>notamment dans l’environnement numérique et aux frontières</w:t>
      </w:r>
      <w:r w:rsidR="00D24A2B" w:rsidRPr="00446BB8">
        <w:rPr>
          <w:color w:val="000000"/>
        </w:rPr>
        <w:t>.</w:t>
      </w:r>
    </w:p>
    <w:p w:rsidR="00D24A2B" w:rsidRPr="00446BB8" w:rsidRDefault="00267E67" w:rsidP="00D24A2B">
      <w:pPr>
        <w:rPr>
          <w:color w:val="000000"/>
        </w:rPr>
      </w:pPr>
      <w:r>
        <w:rPr>
          <w:color w:val="000000"/>
        </w:rPr>
        <w:t>En ce qui concerne les indications géographiques</w:t>
      </w:r>
      <w:r w:rsidR="00D24A2B" w:rsidRPr="00446BB8">
        <w:rPr>
          <w:color w:val="000000"/>
        </w:rPr>
        <w:t xml:space="preserve">, </w:t>
      </w:r>
      <w:r w:rsidR="00423D65">
        <w:rPr>
          <w:color w:val="000000"/>
        </w:rPr>
        <w:t xml:space="preserve">en s’inspirant du niveau élevé de protection </w:t>
      </w:r>
      <w:r w:rsidR="00F14F38">
        <w:rPr>
          <w:color w:val="000000"/>
        </w:rPr>
        <w:t xml:space="preserve">des indications géographiques </w:t>
      </w:r>
      <w:r w:rsidR="00423D65">
        <w:rPr>
          <w:color w:val="000000"/>
        </w:rPr>
        <w:t>déjà prévu dans l’accord existant pour les vins et les spiritueux</w:t>
      </w:r>
      <w:r w:rsidR="00190059" w:rsidRPr="00446BB8">
        <w:rPr>
          <w:color w:val="000000"/>
        </w:rPr>
        <w:t xml:space="preserve">, </w:t>
      </w:r>
      <w:r w:rsidR="00F14F38">
        <w:rPr>
          <w:color w:val="000000"/>
        </w:rPr>
        <w:t>l’accord modernisé devrait prévoir la protection directe au moyen de l’a</w:t>
      </w:r>
      <w:r w:rsidR="009E6C8F">
        <w:rPr>
          <w:color w:val="000000"/>
        </w:rPr>
        <w:t>pprobation</w:t>
      </w:r>
      <w:r w:rsidR="00F14F38">
        <w:rPr>
          <w:color w:val="000000"/>
        </w:rPr>
        <w:t xml:space="preserve"> d’une liste d’indications géographiques concernant les produits agricoles/les denrées alimentaires</w:t>
      </w:r>
      <w:r w:rsidR="00D24A2B" w:rsidRPr="00446BB8">
        <w:rPr>
          <w:color w:val="000000"/>
        </w:rPr>
        <w:t xml:space="preserve">, </w:t>
      </w:r>
      <w:r w:rsidR="00F14F38">
        <w:rPr>
          <w:color w:val="000000"/>
        </w:rPr>
        <w:t>en leur offrant un niveau de protection élevé s’appuyant sur l’article 23 de l’Accord sur les ADPIC</w:t>
      </w:r>
      <w:r w:rsidR="00D24A2B" w:rsidRPr="00446BB8">
        <w:rPr>
          <w:color w:val="000000"/>
        </w:rPr>
        <w:t xml:space="preserve"> (</w:t>
      </w:r>
      <w:r w:rsidR="00F14F38">
        <w:rPr>
          <w:color w:val="000000"/>
        </w:rPr>
        <w:t>y compris contre l’évocation</w:t>
      </w:r>
      <w:r w:rsidR="00D24A2B" w:rsidRPr="00446BB8">
        <w:rPr>
          <w:color w:val="000000"/>
        </w:rPr>
        <w:t xml:space="preserve">), </w:t>
      </w:r>
      <w:r w:rsidR="00E361FF">
        <w:rPr>
          <w:color w:val="000000"/>
        </w:rPr>
        <w:t xml:space="preserve">ainsi qu’une application renforcée, des </w:t>
      </w:r>
      <w:r w:rsidR="00D24A2B" w:rsidRPr="00446BB8">
        <w:rPr>
          <w:color w:val="000000"/>
        </w:rPr>
        <w:t xml:space="preserve">exceptions </w:t>
      </w:r>
      <w:r w:rsidR="00E361FF">
        <w:rPr>
          <w:color w:val="000000"/>
        </w:rPr>
        <w:t xml:space="preserve">aux droits </w:t>
      </w:r>
      <w:r w:rsidR="00E361FF">
        <w:rPr>
          <w:color w:val="000000"/>
        </w:rPr>
        <w:lastRenderedPageBreak/>
        <w:t xml:space="preserve">conférés aux marques </w:t>
      </w:r>
      <w:r w:rsidR="00D24A2B" w:rsidRPr="00446BB8">
        <w:rPr>
          <w:color w:val="000000"/>
        </w:rPr>
        <w:t>(</w:t>
      </w:r>
      <w:r w:rsidR="00E361FF">
        <w:rPr>
          <w:color w:val="000000"/>
        </w:rPr>
        <w:t xml:space="preserve">principe de </w:t>
      </w:r>
      <w:r w:rsidR="00D24A2B" w:rsidRPr="00446BB8">
        <w:rPr>
          <w:color w:val="000000"/>
        </w:rPr>
        <w:t xml:space="preserve">coexistence), </w:t>
      </w:r>
      <w:r w:rsidR="00E361FF">
        <w:rPr>
          <w:color w:val="000000"/>
        </w:rPr>
        <w:t xml:space="preserve">et la </w:t>
      </w:r>
      <w:r w:rsidR="00D24A2B" w:rsidRPr="00446BB8">
        <w:rPr>
          <w:color w:val="000000"/>
        </w:rPr>
        <w:t>possibilit</w:t>
      </w:r>
      <w:r w:rsidR="00E361FF">
        <w:rPr>
          <w:color w:val="000000"/>
        </w:rPr>
        <w:t>é</w:t>
      </w:r>
      <w:r w:rsidR="00D24A2B" w:rsidRPr="00446BB8">
        <w:rPr>
          <w:color w:val="000000"/>
        </w:rPr>
        <w:t xml:space="preserve"> </w:t>
      </w:r>
      <w:r w:rsidR="00E361FF">
        <w:rPr>
          <w:color w:val="000000"/>
        </w:rPr>
        <w:t>d’ajouter de nouvelles indications géographiques</w:t>
      </w:r>
      <w:r w:rsidR="00D24A2B" w:rsidRPr="00446BB8">
        <w:rPr>
          <w:color w:val="000000"/>
        </w:rPr>
        <w:t xml:space="preserve">. </w:t>
      </w:r>
      <w:r w:rsidR="000C3235">
        <w:rPr>
          <w:color w:val="000000"/>
        </w:rPr>
        <w:t>Il convient d’aborder les problèmes concernant les droits antérieurs individuels</w:t>
      </w:r>
      <w:r w:rsidR="00D24A2B" w:rsidRPr="00446BB8">
        <w:rPr>
          <w:color w:val="000000"/>
        </w:rPr>
        <w:t xml:space="preserve">, </w:t>
      </w:r>
      <w:r w:rsidR="000C3235">
        <w:rPr>
          <w:color w:val="000000"/>
        </w:rPr>
        <w:t>par exemple liés à des variétés végétales</w:t>
      </w:r>
      <w:r w:rsidR="00D24A2B" w:rsidRPr="00446BB8">
        <w:rPr>
          <w:color w:val="000000"/>
        </w:rPr>
        <w:t xml:space="preserve">, </w:t>
      </w:r>
      <w:r w:rsidR="000C3235">
        <w:rPr>
          <w:color w:val="000000"/>
        </w:rPr>
        <w:t>à des marques</w:t>
      </w:r>
      <w:r w:rsidR="00D24A2B" w:rsidRPr="00446BB8">
        <w:rPr>
          <w:color w:val="000000"/>
        </w:rPr>
        <w:t xml:space="preserve">, </w:t>
      </w:r>
      <w:r w:rsidR="000C3235">
        <w:rPr>
          <w:color w:val="000000"/>
        </w:rPr>
        <w:t>à une utilisation générique ou à d’autres utilisations légitimes antérieures</w:t>
      </w:r>
      <w:r w:rsidR="00D24A2B" w:rsidRPr="00446BB8">
        <w:rPr>
          <w:color w:val="000000"/>
        </w:rPr>
        <w:t>.</w:t>
      </w:r>
    </w:p>
    <w:p w:rsidR="00D24A2B" w:rsidRPr="00446BB8" w:rsidRDefault="000C3235" w:rsidP="00D24A2B">
      <w:pPr>
        <w:rPr>
          <w:color w:val="000000"/>
        </w:rPr>
      </w:pPr>
      <w:r>
        <w:rPr>
          <w:color w:val="000000"/>
        </w:rPr>
        <w:t xml:space="preserve">L’accord devrait aussi viser à mettre en place un </w:t>
      </w:r>
      <w:r w:rsidR="00D24A2B" w:rsidRPr="00446BB8">
        <w:rPr>
          <w:color w:val="000000"/>
        </w:rPr>
        <w:t>dialogue</w:t>
      </w:r>
      <w:r>
        <w:rPr>
          <w:color w:val="000000"/>
        </w:rPr>
        <w:t xml:space="preserve"> régulier</w:t>
      </w:r>
      <w:r w:rsidR="00D24A2B" w:rsidRPr="00446BB8">
        <w:rPr>
          <w:color w:val="000000"/>
        </w:rPr>
        <w:t>/</w:t>
      </w:r>
      <w:r>
        <w:rPr>
          <w:color w:val="000000"/>
        </w:rPr>
        <w:t xml:space="preserve">des groupes de travail sur la propriété </w:t>
      </w:r>
      <w:r w:rsidR="00E2094E">
        <w:rPr>
          <w:color w:val="000000"/>
        </w:rPr>
        <w:t>intellectuelle</w:t>
      </w:r>
      <w:r>
        <w:rPr>
          <w:color w:val="000000"/>
        </w:rPr>
        <w:t xml:space="preserve"> de façon à </w:t>
      </w:r>
      <w:r w:rsidR="006B311C">
        <w:rPr>
          <w:color w:val="000000"/>
        </w:rPr>
        <w:t xml:space="preserve">encourager </w:t>
      </w:r>
      <w:r>
        <w:rPr>
          <w:color w:val="000000"/>
        </w:rPr>
        <w:t>l’échange d’informations sur les avancées législatives respectives des parties</w:t>
      </w:r>
      <w:r w:rsidR="00D24A2B" w:rsidRPr="00446BB8">
        <w:rPr>
          <w:color w:val="000000"/>
        </w:rPr>
        <w:t xml:space="preserve">, </w:t>
      </w:r>
      <w:r>
        <w:rPr>
          <w:color w:val="000000"/>
        </w:rPr>
        <w:t>l’échange d’expérience en matière d’application des droits et la consultation en ce qui concerne les pays tiers</w:t>
      </w:r>
      <w:r w:rsidR="00D24A2B" w:rsidRPr="00446BB8">
        <w:rPr>
          <w:color w:val="000000"/>
        </w:rPr>
        <w:t>.</w:t>
      </w:r>
    </w:p>
    <w:p w:rsidR="00D24A2B" w:rsidRPr="00446BB8" w:rsidRDefault="000C3235" w:rsidP="00D24A2B">
      <w:pPr>
        <w:spacing w:before="360" w:after="240"/>
        <w:rPr>
          <w:b/>
          <w:smallCaps/>
          <w:szCs w:val="24"/>
        </w:rPr>
      </w:pPr>
      <w:r>
        <w:rPr>
          <w:b/>
          <w:smallCaps/>
          <w:szCs w:val="24"/>
        </w:rPr>
        <w:t>Marchés publics</w:t>
      </w:r>
    </w:p>
    <w:p w:rsidR="00D24A2B" w:rsidRPr="00446BB8" w:rsidRDefault="00F06A7B" w:rsidP="00D24A2B">
      <w:pPr>
        <w:rPr>
          <w:color w:val="000000"/>
        </w:rPr>
      </w:pPr>
      <w:r>
        <w:rPr>
          <w:color w:val="000000"/>
        </w:rPr>
        <w:t xml:space="preserve">L’accord devrait viser à accroître l’accès mutuel aux marchés publics </w:t>
      </w:r>
      <w:r w:rsidR="00A27139">
        <w:rPr>
          <w:color w:val="000000"/>
        </w:rPr>
        <w:t>par les autorités centrales et infranationales</w:t>
      </w:r>
      <w:r w:rsidR="00D24A2B" w:rsidRPr="00446BB8">
        <w:rPr>
          <w:color w:val="000000"/>
        </w:rPr>
        <w:t xml:space="preserve">, </w:t>
      </w:r>
      <w:r w:rsidR="00A27139">
        <w:rPr>
          <w:color w:val="000000"/>
        </w:rPr>
        <w:t xml:space="preserve">ainsi que par les entreprises publiques et les entreprises bénéficiant de droits spéciaux ou exclusifs </w:t>
      </w:r>
      <w:r w:rsidR="00D24A2B" w:rsidRPr="00446BB8">
        <w:rPr>
          <w:color w:val="000000"/>
        </w:rPr>
        <w:t>op</w:t>
      </w:r>
      <w:r w:rsidR="00A27139">
        <w:rPr>
          <w:color w:val="000000"/>
        </w:rPr>
        <w:t>é</w:t>
      </w:r>
      <w:r w:rsidR="00D24A2B" w:rsidRPr="00446BB8">
        <w:rPr>
          <w:color w:val="000000"/>
        </w:rPr>
        <w:t>ran</w:t>
      </w:r>
      <w:r w:rsidR="00A27139">
        <w:rPr>
          <w:color w:val="000000"/>
        </w:rPr>
        <w:t>t</w:t>
      </w:r>
      <w:r w:rsidR="00D24A2B" w:rsidRPr="00446BB8">
        <w:rPr>
          <w:color w:val="000000"/>
        </w:rPr>
        <w:t xml:space="preserve"> </w:t>
      </w:r>
      <w:r w:rsidR="00A27139">
        <w:rPr>
          <w:color w:val="000000"/>
        </w:rPr>
        <w:t>dans le secteur des services d’utilité publique</w:t>
      </w:r>
      <w:r w:rsidR="00D24A2B" w:rsidRPr="00446BB8">
        <w:rPr>
          <w:color w:val="000000"/>
        </w:rPr>
        <w:t xml:space="preserve">. </w:t>
      </w:r>
      <w:r w:rsidR="00A27139">
        <w:rPr>
          <w:color w:val="000000"/>
        </w:rPr>
        <w:t xml:space="preserve">L’accord devrait viser à compléter l’offre </w:t>
      </w:r>
      <w:r w:rsidR="006B311C">
        <w:rPr>
          <w:color w:val="000000"/>
        </w:rPr>
        <w:t xml:space="preserve">actuelle </w:t>
      </w:r>
      <w:r w:rsidR="00A27139">
        <w:rPr>
          <w:color w:val="000000"/>
        </w:rPr>
        <w:t>de marché</w:t>
      </w:r>
      <w:r w:rsidR="0042026C">
        <w:rPr>
          <w:color w:val="000000"/>
        </w:rPr>
        <w:t>s</w:t>
      </w:r>
      <w:r w:rsidR="00A27139">
        <w:rPr>
          <w:color w:val="000000"/>
        </w:rPr>
        <w:t xml:space="preserve"> publics en garantissant un traitement non moins favorable que celui accordé aux fournisseurs locaux</w:t>
      </w:r>
      <w:r w:rsidR="00D24A2B" w:rsidRPr="00446BB8">
        <w:rPr>
          <w:color w:val="000000"/>
        </w:rPr>
        <w:t xml:space="preserve">. </w:t>
      </w:r>
      <w:r w:rsidR="006535F6">
        <w:rPr>
          <w:color w:val="000000"/>
        </w:rPr>
        <w:t xml:space="preserve">Les marchés de biens, de services et de services de construction devraient bénéficier d’exceptions limitées et </w:t>
      </w:r>
      <w:r w:rsidR="00285219">
        <w:rPr>
          <w:color w:val="000000"/>
        </w:rPr>
        <w:t>la négociation d’engagements concernant les concessions de travaux</w:t>
      </w:r>
      <w:r w:rsidR="00D24A2B" w:rsidRPr="00446BB8">
        <w:rPr>
          <w:color w:val="000000"/>
        </w:rPr>
        <w:t xml:space="preserve">, </w:t>
      </w:r>
      <w:r w:rsidR="00285219">
        <w:rPr>
          <w:color w:val="000000"/>
        </w:rPr>
        <w:t>conformément aux législations correspondantes dans ce domaine devrait être prévue</w:t>
      </w:r>
      <w:r w:rsidR="00D24A2B" w:rsidRPr="00446BB8">
        <w:rPr>
          <w:color w:val="000000"/>
        </w:rPr>
        <w:t>.</w:t>
      </w:r>
    </w:p>
    <w:p w:rsidR="00D24A2B" w:rsidRPr="00446BB8" w:rsidRDefault="00285219" w:rsidP="00D24A2B">
      <w:pPr>
        <w:rPr>
          <w:color w:val="000000"/>
        </w:rPr>
      </w:pPr>
      <w:r>
        <w:rPr>
          <w:color w:val="000000"/>
        </w:rPr>
        <w:t>L’accord devrait aussi viser à améliorer les règles et disciplines actuelles en les alignant sur l’accord révisé de l’OMC sur les marché</w:t>
      </w:r>
      <w:r w:rsidR="00C73657">
        <w:rPr>
          <w:color w:val="000000"/>
        </w:rPr>
        <w:t>s</w:t>
      </w:r>
      <w:r>
        <w:rPr>
          <w:color w:val="000000"/>
        </w:rPr>
        <w:t xml:space="preserve"> publics</w:t>
      </w:r>
      <w:r w:rsidR="00D24A2B" w:rsidRPr="00446BB8">
        <w:rPr>
          <w:color w:val="000000"/>
        </w:rPr>
        <w:t xml:space="preserve"> (A</w:t>
      </w:r>
      <w:r>
        <w:rPr>
          <w:color w:val="000000"/>
        </w:rPr>
        <w:t>MP</w:t>
      </w:r>
      <w:r w:rsidR="00D24A2B" w:rsidRPr="00446BB8">
        <w:rPr>
          <w:color w:val="000000"/>
        </w:rPr>
        <w:t xml:space="preserve">) </w:t>
      </w:r>
      <w:r>
        <w:rPr>
          <w:color w:val="000000"/>
        </w:rPr>
        <w:t>et par l’introduction de nouvelles dispositions</w:t>
      </w:r>
      <w:r w:rsidR="00D24A2B" w:rsidRPr="00446BB8">
        <w:rPr>
          <w:color w:val="000000"/>
        </w:rPr>
        <w:t>.</w:t>
      </w:r>
    </w:p>
    <w:p w:rsidR="00D24A2B" w:rsidRPr="00446BB8" w:rsidRDefault="00285219" w:rsidP="00D24A2B">
      <w:pPr>
        <w:spacing w:before="360" w:after="240"/>
        <w:rPr>
          <w:b/>
          <w:smallCaps/>
          <w:szCs w:val="24"/>
        </w:rPr>
      </w:pPr>
      <w:r>
        <w:rPr>
          <w:b/>
          <w:smallCaps/>
          <w:szCs w:val="24"/>
        </w:rPr>
        <w:t>Commerce et concurrence</w:t>
      </w:r>
    </w:p>
    <w:p w:rsidR="00D24A2B" w:rsidRPr="00446BB8" w:rsidRDefault="00285219" w:rsidP="00D24A2B">
      <w:pPr>
        <w:rPr>
          <w:color w:val="000000"/>
        </w:rPr>
      </w:pPr>
      <w:r>
        <w:rPr>
          <w:color w:val="000000"/>
        </w:rPr>
        <w:t xml:space="preserve">L’accord devrait comporter des disciplines </w:t>
      </w:r>
      <w:r w:rsidR="001F11B3">
        <w:rPr>
          <w:color w:val="000000"/>
        </w:rPr>
        <w:t xml:space="preserve">relatives aux pratiques anticoncurrentielles et aux concentrations </w:t>
      </w:r>
      <w:r w:rsidR="00D24A2B" w:rsidRPr="00446BB8">
        <w:rPr>
          <w:color w:val="000000"/>
        </w:rPr>
        <w:t>applicable</w:t>
      </w:r>
      <w:r w:rsidR="001F11B3">
        <w:rPr>
          <w:color w:val="000000"/>
        </w:rPr>
        <w:t>s</w:t>
      </w:r>
      <w:r w:rsidR="00D24A2B" w:rsidRPr="00446BB8">
        <w:rPr>
          <w:color w:val="000000"/>
        </w:rPr>
        <w:t xml:space="preserve"> </w:t>
      </w:r>
      <w:r w:rsidR="001F11B3">
        <w:rPr>
          <w:color w:val="000000"/>
        </w:rPr>
        <w:t>à toutes les entreprises</w:t>
      </w:r>
      <w:r w:rsidR="00D24A2B" w:rsidRPr="00446BB8">
        <w:rPr>
          <w:color w:val="000000"/>
        </w:rPr>
        <w:t xml:space="preserve">. </w:t>
      </w:r>
      <w:r w:rsidR="001F11B3">
        <w:rPr>
          <w:color w:val="000000"/>
        </w:rPr>
        <w:t>Il devrait inclure les principes généraux de mise en œuvre des règles</w:t>
      </w:r>
      <w:r w:rsidR="00D24A2B" w:rsidRPr="00446BB8">
        <w:rPr>
          <w:color w:val="000000"/>
        </w:rPr>
        <w:t xml:space="preserve">, </w:t>
      </w:r>
      <w:r w:rsidR="001F11B3">
        <w:rPr>
          <w:color w:val="000000"/>
        </w:rPr>
        <w:t xml:space="preserve">parmi lesquels la </w:t>
      </w:r>
      <w:r w:rsidR="00D24A2B" w:rsidRPr="00446BB8">
        <w:rPr>
          <w:color w:val="000000"/>
        </w:rPr>
        <w:t>transparenc</w:t>
      </w:r>
      <w:r w:rsidR="001F11B3">
        <w:rPr>
          <w:color w:val="000000"/>
        </w:rPr>
        <w:t>e</w:t>
      </w:r>
      <w:r w:rsidR="00D24A2B" w:rsidRPr="00446BB8">
        <w:rPr>
          <w:color w:val="000000"/>
        </w:rPr>
        <w:t xml:space="preserve">, </w:t>
      </w:r>
      <w:r w:rsidR="001F11B3">
        <w:rPr>
          <w:color w:val="000000"/>
        </w:rPr>
        <w:t xml:space="preserve">la </w:t>
      </w:r>
      <w:r w:rsidR="00D24A2B" w:rsidRPr="00446BB8">
        <w:rPr>
          <w:color w:val="000000"/>
        </w:rPr>
        <w:t xml:space="preserve">non-discrimination, </w:t>
      </w:r>
      <w:r w:rsidR="001F11B3">
        <w:rPr>
          <w:color w:val="000000"/>
        </w:rPr>
        <w:t xml:space="preserve">l’équité </w:t>
      </w:r>
      <w:r w:rsidR="00D24A2B" w:rsidRPr="00446BB8">
        <w:rPr>
          <w:color w:val="000000"/>
        </w:rPr>
        <w:t>proc</w:t>
      </w:r>
      <w:r w:rsidR="001F11B3">
        <w:rPr>
          <w:color w:val="000000"/>
        </w:rPr>
        <w:t>é</w:t>
      </w:r>
      <w:r w:rsidR="00D24A2B" w:rsidRPr="00446BB8">
        <w:rPr>
          <w:color w:val="000000"/>
        </w:rPr>
        <w:t>dural</w:t>
      </w:r>
      <w:r w:rsidR="001F11B3">
        <w:rPr>
          <w:color w:val="000000"/>
        </w:rPr>
        <w:t>e et</w:t>
      </w:r>
      <w:r w:rsidR="00D24A2B" w:rsidRPr="00446BB8">
        <w:rPr>
          <w:color w:val="000000"/>
        </w:rPr>
        <w:t xml:space="preserve"> </w:t>
      </w:r>
      <w:r w:rsidR="001F11B3">
        <w:rPr>
          <w:color w:val="000000"/>
        </w:rPr>
        <w:t>le respect des droits de la défense</w:t>
      </w:r>
      <w:r w:rsidR="00D24A2B" w:rsidRPr="00446BB8">
        <w:rPr>
          <w:color w:val="000000"/>
        </w:rPr>
        <w:t xml:space="preserve">. </w:t>
      </w:r>
    </w:p>
    <w:p w:rsidR="00D24A2B" w:rsidRPr="00446BB8" w:rsidRDefault="001F11B3" w:rsidP="00D24A2B">
      <w:pPr>
        <w:rPr>
          <w:b/>
          <w:smallCaps/>
          <w:color w:val="C00000"/>
          <w:szCs w:val="24"/>
        </w:rPr>
      </w:pPr>
      <w:r>
        <w:rPr>
          <w:color w:val="000000"/>
        </w:rPr>
        <w:t xml:space="preserve">L’accord devrait aussi comporter des dispositions sur les subventions couvrant des questions telles que la </w:t>
      </w:r>
      <w:r w:rsidR="00D24A2B" w:rsidRPr="00446BB8">
        <w:rPr>
          <w:color w:val="000000"/>
        </w:rPr>
        <w:t>transparenc</w:t>
      </w:r>
      <w:r>
        <w:rPr>
          <w:color w:val="000000"/>
        </w:rPr>
        <w:t>e</w:t>
      </w:r>
      <w:r w:rsidR="00945F9A" w:rsidRPr="00446BB8">
        <w:rPr>
          <w:color w:val="000000"/>
        </w:rPr>
        <w:t>,</w:t>
      </w:r>
      <w:r w:rsidR="00D24A2B" w:rsidRPr="00446BB8">
        <w:rPr>
          <w:color w:val="000000"/>
        </w:rPr>
        <w:t xml:space="preserve"> </w:t>
      </w:r>
      <w:r>
        <w:rPr>
          <w:color w:val="000000"/>
        </w:rPr>
        <w:t xml:space="preserve">les </w:t>
      </w:r>
      <w:r w:rsidR="00D24A2B" w:rsidRPr="00446BB8">
        <w:rPr>
          <w:color w:val="000000"/>
        </w:rPr>
        <w:t>consultations</w:t>
      </w:r>
      <w:r w:rsidR="00945F9A" w:rsidRPr="00446BB8">
        <w:rPr>
          <w:color w:val="000000"/>
        </w:rPr>
        <w:t xml:space="preserve"> </w:t>
      </w:r>
      <w:r>
        <w:rPr>
          <w:color w:val="000000"/>
        </w:rPr>
        <w:t>et les</w:t>
      </w:r>
      <w:r w:rsidR="00945F9A" w:rsidRPr="00446BB8">
        <w:rPr>
          <w:color w:val="000000"/>
        </w:rPr>
        <w:t xml:space="preserve"> disciplines </w:t>
      </w:r>
      <w:r>
        <w:rPr>
          <w:color w:val="000000"/>
        </w:rPr>
        <w:t xml:space="preserve">concernant les </w:t>
      </w:r>
      <w:r w:rsidR="009758FF">
        <w:rPr>
          <w:color w:val="000000"/>
        </w:rPr>
        <w:t>subventions qui génèrent le plus de distorsions de la concurrence. Les dispo</w:t>
      </w:r>
      <w:r w:rsidR="0087654D" w:rsidRPr="00446BB8">
        <w:rPr>
          <w:color w:val="000000"/>
        </w:rPr>
        <w:t>si</w:t>
      </w:r>
      <w:r w:rsidR="009758FF">
        <w:rPr>
          <w:color w:val="000000"/>
        </w:rPr>
        <w:t>ti</w:t>
      </w:r>
      <w:r w:rsidR="0087654D" w:rsidRPr="00446BB8">
        <w:rPr>
          <w:color w:val="000000"/>
        </w:rPr>
        <w:t xml:space="preserve">ons </w:t>
      </w:r>
      <w:r w:rsidR="009758FF">
        <w:rPr>
          <w:color w:val="000000"/>
        </w:rPr>
        <w:t xml:space="preserve">relatives aux </w:t>
      </w:r>
      <w:r w:rsidR="0087654D" w:rsidRPr="00446BB8">
        <w:rPr>
          <w:color w:val="000000"/>
        </w:rPr>
        <w:t xml:space="preserve">consultations </w:t>
      </w:r>
      <w:r w:rsidR="009758FF">
        <w:rPr>
          <w:color w:val="000000"/>
        </w:rPr>
        <w:t>devraient exclure les subventions agricoles</w:t>
      </w:r>
      <w:r w:rsidR="0087654D" w:rsidRPr="00446BB8">
        <w:rPr>
          <w:color w:val="000000"/>
        </w:rPr>
        <w:t xml:space="preserve">. </w:t>
      </w:r>
      <w:r w:rsidR="009758FF">
        <w:rPr>
          <w:color w:val="000000"/>
        </w:rPr>
        <w:t xml:space="preserve">L’accord devrait également </w:t>
      </w:r>
      <w:r w:rsidR="00D24A2B" w:rsidRPr="00446BB8">
        <w:rPr>
          <w:color w:val="000000"/>
        </w:rPr>
        <w:t>inclu</w:t>
      </w:r>
      <w:r w:rsidR="009758FF">
        <w:rPr>
          <w:color w:val="000000"/>
        </w:rPr>
        <w:t>re des règles spécifiques pour les</w:t>
      </w:r>
      <w:r w:rsidR="00D24A2B" w:rsidRPr="00446BB8">
        <w:rPr>
          <w:color w:val="000000"/>
        </w:rPr>
        <w:t xml:space="preserve"> </w:t>
      </w:r>
      <w:r w:rsidR="009758FF">
        <w:rPr>
          <w:color w:val="000000"/>
        </w:rPr>
        <w:t>entreprises publiques</w:t>
      </w:r>
      <w:r w:rsidR="00D24A2B" w:rsidRPr="00446BB8">
        <w:rPr>
          <w:color w:val="000000"/>
        </w:rPr>
        <w:t xml:space="preserve">, </w:t>
      </w:r>
      <w:r w:rsidR="009758FF">
        <w:rPr>
          <w:color w:val="000000"/>
        </w:rPr>
        <w:t xml:space="preserve">les </w:t>
      </w:r>
      <w:r w:rsidR="00D24A2B" w:rsidRPr="00446BB8">
        <w:rPr>
          <w:color w:val="000000"/>
        </w:rPr>
        <w:t>entr</w:t>
      </w:r>
      <w:r w:rsidR="009758FF">
        <w:rPr>
          <w:color w:val="000000"/>
        </w:rPr>
        <w:t>e</w:t>
      </w:r>
      <w:r w:rsidR="00D24A2B" w:rsidRPr="00446BB8">
        <w:rPr>
          <w:color w:val="000000"/>
        </w:rPr>
        <w:t xml:space="preserve">prises </w:t>
      </w:r>
      <w:r w:rsidR="009758FF">
        <w:rPr>
          <w:color w:val="000000"/>
        </w:rPr>
        <w:t>bénéficiant de droits ou de privilèges spéciaux et les monopoles d’État délégués</w:t>
      </w:r>
      <w:r w:rsidR="00D24A2B" w:rsidRPr="00446BB8">
        <w:rPr>
          <w:color w:val="000000"/>
        </w:rPr>
        <w:t xml:space="preserve">, </w:t>
      </w:r>
      <w:r w:rsidR="00F62BE4">
        <w:rPr>
          <w:color w:val="000000"/>
        </w:rPr>
        <w:t>afin de veiller à ce qu’</w:t>
      </w:r>
      <w:r w:rsidR="006B311C">
        <w:rPr>
          <w:color w:val="000000"/>
        </w:rPr>
        <w:t>il</w:t>
      </w:r>
      <w:r w:rsidR="00F62BE4">
        <w:rPr>
          <w:color w:val="000000"/>
        </w:rPr>
        <w:t>s ne faussent pas la concurrence ni ne créent d’obstacles au commerce et à l’investissement</w:t>
      </w:r>
      <w:r w:rsidR="00D24A2B" w:rsidRPr="00446BB8">
        <w:rPr>
          <w:color w:val="000000"/>
        </w:rPr>
        <w:t xml:space="preserve">. </w:t>
      </w:r>
    </w:p>
    <w:p w:rsidR="00D24A2B" w:rsidRPr="00446BB8" w:rsidRDefault="00921731" w:rsidP="00D24A2B">
      <w:pPr>
        <w:spacing w:before="360" w:after="240"/>
        <w:rPr>
          <w:b/>
          <w:smallCaps/>
          <w:szCs w:val="24"/>
        </w:rPr>
      </w:pPr>
      <w:r>
        <w:rPr>
          <w:b/>
          <w:smallCaps/>
          <w:szCs w:val="24"/>
        </w:rPr>
        <w:t>Petites et moyennes entreprises</w:t>
      </w:r>
    </w:p>
    <w:p w:rsidR="00D24A2B" w:rsidRPr="00446BB8" w:rsidRDefault="00A2429C" w:rsidP="00D24A2B">
      <w:pPr>
        <w:rPr>
          <w:color w:val="000000"/>
        </w:rPr>
      </w:pPr>
      <w:r>
        <w:rPr>
          <w:color w:val="000000"/>
        </w:rPr>
        <w:t>L’accord devrait comporter un chapitre spécifique concernant les PME</w:t>
      </w:r>
      <w:r w:rsidR="00D24A2B" w:rsidRPr="00446BB8">
        <w:rPr>
          <w:color w:val="000000"/>
        </w:rPr>
        <w:t xml:space="preserve">. </w:t>
      </w:r>
      <w:r w:rsidR="006B311C">
        <w:rPr>
          <w:color w:val="000000"/>
        </w:rPr>
        <w:t>Il</w:t>
      </w:r>
      <w:r>
        <w:rPr>
          <w:color w:val="000000"/>
        </w:rPr>
        <w:t xml:space="preserve"> devrait aider les PME à tirer pleinement parti des possibilités offertes par l’accord</w:t>
      </w:r>
      <w:r w:rsidR="00D24A2B" w:rsidRPr="00446BB8">
        <w:rPr>
          <w:color w:val="000000"/>
        </w:rPr>
        <w:t xml:space="preserve">, </w:t>
      </w:r>
      <w:r w:rsidR="00515864">
        <w:rPr>
          <w:color w:val="000000"/>
        </w:rPr>
        <w:t>notamment au moyen de mécanismes d’échange d’informations sur les exigences à satisfaire pour accéder aux marchés</w:t>
      </w:r>
      <w:r w:rsidR="00D24A2B" w:rsidRPr="00446BB8">
        <w:rPr>
          <w:color w:val="000000"/>
        </w:rPr>
        <w:t xml:space="preserve">, </w:t>
      </w:r>
      <w:r w:rsidR="00515864">
        <w:rPr>
          <w:color w:val="000000"/>
        </w:rPr>
        <w:t xml:space="preserve">et d’un cadre </w:t>
      </w:r>
      <w:r w:rsidR="00D24A2B" w:rsidRPr="00446BB8">
        <w:rPr>
          <w:color w:val="000000"/>
        </w:rPr>
        <w:t>institution</w:t>
      </w:r>
      <w:r w:rsidR="00515864">
        <w:rPr>
          <w:color w:val="000000"/>
        </w:rPr>
        <w:t>ne</w:t>
      </w:r>
      <w:r w:rsidR="00D24A2B" w:rsidRPr="00446BB8">
        <w:rPr>
          <w:color w:val="000000"/>
        </w:rPr>
        <w:t xml:space="preserve">l </w:t>
      </w:r>
      <w:r w:rsidR="00515864">
        <w:rPr>
          <w:color w:val="000000"/>
        </w:rPr>
        <w:t>adéquat</w:t>
      </w:r>
      <w:r w:rsidR="00D24A2B" w:rsidRPr="00446BB8">
        <w:rPr>
          <w:color w:val="000000"/>
        </w:rPr>
        <w:t xml:space="preserve">. </w:t>
      </w:r>
    </w:p>
    <w:p w:rsidR="00D24A2B" w:rsidRPr="00446BB8" w:rsidRDefault="00515864" w:rsidP="00D24A2B">
      <w:pPr>
        <w:spacing w:before="360" w:after="240"/>
        <w:rPr>
          <w:b/>
          <w:smallCaps/>
          <w:szCs w:val="24"/>
        </w:rPr>
      </w:pPr>
      <w:r>
        <w:rPr>
          <w:b/>
          <w:smallCaps/>
          <w:szCs w:val="24"/>
        </w:rPr>
        <w:t>Commerce et développement durable</w:t>
      </w:r>
    </w:p>
    <w:p w:rsidR="00D24A2B" w:rsidRPr="00446BB8" w:rsidRDefault="00515864" w:rsidP="00D24A2B">
      <w:pPr>
        <w:rPr>
          <w:color w:val="000000"/>
        </w:rPr>
      </w:pPr>
      <w:r>
        <w:rPr>
          <w:color w:val="000000"/>
        </w:rPr>
        <w:lastRenderedPageBreak/>
        <w:t>L’accord devrait comporter des dispositions relatives aux aspects du commerce et du développement durable touchant au travail et à l’</w:t>
      </w:r>
      <w:r w:rsidR="00D24A2B" w:rsidRPr="00446BB8">
        <w:rPr>
          <w:color w:val="000000"/>
        </w:rPr>
        <w:t>environ</w:t>
      </w:r>
      <w:r>
        <w:rPr>
          <w:color w:val="000000"/>
        </w:rPr>
        <w:t>ne</w:t>
      </w:r>
      <w:r w:rsidR="00D24A2B" w:rsidRPr="00446BB8">
        <w:rPr>
          <w:color w:val="000000"/>
        </w:rPr>
        <w:t xml:space="preserve">ment </w:t>
      </w:r>
      <w:r>
        <w:rPr>
          <w:color w:val="000000"/>
        </w:rPr>
        <w:t>qui sont importants dans un context</w:t>
      </w:r>
      <w:r w:rsidR="003417D1">
        <w:rPr>
          <w:color w:val="000000"/>
        </w:rPr>
        <w:t>e</w:t>
      </w:r>
      <w:r>
        <w:rPr>
          <w:color w:val="000000"/>
        </w:rPr>
        <w:t xml:space="preserve"> de commerce et d’investissement</w:t>
      </w:r>
      <w:r w:rsidR="00D24A2B" w:rsidRPr="00446BB8">
        <w:rPr>
          <w:color w:val="000000"/>
        </w:rPr>
        <w:t xml:space="preserve">. </w:t>
      </w:r>
      <w:r>
        <w:rPr>
          <w:color w:val="000000"/>
        </w:rPr>
        <w:t xml:space="preserve">Il devrait contenir des </w:t>
      </w:r>
      <w:r w:rsidRPr="00515864">
        <w:rPr>
          <w:color w:val="000000"/>
        </w:rPr>
        <w:t>dispositions</w:t>
      </w:r>
      <w:r w:rsidR="00D24A2B" w:rsidRPr="00446BB8">
        <w:rPr>
          <w:color w:val="000000"/>
        </w:rPr>
        <w:t xml:space="preserve"> </w:t>
      </w:r>
      <w:r w:rsidR="003417D1">
        <w:rPr>
          <w:color w:val="000000"/>
        </w:rPr>
        <w:t>encourageant</w:t>
      </w:r>
      <w:r>
        <w:rPr>
          <w:color w:val="000000"/>
        </w:rPr>
        <w:t xml:space="preserve"> l’adhésion </w:t>
      </w:r>
      <w:r w:rsidR="003417D1">
        <w:rPr>
          <w:color w:val="000000"/>
        </w:rPr>
        <w:t>aux principes et aux règles applicables internationalement reconnus, ainsi que leur mise en œuvre effective</w:t>
      </w:r>
      <w:r w:rsidR="00D24A2B" w:rsidRPr="00446BB8">
        <w:rPr>
          <w:color w:val="000000"/>
        </w:rPr>
        <w:t xml:space="preserve">, </w:t>
      </w:r>
      <w:r w:rsidR="003417D1">
        <w:rPr>
          <w:color w:val="000000"/>
        </w:rPr>
        <w:t xml:space="preserve">parmi lesquels les normes fondamentales du travail et les </w:t>
      </w:r>
      <w:r w:rsidR="00D24A2B" w:rsidRPr="00446BB8">
        <w:rPr>
          <w:color w:val="000000"/>
        </w:rPr>
        <w:t>conventions</w:t>
      </w:r>
      <w:r w:rsidR="003417D1">
        <w:rPr>
          <w:color w:val="000000"/>
        </w:rPr>
        <w:t xml:space="preserve"> fondamentales de l’Organisation int</w:t>
      </w:r>
      <w:r w:rsidR="006B311C">
        <w:rPr>
          <w:color w:val="000000"/>
        </w:rPr>
        <w:t>e</w:t>
      </w:r>
      <w:r w:rsidR="003417D1">
        <w:rPr>
          <w:color w:val="000000"/>
        </w:rPr>
        <w:t>rnationale du travail (OIT)</w:t>
      </w:r>
      <w:r w:rsidR="00D24A2B" w:rsidRPr="00446BB8">
        <w:rPr>
          <w:color w:val="000000"/>
        </w:rPr>
        <w:t xml:space="preserve"> </w:t>
      </w:r>
      <w:r w:rsidR="003417D1">
        <w:rPr>
          <w:color w:val="000000"/>
        </w:rPr>
        <w:t>ainsi que les accords multilatéraux relatifs à l’</w:t>
      </w:r>
      <w:r w:rsidR="00D24A2B" w:rsidRPr="00446BB8">
        <w:rPr>
          <w:color w:val="000000"/>
        </w:rPr>
        <w:t>environ</w:t>
      </w:r>
      <w:r w:rsidR="003417D1">
        <w:rPr>
          <w:color w:val="000000"/>
        </w:rPr>
        <w:t>ne</w:t>
      </w:r>
      <w:r w:rsidR="00D24A2B" w:rsidRPr="00446BB8">
        <w:rPr>
          <w:color w:val="000000"/>
        </w:rPr>
        <w:t>ment</w:t>
      </w:r>
      <w:r w:rsidR="00167806" w:rsidRPr="00446BB8">
        <w:rPr>
          <w:color w:val="000000"/>
        </w:rPr>
        <w:t xml:space="preserve">, </w:t>
      </w:r>
      <w:r w:rsidR="003417D1">
        <w:rPr>
          <w:color w:val="000000"/>
        </w:rPr>
        <w:t>y compris ceux concernant le changement climatique</w:t>
      </w:r>
      <w:r w:rsidR="00D24A2B" w:rsidRPr="00446BB8">
        <w:rPr>
          <w:color w:val="000000"/>
        </w:rPr>
        <w:t>.</w:t>
      </w:r>
    </w:p>
    <w:p w:rsidR="00D24A2B" w:rsidRPr="00446BB8" w:rsidRDefault="003417D1" w:rsidP="00D24A2B">
      <w:pPr>
        <w:rPr>
          <w:color w:val="000000"/>
        </w:rPr>
      </w:pPr>
      <w:r>
        <w:rPr>
          <w:color w:val="000000"/>
        </w:rPr>
        <w:t>L’accord devrait réaffirmer le droit des parties d’adopter des réglementations dans les domaines du travail et de l’environnement</w:t>
      </w:r>
      <w:r w:rsidR="00D24A2B" w:rsidRPr="00446BB8">
        <w:rPr>
          <w:color w:val="000000"/>
        </w:rPr>
        <w:t xml:space="preserve">, </w:t>
      </w:r>
      <w:r w:rsidR="00FC2175">
        <w:rPr>
          <w:color w:val="000000"/>
        </w:rPr>
        <w:t>pour autant que ces dernières s</w:t>
      </w:r>
      <w:r>
        <w:rPr>
          <w:color w:val="000000"/>
        </w:rPr>
        <w:t>o</w:t>
      </w:r>
      <w:r w:rsidR="00FC2175">
        <w:rPr>
          <w:color w:val="000000"/>
        </w:rPr>
        <w:t>ie</w:t>
      </w:r>
      <w:r>
        <w:rPr>
          <w:color w:val="000000"/>
        </w:rPr>
        <w:t>nt compatibles avec leurs engagements internationaux</w:t>
      </w:r>
      <w:r w:rsidR="00D24A2B" w:rsidRPr="00446BB8">
        <w:rPr>
          <w:color w:val="000000"/>
        </w:rPr>
        <w:t xml:space="preserve"> </w:t>
      </w:r>
      <w:r>
        <w:rPr>
          <w:color w:val="000000"/>
        </w:rPr>
        <w:t xml:space="preserve">et </w:t>
      </w:r>
      <w:r w:rsidR="00FC2175">
        <w:rPr>
          <w:color w:val="000000"/>
        </w:rPr>
        <w:t>visent à atteindre des niveaux de protection élevés</w:t>
      </w:r>
      <w:r w:rsidR="00D24A2B" w:rsidRPr="00446BB8">
        <w:rPr>
          <w:color w:val="000000"/>
        </w:rPr>
        <w:t xml:space="preserve">. </w:t>
      </w:r>
      <w:r w:rsidR="00FC2175">
        <w:rPr>
          <w:color w:val="000000"/>
        </w:rPr>
        <w:t xml:space="preserve">Il devrait contenir des </w:t>
      </w:r>
      <w:r w:rsidR="00FC2175" w:rsidRPr="00FC2175">
        <w:rPr>
          <w:color w:val="000000"/>
        </w:rPr>
        <w:t>dispositions</w:t>
      </w:r>
      <w:r w:rsidR="00FC2175">
        <w:rPr>
          <w:color w:val="000000"/>
        </w:rPr>
        <w:t xml:space="preserve"> </w:t>
      </w:r>
      <w:r w:rsidR="008A65B6">
        <w:rPr>
          <w:color w:val="000000"/>
        </w:rPr>
        <w:t xml:space="preserve">interdisant tout abaissement des niveaux nationaux de protection du travail et de l’environnement </w:t>
      </w:r>
      <w:r w:rsidR="00986414">
        <w:rPr>
          <w:color w:val="000000"/>
        </w:rPr>
        <w:t xml:space="preserve">et </w:t>
      </w:r>
      <w:r w:rsidR="008A65B6">
        <w:rPr>
          <w:color w:val="000000"/>
        </w:rPr>
        <w:t>destiné</w:t>
      </w:r>
      <w:r w:rsidR="00986414">
        <w:rPr>
          <w:color w:val="000000"/>
        </w:rPr>
        <w:t>es</w:t>
      </w:r>
      <w:r w:rsidR="008A65B6">
        <w:rPr>
          <w:color w:val="000000"/>
        </w:rPr>
        <w:t xml:space="preserve"> à encourager le commerce et l’investissement</w:t>
      </w:r>
      <w:r w:rsidR="008249D4" w:rsidRPr="00446BB8">
        <w:rPr>
          <w:color w:val="000000"/>
        </w:rPr>
        <w:t xml:space="preserve">. </w:t>
      </w:r>
      <w:r w:rsidR="00386066">
        <w:rPr>
          <w:color w:val="000000"/>
        </w:rPr>
        <w:t>Cela suppose l’inclusion d’un engagement de ne pas déroger à la législation nationale en matière de travail et d’environnement ni d</w:t>
      </w:r>
      <w:r w:rsidR="00BE4F7A">
        <w:rPr>
          <w:color w:val="000000"/>
        </w:rPr>
        <w:t>e manquer d’assurer</w:t>
      </w:r>
      <w:r w:rsidR="00386066">
        <w:rPr>
          <w:color w:val="000000"/>
        </w:rPr>
        <w:t xml:space="preserve"> sa mise en œuvre effective</w:t>
      </w:r>
      <w:r w:rsidR="00D24A2B" w:rsidRPr="00446BB8">
        <w:rPr>
          <w:color w:val="000000"/>
        </w:rPr>
        <w:t xml:space="preserve">. </w:t>
      </w:r>
    </w:p>
    <w:p w:rsidR="00D24A2B" w:rsidRPr="00446BB8" w:rsidRDefault="00386066" w:rsidP="00D24A2B">
      <w:pPr>
        <w:rPr>
          <w:color w:val="000000"/>
        </w:rPr>
      </w:pPr>
      <w:r>
        <w:rPr>
          <w:color w:val="000000"/>
        </w:rPr>
        <w:t xml:space="preserve">L’accord devrait encourager une plus grande </w:t>
      </w:r>
      <w:r w:rsidR="00D24A2B" w:rsidRPr="00446BB8">
        <w:rPr>
          <w:color w:val="000000"/>
        </w:rPr>
        <w:t xml:space="preserve">contribution </w:t>
      </w:r>
      <w:r w:rsidR="00C2110B">
        <w:rPr>
          <w:color w:val="000000"/>
        </w:rPr>
        <w:t>du commerce et de</w:t>
      </w:r>
      <w:r>
        <w:rPr>
          <w:color w:val="000000"/>
        </w:rPr>
        <w:t xml:space="preserve"> l’investissement au </w:t>
      </w:r>
      <w:r w:rsidR="00E2094E">
        <w:rPr>
          <w:color w:val="000000"/>
        </w:rPr>
        <w:t>développement</w:t>
      </w:r>
      <w:r>
        <w:rPr>
          <w:color w:val="000000"/>
        </w:rPr>
        <w:t xml:space="preserve"> durable</w:t>
      </w:r>
      <w:r w:rsidR="00D24A2B" w:rsidRPr="00446BB8">
        <w:rPr>
          <w:color w:val="000000"/>
        </w:rPr>
        <w:t xml:space="preserve">, </w:t>
      </w:r>
      <w:r>
        <w:rPr>
          <w:color w:val="000000"/>
        </w:rPr>
        <w:t>notamment en abordant des domaines comme la</w:t>
      </w:r>
      <w:r w:rsidR="00D24A2B" w:rsidRPr="00446BB8">
        <w:rPr>
          <w:color w:val="000000"/>
        </w:rPr>
        <w:t xml:space="preserve"> facilitation </w:t>
      </w:r>
      <w:r>
        <w:rPr>
          <w:color w:val="000000"/>
        </w:rPr>
        <w:t xml:space="preserve">des échanges de biens et de services </w:t>
      </w:r>
      <w:r w:rsidR="00D24A2B" w:rsidRPr="00446BB8">
        <w:rPr>
          <w:color w:val="000000"/>
        </w:rPr>
        <w:t>environ</w:t>
      </w:r>
      <w:r>
        <w:rPr>
          <w:color w:val="000000"/>
        </w:rPr>
        <w:t>ne</w:t>
      </w:r>
      <w:r w:rsidR="00D24A2B" w:rsidRPr="00446BB8">
        <w:rPr>
          <w:color w:val="000000"/>
        </w:rPr>
        <w:t>menta</w:t>
      </w:r>
      <w:r>
        <w:rPr>
          <w:color w:val="000000"/>
        </w:rPr>
        <w:t>ux</w:t>
      </w:r>
      <w:r w:rsidR="00D24A2B" w:rsidRPr="00446BB8">
        <w:rPr>
          <w:color w:val="000000"/>
        </w:rPr>
        <w:t xml:space="preserve"> </w:t>
      </w:r>
      <w:r>
        <w:rPr>
          <w:color w:val="000000"/>
        </w:rPr>
        <w:t>et sans effet sur le climat</w:t>
      </w:r>
      <w:r w:rsidR="00D24A2B" w:rsidRPr="00446BB8">
        <w:rPr>
          <w:color w:val="000000"/>
        </w:rPr>
        <w:t xml:space="preserve"> </w:t>
      </w:r>
      <w:r>
        <w:rPr>
          <w:color w:val="000000"/>
        </w:rPr>
        <w:t>et la</w:t>
      </w:r>
      <w:r w:rsidR="00D24A2B" w:rsidRPr="00446BB8">
        <w:rPr>
          <w:color w:val="000000"/>
        </w:rPr>
        <w:t xml:space="preserve"> promotion </w:t>
      </w:r>
      <w:r>
        <w:rPr>
          <w:color w:val="000000"/>
        </w:rPr>
        <w:t>des mécanismes volontaires d’assurance de la durabilité</w:t>
      </w:r>
      <w:r w:rsidR="00D24A2B" w:rsidRPr="00446BB8">
        <w:rPr>
          <w:color w:val="000000"/>
        </w:rPr>
        <w:t xml:space="preserve">, </w:t>
      </w:r>
      <w:r w:rsidR="00B65FDE">
        <w:rPr>
          <w:color w:val="000000"/>
        </w:rPr>
        <w:t>de la responsabilité sociale des entreprises et de l’égalité entre les hommes et les femmes</w:t>
      </w:r>
      <w:r w:rsidR="00D24A2B" w:rsidRPr="00446BB8">
        <w:rPr>
          <w:color w:val="000000"/>
        </w:rPr>
        <w:t xml:space="preserve">, </w:t>
      </w:r>
      <w:r w:rsidR="00B65FDE">
        <w:rPr>
          <w:color w:val="000000"/>
        </w:rPr>
        <w:t>compte tenu des instruments internationalement reconnus</w:t>
      </w:r>
      <w:r w:rsidR="00D24A2B" w:rsidRPr="00446BB8">
        <w:rPr>
          <w:color w:val="000000"/>
        </w:rPr>
        <w:t>.</w:t>
      </w:r>
    </w:p>
    <w:p w:rsidR="00D24A2B" w:rsidRPr="00446BB8" w:rsidRDefault="0087388D" w:rsidP="00D24A2B">
      <w:pPr>
        <w:rPr>
          <w:strike/>
          <w:color w:val="000000"/>
        </w:rPr>
      </w:pPr>
      <w:r>
        <w:rPr>
          <w:color w:val="000000"/>
        </w:rPr>
        <w:t>L’accord devrait aussi contenir des engagements encourageant le commerce des ressources naturelles obtenues légalement et gérées de manière durable</w:t>
      </w:r>
      <w:r w:rsidR="00822163" w:rsidRPr="00446BB8">
        <w:rPr>
          <w:color w:val="000000"/>
        </w:rPr>
        <w:t xml:space="preserve">, </w:t>
      </w:r>
      <w:r>
        <w:rPr>
          <w:color w:val="000000"/>
        </w:rPr>
        <w:t>notamment en ce qui concerne la</w:t>
      </w:r>
      <w:r w:rsidR="00D24A2B" w:rsidRPr="00446BB8">
        <w:rPr>
          <w:color w:val="000000"/>
        </w:rPr>
        <w:t xml:space="preserve"> biodiversit</w:t>
      </w:r>
      <w:r>
        <w:rPr>
          <w:color w:val="000000"/>
        </w:rPr>
        <w:t>é</w:t>
      </w:r>
      <w:r w:rsidR="00D24A2B" w:rsidRPr="00446BB8">
        <w:rPr>
          <w:color w:val="000000"/>
        </w:rPr>
        <w:t xml:space="preserve">, </w:t>
      </w:r>
      <w:r>
        <w:rPr>
          <w:color w:val="000000"/>
        </w:rPr>
        <w:t>la vie sauvage</w:t>
      </w:r>
      <w:r w:rsidR="00D24A2B" w:rsidRPr="00446BB8">
        <w:rPr>
          <w:color w:val="000000"/>
        </w:rPr>
        <w:t xml:space="preserve">, </w:t>
      </w:r>
      <w:r>
        <w:rPr>
          <w:color w:val="000000"/>
        </w:rPr>
        <w:t xml:space="preserve">les </w:t>
      </w:r>
      <w:r w:rsidR="00D24A2B" w:rsidRPr="00446BB8">
        <w:rPr>
          <w:color w:val="000000"/>
        </w:rPr>
        <w:t>produ</w:t>
      </w:r>
      <w:r>
        <w:rPr>
          <w:color w:val="000000"/>
        </w:rPr>
        <w:t>i</w:t>
      </w:r>
      <w:r w:rsidR="00D24A2B" w:rsidRPr="00446BB8">
        <w:rPr>
          <w:color w:val="000000"/>
        </w:rPr>
        <w:t>ts</w:t>
      </w:r>
      <w:r>
        <w:rPr>
          <w:color w:val="000000"/>
        </w:rPr>
        <w:t xml:space="preserve"> sylvicoles et</w:t>
      </w:r>
      <w:r w:rsidR="00D24A2B" w:rsidRPr="00446BB8">
        <w:rPr>
          <w:color w:val="000000"/>
        </w:rPr>
        <w:t xml:space="preserve"> </w:t>
      </w:r>
      <w:r>
        <w:rPr>
          <w:color w:val="000000"/>
        </w:rPr>
        <w:t>la pêche, et devrait couvrir les instruments et pratiques internationaux applicables</w:t>
      </w:r>
      <w:r w:rsidR="00822163" w:rsidRPr="00446BB8">
        <w:rPr>
          <w:color w:val="000000"/>
        </w:rPr>
        <w:t xml:space="preserve">. </w:t>
      </w:r>
      <w:r>
        <w:rPr>
          <w:color w:val="000000"/>
        </w:rPr>
        <w:t xml:space="preserve">Il devrait aussi promouvoir le commerce </w:t>
      </w:r>
      <w:r w:rsidR="008D5AD4">
        <w:rPr>
          <w:color w:val="000000"/>
        </w:rPr>
        <w:t xml:space="preserve">favorisant un développement à faibles émissions et résilient </w:t>
      </w:r>
      <w:r w:rsidR="00BE4F7A">
        <w:rPr>
          <w:color w:val="000000"/>
        </w:rPr>
        <w:t xml:space="preserve">face </w:t>
      </w:r>
      <w:r w:rsidR="008D5AD4">
        <w:rPr>
          <w:color w:val="000000"/>
        </w:rPr>
        <w:t>aux changements climatiques</w:t>
      </w:r>
      <w:r w:rsidR="00822163" w:rsidRPr="00446BB8">
        <w:rPr>
          <w:color w:val="000000"/>
        </w:rPr>
        <w:t>.</w:t>
      </w:r>
    </w:p>
    <w:p w:rsidR="008F7A41" w:rsidRPr="00446BB8" w:rsidRDefault="008D5AD4" w:rsidP="008F7A41">
      <w:pPr>
        <w:spacing w:after="0"/>
        <w:rPr>
          <w:b/>
          <w:color w:val="000000"/>
          <w:szCs w:val="24"/>
        </w:rPr>
      </w:pPr>
      <w:r>
        <w:rPr>
          <w:color w:val="000000"/>
        </w:rPr>
        <w:t xml:space="preserve">L’accord devrait prévoir des </w:t>
      </w:r>
      <w:r w:rsidRPr="008D5AD4">
        <w:rPr>
          <w:color w:val="000000"/>
        </w:rPr>
        <w:t>dispositions</w:t>
      </w:r>
      <w:r>
        <w:rPr>
          <w:color w:val="000000"/>
        </w:rPr>
        <w:t xml:space="preserve"> adaptées pour la mise en œuvre et le suivi effectifs de ces </w:t>
      </w:r>
      <w:r w:rsidRPr="008D5AD4">
        <w:rPr>
          <w:color w:val="000000"/>
        </w:rPr>
        <w:t>dispositions</w:t>
      </w:r>
      <w:r w:rsidR="00D24A2B" w:rsidRPr="00446BB8">
        <w:rPr>
          <w:color w:val="000000"/>
        </w:rPr>
        <w:t xml:space="preserve">, </w:t>
      </w:r>
      <w:r>
        <w:rPr>
          <w:color w:val="000000"/>
        </w:rPr>
        <w:t xml:space="preserve">ainsi que des </w:t>
      </w:r>
      <w:r w:rsidR="00D24A2B" w:rsidRPr="00446BB8">
        <w:rPr>
          <w:color w:val="000000"/>
        </w:rPr>
        <w:t>proc</w:t>
      </w:r>
      <w:r>
        <w:rPr>
          <w:color w:val="000000"/>
        </w:rPr>
        <w:t>é</w:t>
      </w:r>
      <w:r w:rsidR="00D24A2B" w:rsidRPr="00446BB8">
        <w:rPr>
          <w:color w:val="000000"/>
        </w:rPr>
        <w:t xml:space="preserve">dures </w:t>
      </w:r>
      <w:r>
        <w:rPr>
          <w:color w:val="000000"/>
        </w:rPr>
        <w:t>pour traiter tout litige entre les parties</w:t>
      </w:r>
      <w:r w:rsidR="00D24A2B" w:rsidRPr="00446BB8">
        <w:rPr>
          <w:color w:val="000000"/>
        </w:rPr>
        <w:t xml:space="preserve">, </w:t>
      </w:r>
      <w:r>
        <w:rPr>
          <w:color w:val="000000"/>
        </w:rPr>
        <w:t>et devrait prévoir la participation de la société civile</w:t>
      </w:r>
      <w:r w:rsidR="00D24A2B" w:rsidRPr="00446BB8">
        <w:rPr>
          <w:color w:val="000000"/>
        </w:rPr>
        <w:t>.</w:t>
      </w:r>
    </w:p>
    <w:p w:rsidR="00D24A2B" w:rsidRPr="00446BB8" w:rsidRDefault="008D5AD4" w:rsidP="00D24A2B">
      <w:pPr>
        <w:spacing w:before="360" w:after="240"/>
        <w:rPr>
          <w:b/>
          <w:smallCaps/>
          <w:szCs w:val="24"/>
        </w:rPr>
      </w:pPr>
      <w:r>
        <w:rPr>
          <w:b/>
          <w:smallCaps/>
          <w:szCs w:val="24"/>
        </w:rPr>
        <w:t>Commerce et égalité entre les hommes et les femmes</w:t>
      </w:r>
    </w:p>
    <w:p w:rsidR="00D24A2B" w:rsidRPr="00446BB8" w:rsidRDefault="008D5AD4" w:rsidP="00D24A2B">
      <w:pPr>
        <w:rPr>
          <w:color w:val="000000"/>
        </w:rPr>
      </w:pPr>
      <w:r>
        <w:rPr>
          <w:color w:val="000000"/>
        </w:rPr>
        <w:t xml:space="preserve">L’accord devrait comporter des </w:t>
      </w:r>
      <w:r w:rsidRPr="008D5AD4">
        <w:rPr>
          <w:color w:val="000000"/>
        </w:rPr>
        <w:t>dispositions</w:t>
      </w:r>
      <w:r>
        <w:rPr>
          <w:color w:val="000000"/>
        </w:rPr>
        <w:t xml:space="preserve"> concernant les aspects</w:t>
      </w:r>
      <w:r w:rsidR="00C47AB5">
        <w:rPr>
          <w:color w:val="000000"/>
        </w:rPr>
        <w:t xml:space="preserve"> du commerce qui touchent à</w:t>
      </w:r>
      <w:r>
        <w:rPr>
          <w:color w:val="000000"/>
        </w:rPr>
        <w:t xml:space="preserve"> l’égalité entre les hommes et les femmes</w:t>
      </w:r>
      <w:r w:rsidR="00D24A2B" w:rsidRPr="00446BB8">
        <w:rPr>
          <w:color w:val="000000"/>
        </w:rPr>
        <w:t>. I</w:t>
      </w:r>
      <w:r>
        <w:rPr>
          <w:color w:val="000000"/>
        </w:rPr>
        <w:t>l devrait reconnaître la nécessité d’accroître les possibilités données aux femmes de profiter des perspectives économiques ouvertes par l’amélioration des relations</w:t>
      </w:r>
      <w:r w:rsidR="00C47AB5">
        <w:rPr>
          <w:color w:val="000000"/>
        </w:rPr>
        <w:t xml:space="preserve"> commerciales</w:t>
      </w:r>
      <w:r>
        <w:rPr>
          <w:color w:val="000000"/>
        </w:rPr>
        <w:t xml:space="preserve"> entre les parties </w:t>
      </w:r>
      <w:r w:rsidR="001879CB">
        <w:rPr>
          <w:color w:val="000000"/>
        </w:rPr>
        <w:t>due à</w:t>
      </w:r>
      <w:r>
        <w:rPr>
          <w:color w:val="000000"/>
        </w:rPr>
        <w:t xml:space="preserve"> l’accord</w:t>
      </w:r>
      <w:r w:rsidR="00D24A2B" w:rsidRPr="00446BB8">
        <w:rPr>
          <w:color w:val="000000"/>
        </w:rPr>
        <w:t>.</w:t>
      </w:r>
    </w:p>
    <w:p w:rsidR="00EF2672" w:rsidRPr="00446BB8" w:rsidRDefault="00EF2672" w:rsidP="00EF2672">
      <w:pPr>
        <w:spacing w:before="0" w:after="0"/>
        <w:jc w:val="left"/>
        <w:rPr>
          <w:b/>
          <w:smallCaps/>
          <w:szCs w:val="24"/>
        </w:rPr>
      </w:pPr>
    </w:p>
    <w:p w:rsidR="00D24A2B" w:rsidRPr="00446BB8" w:rsidRDefault="008D5AD4" w:rsidP="00EF2672">
      <w:pPr>
        <w:spacing w:before="0" w:after="0"/>
        <w:jc w:val="left"/>
        <w:rPr>
          <w:b/>
          <w:smallCaps/>
          <w:szCs w:val="24"/>
        </w:rPr>
      </w:pPr>
      <w:r>
        <w:rPr>
          <w:b/>
          <w:smallCaps/>
          <w:szCs w:val="24"/>
        </w:rPr>
        <w:t>Énergie et matières premières</w:t>
      </w:r>
    </w:p>
    <w:p w:rsidR="00D24A2B" w:rsidRPr="00446BB8" w:rsidRDefault="00DB554A" w:rsidP="004278DA">
      <w:pPr>
        <w:spacing w:after="0"/>
        <w:rPr>
          <w:color w:val="000000"/>
        </w:rPr>
      </w:pPr>
      <w:r>
        <w:rPr>
          <w:color w:val="000000"/>
        </w:rPr>
        <w:t>L’accord devrait contenir des dispositions</w:t>
      </w:r>
      <w:r w:rsidR="00D24A2B" w:rsidRPr="00446BB8">
        <w:rPr>
          <w:color w:val="000000"/>
        </w:rPr>
        <w:t xml:space="preserve"> </w:t>
      </w:r>
      <w:r>
        <w:rPr>
          <w:color w:val="000000"/>
        </w:rPr>
        <w:t>concernant les aspects</w:t>
      </w:r>
      <w:r w:rsidR="001879CB">
        <w:rPr>
          <w:color w:val="000000"/>
        </w:rPr>
        <w:t xml:space="preserve"> du commerce et de l’investissement</w:t>
      </w:r>
      <w:r w:rsidR="00F659EB">
        <w:rPr>
          <w:color w:val="000000"/>
        </w:rPr>
        <w:t xml:space="preserve"> qui touchent</w:t>
      </w:r>
      <w:r w:rsidR="001879CB">
        <w:rPr>
          <w:color w:val="000000"/>
        </w:rPr>
        <w:t xml:space="preserve"> à l’énergie et aux matières premières</w:t>
      </w:r>
      <w:r w:rsidR="00D24A2B" w:rsidRPr="00446BB8">
        <w:rPr>
          <w:color w:val="000000"/>
        </w:rPr>
        <w:t xml:space="preserve">. </w:t>
      </w:r>
      <w:r w:rsidR="00D2481A">
        <w:rPr>
          <w:color w:val="000000"/>
        </w:rPr>
        <w:t>Les négociations devraient viser à garantir un environnement</w:t>
      </w:r>
      <w:r w:rsidR="00D24A2B" w:rsidRPr="00446BB8">
        <w:rPr>
          <w:color w:val="000000"/>
        </w:rPr>
        <w:t xml:space="preserve"> </w:t>
      </w:r>
      <w:r w:rsidR="00D2481A">
        <w:rPr>
          <w:color w:val="000000"/>
        </w:rPr>
        <w:t>ouvert</w:t>
      </w:r>
      <w:r w:rsidR="00D24A2B" w:rsidRPr="00446BB8">
        <w:rPr>
          <w:color w:val="000000"/>
        </w:rPr>
        <w:t>, transparent, non</w:t>
      </w:r>
      <w:r w:rsidR="00D2481A">
        <w:rPr>
          <w:color w:val="000000"/>
        </w:rPr>
        <w:t xml:space="preserve"> </w:t>
      </w:r>
      <w:r w:rsidR="00D24A2B" w:rsidRPr="00446BB8">
        <w:rPr>
          <w:color w:val="000000"/>
        </w:rPr>
        <w:t>discriminato</w:t>
      </w:r>
      <w:r w:rsidR="00D2481A">
        <w:rPr>
          <w:color w:val="000000"/>
        </w:rPr>
        <w:t>ire et prévisible pour les entreprises,</w:t>
      </w:r>
      <w:r w:rsidR="00D24A2B" w:rsidRPr="00446BB8">
        <w:rPr>
          <w:color w:val="000000"/>
        </w:rPr>
        <w:t xml:space="preserve"> </w:t>
      </w:r>
      <w:r w:rsidR="00D2481A">
        <w:rPr>
          <w:color w:val="000000"/>
        </w:rPr>
        <w:t xml:space="preserve">ainsi qu’à limiter les pratiques </w:t>
      </w:r>
      <w:r w:rsidR="00D24A2B" w:rsidRPr="00446BB8">
        <w:rPr>
          <w:color w:val="000000"/>
        </w:rPr>
        <w:t>anti</w:t>
      </w:r>
      <w:r w:rsidR="00D2481A">
        <w:rPr>
          <w:color w:val="000000"/>
        </w:rPr>
        <w:t>concurrentielles</w:t>
      </w:r>
      <w:r w:rsidR="00D24A2B" w:rsidRPr="00446BB8">
        <w:rPr>
          <w:color w:val="000000"/>
        </w:rPr>
        <w:t xml:space="preserve"> </w:t>
      </w:r>
      <w:r w:rsidR="00D2481A">
        <w:rPr>
          <w:color w:val="000000"/>
        </w:rPr>
        <w:t xml:space="preserve">et à </w:t>
      </w:r>
      <w:r w:rsidR="00D2481A">
        <w:rPr>
          <w:color w:val="000000"/>
        </w:rPr>
        <w:lastRenderedPageBreak/>
        <w:t>s’attaquer aux exigences de contenu local dans ces domaines</w:t>
      </w:r>
      <w:r w:rsidR="00D24A2B" w:rsidRPr="00446BB8">
        <w:rPr>
          <w:color w:val="000000"/>
        </w:rPr>
        <w:t xml:space="preserve">. </w:t>
      </w:r>
      <w:r w:rsidR="00D2481A">
        <w:rPr>
          <w:color w:val="000000"/>
        </w:rPr>
        <w:t>L’accord devrait aussi comporter des règles souten</w:t>
      </w:r>
      <w:r w:rsidR="009A4D7A">
        <w:rPr>
          <w:color w:val="000000"/>
        </w:rPr>
        <w:t>an</w:t>
      </w:r>
      <w:r w:rsidR="00D2481A">
        <w:rPr>
          <w:color w:val="000000"/>
        </w:rPr>
        <w:t>t et encourage</w:t>
      </w:r>
      <w:r w:rsidR="009A4D7A">
        <w:rPr>
          <w:color w:val="000000"/>
        </w:rPr>
        <w:t>a</w:t>
      </w:r>
      <w:r w:rsidR="00D2481A">
        <w:rPr>
          <w:color w:val="000000"/>
        </w:rPr>
        <w:t>nt davantage le commerce et l’investissement dans le secteur des énergies</w:t>
      </w:r>
      <w:r w:rsidR="00D24A2B" w:rsidRPr="00446BB8">
        <w:rPr>
          <w:color w:val="000000"/>
        </w:rPr>
        <w:t xml:space="preserve"> ren</w:t>
      </w:r>
      <w:r w:rsidR="00D2481A">
        <w:rPr>
          <w:color w:val="000000"/>
        </w:rPr>
        <w:t>ouvel</w:t>
      </w:r>
      <w:r w:rsidR="00D24A2B" w:rsidRPr="00446BB8">
        <w:rPr>
          <w:color w:val="000000"/>
        </w:rPr>
        <w:t>able</w:t>
      </w:r>
      <w:r w:rsidR="00D2481A">
        <w:rPr>
          <w:color w:val="000000"/>
        </w:rPr>
        <w:t>s</w:t>
      </w:r>
      <w:r w:rsidR="00D24A2B" w:rsidRPr="00446BB8">
        <w:rPr>
          <w:color w:val="000000"/>
        </w:rPr>
        <w:t xml:space="preserve">. </w:t>
      </w:r>
    </w:p>
    <w:p w:rsidR="00D24A2B" w:rsidRPr="00446BB8" w:rsidRDefault="00AF4E51" w:rsidP="00D24A2B">
      <w:pPr>
        <w:spacing w:before="360" w:after="240"/>
        <w:rPr>
          <w:b/>
          <w:smallCaps/>
          <w:szCs w:val="24"/>
        </w:rPr>
      </w:pPr>
      <w:r>
        <w:rPr>
          <w:b/>
          <w:smallCaps/>
          <w:szCs w:val="24"/>
        </w:rPr>
        <w:t>Cohérence réglementaire et transparence</w:t>
      </w:r>
    </w:p>
    <w:p w:rsidR="00D24A2B" w:rsidRPr="00446BB8" w:rsidRDefault="00AF4E51" w:rsidP="00D24A2B">
      <w:pPr>
        <w:rPr>
          <w:color w:val="000000"/>
        </w:rPr>
      </w:pPr>
      <w:r>
        <w:rPr>
          <w:color w:val="000000"/>
        </w:rPr>
        <w:t xml:space="preserve">L’accord devrait comporter des </w:t>
      </w:r>
      <w:r w:rsidR="00D24A2B" w:rsidRPr="00446BB8">
        <w:rPr>
          <w:color w:val="000000"/>
        </w:rPr>
        <w:t>disciplines</w:t>
      </w:r>
      <w:r>
        <w:rPr>
          <w:color w:val="000000"/>
        </w:rPr>
        <w:t xml:space="preserve"> transversales concernant la cohérence réglementaire et la transparence pour l’élaboration et la mise en œuvre de réglementations </w:t>
      </w:r>
      <w:r w:rsidR="00957C7A">
        <w:rPr>
          <w:color w:val="000000"/>
        </w:rPr>
        <w:t xml:space="preserve">en matière de biens et de services </w:t>
      </w:r>
      <w:r w:rsidR="00D24A2B" w:rsidRPr="00446BB8">
        <w:rPr>
          <w:color w:val="000000"/>
        </w:rPr>
        <w:t>effic</w:t>
      </w:r>
      <w:r>
        <w:rPr>
          <w:color w:val="000000"/>
        </w:rPr>
        <w:t>aces</w:t>
      </w:r>
      <w:r w:rsidR="00D24A2B" w:rsidRPr="00446BB8">
        <w:rPr>
          <w:color w:val="000000"/>
        </w:rPr>
        <w:t xml:space="preserve">, </w:t>
      </w:r>
      <w:r>
        <w:rPr>
          <w:color w:val="000000"/>
        </w:rPr>
        <w:t>économiquement performantes</w:t>
      </w:r>
      <w:r w:rsidR="00957C7A">
        <w:rPr>
          <w:color w:val="000000"/>
        </w:rPr>
        <w:t xml:space="preserve"> et plus compatibles</w:t>
      </w:r>
      <w:r w:rsidR="00D24A2B" w:rsidRPr="00446BB8">
        <w:rPr>
          <w:color w:val="000000"/>
        </w:rPr>
        <w:t xml:space="preserve">. </w:t>
      </w:r>
      <w:r w:rsidR="00AF1CAF">
        <w:rPr>
          <w:color w:val="000000"/>
        </w:rPr>
        <w:t xml:space="preserve">L’accord devrait notamment inclure des </w:t>
      </w:r>
      <w:r w:rsidR="00AF1CAF" w:rsidRPr="00AF1CAF">
        <w:rPr>
          <w:color w:val="000000"/>
        </w:rPr>
        <w:t>dispositions</w:t>
      </w:r>
      <w:r w:rsidR="00D24A2B" w:rsidRPr="00446BB8">
        <w:rPr>
          <w:color w:val="000000"/>
        </w:rPr>
        <w:t xml:space="preserve"> </w:t>
      </w:r>
      <w:r w:rsidR="00AF1CAF">
        <w:rPr>
          <w:color w:val="000000"/>
        </w:rPr>
        <w:t>concernant des consultations à un stade précoce sur les réglementations importantes</w:t>
      </w:r>
      <w:r w:rsidR="00D24A2B" w:rsidRPr="00446BB8">
        <w:rPr>
          <w:color w:val="000000"/>
        </w:rPr>
        <w:t xml:space="preserve">, </w:t>
      </w:r>
      <w:r w:rsidR="00AF1CAF">
        <w:rPr>
          <w:color w:val="000000"/>
        </w:rPr>
        <w:t xml:space="preserve">y compris les possibilités offertes aux acteurs concernés de </w:t>
      </w:r>
      <w:r w:rsidR="00D24A2B" w:rsidRPr="00446BB8">
        <w:rPr>
          <w:color w:val="000000"/>
        </w:rPr>
        <w:t>contribue</w:t>
      </w:r>
      <w:r w:rsidR="00AF1CAF">
        <w:rPr>
          <w:color w:val="000000"/>
        </w:rPr>
        <w:t>r</w:t>
      </w:r>
      <w:r w:rsidR="00D24A2B" w:rsidRPr="00446BB8">
        <w:rPr>
          <w:color w:val="000000"/>
        </w:rPr>
        <w:t xml:space="preserve"> </w:t>
      </w:r>
      <w:r w:rsidR="00AF1CAF">
        <w:rPr>
          <w:color w:val="000000"/>
        </w:rPr>
        <w:t>à l’élaboration des propositions de réglementation</w:t>
      </w:r>
      <w:r w:rsidR="00D24A2B" w:rsidRPr="00446BB8">
        <w:rPr>
          <w:color w:val="000000"/>
        </w:rPr>
        <w:t xml:space="preserve">, </w:t>
      </w:r>
      <w:r w:rsidR="00AF1CAF">
        <w:rPr>
          <w:color w:val="000000"/>
        </w:rPr>
        <w:t xml:space="preserve">la </w:t>
      </w:r>
      <w:r w:rsidR="00D24A2B" w:rsidRPr="00446BB8">
        <w:rPr>
          <w:color w:val="000000"/>
        </w:rPr>
        <w:t xml:space="preserve">publication </w:t>
      </w:r>
      <w:r w:rsidR="00AF1CAF">
        <w:rPr>
          <w:color w:val="000000"/>
        </w:rPr>
        <w:t>des</w:t>
      </w:r>
      <w:r w:rsidR="00D24A2B" w:rsidRPr="00446BB8">
        <w:rPr>
          <w:color w:val="000000"/>
        </w:rPr>
        <w:t xml:space="preserve"> mesures </w:t>
      </w:r>
      <w:r w:rsidR="00AF1CAF">
        <w:rPr>
          <w:color w:val="000000"/>
        </w:rPr>
        <w:t>ayant une incidence sur le commerce et l’investissement</w:t>
      </w:r>
      <w:r w:rsidR="00D24A2B" w:rsidRPr="00446BB8">
        <w:rPr>
          <w:color w:val="000000"/>
        </w:rPr>
        <w:t xml:space="preserve">, </w:t>
      </w:r>
      <w:r w:rsidR="00AF1CAF">
        <w:rPr>
          <w:color w:val="000000"/>
        </w:rPr>
        <w:t xml:space="preserve">la </w:t>
      </w:r>
      <w:r w:rsidR="00D24A2B" w:rsidRPr="00446BB8">
        <w:rPr>
          <w:color w:val="000000"/>
        </w:rPr>
        <w:t xml:space="preserve">promotion </w:t>
      </w:r>
      <w:r w:rsidR="00AF1CAF">
        <w:rPr>
          <w:color w:val="000000"/>
        </w:rPr>
        <w:t>des échanges d’</w:t>
      </w:r>
      <w:r w:rsidR="00D24A2B" w:rsidRPr="00446BB8">
        <w:rPr>
          <w:color w:val="000000"/>
        </w:rPr>
        <w:t>information</w:t>
      </w:r>
      <w:r w:rsidR="00AF1CAF">
        <w:rPr>
          <w:color w:val="000000"/>
        </w:rPr>
        <w:t>s</w:t>
      </w:r>
      <w:r w:rsidR="00D24A2B" w:rsidRPr="00446BB8">
        <w:rPr>
          <w:color w:val="000000"/>
        </w:rPr>
        <w:t xml:space="preserve">, </w:t>
      </w:r>
      <w:r w:rsidR="00AF1CAF">
        <w:rPr>
          <w:color w:val="000000"/>
        </w:rPr>
        <w:t>et l’utilisation accrue des bonnes pratiques réglementaires</w:t>
      </w:r>
      <w:r w:rsidR="00D24A2B" w:rsidRPr="00446BB8">
        <w:rPr>
          <w:color w:val="000000"/>
        </w:rPr>
        <w:t xml:space="preserve"> </w:t>
      </w:r>
      <w:r w:rsidR="00AF1CAF">
        <w:rPr>
          <w:color w:val="000000"/>
        </w:rPr>
        <w:t>comme l’analyse de l’impact des réglementations et leur évaluation ex post</w:t>
      </w:r>
      <w:r w:rsidR="00D24A2B" w:rsidRPr="00446BB8">
        <w:rPr>
          <w:color w:val="000000"/>
        </w:rPr>
        <w:t xml:space="preserve">. </w:t>
      </w:r>
    </w:p>
    <w:p w:rsidR="00D24A2B" w:rsidRPr="00446BB8" w:rsidRDefault="00C477A5" w:rsidP="00D24A2B">
      <w:pPr>
        <w:spacing w:before="360" w:after="240"/>
        <w:rPr>
          <w:b/>
          <w:smallCaps/>
          <w:szCs w:val="24"/>
        </w:rPr>
      </w:pPr>
      <w:r>
        <w:rPr>
          <w:b/>
          <w:smallCaps/>
          <w:szCs w:val="24"/>
        </w:rPr>
        <w:t>Lutte contre la c</w:t>
      </w:r>
      <w:r w:rsidR="00D24A2B" w:rsidRPr="00446BB8">
        <w:rPr>
          <w:b/>
          <w:smallCaps/>
          <w:szCs w:val="24"/>
        </w:rPr>
        <w:t>orruption</w:t>
      </w:r>
    </w:p>
    <w:p w:rsidR="00D24A2B" w:rsidRPr="00446BB8" w:rsidRDefault="00010DCC" w:rsidP="00D24A2B">
      <w:pPr>
        <w:rPr>
          <w:color w:val="000000"/>
        </w:rPr>
      </w:pPr>
      <w:r>
        <w:rPr>
          <w:color w:val="000000"/>
        </w:rPr>
        <w:t xml:space="preserve">L’accord devrait contenir des </w:t>
      </w:r>
      <w:r w:rsidRPr="00010DCC">
        <w:rPr>
          <w:color w:val="000000"/>
        </w:rPr>
        <w:t>dispositions</w:t>
      </w:r>
      <w:r>
        <w:rPr>
          <w:color w:val="000000"/>
        </w:rPr>
        <w:t xml:space="preserve"> spécifiques ciblant et décour</w:t>
      </w:r>
      <w:r w:rsidR="009B1EF8">
        <w:rPr>
          <w:color w:val="000000"/>
        </w:rPr>
        <w:t>a</w:t>
      </w:r>
      <w:r>
        <w:rPr>
          <w:color w:val="000000"/>
        </w:rPr>
        <w:t>geant la corruption</w:t>
      </w:r>
      <w:r w:rsidR="00D24A2B" w:rsidRPr="00446BB8">
        <w:rPr>
          <w:color w:val="000000"/>
        </w:rPr>
        <w:t xml:space="preserve"> </w:t>
      </w:r>
      <w:r w:rsidR="009B1EF8">
        <w:rPr>
          <w:color w:val="000000"/>
        </w:rPr>
        <w:t xml:space="preserve">qui </w:t>
      </w:r>
      <w:r>
        <w:rPr>
          <w:color w:val="000000"/>
        </w:rPr>
        <w:t>nuit au commerce et à l’investissement</w:t>
      </w:r>
      <w:r w:rsidR="00D24A2B" w:rsidRPr="00446BB8">
        <w:rPr>
          <w:color w:val="000000"/>
        </w:rPr>
        <w:t xml:space="preserve">. </w:t>
      </w:r>
      <w:r>
        <w:rPr>
          <w:color w:val="000000"/>
        </w:rPr>
        <w:t xml:space="preserve">Ces </w:t>
      </w:r>
      <w:r w:rsidRPr="00010DCC">
        <w:rPr>
          <w:color w:val="000000"/>
        </w:rPr>
        <w:t>dispositions</w:t>
      </w:r>
      <w:r>
        <w:rPr>
          <w:color w:val="000000"/>
        </w:rPr>
        <w:t xml:space="preserve"> devraient se fonder sur les normes </w:t>
      </w:r>
      <w:r w:rsidR="001F470E">
        <w:rPr>
          <w:color w:val="000000"/>
        </w:rPr>
        <w:t xml:space="preserve">et les accords européens et internationalement admis </w:t>
      </w:r>
      <w:r w:rsidR="00D83F02">
        <w:rPr>
          <w:color w:val="000000"/>
        </w:rPr>
        <w:t xml:space="preserve">en matière de </w:t>
      </w:r>
      <w:r w:rsidR="001F470E">
        <w:rPr>
          <w:color w:val="000000"/>
        </w:rPr>
        <w:t>lutte contre la corruption</w:t>
      </w:r>
      <w:r w:rsidR="00D24A2B" w:rsidRPr="00446BB8">
        <w:rPr>
          <w:color w:val="000000"/>
        </w:rPr>
        <w:t>.</w:t>
      </w:r>
    </w:p>
    <w:p w:rsidR="00D24A2B" w:rsidRPr="00446BB8" w:rsidRDefault="008D07AD" w:rsidP="00D24A2B">
      <w:pPr>
        <w:spacing w:before="360" w:after="240"/>
        <w:rPr>
          <w:b/>
          <w:smallCaps/>
          <w:szCs w:val="24"/>
        </w:rPr>
      </w:pPr>
      <w:r>
        <w:rPr>
          <w:b/>
          <w:smallCaps/>
          <w:szCs w:val="24"/>
        </w:rPr>
        <w:t>Règlement des différends entre États et médiation</w:t>
      </w:r>
    </w:p>
    <w:p w:rsidR="00D24A2B" w:rsidRPr="00446BB8" w:rsidRDefault="008D07AD" w:rsidP="00D24A2B">
      <w:pPr>
        <w:rPr>
          <w:color w:val="000000"/>
        </w:rPr>
      </w:pPr>
      <w:r>
        <w:rPr>
          <w:color w:val="000000"/>
        </w:rPr>
        <w:t>L’accord devrait inclure un mécanisme efficace et obligatoire de règlement des différends entre États, doté d’une procédure accélérée</w:t>
      </w:r>
      <w:r w:rsidR="00D24A2B" w:rsidRPr="00446BB8">
        <w:rPr>
          <w:color w:val="000000"/>
        </w:rPr>
        <w:t xml:space="preserve">, </w:t>
      </w:r>
      <w:r>
        <w:rPr>
          <w:color w:val="000000"/>
        </w:rPr>
        <w:t xml:space="preserve">notamment en ce qui concerne la composition du </w:t>
      </w:r>
      <w:r w:rsidR="004F3900">
        <w:rPr>
          <w:color w:val="000000"/>
        </w:rPr>
        <w:t>groupe spécial</w:t>
      </w:r>
      <w:r w:rsidR="00EA714D">
        <w:rPr>
          <w:color w:val="000000"/>
        </w:rPr>
        <w:t xml:space="preserve"> d’arbitrage</w:t>
      </w:r>
      <w:r>
        <w:rPr>
          <w:color w:val="000000"/>
        </w:rPr>
        <w:t xml:space="preserve"> et la conduite des procédures du </w:t>
      </w:r>
      <w:r w:rsidR="004F3900">
        <w:rPr>
          <w:color w:val="000000"/>
        </w:rPr>
        <w:t>groupe spécial</w:t>
      </w:r>
      <w:r w:rsidR="00D24A2B" w:rsidRPr="00446BB8">
        <w:rPr>
          <w:color w:val="000000"/>
        </w:rPr>
        <w:t xml:space="preserve">. </w:t>
      </w:r>
      <w:r w:rsidR="004F3900">
        <w:rPr>
          <w:color w:val="000000"/>
        </w:rPr>
        <w:t xml:space="preserve">Le mécanisme de règlement des différends devrait être </w:t>
      </w:r>
      <w:r w:rsidR="00D24A2B" w:rsidRPr="00446BB8">
        <w:rPr>
          <w:color w:val="000000"/>
        </w:rPr>
        <w:t>transparent, o</w:t>
      </w:r>
      <w:r w:rsidR="004F3900">
        <w:rPr>
          <w:color w:val="000000"/>
        </w:rPr>
        <w:t>uvert et novateur</w:t>
      </w:r>
      <w:r w:rsidR="00D24A2B" w:rsidRPr="00446BB8">
        <w:rPr>
          <w:color w:val="000000"/>
        </w:rPr>
        <w:t>. I</w:t>
      </w:r>
      <w:r w:rsidR="004F3900">
        <w:rPr>
          <w:color w:val="000000"/>
        </w:rPr>
        <w:t>l devrait comporter des dispositions concernant un mécanisme de médiation flexible et rapide</w:t>
      </w:r>
      <w:r w:rsidR="00D24A2B" w:rsidRPr="00446BB8">
        <w:rPr>
          <w:color w:val="000000"/>
        </w:rPr>
        <w:t>.</w:t>
      </w:r>
    </w:p>
    <w:bookmarkEnd w:id="1"/>
    <w:bookmarkEnd w:id="2"/>
    <w:bookmarkEnd w:id="3"/>
    <w:bookmarkEnd w:id="4"/>
    <w:bookmarkEnd w:id="5"/>
    <w:bookmarkEnd w:id="6"/>
    <w:p w:rsidR="00D24A2B" w:rsidRPr="00446BB8" w:rsidRDefault="004F3900" w:rsidP="00D24A2B">
      <w:pPr>
        <w:spacing w:before="360" w:after="240"/>
        <w:rPr>
          <w:b/>
          <w:smallCaps/>
          <w:szCs w:val="24"/>
        </w:rPr>
      </w:pPr>
      <w:r>
        <w:rPr>
          <w:b/>
          <w:smallCaps/>
          <w:szCs w:val="24"/>
        </w:rPr>
        <w:t>Exceptions générales</w:t>
      </w:r>
    </w:p>
    <w:p w:rsidR="00D24A2B" w:rsidRPr="00446BB8" w:rsidRDefault="004F3900" w:rsidP="00D24A2B">
      <w:pPr>
        <w:rPr>
          <w:color w:val="000000"/>
        </w:rPr>
      </w:pPr>
      <w:r>
        <w:rPr>
          <w:color w:val="000000"/>
        </w:rPr>
        <w:t xml:space="preserve">L’accord devrait </w:t>
      </w:r>
      <w:r w:rsidR="009B1EF8">
        <w:rPr>
          <w:color w:val="000000"/>
        </w:rPr>
        <w:t>comporter</w:t>
      </w:r>
      <w:r>
        <w:rPr>
          <w:color w:val="000000"/>
        </w:rPr>
        <w:t xml:space="preserve"> des exceptions générales,</w:t>
      </w:r>
      <w:r w:rsidR="002439CF" w:rsidRPr="00446BB8">
        <w:rPr>
          <w:color w:val="000000"/>
        </w:rPr>
        <w:t xml:space="preserve"> </w:t>
      </w:r>
      <w:r>
        <w:rPr>
          <w:color w:val="000000"/>
        </w:rPr>
        <w:t>notamment en matière de sécurité, de balance des paiements</w:t>
      </w:r>
      <w:r w:rsidR="002439CF" w:rsidRPr="00446BB8">
        <w:rPr>
          <w:color w:val="000000"/>
        </w:rPr>
        <w:t xml:space="preserve">, </w:t>
      </w:r>
      <w:r>
        <w:rPr>
          <w:color w:val="000000"/>
        </w:rPr>
        <w:t xml:space="preserve">de surveillance prudentielle et de fiscalité, </w:t>
      </w:r>
      <w:r w:rsidR="009B1EF8">
        <w:rPr>
          <w:color w:val="000000"/>
        </w:rPr>
        <w:t>se fondant sur les</w:t>
      </w:r>
      <w:r>
        <w:rPr>
          <w:color w:val="000000"/>
        </w:rPr>
        <w:t xml:space="preserve"> articles correspondants des accords de l’OMC</w:t>
      </w:r>
      <w:r w:rsidR="00D24A2B" w:rsidRPr="00446BB8">
        <w:rPr>
          <w:color w:val="000000"/>
        </w:rPr>
        <w:t>.</w:t>
      </w:r>
    </w:p>
    <w:p w:rsidR="00D24A2B" w:rsidRPr="00446BB8" w:rsidRDefault="004F3900" w:rsidP="00D24A2B">
      <w:pPr>
        <w:spacing w:before="360" w:after="240"/>
        <w:rPr>
          <w:b/>
          <w:smallCaps/>
          <w:szCs w:val="24"/>
        </w:rPr>
      </w:pPr>
      <w:r>
        <w:rPr>
          <w:b/>
          <w:smallCaps/>
          <w:szCs w:val="24"/>
        </w:rPr>
        <w:t>Autres domaines</w:t>
      </w:r>
      <w:r w:rsidR="00D24A2B" w:rsidRPr="00446BB8">
        <w:rPr>
          <w:b/>
          <w:smallCaps/>
          <w:szCs w:val="24"/>
        </w:rPr>
        <w:t xml:space="preserve"> </w:t>
      </w:r>
    </w:p>
    <w:p w:rsidR="00D24A2B" w:rsidRPr="00446BB8" w:rsidRDefault="004F3900" w:rsidP="00D24A2B">
      <w:pPr>
        <w:rPr>
          <w:color w:val="000000"/>
        </w:rPr>
      </w:pPr>
      <w:r>
        <w:rPr>
          <w:color w:val="000000"/>
        </w:rPr>
        <w:t xml:space="preserve">Après analyse de la </w:t>
      </w:r>
      <w:r w:rsidR="00D24A2B" w:rsidRPr="00446BB8">
        <w:rPr>
          <w:color w:val="000000"/>
        </w:rPr>
        <w:t>Commission</w:t>
      </w:r>
      <w:r>
        <w:rPr>
          <w:color w:val="000000"/>
        </w:rPr>
        <w:t xml:space="preserve"> et</w:t>
      </w:r>
      <w:r w:rsidR="00D24A2B" w:rsidRPr="00446BB8">
        <w:rPr>
          <w:color w:val="000000"/>
        </w:rPr>
        <w:t xml:space="preserve"> consultation</w:t>
      </w:r>
      <w:r>
        <w:rPr>
          <w:color w:val="000000"/>
        </w:rPr>
        <w:t xml:space="preserve"> préalable du Comité de la politique commerciale</w:t>
      </w:r>
      <w:r w:rsidR="00D24A2B" w:rsidRPr="00446BB8">
        <w:rPr>
          <w:color w:val="000000"/>
        </w:rPr>
        <w:t xml:space="preserve">, </w:t>
      </w:r>
      <w:r>
        <w:rPr>
          <w:color w:val="000000"/>
        </w:rPr>
        <w:t>et conformément aux traités de l’UE</w:t>
      </w:r>
      <w:r w:rsidR="00D24A2B" w:rsidRPr="00446BB8">
        <w:rPr>
          <w:color w:val="000000"/>
        </w:rPr>
        <w:t xml:space="preserve">, </w:t>
      </w:r>
      <w:r>
        <w:rPr>
          <w:color w:val="000000"/>
        </w:rPr>
        <w:t xml:space="preserve">l’accord peut inclure des </w:t>
      </w:r>
      <w:r w:rsidRPr="004F3900">
        <w:rPr>
          <w:color w:val="000000"/>
        </w:rPr>
        <w:t>dispositions</w:t>
      </w:r>
      <w:r w:rsidR="00D24A2B" w:rsidRPr="00446BB8">
        <w:rPr>
          <w:color w:val="000000"/>
        </w:rPr>
        <w:t xml:space="preserve"> </w:t>
      </w:r>
      <w:r>
        <w:rPr>
          <w:color w:val="000000"/>
        </w:rPr>
        <w:t>concernant d’autres domaines en rapport avec le commerce et l’investissement</w:t>
      </w:r>
      <w:r w:rsidR="00D24A2B" w:rsidRPr="00446BB8">
        <w:rPr>
          <w:color w:val="000000"/>
        </w:rPr>
        <w:t xml:space="preserve"> </w:t>
      </w:r>
      <w:r>
        <w:rPr>
          <w:color w:val="000000"/>
        </w:rPr>
        <w:t>pour lesquels un intérêt mutuel émergerait au cours des négociations</w:t>
      </w:r>
      <w:r w:rsidR="00D24A2B" w:rsidRPr="00446BB8">
        <w:rPr>
          <w:color w:val="000000"/>
        </w:rPr>
        <w:t>.</w:t>
      </w:r>
    </w:p>
    <w:p w:rsidR="00D24A2B" w:rsidRPr="00446BB8" w:rsidRDefault="00D24A2B" w:rsidP="00D24A2B">
      <w:pPr>
        <w:spacing w:after="0"/>
        <w:rPr>
          <w:b/>
          <w:smallCaps/>
          <w:color w:val="000000"/>
          <w:szCs w:val="24"/>
        </w:rPr>
      </w:pPr>
    </w:p>
    <w:p w:rsidR="00D24A2B" w:rsidRPr="00446BB8" w:rsidRDefault="00D24A2B" w:rsidP="00D24A2B">
      <w:pPr>
        <w:spacing w:after="0"/>
        <w:rPr>
          <w:b/>
          <w:smallCaps/>
          <w:color w:val="000000"/>
          <w:szCs w:val="24"/>
        </w:rPr>
      </w:pPr>
      <w:r w:rsidRPr="00446BB8">
        <w:rPr>
          <w:b/>
          <w:smallCaps/>
          <w:color w:val="000000"/>
          <w:szCs w:val="24"/>
        </w:rPr>
        <w:t xml:space="preserve">IV. </w:t>
      </w:r>
      <w:r w:rsidR="004F3900">
        <w:rPr>
          <w:b/>
          <w:smallCaps/>
          <w:color w:val="000000"/>
          <w:szCs w:val="24"/>
          <w:u w:val="single"/>
        </w:rPr>
        <w:t>Cadre institutionnel général</w:t>
      </w:r>
      <w:r w:rsidRPr="00446BB8">
        <w:rPr>
          <w:b/>
          <w:smallCaps/>
          <w:color w:val="000000"/>
          <w:szCs w:val="24"/>
        </w:rPr>
        <w:t xml:space="preserve"> </w:t>
      </w:r>
    </w:p>
    <w:p w:rsidR="00D24A2B" w:rsidRPr="00576D80" w:rsidRDefault="00D24A2B" w:rsidP="00D24A2B">
      <w:pPr>
        <w:spacing w:after="0"/>
        <w:rPr>
          <w:b/>
        </w:rPr>
      </w:pPr>
    </w:p>
    <w:p w:rsidR="00330E69" w:rsidRPr="00446BB8" w:rsidRDefault="004F3900" w:rsidP="00330E69">
      <w:pPr>
        <w:spacing w:after="0"/>
        <w:rPr>
          <w:color w:val="000000"/>
          <w:szCs w:val="24"/>
        </w:rPr>
      </w:pPr>
      <w:r>
        <w:rPr>
          <w:color w:val="000000"/>
          <w:szCs w:val="24"/>
        </w:rPr>
        <w:t xml:space="preserve">L’accord devrait comporter des </w:t>
      </w:r>
      <w:r w:rsidRPr="004F3900">
        <w:rPr>
          <w:color w:val="000000"/>
          <w:szCs w:val="24"/>
        </w:rPr>
        <w:t>dispositions</w:t>
      </w:r>
      <w:r w:rsidR="00330E69" w:rsidRPr="00446BB8">
        <w:rPr>
          <w:color w:val="000000"/>
          <w:szCs w:val="24"/>
        </w:rPr>
        <w:t xml:space="preserve"> </w:t>
      </w:r>
      <w:r>
        <w:rPr>
          <w:color w:val="000000"/>
          <w:szCs w:val="24"/>
        </w:rPr>
        <w:t xml:space="preserve">concernant la </w:t>
      </w:r>
      <w:r w:rsidR="00330E69" w:rsidRPr="00446BB8">
        <w:rPr>
          <w:color w:val="000000"/>
          <w:szCs w:val="24"/>
        </w:rPr>
        <w:t>structure</w:t>
      </w:r>
      <w:r>
        <w:rPr>
          <w:color w:val="000000"/>
          <w:szCs w:val="24"/>
        </w:rPr>
        <w:t xml:space="preserve"> institutionnelle</w:t>
      </w:r>
      <w:r w:rsidR="00330E69" w:rsidRPr="00446BB8">
        <w:rPr>
          <w:color w:val="000000"/>
          <w:szCs w:val="24"/>
        </w:rPr>
        <w:t xml:space="preserve">, </w:t>
      </w:r>
      <w:r w:rsidR="00D57B84">
        <w:rPr>
          <w:color w:val="000000"/>
          <w:szCs w:val="24"/>
        </w:rPr>
        <w:t>lesquelles s’inspireront, en les développant, des modalités et pratiques existantes</w:t>
      </w:r>
      <w:r w:rsidR="00330E69" w:rsidRPr="00446BB8">
        <w:rPr>
          <w:color w:val="000000"/>
          <w:szCs w:val="24"/>
        </w:rPr>
        <w:t xml:space="preserve">. </w:t>
      </w:r>
    </w:p>
    <w:p w:rsidR="00330E69" w:rsidRPr="00446BB8" w:rsidRDefault="00330E69" w:rsidP="00330E69">
      <w:pPr>
        <w:spacing w:after="0"/>
        <w:rPr>
          <w:color w:val="000000"/>
          <w:szCs w:val="24"/>
        </w:rPr>
      </w:pPr>
    </w:p>
    <w:p w:rsidR="00330E69" w:rsidRPr="00446BB8" w:rsidRDefault="00F67C60" w:rsidP="00330E69">
      <w:pPr>
        <w:spacing w:after="0"/>
        <w:rPr>
          <w:color w:val="000000"/>
          <w:szCs w:val="24"/>
        </w:rPr>
      </w:pPr>
      <w:r>
        <w:rPr>
          <w:color w:val="000000"/>
          <w:szCs w:val="24"/>
        </w:rPr>
        <w:t xml:space="preserve">Le </w:t>
      </w:r>
      <w:r w:rsidR="000110F2">
        <w:rPr>
          <w:color w:val="000000"/>
          <w:szCs w:val="24"/>
        </w:rPr>
        <w:t>c</w:t>
      </w:r>
      <w:r>
        <w:rPr>
          <w:color w:val="000000"/>
          <w:szCs w:val="24"/>
        </w:rPr>
        <w:t>onseil d’association devrait conserver son rôle d’organe le plus élevé de l’accord modernisé responsable de la supervision générale de sa mise en œuvre</w:t>
      </w:r>
      <w:r w:rsidR="00330E69" w:rsidRPr="00446BB8">
        <w:rPr>
          <w:color w:val="000000"/>
          <w:szCs w:val="24"/>
        </w:rPr>
        <w:t xml:space="preserve">. </w:t>
      </w:r>
      <w:r>
        <w:rPr>
          <w:color w:val="000000"/>
          <w:szCs w:val="24"/>
        </w:rPr>
        <w:t>Il est suggéré d’ad</w:t>
      </w:r>
      <w:r w:rsidR="00EA714D">
        <w:rPr>
          <w:color w:val="000000"/>
          <w:szCs w:val="24"/>
        </w:rPr>
        <w:t>a</w:t>
      </w:r>
      <w:r>
        <w:rPr>
          <w:color w:val="000000"/>
          <w:szCs w:val="24"/>
        </w:rPr>
        <w:t xml:space="preserve">pter la périodicité des réunions du </w:t>
      </w:r>
      <w:r w:rsidR="000110F2">
        <w:rPr>
          <w:color w:val="000000"/>
          <w:szCs w:val="24"/>
        </w:rPr>
        <w:t>c</w:t>
      </w:r>
      <w:r>
        <w:rPr>
          <w:color w:val="000000"/>
          <w:szCs w:val="24"/>
        </w:rPr>
        <w:t>onseil sur la base d’un commun accord entre les parties</w:t>
      </w:r>
      <w:r w:rsidR="00330E69" w:rsidRPr="00446BB8">
        <w:rPr>
          <w:color w:val="000000"/>
          <w:szCs w:val="24"/>
        </w:rPr>
        <w:t>.</w:t>
      </w:r>
    </w:p>
    <w:p w:rsidR="00330E69" w:rsidRPr="00446BB8" w:rsidRDefault="00330E69" w:rsidP="006D6B9F">
      <w:pPr>
        <w:spacing w:before="0" w:after="0"/>
        <w:rPr>
          <w:rFonts w:cs="Calibri"/>
        </w:rPr>
      </w:pPr>
    </w:p>
    <w:p w:rsidR="00330E69" w:rsidRPr="00446BB8" w:rsidRDefault="000110F2" w:rsidP="00330E69">
      <w:pPr>
        <w:spacing w:after="0"/>
        <w:rPr>
          <w:color w:val="000000"/>
          <w:szCs w:val="24"/>
        </w:rPr>
      </w:pPr>
      <w:r>
        <w:rPr>
          <w:color w:val="000000"/>
          <w:szCs w:val="24"/>
        </w:rPr>
        <w:t>Le comité d’association devrait conserver son rôle consistant à assu</w:t>
      </w:r>
      <w:r w:rsidR="00330E69" w:rsidRPr="00446BB8">
        <w:rPr>
          <w:color w:val="000000"/>
          <w:szCs w:val="24"/>
        </w:rPr>
        <w:t>re</w:t>
      </w:r>
      <w:r>
        <w:rPr>
          <w:color w:val="000000"/>
          <w:szCs w:val="24"/>
        </w:rPr>
        <w:t>r</w:t>
      </w:r>
      <w:r w:rsidR="00330E69" w:rsidRPr="00446BB8">
        <w:rPr>
          <w:color w:val="000000"/>
          <w:szCs w:val="24"/>
        </w:rPr>
        <w:t xml:space="preserve"> </w:t>
      </w:r>
      <w:r>
        <w:rPr>
          <w:color w:val="000000"/>
          <w:szCs w:val="24"/>
        </w:rPr>
        <w:t>la mise en œuvre de l’accord</w:t>
      </w:r>
      <w:r w:rsidR="00330E69" w:rsidRPr="00446BB8">
        <w:rPr>
          <w:color w:val="000000"/>
          <w:szCs w:val="24"/>
        </w:rPr>
        <w:t xml:space="preserve">. </w:t>
      </w:r>
      <w:r>
        <w:rPr>
          <w:color w:val="000000"/>
          <w:szCs w:val="24"/>
        </w:rPr>
        <w:t xml:space="preserve">L’accord devrait </w:t>
      </w:r>
      <w:r w:rsidR="003E308A">
        <w:rPr>
          <w:color w:val="000000"/>
          <w:szCs w:val="24"/>
        </w:rPr>
        <w:t>définir l</w:t>
      </w:r>
      <w:r>
        <w:rPr>
          <w:color w:val="000000"/>
          <w:szCs w:val="24"/>
        </w:rPr>
        <w:t>es moyens de rendre le travail du comité d’association plus efficace</w:t>
      </w:r>
      <w:r w:rsidR="00330E69" w:rsidRPr="00446BB8">
        <w:rPr>
          <w:color w:val="000000"/>
          <w:szCs w:val="24"/>
        </w:rPr>
        <w:t xml:space="preserve">, </w:t>
      </w:r>
      <w:r>
        <w:rPr>
          <w:color w:val="000000"/>
          <w:szCs w:val="24"/>
        </w:rPr>
        <w:t xml:space="preserve">de favoriser les </w:t>
      </w:r>
      <w:r w:rsidR="00330E69" w:rsidRPr="00446BB8">
        <w:rPr>
          <w:color w:val="000000"/>
          <w:szCs w:val="24"/>
        </w:rPr>
        <w:t xml:space="preserve">synergies </w:t>
      </w:r>
      <w:r>
        <w:rPr>
          <w:color w:val="000000"/>
          <w:szCs w:val="24"/>
        </w:rPr>
        <w:t>et d’insuffler un plus grand dynamisme</w:t>
      </w:r>
      <w:r w:rsidR="00330E69" w:rsidRPr="00446BB8">
        <w:rPr>
          <w:color w:val="000000"/>
          <w:szCs w:val="24"/>
        </w:rPr>
        <w:t xml:space="preserve"> </w:t>
      </w:r>
      <w:r w:rsidR="00EC7E91">
        <w:rPr>
          <w:color w:val="000000"/>
          <w:szCs w:val="24"/>
        </w:rPr>
        <w:t>da</w:t>
      </w:r>
      <w:r w:rsidR="00330E69" w:rsidRPr="00446BB8">
        <w:rPr>
          <w:color w:val="000000"/>
          <w:szCs w:val="24"/>
        </w:rPr>
        <w:t>n</w:t>
      </w:r>
      <w:r w:rsidR="00EC7E91">
        <w:rPr>
          <w:color w:val="000000"/>
          <w:szCs w:val="24"/>
        </w:rPr>
        <w:t>s</w:t>
      </w:r>
      <w:r w:rsidR="00330E69" w:rsidRPr="00446BB8">
        <w:rPr>
          <w:color w:val="000000"/>
          <w:szCs w:val="24"/>
        </w:rPr>
        <w:t xml:space="preserve"> </w:t>
      </w:r>
      <w:r w:rsidR="00EC7E91">
        <w:rPr>
          <w:color w:val="000000"/>
          <w:szCs w:val="24"/>
        </w:rPr>
        <w:t xml:space="preserve">l’assistance qu’il fournit au conseil d’association </w:t>
      </w:r>
      <w:r w:rsidR="00E3222D">
        <w:rPr>
          <w:color w:val="000000"/>
          <w:szCs w:val="24"/>
        </w:rPr>
        <w:t>dans</w:t>
      </w:r>
      <w:r w:rsidR="00EC7E91">
        <w:rPr>
          <w:color w:val="000000"/>
          <w:szCs w:val="24"/>
        </w:rPr>
        <w:t xml:space="preserve"> l’accomplissement de </w:t>
      </w:r>
      <w:r w:rsidR="00E3222D">
        <w:rPr>
          <w:color w:val="000000"/>
          <w:szCs w:val="24"/>
        </w:rPr>
        <w:t>s</w:t>
      </w:r>
      <w:r w:rsidR="00EC7E91">
        <w:rPr>
          <w:color w:val="000000"/>
          <w:szCs w:val="24"/>
        </w:rPr>
        <w:t>a mission</w:t>
      </w:r>
      <w:r w:rsidR="00330E69" w:rsidRPr="00446BB8">
        <w:rPr>
          <w:color w:val="000000"/>
          <w:szCs w:val="24"/>
        </w:rPr>
        <w:t xml:space="preserve">. </w:t>
      </w:r>
      <w:r w:rsidR="00EC7E91">
        <w:rPr>
          <w:color w:val="000000"/>
          <w:szCs w:val="24"/>
        </w:rPr>
        <w:t>Des sous</w:t>
      </w:r>
      <w:r w:rsidR="00EC7E91">
        <w:rPr>
          <w:color w:val="000000"/>
          <w:szCs w:val="24"/>
        </w:rPr>
        <w:noBreakHyphen/>
        <w:t>comités et des groupes de travail peuvent être établis pour l’examen de questions spécifiques</w:t>
      </w:r>
      <w:r w:rsidR="000103B0" w:rsidRPr="00446BB8">
        <w:rPr>
          <w:color w:val="000000"/>
          <w:szCs w:val="24"/>
        </w:rPr>
        <w:t xml:space="preserve">. </w:t>
      </w:r>
    </w:p>
    <w:p w:rsidR="00330E69" w:rsidRPr="00446BB8" w:rsidRDefault="00330E69" w:rsidP="006D6B9F">
      <w:pPr>
        <w:spacing w:before="0" w:after="0"/>
        <w:rPr>
          <w:color w:val="000000"/>
          <w:szCs w:val="24"/>
        </w:rPr>
      </w:pPr>
    </w:p>
    <w:p w:rsidR="005D2887" w:rsidRPr="00446BB8" w:rsidRDefault="00EC7E91" w:rsidP="005D2887">
      <w:pPr>
        <w:spacing w:after="0"/>
        <w:rPr>
          <w:b/>
          <w:color w:val="000000"/>
          <w:szCs w:val="24"/>
        </w:rPr>
      </w:pPr>
      <w:r>
        <w:rPr>
          <w:color w:val="000000"/>
          <w:szCs w:val="24"/>
        </w:rPr>
        <w:t xml:space="preserve">L’accord devrait prévoir </w:t>
      </w:r>
      <w:r w:rsidR="00E3222D">
        <w:rPr>
          <w:color w:val="000000"/>
          <w:szCs w:val="24"/>
        </w:rPr>
        <w:t xml:space="preserve">la tenue, par le comité d’association institué par l’accord, </w:t>
      </w:r>
      <w:r w:rsidR="00E56679">
        <w:rPr>
          <w:color w:val="000000"/>
          <w:szCs w:val="24"/>
        </w:rPr>
        <w:t xml:space="preserve">de réunions spéciales consacrées aux questions commerciales </w:t>
      </w:r>
      <w:r w:rsidR="005D2887" w:rsidRPr="00446BB8">
        <w:rPr>
          <w:color w:val="000000"/>
          <w:szCs w:val="24"/>
        </w:rPr>
        <w:t>(</w:t>
      </w:r>
      <w:r w:rsidR="00E56679">
        <w:rPr>
          <w:color w:val="000000"/>
          <w:szCs w:val="24"/>
        </w:rPr>
        <w:t>une formation «commerce» du comité d’association</w:t>
      </w:r>
      <w:r w:rsidR="005D2887" w:rsidRPr="00446BB8">
        <w:rPr>
          <w:color w:val="000000"/>
          <w:szCs w:val="24"/>
        </w:rPr>
        <w:t>)</w:t>
      </w:r>
      <w:r w:rsidR="00E56679">
        <w:rPr>
          <w:color w:val="000000"/>
          <w:szCs w:val="24"/>
        </w:rPr>
        <w:t xml:space="preserve"> </w:t>
      </w:r>
      <w:r w:rsidR="00E3222D">
        <w:rPr>
          <w:color w:val="000000"/>
          <w:szCs w:val="24"/>
        </w:rPr>
        <w:t>qui</w:t>
      </w:r>
      <w:r w:rsidR="00E56679">
        <w:rPr>
          <w:color w:val="000000"/>
          <w:szCs w:val="24"/>
        </w:rPr>
        <w:t xml:space="preserve"> auraient pour objet de suivre la mise en œuvre des dispositions de l’accord concernant le commerce et l’investissement</w:t>
      </w:r>
      <w:r w:rsidR="005D2887" w:rsidRPr="00446BB8">
        <w:rPr>
          <w:color w:val="000000"/>
          <w:szCs w:val="24"/>
        </w:rPr>
        <w:t xml:space="preserve">. </w:t>
      </w:r>
      <w:r w:rsidR="00E56679">
        <w:rPr>
          <w:color w:val="000000"/>
          <w:szCs w:val="24"/>
        </w:rPr>
        <w:t xml:space="preserve">Des sous-comités compétents dans des domaines spécifiques peuvent être institués, si nécessaire, et </w:t>
      </w:r>
      <w:r w:rsidR="00991D94">
        <w:rPr>
          <w:color w:val="000000"/>
          <w:szCs w:val="24"/>
        </w:rPr>
        <w:t>effectueraient leurs travaux sous la responsabilité de la formation «commerce» du conseil d’association</w:t>
      </w:r>
      <w:r w:rsidR="005D2887" w:rsidRPr="00446BB8">
        <w:rPr>
          <w:color w:val="000000"/>
          <w:szCs w:val="24"/>
        </w:rPr>
        <w:t xml:space="preserve">. </w:t>
      </w:r>
      <w:r w:rsidR="00991D94">
        <w:rPr>
          <w:color w:val="000000"/>
          <w:szCs w:val="24"/>
        </w:rPr>
        <w:t xml:space="preserve">Cette dernière </w:t>
      </w:r>
      <w:r w:rsidR="00E3222D">
        <w:rPr>
          <w:color w:val="000000"/>
          <w:szCs w:val="24"/>
        </w:rPr>
        <w:t>au</w:t>
      </w:r>
      <w:r w:rsidR="00991D94">
        <w:rPr>
          <w:color w:val="000000"/>
          <w:szCs w:val="24"/>
        </w:rPr>
        <w:t xml:space="preserve">rait </w:t>
      </w:r>
      <w:r w:rsidR="00E3222D">
        <w:rPr>
          <w:color w:val="000000"/>
          <w:szCs w:val="24"/>
        </w:rPr>
        <w:t>à rendre compte de ses travaux a</w:t>
      </w:r>
      <w:r w:rsidR="00991D94">
        <w:rPr>
          <w:color w:val="000000"/>
          <w:szCs w:val="24"/>
        </w:rPr>
        <w:t>u conseil d’association</w:t>
      </w:r>
      <w:r w:rsidR="005D2887" w:rsidRPr="00446BB8">
        <w:rPr>
          <w:color w:val="000000"/>
          <w:szCs w:val="24"/>
        </w:rPr>
        <w:t>.</w:t>
      </w:r>
    </w:p>
    <w:p w:rsidR="005D2887" w:rsidRPr="00446BB8" w:rsidRDefault="005D2887" w:rsidP="006D6B9F">
      <w:pPr>
        <w:spacing w:before="0" w:after="0"/>
        <w:rPr>
          <w:color w:val="000000"/>
          <w:szCs w:val="24"/>
        </w:rPr>
      </w:pPr>
    </w:p>
    <w:p w:rsidR="00330E69" w:rsidRPr="00446BB8" w:rsidRDefault="00EC7E91" w:rsidP="00330E69">
      <w:pPr>
        <w:spacing w:after="0"/>
        <w:rPr>
          <w:color w:val="000000"/>
          <w:szCs w:val="24"/>
        </w:rPr>
      </w:pPr>
      <w:r>
        <w:rPr>
          <w:color w:val="000000"/>
          <w:szCs w:val="24"/>
        </w:rPr>
        <w:t xml:space="preserve">Le comité d’association parlementaire devrait </w:t>
      </w:r>
      <w:r w:rsidR="00E2094E">
        <w:rPr>
          <w:color w:val="000000"/>
          <w:szCs w:val="24"/>
        </w:rPr>
        <w:t>conserver</w:t>
      </w:r>
      <w:r>
        <w:rPr>
          <w:color w:val="000000"/>
          <w:szCs w:val="24"/>
        </w:rPr>
        <w:t xml:space="preserve"> son rôle et </w:t>
      </w:r>
      <w:r w:rsidR="00330E69" w:rsidRPr="00446BB8">
        <w:rPr>
          <w:color w:val="000000"/>
          <w:szCs w:val="24"/>
        </w:rPr>
        <w:t>constitue</w:t>
      </w:r>
      <w:r>
        <w:rPr>
          <w:color w:val="000000"/>
          <w:szCs w:val="24"/>
        </w:rPr>
        <w:t xml:space="preserve">r une enceinte de coopération interparlementaire </w:t>
      </w:r>
      <w:r w:rsidR="000D525C">
        <w:rPr>
          <w:color w:val="000000"/>
          <w:szCs w:val="24"/>
        </w:rPr>
        <w:t xml:space="preserve">pour </w:t>
      </w:r>
      <w:r w:rsidR="00E3222D">
        <w:rPr>
          <w:color w:val="000000"/>
          <w:szCs w:val="24"/>
        </w:rPr>
        <w:t>d</w:t>
      </w:r>
      <w:r w:rsidR="000D525C">
        <w:rPr>
          <w:color w:val="000000"/>
          <w:szCs w:val="24"/>
        </w:rPr>
        <w:t>es membres du Parlement européen et du Congrès national chilien</w:t>
      </w:r>
      <w:r w:rsidR="00330E69" w:rsidRPr="00446BB8">
        <w:rPr>
          <w:color w:val="000000"/>
          <w:szCs w:val="24"/>
        </w:rPr>
        <w:t>.</w:t>
      </w:r>
    </w:p>
    <w:p w:rsidR="00330E69" w:rsidRPr="00446BB8" w:rsidRDefault="00330E69" w:rsidP="006D6B9F">
      <w:pPr>
        <w:spacing w:before="0" w:after="0"/>
        <w:rPr>
          <w:color w:val="000000"/>
          <w:szCs w:val="24"/>
        </w:rPr>
      </w:pPr>
    </w:p>
    <w:p w:rsidR="00330E69" w:rsidRPr="00446BB8" w:rsidRDefault="00E56679" w:rsidP="00330E69">
      <w:pPr>
        <w:spacing w:after="0"/>
        <w:rPr>
          <w:color w:val="000000"/>
          <w:szCs w:val="24"/>
        </w:rPr>
      </w:pPr>
      <w:r>
        <w:rPr>
          <w:color w:val="000000"/>
          <w:szCs w:val="24"/>
        </w:rPr>
        <w:t>Le comité consultatif paritaire devrait être conservé afin de représenter le point de vue de la société civile et des partenaires sociaux dans la mise en œuvre du nouvel accord</w:t>
      </w:r>
      <w:r w:rsidR="00330E69" w:rsidRPr="00446BB8">
        <w:rPr>
          <w:color w:val="000000"/>
          <w:szCs w:val="24"/>
        </w:rPr>
        <w:t xml:space="preserve">.  </w:t>
      </w:r>
    </w:p>
    <w:p w:rsidR="00D24A2B" w:rsidRPr="00446BB8" w:rsidRDefault="00D24A2B" w:rsidP="006D6B9F">
      <w:pPr>
        <w:spacing w:before="0" w:after="0"/>
        <w:rPr>
          <w:b/>
          <w:color w:val="0000FF"/>
        </w:rPr>
      </w:pPr>
    </w:p>
    <w:p w:rsidR="00D24A2B" w:rsidRPr="00446BB8" w:rsidRDefault="00D24A2B" w:rsidP="006D6B9F">
      <w:pPr>
        <w:spacing w:before="0" w:after="0"/>
        <w:rPr>
          <w:color w:val="000000"/>
        </w:rPr>
      </w:pPr>
    </w:p>
    <w:p w:rsidR="00D24A2B" w:rsidRPr="00446BB8" w:rsidRDefault="00D24A2B" w:rsidP="00D24A2B">
      <w:pPr>
        <w:spacing w:after="0"/>
        <w:rPr>
          <w:b/>
          <w:smallCaps/>
          <w:color w:val="000000"/>
          <w:szCs w:val="24"/>
        </w:rPr>
      </w:pPr>
      <w:r w:rsidRPr="00446BB8">
        <w:rPr>
          <w:b/>
          <w:smallCaps/>
          <w:color w:val="000000"/>
          <w:szCs w:val="24"/>
        </w:rPr>
        <w:t xml:space="preserve">V. </w:t>
      </w:r>
      <w:r w:rsidR="00991D94">
        <w:rPr>
          <w:b/>
          <w:smallCaps/>
          <w:color w:val="000000"/>
          <w:szCs w:val="24"/>
          <w:u w:val="single"/>
        </w:rPr>
        <w:t>Dispositions générales et finales</w:t>
      </w:r>
    </w:p>
    <w:p w:rsidR="00D24A2B" w:rsidRPr="00446BB8" w:rsidRDefault="00D24A2B" w:rsidP="006D6B9F">
      <w:pPr>
        <w:spacing w:before="0" w:after="0"/>
        <w:rPr>
          <w:b/>
          <w:color w:val="1F497D"/>
          <w:szCs w:val="24"/>
        </w:rPr>
      </w:pPr>
    </w:p>
    <w:p w:rsidR="00D24A2B" w:rsidRPr="00C8611E" w:rsidRDefault="00991D94" w:rsidP="00D24A2B">
      <w:pPr>
        <w:spacing w:after="0"/>
        <w:rPr>
          <w:szCs w:val="24"/>
        </w:rPr>
      </w:pPr>
      <w:r>
        <w:rPr>
          <w:color w:val="000000"/>
          <w:szCs w:val="24"/>
        </w:rPr>
        <w:t xml:space="preserve">Nonobstant le mécanisme de règlement des différends pour le commerce et les questions </w:t>
      </w:r>
      <w:r w:rsidR="00EA714D">
        <w:rPr>
          <w:color w:val="000000"/>
          <w:szCs w:val="24"/>
        </w:rPr>
        <w:t xml:space="preserve">commerciales </w:t>
      </w:r>
      <w:r>
        <w:rPr>
          <w:color w:val="000000"/>
          <w:szCs w:val="24"/>
        </w:rPr>
        <w:t>connexes</w:t>
      </w:r>
      <w:r w:rsidR="00330E69" w:rsidRPr="00446BB8">
        <w:rPr>
          <w:color w:val="000000"/>
          <w:szCs w:val="24"/>
        </w:rPr>
        <w:t xml:space="preserve">, </w:t>
      </w:r>
      <w:r>
        <w:rPr>
          <w:color w:val="000000"/>
          <w:szCs w:val="24"/>
        </w:rPr>
        <w:t xml:space="preserve">l’accord devrait comporter des </w:t>
      </w:r>
      <w:r w:rsidRPr="00991D94">
        <w:rPr>
          <w:color w:val="000000"/>
          <w:szCs w:val="24"/>
        </w:rPr>
        <w:t>dispositions</w:t>
      </w:r>
      <w:r w:rsidR="00330E69" w:rsidRPr="00446BB8">
        <w:rPr>
          <w:color w:val="000000"/>
          <w:szCs w:val="24"/>
        </w:rPr>
        <w:t xml:space="preserve"> </w:t>
      </w:r>
      <w:r>
        <w:rPr>
          <w:color w:val="000000"/>
          <w:szCs w:val="24"/>
        </w:rPr>
        <w:t>concernant le non</w:t>
      </w:r>
      <w:r>
        <w:rPr>
          <w:color w:val="000000"/>
          <w:szCs w:val="24"/>
        </w:rPr>
        <w:noBreakHyphen/>
        <w:t>respect des obligations découlant de l’accord</w:t>
      </w:r>
      <w:r w:rsidR="00330E69" w:rsidRPr="00446BB8">
        <w:rPr>
          <w:color w:val="000000"/>
          <w:szCs w:val="24"/>
        </w:rPr>
        <w:t xml:space="preserve">, </w:t>
      </w:r>
      <w:r w:rsidR="00EA714D">
        <w:rPr>
          <w:color w:val="000000"/>
          <w:szCs w:val="24"/>
        </w:rPr>
        <w:t xml:space="preserve">notamment la </w:t>
      </w:r>
      <w:r w:rsidR="00330E69" w:rsidRPr="00446BB8">
        <w:rPr>
          <w:color w:val="000000"/>
          <w:szCs w:val="24"/>
        </w:rPr>
        <w:t>possibilit</w:t>
      </w:r>
      <w:r w:rsidR="00EA714D">
        <w:rPr>
          <w:color w:val="000000"/>
          <w:szCs w:val="24"/>
        </w:rPr>
        <w:t>é</w:t>
      </w:r>
      <w:r w:rsidR="00330E69" w:rsidRPr="00446BB8">
        <w:rPr>
          <w:color w:val="000000"/>
          <w:szCs w:val="24"/>
        </w:rPr>
        <w:t xml:space="preserve"> </w:t>
      </w:r>
      <w:r w:rsidR="00EA714D">
        <w:rPr>
          <w:color w:val="000000"/>
          <w:szCs w:val="24"/>
        </w:rPr>
        <w:t xml:space="preserve">de suspendre partiellement ou totalement </w:t>
      </w:r>
      <w:r w:rsidR="00E3222D">
        <w:rPr>
          <w:color w:val="000000"/>
          <w:szCs w:val="24"/>
        </w:rPr>
        <w:t>ses dispositions</w:t>
      </w:r>
      <w:r w:rsidR="00EA714D">
        <w:rPr>
          <w:color w:val="000000"/>
          <w:szCs w:val="24"/>
        </w:rPr>
        <w:t xml:space="preserve"> en cas de violation de ses éléments essentiels</w:t>
      </w:r>
      <w:r w:rsidR="00330E69" w:rsidRPr="00446BB8">
        <w:rPr>
          <w:color w:val="000000"/>
          <w:szCs w:val="24"/>
        </w:rPr>
        <w:t>.</w:t>
      </w:r>
      <w:r w:rsidR="00330E69" w:rsidRPr="00446BB8">
        <w:rPr>
          <w:szCs w:val="24"/>
        </w:rPr>
        <w:t xml:space="preserve"> </w:t>
      </w:r>
      <w:r w:rsidR="00EA714D">
        <w:rPr>
          <w:szCs w:val="24"/>
        </w:rPr>
        <w:t xml:space="preserve">Aucun </w:t>
      </w:r>
      <w:r w:rsidR="00E2094E">
        <w:rPr>
          <w:szCs w:val="24"/>
        </w:rPr>
        <w:t>élément</w:t>
      </w:r>
      <w:r w:rsidR="00EA714D">
        <w:rPr>
          <w:szCs w:val="24"/>
        </w:rPr>
        <w:t xml:space="preserve"> de cet accord ne devrait porter atteinte à la législation de l’UE concernant l’accès du public aux documents officiels</w:t>
      </w:r>
      <w:r w:rsidR="00330E69" w:rsidRPr="00446BB8">
        <w:rPr>
          <w:szCs w:val="24"/>
        </w:rPr>
        <w:t>.</w:t>
      </w:r>
    </w:p>
    <w:sectPr w:rsidR="00D24A2B" w:rsidRPr="00C8611E" w:rsidSect="005D172F">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657" w:rsidRDefault="00C73657" w:rsidP="00D24A2B">
      <w:pPr>
        <w:spacing w:before="0" w:after="0"/>
      </w:pPr>
      <w:r>
        <w:separator/>
      </w:r>
    </w:p>
  </w:endnote>
  <w:endnote w:type="continuationSeparator" w:id="0">
    <w:p w:rsidR="00C73657" w:rsidRDefault="00C73657" w:rsidP="00D24A2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72F" w:rsidRPr="005D172F" w:rsidRDefault="005D172F" w:rsidP="005D17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72F" w:rsidRDefault="005D172F" w:rsidP="005D172F">
    <w:pPr>
      <w:pStyle w:val="Footer"/>
      <w:rPr>
        <w:rFonts w:ascii="Arial" w:hAnsi="Arial" w:cs="Arial"/>
        <w:b/>
        <w:sz w:val="48"/>
      </w:rPr>
    </w:pPr>
    <w:r w:rsidRPr="005D172F">
      <w:rPr>
        <w:rFonts w:ascii="Arial" w:hAnsi="Arial" w:cs="Arial"/>
        <w:b/>
        <w:sz w:val="48"/>
      </w:rPr>
      <w:t>FR</w:t>
    </w:r>
    <w:r w:rsidRPr="005D172F">
      <w:rPr>
        <w:rFonts w:ascii="Arial" w:hAnsi="Arial" w:cs="Arial"/>
        <w:b/>
        <w:sz w:val="48"/>
      </w:rPr>
      <w:tab/>
    </w:r>
    <w:r w:rsidRPr="005D172F">
      <w:rPr>
        <w:rFonts w:ascii="Arial" w:hAnsi="Arial" w:cs="Arial"/>
        <w:b/>
        <w:sz w:val="48"/>
      </w:rPr>
      <w:tab/>
    </w:r>
    <w:r w:rsidRPr="005D172F">
      <w:tab/>
    </w:r>
    <w:proofErr w:type="spellStart"/>
    <w:r w:rsidRPr="005D172F">
      <w:rPr>
        <w:rFonts w:ascii="Arial" w:hAnsi="Arial" w:cs="Arial"/>
        <w:b/>
        <w:sz w:val="48"/>
      </w:rPr>
      <w:t>FR</w:t>
    </w:r>
    <w:proofErr w:type="spellEnd"/>
  </w:p>
  <w:p w:rsidR="00C8611E" w:rsidRPr="005D172F" w:rsidRDefault="005D172F" w:rsidP="005D172F">
    <w:pPr>
      <w:pStyle w:val="FooterSensitivity"/>
    </w:pPr>
    <w:fldSimple w:instr=" DOCVARIABLE &quot;LW_SENSITIVITY_FOOTER&quot; \* MERGEFORMAT ">
      <w:r w:rsidRPr="005D172F">
        <w:rPr>
          <w:dstrike/>
        </w:rPr>
        <w:t>RESTREINT UE/EU RESTRICTED</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72F" w:rsidRPr="005D172F" w:rsidRDefault="005D172F" w:rsidP="005D172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72F" w:rsidRDefault="005D172F" w:rsidP="005D172F">
    <w:pPr>
      <w:pStyle w:val="Footer"/>
      <w:rPr>
        <w:rFonts w:ascii="Arial" w:hAnsi="Arial" w:cs="Arial"/>
        <w:b/>
        <w:sz w:val="48"/>
      </w:rPr>
    </w:pPr>
    <w:r w:rsidRPr="005D172F">
      <w:rPr>
        <w:rFonts w:ascii="Arial" w:hAnsi="Arial" w:cs="Arial"/>
        <w:b/>
        <w:sz w:val="48"/>
      </w:rPr>
      <w:t>FR</w:t>
    </w:r>
    <w:r w:rsidRPr="005D172F">
      <w:rPr>
        <w:rFonts w:ascii="Arial" w:hAnsi="Arial" w:cs="Arial"/>
        <w:b/>
        <w:sz w:val="48"/>
      </w:rPr>
      <w:tab/>
    </w:r>
    <w:r>
      <w:fldChar w:fldCharType="begin"/>
    </w:r>
    <w:r>
      <w:instrText xml:space="preserve"> PAGE  \* MERGEFORMAT </w:instrText>
    </w:r>
    <w:r>
      <w:fldChar w:fldCharType="separate"/>
    </w:r>
    <w:r>
      <w:rPr>
        <w:noProof/>
      </w:rPr>
      <w:t>17</w:t>
    </w:r>
    <w:r>
      <w:fldChar w:fldCharType="end"/>
    </w:r>
    <w:r>
      <w:tab/>
    </w:r>
    <w:r w:rsidRPr="005D172F">
      <w:tab/>
    </w:r>
    <w:r w:rsidRPr="005D172F">
      <w:rPr>
        <w:rFonts w:ascii="Arial" w:hAnsi="Arial" w:cs="Arial"/>
        <w:b/>
        <w:sz w:val="48"/>
      </w:rPr>
      <w:t>FR</w:t>
    </w:r>
  </w:p>
  <w:p w:rsidR="005D172F" w:rsidRPr="005D172F" w:rsidRDefault="005D172F" w:rsidP="005D172F">
    <w:pPr>
      <w:pStyle w:val="FooterSensitivity"/>
    </w:pPr>
    <w:fldSimple w:instr=" DOCVARIABLE &quot;LW_SENSITIVITY_FOOTER&quot; \* MERGEFORMAT ">
      <w:r w:rsidRPr="005D172F">
        <w:rPr>
          <w:dstrike/>
        </w:rPr>
        <w:t>RESTREINT UE/EU RESTRICTED</w:t>
      </w:r>
    </w:fldSimple>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72F" w:rsidRPr="005D172F" w:rsidRDefault="005D172F" w:rsidP="005D17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657" w:rsidRDefault="00C73657" w:rsidP="00D24A2B">
      <w:pPr>
        <w:spacing w:before="0" w:after="0"/>
      </w:pPr>
      <w:r>
        <w:separator/>
      </w:r>
    </w:p>
  </w:footnote>
  <w:footnote w:type="continuationSeparator" w:id="0">
    <w:p w:rsidR="00C73657" w:rsidRDefault="00C73657" w:rsidP="00D24A2B">
      <w:pPr>
        <w:spacing w:before="0" w:after="0"/>
      </w:pPr>
      <w:r>
        <w:continuationSeparator/>
      </w:r>
    </w:p>
  </w:footnote>
  <w:footnote w:id="1">
    <w:p w:rsidR="00C73657" w:rsidRDefault="00C73657" w:rsidP="00330E69">
      <w:pPr>
        <w:pStyle w:val="FootnoteText"/>
      </w:pPr>
      <w:r w:rsidRPr="002D3E50">
        <w:rPr>
          <w:rStyle w:val="FootnoteReference"/>
        </w:rPr>
        <w:footnoteRef/>
      </w:r>
      <w:r>
        <w:tab/>
        <w:t>JO L 352 du 30.12.2002,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72F" w:rsidRPr="005D172F" w:rsidRDefault="005D172F" w:rsidP="005D17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11E" w:rsidRPr="005D172F" w:rsidRDefault="005D172F" w:rsidP="005D172F">
    <w:pPr>
      <w:pStyle w:val="HeaderSensitivity"/>
    </w:pPr>
    <w:fldSimple w:instr=" DOCVARIABLE &quot;LW_SENSITIVITY_HEADER&quot; \* MERGEFORMAT ">
      <w:r w:rsidRPr="005D172F">
        <w:rPr>
          <w:dstrike/>
        </w:rPr>
        <w:t>RESTREINT UE/EU RESTRICTED</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72F" w:rsidRPr="005D172F" w:rsidRDefault="005D172F" w:rsidP="005D17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29CE1C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3EAF98E"/>
    <w:lvl w:ilvl="0">
      <w:start w:val="1"/>
      <w:numFmt w:val="decimal"/>
      <w:pStyle w:val="ListNumber3"/>
      <w:lvlText w:val="%1."/>
      <w:lvlJc w:val="left"/>
      <w:pPr>
        <w:tabs>
          <w:tab w:val="num" w:pos="926"/>
        </w:tabs>
        <w:ind w:left="926" w:hanging="360"/>
      </w:pPr>
    </w:lvl>
  </w:abstractNum>
  <w:abstractNum w:abstractNumId="2">
    <w:nsid w:val="FFFFFF7F"/>
    <w:multiLevelType w:val="singleLevel"/>
    <w:tmpl w:val="A276317E"/>
    <w:lvl w:ilvl="0">
      <w:start w:val="1"/>
      <w:numFmt w:val="decimal"/>
      <w:pStyle w:val="ListNumber2"/>
      <w:lvlText w:val="%1."/>
      <w:lvlJc w:val="left"/>
      <w:pPr>
        <w:tabs>
          <w:tab w:val="num" w:pos="643"/>
        </w:tabs>
        <w:ind w:left="643" w:hanging="360"/>
      </w:pPr>
    </w:lvl>
  </w:abstractNum>
  <w:abstractNum w:abstractNumId="3">
    <w:nsid w:val="FFFFFF81"/>
    <w:multiLevelType w:val="singleLevel"/>
    <w:tmpl w:val="2A00A3E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B006B4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65CF05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F6CFDC4"/>
    <w:lvl w:ilvl="0">
      <w:start w:val="1"/>
      <w:numFmt w:val="decimal"/>
      <w:pStyle w:val="ListNumber"/>
      <w:lvlText w:val="%1."/>
      <w:lvlJc w:val="left"/>
      <w:pPr>
        <w:tabs>
          <w:tab w:val="num" w:pos="360"/>
        </w:tabs>
        <w:ind w:left="360" w:hanging="360"/>
      </w:pPr>
    </w:lvl>
  </w:abstractNum>
  <w:abstractNum w:abstractNumId="7">
    <w:nsid w:val="FFFFFF89"/>
    <w:multiLevelType w:val="singleLevel"/>
    <w:tmpl w:val="4A923C2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4"/>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4"/>
    <w:lvlOverride w:ilvl="0">
      <w:startOverride w:val="1"/>
    </w:lvlOverride>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defaultTabStop w:val="720"/>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05-03 15:45:24"/>
    <w:docVar w:name="DQCRepairStyles" w:val=";Disclaimer;Date d'adoption;Statut;Type du document;Date d'adoption (Page de couverture);Type du document (Page de couverture);"/>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48"/>
    <w:docVar w:name="DQCResult_UnknownFonts" w:val="0;0"/>
    <w:docVar w:name="DQCResult_UnknownStyles" w:val="0;0"/>
    <w:docVar w:name="DQCStatus" w:val="Yellow"/>
    <w:docVar w:name="DQCVersion" w:val="3"/>
    <w:docVar w:name="DQCWithWarnings" w:val="0"/>
    <w:docVar w:name="LW_ACCOMPAGNANT.CP" w:val="à la"/>
    <w:docVar w:name="LW_ANNEX_NBR_FIRST" w:val="1"/>
    <w:docVar w:name="LW_ANNEX_NBR_LAST" w:val="1"/>
    <w:docVar w:name="LW_CORRIGENDUM" w:val="&lt;UNUSED&gt;"/>
    <w:docVar w:name="LW_COVERPAGE_EXISTS" w:val="True"/>
    <w:docVar w:name="LW_COVERPAGE_GUID" w:val="AAB7D3BC-4C8B-469B-8F15-414EED7F5FE6"/>
    <w:docVar w:name="LW_COVERPAGE_TYPE" w:val="1"/>
    <w:docVar w:name="LW_CROSSREFERENCE" w:val="&lt;UNUSED&gt;"/>
    <w:docVar w:name="LW_DocType" w:val="ANNEX"/>
    <w:docVar w:name="LW_EMISSION" w:val="24.5.2017"/>
    <w:docVar w:name="LW_EMISSION_ISODATE" w:val="2017-05-24"/>
    <w:docVar w:name="LW_EMISSION_LOCATION" w:val="BRX"/>
    <w:docVar w:name="LW_EMISSION_PREFIX" w:val="Bruxelles, le "/>
    <w:docVar w:name="LW_EMISSION_SUFFIX" w:val=" "/>
    <w:docVar w:name="LW_ID_DOCSTRUCTURE" w:val="COM/ANNEX"/>
    <w:docVar w:name="LW_ID_DOCTYPE" w:val="SG-053"/>
    <w:docVar w:name="LW_LANGUE" w:val="FR"/>
    <w:docVar w:name="LW_LEVEL_OF_SENSITIVITY" w:val="EU RESTRICTED"/>
    <w:docVar w:name="LW_NOM.INST" w:val="COMMISSION EUROPÉENNE"/>
    <w:docVar w:name="LW_NOM.INST_JOINTDOC" w:val="LA HAUTE REPRÉSENTANTE DE _x000b_L'UNION EUROPÉENNE POUR_x000b_LES AFFAIRES ÉTRANGÈRES ET _x000b_LA POLITIQUE DE SÉCURITÉ "/>
    <w:docVar w:name="LW_OBJETACTEPRINCIPAL.CP" w:val="autorisant la Commission européenne et la haute représentante de l\u8217?Union européenne pour les affaires étrangères et la politique de sécurité à ouvrir des négociations et à négocier avec le Chili un accord d\u8217?association modernisé"/>
    <w:docVar w:name="LW_PART_NBR" w:val="1"/>
    <w:docVar w:name="LW_PART_NBR_TOTAL" w:val="1"/>
    <w:docVar w:name="LW_REF.INST.NEW" w:val="JOIN"/>
    <w:docVar w:name="LW_REF.INST.NEW_ADOPTED" w:val="final"/>
    <w:docVar w:name="LW_REF.INST.NEW_TEXT" w:val="(2017) 19"/>
    <w:docVar w:name="LW_REF.INTERNE" w:val="&lt;UNUSED&gt;"/>
    <w:docVar w:name="LW_SENSITIVITY" w:val="&lt;?xml version=&quot;1.0&quot; encoding=&quot;utf-8&quot;?&gt;_x000d__x000a_&lt;SensitivityLevel xmlns:xsi=&quot;http://www.w3.org/2001/XMLSchema-instance&quot; xmlns:xsd=&quot;http://www.w3.org/2001/XMLSchema&quot; id=&quot;eurestricted&quot;&gt;_x000d__x000a_  &lt;nicename EN=&quot;RESTREINT UE/EU RESTRICTED&quot; FR=&quot;RESTREINT UE/EU RESTRICTED&quot; /&gt;_x000d__x000a_  &lt;documentProperty&gt;EU RESTRICTED&lt;/documentProperty&gt;_x000d__x000a_  &lt;marking xsi:nil=&quot;true&quot; /&gt;_x000d__x000a_  &lt;limited xsi:nil=&quot;true&quot; /&gt;_x000d__x000a_  &lt;detached xsi:nil=&quot;true&quot; /&gt;_x000d__x000a_  &lt;declassify restrictedToSg=&quot;false&quot; showOnDocCreation=&quot;false&quot; introSee=&quot;DeclassIntro&quot;&gt;_x000d__x000a_    &lt;declassificationIntroText&gt;This document was downgraded/declassified&lt;/declassificationIntroText&gt;_x000d__x000a_    &lt;dateLabel&gt;Date&lt;/dateLabel&gt;_x000d__x000a_    &lt;date&gt;2018-01-25&lt;/date&gt;_x000d__x000a_    &lt;byLabel&gt;By&lt;/byLabel&gt;_x000d__x000a_    &lt;by&gt;Mr. Peter SANDLER&lt;/by&gt;_x000d__x000a_    &lt;authority&gt;DG TRADE&lt;/authority&gt;_x000d__x000a_    &lt;authorityLabel&gt;Authority&lt;/authorityLabel&gt;_x000d__x000a_  &lt;/declassify&gt;_x000d__x000a_  &lt;headerTexts see=&quot;EuRestricted&quot;&gt;_x000d__x000a_    &lt;currentText&gt;RESTREINT UE/EU RESTRICTED&lt;/currentText&gt;_x000d__x000a_  &lt;/headerTexts&gt;_x000d__x000a_  &lt;footerTexts see=&quot;EuRestricted&quot;&gt;_x000d__x000a_    &lt;currentText&gt;RESTREINT UE/EU RESTRICTED&lt;/currentText&gt;_x000d__x000a_  &lt;/footerTexts&gt;_x000d__x000a_  &lt;footnote xsi:nil=&quot;true&quot; /&gt;_x000d__x000a_  &lt;isRestricted&gt;true&lt;/isRestricted&gt;_x000d__x000a_&lt;/SensitivityLevel&gt;"/>
    <w:docVar w:name="LW_SENSITIVITY_FOOTER" w:val="RESTREINT UE/EU RESTRICTED"/>
    <w:docVar w:name="LW_SENSITIVITY_HEADER" w:val="RESTREINT UE/EU RESTRICTED"/>
    <w:docVar w:name="LW_SUPERTITRE" w:val="&lt;UNUSED&gt;"/>
    <w:docVar w:name="LW_TYPE.DOC.CP" w:val="ANNEXE"/>
    <w:docVar w:name="LW_TYPEACTEPRINCIPAL.CP" w:val="recommandation conjointe de décision du Conseil"/>
  </w:docVars>
  <w:rsids>
    <w:rsidRoot w:val="00D24A2B"/>
    <w:rsid w:val="000103B0"/>
    <w:rsid w:val="00010DCC"/>
    <w:rsid w:val="000110F2"/>
    <w:rsid w:val="000236AB"/>
    <w:rsid w:val="00030C49"/>
    <w:rsid w:val="00044678"/>
    <w:rsid w:val="00056BE8"/>
    <w:rsid w:val="00060035"/>
    <w:rsid w:val="00061203"/>
    <w:rsid w:val="00064631"/>
    <w:rsid w:val="00065992"/>
    <w:rsid w:val="0006726B"/>
    <w:rsid w:val="00086AC4"/>
    <w:rsid w:val="000B3843"/>
    <w:rsid w:val="000C3235"/>
    <w:rsid w:val="000C397B"/>
    <w:rsid w:val="000D525C"/>
    <w:rsid w:val="000F1043"/>
    <w:rsid w:val="0012431A"/>
    <w:rsid w:val="00144593"/>
    <w:rsid w:val="00151ABC"/>
    <w:rsid w:val="00167806"/>
    <w:rsid w:val="00171635"/>
    <w:rsid w:val="0018231B"/>
    <w:rsid w:val="00183186"/>
    <w:rsid w:val="001879CB"/>
    <w:rsid w:val="00190059"/>
    <w:rsid w:val="00197588"/>
    <w:rsid w:val="001C2CFA"/>
    <w:rsid w:val="001C2D8A"/>
    <w:rsid w:val="001D2EDA"/>
    <w:rsid w:val="001D3065"/>
    <w:rsid w:val="001D479B"/>
    <w:rsid w:val="001E3B12"/>
    <w:rsid w:val="001F11B3"/>
    <w:rsid w:val="001F14CD"/>
    <w:rsid w:val="001F470E"/>
    <w:rsid w:val="001F750E"/>
    <w:rsid w:val="00220705"/>
    <w:rsid w:val="002439CF"/>
    <w:rsid w:val="00267E67"/>
    <w:rsid w:val="00273192"/>
    <w:rsid w:val="00285219"/>
    <w:rsid w:val="002D0077"/>
    <w:rsid w:val="002D3E50"/>
    <w:rsid w:val="00307E5A"/>
    <w:rsid w:val="00311882"/>
    <w:rsid w:val="00326CBA"/>
    <w:rsid w:val="00330E69"/>
    <w:rsid w:val="003417D1"/>
    <w:rsid w:val="0034445E"/>
    <w:rsid w:val="0034699B"/>
    <w:rsid w:val="0034736B"/>
    <w:rsid w:val="0034758B"/>
    <w:rsid w:val="0035070C"/>
    <w:rsid w:val="00380503"/>
    <w:rsid w:val="00383D33"/>
    <w:rsid w:val="00386066"/>
    <w:rsid w:val="00396B47"/>
    <w:rsid w:val="003A127F"/>
    <w:rsid w:val="003B3E3B"/>
    <w:rsid w:val="003B62F8"/>
    <w:rsid w:val="003C33DE"/>
    <w:rsid w:val="003D2049"/>
    <w:rsid w:val="003D3E28"/>
    <w:rsid w:val="003E308A"/>
    <w:rsid w:val="003F3739"/>
    <w:rsid w:val="00402627"/>
    <w:rsid w:val="0042023F"/>
    <w:rsid w:val="0042026C"/>
    <w:rsid w:val="00420EF4"/>
    <w:rsid w:val="004211A2"/>
    <w:rsid w:val="00423D65"/>
    <w:rsid w:val="004278DA"/>
    <w:rsid w:val="0044424C"/>
    <w:rsid w:val="00446BB8"/>
    <w:rsid w:val="00453986"/>
    <w:rsid w:val="00467ADC"/>
    <w:rsid w:val="0047208D"/>
    <w:rsid w:val="00490EB3"/>
    <w:rsid w:val="004C0591"/>
    <w:rsid w:val="004D04ED"/>
    <w:rsid w:val="004D52C9"/>
    <w:rsid w:val="004E7D3E"/>
    <w:rsid w:val="004F3900"/>
    <w:rsid w:val="00515864"/>
    <w:rsid w:val="005212E5"/>
    <w:rsid w:val="0052184B"/>
    <w:rsid w:val="005313ED"/>
    <w:rsid w:val="00535F3A"/>
    <w:rsid w:val="005414EE"/>
    <w:rsid w:val="005423AC"/>
    <w:rsid w:val="00546DA5"/>
    <w:rsid w:val="00556AEC"/>
    <w:rsid w:val="005652D3"/>
    <w:rsid w:val="00566F4E"/>
    <w:rsid w:val="00576D80"/>
    <w:rsid w:val="005A1259"/>
    <w:rsid w:val="005B720A"/>
    <w:rsid w:val="005C553C"/>
    <w:rsid w:val="005D15A4"/>
    <w:rsid w:val="005D172F"/>
    <w:rsid w:val="005D2887"/>
    <w:rsid w:val="005D51FA"/>
    <w:rsid w:val="005E5BEE"/>
    <w:rsid w:val="005E6DFD"/>
    <w:rsid w:val="00613BB9"/>
    <w:rsid w:val="006416A2"/>
    <w:rsid w:val="00642C44"/>
    <w:rsid w:val="00644E8B"/>
    <w:rsid w:val="006535F6"/>
    <w:rsid w:val="006542FB"/>
    <w:rsid w:val="00660FCA"/>
    <w:rsid w:val="0066109F"/>
    <w:rsid w:val="00662707"/>
    <w:rsid w:val="00664FC6"/>
    <w:rsid w:val="006729B0"/>
    <w:rsid w:val="00673AE6"/>
    <w:rsid w:val="00677D17"/>
    <w:rsid w:val="006958E2"/>
    <w:rsid w:val="0069663A"/>
    <w:rsid w:val="006B311C"/>
    <w:rsid w:val="006C14FE"/>
    <w:rsid w:val="006D6B9F"/>
    <w:rsid w:val="00706B4D"/>
    <w:rsid w:val="00722D8C"/>
    <w:rsid w:val="00726262"/>
    <w:rsid w:val="007316FB"/>
    <w:rsid w:val="007320C5"/>
    <w:rsid w:val="0075469F"/>
    <w:rsid w:val="0075503A"/>
    <w:rsid w:val="007604F9"/>
    <w:rsid w:val="0076260B"/>
    <w:rsid w:val="0076668B"/>
    <w:rsid w:val="00773438"/>
    <w:rsid w:val="00773A31"/>
    <w:rsid w:val="00781818"/>
    <w:rsid w:val="00782E96"/>
    <w:rsid w:val="007A2193"/>
    <w:rsid w:val="007A6BA7"/>
    <w:rsid w:val="007C082F"/>
    <w:rsid w:val="007C3684"/>
    <w:rsid w:val="007D1C25"/>
    <w:rsid w:val="007D1E97"/>
    <w:rsid w:val="007E14E7"/>
    <w:rsid w:val="007F6EFF"/>
    <w:rsid w:val="00800682"/>
    <w:rsid w:val="00822163"/>
    <w:rsid w:val="008249D4"/>
    <w:rsid w:val="008260A3"/>
    <w:rsid w:val="00835112"/>
    <w:rsid w:val="0084328E"/>
    <w:rsid w:val="00872CB7"/>
    <w:rsid w:val="0087388D"/>
    <w:rsid w:val="0087654D"/>
    <w:rsid w:val="00876ECF"/>
    <w:rsid w:val="00884A56"/>
    <w:rsid w:val="008A65B6"/>
    <w:rsid w:val="008C6095"/>
    <w:rsid w:val="008D07AD"/>
    <w:rsid w:val="008D08B1"/>
    <w:rsid w:val="008D2FF0"/>
    <w:rsid w:val="008D3A81"/>
    <w:rsid w:val="008D5AD4"/>
    <w:rsid w:val="008D62EA"/>
    <w:rsid w:val="008D62F5"/>
    <w:rsid w:val="008E0747"/>
    <w:rsid w:val="008E6132"/>
    <w:rsid w:val="008F6149"/>
    <w:rsid w:val="008F7A41"/>
    <w:rsid w:val="00921731"/>
    <w:rsid w:val="00945F9A"/>
    <w:rsid w:val="00947021"/>
    <w:rsid w:val="009507F7"/>
    <w:rsid w:val="009538F2"/>
    <w:rsid w:val="00957C7A"/>
    <w:rsid w:val="009662E0"/>
    <w:rsid w:val="009758FF"/>
    <w:rsid w:val="00984F03"/>
    <w:rsid w:val="00986414"/>
    <w:rsid w:val="00991D94"/>
    <w:rsid w:val="009A2659"/>
    <w:rsid w:val="009A4D7A"/>
    <w:rsid w:val="009A5D0B"/>
    <w:rsid w:val="009B1EF8"/>
    <w:rsid w:val="009B2B35"/>
    <w:rsid w:val="009C5061"/>
    <w:rsid w:val="009D02BF"/>
    <w:rsid w:val="009D02DE"/>
    <w:rsid w:val="009E5D84"/>
    <w:rsid w:val="009E6C8F"/>
    <w:rsid w:val="009F014B"/>
    <w:rsid w:val="00A121FA"/>
    <w:rsid w:val="00A215DD"/>
    <w:rsid w:val="00A2429C"/>
    <w:rsid w:val="00A27139"/>
    <w:rsid w:val="00A55C84"/>
    <w:rsid w:val="00A6419F"/>
    <w:rsid w:val="00A91A40"/>
    <w:rsid w:val="00AD30B0"/>
    <w:rsid w:val="00AF1CAF"/>
    <w:rsid w:val="00AF341D"/>
    <w:rsid w:val="00AF4E51"/>
    <w:rsid w:val="00AF5616"/>
    <w:rsid w:val="00B04DCA"/>
    <w:rsid w:val="00B0678A"/>
    <w:rsid w:val="00B067D9"/>
    <w:rsid w:val="00B1083C"/>
    <w:rsid w:val="00B279BB"/>
    <w:rsid w:val="00B35B55"/>
    <w:rsid w:val="00B44CFD"/>
    <w:rsid w:val="00B551C0"/>
    <w:rsid w:val="00B60FD6"/>
    <w:rsid w:val="00B65FDE"/>
    <w:rsid w:val="00B70B3C"/>
    <w:rsid w:val="00B743AD"/>
    <w:rsid w:val="00B7500D"/>
    <w:rsid w:val="00B85C12"/>
    <w:rsid w:val="00B8708C"/>
    <w:rsid w:val="00B909D5"/>
    <w:rsid w:val="00B967F7"/>
    <w:rsid w:val="00BE4F7A"/>
    <w:rsid w:val="00BF496A"/>
    <w:rsid w:val="00C0403C"/>
    <w:rsid w:val="00C07E78"/>
    <w:rsid w:val="00C1019B"/>
    <w:rsid w:val="00C14278"/>
    <w:rsid w:val="00C1681E"/>
    <w:rsid w:val="00C2110B"/>
    <w:rsid w:val="00C477A5"/>
    <w:rsid w:val="00C47AB5"/>
    <w:rsid w:val="00C672D1"/>
    <w:rsid w:val="00C73657"/>
    <w:rsid w:val="00C835F3"/>
    <w:rsid w:val="00C8395A"/>
    <w:rsid w:val="00C85304"/>
    <w:rsid w:val="00C8611E"/>
    <w:rsid w:val="00CA4772"/>
    <w:rsid w:val="00CA7857"/>
    <w:rsid w:val="00CB5870"/>
    <w:rsid w:val="00CD422F"/>
    <w:rsid w:val="00CE2F6E"/>
    <w:rsid w:val="00D10694"/>
    <w:rsid w:val="00D15932"/>
    <w:rsid w:val="00D2481A"/>
    <w:rsid w:val="00D24A2B"/>
    <w:rsid w:val="00D352DD"/>
    <w:rsid w:val="00D431AD"/>
    <w:rsid w:val="00D502A4"/>
    <w:rsid w:val="00D5141B"/>
    <w:rsid w:val="00D56A62"/>
    <w:rsid w:val="00D57B84"/>
    <w:rsid w:val="00D65E94"/>
    <w:rsid w:val="00D83F02"/>
    <w:rsid w:val="00D95165"/>
    <w:rsid w:val="00DA63A0"/>
    <w:rsid w:val="00DA7C70"/>
    <w:rsid w:val="00DB02C9"/>
    <w:rsid w:val="00DB554A"/>
    <w:rsid w:val="00E072D6"/>
    <w:rsid w:val="00E10F1E"/>
    <w:rsid w:val="00E2094E"/>
    <w:rsid w:val="00E3222D"/>
    <w:rsid w:val="00E361FF"/>
    <w:rsid w:val="00E42D6D"/>
    <w:rsid w:val="00E56679"/>
    <w:rsid w:val="00E578A4"/>
    <w:rsid w:val="00E77F75"/>
    <w:rsid w:val="00E84C34"/>
    <w:rsid w:val="00EA714D"/>
    <w:rsid w:val="00EB512E"/>
    <w:rsid w:val="00EC0B57"/>
    <w:rsid w:val="00EC56C2"/>
    <w:rsid w:val="00EC7E91"/>
    <w:rsid w:val="00EF2672"/>
    <w:rsid w:val="00F06A7B"/>
    <w:rsid w:val="00F13043"/>
    <w:rsid w:val="00F14F38"/>
    <w:rsid w:val="00F20A5F"/>
    <w:rsid w:val="00F36DED"/>
    <w:rsid w:val="00F4060F"/>
    <w:rsid w:val="00F421DB"/>
    <w:rsid w:val="00F52E4B"/>
    <w:rsid w:val="00F606EF"/>
    <w:rsid w:val="00F62BE4"/>
    <w:rsid w:val="00F659EB"/>
    <w:rsid w:val="00F66744"/>
    <w:rsid w:val="00F67C60"/>
    <w:rsid w:val="00F7586B"/>
    <w:rsid w:val="00F87183"/>
    <w:rsid w:val="00F97549"/>
    <w:rsid w:val="00FA09BB"/>
    <w:rsid w:val="00FB76E3"/>
    <w:rsid w:val="00FC2175"/>
    <w:rsid w:val="00FC247E"/>
    <w:rsid w:val="00FE119D"/>
    <w:rsid w:val="00FF2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lang w:val="fr-FR"/>
    </w:rPr>
  </w:style>
  <w:style w:type="paragraph" w:styleId="Heading1">
    <w:name w:val="heading 1"/>
    <w:basedOn w:val="Normal"/>
    <w:next w:val="Text1"/>
    <w:link w:val="Heading1Char"/>
    <w:uiPriority w:val="9"/>
    <w:qFormat/>
    <w:rsid w:val="0075503A"/>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5503A"/>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5503A"/>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rsid w:val="0075503A"/>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4A2B"/>
    <w:pPr>
      <w:spacing w:before="0" w:after="200" w:line="276" w:lineRule="auto"/>
      <w:ind w:left="720"/>
      <w:contextualSpacing/>
      <w:jc w:val="left"/>
    </w:pPr>
    <w:rPr>
      <w:rFonts w:ascii="Calibri" w:hAnsi="Calibri"/>
      <w:sz w:val="22"/>
    </w:rPr>
  </w:style>
  <w:style w:type="paragraph" w:styleId="Caption">
    <w:name w:val="caption"/>
    <w:basedOn w:val="Normal"/>
    <w:next w:val="Normal"/>
    <w:uiPriority w:val="35"/>
    <w:semiHidden/>
    <w:unhideWhenUsed/>
    <w:qFormat/>
    <w:rsid w:val="00D10694"/>
    <w:rPr>
      <w:b/>
      <w:bCs/>
      <w:sz w:val="20"/>
      <w:szCs w:val="20"/>
    </w:rPr>
  </w:style>
  <w:style w:type="paragraph" w:styleId="TableofFigures">
    <w:name w:val="table of figures"/>
    <w:basedOn w:val="Normal"/>
    <w:next w:val="Normal"/>
    <w:uiPriority w:val="99"/>
    <w:semiHidden/>
    <w:unhideWhenUsed/>
    <w:rsid w:val="00D10694"/>
  </w:style>
  <w:style w:type="paragraph" w:styleId="ListBullet">
    <w:name w:val="List Bullet"/>
    <w:basedOn w:val="Normal"/>
    <w:uiPriority w:val="99"/>
    <w:semiHidden/>
    <w:unhideWhenUsed/>
    <w:rsid w:val="00D10694"/>
    <w:pPr>
      <w:numPr>
        <w:numId w:val="1"/>
      </w:numPr>
      <w:contextualSpacing/>
    </w:pPr>
  </w:style>
  <w:style w:type="paragraph" w:styleId="ListBullet2">
    <w:name w:val="List Bullet 2"/>
    <w:basedOn w:val="Normal"/>
    <w:uiPriority w:val="99"/>
    <w:semiHidden/>
    <w:unhideWhenUsed/>
    <w:rsid w:val="00D10694"/>
    <w:pPr>
      <w:numPr>
        <w:numId w:val="2"/>
      </w:numPr>
      <w:contextualSpacing/>
    </w:pPr>
  </w:style>
  <w:style w:type="paragraph" w:styleId="ListBullet3">
    <w:name w:val="List Bullet 3"/>
    <w:basedOn w:val="Normal"/>
    <w:uiPriority w:val="99"/>
    <w:semiHidden/>
    <w:unhideWhenUsed/>
    <w:rsid w:val="00D10694"/>
    <w:pPr>
      <w:numPr>
        <w:numId w:val="3"/>
      </w:numPr>
      <w:contextualSpacing/>
    </w:pPr>
  </w:style>
  <w:style w:type="paragraph" w:styleId="ListBullet4">
    <w:name w:val="List Bullet 4"/>
    <w:basedOn w:val="Normal"/>
    <w:uiPriority w:val="99"/>
    <w:semiHidden/>
    <w:unhideWhenUsed/>
    <w:rsid w:val="00D10694"/>
    <w:pPr>
      <w:numPr>
        <w:numId w:val="4"/>
      </w:numPr>
      <w:contextualSpacing/>
    </w:pPr>
  </w:style>
  <w:style w:type="paragraph" w:styleId="ListNumber">
    <w:name w:val="List Number"/>
    <w:basedOn w:val="Normal"/>
    <w:uiPriority w:val="99"/>
    <w:semiHidden/>
    <w:unhideWhenUsed/>
    <w:rsid w:val="00D10694"/>
    <w:pPr>
      <w:numPr>
        <w:numId w:val="5"/>
      </w:numPr>
      <w:contextualSpacing/>
    </w:pPr>
  </w:style>
  <w:style w:type="paragraph" w:styleId="ListNumber2">
    <w:name w:val="List Number 2"/>
    <w:basedOn w:val="Normal"/>
    <w:uiPriority w:val="99"/>
    <w:semiHidden/>
    <w:unhideWhenUsed/>
    <w:rsid w:val="00D10694"/>
    <w:pPr>
      <w:numPr>
        <w:numId w:val="6"/>
      </w:numPr>
      <w:contextualSpacing/>
    </w:pPr>
  </w:style>
  <w:style w:type="paragraph" w:styleId="ListNumber3">
    <w:name w:val="List Number 3"/>
    <w:basedOn w:val="Normal"/>
    <w:uiPriority w:val="99"/>
    <w:semiHidden/>
    <w:unhideWhenUsed/>
    <w:rsid w:val="00D10694"/>
    <w:pPr>
      <w:numPr>
        <w:numId w:val="7"/>
      </w:numPr>
      <w:contextualSpacing/>
    </w:pPr>
  </w:style>
  <w:style w:type="paragraph" w:styleId="ListNumber4">
    <w:name w:val="List Number 4"/>
    <w:basedOn w:val="Normal"/>
    <w:uiPriority w:val="99"/>
    <w:semiHidden/>
    <w:unhideWhenUsed/>
    <w:rsid w:val="00D10694"/>
    <w:pPr>
      <w:numPr>
        <w:numId w:val="8"/>
      </w:numPr>
      <w:contextualSpacing/>
    </w:pPr>
  </w:style>
  <w:style w:type="character" w:styleId="CommentReference">
    <w:name w:val="annotation reference"/>
    <w:uiPriority w:val="99"/>
    <w:semiHidden/>
    <w:unhideWhenUsed/>
    <w:rsid w:val="008D62F5"/>
    <w:rPr>
      <w:sz w:val="16"/>
      <w:szCs w:val="16"/>
    </w:rPr>
  </w:style>
  <w:style w:type="paragraph" w:styleId="CommentText">
    <w:name w:val="annotation text"/>
    <w:basedOn w:val="Normal"/>
    <w:link w:val="CommentTextChar"/>
    <w:uiPriority w:val="99"/>
    <w:semiHidden/>
    <w:unhideWhenUsed/>
    <w:rsid w:val="008D62F5"/>
    <w:rPr>
      <w:sz w:val="20"/>
      <w:szCs w:val="20"/>
    </w:rPr>
  </w:style>
  <w:style w:type="character" w:customStyle="1" w:styleId="CommentTextChar">
    <w:name w:val="Comment Text Char"/>
    <w:link w:val="CommentText"/>
    <w:uiPriority w:val="99"/>
    <w:semiHidden/>
    <w:rsid w:val="008D62F5"/>
    <w:rPr>
      <w:rFonts w:ascii="Times New Roman"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8D62F5"/>
    <w:rPr>
      <w:b/>
      <w:bCs/>
    </w:rPr>
  </w:style>
  <w:style w:type="character" w:customStyle="1" w:styleId="CommentSubjectChar">
    <w:name w:val="Comment Subject Char"/>
    <w:link w:val="CommentSubject"/>
    <w:uiPriority w:val="99"/>
    <w:semiHidden/>
    <w:rsid w:val="008D62F5"/>
    <w:rPr>
      <w:rFonts w:ascii="Times New Roman" w:hAnsi="Times New Roman"/>
      <w:b/>
      <w:bCs/>
      <w:sz w:val="20"/>
      <w:szCs w:val="20"/>
      <w:lang w:val="en-GB"/>
    </w:rPr>
  </w:style>
  <w:style w:type="character" w:styleId="Hyperlink">
    <w:name w:val="Hyperlink"/>
    <w:uiPriority w:val="99"/>
    <w:unhideWhenUsed/>
    <w:rsid w:val="008D62F5"/>
    <w:rPr>
      <w:color w:val="0000FF"/>
      <w:u w:val="single"/>
    </w:rPr>
  </w:style>
  <w:style w:type="paragraph" w:styleId="BalloonText">
    <w:name w:val="Balloon Text"/>
    <w:basedOn w:val="Normal"/>
    <w:link w:val="BalloonTextChar"/>
    <w:uiPriority w:val="99"/>
    <w:semiHidden/>
    <w:unhideWhenUsed/>
    <w:rsid w:val="008D62F5"/>
    <w:pPr>
      <w:spacing w:before="0" w:after="0"/>
    </w:pPr>
    <w:rPr>
      <w:rFonts w:ascii="Tahoma" w:hAnsi="Tahoma" w:cs="Tahoma"/>
      <w:sz w:val="16"/>
      <w:szCs w:val="16"/>
    </w:rPr>
  </w:style>
  <w:style w:type="character" w:customStyle="1" w:styleId="BalloonTextChar">
    <w:name w:val="Balloon Text Char"/>
    <w:link w:val="BalloonText"/>
    <w:uiPriority w:val="99"/>
    <w:semiHidden/>
    <w:rsid w:val="008D62F5"/>
    <w:rPr>
      <w:rFonts w:ascii="Tahoma" w:hAnsi="Tahoma" w:cs="Tahoma"/>
      <w:sz w:val="16"/>
      <w:szCs w:val="16"/>
      <w:lang w:val="en-GB"/>
    </w:rPr>
  </w:style>
  <w:style w:type="paragraph" w:styleId="Header">
    <w:name w:val="header"/>
    <w:basedOn w:val="Normal"/>
    <w:link w:val="HeaderChar"/>
    <w:uiPriority w:val="99"/>
    <w:unhideWhenUsed/>
    <w:rsid w:val="00C8611E"/>
    <w:pPr>
      <w:tabs>
        <w:tab w:val="center" w:pos="4535"/>
        <w:tab w:val="right" w:pos="9071"/>
      </w:tabs>
      <w:spacing w:before="0"/>
    </w:pPr>
    <w:rPr>
      <w:rFonts w:eastAsiaTheme="minorHAnsi"/>
    </w:rPr>
  </w:style>
  <w:style w:type="character" w:customStyle="1" w:styleId="HeaderChar">
    <w:name w:val="Header Char"/>
    <w:basedOn w:val="DefaultParagraphFont"/>
    <w:link w:val="Header"/>
    <w:uiPriority w:val="99"/>
    <w:rsid w:val="00C8611E"/>
    <w:rPr>
      <w:rFonts w:ascii="Times New Roman" w:eastAsiaTheme="minorHAnsi" w:hAnsi="Times New Roman"/>
      <w:sz w:val="24"/>
      <w:lang w:val="fr-FR"/>
    </w:rPr>
  </w:style>
  <w:style w:type="paragraph" w:styleId="Footer">
    <w:name w:val="footer"/>
    <w:basedOn w:val="Normal"/>
    <w:link w:val="FooterChar"/>
    <w:uiPriority w:val="99"/>
    <w:unhideWhenUsed/>
    <w:rsid w:val="00C8611E"/>
    <w:pPr>
      <w:tabs>
        <w:tab w:val="center" w:pos="4535"/>
        <w:tab w:val="right" w:pos="9071"/>
        <w:tab w:val="right" w:pos="9921"/>
      </w:tabs>
      <w:spacing w:before="360" w:after="0"/>
      <w:ind w:left="-850" w:right="-850"/>
      <w:jc w:val="left"/>
    </w:pPr>
    <w:rPr>
      <w:rFonts w:eastAsiaTheme="minorHAnsi"/>
    </w:rPr>
  </w:style>
  <w:style w:type="character" w:customStyle="1" w:styleId="FooterChar">
    <w:name w:val="Footer Char"/>
    <w:basedOn w:val="DefaultParagraphFont"/>
    <w:link w:val="Footer"/>
    <w:uiPriority w:val="99"/>
    <w:rsid w:val="00C8611E"/>
    <w:rPr>
      <w:rFonts w:ascii="Times New Roman" w:eastAsiaTheme="minorHAnsi" w:hAnsi="Times New Roman"/>
      <w:sz w:val="24"/>
      <w:lang w:val="fr-FR"/>
    </w:rPr>
  </w:style>
  <w:style w:type="paragraph" w:styleId="FootnoteText">
    <w:name w:val="footnote text"/>
    <w:basedOn w:val="Normal"/>
    <w:link w:val="FootnoteTextChar"/>
    <w:uiPriority w:val="99"/>
    <w:semiHidden/>
    <w:unhideWhenUsed/>
    <w:rsid w:val="0075503A"/>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5503A"/>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5503A"/>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75503A"/>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75503A"/>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75503A"/>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75503A"/>
    <w:pPr>
      <w:spacing w:after="240"/>
      <w:jc w:val="center"/>
    </w:pPr>
    <w:rPr>
      <w:b/>
      <w:sz w:val="28"/>
    </w:rPr>
  </w:style>
  <w:style w:type="paragraph" w:styleId="TOC1">
    <w:name w:val="toc 1"/>
    <w:basedOn w:val="Normal"/>
    <w:next w:val="Normal"/>
    <w:uiPriority w:val="39"/>
    <w:semiHidden/>
    <w:unhideWhenUsed/>
    <w:rsid w:val="0075503A"/>
    <w:pPr>
      <w:tabs>
        <w:tab w:val="right" w:leader="dot" w:pos="9071"/>
      </w:tabs>
      <w:spacing w:before="60"/>
      <w:ind w:left="850" w:hanging="850"/>
      <w:jc w:val="left"/>
    </w:pPr>
  </w:style>
  <w:style w:type="paragraph" w:styleId="TOC2">
    <w:name w:val="toc 2"/>
    <w:basedOn w:val="Normal"/>
    <w:next w:val="Normal"/>
    <w:uiPriority w:val="39"/>
    <w:semiHidden/>
    <w:unhideWhenUsed/>
    <w:rsid w:val="0075503A"/>
    <w:pPr>
      <w:tabs>
        <w:tab w:val="right" w:leader="dot" w:pos="9071"/>
      </w:tabs>
      <w:spacing w:before="60"/>
      <w:ind w:left="850" w:hanging="850"/>
      <w:jc w:val="left"/>
    </w:pPr>
  </w:style>
  <w:style w:type="paragraph" w:styleId="TOC3">
    <w:name w:val="toc 3"/>
    <w:basedOn w:val="Normal"/>
    <w:next w:val="Normal"/>
    <w:uiPriority w:val="39"/>
    <w:semiHidden/>
    <w:unhideWhenUsed/>
    <w:rsid w:val="0075503A"/>
    <w:pPr>
      <w:tabs>
        <w:tab w:val="right" w:leader="dot" w:pos="9071"/>
      </w:tabs>
      <w:spacing w:before="60"/>
      <w:ind w:left="850" w:hanging="850"/>
      <w:jc w:val="left"/>
    </w:pPr>
  </w:style>
  <w:style w:type="paragraph" w:styleId="TOC4">
    <w:name w:val="toc 4"/>
    <w:basedOn w:val="Normal"/>
    <w:next w:val="Normal"/>
    <w:uiPriority w:val="39"/>
    <w:semiHidden/>
    <w:unhideWhenUsed/>
    <w:rsid w:val="0075503A"/>
    <w:pPr>
      <w:tabs>
        <w:tab w:val="right" w:leader="dot" w:pos="9071"/>
      </w:tabs>
      <w:spacing w:before="60"/>
      <w:ind w:left="850" w:hanging="850"/>
      <w:jc w:val="left"/>
    </w:pPr>
  </w:style>
  <w:style w:type="paragraph" w:styleId="TOC5">
    <w:name w:val="toc 5"/>
    <w:basedOn w:val="Normal"/>
    <w:next w:val="Normal"/>
    <w:uiPriority w:val="39"/>
    <w:semiHidden/>
    <w:unhideWhenUsed/>
    <w:rsid w:val="0075503A"/>
    <w:pPr>
      <w:tabs>
        <w:tab w:val="right" w:leader="dot" w:pos="9071"/>
      </w:tabs>
      <w:spacing w:before="300"/>
      <w:jc w:val="left"/>
    </w:pPr>
  </w:style>
  <w:style w:type="paragraph" w:styleId="TOC6">
    <w:name w:val="toc 6"/>
    <w:basedOn w:val="Normal"/>
    <w:next w:val="Normal"/>
    <w:uiPriority w:val="39"/>
    <w:semiHidden/>
    <w:unhideWhenUsed/>
    <w:rsid w:val="0075503A"/>
    <w:pPr>
      <w:tabs>
        <w:tab w:val="right" w:leader="dot" w:pos="9071"/>
      </w:tabs>
      <w:spacing w:before="240"/>
      <w:jc w:val="left"/>
    </w:pPr>
  </w:style>
  <w:style w:type="paragraph" w:styleId="TOC7">
    <w:name w:val="toc 7"/>
    <w:basedOn w:val="Normal"/>
    <w:next w:val="Normal"/>
    <w:uiPriority w:val="39"/>
    <w:semiHidden/>
    <w:unhideWhenUsed/>
    <w:rsid w:val="0075503A"/>
    <w:pPr>
      <w:tabs>
        <w:tab w:val="right" w:leader="dot" w:pos="9071"/>
      </w:tabs>
      <w:spacing w:before="180"/>
      <w:jc w:val="left"/>
    </w:pPr>
  </w:style>
  <w:style w:type="paragraph" w:styleId="TOC8">
    <w:name w:val="toc 8"/>
    <w:basedOn w:val="Normal"/>
    <w:next w:val="Normal"/>
    <w:uiPriority w:val="39"/>
    <w:semiHidden/>
    <w:unhideWhenUsed/>
    <w:rsid w:val="0075503A"/>
    <w:pPr>
      <w:tabs>
        <w:tab w:val="right" w:leader="dot" w:pos="9071"/>
      </w:tabs>
      <w:jc w:val="left"/>
    </w:pPr>
  </w:style>
  <w:style w:type="paragraph" w:styleId="TOC9">
    <w:name w:val="toc 9"/>
    <w:basedOn w:val="Normal"/>
    <w:next w:val="Normal"/>
    <w:uiPriority w:val="39"/>
    <w:semiHidden/>
    <w:unhideWhenUsed/>
    <w:rsid w:val="0075503A"/>
    <w:pPr>
      <w:tabs>
        <w:tab w:val="right" w:leader="dot" w:pos="9071"/>
      </w:tabs>
    </w:pPr>
  </w:style>
  <w:style w:type="paragraph" w:customStyle="1" w:styleId="HeaderLandscape">
    <w:name w:val="HeaderLandscape"/>
    <w:basedOn w:val="Normal"/>
    <w:rsid w:val="00C8611E"/>
    <w:pPr>
      <w:tabs>
        <w:tab w:val="center" w:pos="7285"/>
        <w:tab w:val="right" w:pos="14003"/>
      </w:tabs>
      <w:spacing w:before="0"/>
    </w:pPr>
    <w:rPr>
      <w:rFonts w:eastAsiaTheme="minorHAnsi"/>
    </w:rPr>
  </w:style>
  <w:style w:type="paragraph" w:customStyle="1" w:styleId="FooterLandscape">
    <w:name w:val="FooterLandscape"/>
    <w:basedOn w:val="Normal"/>
    <w:rsid w:val="00C8611E"/>
    <w:pPr>
      <w:tabs>
        <w:tab w:val="center" w:pos="7285"/>
        <w:tab w:val="center" w:pos="10913"/>
        <w:tab w:val="right" w:pos="15137"/>
      </w:tabs>
      <w:spacing w:before="360" w:after="0"/>
      <w:ind w:left="-567" w:right="-567"/>
      <w:jc w:val="left"/>
    </w:pPr>
    <w:rPr>
      <w:rFonts w:eastAsiaTheme="minorHAnsi"/>
    </w:rPr>
  </w:style>
  <w:style w:type="character" w:styleId="FootnoteReference">
    <w:name w:val="footnote reference"/>
    <w:basedOn w:val="DefaultParagraphFont"/>
    <w:uiPriority w:val="99"/>
    <w:semiHidden/>
    <w:unhideWhenUsed/>
    <w:rsid w:val="0075503A"/>
    <w:rPr>
      <w:shd w:val="clear" w:color="auto" w:fill="auto"/>
      <w:vertAlign w:val="superscript"/>
    </w:rPr>
  </w:style>
  <w:style w:type="paragraph" w:customStyle="1" w:styleId="Text1">
    <w:name w:val="Text 1"/>
    <w:basedOn w:val="Normal"/>
    <w:rsid w:val="0075503A"/>
    <w:pPr>
      <w:ind w:left="850"/>
    </w:pPr>
  </w:style>
  <w:style w:type="paragraph" w:customStyle="1" w:styleId="Text2">
    <w:name w:val="Text 2"/>
    <w:basedOn w:val="Normal"/>
    <w:rsid w:val="0075503A"/>
    <w:pPr>
      <w:ind w:left="1417"/>
    </w:pPr>
  </w:style>
  <w:style w:type="paragraph" w:customStyle="1" w:styleId="Text3">
    <w:name w:val="Text 3"/>
    <w:basedOn w:val="Normal"/>
    <w:rsid w:val="0075503A"/>
    <w:pPr>
      <w:ind w:left="1984"/>
    </w:pPr>
  </w:style>
  <w:style w:type="paragraph" w:customStyle="1" w:styleId="Text4">
    <w:name w:val="Text 4"/>
    <w:basedOn w:val="Normal"/>
    <w:rsid w:val="0075503A"/>
    <w:pPr>
      <w:ind w:left="2551"/>
    </w:pPr>
  </w:style>
  <w:style w:type="paragraph" w:customStyle="1" w:styleId="NormalCentered">
    <w:name w:val="Normal Centered"/>
    <w:basedOn w:val="Normal"/>
    <w:rsid w:val="0075503A"/>
    <w:pPr>
      <w:jc w:val="center"/>
    </w:pPr>
  </w:style>
  <w:style w:type="paragraph" w:customStyle="1" w:styleId="NormalLeft">
    <w:name w:val="Normal Left"/>
    <w:basedOn w:val="Normal"/>
    <w:rsid w:val="0075503A"/>
    <w:pPr>
      <w:jc w:val="left"/>
    </w:pPr>
  </w:style>
  <w:style w:type="paragraph" w:customStyle="1" w:styleId="NormalRight">
    <w:name w:val="Normal Right"/>
    <w:basedOn w:val="Normal"/>
    <w:rsid w:val="0075503A"/>
    <w:pPr>
      <w:jc w:val="right"/>
    </w:pPr>
  </w:style>
  <w:style w:type="paragraph" w:customStyle="1" w:styleId="QuotedText">
    <w:name w:val="Quoted Text"/>
    <w:basedOn w:val="Normal"/>
    <w:rsid w:val="0075503A"/>
    <w:pPr>
      <w:ind w:left="1417"/>
    </w:pPr>
  </w:style>
  <w:style w:type="paragraph" w:customStyle="1" w:styleId="Point0">
    <w:name w:val="Point 0"/>
    <w:basedOn w:val="Normal"/>
    <w:rsid w:val="0075503A"/>
    <w:pPr>
      <w:ind w:left="850" w:hanging="850"/>
    </w:pPr>
  </w:style>
  <w:style w:type="paragraph" w:customStyle="1" w:styleId="Point1">
    <w:name w:val="Point 1"/>
    <w:basedOn w:val="Normal"/>
    <w:rsid w:val="0075503A"/>
    <w:pPr>
      <w:ind w:left="1417" w:hanging="567"/>
    </w:pPr>
  </w:style>
  <w:style w:type="paragraph" w:customStyle="1" w:styleId="Point2">
    <w:name w:val="Point 2"/>
    <w:basedOn w:val="Normal"/>
    <w:rsid w:val="0075503A"/>
    <w:pPr>
      <w:ind w:left="1984" w:hanging="567"/>
    </w:pPr>
  </w:style>
  <w:style w:type="paragraph" w:customStyle="1" w:styleId="Point3">
    <w:name w:val="Point 3"/>
    <w:basedOn w:val="Normal"/>
    <w:rsid w:val="0075503A"/>
    <w:pPr>
      <w:ind w:left="2551" w:hanging="567"/>
    </w:pPr>
  </w:style>
  <w:style w:type="paragraph" w:customStyle="1" w:styleId="Point4">
    <w:name w:val="Point 4"/>
    <w:basedOn w:val="Normal"/>
    <w:rsid w:val="0075503A"/>
    <w:pPr>
      <w:ind w:left="3118" w:hanging="567"/>
    </w:pPr>
  </w:style>
  <w:style w:type="paragraph" w:customStyle="1" w:styleId="Tiret0">
    <w:name w:val="Tiret 0"/>
    <w:basedOn w:val="Point0"/>
    <w:rsid w:val="0075503A"/>
    <w:pPr>
      <w:numPr>
        <w:numId w:val="25"/>
      </w:numPr>
    </w:pPr>
  </w:style>
  <w:style w:type="paragraph" w:customStyle="1" w:styleId="Tiret1">
    <w:name w:val="Tiret 1"/>
    <w:basedOn w:val="Point1"/>
    <w:rsid w:val="0075503A"/>
    <w:pPr>
      <w:numPr>
        <w:numId w:val="26"/>
      </w:numPr>
    </w:pPr>
  </w:style>
  <w:style w:type="paragraph" w:customStyle="1" w:styleId="Tiret2">
    <w:name w:val="Tiret 2"/>
    <w:basedOn w:val="Point2"/>
    <w:rsid w:val="0075503A"/>
    <w:pPr>
      <w:numPr>
        <w:numId w:val="27"/>
      </w:numPr>
    </w:pPr>
  </w:style>
  <w:style w:type="paragraph" w:customStyle="1" w:styleId="Tiret3">
    <w:name w:val="Tiret 3"/>
    <w:basedOn w:val="Point3"/>
    <w:rsid w:val="0075503A"/>
    <w:pPr>
      <w:numPr>
        <w:numId w:val="28"/>
      </w:numPr>
    </w:pPr>
  </w:style>
  <w:style w:type="paragraph" w:customStyle="1" w:styleId="Tiret4">
    <w:name w:val="Tiret 4"/>
    <w:basedOn w:val="Point4"/>
    <w:rsid w:val="0075503A"/>
    <w:pPr>
      <w:numPr>
        <w:numId w:val="29"/>
      </w:numPr>
    </w:pPr>
  </w:style>
  <w:style w:type="paragraph" w:customStyle="1" w:styleId="PointDouble0">
    <w:name w:val="PointDouble 0"/>
    <w:basedOn w:val="Normal"/>
    <w:rsid w:val="0075503A"/>
    <w:pPr>
      <w:tabs>
        <w:tab w:val="left" w:pos="850"/>
      </w:tabs>
      <w:ind w:left="1417" w:hanging="1417"/>
    </w:pPr>
  </w:style>
  <w:style w:type="paragraph" w:customStyle="1" w:styleId="PointDouble1">
    <w:name w:val="PointDouble 1"/>
    <w:basedOn w:val="Normal"/>
    <w:rsid w:val="0075503A"/>
    <w:pPr>
      <w:tabs>
        <w:tab w:val="left" w:pos="1417"/>
      </w:tabs>
      <w:ind w:left="1984" w:hanging="1134"/>
    </w:pPr>
  </w:style>
  <w:style w:type="paragraph" w:customStyle="1" w:styleId="PointDouble2">
    <w:name w:val="PointDouble 2"/>
    <w:basedOn w:val="Normal"/>
    <w:rsid w:val="0075503A"/>
    <w:pPr>
      <w:tabs>
        <w:tab w:val="left" w:pos="1984"/>
      </w:tabs>
      <w:ind w:left="2551" w:hanging="1134"/>
    </w:pPr>
  </w:style>
  <w:style w:type="paragraph" w:customStyle="1" w:styleId="PointDouble3">
    <w:name w:val="PointDouble 3"/>
    <w:basedOn w:val="Normal"/>
    <w:rsid w:val="0075503A"/>
    <w:pPr>
      <w:tabs>
        <w:tab w:val="left" w:pos="2551"/>
      </w:tabs>
      <w:ind w:left="3118" w:hanging="1134"/>
    </w:pPr>
  </w:style>
  <w:style w:type="paragraph" w:customStyle="1" w:styleId="PointDouble4">
    <w:name w:val="PointDouble 4"/>
    <w:basedOn w:val="Normal"/>
    <w:rsid w:val="0075503A"/>
    <w:pPr>
      <w:tabs>
        <w:tab w:val="left" w:pos="3118"/>
      </w:tabs>
      <w:ind w:left="3685" w:hanging="1134"/>
    </w:pPr>
  </w:style>
  <w:style w:type="paragraph" w:customStyle="1" w:styleId="PointTriple0">
    <w:name w:val="PointTriple 0"/>
    <w:basedOn w:val="Normal"/>
    <w:rsid w:val="0075503A"/>
    <w:pPr>
      <w:tabs>
        <w:tab w:val="left" w:pos="850"/>
        <w:tab w:val="left" w:pos="1417"/>
      </w:tabs>
      <w:ind w:left="1984" w:hanging="1984"/>
    </w:pPr>
  </w:style>
  <w:style w:type="paragraph" w:customStyle="1" w:styleId="PointTriple1">
    <w:name w:val="PointTriple 1"/>
    <w:basedOn w:val="Normal"/>
    <w:rsid w:val="0075503A"/>
    <w:pPr>
      <w:tabs>
        <w:tab w:val="left" w:pos="1417"/>
        <w:tab w:val="left" w:pos="1984"/>
      </w:tabs>
      <w:ind w:left="2551" w:hanging="1701"/>
    </w:pPr>
  </w:style>
  <w:style w:type="paragraph" w:customStyle="1" w:styleId="PointTriple2">
    <w:name w:val="PointTriple 2"/>
    <w:basedOn w:val="Normal"/>
    <w:rsid w:val="0075503A"/>
    <w:pPr>
      <w:tabs>
        <w:tab w:val="left" w:pos="1984"/>
        <w:tab w:val="left" w:pos="2551"/>
      </w:tabs>
      <w:ind w:left="3118" w:hanging="1701"/>
    </w:pPr>
  </w:style>
  <w:style w:type="paragraph" w:customStyle="1" w:styleId="PointTriple3">
    <w:name w:val="PointTriple 3"/>
    <w:basedOn w:val="Normal"/>
    <w:rsid w:val="0075503A"/>
    <w:pPr>
      <w:tabs>
        <w:tab w:val="left" w:pos="2551"/>
        <w:tab w:val="left" w:pos="3118"/>
      </w:tabs>
      <w:ind w:left="3685" w:hanging="1701"/>
    </w:pPr>
  </w:style>
  <w:style w:type="paragraph" w:customStyle="1" w:styleId="PointTriple4">
    <w:name w:val="PointTriple 4"/>
    <w:basedOn w:val="Normal"/>
    <w:rsid w:val="0075503A"/>
    <w:pPr>
      <w:tabs>
        <w:tab w:val="left" w:pos="3118"/>
        <w:tab w:val="left" w:pos="3685"/>
      </w:tabs>
      <w:ind w:left="4252" w:hanging="1701"/>
    </w:pPr>
  </w:style>
  <w:style w:type="paragraph" w:customStyle="1" w:styleId="NumPar1">
    <w:name w:val="NumPar 1"/>
    <w:basedOn w:val="Normal"/>
    <w:next w:val="Text1"/>
    <w:rsid w:val="0075503A"/>
    <w:pPr>
      <w:numPr>
        <w:numId w:val="30"/>
      </w:numPr>
    </w:pPr>
  </w:style>
  <w:style w:type="paragraph" w:customStyle="1" w:styleId="NumPar2">
    <w:name w:val="NumPar 2"/>
    <w:basedOn w:val="Normal"/>
    <w:next w:val="Text1"/>
    <w:rsid w:val="0075503A"/>
    <w:pPr>
      <w:numPr>
        <w:ilvl w:val="1"/>
        <w:numId w:val="30"/>
      </w:numPr>
    </w:pPr>
  </w:style>
  <w:style w:type="paragraph" w:customStyle="1" w:styleId="NumPar3">
    <w:name w:val="NumPar 3"/>
    <w:basedOn w:val="Normal"/>
    <w:next w:val="Text1"/>
    <w:rsid w:val="0075503A"/>
    <w:pPr>
      <w:numPr>
        <w:ilvl w:val="2"/>
        <w:numId w:val="30"/>
      </w:numPr>
    </w:pPr>
  </w:style>
  <w:style w:type="paragraph" w:customStyle="1" w:styleId="NumPar4">
    <w:name w:val="NumPar 4"/>
    <w:basedOn w:val="Normal"/>
    <w:next w:val="Text1"/>
    <w:rsid w:val="0075503A"/>
    <w:pPr>
      <w:numPr>
        <w:ilvl w:val="3"/>
        <w:numId w:val="30"/>
      </w:numPr>
    </w:pPr>
  </w:style>
  <w:style w:type="paragraph" w:customStyle="1" w:styleId="ManualNumPar1">
    <w:name w:val="Manual NumPar 1"/>
    <w:basedOn w:val="Normal"/>
    <w:next w:val="Text1"/>
    <w:rsid w:val="0075503A"/>
    <w:pPr>
      <w:ind w:left="850" w:hanging="850"/>
    </w:pPr>
  </w:style>
  <w:style w:type="paragraph" w:customStyle="1" w:styleId="ManualNumPar2">
    <w:name w:val="Manual NumPar 2"/>
    <w:basedOn w:val="Normal"/>
    <w:next w:val="Text1"/>
    <w:rsid w:val="0075503A"/>
    <w:pPr>
      <w:ind w:left="850" w:hanging="850"/>
    </w:pPr>
  </w:style>
  <w:style w:type="paragraph" w:customStyle="1" w:styleId="ManualNumPar3">
    <w:name w:val="Manual NumPar 3"/>
    <w:basedOn w:val="Normal"/>
    <w:next w:val="Text1"/>
    <w:rsid w:val="0075503A"/>
    <w:pPr>
      <w:ind w:left="850" w:hanging="850"/>
    </w:pPr>
  </w:style>
  <w:style w:type="paragraph" w:customStyle="1" w:styleId="ManualNumPar4">
    <w:name w:val="Manual NumPar 4"/>
    <w:basedOn w:val="Normal"/>
    <w:next w:val="Text1"/>
    <w:rsid w:val="0075503A"/>
    <w:pPr>
      <w:ind w:left="850" w:hanging="850"/>
    </w:pPr>
  </w:style>
  <w:style w:type="paragraph" w:customStyle="1" w:styleId="QuotedNumPar">
    <w:name w:val="Quoted NumPar"/>
    <w:basedOn w:val="Normal"/>
    <w:rsid w:val="0075503A"/>
    <w:pPr>
      <w:ind w:left="1417" w:hanging="567"/>
    </w:pPr>
  </w:style>
  <w:style w:type="paragraph" w:customStyle="1" w:styleId="ManualHeading1">
    <w:name w:val="Manual Heading 1"/>
    <w:basedOn w:val="Normal"/>
    <w:next w:val="Text1"/>
    <w:rsid w:val="0075503A"/>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5503A"/>
    <w:pPr>
      <w:keepNext/>
      <w:tabs>
        <w:tab w:val="left" w:pos="850"/>
      </w:tabs>
      <w:ind w:left="850" w:hanging="850"/>
      <w:outlineLvl w:val="1"/>
    </w:pPr>
    <w:rPr>
      <w:b/>
    </w:rPr>
  </w:style>
  <w:style w:type="paragraph" w:customStyle="1" w:styleId="ManualHeading3">
    <w:name w:val="Manual Heading 3"/>
    <w:basedOn w:val="Normal"/>
    <w:next w:val="Text1"/>
    <w:rsid w:val="0075503A"/>
    <w:pPr>
      <w:keepNext/>
      <w:tabs>
        <w:tab w:val="left" w:pos="850"/>
      </w:tabs>
      <w:ind w:left="850" w:hanging="850"/>
      <w:outlineLvl w:val="2"/>
    </w:pPr>
    <w:rPr>
      <w:i/>
    </w:rPr>
  </w:style>
  <w:style w:type="paragraph" w:customStyle="1" w:styleId="ManualHeading4">
    <w:name w:val="Manual Heading 4"/>
    <w:basedOn w:val="Normal"/>
    <w:next w:val="Text1"/>
    <w:rsid w:val="0075503A"/>
    <w:pPr>
      <w:keepNext/>
      <w:tabs>
        <w:tab w:val="left" w:pos="850"/>
      </w:tabs>
      <w:ind w:left="850" w:hanging="850"/>
      <w:outlineLvl w:val="3"/>
    </w:pPr>
  </w:style>
  <w:style w:type="paragraph" w:customStyle="1" w:styleId="ChapterTitle">
    <w:name w:val="ChapterTitle"/>
    <w:basedOn w:val="Normal"/>
    <w:next w:val="Normal"/>
    <w:rsid w:val="0075503A"/>
    <w:pPr>
      <w:keepNext/>
      <w:spacing w:after="360"/>
      <w:jc w:val="center"/>
    </w:pPr>
    <w:rPr>
      <w:b/>
      <w:sz w:val="32"/>
    </w:rPr>
  </w:style>
  <w:style w:type="paragraph" w:customStyle="1" w:styleId="PartTitle">
    <w:name w:val="PartTitle"/>
    <w:basedOn w:val="Normal"/>
    <w:next w:val="ChapterTitle"/>
    <w:rsid w:val="0075503A"/>
    <w:pPr>
      <w:keepNext/>
      <w:pageBreakBefore/>
      <w:spacing w:after="360"/>
      <w:jc w:val="center"/>
    </w:pPr>
    <w:rPr>
      <w:b/>
      <w:sz w:val="36"/>
    </w:rPr>
  </w:style>
  <w:style w:type="paragraph" w:customStyle="1" w:styleId="SectionTitle">
    <w:name w:val="SectionTitle"/>
    <w:basedOn w:val="Normal"/>
    <w:next w:val="Heading1"/>
    <w:rsid w:val="0075503A"/>
    <w:pPr>
      <w:keepNext/>
      <w:spacing w:after="360"/>
      <w:jc w:val="center"/>
    </w:pPr>
    <w:rPr>
      <w:b/>
      <w:smallCaps/>
      <w:sz w:val="28"/>
    </w:rPr>
  </w:style>
  <w:style w:type="paragraph" w:customStyle="1" w:styleId="TableTitle">
    <w:name w:val="Table Title"/>
    <w:basedOn w:val="Normal"/>
    <w:next w:val="Normal"/>
    <w:rsid w:val="0075503A"/>
    <w:pPr>
      <w:jc w:val="center"/>
    </w:pPr>
    <w:rPr>
      <w:b/>
    </w:rPr>
  </w:style>
  <w:style w:type="character" w:customStyle="1" w:styleId="Marker">
    <w:name w:val="Marker"/>
    <w:basedOn w:val="DefaultParagraphFont"/>
    <w:rsid w:val="0075503A"/>
    <w:rPr>
      <w:color w:val="0000FF"/>
      <w:shd w:val="clear" w:color="auto" w:fill="auto"/>
    </w:rPr>
  </w:style>
  <w:style w:type="character" w:customStyle="1" w:styleId="Marker1">
    <w:name w:val="Marker1"/>
    <w:basedOn w:val="DefaultParagraphFont"/>
    <w:rsid w:val="0075503A"/>
    <w:rPr>
      <w:color w:val="008000"/>
      <w:shd w:val="clear" w:color="auto" w:fill="auto"/>
    </w:rPr>
  </w:style>
  <w:style w:type="character" w:customStyle="1" w:styleId="Marker2">
    <w:name w:val="Marker2"/>
    <w:basedOn w:val="DefaultParagraphFont"/>
    <w:rsid w:val="0075503A"/>
    <w:rPr>
      <w:color w:val="FF0000"/>
      <w:shd w:val="clear" w:color="auto" w:fill="auto"/>
    </w:rPr>
  </w:style>
  <w:style w:type="paragraph" w:customStyle="1" w:styleId="Point0number">
    <w:name w:val="Point 0 (number)"/>
    <w:basedOn w:val="Normal"/>
    <w:rsid w:val="0075503A"/>
    <w:pPr>
      <w:numPr>
        <w:numId w:val="32"/>
      </w:numPr>
    </w:pPr>
  </w:style>
  <w:style w:type="paragraph" w:customStyle="1" w:styleId="Point1number">
    <w:name w:val="Point 1 (number)"/>
    <w:basedOn w:val="Normal"/>
    <w:rsid w:val="0075503A"/>
    <w:pPr>
      <w:numPr>
        <w:ilvl w:val="2"/>
        <w:numId w:val="32"/>
      </w:numPr>
    </w:pPr>
  </w:style>
  <w:style w:type="paragraph" w:customStyle="1" w:styleId="Point2number">
    <w:name w:val="Point 2 (number)"/>
    <w:basedOn w:val="Normal"/>
    <w:rsid w:val="0075503A"/>
    <w:pPr>
      <w:numPr>
        <w:ilvl w:val="4"/>
        <w:numId w:val="32"/>
      </w:numPr>
    </w:pPr>
  </w:style>
  <w:style w:type="paragraph" w:customStyle="1" w:styleId="Point3number">
    <w:name w:val="Point 3 (number)"/>
    <w:basedOn w:val="Normal"/>
    <w:rsid w:val="0075503A"/>
    <w:pPr>
      <w:numPr>
        <w:ilvl w:val="6"/>
        <w:numId w:val="32"/>
      </w:numPr>
    </w:pPr>
  </w:style>
  <w:style w:type="paragraph" w:customStyle="1" w:styleId="Point0letter">
    <w:name w:val="Point 0 (letter)"/>
    <w:basedOn w:val="Normal"/>
    <w:rsid w:val="0075503A"/>
    <w:pPr>
      <w:numPr>
        <w:ilvl w:val="1"/>
        <w:numId w:val="32"/>
      </w:numPr>
    </w:pPr>
  </w:style>
  <w:style w:type="paragraph" w:customStyle="1" w:styleId="Point1letter">
    <w:name w:val="Point 1 (letter)"/>
    <w:basedOn w:val="Normal"/>
    <w:rsid w:val="0075503A"/>
    <w:pPr>
      <w:numPr>
        <w:ilvl w:val="3"/>
        <w:numId w:val="32"/>
      </w:numPr>
    </w:pPr>
  </w:style>
  <w:style w:type="paragraph" w:customStyle="1" w:styleId="Point2letter">
    <w:name w:val="Point 2 (letter)"/>
    <w:basedOn w:val="Normal"/>
    <w:rsid w:val="0075503A"/>
    <w:pPr>
      <w:numPr>
        <w:ilvl w:val="5"/>
        <w:numId w:val="32"/>
      </w:numPr>
    </w:pPr>
  </w:style>
  <w:style w:type="paragraph" w:customStyle="1" w:styleId="Point3letter">
    <w:name w:val="Point 3 (letter)"/>
    <w:basedOn w:val="Normal"/>
    <w:rsid w:val="0075503A"/>
    <w:pPr>
      <w:numPr>
        <w:ilvl w:val="7"/>
        <w:numId w:val="32"/>
      </w:numPr>
    </w:pPr>
  </w:style>
  <w:style w:type="paragraph" w:customStyle="1" w:styleId="Point4letter">
    <w:name w:val="Point 4 (letter)"/>
    <w:basedOn w:val="Normal"/>
    <w:rsid w:val="0075503A"/>
    <w:pPr>
      <w:numPr>
        <w:ilvl w:val="8"/>
        <w:numId w:val="32"/>
      </w:numPr>
    </w:pPr>
  </w:style>
  <w:style w:type="paragraph" w:customStyle="1" w:styleId="Bullet0">
    <w:name w:val="Bullet 0"/>
    <w:basedOn w:val="Normal"/>
    <w:rsid w:val="0075503A"/>
    <w:pPr>
      <w:numPr>
        <w:numId w:val="33"/>
      </w:numPr>
    </w:pPr>
  </w:style>
  <w:style w:type="paragraph" w:customStyle="1" w:styleId="Bullet1">
    <w:name w:val="Bullet 1"/>
    <w:basedOn w:val="Normal"/>
    <w:rsid w:val="0075503A"/>
    <w:pPr>
      <w:numPr>
        <w:numId w:val="34"/>
      </w:numPr>
    </w:pPr>
  </w:style>
  <w:style w:type="paragraph" w:customStyle="1" w:styleId="Bullet2">
    <w:name w:val="Bullet 2"/>
    <w:basedOn w:val="Normal"/>
    <w:rsid w:val="0075503A"/>
    <w:pPr>
      <w:numPr>
        <w:numId w:val="35"/>
      </w:numPr>
    </w:pPr>
  </w:style>
  <w:style w:type="paragraph" w:customStyle="1" w:styleId="Bullet3">
    <w:name w:val="Bullet 3"/>
    <w:basedOn w:val="Normal"/>
    <w:rsid w:val="0075503A"/>
    <w:pPr>
      <w:numPr>
        <w:numId w:val="36"/>
      </w:numPr>
    </w:pPr>
  </w:style>
  <w:style w:type="paragraph" w:customStyle="1" w:styleId="Bullet4">
    <w:name w:val="Bullet 4"/>
    <w:basedOn w:val="Normal"/>
    <w:rsid w:val="0075503A"/>
    <w:pPr>
      <w:numPr>
        <w:numId w:val="37"/>
      </w:numPr>
    </w:pPr>
  </w:style>
  <w:style w:type="paragraph" w:customStyle="1" w:styleId="Annexetitreexpos">
    <w:name w:val="Annexe titre (exposé)"/>
    <w:basedOn w:val="Normal"/>
    <w:next w:val="Normal"/>
    <w:rsid w:val="0075503A"/>
    <w:pPr>
      <w:jc w:val="center"/>
    </w:pPr>
    <w:rPr>
      <w:b/>
      <w:u w:val="single"/>
    </w:rPr>
  </w:style>
  <w:style w:type="paragraph" w:customStyle="1" w:styleId="Annexetitre">
    <w:name w:val="Annexe titre"/>
    <w:basedOn w:val="Normal"/>
    <w:next w:val="Normal"/>
    <w:rsid w:val="0075503A"/>
    <w:pPr>
      <w:jc w:val="center"/>
    </w:pPr>
    <w:rPr>
      <w:b/>
      <w:u w:val="single"/>
    </w:rPr>
  </w:style>
  <w:style w:type="paragraph" w:customStyle="1" w:styleId="Annexetitrefichefinancire">
    <w:name w:val="Annexe titre (fiche financière)"/>
    <w:basedOn w:val="Normal"/>
    <w:next w:val="Normal"/>
    <w:rsid w:val="0075503A"/>
    <w:pPr>
      <w:jc w:val="center"/>
    </w:pPr>
    <w:rPr>
      <w:b/>
      <w:u w:val="single"/>
    </w:rPr>
  </w:style>
  <w:style w:type="paragraph" w:customStyle="1" w:styleId="Applicationdirecte">
    <w:name w:val="Application directe"/>
    <w:basedOn w:val="Normal"/>
    <w:next w:val="Fait"/>
    <w:rsid w:val="0075503A"/>
    <w:pPr>
      <w:spacing w:before="480"/>
    </w:pPr>
  </w:style>
  <w:style w:type="paragraph" w:customStyle="1" w:styleId="Avertissementtitre">
    <w:name w:val="Avertissement titre"/>
    <w:basedOn w:val="Normal"/>
    <w:next w:val="Normal"/>
    <w:rsid w:val="0075503A"/>
    <w:pPr>
      <w:keepNext/>
      <w:spacing w:before="480"/>
    </w:pPr>
    <w:rPr>
      <w:u w:val="single"/>
    </w:rPr>
  </w:style>
  <w:style w:type="paragraph" w:customStyle="1" w:styleId="Confidence">
    <w:name w:val="Confidence"/>
    <w:basedOn w:val="Normal"/>
    <w:next w:val="Normal"/>
    <w:rsid w:val="0075503A"/>
    <w:pPr>
      <w:spacing w:before="360"/>
      <w:jc w:val="center"/>
    </w:pPr>
  </w:style>
  <w:style w:type="paragraph" w:customStyle="1" w:styleId="Confidentialit">
    <w:name w:val="Confidentialité"/>
    <w:basedOn w:val="Normal"/>
    <w:next w:val="TypedudocumentPagedecouverture"/>
    <w:rsid w:val="0075503A"/>
    <w:pPr>
      <w:spacing w:before="240" w:after="240"/>
      <w:ind w:left="5103"/>
      <w:jc w:val="left"/>
    </w:pPr>
    <w:rPr>
      <w:i/>
      <w:sz w:val="32"/>
    </w:rPr>
  </w:style>
  <w:style w:type="paragraph" w:customStyle="1" w:styleId="Considrant">
    <w:name w:val="Considérant"/>
    <w:basedOn w:val="Normal"/>
    <w:rsid w:val="0075503A"/>
    <w:pPr>
      <w:numPr>
        <w:numId w:val="38"/>
      </w:numPr>
    </w:pPr>
  </w:style>
  <w:style w:type="paragraph" w:customStyle="1" w:styleId="Corrigendum">
    <w:name w:val="Corrigendum"/>
    <w:basedOn w:val="Normal"/>
    <w:next w:val="Normal"/>
    <w:rsid w:val="0075503A"/>
    <w:pPr>
      <w:spacing w:before="0" w:after="240"/>
      <w:jc w:val="left"/>
    </w:pPr>
  </w:style>
  <w:style w:type="paragraph" w:customStyle="1" w:styleId="Datedadoption">
    <w:name w:val="Date d'adoption"/>
    <w:basedOn w:val="Normal"/>
    <w:next w:val="Titreobjet"/>
    <w:rsid w:val="0075503A"/>
    <w:pPr>
      <w:spacing w:before="360" w:after="0"/>
      <w:jc w:val="center"/>
    </w:pPr>
    <w:rPr>
      <w:b/>
    </w:rPr>
  </w:style>
  <w:style w:type="paragraph" w:customStyle="1" w:styleId="Emission">
    <w:name w:val="Emission"/>
    <w:basedOn w:val="Normal"/>
    <w:next w:val="Rfrenceinstitutionnelle"/>
    <w:rsid w:val="0075503A"/>
    <w:pPr>
      <w:spacing w:before="0" w:after="0"/>
      <w:ind w:left="5103"/>
      <w:jc w:val="left"/>
    </w:pPr>
  </w:style>
  <w:style w:type="paragraph" w:customStyle="1" w:styleId="Exposdesmotifstitre">
    <w:name w:val="Exposé des motifs titre"/>
    <w:basedOn w:val="Normal"/>
    <w:next w:val="Normal"/>
    <w:rsid w:val="0075503A"/>
    <w:pPr>
      <w:jc w:val="center"/>
    </w:pPr>
    <w:rPr>
      <w:b/>
      <w:u w:val="single"/>
    </w:rPr>
  </w:style>
  <w:style w:type="paragraph" w:customStyle="1" w:styleId="Fait">
    <w:name w:val="Fait à"/>
    <w:basedOn w:val="Normal"/>
    <w:next w:val="Institutionquisigne"/>
    <w:rsid w:val="0075503A"/>
    <w:pPr>
      <w:keepNext/>
      <w:spacing w:after="0"/>
    </w:pPr>
  </w:style>
  <w:style w:type="paragraph" w:customStyle="1" w:styleId="Formuledadoption">
    <w:name w:val="Formule d'adoption"/>
    <w:basedOn w:val="Normal"/>
    <w:next w:val="Titrearticle"/>
    <w:rsid w:val="0075503A"/>
    <w:pPr>
      <w:keepNext/>
    </w:pPr>
  </w:style>
  <w:style w:type="paragraph" w:customStyle="1" w:styleId="Institutionquiagit">
    <w:name w:val="Institution qui agit"/>
    <w:basedOn w:val="Normal"/>
    <w:next w:val="Normal"/>
    <w:rsid w:val="0075503A"/>
    <w:pPr>
      <w:keepNext/>
      <w:spacing w:before="600"/>
    </w:pPr>
  </w:style>
  <w:style w:type="paragraph" w:customStyle="1" w:styleId="Institutionquisigne">
    <w:name w:val="Institution qui signe"/>
    <w:basedOn w:val="Normal"/>
    <w:next w:val="Personnequisigne"/>
    <w:rsid w:val="0075503A"/>
    <w:pPr>
      <w:keepNext/>
      <w:tabs>
        <w:tab w:val="left" w:pos="4252"/>
      </w:tabs>
      <w:spacing w:before="720" w:after="0"/>
    </w:pPr>
    <w:rPr>
      <w:i/>
    </w:rPr>
  </w:style>
  <w:style w:type="paragraph" w:customStyle="1" w:styleId="Langue">
    <w:name w:val="Langue"/>
    <w:basedOn w:val="Normal"/>
    <w:next w:val="Rfrenceinterne"/>
    <w:rsid w:val="0075503A"/>
    <w:pPr>
      <w:framePr w:wrap="around" w:vAnchor="page" w:hAnchor="text" w:xAlign="center" w:y="14741"/>
      <w:spacing w:before="0" w:after="600"/>
      <w:jc w:val="center"/>
    </w:pPr>
    <w:rPr>
      <w:b/>
      <w:caps/>
    </w:rPr>
  </w:style>
  <w:style w:type="paragraph" w:customStyle="1" w:styleId="ManualConsidrant">
    <w:name w:val="Manual Considérant"/>
    <w:basedOn w:val="Normal"/>
    <w:rsid w:val="0075503A"/>
    <w:pPr>
      <w:ind w:left="709" w:hanging="709"/>
    </w:pPr>
  </w:style>
  <w:style w:type="paragraph" w:customStyle="1" w:styleId="Nomdelinstitution">
    <w:name w:val="Nom de l'institution"/>
    <w:basedOn w:val="Normal"/>
    <w:next w:val="Emission"/>
    <w:rsid w:val="0075503A"/>
    <w:pPr>
      <w:spacing w:before="0" w:after="0"/>
      <w:jc w:val="left"/>
    </w:pPr>
    <w:rPr>
      <w:rFonts w:ascii="Arial" w:hAnsi="Arial" w:cs="Arial"/>
    </w:rPr>
  </w:style>
  <w:style w:type="paragraph" w:customStyle="1" w:styleId="Personnequisigne">
    <w:name w:val="Personne qui signe"/>
    <w:basedOn w:val="Normal"/>
    <w:next w:val="Institutionquisigne"/>
    <w:rsid w:val="0075503A"/>
    <w:pPr>
      <w:tabs>
        <w:tab w:val="left" w:pos="4252"/>
      </w:tabs>
      <w:spacing w:before="0" w:after="0"/>
      <w:jc w:val="left"/>
    </w:pPr>
    <w:rPr>
      <w:i/>
    </w:rPr>
  </w:style>
  <w:style w:type="paragraph" w:customStyle="1" w:styleId="Rfrenceinstitutionnelle">
    <w:name w:val="Référence institutionnelle"/>
    <w:basedOn w:val="Normal"/>
    <w:next w:val="Confidentialit"/>
    <w:rsid w:val="0075503A"/>
    <w:pPr>
      <w:spacing w:before="0" w:after="240"/>
      <w:ind w:left="5103"/>
      <w:jc w:val="left"/>
    </w:pPr>
  </w:style>
  <w:style w:type="paragraph" w:customStyle="1" w:styleId="Rfrenceinterinstitutionnelle">
    <w:name w:val="Référence interinstitutionnelle"/>
    <w:basedOn w:val="Normal"/>
    <w:next w:val="Statut"/>
    <w:rsid w:val="0075503A"/>
    <w:pPr>
      <w:spacing w:before="0" w:after="0"/>
      <w:ind w:left="5103"/>
      <w:jc w:val="left"/>
    </w:pPr>
  </w:style>
  <w:style w:type="paragraph" w:customStyle="1" w:styleId="Rfrenceinterne">
    <w:name w:val="Référence interne"/>
    <w:basedOn w:val="Normal"/>
    <w:next w:val="Rfrenceinterinstitutionnelle"/>
    <w:rsid w:val="0075503A"/>
    <w:pPr>
      <w:spacing w:before="0" w:after="0"/>
      <w:ind w:left="5103"/>
      <w:jc w:val="left"/>
    </w:pPr>
  </w:style>
  <w:style w:type="paragraph" w:customStyle="1" w:styleId="Sous-titreobjet">
    <w:name w:val="Sous-titre objet"/>
    <w:basedOn w:val="Normal"/>
    <w:rsid w:val="0075503A"/>
    <w:pPr>
      <w:spacing w:before="0" w:after="0"/>
      <w:jc w:val="center"/>
    </w:pPr>
    <w:rPr>
      <w:b/>
    </w:rPr>
  </w:style>
  <w:style w:type="paragraph" w:customStyle="1" w:styleId="Statut">
    <w:name w:val="Statut"/>
    <w:basedOn w:val="Normal"/>
    <w:next w:val="Typedudocument"/>
    <w:rsid w:val="0075503A"/>
    <w:pPr>
      <w:spacing w:before="360" w:after="0"/>
      <w:jc w:val="center"/>
    </w:pPr>
  </w:style>
  <w:style w:type="paragraph" w:customStyle="1" w:styleId="Titrearticle">
    <w:name w:val="Titre article"/>
    <w:basedOn w:val="Normal"/>
    <w:next w:val="Normal"/>
    <w:rsid w:val="0075503A"/>
    <w:pPr>
      <w:keepNext/>
      <w:spacing w:before="360"/>
      <w:jc w:val="center"/>
    </w:pPr>
    <w:rPr>
      <w:i/>
    </w:rPr>
  </w:style>
  <w:style w:type="paragraph" w:customStyle="1" w:styleId="Titreobjet">
    <w:name w:val="Titre objet"/>
    <w:basedOn w:val="Normal"/>
    <w:next w:val="Sous-titreobjet"/>
    <w:rsid w:val="0075503A"/>
    <w:pPr>
      <w:spacing w:before="180" w:after="180"/>
      <w:jc w:val="center"/>
    </w:pPr>
    <w:rPr>
      <w:b/>
    </w:rPr>
  </w:style>
  <w:style w:type="paragraph" w:customStyle="1" w:styleId="Typedudocument">
    <w:name w:val="Type du document"/>
    <w:basedOn w:val="Normal"/>
    <w:next w:val="Titreobjet"/>
    <w:rsid w:val="0075503A"/>
    <w:pPr>
      <w:spacing w:before="360" w:after="180"/>
      <w:jc w:val="center"/>
    </w:pPr>
    <w:rPr>
      <w:b/>
    </w:rPr>
  </w:style>
  <w:style w:type="character" w:customStyle="1" w:styleId="Added">
    <w:name w:val="Added"/>
    <w:basedOn w:val="DefaultParagraphFont"/>
    <w:rsid w:val="0075503A"/>
    <w:rPr>
      <w:b/>
      <w:u w:val="single"/>
      <w:shd w:val="clear" w:color="auto" w:fill="auto"/>
    </w:rPr>
  </w:style>
  <w:style w:type="character" w:customStyle="1" w:styleId="Deleted">
    <w:name w:val="Deleted"/>
    <w:basedOn w:val="DefaultParagraphFont"/>
    <w:rsid w:val="0075503A"/>
    <w:rPr>
      <w:strike/>
      <w:dstrike w:val="0"/>
      <w:shd w:val="clear" w:color="auto" w:fill="auto"/>
    </w:rPr>
  </w:style>
  <w:style w:type="paragraph" w:customStyle="1" w:styleId="Address">
    <w:name w:val="Address"/>
    <w:basedOn w:val="Normal"/>
    <w:next w:val="Normal"/>
    <w:rsid w:val="0075503A"/>
    <w:pPr>
      <w:keepLines/>
      <w:spacing w:line="360" w:lineRule="auto"/>
      <w:ind w:left="3402"/>
      <w:jc w:val="left"/>
    </w:pPr>
  </w:style>
  <w:style w:type="paragraph" w:customStyle="1" w:styleId="Objetexterne">
    <w:name w:val="Objet externe"/>
    <w:basedOn w:val="Normal"/>
    <w:next w:val="Normal"/>
    <w:rsid w:val="0075503A"/>
    <w:rPr>
      <w:i/>
      <w:caps/>
    </w:rPr>
  </w:style>
  <w:style w:type="paragraph" w:customStyle="1" w:styleId="Pagedecouverture">
    <w:name w:val="Page de couverture"/>
    <w:basedOn w:val="Normal"/>
    <w:next w:val="Normal"/>
    <w:rsid w:val="0075503A"/>
    <w:pPr>
      <w:spacing w:before="0" w:after="0"/>
    </w:pPr>
  </w:style>
  <w:style w:type="paragraph" w:customStyle="1" w:styleId="Supertitre">
    <w:name w:val="Supertitre"/>
    <w:basedOn w:val="Normal"/>
    <w:next w:val="Normal"/>
    <w:rsid w:val="0075503A"/>
    <w:pPr>
      <w:spacing w:before="0" w:after="600"/>
      <w:jc w:val="center"/>
    </w:pPr>
    <w:rPr>
      <w:b/>
    </w:rPr>
  </w:style>
  <w:style w:type="paragraph" w:customStyle="1" w:styleId="Languesfaisantfoi">
    <w:name w:val="Langues faisant foi"/>
    <w:basedOn w:val="Normal"/>
    <w:next w:val="Normal"/>
    <w:rsid w:val="0075503A"/>
    <w:pPr>
      <w:spacing w:before="360" w:after="0"/>
      <w:jc w:val="center"/>
    </w:pPr>
  </w:style>
  <w:style w:type="paragraph" w:customStyle="1" w:styleId="Rfrencecroise">
    <w:name w:val="Référence croisée"/>
    <w:basedOn w:val="Normal"/>
    <w:rsid w:val="0075503A"/>
    <w:pPr>
      <w:spacing w:before="0" w:after="0"/>
      <w:jc w:val="center"/>
    </w:pPr>
  </w:style>
  <w:style w:type="paragraph" w:customStyle="1" w:styleId="Fichefinanciretitre">
    <w:name w:val="Fiche financière titre"/>
    <w:basedOn w:val="Normal"/>
    <w:next w:val="Normal"/>
    <w:rsid w:val="0075503A"/>
    <w:pPr>
      <w:jc w:val="center"/>
    </w:pPr>
    <w:rPr>
      <w:b/>
      <w:u w:val="single"/>
    </w:rPr>
  </w:style>
  <w:style w:type="paragraph" w:customStyle="1" w:styleId="DatedadoptionPagedecouverture">
    <w:name w:val="Date d'adoption (Page de couverture)"/>
    <w:basedOn w:val="Datedadoption"/>
    <w:next w:val="TitreobjetPagedecouverture"/>
    <w:rsid w:val="0075503A"/>
  </w:style>
  <w:style w:type="paragraph" w:customStyle="1" w:styleId="RfrenceinterinstitutionnellePagedecouverture">
    <w:name w:val="Référence interinstitutionnelle (Page de couverture)"/>
    <w:basedOn w:val="Rfrenceinterinstitutionnelle"/>
    <w:next w:val="Confidentialit"/>
    <w:rsid w:val="0075503A"/>
  </w:style>
  <w:style w:type="paragraph" w:customStyle="1" w:styleId="Sous-titreobjetPagedecouverture">
    <w:name w:val="Sous-titre objet (Page de couverture)"/>
    <w:basedOn w:val="Sous-titreobjet"/>
    <w:rsid w:val="0075503A"/>
  </w:style>
  <w:style w:type="paragraph" w:customStyle="1" w:styleId="StatutPagedecouverture">
    <w:name w:val="Statut (Page de couverture)"/>
    <w:basedOn w:val="Statut"/>
    <w:next w:val="TypedudocumentPagedecouverture"/>
    <w:rsid w:val="0075503A"/>
  </w:style>
  <w:style w:type="paragraph" w:customStyle="1" w:styleId="TitreobjetPagedecouverture">
    <w:name w:val="Titre objet (Page de couverture)"/>
    <w:basedOn w:val="Titreobjet"/>
    <w:next w:val="Sous-titreobjetPagedecouverture"/>
    <w:rsid w:val="0075503A"/>
  </w:style>
  <w:style w:type="paragraph" w:customStyle="1" w:styleId="TypedudocumentPagedecouverture">
    <w:name w:val="Type du document (Page de couverture)"/>
    <w:basedOn w:val="Typedudocument"/>
    <w:next w:val="TitreobjetPagedecouverture"/>
    <w:rsid w:val="0075503A"/>
  </w:style>
  <w:style w:type="paragraph" w:customStyle="1" w:styleId="Volume">
    <w:name w:val="Volume"/>
    <w:basedOn w:val="Normal"/>
    <w:next w:val="Confidentialit"/>
    <w:rsid w:val="0075503A"/>
    <w:pPr>
      <w:spacing w:before="0" w:after="240"/>
      <w:ind w:left="5103"/>
      <w:jc w:val="left"/>
    </w:pPr>
  </w:style>
  <w:style w:type="paragraph" w:customStyle="1" w:styleId="IntrtEEE">
    <w:name w:val="Intérêt EEE"/>
    <w:basedOn w:val="Languesfaisantfoi"/>
    <w:next w:val="Normal"/>
    <w:rsid w:val="0075503A"/>
    <w:pPr>
      <w:spacing w:after="240"/>
    </w:pPr>
  </w:style>
  <w:style w:type="paragraph" w:customStyle="1" w:styleId="Accompagnant">
    <w:name w:val="Accompagnant"/>
    <w:basedOn w:val="Normal"/>
    <w:next w:val="Typeacteprincipal"/>
    <w:rsid w:val="0075503A"/>
    <w:pPr>
      <w:spacing w:before="180" w:after="240"/>
      <w:jc w:val="center"/>
    </w:pPr>
    <w:rPr>
      <w:b/>
    </w:rPr>
  </w:style>
  <w:style w:type="paragraph" w:customStyle="1" w:styleId="Typeacteprincipal">
    <w:name w:val="Type acte principal"/>
    <w:basedOn w:val="Normal"/>
    <w:next w:val="Objetacteprincipal"/>
    <w:rsid w:val="0075503A"/>
    <w:pPr>
      <w:spacing w:before="0" w:after="240"/>
      <w:jc w:val="center"/>
    </w:pPr>
    <w:rPr>
      <w:b/>
    </w:rPr>
  </w:style>
  <w:style w:type="paragraph" w:customStyle="1" w:styleId="Objetacteprincipal">
    <w:name w:val="Objet acte principal"/>
    <w:basedOn w:val="Normal"/>
    <w:next w:val="Titrearticle"/>
    <w:rsid w:val="0075503A"/>
    <w:pPr>
      <w:spacing w:before="0" w:after="360"/>
      <w:jc w:val="center"/>
    </w:pPr>
    <w:rPr>
      <w:b/>
    </w:rPr>
  </w:style>
  <w:style w:type="paragraph" w:customStyle="1" w:styleId="IntrtEEEPagedecouverture">
    <w:name w:val="Intérêt EEE (Page de couverture)"/>
    <w:basedOn w:val="IntrtEEE"/>
    <w:next w:val="Rfrencecroise"/>
    <w:rsid w:val="0075503A"/>
  </w:style>
  <w:style w:type="paragraph" w:customStyle="1" w:styleId="AccompagnantPagedecouverture">
    <w:name w:val="Accompagnant (Page de couverture)"/>
    <w:basedOn w:val="Accompagnant"/>
    <w:next w:val="TypeacteprincipalPagedecouverture"/>
    <w:rsid w:val="0075503A"/>
  </w:style>
  <w:style w:type="paragraph" w:customStyle="1" w:styleId="TypeacteprincipalPagedecouverture">
    <w:name w:val="Type acte principal (Page de couverture)"/>
    <w:basedOn w:val="Typeacteprincipal"/>
    <w:next w:val="ObjetacteprincipalPagedecouverture"/>
    <w:rsid w:val="0075503A"/>
  </w:style>
  <w:style w:type="paragraph" w:customStyle="1" w:styleId="ObjetacteprincipalPagedecouverture">
    <w:name w:val="Objet acte principal (Page de couverture)"/>
    <w:basedOn w:val="Objetacteprincipal"/>
    <w:next w:val="Rfrencecroise"/>
    <w:rsid w:val="0075503A"/>
  </w:style>
  <w:style w:type="paragraph" w:customStyle="1" w:styleId="LanguesfaisantfoiPagedecouverture">
    <w:name w:val="Langues faisant foi (Page de couverture)"/>
    <w:basedOn w:val="Normal"/>
    <w:next w:val="Normal"/>
    <w:rsid w:val="0075503A"/>
    <w:pPr>
      <w:spacing w:before="360" w:after="0"/>
      <w:jc w:val="center"/>
    </w:pPr>
  </w:style>
  <w:style w:type="paragraph" w:customStyle="1" w:styleId="Declassification">
    <w:name w:val="Declassification"/>
    <w:basedOn w:val="Normal"/>
    <w:next w:val="Normal"/>
    <w:rsid w:val="00C8611E"/>
    <w:pPr>
      <w:spacing w:before="0" w:after="0"/>
    </w:pPr>
    <w:rPr>
      <w:rFonts w:eastAsiaTheme="minorHAnsi"/>
    </w:rPr>
  </w:style>
  <w:style w:type="paragraph" w:customStyle="1" w:styleId="HeaderSensitivity">
    <w:name w:val="Header Sensitivity"/>
    <w:basedOn w:val="Normal"/>
    <w:rsid w:val="00C8611E"/>
    <w:pPr>
      <w:pBdr>
        <w:top w:val="single" w:sz="4" w:space="1" w:color="auto"/>
        <w:left w:val="single" w:sz="4" w:space="4" w:color="auto"/>
        <w:bottom w:val="single" w:sz="4" w:space="1" w:color="auto"/>
        <w:right w:val="single" w:sz="4" w:space="4" w:color="auto"/>
      </w:pBdr>
      <w:spacing w:before="0"/>
      <w:ind w:left="113" w:right="113"/>
      <w:jc w:val="center"/>
    </w:pPr>
    <w:rPr>
      <w:rFonts w:eastAsiaTheme="minorHAnsi"/>
      <w:b/>
      <w:sz w:val="32"/>
    </w:rPr>
  </w:style>
  <w:style w:type="paragraph" w:customStyle="1" w:styleId="FooterSensitivity">
    <w:name w:val="Footer Sensitivity"/>
    <w:basedOn w:val="Normal"/>
    <w:rsid w:val="00C8611E"/>
    <w:pPr>
      <w:pBdr>
        <w:top w:val="single" w:sz="4" w:space="1" w:color="auto"/>
        <w:left w:val="single" w:sz="4" w:space="4" w:color="auto"/>
        <w:bottom w:val="single" w:sz="4" w:space="1" w:color="auto"/>
        <w:right w:val="single" w:sz="4" w:space="4" w:color="auto"/>
      </w:pBdr>
      <w:spacing w:before="360" w:after="0"/>
      <w:ind w:left="113" w:right="113"/>
      <w:jc w:val="center"/>
    </w:pPr>
    <w:rPr>
      <w:rFonts w:eastAsiaTheme="minorHAnsi"/>
      <w:b/>
      <w:sz w:val="32"/>
    </w:rPr>
  </w:style>
  <w:style w:type="paragraph" w:customStyle="1" w:styleId="Disclaimer">
    <w:name w:val="Disclaimer"/>
    <w:basedOn w:val="Normal"/>
    <w:rsid w:val="00C8611E"/>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lang w:val="fr-FR"/>
    </w:rPr>
  </w:style>
  <w:style w:type="paragraph" w:styleId="Heading1">
    <w:name w:val="heading 1"/>
    <w:basedOn w:val="Normal"/>
    <w:next w:val="Text1"/>
    <w:link w:val="Heading1Char"/>
    <w:uiPriority w:val="9"/>
    <w:qFormat/>
    <w:rsid w:val="0075503A"/>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5503A"/>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5503A"/>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rsid w:val="0075503A"/>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4A2B"/>
    <w:pPr>
      <w:spacing w:before="0" w:after="200" w:line="276" w:lineRule="auto"/>
      <w:ind w:left="720"/>
      <w:contextualSpacing/>
      <w:jc w:val="left"/>
    </w:pPr>
    <w:rPr>
      <w:rFonts w:ascii="Calibri" w:hAnsi="Calibri"/>
      <w:sz w:val="22"/>
    </w:rPr>
  </w:style>
  <w:style w:type="paragraph" w:styleId="Caption">
    <w:name w:val="caption"/>
    <w:basedOn w:val="Normal"/>
    <w:next w:val="Normal"/>
    <w:uiPriority w:val="35"/>
    <w:semiHidden/>
    <w:unhideWhenUsed/>
    <w:qFormat/>
    <w:rsid w:val="00D10694"/>
    <w:rPr>
      <w:b/>
      <w:bCs/>
      <w:sz w:val="20"/>
      <w:szCs w:val="20"/>
    </w:rPr>
  </w:style>
  <w:style w:type="paragraph" w:styleId="TableofFigures">
    <w:name w:val="table of figures"/>
    <w:basedOn w:val="Normal"/>
    <w:next w:val="Normal"/>
    <w:uiPriority w:val="99"/>
    <w:semiHidden/>
    <w:unhideWhenUsed/>
    <w:rsid w:val="00D10694"/>
  </w:style>
  <w:style w:type="paragraph" w:styleId="ListBullet">
    <w:name w:val="List Bullet"/>
    <w:basedOn w:val="Normal"/>
    <w:uiPriority w:val="99"/>
    <w:semiHidden/>
    <w:unhideWhenUsed/>
    <w:rsid w:val="00D10694"/>
    <w:pPr>
      <w:numPr>
        <w:numId w:val="1"/>
      </w:numPr>
      <w:contextualSpacing/>
    </w:pPr>
  </w:style>
  <w:style w:type="paragraph" w:styleId="ListBullet2">
    <w:name w:val="List Bullet 2"/>
    <w:basedOn w:val="Normal"/>
    <w:uiPriority w:val="99"/>
    <w:semiHidden/>
    <w:unhideWhenUsed/>
    <w:rsid w:val="00D10694"/>
    <w:pPr>
      <w:numPr>
        <w:numId w:val="2"/>
      </w:numPr>
      <w:contextualSpacing/>
    </w:pPr>
  </w:style>
  <w:style w:type="paragraph" w:styleId="ListBullet3">
    <w:name w:val="List Bullet 3"/>
    <w:basedOn w:val="Normal"/>
    <w:uiPriority w:val="99"/>
    <w:semiHidden/>
    <w:unhideWhenUsed/>
    <w:rsid w:val="00D10694"/>
    <w:pPr>
      <w:numPr>
        <w:numId w:val="3"/>
      </w:numPr>
      <w:contextualSpacing/>
    </w:pPr>
  </w:style>
  <w:style w:type="paragraph" w:styleId="ListBullet4">
    <w:name w:val="List Bullet 4"/>
    <w:basedOn w:val="Normal"/>
    <w:uiPriority w:val="99"/>
    <w:semiHidden/>
    <w:unhideWhenUsed/>
    <w:rsid w:val="00D10694"/>
    <w:pPr>
      <w:numPr>
        <w:numId w:val="4"/>
      </w:numPr>
      <w:contextualSpacing/>
    </w:pPr>
  </w:style>
  <w:style w:type="paragraph" w:styleId="ListNumber">
    <w:name w:val="List Number"/>
    <w:basedOn w:val="Normal"/>
    <w:uiPriority w:val="99"/>
    <w:semiHidden/>
    <w:unhideWhenUsed/>
    <w:rsid w:val="00D10694"/>
    <w:pPr>
      <w:numPr>
        <w:numId w:val="5"/>
      </w:numPr>
      <w:contextualSpacing/>
    </w:pPr>
  </w:style>
  <w:style w:type="paragraph" w:styleId="ListNumber2">
    <w:name w:val="List Number 2"/>
    <w:basedOn w:val="Normal"/>
    <w:uiPriority w:val="99"/>
    <w:semiHidden/>
    <w:unhideWhenUsed/>
    <w:rsid w:val="00D10694"/>
    <w:pPr>
      <w:numPr>
        <w:numId w:val="6"/>
      </w:numPr>
      <w:contextualSpacing/>
    </w:pPr>
  </w:style>
  <w:style w:type="paragraph" w:styleId="ListNumber3">
    <w:name w:val="List Number 3"/>
    <w:basedOn w:val="Normal"/>
    <w:uiPriority w:val="99"/>
    <w:semiHidden/>
    <w:unhideWhenUsed/>
    <w:rsid w:val="00D10694"/>
    <w:pPr>
      <w:numPr>
        <w:numId w:val="7"/>
      </w:numPr>
      <w:contextualSpacing/>
    </w:pPr>
  </w:style>
  <w:style w:type="paragraph" w:styleId="ListNumber4">
    <w:name w:val="List Number 4"/>
    <w:basedOn w:val="Normal"/>
    <w:uiPriority w:val="99"/>
    <w:semiHidden/>
    <w:unhideWhenUsed/>
    <w:rsid w:val="00D10694"/>
    <w:pPr>
      <w:numPr>
        <w:numId w:val="8"/>
      </w:numPr>
      <w:contextualSpacing/>
    </w:pPr>
  </w:style>
  <w:style w:type="character" w:styleId="CommentReference">
    <w:name w:val="annotation reference"/>
    <w:uiPriority w:val="99"/>
    <w:semiHidden/>
    <w:unhideWhenUsed/>
    <w:rsid w:val="008D62F5"/>
    <w:rPr>
      <w:sz w:val="16"/>
      <w:szCs w:val="16"/>
    </w:rPr>
  </w:style>
  <w:style w:type="paragraph" w:styleId="CommentText">
    <w:name w:val="annotation text"/>
    <w:basedOn w:val="Normal"/>
    <w:link w:val="CommentTextChar"/>
    <w:uiPriority w:val="99"/>
    <w:semiHidden/>
    <w:unhideWhenUsed/>
    <w:rsid w:val="008D62F5"/>
    <w:rPr>
      <w:sz w:val="20"/>
      <w:szCs w:val="20"/>
    </w:rPr>
  </w:style>
  <w:style w:type="character" w:customStyle="1" w:styleId="CommentTextChar">
    <w:name w:val="Comment Text Char"/>
    <w:link w:val="CommentText"/>
    <w:uiPriority w:val="99"/>
    <w:semiHidden/>
    <w:rsid w:val="008D62F5"/>
    <w:rPr>
      <w:rFonts w:ascii="Times New Roman"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8D62F5"/>
    <w:rPr>
      <w:b/>
      <w:bCs/>
    </w:rPr>
  </w:style>
  <w:style w:type="character" w:customStyle="1" w:styleId="CommentSubjectChar">
    <w:name w:val="Comment Subject Char"/>
    <w:link w:val="CommentSubject"/>
    <w:uiPriority w:val="99"/>
    <w:semiHidden/>
    <w:rsid w:val="008D62F5"/>
    <w:rPr>
      <w:rFonts w:ascii="Times New Roman" w:hAnsi="Times New Roman"/>
      <w:b/>
      <w:bCs/>
      <w:sz w:val="20"/>
      <w:szCs w:val="20"/>
      <w:lang w:val="en-GB"/>
    </w:rPr>
  </w:style>
  <w:style w:type="character" w:styleId="Hyperlink">
    <w:name w:val="Hyperlink"/>
    <w:uiPriority w:val="99"/>
    <w:unhideWhenUsed/>
    <w:rsid w:val="008D62F5"/>
    <w:rPr>
      <w:color w:val="0000FF"/>
      <w:u w:val="single"/>
    </w:rPr>
  </w:style>
  <w:style w:type="paragraph" w:styleId="BalloonText">
    <w:name w:val="Balloon Text"/>
    <w:basedOn w:val="Normal"/>
    <w:link w:val="BalloonTextChar"/>
    <w:uiPriority w:val="99"/>
    <w:semiHidden/>
    <w:unhideWhenUsed/>
    <w:rsid w:val="008D62F5"/>
    <w:pPr>
      <w:spacing w:before="0" w:after="0"/>
    </w:pPr>
    <w:rPr>
      <w:rFonts w:ascii="Tahoma" w:hAnsi="Tahoma" w:cs="Tahoma"/>
      <w:sz w:val="16"/>
      <w:szCs w:val="16"/>
    </w:rPr>
  </w:style>
  <w:style w:type="character" w:customStyle="1" w:styleId="BalloonTextChar">
    <w:name w:val="Balloon Text Char"/>
    <w:link w:val="BalloonText"/>
    <w:uiPriority w:val="99"/>
    <w:semiHidden/>
    <w:rsid w:val="008D62F5"/>
    <w:rPr>
      <w:rFonts w:ascii="Tahoma" w:hAnsi="Tahoma" w:cs="Tahoma"/>
      <w:sz w:val="16"/>
      <w:szCs w:val="16"/>
      <w:lang w:val="en-GB"/>
    </w:rPr>
  </w:style>
  <w:style w:type="paragraph" w:styleId="Header">
    <w:name w:val="header"/>
    <w:basedOn w:val="Normal"/>
    <w:link w:val="HeaderChar"/>
    <w:uiPriority w:val="99"/>
    <w:unhideWhenUsed/>
    <w:rsid w:val="00C8611E"/>
    <w:pPr>
      <w:tabs>
        <w:tab w:val="center" w:pos="4535"/>
        <w:tab w:val="right" w:pos="9071"/>
      </w:tabs>
      <w:spacing w:before="0"/>
    </w:pPr>
    <w:rPr>
      <w:rFonts w:eastAsiaTheme="minorHAnsi"/>
    </w:rPr>
  </w:style>
  <w:style w:type="character" w:customStyle="1" w:styleId="HeaderChar">
    <w:name w:val="Header Char"/>
    <w:basedOn w:val="DefaultParagraphFont"/>
    <w:link w:val="Header"/>
    <w:uiPriority w:val="99"/>
    <w:rsid w:val="00C8611E"/>
    <w:rPr>
      <w:rFonts w:ascii="Times New Roman" w:eastAsiaTheme="minorHAnsi" w:hAnsi="Times New Roman"/>
      <w:sz w:val="24"/>
      <w:lang w:val="fr-FR"/>
    </w:rPr>
  </w:style>
  <w:style w:type="paragraph" w:styleId="Footer">
    <w:name w:val="footer"/>
    <w:basedOn w:val="Normal"/>
    <w:link w:val="FooterChar"/>
    <w:uiPriority w:val="99"/>
    <w:unhideWhenUsed/>
    <w:rsid w:val="00C8611E"/>
    <w:pPr>
      <w:tabs>
        <w:tab w:val="center" w:pos="4535"/>
        <w:tab w:val="right" w:pos="9071"/>
        <w:tab w:val="right" w:pos="9921"/>
      </w:tabs>
      <w:spacing w:before="360" w:after="0"/>
      <w:ind w:left="-850" w:right="-850"/>
      <w:jc w:val="left"/>
    </w:pPr>
    <w:rPr>
      <w:rFonts w:eastAsiaTheme="minorHAnsi"/>
    </w:rPr>
  </w:style>
  <w:style w:type="character" w:customStyle="1" w:styleId="FooterChar">
    <w:name w:val="Footer Char"/>
    <w:basedOn w:val="DefaultParagraphFont"/>
    <w:link w:val="Footer"/>
    <w:uiPriority w:val="99"/>
    <w:rsid w:val="00C8611E"/>
    <w:rPr>
      <w:rFonts w:ascii="Times New Roman" w:eastAsiaTheme="minorHAnsi" w:hAnsi="Times New Roman"/>
      <w:sz w:val="24"/>
      <w:lang w:val="fr-FR"/>
    </w:rPr>
  </w:style>
  <w:style w:type="paragraph" w:styleId="FootnoteText">
    <w:name w:val="footnote text"/>
    <w:basedOn w:val="Normal"/>
    <w:link w:val="FootnoteTextChar"/>
    <w:uiPriority w:val="99"/>
    <w:semiHidden/>
    <w:unhideWhenUsed/>
    <w:rsid w:val="0075503A"/>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5503A"/>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5503A"/>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75503A"/>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75503A"/>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75503A"/>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75503A"/>
    <w:pPr>
      <w:spacing w:after="240"/>
      <w:jc w:val="center"/>
    </w:pPr>
    <w:rPr>
      <w:b/>
      <w:sz w:val="28"/>
    </w:rPr>
  </w:style>
  <w:style w:type="paragraph" w:styleId="TOC1">
    <w:name w:val="toc 1"/>
    <w:basedOn w:val="Normal"/>
    <w:next w:val="Normal"/>
    <w:uiPriority w:val="39"/>
    <w:semiHidden/>
    <w:unhideWhenUsed/>
    <w:rsid w:val="0075503A"/>
    <w:pPr>
      <w:tabs>
        <w:tab w:val="right" w:leader="dot" w:pos="9071"/>
      </w:tabs>
      <w:spacing w:before="60"/>
      <w:ind w:left="850" w:hanging="850"/>
      <w:jc w:val="left"/>
    </w:pPr>
  </w:style>
  <w:style w:type="paragraph" w:styleId="TOC2">
    <w:name w:val="toc 2"/>
    <w:basedOn w:val="Normal"/>
    <w:next w:val="Normal"/>
    <w:uiPriority w:val="39"/>
    <w:semiHidden/>
    <w:unhideWhenUsed/>
    <w:rsid w:val="0075503A"/>
    <w:pPr>
      <w:tabs>
        <w:tab w:val="right" w:leader="dot" w:pos="9071"/>
      </w:tabs>
      <w:spacing w:before="60"/>
      <w:ind w:left="850" w:hanging="850"/>
      <w:jc w:val="left"/>
    </w:pPr>
  </w:style>
  <w:style w:type="paragraph" w:styleId="TOC3">
    <w:name w:val="toc 3"/>
    <w:basedOn w:val="Normal"/>
    <w:next w:val="Normal"/>
    <w:uiPriority w:val="39"/>
    <w:semiHidden/>
    <w:unhideWhenUsed/>
    <w:rsid w:val="0075503A"/>
    <w:pPr>
      <w:tabs>
        <w:tab w:val="right" w:leader="dot" w:pos="9071"/>
      </w:tabs>
      <w:spacing w:before="60"/>
      <w:ind w:left="850" w:hanging="850"/>
      <w:jc w:val="left"/>
    </w:pPr>
  </w:style>
  <w:style w:type="paragraph" w:styleId="TOC4">
    <w:name w:val="toc 4"/>
    <w:basedOn w:val="Normal"/>
    <w:next w:val="Normal"/>
    <w:uiPriority w:val="39"/>
    <w:semiHidden/>
    <w:unhideWhenUsed/>
    <w:rsid w:val="0075503A"/>
    <w:pPr>
      <w:tabs>
        <w:tab w:val="right" w:leader="dot" w:pos="9071"/>
      </w:tabs>
      <w:spacing w:before="60"/>
      <w:ind w:left="850" w:hanging="850"/>
      <w:jc w:val="left"/>
    </w:pPr>
  </w:style>
  <w:style w:type="paragraph" w:styleId="TOC5">
    <w:name w:val="toc 5"/>
    <w:basedOn w:val="Normal"/>
    <w:next w:val="Normal"/>
    <w:uiPriority w:val="39"/>
    <w:semiHidden/>
    <w:unhideWhenUsed/>
    <w:rsid w:val="0075503A"/>
    <w:pPr>
      <w:tabs>
        <w:tab w:val="right" w:leader="dot" w:pos="9071"/>
      </w:tabs>
      <w:spacing w:before="300"/>
      <w:jc w:val="left"/>
    </w:pPr>
  </w:style>
  <w:style w:type="paragraph" w:styleId="TOC6">
    <w:name w:val="toc 6"/>
    <w:basedOn w:val="Normal"/>
    <w:next w:val="Normal"/>
    <w:uiPriority w:val="39"/>
    <w:semiHidden/>
    <w:unhideWhenUsed/>
    <w:rsid w:val="0075503A"/>
    <w:pPr>
      <w:tabs>
        <w:tab w:val="right" w:leader="dot" w:pos="9071"/>
      </w:tabs>
      <w:spacing w:before="240"/>
      <w:jc w:val="left"/>
    </w:pPr>
  </w:style>
  <w:style w:type="paragraph" w:styleId="TOC7">
    <w:name w:val="toc 7"/>
    <w:basedOn w:val="Normal"/>
    <w:next w:val="Normal"/>
    <w:uiPriority w:val="39"/>
    <w:semiHidden/>
    <w:unhideWhenUsed/>
    <w:rsid w:val="0075503A"/>
    <w:pPr>
      <w:tabs>
        <w:tab w:val="right" w:leader="dot" w:pos="9071"/>
      </w:tabs>
      <w:spacing w:before="180"/>
      <w:jc w:val="left"/>
    </w:pPr>
  </w:style>
  <w:style w:type="paragraph" w:styleId="TOC8">
    <w:name w:val="toc 8"/>
    <w:basedOn w:val="Normal"/>
    <w:next w:val="Normal"/>
    <w:uiPriority w:val="39"/>
    <w:semiHidden/>
    <w:unhideWhenUsed/>
    <w:rsid w:val="0075503A"/>
    <w:pPr>
      <w:tabs>
        <w:tab w:val="right" w:leader="dot" w:pos="9071"/>
      </w:tabs>
      <w:jc w:val="left"/>
    </w:pPr>
  </w:style>
  <w:style w:type="paragraph" w:styleId="TOC9">
    <w:name w:val="toc 9"/>
    <w:basedOn w:val="Normal"/>
    <w:next w:val="Normal"/>
    <w:uiPriority w:val="39"/>
    <w:semiHidden/>
    <w:unhideWhenUsed/>
    <w:rsid w:val="0075503A"/>
    <w:pPr>
      <w:tabs>
        <w:tab w:val="right" w:leader="dot" w:pos="9071"/>
      </w:tabs>
    </w:pPr>
  </w:style>
  <w:style w:type="paragraph" w:customStyle="1" w:styleId="HeaderLandscape">
    <w:name w:val="HeaderLandscape"/>
    <w:basedOn w:val="Normal"/>
    <w:rsid w:val="00C8611E"/>
    <w:pPr>
      <w:tabs>
        <w:tab w:val="center" w:pos="7285"/>
        <w:tab w:val="right" w:pos="14003"/>
      </w:tabs>
      <w:spacing w:before="0"/>
    </w:pPr>
    <w:rPr>
      <w:rFonts w:eastAsiaTheme="minorHAnsi"/>
    </w:rPr>
  </w:style>
  <w:style w:type="paragraph" w:customStyle="1" w:styleId="FooterLandscape">
    <w:name w:val="FooterLandscape"/>
    <w:basedOn w:val="Normal"/>
    <w:rsid w:val="00C8611E"/>
    <w:pPr>
      <w:tabs>
        <w:tab w:val="center" w:pos="7285"/>
        <w:tab w:val="center" w:pos="10913"/>
        <w:tab w:val="right" w:pos="15137"/>
      </w:tabs>
      <w:spacing w:before="360" w:after="0"/>
      <w:ind w:left="-567" w:right="-567"/>
      <w:jc w:val="left"/>
    </w:pPr>
    <w:rPr>
      <w:rFonts w:eastAsiaTheme="minorHAnsi"/>
    </w:rPr>
  </w:style>
  <w:style w:type="character" w:styleId="FootnoteReference">
    <w:name w:val="footnote reference"/>
    <w:basedOn w:val="DefaultParagraphFont"/>
    <w:uiPriority w:val="99"/>
    <w:semiHidden/>
    <w:unhideWhenUsed/>
    <w:rsid w:val="0075503A"/>
    <w:rPr>
      <w:shd w:val="clear" w:color="auto" w:fill="auto"/>
      <w:vertAlign w:val="superscript"/>
    </w:rPr>
  </w:style>
  <w:style w:type="paragraph" w:customStyle="1" w:styleId="Text1">
    <w:name w:val="Text 1"/>
    <w:basedOn w:val="Normal"/>
    <w:rsid w:val="0075503A"/>
    <w:pPr>
      <w:ind w:left="850"/>
    </w:pPr>
  </w:style>
  <w:style w:type="paragraph" w:customStyle="1" w:styleId="Text2">
    <w:name w:val="Text 2"/>
    <w:basedOn w:val="Normal"/>
    <w:rsid w:val="0075503A"/>
    <w:pPr>
      <w:ind w:left="1417"/>
    </w:pPr>
  </w:style>
  <w:style w:type="paragraph" w:customStyle="1" w:styleId="Text3">
    <w:name w:val="Text 3"/>
    <w:basedOn w:val="Normal"/>
    <w:rsid w:val="0075503A"/>
    <w:pPr>
      <w:ind w:left="1984"/>
    </w:pPr>
  </w:style>
  <w:style w:type="paragraph" w:customStyle="1" w:styleId="Text4">
    <w:name w:val="Text 4"/>
    <w:basedOn w:val="Normal"/>
    <w:rsid w:val="0075503A"/>
    <w:pPr>
      <w:ind w:left="2551"/>
    </w:pPr>
  </w:style>
  <w:style w:type="paragraph" w:customStyle="1" w:styleId="NormalCentered">
    <w:name w:val="Normal Centered"/>
    <w:basedOn w:val="Normal"/>
    <w:rsid w:val="0075503A"/>
    <w:pPr>
      <w:jc w:val="center"/>
    </w:pPr>
  </w:style>
  <w:style w:type="paragraph" w:customStyle="1" w:styleId="NormalLeft">
    <w:name w:val="Normal Left"/>
    <w:basedOn w:val="Normal"/>
    <w:rsid w:val="0075503A"/>
    <w:pPr>
      <w:jc w:val="left"/>
    </w:pPr>
  </w:style>
  <w:style w:type="paragraph" w:customStyle="1" w:styleId="NormalRight">
    <w:name w:val="Normal Right"/>
    <w:basedOn w:val="Normal"/>
    <w:rsid w:val="0075503A"/>
    <w:pPr>
      <w:jc w:val="right"/>
    </w:pPr>
  </w:style>
  <w:style w:type="paragraph" w:customStyle="1" w:styleId="QuotedText">
    <w:name w:val="Quoted Text"/>
    <w:basedOn w:val="Normal"/>
    <w:rsid w:val="0075503A"/>
    <w:pPr>
      <w:ind w:left="1417"/>
    </w:pPr>
  </w:style>
  <w:style w:type="paragraph" w:customStyle="1" w:styleId="Point0">
    <w:name w:val="Point 0"/>
    <w:basedOn w:val="Normal"/>
    <w:rsid w:val="0075503A"/>
    <w:pPr>
      <w:ind w:left="850" w:hanging="850"/>
    </w:pPr>
  </w:style>
  <w:style w:type="paragraph" w:customStyle="1" w:styleId="Point1">
    <w:name w:val="Point 1"/>
    <w:basedOn w:val="Normal"/>
    <w:rsid w:val="0075503A"/>
    <w:pPr>
      <w:ind w:left="1417" w:hanging="567"/>
    </w:pPr>
  </w:style>
  <w:style w:type="paragraph" w:customStyle="1" w:styleId="Point2">
    <w:name w:val="Point 2"/>
    <w:basedOn w:val="Normal"/>
    <w:rsid w:val="0075503A"/>
    <w:pPr>
      <w:ind w:left="1984" w:hanging="567"/>
    </w:pPr>
  </w:style>
  <w:style w:type="paragraph" w:customStyle="1" w:styleId="Point3">
    <w:name w:val="Point 3"/>
    <w:basedOn w:val="Normal"/>
    <w:rsid w:val="0075503A"/>
    <w:pPr>
      <w:ind w:left="2551" w:hanging="567"/>
    </w:pPr>
  </w:style>
  <w:style w:type="paragraph" w:customStyle="1" w:styleId="Point4">
    <w:name w:val="Point 4"/>
    <w:basedOn w:val="Normal"/>
    <w:rsid w:val="0075503A"/>
    <w:pPr>
      <w:ind w:left="3118" w:hanging="567"/>
    </w:pPr>
  </w:style>
  <w:style w:type="paragraph" w:customStyle="1" w:styleId="Tiret0">
    <w:name w:val="Tiret 0"/>
    <w:basedOn w:val="Point0"/>
    <w:rsid w:val="0075503A"/>
    <w:pPr>
      <w:numPr>
        <w:numId w:val="25"/>
      </w:numPr>
    </w:pPr>
  </w:style>
  <w:style w:type="paragraph" w:customStyle="1" w:styleId="Tiret1">
    <w:name w:val="Tiret 1"/>
    <w:basedOn w:val="Point1"/>
    <w:rsid w:val="0075503A"/>
    <w:pPr>
      <w:numPr>
        <w:numId w:val="26"/>
      </w:numPr>
    </w:pPr>
  </w:style>
  <w:style w:type="paragraph" w:customStyle="1" w:styleId="Tiret2">
    <w:name w:val="Tiret 2"/>
    <w:basedOn w:val="Point2"/>
    <w:rsid w:val="0075503A"/>
    <w:pPr>
      <w:numPr>
        <w:numId w:val="27"/>
      </w:numPr>
    </w:pPr>
  </w:style>
  <w:style w:type="paragraph" w:customStyle="1" w:styleId="Tiret3">
    <w:name w:val="Tiret 3"/>
    <w:basedOn w:val="Point3"/>
    <w:rsid w:val="0075503A"/>
    <w:pPr>
      <w:numPr>
        <w:numId w:val="28"/>
      </w:numPr>
    </w:pPr>
  </w:style>
  <w:style w:type="paragraph" w:customStyle="1" w:styleId="Tiret4">
    <w:name w:val="Tiret 4"/>
    <w:basedOn w:val="Point4"/>
    <w:rsid w:val="0075503A"/>
    <w:pPr>
      <w:numPr>
        <w:numId w:val="29"/>
      </w:numPr>
    </w:pPr>
  </w:style>
  <w:style w:type="paragraph" w:customStyle="1" w:styleId="PointDouble0">
    <w:name w:val="PointDouble 0"/>
    <w:basedOn w:val="Normal"/>
    <w:rsid w:val="0075503A"/>
    <w:pPr>
      <w:tabs>
        <w:tab w:val="left" w:pos="850"/>
      </w:tabs>
      <w:ind w:left="1417" w:hanging="1417"/>
    </w:pPr>
  </w:style>
  <w:style w:type="paragraph" w:customStyle="1" w:styleId="PointDouble1">
    <w:name w:val="PointDouble 1"/>
    <w:basedOn w:val="Normal"/>
    <w:rsid w:val="0075503A"/>
    <w:pPr>
      <w:tabs>
        <w:tab w:val="left" w:pos="1417"/>
      </w:tabs>
      <w:ind w:left="1984" w:hanging="1134"/>
    </w:pPr>
  </w:style>
  <w:style w:type="paragraph" w:customStyle="1" w:styleId="PointDouble2">
    <w:name w:val="PointDouble 2"/>
    <w:basedOn w:val="Normal"/>
    <w:rsid w:val="0075503A"/>
    <w:pPr>
      <w:tabs>
        <w:tab w:val="left" w:pos="1984"/>
      </w:tabs>
      <w:ind w:left="2551" w:hanging="1134"/>
    </w:pPr>
  </w:style>
  <w:style w:type="paragraph" w:customStyle="1" w:styleId="PointDouble3">
    <w:name w:val="PointDouble 3"/>
    <w:basedOn w:val="Normal"/>
    <w:rsid w:val="0075503A"/>
    <w:pPr>
      <w:tabs>
        <w:tab w:val="left" w:pos="2551"/>
      </w:tabs>
      <w:ind w:left="3118" w:hanging="1134"/>
    </w:pPr>
  </w:style>
  <w:style w:type="paragraph" w:customStyle="1" w:styleId="PointDouble4">
    <w:name w:val="PointDouble 4"/>
    <w:basedOn w:val="Normal"/>
    <w:rsid w:val="0075503A"/>
    <w:pPr>
      <w:tabs>
        <w:tab w:val="left" w:pos="3118"/>
      </w:tabs>
      <w:ind w:left="3685" w:hanging="1134"/>
    </w:pPr>
  </w:style>
  <w:style w:type="paragraph" w:customStyle="1" w:styleId="PointTriple0">
    <w:name w:val="PointTriple 0"/>
    <w:basedOn w:val="Normal"/>
    <w:rsid w:val="0075503A"/>
    <w:pPr>
      <w:tabs>
        <w:tab w:val="left" w:pos="850"/>
        <w:tab w:val="left" w:pos="1417"/>
      </w:tabs>
      <w:ind w:left="1984" w:hanging="1984"/>
    </w:pPr>
  </w:style>
  <w:style w:type="paragraph" w:customStyle="1" w:styleId="PointTriple1">
    <w:name w:val="PointTriple 1"/>
    <w:basedOn w:val="Normal"/>
    <w:rsid w:val="0075503A"/>
    <w:pPr>
      <w:tabs>
        <w:tab w:val="left" w:pos="1417"/>
        <w:tab w:val="left" w:pos="1984"/>
      </w:tabs>
      <w:ind w:left="2551" w:hanging="1701"/>
    </w:pPr>
  </w:style>
  <w:style w:type="paragraph" w:customStyle="1" w:styleId="PointTriple2">
    <w:name w:val="PointTriple 2"/>
    <w:basedOn w:val="Normal"/>
    <w:rsid w:val="0075503A"/>
    <w:pPr>
      <w:tabs>
        <w:tab w:val="left" w:pos="1984"/>
        <w:tab w:val="left" w:pos="2551"/>
      </w:tabs>
      <w:ind w:left="3118" w:hanging="1701"/>
    </w:pPr>
  </w:style>
  <w:style w:type="paragraph" w:customStyle="1" w:styleId="PointTriple3">
    <w:name w:val="PointTriple 3"/>
    <w:basedOn w:val="Normal"/>
    <w:rsid w:val="0075503A"/>
    <w:pPr>
      <w:tabs>
        <w:tab w:val="left" w:pos="2551"/>
        <w:tab w:val="left" w:pos="3118"/>
      </w:tabs>
      <w:ind w:left="3685" w:hanging="1701"/>
    </w:pPr>
  </w:style>
  <w:style w:type="paragraph" w:customStyle="1" w:styleId="PointTriple4">
    <w:name w:val="PointTriple 4"/>
    <w:basedOn w:val="Normal"/>
    <w:rsid w:val="0075503A"/>
    <w:pPr>
      <w:tabs>
        <w:tab w:val="left" w:pos="3118"/>
        <w:tab w:val="left" w:pos="3685"/>
      </w:tabs>
      <w:ind w:left="4252" w:hanging="1701"/>
    </w:pPr>
  </w:style>
  <w:style w:type="paragraph" w:customStyle="1" w:styleId="NumPar1">
    <w:name w:val="NumPar 1"/>
    <w:basedOn w:val="Normal"/>
    <w:next w:val="Text1"/>
    <w:rsid w:val="0075503A"/>
    <w:pPr>
      <w:numPr>
        <w:numId w:val="30"/>
      </w:numPr>
    </w:pPr>
  </w:style>
  <w:style w:type="paragraph" w:customStyle="1" w:styleId="NumPar2">
    <w:name w:val="NumPar 2"/>
    <w:basedOn w:val="Normal"/>
    <w:next w:val="Text1"/>
    <w:rsid w:val="0075503A"/>
    <w:pPr>
      <w:numPr>
        <w:ilvl w:val="1"/>
        <w:numId w:val="30"/>
      </w:numPr>
    </w:pPr>
  </w:style>
  <w:style w:type="paragraph" w:customStyle="1" w:styleId="NumPar3">
    <w:name w:val="NumPar 3"/>
    <w:basedOn w:val="Normal"/>
    <w:next w:val="Text1"/>
    <w:rsid w:val="0075503A"/>
    <w:pPr>
      <w:numPr>
        <w:ilvl w:val="2"/>
        <w:numId w:val="30"/>
      </w:numPr>
    </w:pPr>
  </w:style>
  <w:style w:type="paragraph" w:customStyle="1" w:styleId="NumPar4">
    <w:name w:val="NumPar 4"/>
    <w:basedOn w:val="Normal"/>
    <w:next w:val="Text1"/>
    <w:rsid w:val="0075503A"/>
    <w:pPr>
      <w:numPr>
        <w:ilvl w:val="3"/>
        <w:numId w:val="30"/>
      </w:numPr>
    </w:pPr>
  </w:style>
  <w:style w:type="paragraph" w:customStyle="1" w:styleId="ManualNumPar1">
    <w:name w:val="Manual NumPar 1"/>
    <w:basedOn w:val="Normal"/>
    <w:next w:val="Text1"/>
    <w:rsid w:val="0075503A"/>
    <w:pPr>
      <w:ind w:left="850" w:hanging="850"/>
    </w:pPr>
  </w:style>
  <w:style w:type="paragraph" w:customStyle="1" w:styleId="ManualNumPar2">
    <w:name w:val="Manual NumPar 2"/>
    <w:basedOn w:val="Normal"/>
    <w:next w:val="Text1"/>
    <w:rsid w:val="0075503A"/>
    <w:pPr>
      <w:ind w:left="850" w:hanging="850"/>
    </w:pPr>
  </w:style>
  <w:style w:type="paragraph" w:customStyle="1" w:styleId="ManualNumPar3">
    <w:name w:val="Manual NumPar 3"/>
    <w:basedOn w:val="Normal"/>
    <w:next w:val="Text1"/>
    <w:rsid w:val="0075503A"/>
    <w:pPr>
      <w:ind w:left="850" w:hanging="850"/>
    </w:pPr>
  </w:style>
  <w:style w:type="paragraph" w:customStyle="1" w:styleId="ManualNumPar4">
    <w:name w:val="Manual NumPar 4"/>
    <w:basedOn w:val="Normal"/>
    <w:next w:val="Text1"/>
    <w:rsid w:val="0075503A"/>
    <w:pPr>
      <w:ind w:left="850" w:hanging="850"/>
    </w:pPr>
  </w:style>
  <w:style w:type="paragraph" w:customStyle="1" w:styleId="QuotedNumPar">
    <w:name w:val="Quoted NumPar"/>
    <w:basedOn w:val="Normal"/>
    <w:rsid w:val="0075503A"/>
    <w:pPr>
      <w:ind w:left="1417" w:hanging="567"/>
    </w:pPr>
  </w:style>
  <w:style w:type="paragraph" w:customStyle="1" w:styleId="ManualHeading1">
    <w:name w:val="Manual Heading 1"/>
    <w:basedOn w:val="Normal"/>
    <w:next w:val="Text1"/>
    <w:rsid w:val="0075503A"/>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5503A"/>
    <w:pPr>
      <w:keepNext/>
      <w:tabs>
        <w:tab w:val="left" w:pos="850"/>
      </w:tabs>
      <w:ind w:left="850" w:hanging="850"/>
      <w:outlineLvl w:val="1"/>
    </w:pPr>
    <w:rPr>
      <w:b/>
    </w:rPr>
  </w:style>
  <w:style w:type="paragraph" w:customStyle="1" w:styleId="ManualHeading3">
    <w:name w:val="Manual Heading 3"/>
    <w:basedOn w:val="Normal"/>
    <w:next w:val="Text1"/>
    <w:rsid w:val="0075503A"/>
    <w:pPr>
      <w:keepNext/>
      <w:tabs>
        <w:tab w:val="left" w:pos="850"/>
      </w:tabs>
      <w:ind w:left="850" w:hanging="850"/>
      <w:outlineLvl w:val="2"/>
    </w:pPr>
    <w:rPr>
      <w:i/>
    </w:rPr>
  </w:style>
  <w:style w:type="paragraph" w:customStyle="1" w:styleId="ManualHeading4">
    <w:name w:val="Manual Heading 4"/>
    <w:basedOn w:val="Normal"/>
    <w:next w:val="Text1"/>
    <w:rsid w:val="0075503A"/>
    <w:pPr>
      <w:keepNext/>
      <w:tabs>
        <w:tab w:val="left" w:pos="850"/>
      </w:tabs>
      <w:ind w:left="850" w:hanging="850"/>
      <w:outlineLvl w:val="3"/>
    </w:pPr>
  </w:style>
  <w:style w:type="paragraph" w:customStyle="1" w:styleId="ChapterTitle">
    <w:name w:val="ChapterTitle"/>
    <w:basedOn w:val="Normal"/>
    <w:next w:val="Normal"/>
    <w:rsid w:val="0075503A"/>
    <w:pPr>
      <w:keepNext/>
      <w:spacing w:after="360"/>
      <w:jc w:val="center"/>
    </w:pPr>
    <w:rPr>
      <w:b/>
      <w:sz w:val="32"/>
    </w:rPr>
  </w:style>
  <w:style w:type="paragraph" w:customStyle="1" w:styleId="PartTitle">
    <w:name w:val="PartTitle"/>
    <w:basedOn w:val="Normal"/>
    <w:next w:val="ChapterTitle"/>
    <w:rsid w:val="0075503A"/>
    <w:pPr>
      <w:keepNext/>
      <w:pageBreakBefore/>
      <w:spacing w:after="360"/>
      <w:jc w:val="center"/>
    </w:pPr>
    <w:rPr>
      <w:b/>
      <w:sz w:val="36"/>
    </w:rPr>
  </w:style>
  <w:style w:type="paragraph" w:customStyle="1" w:styleId="SectionTitle">
    <w:name w:val="SectionTitle"/>
    <w:basedOn w:val="Normal"/>
    <w:next w:val="Heading1"/>
    <w:rsid w:val="0075503A"/>
    <w:pPr>
      <w:keepNext/>
      <w:spacing w:after="360"/>
      <w:jc w:val="center"/>
    </w:pPr>
    <w:rPr>
      <w:b/>
      <w:smallCaps/>
      <w:sz w:val="28"/>
    </w:rPr>
  </w:style>
  <w:style w:type="paragraph" w:customStyle="1" w:styleId="TableTitle">
    <w:name w:val="Table Title"/>
    <w:basedOn w:val="Normal"/>
    <w:next w:val="Normal"/>
    <w:rsid w:val="0075503A"/>
    <w:pPr>
      <w:jc w:val="center"/>
    </w:pPr>
    <w:rPr>
      <w:b/>
    </w:rPr>
  </w:style>
  <w:style w:type="character" w:customStyle="1" w:styleId="Marker">
    <w:name w:val="Marker"/>
    <w:basedOn w:val="DefaultParagraphFont"/>
    <w:rsid w:val="0075503A"/>
    <w:rPr>
      <w:color w:val="0000FF"/>
      <w:shd w:val="clear" w:color="auto" w:fill="auto"/>
    </w:rPr>
  </w:style>
  <w:style w:type="character" w:customStyle="1" w:styleId="Marker1">
    <w:name w:val="Marker1"/>
    <w:basedOn w:val="DefaultParagraphFont"/>
    <w:rsid w:val="0075503A"/>
    <w:rPr>
      <w:color w:val="008000"/>
      <w:shd w:val="clear" w:color="auto" w:fill="auto"/>
    </w:rPr>
  </w:style>
  <w:style w:type="character" w:customStyle="1" w:styleId="Marker2">
    <w:name w:val="Marker2"/>
    <w:basedOn w:val="DefaultParagraphFont"/>
    <w:rsid w:val="0075503A"/>
    <w:rPr>
      <w:color w:val="FF0000"/>
      <w:shd w:val="clear" w:color="auto" w:fill="auto"/>
    </w:rPr>
  </w:style>
  <w:style w:type="paragraph" w:customStyle="1" w:styleId="Point0number">
    <w:name w:val="Point 0 (number)"/>
    <w:basedOn w:val="Normal"/>
    <w:rsid w:val="0075503A"/>
    <w:pPr>
      <w:numPr>
        <w:numId w:val="32"/>
      </w:numPr>
    </w:pPr>
  </w:style>
  <w:style w:type="paragraph" w:customStyle="1" w:styleId="Point1number">
    <w:name w:val="Point 1 (number)"/>
    <w:basedOn w:val="Normal"/>
    <w:rsid w:val="0075503A"/>
    <w:pPr>
      <w:numPr>
        <w:ilvl w:val="2"/>
        <w:numId w:val="32"/>
      </w:numPr>
    </w:pPr>
  </w:style>
  <w:style w:type="paragraph" w:customStyle="1" w:styleId="Point2number">
    <w:name w:val="Point 2 (number)"/>
    <w:basedOn w:val="Normal"/>
    <w:rsid w:val="0075503A"/>
    <w:pPr>
      <w:numPr>
        <w:ilvl w:val="4"/>
        <w:numId w:val="32"/>
      </w:numPr>
    </w:pPr>
  </w:style>
  <w:style w:type="paragraph" w:customStyle="1" w:styleId="Point3number">
    <w:name w:val="Point 3 (number)"/>
    <w:basedOn w:val="Normal"/>
    <w:rsid w:val="0075503A"/>
    <w:pPr>
      <w:numPr>
        <w:ilvl w:val="6"/>
        <w:numId w:val="32"/>
      </w:numPr>
    </w:pPr>
  </w:style>
  <w:style w:type="paragraph" w:customStyle="1" w:styleId="Point0letter">
    <w:name w:val="Point 0 (letter)"/>
    <w:basedOn w:val="Normal"/>
    <w:rsid w:val="0075503A"/>
    <w:pPr>
      <w:numPr>
        <w:ilvl w:val="1"/>
        <w:numId w:val="32"/>
      </w:numPr>
    </w:pPr>
  </w:style>
  <w:style w:type="paragraph" w:customStyle="1" w:styleId="Point1letter">
    <w:name w:val="Point 1 (letter)"/>
    <w:basedOn w:val="Normal"/>
    <w:rsid w:val="0075503A"/>
    <w:pPr>
      <w:numPr>
        <w:ilvl w:val="3"/>
        <w:numId w:val="32"/>
      </w:numPr>
    </w:pPr>
  </w:style>
  <w:style w:type="paragraph" w:customStyle="1" w:styleId="Point2letter">
    <w:name w:val="Point 2 (letter)"/>
    <w:basedOn w:val="Normal"/>
    <w:rsid w:val="0075503A"/>
    <w:pPr>
      <w:numPr>
        <w:ilvl w:val="5"/>
        <w:numId w:val="32"/>
      </w:numPr>
    </w:pPr>
  </w:style>
  <w:style w:type="paragraph" w:customStyle="1" w:styleId="Point3letter">
    <w:name w:val="Point 3 (letter)"/>
    <w:basedOn w:val="Normal"/>
    <w:rsid w:val="0075503A"/>
    <w:pPr>
      <w:numPr>
        <w:ilvl w:val="7"/>
        <w:numId w:val="32"/>
      </w:numPr>
    </w:pPr>
  </w:style>
  <w:style w:type="paragraph" w:customStyle="1" w:styleId="Point4letter">
    <w:name w:val="Point 4 (letter)"/>
    <w:basedOn w:val="Normal"/>
    <w:rsid w:val="0075503A"/>
    <w:pPr>
      <w:numPr>
        <w:ilvl w:val="8"/>
        <w:numId w:val="32"/>
      </w:numPr>
    </w:pPr>
  </w:style>
  <w:style w:type="paragraph" w:customStyle="1" w:styleId="Bullet0">
    <w:name w:val="Bullet 0"/>
    <w:basedOn w:val="Normal"/>
    <w:rsid w:val="0075503A"/>
    <w:pPr>
      <w:numPr>
        <w:numId w:val="33"/>
      </w:numPr>
    </w:pPr>
  </w:style>
  <w:style w:type="paragraph" w:customStyle="1" w:styleId="Bullet1">
    <w:name w:val="Bullet 1"/>
    <w:basedOn w:val="Normal"/>
    <w:rsid w:val="0075503A"/>
    <w:pPr>
      <w:numPr>
        <w:numId w:val="34"/>
      </w:numPr>
    </w:pPr>
  </w:style>
  <w:style w:type="paragraph" w:customStyle="1" w:styleId="Bullet2">
    <w:name w:val="Bullet 2"/>
    <w:basedOn w:val="Normal"/>
    <w:rsid w:val="0075503A"/>
    <w:pPr>
      <w:numPr>
        <w:numId w:val="35"/>
      </w:numPr>
    </w:pPr>
  </w:style>
  <w:style w:type="paragraph" w:customStyle="1" w:styleId="Bullet3">
    <w:name w:val="Bullet 3"/>
    <w:basedOn w:val="Normal"/>
    <w:rsid w:val="0075503A"/>
    <w:pPr>
      <w:numPr>
        <w:numId w:val="36"/>
      </w:numPr>
    </w:pPr>
  </w:style>
  <w:style w:type="paragraph" w:customStyle="1" w:styleId="Bullet4">
    <w:name w:val="Bullet 4"/>
    <w:basedOn w:val="Normal"/>
    <w:rsid w:val="0075503A"/>
    <w:pPr>
      <w:numPr>
        <w:numId w:val="37"/>
      </w:numPr>
    </w:pPr>
  </w:style>
  <w:style w:type="paragraph" w:customStyle="1" w:styleId="Annexetitreexpos">
    <w:name w:val="Annexe titre (exposé)"/>
    <w:basedOn w:val="Normal"/>
    <w:next w:val="Normal"/>
    <w:rsid w:val="0075503A"/>
    <w:pPr>
      <w:jc w:val="center"/>
    </w:pPr>
    <w:rPr>
      <w:b/>
      <w:u w:val="single"/>
    </w:rPr>
  </w:style>
  <w:style w:type="paragraph" w:customStyle="1" w:styleId="Annexetitre">
    <w:name w:val="Annexe titre"/>
    <w:basedOn w:val="Normal"/>
    <w:next w:val="Normal"/>
    <w:rsid w:val="0075503A"/>
    <w:pPr>
      <w:jc w:val="center"/>
    </w:pPr>
    <w:rPr>
      <w:b/>
      <w:u w:val="single"/>
    </w:rPr>
  </w:style>
  <w:style w:type="paragraph" w:customStyle="1" w:styleId="Annexetitrefichefinancire">
    <w:name w:val="Annexe titre (fiche financière)"/>
    <w:basedOn w:val="Normal"/>
    <w:next w:val="Normal"/>
    <w:rsid w:val="0075503A"/>
    <w:pPr>
      <w:jc w:val="center"/>
    </w:pPr>
    <w:rPr>
      <w:b/>
      <w:u w:val="single"/>
    </w:rPr>
  </w:style>
  <w:style w:type="paragraph" w:customStyle="1" w:styleId="Applicationdirecte">
    <w:name w:val="Application directe"/>
    <w:basedOn w:val="Normal"/>
    <w:next w:val="Fait"/>
    <w:rsid w:val="0075503A"/>
    <w:pPr>
      <w:spacing w:before="480"/>
    </w:pPr>
  </w:style>
  <w:style w:type="paragraph" w:customStyle="1" w:styleId="Avertissementtitre">
    <w:name w:val="Avertissement titre"/>
    <w:basedOn w:val="Normal"/>
    <w:next w:val="Normal"/>
    <w:rsid w:val="0075503A"/>
    <w:pPr>
      <w:keepNext/>
      <w:spacing w:before="480"/>
    </w:pPr>
    <w:rPr>
      <w:u w:val="single"/>
    </w:rPr>
  </w:style>
  <w:style w:type="paragraph" w:customStyle="1" w:styleId="Confidence">
    <w:name w:val="Confidence"/>
    <w:basedOn w:val="Normal"/>
    <w:next w:val="Normal"/>
    <w:rsid w:val="0075503A"/>
    <w:pPr>
      <w:spacing w:before="360"/>
      <w:jc w:val="center"/>
    </w:pPr>
  </w:style>
  <w:style w:type="paragraph" w:customStyle="1" w:styleId="Confidentialit">
    <w:name w:val="Confidentialité"/>
    <w:basedOn w:val="Normal"/>
    <w:next w:val="TypedudocumentPagedecouverture"/>
    <w:rsid w:val="0075503A"/>
    <w:pPr>
      <w:spacing w:before="240" w:after="240"/>
      <w:ind w:left="5103"/>
      <w:jc w:val="left"/>
    </w:pPr>
    <w:rPr>
      <w:i/>
      <w:sz w:val="32"/>
    </w:rPr>
  </w:style>
  <w:style w:type="paragraph" w:customStyle="1" w:styleId="Considrant">
    <w:name w:val="Considérant"/>
    <w:basedOn w:val="Normal"/>
    <w:rsid w:val="0075503A"/>
    <w:pPr>
      <w:numPr>
        <w:numId w:val="38"/>
      </w:numPr>
    </w:pPr>
  </w:style>
  <w:style w:type="paragraph" w:customStyle="1" w:styleId="Corrigendum">
    <w:name w:val="Corrigendum"/>
    <w:basedOn w:val="Normal"/>
    <w:next w:val="Normal"/>
    <w:rsid w:val="0075503A"/>
    <w:pPr>
      <w:spacing w:before="0" w:after="240"/>
      <w:jc w:val="left"/>
    </w:pPr>
  </w:style>
  <w:style w:type="paragraph" w:customStyle="1" w:styleId="Datedadoption">
    <w:name w:val="Date d'adoption"/>
    <w:basedOn w:val="Normal"/>
    <w:next w:val="Titreobjet"/>
    <w:rsid w:val="0075503A"/>
    <w:pPr>
      <w:spacing w:before="360" w:after="0"/>
      <w:jc w:val="center"/>
    </w:pPr>
    <w:rPr>
      <w:b/>
    </w:rPr>
  </w:style>
  <w:style w:type="paragraph" w:customStyle="1" w:styleId="Emission">
    <w:name w:val="Emission"/>
    <w:basedOn w:val="Normal"/>
    <w:next w:val="Rfrenceinstitutionnelle"/>
    <w:rsid w:val="0075503A"/>
    <w:pPr>
      <w:spacing w:before="0" w:after="0"/>
      <w:ind w:left="5103"/>
      <w:jc w:val="left"/>
    </w:pPr>
  </w:style>
  <w:style w:type="paragraph" w:customStyle="1" w:styleId="Exposdesmotifstitre">
    <w:name w:val="Exposé des motifs titre"/>
    <w:basedOn w:val="Normal"/>
    <w:next w:val="Normal"/>
    <w:rsid w:val="0075503A"/>
    <w:pPr>
      <w:jc w:val="center"/>
    </w:pPr>
    <w:rPr>
      <w:b/>
      <w:u w:val="single"/>
    </w:rPr>
  </w:style>
  <w:style w:type="paragraph" w:customStyle="1" w:styleId="Fait">
    <w:name w:val="Fait à"/>
    <w:basedOn w:val="Normal"/>
    <w:next w:val="Institutionquisigne"/>
    <w:rsid w:val="0075503A"/>
    <w:pPr>
      <w:keepNext/>
      <w:spacing w:after="0"/>
    </w:pPr>
  </w:style>
  <w:style w:type="paragraph" w:customStyle="1" w:styleId="Formuledadoption">
    <w:name w:val="Formule d'adoption"/>
    <w:basedOn w:val="Normal"/>
    <w:next w:val="Titrearticle"/>
    <w:rsid w:val="0075503A"/>
    <w:pPr>
      <w:keepNext/>
    </w:pPr>
  </w:style>
  <w:style w:type="paragraph" w:customStyle="1" w:styleId="Institutionquiagit">
    <w:name w:val="Institution qui agit"/>
    <w:basedOn w:val="Normal"/>
    <w:next w:val="Normal"/>
    <w:rsid w:val="0075503A"/>
    <w:pPr>
      <w:keepNext/>
      <w:spacing w:before="600"/>
    </w:pPr>
  </w:style>
  <w:style w:type="paragraph" w:customStyle="1" w:styleId="Institutionquisigne">
    <w:name w:val="Institution qui signe"/>
    <w:basedOn w:val="Normal"/>
    <w:next w:val="Personnequisigne"/>
    <w:rsid w:val="0075503A"/>
    <w:pPr>
      <w:keepNext/>
      <w:tabs>
        <w:tab w:val="left" w:pos="4252"/>
      </w:tabs>
      <w:spacing w:before="720" w:after="0"/>
    </w:pPr>
    <w:rPr>
      <w:i/>
    </w:rPr>
  </w:style>
  <w:style w:type="paragraph" w:customStyle="1" w:styleId="Langue">
    <w:name w:val="Langue"/>
    <w:basedOn w:val="Normal"/>
    <w:next w:val="Rfrenceinterne"/>
    <w:rsid w:val="0075503A"/>
    <w:pPr>
      <w:framePr w:wrap="around" w:vAnchor="page" w:hAnchor="text" w:xAlign="center" w:y="14741"/>
      <w:spacing w:before="0" w:after="600"/>
      <w:jc w:val="center"/>
    </w:pPr>
    <w:rPr>
      <w:b/>
      <w:caps/>
    </w:rPr>
  </w:style>
  <w:style w:type="paragraph" w:customStyle="1" w:styleId="ManualConsidrant">
    <w:name w:val="Manual Considérant"/>
    <w:basedOn w:val="Normal"/>
    <w:rsid w:val="0075503A"/>
    <w:pPr>
      <w:ind w:left="709" w:hanging="709"/>
    </w:pPr>
  </w:style>
  <w:style w:type="paragraph" w:customStyle="1" w:styleId="Nomdelinstitution">
    <w:name w:val="Nom de l'institution"/>
    <w:basedOn w:val="Normal"/>
    <w:next w:val="Emission"/>
    <w:rsid w:val="0075503A"/>
    <w:pPr>
      <w:spacing w:before="0" w:after="0"/>
      <w:jc w:val="left"/>
    </w:pPr>
    <w:rPr>
      <w:rFonts w:ascii="Arial" w:hAnsi="Arial" w:cs="Arial"/>
    </w:rPr>
  </w:style>
  <w:style w:type="paragraph" w:customStyle="1" w:styleId="Personnequisigne">
    <w:name w:val="Personne qui signe"/>
    <w:basedOn w:val="Normal"/>
    <w:next w:val="Institutionquisigne"/>
    <w:rsid w:val="0075503A"/>
    <w:pPr>
      <w:tabs>
        <w:tab w:val="left" w:pos="4252"/>
      </w:tabs>
      <w:spacing w:before="0" w:after="0"/>
      <w:jc w:val="left"/>
    </w:pPr>
    <w:rPr>
      <w:i/>
    </w:rPr>
  </w:style>
  <w:style w:type="paragraph" w:customStyle="1" w:styleId="Rfrenceinstitutionnelle">
    <w:name w:val="Référence institutionnelle"/>
    <w:basedOn w:val="Normal"/>
    <w:next w:val="Confidentialit"/>
    <w:rsid w:val="0075503A"/>
    <w:pPr>
      <w:spacing w:before="0" w:after="240"/>
      <w:ind w:left="5103"/>
      <w:jc w:val="left"/>
    </w:pPr>
  </w:style>
  <w:style w:type="paragraph" w:customStyle="1" w:styleId="Rfrenceinterinstitutionnelle">
    <w:name w:val="Référence interinstitutionnelle"/>
    <w:basedOn w:val="Normal"/>
    <w:next w:val="Statut"/>
    <w:rsid w:val="0075503A"/>
    <w:pPr>
      <w:spacing w:before="0" w:after="0"/>
      <w:ind w:left="5103"/>
      <w:jc w:val="left"/>
    </w:pPr>
  </w:style>
  <w:style w:type="paragraph" w:customStyle="1" w:styleId="Rfrenceinterne">
    <w:name w:val="Référence interne"/>
    <w:basedOn w:val="Normal"/>
    <w:next w:val="Rfrenceinterinstitutionnelle"/>
    <w:rsid w:val="0075503A"/>
    <w:pPr>
      <w:spacing w:before="0" w:after="0"/>
      <w:ind w:left="5103"/>
      <w:jc w:val="left"/>
    </w:pPr>
  </w:style>
  <w:style w:type="paragraph" w:customStyle="1" w:styleId="Sous-titreobjet">
    <w:name w:val="Sous-titre objet"/>
    <w:basedOn w:val="Normal"/>
    <w:rsid w:val="0075503A"/>
    <w:pPr>
      <w:spacing w:before="0" w:after="0"/>
      <w:jc w:val="center"/>
    </w:pPr>
    <w:rPr>
      <w:b/>
    </w:rPr>
  </w:style>
  <w:style w:type="paragraph" w:customStyle="1" w:styleId="Statut">
    <w:name w:val="Statut"/>
    <w:basedOn w:val="Normal"/>
    <w:next w:val="Typedudocument"/>
    <w:rsid w:val="0075503A"/>
    <w:pPr>
      <w:spacing w:before="360" w:after="0"/>
      <w:jc w:val="center"/>
    </w:pPr>
  </w:style>
  <w:style w:type="paragraph" w:customStyle="1" w:styleId="Titrearticle">
    <w:name w:val="Titre article"/>
    <w:basedOn w:val="Normal"/>
    <w:next w:val="Normal"/>
    <w:rsid w:val="0075503A"/>
    <w:pPr>
      <w:keepNext/>
      <w:spacing w:before="360"/>
      <w:jc w:val="center"/>
    </w:pPr>
    <w:rPr>
      <w:i/>
    </w:rPr>
  </w:style>
  <w:style w:type="paragraph" w:customStyle="1" w:styleId="Titreobjet">
    <w:name w:val="Titre objet"/>
    <w:basedOn w:val="Normal"/>
    <w:next w:val="Sous-titreobjet"/>
    <w:rsid w:val="0075503A"/>
    <w:pPr>
      <w:spacing w:before="180" w:after="180"/>
      <w:jc w:val="center"/>
    </w:pPr>
    <w:rPr>
      <w:b/>
    </w:rPr>
  </w:style>
  <w:style w:type="paragraph" w:customStyle="1" w:styleId="Typedudocument">
    <w:name w:val="Type du document"/>
    <w:basedOn w:val="Normal"/>
    <w:next w:val="Titreobjet"/>
    <w:rsid w:val="0075503A"/>
    <w:pPr>
      <w:spacing w:before="360" w:after="180"/>
      <w:jc w:val="center"/>
    </w:pPr>
    <w:rPr>
      <w:b/>
    </w:rPr>
  </w:style>
  <w:style w:type="character" w:customStyle="1" w:styleId="Added">
    <w:name w:val="Added"/>
    <w:basedOn w:val="DefaultParagraphFont"/>
    <w:rsid w:val="0075503A"/>
    <w:rPr>
      <w:b/>
      <w:u w:val="single"/>
      <w:shd w:val="clear" w:color="auto" w:fill="auto"/>
    </w:rPr>
  </w:style>
  <w:style w:type="character" w:customStyle="1" w:styleId="Deleted">
    <w:name w:val="Deleted"/>
    <w:basedOn w:val="DefaultParagraphFont"/>
    <w:rsid w:val="0075503A"/>
    <w:rPr>
      <w:strike/>
      <w:dstrike w:val="0"/>
      <w:shd w:val="clear" w:color="auto" w:fill="auto"/>
    </w:rPr>
  </w:style>
  <w:style w:type="paragraph" w:customStyle="1" w:styleId="Address">
    <w:name w:val="Address"/>
    <w:basedOn w:val="Normal"/>
    <w:next w:val="Normal"/>
    <w:rsid w:val="0075503A"/>
    <w:pPr>
      <w:keepLines/>
      <w:spacing w:line="360" w:lineRule="auto"/>
      <w:ind w:left="3402"/>
      <w:jc w:val="left"/>
    </w:pPr>
  </w:style>
  <w:style w:type="paragraph" w:customStyle="1" w:styleId="Objetexterne">
    <w:name w:val="Objet externe"/>
    <w:basedOn w:val="Normal"/>
    <w:next w:val="Normal"/>
    <w:rsid w:val="0075503A"/>
    <w:rPr>
      <w:i/>
      <w:caps/>
    </w:rPr>
  </w:style>
  <w:style w:type="paragraph" w:customStyle="1" w:styleId="Pagedecouverture">
    <w:name w:val="Page de couverture"/>
    <w:basedOn w:val="Normal"/>
    <w:next w:val="Normal"/>
    <w:rsid w:val="0075503A"/>
    <w:pPr>
      <w:spacing w:before="0" w:after="0"/>
    </w:pPr>
  </w:style>
  <w:style w:type="paragraph" w:customStyle="1" w:styleId="Supertitre">
    <w:name w:val="Supertitre"/>
    <w:basedOn w:val="Normal"/>
    <w:next w:val="Normal"/>
    <w:rsid w:val="0075503A"/>
    <w:pPr>
      <w:spacing w:before="0" w:after="600"/>
      <w:jc w:val="center"/>
    </w:pPr>
    <w:rPr>
      <w:b/>
    </w:rPr>
  </w:style>
  <w:style w:type="paragraph" w:customStyle="1" w:styleId="Languesfaisantfoi">
    <w:name w:val="Langues faisant foi"/>
    <w:basedOn w:val="Normal"/>
    <w:next w:val="Normal"/>
    <w:rsid w:val="0075503A"/>
    <w:pPr>
      <w:spacing w:before="360" w:after="0"/>
      <w:jc w:val="center"/>
    </w:pPr>
  </w:style>
  <w:style w:type="paragraph" w:customStyle="1" w:styleId="Rfrencecroise">
    <w:name w:val="Référence croisée"/>
    <w:basedOn w:val="Normal"/>
    <w:rsid w:val="0075503A"/>
    <w:pPr>
      <w:spacing w:before="0" w:after="0"/>
      <w:jc w:val="center"/>
    </w:pPr>
  </w:style>
  <w:style w:type="paragraph" w:customStyle="1" w:styleId="Fichefinanciretitre">
    <w:name w:val="Fiche financière titre"/>
    <w:basedOn w:val="Normal"/>
    <w:next w:val="Normal"/>
    <w:rsid w:val="0075503A"/>
    <w:pPr>
      <w:jc w:val="center"/>
    </w:pPr>
    <w:rPr>
      <w:b/>
      <w:u w:val="single"/>
    </w:rPr>
  </w:style>
  <w:style w:type="paragraph" w:customStyle="1" w:styleId="DatedadoptionPagedecouverture">
    <w:name w:val="Date d'adoption (Page de couverture)"/>
    <w:basedOn w:val="Datedadoption"/>
    <w:next w:val="TitreobjetPagedecouverture"/>
    <w:rsid w:val="0075503A"/>
  </w:style>
  <w:style w:type="paragraph" w:customStyle="1" w:styleId="RfrenceinterinstitutionnellePagedecouverture">
    <w:name w:val="Référence interinstitutionnelle (Page de couverture)"/>
    <w:basedOn w:val="Rfrenceinterinstitutionnelle"/>
    <w:next w:val="Confidentialit"/>
    <w:rsid w:val="0075503A"/>
  </w:style>
  <w:style w:type="paragraph" w:customStyle="1" w:styleId="Sous-titreobjetPagedecouverture">
    <w:name w:val="Sous-titre objet (Page de couverture)"/>
    <w:basedOn w:val="Sous-titreobjet"/>
    <w:rsid w:val="0075503A"/>
  </w:style>
  <w:style w:type="paragraph" w:customStyle="1" w:styleId="StatutPagedecouverture">
    <w:name w:val="Statut (Page de couverture)"/>
    <w:basedOn w:val="Statut"/>
    <w:next w:val="TypedudocumentPagedecouverture"/>
    <w:rsid w:val="0075503A"/>
  </w:style>
  <w:style w:type="paragraph" w:customStyle="1" w:styleId="TitreobjetPagedecouverture">
    <w:name w:val="Titre objet (Page de couverture)"/>
    <w:basedOn w:val="Titreobjet"/>
    <w:next w:val="Sous-titreobjetPagedecouverture"/>
    <w:rsid w:val="0075503A"/>
  </w:style>
  <w:style w:type="paragraph" w:customStyle="1" w:styleId="TypedudocumentPagedecouverture">
    <w:name w:val="Type du document (Page de couverture)"/>
    <w:basedOn w:val="Typedudocument"/>
    <w:next w:val="TitreobjetPagedecouverture"/>
    <w:rsid w:val="0075503A"/>
  </w:style>
  <w:style w:type="paragraph" w:customStyle="1" w:styleId="Volume">
    <w:name w:val="Volume"/>
    <w:basedOn w:val="Normal"/>
    <w:next w:val="Confidentialit"/>
    <w:rsid w:val="0075503A"/>
    <w:pPr>
      <w:spacing w:before="0" w:after="240"/>
      <w:ind w:left="5103"/>
      <w:jc w:val="left"/>
    </w:pPr>
  </w:style>
  <w:style w:type="paragraph" w:customStyle="1" w:styleId="IntrtEEE">
    <w:name w:val="Intérêt EEE"/>
    <w:basedOn w:val="Languesfaisantfoi"/>
    <w:next w:val="Normal"/>
    <w:rsid w:val="0075503A"/>
    <w:pPr>
      <w:spacing w:after="240"/>
    </w:pPr>
  </w:style>
  <w:style w:type="paragraph" w:customStyle="1" w:styleId="Accompagnant">
    <w:name w:val="Accompagnant"/>
    <w:basedOn w:val="Normal"/>
    <w:next w:val="Typeacteprincipal"/>
    <w:rsid w:val="0075503A"/>
    <w:pPr>
      <w:spacing w:before="180" w:after="240"/>
      <w:jc w:val="center"/>
    </w:pPr>
    <w:rPr>
      <w:b/>
    </w:rPr>
  </w:style>
  <w:style w:type="paragraph" w:customStyle="1" w:styleId="Typeacteprincipal">
    <w:name w:val="Type acte principal"/>
    <w:basedOn w:val="Normal"/>
    <w:next w:val="Objetacteprincipal"/>
    <w:rsid w:val="0075503A"/>
    <w:pPr>
      <w:spacing w:before="0" w:after="240"/>
      <w:jc w:val="center"/>
    </w:pPr>
    <w:rPr>
      <w:b/>
    </w:rPr>
  </w:style>
  <w:style w:type="paragraph" w:customStyle="1" w:styleId="Objetacteprincipal">
    <w:name w:val="Objet acte principal"/>
    <w:basedOn w:val="Normal"/>
    <w:next w:val="Titrearticle"/>
    <w:rsid w:val="0075503A"/>
    <w:pPr>
      <w:spacing w:before="0" w:after="360"/>
      <w:jc w:val="center"/>
    </w:pPr>
    <w:rPr>
      <w:b/>
    </w:rPr>
  </w:style>
  <w:style w:type="paragraph" w:customStyle="1" w:styleId="IntrtEEEPagedecouverture">
    <w:name w:val="Intérêt EEE (Page de couverture)"/>
    <w:basedOn w:val="IntrtEEE"/>
    <w:next w:val="Rfrencecroise"/>
    <w:rsid w:val="0075503A"/>
  </w:style>
  <w:style w:type="paragraph" w:customStyle="1" w:styleId="AccompagnantPagedecouverture">
    <w:name w:val="Accompagnant (Page de couverture)"/>
    <w:basedOn w:val="Accompagnant"/>
    <w:next w:val="TypeacteprincipalPagedecouverture"/>
    <w:rsid w:val="0075503A"/>
  </w:style>
  <w:style w:type="paragraph" w:customStyle="1" w:styleId="TypeacteprincipalPagedecouverture">
    <w:name w:val="Type acte principal (Page de couverture)"/>
    <w:basedOn w:val="Typeacteprincipal"/>
    <w:next w:val="ObjetacteprincipalPagedecouverture"/>
    <w:rsid w:val="0075503A"/>
  </w:style>
  <w:style w:type="paragraph" w:customStyle="1" w:styleId="ObjetacteprincipalPagedecouverture">
    <w:name w:val="Objet acte principal (Page de couverture)"/>
    <w:basedOn w:val="Objetacteprincipal"/>
    <w:next w:val="Rfrencecroise"/>
    <w:rsid w:val="0075503A"/>
  </w:style>
  <w:style w:type="paragraph" w:customStyle="1" w:styleId="LanguesfaisantfoiPagedecouverture">
    <w:name w:val="Langues faisant foi (Page de couverture)"/>
    <w:basedOn w:val="Normal"/>
    <w:next w:val="Normal"/>
    <w:rsid w:val="0075503A"/>
    <w:pPr>
      <w:spacing w:before="360" w:after="0"/>
      <w:jc w:val="center"/>
    </w:pPr>
  </w:style>
  <w:style w:type="paragraph" w:customStyle="1" w:styleId="Declassification">
    <w:name w:val="Declassification"/>
    <w:basedOn w:val="Normal"/>
    <w:next w:val="Normal"/>
    <w:rsid w:val="00C8611E"/>
    <w:pPr>
      <w:spacing w:before="0" w:after="0"/>
    </w:pPr>
    <w:rPr>
      <w:rFonts w:eastAsiaTheme="minorHAnsi"/>
    </w:rPr>
  </w:style>
  <w:style w:type="paragraph" w:customStyle="1" w:styleId="HeaderSensitivity">
    <w:name w:val="Header Sensitivity"/>
    <w:basedOn w:val="Normal"/>
    <w:rsid w:val="00C8611E"/>
    <w:pPr>
      <w:pBdr>
        <w:top w:val="single" w:sz="4" w:space="1" w:color="auto"/>
        <w:left w:val="single" w:sz="4" w:space="4" w:color="auto"/>
        <w:bottom w:val="single" w:sz="4" w:space="1" w:color="auto"/>
        <w:right w:val="single" w:sz="4" w:space="4" w:color="auto"/>
      </w:pBdr>
      <w:spacing w:before="0"/>
      <w:ind w:left="113" w:right="113"/>
      <w:jc w:val="center"/>
    </w:pPr>
    <w:rPr>
      <w:rFonts w:eastAsiaTheme="minorHAnsi"/>
      <w:b/>
      <w:sz w:val="32"/>
    </w:rPr>
  </w:style>
  <w:style w:type="paragraph" w:customStyle="1" w:styleId="FooterSensitivity">
    <w:name w:val="Footer Sensitivity"/>
    <w:basedOn w:val="Normal"/>
    <w:rsid w:val="00C8611E"/>
    <w:pPr>
      <w:pBdr>
        <w:top w:val="single" w:sz="4" w:space="1" w:color="auto"/>
        <w:left w:val="single" w:sz="4" w:space="4" w:color="auto"/>
        <w:bottom w:val="single" w:sz="4" w:space="1" w:color="auto"/>
        <w:right w:val="single" w:sz="4" w:space="4" w:color="auto"/>
      </w:pBdr>
      <w:spacing w:before="360" w:after="0"/>
      <w:ind w:left="113" w:right="113"/>
      <w:jc w:val="center"/>
    </w:pPr>
    <w:rPr>
      <w:rFonts w:eastAsiaTheme="minorHAnsi"/>
      <w:b/>
      <w:sz w:val="32"/>
    </w:rPr>
  </w:style>
  <w:style w:type="paragraph" w:customStyle="1" w:styleId="Disclaimer">
    <w:name w:val="Disclaimer"/>
    <w:basedOn w:val="Normal"/>
    <w:rsid w:val="00C8611E"/>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BD90F-EF4B-45E6-B832-BD2150CC8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7</TotalTime>
  <Pages>17</Pages>
  <Words>5583</Words>
  <Characters>34114</Characters>
  <Application>Microsoft Office Word</Application>
  <DocSecurity>0</DocSecurity>
  <Lines>588</Lines>
  <Paragraphs>202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SANCHEZ MERINO Jesus (SG)</cp:lastModifiedBy>
  <cp:revision>6</cp:revision>
  <cp:lastPrinted>2018-01-29T16:02:00Z</cp:lastPrinted>
  <dcterms:created xsi:type="dcterms:W3CDTF">2017-05-23T15:40:00Z</dcterms:created>
  <dcterms:modified xsi:type="dcterms:W3CDTF">2018-01-29T16:03:00Z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First annex">
    <vt:lpwstr>1</vt:lpwstr>
  </property>
  <property fmtid="{D5CDD505-2E9C-101B-9397-08002B2CF9AE}" pid="7" name="Last annex">
    <vt:lpwstr>1</vt:lpwstr>
  </property>
  <property fmtid="{D5CDD505-2E9C-101B-9397-08002B2CF9AE}" pid="8" name="Part">
    <vt:lpwstr>1</vt:lpwstr>
  </property>
  <property fmtid="{D5CDD505-2E9C-101B-9397-08002B2CF9AE}" pid="9" name="Total parts">
    <vt:lpwstr>1</vt:lpwstr>
  </property>
  <property fmtid="{D5CDD505-2E9C-101B-9397-08002B2CF9AE}" pid="10" name="LWTemplateID">
    <vt:lpwstr>SG-053</vt:lpwstr>
  </property>
  <property fmtid="{D5CDD505-2E9C-101B-9397-08002B2CF9AE}" pid="11" name="DQCStatus">
    <vt:lpwstr>Yellow (DQC version 03)</vt:lpwstr>
  </property>
  <property fmtid="{D5CDD505-2E9C-101B-9397-08002B2CF9AE}" pid="12" name="Level of sensitivity">
    <vt:lpwstr>EU RESTRICTED</vt:lpwstr>
  </property>
</Properties>
</file>