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55" w:rsidRDefault="00AB2C2D" w:rsidP="00AB2C2D">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3E1595B7B214889970EB79BF3D98AA9" style="width:450.35pt;height:435.4pt">
            <v:imagedata r:id="rId12" o:title=""/>
          </v:shape>
        </w:pict>
      </w:r>
    </w:p>
    <w:bookmarkEnd w:id="0"/>
    <w:p w:rsidR="00A06E55" w:rsidRDefault="00A06E55" w:rsidP="00A06E55">
      <w:pPr>
        <w:sectPr w:rsidR="00A06E55" w:rsidSect="00AB2C2D">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20130A" w:rsidTr="00C22EC4">
        <w:tc>
          <w:tcPr>
            <w:tcW w:w="10188" w:type="dxa"/>
            <w:tcBorders>
              <w:bottom w:val="single" w:sz="4" w:space="0" w:color="auto"/>
            </w:tcBorders>
            <w:shd w:val="clear" w:color="auto" w:fill="CCCCCC"/>
          </w:tcPr>
          <w:p w:rsidR="0020130A" w:rsidRPr="00C22EC4" w:rsidRDefault="00215251" w:rsidP="00616173">
            <w:pPr>
              <w:spacing w:before="60" w:after="60"/>
              <w:jc w:val="center"/>
              <w:rPr>
                <w:rFonts w:ascii="Tahoma" w:hAnsi="Tahoma" w:cs="Tahoma"/>
                <w:b/>
                <w:sz w:val="22"/>
                <w:szCs w:val="22"/>
              </w:rPr>
            </w:pPr>
            <w:bookmarkStart w:id="1" w:name="_GoBack"/>
            <w:bookmarkEnd w:id="1"/>
            <w:r>
              <w:rPr>
                <w:rFonts w:ascii="Tahoma" w:hAnsi="Tahoma"/>
                <w:b/>
                <w:sz w:val="22"/>
              </w:rPr>
              <w:lastRenderedPageBreak/>
              <w:t>Résumé de l’analyse d’impact</w:t>
            </w:r>
          </w:p>
        </w:tc>
      </w:tr>
      <w:tr w:rsidR="00B72557" w:rsidRPr="001B2DAE" w:rsidTr="00C22EC4">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2E3107" w:rsidRPr="00C22EC4" w:rsidRDefault="00C64321" w:rsidP="00C64321">
            <w:pPr>
              <w:spacing w:before="120" w:after="120"/>
              <w:jc w:val="both"/>
              <w:rPr>
                <w:rFonts w:ascii="Tahoma" w:hAnsi="Tahoma" w:cs="Tahoma"/>
                <w:sz w:val="20"/>
                <w:szCs w:val="20"/>
              </w:rPr>
            </w:pPr>
            <w:r>
              <w:rPr>
                <w:rFonts w:ascii="Tahoma" w:hAnsi="Tahoma"/>
                <w:color w:val="FFFFFF" w:themeColor="background1"/>
                <w:sz w:val="20"/>
              </w:rPr>
              <w:t>Analyse d’impact relative à une recommandation de décision du Conseil autorisant l’ouverture de négociations en vue de moderniser l’accord d’association UE-Chili</w:t>
            </w:r>
          </w:p>
        </w:tc>
      </w:tr>
      <w:tr w:rsidR="00B72557" w:rsidRPr="001239CB" w:rsidTr="009C13D3">
        <w:tc>
          <w:tcPr>
            <w:tcW w:w="10188" w:type="dxa"/>
            <w:tcBorders>
              <w:bottom w:val="single" w:sz="4" w:space="0" w:color="auto"/>
            </w:tcBorders>
            <w:shd w:val="clear" w:color="auto" w:fill="CCCCCC"/>
          </w:tcPr>
          <w:p w:rsidR="00B72557" w:rsidRPr="00B72557" w:rsidRDefault="00B72557" w:rsidP="00B72557">
            <w:pPr>
              <w:spacing w:before="60" w:after="60"/>
              <w:jc w:val="center"/>
              <w:rPr>
                <w:rFonts w:ascii="Tahoma" w:hAnsi="Tahoma" w:cs="Tahoma"/>
                <w:b/>
                <w:sz w:val="22"/>
                <w:szCs w:val="22"/>
              </w:rPr>
            </w:pPr>
            <w:r>
              <w:rPr>
                <w:rFonts w:ascii="Tahoma" w:hAnsi="Tahoma"/>
                <w:b/>
                <w:sz w:val="22"/>
              </w:rPr>
              <w:t>A. Nécessité d’une action</w:t>
            </w:r>
          </w:p>
        </w:tc>
      </w:tr>
      <w:tr w:rsidR="00BB50C8" w:rsidRPr="00501394" w:rsidTr="009C13D3">
        <w:tc>
          <w:tcPr>
            <w:tcW w:w="10188" w:type="dxa"/>
            <w:tcBorders>
              <w:bottom w:val="single" w:sz="4" w:space="0" w:color="auto"/>
            </w:tcBorders>
            <w:shd w:val="clear" w:color="auto" w:fill="E0E0E0"/>
          </w:tcPr>
          <w:p w:rsidR="00BB50C8" w:rsidRPr="00CD4871" w:rsidRDefault="00BB50C8" w:rsidP="002437F3">
            <w:pPr>
              <w:spacing w:before="60" w:after="60"/>
              <w:jc w:val="both"/>
              <w:rPr>
                <w:rFonts w:ascii="Tahoma" w:hAnsi="Tahoma" w:cs="Tahoma"/>
                <w:sz w:val="20"/>
                <w:szCs w:val="20"/>
              </w:rPr>
            </w:pPr>
            <w:r>
              <w:rPr>
                <w:rFonts w:ascii="Tahoma" w:hAnsi="Tahoma"/>
                <w:b/>
                <w:sz w:val="20"/>
              </w:rPr>
              <w:t xml:space="preserve">Pourquoi? Quel est le problème abordé? </w:t>
            </w:r>
          </w:p>
        </w:tc>
      </w:tr>
      <w:tr w:rsidR="00020E20" w:rsidRPr="00020E20" w:rsidTr="001B648C">
        <w:tc>
          <w:tcPr>
            <w:tcW w:w="10188" w:type="dxa"/>
            <w:tcBorders>
              <w:bottom w:val="single" w:sz="4" w:space="0" w:color="auto"/>
            </w:tcBorders>
            <w:shd w:val="clear" w:color="auto" w:fill="auto"/>
          </w:tcPr>
          <w:p w:rsidR="00020E20" w:rsidRPr="00020E20" w:rsidRDefault="00020E20" w:rsidP="00F53054">
            <w:pPr>
              <w:jc w:val="both"/>
              <w:rPr>
                <w:rFonts w:ascii="Arial" w:hAnsi="Arial" w:cs="Arial"/>
                <w:sz w:val="8"/>
                <w:szCs w:val="8"/>
              </w:rPr>
            </w:pPr>
          </w:p>
          <w:p w:rsidR="000B54A0" w:rsidRDefault="000B54A0" w:rsidP="00F53054">
            <w:pPr>
              <w:jc w:val="both"/>
              <w:rPr>
                <w:rFonts w:ascii="Arial" w:hAnsi="Arial" w:cs="Arial"/>
                <w:sz w:val="20"/>
                <w:szCs w:val="20"/>
              </w:rPr>
            </w:pPr>
            <w:r>
              <w:rPr>
                <w:rFonts w:ascii="Arial" w:hAnsi="Arial"/>
                <w:sz w:val="20"/>
              </w:rPr>
              <w:t xml:space="preserve">La communication de la Commission intitulée </w:t>
            </w:r>
            <w:r>
              <w:rPr>
                <w:rFonts w:ascii="Arial" w:hAnsi="Arial"/>
                <w:i/>
                <w:sz w:val="20"/>
              </w:rPr>
              <w:t>Le commerce pour tous</w:t>
            </w:r>
            <w:r>
              <w:rPr>
                <w:rFonts w:ascii="Arial" w:hAnsi="Arial"/>
                <w:sz w:val="20"/>
              </w:rPr>
              <w:t xml:space="preserve"> définit une nouvelle approche de la politique commerciale de l’UE. L</w:t>
            </w:r>
            <w:r w:rsidR="002724FA">
              <w:rPr>
                <w:rFonts w:ascii="Arial" w:hAnsi="Arial"/>
                <w:sz w:val="20"/>
              </w:rPr>
              <w:t>’</w:t>
            </w:r>
            <w:r>
              <w:rPr>
                <w:rFonts w:ascii="Arial" w:hAnsi="Arial"/>
                <w:sz w:val="20"/>
              </w:rPr>
              <w:t xml:space="preserve">objectif est de rendre ladite politique plus efficace sur le plan des résultats économiques obtenus, plus transparente et fondée non seulement sur des intérêts économiques, mais également sur des valeurs. Ces objectifs généraux portent sur le commerce et le développement durable et visent à faciliter les échanges et les investissements pour les PME et à inclure des dispositions modernes sur la protection des investissements dans les accords bilatéraux. Ces éléments sont absents du volet commercial de l’accord d’association UE-Chili existant (l’«ALE UE-Chili») et sont à l’origine de l’initiative visant à moderniser l’ALE UE-Chili, qui figurait parmi les initiatives mises en avant dans la communication de la Commission intitulée </w:t>
            </w:r>
            <w:r>
              <w:rPr>
                <w:rFonts w:ascii="Arial" w:hAnsi="Arial"/>
                <w:i/>
                <w:sz w:val="20"/>
              </w:rPr>
              <w:t>Le commerce pour tous</w:t>
            </w:r>
            <w:r>
              <w:rPr>
                <w:rFonts w:ascii="Arial" w:hAnsi="Arial"/>
                <w:sz w:val="20"/>
              </w:rPr>
              <w:t xml:space="preserve">. </w:t>
            </w:r>
          </w:p>
          <w:p w:rsidR="000B54A0" w:rsidRDefault="000B54A0" w:rsidP="00F53054">
            <w:pPr>
              <w:jc w:val="both"/>
              <w:rPr>
                <w:rFonts w:ascii="Arial" w:hAnsi="Arial" w:cs="Arial"/>
                <w:sz w:val="20"/>
                <w:szCs w:val="20"/>
              </w:rPr>
            </w:pPr>
            <w:r>
              <w:rPr>
                <w:rFonts w:ascii="Arial" w:hAnsi="Arial"/>
                <w:sz w:val="20"/>
              </w:rPr>
              <w:t xml:space="preserve"> </w:t>
            </w:r>
          </w:p>
          <w:p w:rsidR="00020E20" w:rsidRPr="00020E20" w:rsidRDefault="003F7099" w:rsidP="00F53054">
            <w:pPr>
              <w:jc w:val="both"/>
              <w:rPr>
                <w:rFonts w:ascii="Arial" w:hAnsi="Arial" w:cs="Arial"/>
                <w:sz w:val="20"/>
                <w:szCs w:val="20"/>
              </w:rPr>
            </w:pPr>
            <w:r>
              <w:rPr>
                <w:rFonts w:ascii="Arial" w:hAnsi="Arial"/>
                <w:sz w:val="20"/>
              </w:rPr>
              <w:t>Par ailleurs, les entreprises de l’UE rencontrent certains problèmes propres au Chili. Quatorze ans après son entrée en vigueur, l’ALE UE-Chili ne remédie pas de manière adéquate à certains problèmes majeurs en matière de commerce et d’investissement. L</w:t>
            </w:r>
            <w:r w:rsidR="002724FA">
              <w:rPr>
                <w:rFonts w:ascii="Arial" w:hAnsi="Arial"/>
                <w:sz w:val="20"/>
              </w:rPr>
              <w:t>’</w:t>
            </w:r>
            <w:r>
              <w:rPr>
                <w:rFonts w:ascii="Arial" w:hAnsi="Arial"/>
                <w:sz w:val="20"/>
              </w:rPr>
              <w:t>absence d</w:t>
            </w:r>
            <w:r w:rsidR="002724FA">
              <w:rPr>
                <w:rFonts w:ascii="Arial" w:hAnsi="Arial"/>
                <w:sz w:val="20"/>
              </w:rPr>
              <w:t>’</w:t>
            </w:r>
            <w:r>
              <w:rPr>
                <w:rFonts w:ascii="Arial" w:hAnsi="Arial"/>
                <w:sz w:val="20"/>
              </w:rPr>
              <w:t>accès aux marchés des produits agricoles et des services et aux marchés publics ainsi que l</w:t>
            </w:r>
            <w:r w:rsidR="002724FA">
              <w:rPr>
                <w:rFonts w:ascii="Arial" w:hAnsi="Arial"/>
                <w:sz w:val="20"/>
              </w:rPr>
              <w:t>’</w:t>
            </w:r>
            <w:r>
              <w:rPr>
                <w:rFonts w:ascii="Arial" w:hAnsi="Arial"/>
                <w:sz w:val="20"/>
              </w:rPr>
              <w:t>archaïsme des dispositions concernant les règles (par exemple, des règles d’origine obsolètes, des obstacles non tarifaires pas totalement éliminés, des dispositions limitées en matière de droits de propriété intellectuelle) ne permettent pas aux échanges et aux investissements bilatéraux d</w:t>
            </w:r>
            <w:r w:rsidR="002724FA">
              <w:rPr>
                <w:rFonts w:ascii="Arial" w:hAnsi="Arial"/>
                <w:sz w:val="20"/>
              </w:rPr>
              <w:t>’</w:t>
            </w:r>
            <w:r>
              <w:rPr>
                <w:rFonts w:ascii="Arial" w:hAnsi="Arial"/>
                <w:sz w:val="20"/>
              </w:rPr>
              <w:t>atteindre leur plein potentiel. En outre, les échanges et les investissements bilatéraux de l’UE avec le Chili font face à la concurrence accrue de pays tiers (en particulier la Chine), le Chili ayant conclu de nombreux ALE avec d</w:t>
            </w:r>
            <w:r w:rsidR="002724FA">
              <w:rPr>
                <w:rFonts w:ascii="Arial" w:hAnsi="Arial"/>
                <w:sz w:val="20"/>
              </w:rPr>
              <w:t>’</w:t>
            </w:r>
            <w:r>
              <w:rPr>
                <w:rFonts w:ascii="Arial" w:hAnsi="Arial"/>
                <w:sz w:val="20"/>
              </w:rPr>
              <w:t xml:space="preserve">autres partenaires commerciaux ces dernières années. </w:t>
            </w:r>
          </w:p>
          <w:p w:rsidR="00CD2483" w:rsidRPr="00020E20" w:rsidRDefault="00261919" w:rsidP="00F53054">
            <w:pPr>
              <w:jc w:val="both"/>
              <w:rPr>
                <w:rFonts w:ascii="Arial" w:hAnsi="Arial" w:cs="Arial"/>
                <w:sz w:val="8"/>
                <w:szCs w:val="8"/>
              </w:rPr>
            </w:pPr>
            <w:r>
              <w:rPr>
                <w:rFonts w:ascii="Arial" w:hAnsi="Arial"/>
                <w:sz w:val="8"/>
              </w:rPr>
              <w:t xml:space="preserve"> </w:t>
            </w:r>
          </w:p>
        </w:tc>
      </w:tr>
      <w:tr w:rsidR="00020E20" w:rsidRPr="00020E20" w:rsidTr="001B648C">
        <w:tc>
          <w:tcPr>
            <w:tcW w:w="10188" w:type="dxa"/>
            <w:tcBorders>
              <w:bottom w:val="single" w:sz="4" w:space="0" w:color="auto"/>
            </w:tcBorders>
            <w:shd w:val="clear" w:color="auto" w:fill="E6E6E6"/>
          </w:tcPr>
          <w:p w:rsidR="00BB50C8" w:rsidRPr="00020E20" w:rsidRDefault="00BB50C8" w:rsidP="002437F3">
            <w:pPr>
              <w:spacing w:before="60" w:after="60"/>
              <w:jc w:val="both"/>
              <w:rPr>
                <w:rFonts w:ascii="Tahoma" w:hAnsi="Tahoma" w:cs="Tahoma"/>
                <w:sz w:val="20"/>
                <w:szCs w:val="20"/>
              </w:rPr>
            </w:pPr>
            <w:r>
              <w:rPr>
                <w:rFonts w:ascii="Tahoma" w:hAnsi="Tahoma"/>
                <w:b/>
                <w:sz w:val="20"/>
              </w:rPr>
              <w:t xml:space="preserve">Quel objectif cette initiative devrait-elle atteindre? </w:t>
            </w:r>
          </w:p>
        </w:tc>
      </w:tr>
      <w:tr w:rsidR="00020E20" w:rsidRPr="00020E20" w:rsidTr="001B648C">
        <w:tc>
          <w:tcPr>
            <w:tcW w:w="10188" w:type="dxa"/>
            <w:tcBorders>
              <w:bottom w:val="single" w:sz="4" w:space="0" w:color="auto"/>
            </w:tcBorders>
            <w:shd w:val="clear" w:color="auto" w:fill="auto"/>
          </w:tcPr>
          <w:p w:rsidR="00020E20" w:rsidRPr="00020E20" w:rsidRDefault="00020E20" w:rsidP="00020E20">
            <w:pPr>
              <w:jc w:val="both"/>
              <w:rPr>
                <w:rFonts w:ascii="Arial" w:hAnsi="Arial" w:cs="Arial"/>
                <w:sz w:val="8"/>
                <w:szCs w:val="8"/>
              </w:rPr>
            </w:pPr>
          </w:p>
          <w:p w:rsidR="00265A1D" w:rsidRDefault="008D1C47" w:rsidP="00020E20">
            <w:pPr>
              <w:jc w:val="both"/>
              <w:rPr>
                <w:rFonts w:ascii="Arial" w:hAnsi="Arial" w:cs="Arial"/>
                <w:sz w:val="20"/>
                <w:szCs w:val="20"/>
              </w:rPr>
            </w:pPr>
            <w:r>
              <w:rPr>
                <w:rFonts w:ascii="Arial" w:hAnsi="Arial"/>
                <w:sz w:val="20"/>
              </w:rPr>
              <w:t>L</w:t>
            </w:r>
            <w:r w:rsidR="002724FA">
              <w:rPr>
                <w:rFonts w:ascii="Arial" w:hAnsi="Arial"/>
                <w:sz w:val="20"/>
              </w:rPr>
              <w:t>’</w:t>
            </w:r>
            <w:r>
              <w:rPr>
                <w:rFonts w:ascii="Arial" w:hAnsi="Arial"/>
                <w:sz w:val="20"/>
              </w:rPr>
              <w:t xml:space="preserve">initiative devrait permettre </w:t>
            </w:r>
          </w:p>
          <w:p w:rsidR="00265A1D" w:rsidRDefault="00C25B62" w:rsidP="00020E20">
            <w:pPr>
              <w:jc w:val="both"/>
              <w:rPr>
                <w:rFonts w:ascii="Arial" w:hAnsi="Arial" w:cs="Arial"/>
                <w:sz w:val="20"/>
                <w:szCs w:val="20"/>
              </w:rPr>
            </w:pPr>
            <w:r>
              <w:rPr>
                <w:rFonts w:ascii="Arial" w:hAnsi="Arial"/>
                <w:sz w:val="20"/>
              </w:rPr>
              <w:t>i) d</w:t>
            </w:r>
            <w:r w:rsidR="002724FA">
              <w:rPr>
                <w:rFonts w:ascii="Arial" w:hAnsi="Arial"/>
                <w:sz w:val="20"/>
              </w:rPr>
              <w:t>’</w:t>
            </w:r>
            <w:r>
              <w:rPr>
                <w:rFonts w:ascii="Arial" w:hAnsi="Arial"/>
                <w:sz w:val="20"/>
              </w:rPr>
              <w:t>améliorer l</w:t>
            </w:r>
            <w:r w:rsidR="002724FA">
              <w:rPr>
                <w:rFonts w:ascii="Arial" w:hAnsi="Arial"/>
                <w:sz w:val="20"/>
              </w:rPr>
              <w:t>’</w:t>
            </w:r>
            <w:r>
              <w:rPr>
                <w:rFonts w:ascii="Arial" w:hAnsi="Arial"/>
                <w:sz w:val="20"/>
              </w:rPr>
              <w:t xml:space="preserve">accès aux marchés pour les biens, les services et les investissements (y compris par un accès aux marchés publics); </w:t>
            </w:r>
          </w:p>
          <w:p w:rsidR="00265A1D" w:rsidRDefault="00C25B62" w:rsidP="00020E20">
            <w:pPr>
              <w:jc w:val="both"/>
              <w:rPr>
                <w:rFonts w:ascii="Arial" w:hAnsi="Arial" w:cs="Arial"/>
                <w:sz w:val="20"/>
                <w:szCs w:val="20"/>
              </w:rPr>
            </w:pPr>
            <w:r>
              <w:rPr>
                <w:rFonts w:ascii="Arial" w:hAnsi="Arial"/>
                <w:sz w:val="20"/>
              </w:rPr>
              <w:t>ii) de garantir la mise en place d</w:t>
            </w:r>
            <w:r w:rsidR="002724FA">
              <w:rPr>
                <w:rFonts w:ascii="Arial" w:hAnsi="Arial"/>
                <w:sz w:val="20"/>
              </w:rPr>
              <w:t>’</w:t>
            </w:r>
            <w:r>
              <w:rPr>
                <w:rFonts w:ascii="Arial" w:hAnsi="Arial"/>
                <w:sz w:val="20"/>
              </w:rPr>
              <w:t xml:space="preserve">un cadre unique et efficace de protection des investissements pour tous les investissements de l’UE, mis en œuvre au moyen d’un système juridictionnel des investissements; </w:t>
            </w:r>
          </w:p>
          <w:p w:rsidR="00DB46C6" w:rsidRDefault="00C25B62" w:rsidP="00020E20">
            <w:pPr>
              <w:jc w:val="both"/>
              <w:rPr>
                <w:rFonts w:ascii="Arial" w:hAnsi="Arial" w:cs="Arial"/>
                <w:sz w:val="20"/>
                <w:szCs w:val="20"/>
              </w:rPr>
            </w:pPr>
            <w:r>
              <w:rPr>
                <w:rFonts w:ascii="Arial" w:hAnsi="Arial"/>
                <w:sz w:val="20"/>
              </w:rPr>
              <w:t xml:space="preserve">iii) de garantir un niveau élevé de protection des droits de propriété intellectuelle et l’extension de la protection des indications géographiques aux denrées alimentaires; </w:t>
            </w:r>
          </w:p>
          <w:p w:rsidR="00265A1D" w:rsidRDefault="00C25B62" w:rsidP="00020E20">
            <w:pPr>
              <w:jc w:val="both"/>
              <w:rPr>
                <w:rFonts w:ascii="Arial" w:hAnsi="Arial" w:cs="Arial"/>
                <w:sz w:val="20"/>
                <w:szCs w:val="20"/>
              </w:rPr>
            </w:pPr>
            <w:r>
              <w:rPr>
                <w:rFonts w:ascii="Arial" w:hAnsi="Arial"/>
                <w:sz w:val="20"/>
              </w:rPr>
              <w:t>iv) de renforcer le dialogue et la coopération sur les cadres réglementaires et les pratiques administratives en vue d’améliorer la cohérence réglementaire; et</w:t>
            </w:r>
          </w:p>
          <w:p w:rsidR="00BB50C8" w:rsidRPr="00020E20" w:rsidRDefault="00C25B62" w:rsidP="00020E20">
            <w:pPr>
              <w:jc w:val="both"/>
              <w:rPr>
                <w:rFonts w:ascii="Arial" w:hAnsi="Arial" w:cs="Arial"/>
                <w:sz w:val="20"/>
                <w:szCs w:val="20"/>
              </w:rPr>
            </w:pPr>
            <w:r>
              <w:rPr>
                <w:rFonts w:ascii="Arial" w:hAnsi="Arial"/>
                <w:sz w:val="20"/>
              </w:rPr>
              <w:t xml:space="preserve">v) de contribuer à la réalisation de l’objectif commun visant à promouvoir le développement durable en intégrant les dispositions sur l’environnement et le travail relatives au commerce. Cela contribuera à promouvoir une croissance intelligente, durable et inclusive et à créer des perspectives d’emploi et des gains de prospérité. </w:t>
            </w:r>
          </w:p>
          <w:p w:rsidR="00020E20" w:rsidRPr="00020E20" w:rsidRDefault="00020E20" w:rsidP="00020E20">
            <w:pPr>
              <w:jc w:val="both"/>
              <w:rPr>
                <w:rFonts w:eastAsiaTheme="minorHAnsi"/>
                <w:sz w:val="8"/>
                <w:szCs w:val="8"/>
              </w:rPr>
            </w:pPr>
          </w:p>
        </w:tc>
      </w:tr>
      <w:tr w:rsidR="00020E20" w:rsidRPr="00020E20" w:rsidTr="00352A2A">
        <w:tc>
          <w:tcPr>
            <w:tcW w:w="10188" w:type="dxa"/>
            <w:tcBorders>
              <w:bottom w:val="single" w:sz="4" w:space="0" w:color="auto"/>
            </w:tcBorders>
            <w:shd w:val="clear" w:color="auto" w:fill="E6E6E6"/>
          </w:tcPr>
          <w:p w:rsidR="00BB50C8" w:rsidRPr="00020E20" w:rsidRDefault="00DB6E54" w:rsidP="002437F3">
            <w:pPr>
              <w:spacing w:before="60" w:after="60"/>
              <w:jc w:val="both"/>
              <w:rPr>
                <w:rFonts w:ascii="Tahoma" w:hAnsi="Tahoma" w:cs="Tahoma"/>
                <w:sz w:val="20"/>
                <w:szCs w:val="20"/>
              </w:rPr>
            </w:pPr>
            <w:r>
              <w:rPr>
                <w:rFonts w:ascii="Tahoma" w:hAnsi="Tahoma"/>
                <w:b/>
                <w:sz w:val="20"/>
              </w:rPr>
              <w:t>Quelle est la valeur ajoutée de l’action à l’échelle de l’Union?</w:t>
            </w:r>
            <w:r>
              <w:rPr>
                <w:rFonts w:ascii="Tahoma" w:hAnsi="Tahoma"/>
                <w:sz w:val="20"/>
              </w:rPr>
              <w:t xml:space="preserve"> </w:t>
            </w:r>
          </w:p>
        </w:tc>
      </w:tr>
      <w:tr w:rsidR="00020E20" w:rsidRPr="00020E20" w:rsidTr="001B648C">
        <w:tc>
          <w:tcPr>
            <w:tcW w:w="10188" w:type="dxa"/>
            <w:tcBorders>
              <w:bottom w:val="single" w:sz="4" w:space="0" w:color="auto"/>
            </w:tcBorders>
            <w:shd w:val="clear" w:color="auto" w:fill="auto"/>
          </w:tcPr>
          <w:p w:rsidR="00020E20" w:rsidRPr="00020E20" w:rsidRDefault="00020E20" w:rsidP="00C25B62">
            <w:pPr>
              <w:jc w:val="both"/>
              <w:rPr>
                <w:rFonts w:ascii="Arial" w:eastAsiaTheme="minorHAnsi" w:hAnsi="Arial" w:cs="Arial"/>
                <w:sz w:val="8"/>
                <w:szCs w:val="8"/>
              </w:rPr>
            </w:pPr>
          </w:p>
          <w:p w:rsidR="002F7873" w:rsidRPr="00020E20" w:rsidRDefault="00C25B62" w:rsidP="00C25B62">
            <w:pPr>
              <w:jc w:val="both"/>
              <w:rPr>
                <w:rFonts w:ascii="Arial" w:eastAsiaTheme="minorHAnsi" w:hAnsi="Arial" w:cs="Arial"/>
                <w:sz w:val="20"/>
                <w:szCs w:val="20"/>
              </w:rPr>
            </w:pPr>
            <w:r>
              <w:rPr>
                <w:rFonts w:ascii="Arial" w:eastAsiaTheme="minorHAnsi" w:hAnsi="Arial"/>
                <w:sz w:val="20"/>
              </w:rPr>
              <w:t xml:space="preserve">Le principal objectif de l’intervention envisagée est double: améliorer les conditions pour stimuler les échanges et les investissements de l’UE avec le Chili en comblant les lacunes de l’ALE existant et étendre la couverture de ce dernier afin de prendre en considération les objectifs généraux de la politique commerciale de l’UE énoncés dans la communication intitulée </w:t>
            </w:r>
            <w:r>
              <w:rPr>
                <w:rFonts w:ascii="Arial" w:eastAsiaTheme="minorHAnsi" w:hAnsi="Arial"/>
                <w:i/>
                <w:sz w:val="20"/>
              </w:rPr>
              <w:t>Le commerce pour tous</w:t>
            </w:r>
            <w:r>
              <w:rPr>
                <w:rFonts w:ascii="Arial" w:eastAsiaTheme="minorHAnsi" w:hAnsi="Arial"/>
                <w:sz w:val="20"/>
              </w:rPr>
              <w:t>. Conformément à l</w:t>
            </w:r>
            <w:r w:rsidR="002724FA">
              <w:rPr>
                <w:rFonts w:ascii="Arial" w:eastAsiaTheme="minorHAnsi" w:hAnsi="Arial"/>
                <w:sz w:val="20"/>
              </w:rPr>
              <w:t>’</w:t>
            </w:r>
            <w:r>
              <w:rPr>
                <w:rFonts w:ascii="Arial" w:eastAsiaTheme="minorHAnsi" w:hAnsi="Arial"/>
                <w:sz w:val="20"/>
              </w:rPr>
              <w:t>article 3, lu en combinaison avec l’article 207 du traité sur le fonctionnement de l’Union européenne (TFUE), seule l’UE peut négocier des accords commerciaux. Conformément à l’article 5, paragraphe 3, du traité sur l’Union européenne (TUE), le principe de subsidiarité ne s’applique pas aux domaines relevant de la compétence exclusive de l’UE.</w:t>
            </w:r>
          </w:p>
          <w:p w:rsidR="00020E20" w:rsidRPr="00020E20" w:rsidRDefault="00020E20" w:rsidP="00C25B62">
            <w:pPr>
              <w:jc w:val="both"/>
              <w:rPr>
                <w:rFonts w:ascii="Arial" w:hAnsi="Arial" w:cs="Arial"/>
                <w:sz w:val="8"/>
                <w:szCs w:val="8"/>
              </w:rPr>
            </w:pPr>
          </w:p>
        </w:tc>
      </w:tr>
      <w:tr w:rsidR="00020E20" w:rsidRPr="00020E20" w:rsidTr="001B648C">
        <w:tc>
          <w:tcPr>
            <w:tcW w:w="10188" w:type="dxa"/>
            <w:tcBorders>
              <w:bottom w:val="single" w:sz="4" w:space="0" w:color="auto"/>
            </w:tcBorders>
            <w:shd w:val="clear" w:color="auto" w:fill="CCCCCC"/>
          </w:tcPr>
          <w:p w:rsidR="00BB50C8" w:rsidRPr="00020E20" w:rsidRDefault="00C25B62" w:rsidP="00486AF3">
            <w:pPr>
              <w:spacing w:before="60" w:after="60"/>
              <w:jc w:val="center"/>
              <w:rPr>
                <w:rFonts w:ascii="Tahoma" w:hAnsi="Tahoma" w:cs="Tahoma"/>
                <w:b/>
                <w:sz w:val="22"/>
                <w:szCs w:val="22"/>
              </w:rPr>
            </w:pPr>
            <w:r>
              <w:br w:type="page"/>
            </w:r>
            <w:r>
              <w:rPr>
                <w:rFonts w:ascii="Tahoma" w:hAnsi="Tahoma"/>
                <w:b/>
                <w:sz w:val="22"/>
              </w:rPr>
              <w:t>B. Les solutions</w:t>
            </w:r>
          </w:p>
        </w:tc>
      </w:tr>
      <w:tr w:rsidR="00020E20" w:rsidRPr="00020E20" w:rsidTr="001B648C">
        <w:tc>
          <w:tcPr>
            <w:tcW w:w="10188" w:type="dxa"/>
            <w:tcBorders>
              <w:bottom w:val="single" w:sz="4" w:space="0" w:color="auto"/>
            </w:tcBorders>
            <w:shd w:val="clear" w:color="auto" w:fill="E6E6E6"/>
          </w:tcPr>
          <w:p w:rsidR="00BB50C8" w:rsidRPr="00020E20" w:rsidRDefault="00BB50C8" w:rsidP="002437F3">
            <w:pPr>
              <w:spacing w:before="60"/>
              <w:jc w:val="both"/>
              <w:rPr>
                <w:rFonts w:ascii="Tahoma" w:hAnsi="Tahoma" w:cs="Tahoma"/>
                <w:sz w:val="20"/>
                <w:szCs w:val="20"/>
              </w:rPr>
            </w:pPr>
            <w:r>
              <w:rPr>
                <w:rFonts w:ascii="Tahoma" w:hAnsi="Tahoma"/>
                <w:b/>
                <w:sz w:val="20"/>
              </w:rPr>
              <w:t>Quelles sont les options législatives et non législatives qui ont été envisagées?</w:t>
            </w:r>
            <w:r>
              <w:rPr>
                <w:rFonts w:ascii="Tahoma" w:hAnsi="Tahoma"/>
                <w:sz w:val="20"/>
              </w:rPr>
              <w:t xml:space="preserve"> </w:t>
            </w:r>
            <w:r>
              <w:rPr>
                <w:rFonts w:ascii="Tahoma" w:hAnsi="Tahoma"/>
                <w:b/>
                <w:sz w:val="20"/>
              </w:rPr>
              <w:t xml:space="preserve">Y a-t-il une option privilégiée? Pourquoi? </w:t>
            </w:r>
          </w:p>
        </w:tc>
      </w:tr>
      <w:tr w:rsidR="00020E20" w:rsidRPr="00020E20" w:rsidTr="00951E34">
        <w:tc>
          <w:tcPr>
            <w:tcW w:w="10188" w:type="dxa"/>
            <w:tcBorders>
              <w:bottom w:val="single" w:sz="4" w:space="0" w:color="auto"/>
            </w:tcBorders>
            <w:shd w:val="clear" w:color="auto" w:fill="auto"/>
          </w:tcPr>
          <w:p w:rsidR="00020E20" w:rsidRPr="00020E20" w:rsidRDefault="00020E20" w:rsidP="00FA112E">
            <w:pPr>
              <w:jc w:val="both"/>
              <w:rPr>
                <w:rFonts w:ascii="Arial" w:hAnsi="Arial" w:cs="Arial"/>
                <w:sz w:val="8"/>
                <w:szCs w:val="8"/>
              </w:rPr>
            </w:pPr>
          </w:p>
          <w:p w:rsidR="00FA112E" w:rsidRPr="00020E20" w:rsidRDefault="00FA112E" w:rsidP="00FA112E">
            <w:pPr>
              <w:jc w:val="both"/>
              <w:rPr>
                <w:rFonts w:ascii="Arial" w:hAnsi="Arial" w:cs="Arial"/>
                <w:sz w:val="20"/>
                <w:szCs w:val="20"/>
              </w:rPr>
            </w:pPr>
            <w:r>
              <w:rPr>
                <w:rFonts w:ascii="Arial" w:hAnsi="Arial"/>
                <w:sz w:val="20"/>
              </w:rPr>
              <w:t>Les incidences de trois options stratégiques ont été examinées en détail et comparées:</w:t>
            </w:r>
          </w:p>
          <w:p w:rsidR="00020E20" w:rsidRPr="00020E20" w:rsidRDefault="00020E20" w:rsidP="00FA112E">
            <w:pPr>
              <w:jc w:val="both"/>
              <w:rPr>
                <w:rFonts w:ascii="Arial" w:hAnsi="Arial" w:cs="Arial"/>
                <w:sz w:val="10"/>
                <w:szCs w:val="10"/>
              </w:rPr>
            </w:pPr>
          </w:p>
          <w:p w:rsidR="00FA112E" w:rsidRDefault="00F047CE" w:rsidP="000D4746">
            <w:pPr>
              <w:pStyle w:val="ListParagraph"/>
              <w:numPr>
                <w:ilvl w:val="0"/>
                <w:numId w:val="8"/>
              </w:numPr>
              <w:spacing w:after="60"/>
              <w:jc w:val="both"/>
              <w:rPr>
                <w:rFonts w:ascii="Arial" w:hAnsi="Arial" w:cs="Arial"/>
                <w:sz w:val="20"/>
                <w:szCs w:val="20"/>
              </w:rPr>
            </w:pPr>
            <w:r>
              <w:rPr>
                <w:rFonts w:ascii="Arial" w:hAnsi="Arial"/>
                <w:sz w:val="20"/>
              </w:rPr>
              <w:t>Statu quo (scénario de référence). Cela pourrait conduire à une dégradation relative des relations commerciales bilatérales sans que les objectifs fixés soient atteints.</w:t>
            </w:r>
          </w:p>
          <w:p w:rsidR="00020E20" w:rsidRPr="00020E20" w:rsidRDefault="00020E20" w:rsidP="00020E20">
            <w:pPr>
              <w:pStyle w:val="ListParagraph"/>
              <w:spacing w:after="60"/>
              <w:ind w:left="714"/>
              <w:jc w:val="both"/>
              <w:rPr>
                <w:rFonts w:ascii="Arial" w:hAnsi="Arial" w:cs="Arial"/>
                <w:sz w:val="6"/>
                <w:szCs w:val="6"/>
              </w:rPr>
            </w:pPr>
          </w:p>
          <w:p w:rsidR="00FA112E" w:rsidRDefault="00F047CE" w:rsidP="000D4746">
            <w:pPr>
              <w:pStyle w:val="ListParagraph"/>
              <w:numPr>
                <w:ilvl w:val="0"/>
                <w:numId w:val="8"/>
              </w:numPr>
              <w:spacing w:after="60"/>
              <w:jc w:val="both"/>
              <w:rPr>
                <w:rFonts w:ascii="Arial" w:hAnsi="Arial" w:cs="Arial"/>
                <w:sz w:val="20"/>
                <w:szCs w:val="20"/>
              </w:rPr>
            </w:pPr>
            <w:r>
              <w:rPr>
                <w:rFonts w:ascii="Arial" w:hAnsi="Arial"/>
                <w:sz w:val="20"/>
              </w:rPr>
              <w:t>Révision partielle de l’ALE, en utilisant les clauses de révision sectorielles figurant dans l’ALE existant sur l</w:t>
            </w:r>
            <w:r w:rsidR="002724FA">
              <w:rPr>
                <w:rFonts w:ascii="Arial" w:hAnsi="Arial"/>
                <w:sz w:val="20"/>
              </w:rPr>
              <w:t>’</w:t>
            </w:r>
            <w:r>
              <w:rPr>
                <w:rFonts w:ascii="Arial" w:hAnsi="Arial"/>
                <w:sz w:val="20"/>
              </w:rPr>
              <w:t xml:space="preserve">agriculture et les services. Les discussions engagées avec le Chili entre 2006 et 2010 ont montré que cette approche était irréalisable. De plus, elle serait inadaptée pour satisfaire aux objectifs plus </w:t>
            </w:r>
            <w:r>
              <w:rPr>
                <w:rFonts w:ascii="Arial" w:hAnsi="Arial"/>
                <w:sz w:val="20"/>
              </w:rPr>
              <w:lastRenderedPageBreak/>
              <w:t>généraux de la politique commerciale de l’UE. Elle n’a donc pas été développée plus avant dans l’analyse d’impact.</w:t>
            </w:r>
          </w:p>
          <w:p w:rsidR="00020E20" w:rsidRPr="00020E20" w:rsidRDefault="00020E20" w:rsidP="00020E20">
            <w:pPr>
              <w:pStyle w:val="ListParagraph"/>
              <w:spacing w:after="60"/>
              <w:ind w:left="714"/>
              <w:jc w:val="both"/>
              <w:rPr>
                <w:rFonts w:ascii="Arial" w:hAnsi="Arial" w:cs="Arial"/>
                <w:sz w:val="6"/>
                <w:szCs w:val="6"/>
              </w:rPr>
            </w:pPr>
          </w:p>
          <w:p w:rsidR="00F047CE" w:rsidRPr="00020E20" w:rsidRDefault="00F047CE" w:rsidP="000D4746">
            <w:pPr>
              <w:pStyle w:val="ListParagraph"/>
              <w:numPr>
                <w:ilvl w:val="0"/>
                <w:numId w:val="8"/>
              </w:numPr>
              <w:spacing w:after="60"/>
              <w:jc w:val="both"/>
              <w:rPr>
                <w:rFonts w:ascii="Arial" w:hAnsi="Arial" w:cs="Arial"/>
                <w:sz w:val="20"/>
                <w:szCs w:val="20"/>
              </w:rPr>
            </w:pPr>
            <w:r>
              <w:rPr>
                <w:rFonts w:ascii="Arial" w:hAnsi="Arial"/>
                <w:sz w:val="20"/>
              </w:rPr>
              <w:t>Modernisation d’ensemble de l’ALE, entraînant la négociation d’un large éventail de questions que les parties souhaitent aborder (conformément au résultat de l</w:t>
            </w:r>
            <w:r w:rsidR="002724FA">
              <w:rPr>
                <w:rFonts w:ascii="Arial" w:hAnsi="Arial"/>
                <w:sz w:val="20"/>
              </w:rPr>
              <w:t>’</w:t>
            </w:r>
            <w:r>
              <w:rPr>
                <w:rFonts w:ascii="Arial" w:hAnsi="Arial"/>
                <w:sz w:val="20"/>
              </w:rPr>
              <w:t xml:space="preserve">étude exploratoire menée avec le Chili, finalisée en janvier 2017): accès aux marchés des produits agricoles, commerce des services, investissements, obstacles techniques au commerce, droits de propriété intellectuelle, marchés publics, facilitation des échanges, concurrence, dispositions propres aux PME et commerce et développement durable. Deux sous-scénarios éventuels ont été envisagés dans le cadre de cette option, dont un sous-scénario traditionnel et un autre plus ambitieux. </w:t>
            </w:r>
          </w:p>
          <w:p w:rsidR="00020E20" w:rsidRPr="00020E20" w:rsidRDefault="00020E20" w:rsidP="00020E20">
            <w:pPr>
              <w:pStyle w:val="ListParagraph"/>
              <w:jc w:val="both"/>
              <w:rPr>
                <w:rFonts w:ascii="Arial" w:hAnsi="Arial" w:cs="Arial"/>
                <w:sz w:val="10"/>
                <w:szCs w:val="10"/>
              </w:rPr>
            </w:pPr>
          </w:p>
          <w:p w:rsidR="00020E20" w:rsidRPr="00020E20" w:rsidRDefault="00F047CE" w:rsidP="002724FA">
            <w:pPr>
              <w:jc w:val="both"/>
              <w:rPr>
                <w:rFonts w:ascii="Arial" w:hAnsi="Arial" w:cs="Arial"/>
                <w:sz w:val="8"/>
                <w:szCs w:val="8"/>
              </w:rPr>
            </w:pPr>
            <w:r>
              <w:rPr>
                <w:rFonts w:ascii="Arial" w:hAnsi="Arial"/>
                <w:sz w:val="20"/>
              </w:rPr>
              <w:t>L</w:t>
            </w:r>
            <w:r w:rsidR="002724FA">
              <w:rPr>
                <w:rFonts w:ascii="Arial" w:hAnsi="Arial"/>
                <w:sz w:val="20"/>
              </w:rPr>
              <w:t>’</w:t>
            </w:r>
            <w:r>
              <w:rPr>
                <w:rFonts w:ascii="Arial" w:hAnsi="Arial"/>
                <w:sz w:val="20"/>
              </w:rPr>
              <w:t>option privilégiée pour l’UE serait une modernisation d’ensemble de l’ALE UE-Chili, comme en témoigne l’analyse d’impact.</w:t>
            </w:r>
          </w:p>
        </w:tc>
      </w:tr>
      <w:tr w:rsidR="00020E20" w:rsidRPr="00020E20" w:rsidTr="00951E34">
        <w:tc>
          <w:tcPr>
            <w:tcW w:w="10188" w:type="dxa"/>
            <w:shd w:val="clear" w:color="auto" w:fill="CCCCCC"/>
          </w:tcPr>
          <w:p w:rsidR="00BB50C8" w:rsidRPr="00020E20" w:rsidRDefault="00020E20" w:rsidP="002437F3">
            <w:pPr>
              <w:spacing w:before="60"/>
              <w:jc w:val="both"/>
              <w:rPr>
                <w:rFonts w:ascii="Tahoma" w:hAnsi="Tahoma" w:cs="Tahoma"/>
                <w:sz w:val="20"/>
                <w:szCs w:val="20"/>
              </w:rPr>
            </w:pPr>
            <w:r>
              <w:lastRenderedPageBreak/>
              <w:br w:type="page"/>
            </w:r>
            <w:r>
              <w:rPr>
                <w:rFonts w:ascii="Tahoma" w:hAnsi="Tahoma"/>
                <w:b/>
                <w:sz w:val="20"/>
              </w:rPr>
              <w:t xml:space="preserve">Qui soutient quelle option? </w:t>
            </w:r>
          </w:p>
        </w:tc>
      </w:tr>
      <w:tr w:rsidR="00020E20" w:rsidRPr="00020E20" w:rsidTr="001B648C">
        <w:tc>
          <w:tcPr>
            <w:tcW w:w="10188" w:type="dxa"/>
            <w:shd w:val="clear" w:color="auto" w:fill="auto"/>
          </w:tcPr>
          <w:p w:rsidR="00020E20" w:rsidRPr="00020E20" w:rsidRDefault="00020E20" w:rsidP="005718AD">
            <w:pPr>
              <w:jc w:val="both"/>
              <w:rPr>
                <w:rFonts w:ascii="Arial" w:hAnsi="Arial" w:cs="Arial"/>
                <w:sz w:val="8"/>
                <w:szCs w:val="8"/>
              </w:rPr>
            </w:pPr>
          </w:p>
          <w:p w:rsidR="00BB50C8" w:rsidRPr="00020E20" w:rsidRDefault="005718AD" w:rsidP="005718AD">
            <w:pPr>
              <w:jc w:val="both"/>
              <w:rPr>
                <w:rFonts w:ascii="Arial" w:hAnsi="Arial" w:cs="Arial"/>
                <w:sz w:val="20"/>
                <w:szCs w:val="20"/>
              </w:rPr>
            </w:pPr>
            <w:r>
              <w:rPr>
                <w:rFonts w:ascii="Arial" w:hAnsi="Arial"/>
                <w:sz w:val="20"/>
              </w:rPr>
              <w:t>La Commission et le Chili soutiennent une modernisation d’ensemble de l’ALE. Cette position est cohérente avec le résultat de l</w:t>
            </w:r>
            <w:r w:rsidR="002724FA">
              <w:rPr>
                <w:rFonts w:ascii="Arial" w:hAnsi="Arial"/>
                <w:sz w:val="20"/>
              </w:rPr>
              <w:t>’</w:t>
            </w:r>
            <w:r>
              <w:rPr>
                <w:rFonts w:ascii="Arial" w:hAnsi="Arial"/>
                <w:sz w:val="20"/>
              </w:rPr>
              <w:t>étude exploratoire, qui est parvenue à la conclusion que les deux parties ont toutes deux un grand intérêt à moderniser leur ALE de manière globale et ambitieuse. Il est à noter que seul un participant à la consultation publique (une entreprise de production alimentaire) est opposé à cette option, tandis que pratiquement toutes les autres opinions exprimées sont en sa faveur. Enfin, cette option est conforme à la stratégie tant de l’UE que du Chili qui vise à négocier un ALE moderne et complet.</w:t>
            </w:r>
          </w:p>
          <w:p w:rsidR="00020E20" w:rsidRPr="00020E20" w:rsidRDefault="00020E20" w:rsidP="005718AD">
            <w:pPr>
              <w:jc w:val="both"/>
              <w:rPr>
                <w:rFonts w:ascii="Arial" w:hAnsi="Arial" w:cs="Arial"/>
                <w:sz w:val="8"/>
                <w:szCs w:val="8"/>
              </w:rPr>
            </w:pPr>
          </w:p>
        </w:tc>
      </w:tr>
      <w:tr w:rsidR="00020E20" w:rsidRPr="00020E20" w:rsidTr="00A139BB">
        <w:tc>
          <w:tcPr>
            <w:tcW w:w="10188" w:type="dxa"/>
            <w:tcBorders>
              <w:bottom w:val="single" w:sz="4" w:space="0" w:color="auto"/>
            </w:tcBorders>
            <w:shd w:val="clear" w:color="auto" w:fill="CCCCCC"/>
          </w:tcPr>
          <w:p w:rsidR="00B72557" w:rsidRPr="00020E20" w:rsidRDefault="00CD4871" w:rsidP="00002A85">
            <w:pPr>
              <w:spacing w:before="60" w:after="60"/>
              <w:jc w:val="center"/>
              <w:rPr>
                <w:rFonts w:ascii="Tahoma" w:hAnsi="Tahoma" w:cs="Tahoma"/>
                <w:b/>
                <w:sz w:val="22"/>
                <w:szCs w:val="22"/>
              </w:rPr>
            </w:pPr>
            <w:r>
              <w:rPr>
                <w:rFonts w:ascii="Tahoma" w:hAnsi="Tahoma"/>
                <w:b/>
                <w:sz w:val="22"/>
              </w:rPr>
              <w:t>C. Incidences de l’option privilégiée</w:t>
            </w:r>
          </w:p>
        </w:tc>
      </w:tr>
      <w:tr w:rsidR="00020E20" w:rsidRPr="00020E20" w:rsidTr="00A139BB">
        <w:tc>
          <w:tcPr>
            <w:tcW w:w="10188" w:type="dxa"/>
            <w:tcBorders>
              <w:bottom w:val="single" w:sz="4" w:space="0" w:color="auto"/>
            </w:tcBorders>
            <w:shd w:val="clear" w:color="auto" w:fill="E6E6E6"/>
          </w:tcPr>
          <w:p w:rsidR="00C84FC3" w:rsidRPr="00020E20" w:rsidRDefault="00A744F1" w:rsidP="002437F3">
            <w:pPr>
              <w:spacing w:before="60" w:after="60"/>
              <w:jc w:val="both"/>
              <w:rPr>
                <w:rFonts w:ascii="Tahoma" w:hAnsi="Tahoma" w:cs="Tahoma"/>
                <w:sz w:val="20"/>
                <w:szCs w:val="20"/>
              </w:rPr>
            </w:pPr>
            <w:r>
              <w:rPr>
                <w:rFonts w:ascii="Tahoma" w:hAnsi="Tahoma"/>
                <w:b/>
                <w:sz w:val="20"/>
              </w:rPr>
              <w:t>Quels sont les avantages</w:t>
            </w:r>
            <w:r>
              <w:rPr>
                <w:rFonts w:ascii="Tahoma" w:hAnsi="Tahoma"/>
                <w:sz w:val="20"/>
              </w:rPr>
              <w:t xml:space="preserve"> </w:t>
            </w:r>
            <w:r>
              <w:rPr>
                <w:rFonts w:ascii="Tahoma" w:hAnsi="Tahoma"/>
                <w:b/>
                <w:sz w:val="20"/>
              </w:rPr>
              <w:t>de l’option privilégiée (ou, à défaut, des options principales)?</w:t>
            </w:r>
            <w:r>
              <w:rPr>
                <w:rFonts w:ascii="Tahoma" w:hAnsi="Tahoma"/>
                <w:sz w:val="20"/>
              </w:rPr>
              <w:t xml:space="preserve"> </w:t>
            </w:r>
          </w:p>
        </w:tc>
      </w:tr>
      <w:tr w:rsidR="00020E20" w:rsidRPr="00020E20" w:rsidTr="00A139BB">
        <w:tc>
          <w:tcPr>
            <w:tcW w:w="10188" w:type="dxa"/>
            <w:tcBorders>
              <w:bottom w:val="single" w:sz="4" w:space="0" w:color="auto"/>
            </w:tcBorders>
            <w:shd w:val="clear" w:color="auto" w:fill="auto"/>
          </w:tcPr>
          <w:p w:rsidR="00020E20" w:rsidRPr="00020E20" w:rsidRDefault="00020E20" w:rsidP="00D31028">
            <w:pPr>
              <w:jc w:val="both"/>
              <w:rPr>
                <w:rFonts w:ascii="Arial" w:hAnsi="Arial" w:cs="Arial"/>
                <w:sz w:val="8"/>
                <w:szCs w:val="8"/>
              </w:rPr>
            </w:pPr>
          </w:p>
          <w:p w:rsidR="00D31028" w:rsidRPr="00020E20" w:rsidRDefault="00D31028" w:rsidP="00D31028">
            <w:pPr>
              <w:jc w:val="both"/>
              <w:rPr>
                <w:rFonts w:ascii="Arial" w:hAnsi="Arial" w:cs="Arial"/>
                <w:sz w:val="20"/>
                <w:szCs w:val="20"/>
              </w:rPr>
            </w:pPr>
            <w:r>
              <w:rPr>
                <w:rFonts w:ascii="Arial" w:hAnsi="Arial"/>
                <w:sz w:val="20"/>
              </w:rPr>
              <w:t>L</w:t>
            </w:r>
            <w:r w:rsidR="002724FA">
              <w:rPr>
                <w:rFonts w:ascii="Arial" w:hAnsi="Arial"/>
                <w:sz w:val="20"/>
              </w:rPr>
              <w:t>’</w:t>
            </w:r>
            <w:r>
              <w:rPr>
                <w:rFonts w:ascii="Arial" w:hAnsi="Arial"/>
                <w:sz w:val="20"/>
              </w:rPr>
              <w:t>option privilégiée a une incidence économique globale positive sur l’UE et le Chili. À long terme, elle devrait entraîner une variation du PIB réel de près de 0,002 % pour l’UE et 0,175 % pour le Chili. Les gains de prospérité à long terme seraient de 718</w:t>
            </w:r>
            <w:r w:rsidR="002724FA">
              <w:rPr>
                <w:rFonts w:ascii="Arial" w:hAnsi="Arial"/>
                <w:sz w:val="20"/>
              </w:rPr>
              <w:t> </w:t>
            </w:r>
            <w:r>
              <w:rPr>
                <w:rFonts w:ascii="Arial" w:hAnsi="Arial"/>
                <w:sz w:val="20"/>
              </w:rPr>
              <w:t>millions d’EUR pour l’UE et de 534</w:t>
            </w:r>
            <w:r w:rsidR="002724FA">
              <w:rPr>
                <w:rFonts w:ascii="Arial" w:hAnsi="Arial"/>
                <w:sz w:val="20"/>
              </w:rPr>
              <w:t> </w:t>
            </w:r>
            <w:r>
              <w:rPr>
                <w:rFonts w:ascii="Arial" w:hAnsi="Arial"/>
                <w:sz w:val="20"/>
              </w:rPr>
              <w:t>millions d’EUR pour le Chili. Les conséquences sociales (notamment les salaires et l’emploi) devraient être légèrement positives dans l’UE et au Chili. Les effets globaux sur les droits de l</w:t>
            </w:r>
            <w:r w:rsidR="002724FA">
              <w:rPr>
                <w:rFonts w:ascii="Arial" w:hAnsi="Arial"/>
                <w:sz w:val="20"/>
              </w:rPr>
              <w:t>’</w:t>
            </w:r>
            <w:r>
              <w:rPr>
                <w:rFonts w:ascii="Arial" w:hAnsi="Arial"/>
                <w:sz w:val="20"/>
              </w:rPr>
              <w:t>homme dans les domaines économique et social (droit à un niveau de vie suffisant, droit au travail, droits liés au travail et abolition du travail des enfants) seraient positifs.</w:t>
            </w:r>
          </w:p>
          <w:p w:rsidR="00020E20" w:rsidRPr="00020E20" w:rsidRDefault="00020E20" w:rsidP="00D31028">
            <w:pPr>
              <w:jc w:val="both"/>
              <w:rPr>
                <w:rFonts w:ascii="Arial" w:hAnsi="Arial" w:cs="Arial"/>
                <w:sz w:val="8"/>
                <w:szCs w:val="8"/>
              </w:rPr>
            </w:pPr>
          </w:p>
        </w:tc>
      </w:tr>
      <w:tr w:rsidR="00020E20" w:rsidRPr="00020E20" w:rsidTr="00A139BB">
        <w:tc>
          <w:tcPr>
            <w:tcW w:w="10188" w:type="dxa"/>
            <w:tcBorders>
              <w:bottom w:val="single" w:sz="4" w:space="0" w:color="auto"/>
            </w:tcBorders>
            <w:shd w:val="clear" w:color="auto" w:fill="E6E6E6"/>
          </w:tcPr>
          <w:p w:rsidR="00D31028" w:rsidRPr="00020E20" w:rsidRDefault="00D31028" w:rsidP="002437F3">
            <w:pPr>
              <w:spacing w:before="60" w:after="60"/>
              <w:jc w:val="both"/>
              <w:rPr>
                <w:rFonts w:ascii="Tahoma" w:hAnsi="Tahoma" w:cs="Tahoma"/>
                <w:sz w:val="20"/>
                <w:szCs w:val="20"/>
              </w:rPr>
            </w:pPr>
            <w:r>
              <w:rPr>
                <w:rFonts w:ascii="Tahoma" w:hAnsi="Tahoma"/>
                <w:b/>
                <w:sz w:val="20"/>
              </w:rPr>
              <w:t>Quels sont les coûts de l’option privilégiée (ou, à défaut, des options principales)?</w:t>
            </w:r>
            <w:r>
              <w:rPr>
                <w:rFonts w:ascii="Tahoma" w:hAnsi="Tahoma"/>
                <w:sz w:val="20"/>
              </w:rPr>
              <w:t xml:space="preserve"> </w:t>
            </w:r>
          </w:p>
        </w:tc>
      </w:tr>
      <w:tr w:rsidR="00020E20" w:rsidRPr="00020E20" w:rsidTr="00A139BB">
        <w:tc>
          <w:tcPr>
            <w:tcW w:w="10188" w:type="dxa"/>
            <w:tcBorders>
              <w:bottom w:val="single" w:sz="4" w:space="0" w:color="auto"/>
            </w:tcBorders>
            <w:shd w:val="clear" w:color="auto" w:fill="auto"/>
          </w:tcPr>
          <w:p w:rsidR="00020E20" w:rsidRPr="00020E20" w:rsidRDefault="00020E20" w:rsidP="00F4442A">
            <w:pPr>
              <w:jc w:val="both"/>
              <w:rPr>
                <w:rFonts w:ascii="Arial" w:hAnsi="Arial" w:cs="Arial"/>
                <w:sz w:val="8"/>
                <w:szCs w:val="8"/>
              </w:rPr>
            </w:pPr>
          </w:p>
          <w:p w:rsidR="00F4442A" w:rsidRPr="00020E20" w:rsidRDefault="00D31028" w:rsidP="00F4442A">
            <w:pPr>
              <w:jc w:val="both"/>
              <w:rPr>
                <w:rFonts w:ascii="Arial" w:hAnsi="Arial" w:cs="Arial"/>
                <w:sz w:val="20"/>
                <w:szCs w:val="20"/>
              </w:rPr>
            </w:pPr>
            <w:r>
              <w:rPr>
                <w:rFonts w:ascii="Arial" w:hAnsi="Arial"/>
                <w:sz w:val="20"/>
              </w:rPr>
              <w:t>L’incidence négative sur l’environnement de la conclusion d’un ALE UE-Chili complet et modernisé pourrait être limitée au Chili et presque négligeable dans l’UE. Dans ce contexte, il convient de noter que l’ALE modernisé comprendrait un chapitre sur le commerce et le développement durable, contenant des dispositions pouvant contribuer à atténuer ces effets négatifs potentiels. La poursuite de la libéralisation des échanges pourrait entraîner un certain chômage de transition dans certains secteurs au Chili (réaffectation des ressources entre secteurs en repli et secteurs en croissance).</w:t>
            </w:r>
          </w:p>
          <w:p w:rsidR="00020E20" w:rsidRPr="00020E20" w:rsidRDefault="00020E20" w:rsidP="00F4442A">
            <w:pPr>
              <w:jc w:val="both"/>
              <w:rPr>
                <w:rFonts w:ascii="Arial" w:hAnsi="Arial" w:cs="Arial"/>
                <w:sz w:val="8"/>
                <w:szCs w:val="8"/>
              </w:rPr>
            </w:pPr>
          </w:p>
        </w:tc>
      </w:tr>
      <w:tr w:rsidR="00020E20" w:rsidRPr="00020E20" w:rsidTr="00A139BB">
        <w:tc>
          <w:tcPr>
            <w:tcW w:w="10188" w:type="dxa"/>
            <w:tcBorders>
              <w:bottom w:val="single" w:sz="4" w:space="0" w:color="auto"/>
            </w:tcBorders>
            <w:shd w:val="clear" w:color="auto" w:fill="E6E6E6"/>
          </w:tcPr>
          <w:p w:rsidR="00D31028" w:rsidRPr="00020E20" w:rsidRDefault="00D31028" w:rsidP="002437F3">
            <w:pPr>
              <w:spacing w:before="60" w:after="60"/>
              <w:jc w:val="both"/>
              <w:rPr>
                <w:rFonts w:ascii="Tahoma" w:hAnsi="Tahoma" w:cs="Tahoma"/>
                <w:sz w:val="20"/>
                <w:szCs w:val="20"/>
              </w:rPr>
            </w:pPr>
            <w:r>
              <w:rPr>
                <w:rFonts w:ascii="Tahoma" w:hAnsi="Tahoma"/>
                <w:b/>
                <w:sz w:val="20"/>
              </w:rPr>
              <w:t xml:space="preserve">Quelle sera l’incidence sur les entreprises, les PME et les microentreprises? </w:t>
            </w:r>
          </w:p>
        </w:tc>
      </w:tr>
      <w:tr w:rsidR="00020E20" w:rsidRPr="00020E20" w:rsidTr="00A139BB">
        <w:tc>
          <w:tcPr>
            <w:tcW w:w="10188" w:type="dxa"/>
            <w:tcBorders>
              <w:bottom w:val="single" w:sz="4" w:space="0" w:color="auto"/>
            </w:tcBorders>
            <w:shd w:val="clear" w:color="auto" w:fill="auto"/>
          </w:tcPr>
          <w:p w:rsidR="00020E20" w:rsidRPr="00020E20" w:rsidRDefault="00020E20" w:rsidP="00F4442A">
            <w:pPr>
              <w:jc w:val="both"/>
              <w:rPr>
                <w:rFonts w:ascii="Arial" w:hAnsi="Arial" w:cs="Arial"/>
                <w:sz w:val="8"/>
                <w:szCs w:val="8"/>
              </w:rPr>
            </w:pPr>
          </w:p>
          <w:p w:rsidR="00F4442A" w:rsidRPr="00020E20" w:rsidRDefault="00F4442A" w:rsidP="00F4442A">
            <w:pPr>
              <w:jc w:val="both"/>
              <w:rPr>
                <w:rFonts w:ascii="Arial" w:hAnsi="Arial" w:cs="Arial"/>
                <w:sz w:val="20"/>
                <w:szCs w:val="20"/>
              </w:rPr>
            </w:pPr>
            <w:r>
              <w:rPr>
                <w:rFonts w:ascii="Arial" w:hAnsi="Arial"/>
                <w:sz w:val="20"/>
              </w:rPr>
              <w:t>Les PME retireraient des avantages d</w:t>
            </w:r>
            <w:r w:rsidR="002724FA">
              <w:rPr>
                <w:rFonts w:ascii="Arial" w:hAnsi="Arial"/>
                <w:sz w:val="20"/>
              </w:rPr>
              <w:t>’</w:t>
            </w:r>
            <w:r>
              <w:rPr>
                <w:rFonts w:ascii="Arial" w:hAnsi="Arial"/>
                <w:sz w:val="20"/>
              </w:rPr>
              <w:t>une modernisation d’ensemble de l’ALE UE-Chili à plusieurs égards: réduction des coûts liés aux obstacles non tarifaires, simplification des procédures douanières et des règles d</w:t>
            </w:r>
            <w:r w:rsidR="002724FA">
              <w:rPr>
                <w:rFonts w:ascii="Arial" w:hAnsi="Arial"/>
                <w:sz w:val="20"/>
              </w:rPr>
              <w:t>’</w:t>
            </w:r>
            <w:r>
              <w:rPr>
                <w:rFonts w:ascii="Arial" w:hAnsi="Arial"/>
                <w:sz w:val="20"/>
              </w:rPr>
              <w:t>origine, renforcement de la coopération réglementaire et convergence vers les normes internationales. Par ailleurs, des dispositions visant à améliorer la transparence et l’accès des PME à l’information seraient incluses.</w:t>
            </w:r>
          </w:p>
          <w:p w:rsidR="00020E20" w:rsidRPr="00020E20" w:rsidRDefault="00020E20" w:rsidP="00F4442A">
            <w:pPr>
              <w:jc w:val="both"/>
              <w:rPr>
                <w:rFonts w:ascii="Arial" w:hAnsi="Arial" w:cs="Arial"/>
                <w:sz w:val="8"/>
                <w:szCs w:val="8"/>
              </w:rPr>
            </w:pPr>
          </w:p>
        </w:tc>
      </w:tr>
      <w:tr w:rsidR="00020E20" w:rsidRPr="00020E20" w:rsidTr="00A139BB">
        <w:tc>
          <w:tcPr>
            <w:tcW w:w="10188" w:type="dxa"/>
            <w:tcBorders>
              <w:bottom w:val="single" w:sz="4" w:space="0" w:color="auto"/>
            </w:tcBorders>
            <w:shd w:val="clear" w:color="auto" w:fill="E6E6E6"/>
          </w:tcPr>
          <w:p w:rsidR="00D31028" w:rsidRPr="00020E20" w:rsidRDefault="00D31028" w:rsidP="002437F3">
            <w:pPr>
              <w:spacing w:before="60"/>
              <w:jc w:val="both"/>
              <w:rPr>
                <w:rFonts w:ascii="Tahoma" w:hAnsi="Tahoma" w:cs="Tahoma"/>
                <w:b/>
                <w:i/>
                <w:sz w:val="20"/>
                <w:szCs w:val="20"/>
              </w:rPr>
            </w:pPr>
            <w:r>
              <w:rPr>
                <w:rFonts w:ascii="Tahoma" w:hAnsi="Tahoma"/>
                <w:b/>
                <w:sz w:val="20"/>
              </w:rPr>
              <w:t>Y aura-t-il une incidence notable</w:t>
            </w:r>
            <w:r>
              <w:rPr>
                <w:rFonts w:ascii="Tahoma" w:hAnsi="Tahoma"/>
                <w:sz w:val="20"/>
              </w:rPr>
              <w:t xml:space="preserve"> </w:t>
            </w:r>
            <w:r>
              <w:rPr>
                <w:rFonts w:ascii="Tahoma" w:hAnsi="Tahoma"/>
                <w:b/>
                <w:sz w:val="20"/>
              </w:rPr>
              <w:t>sur les budgets nationaux et les administrations nationales?</w:t>
            </w:r>
            <w:r>
              <w:rPr>
                <w:rFonts w:ascii="Tahoma" w:hAnsi="Tahoma"/>
                <w:sz w:val="20"/>
              </w:rPr>
              <w:t xml:space="preserve"> </w:t>
            </w:r>
          </w:p>
        </w:tc>
      </w:tr>
      <w:tr w:rsidR="00020E20" w:rsidRPr="00020E20" w:rsidTr="00A87419">
        <w:tc>
          <w:tcPr>
            <w:tcW w:w="10188" w:type="dxa"/>
            <w:shd w:val="clear" w:color="auto" w:fill="auto"/>
          </w:tcPr>
          <w:p w:rsidR="00020E20" w:rsidRPr="00020E20" w:rsidRDefault="00020E20" w:rsidP="0084463C">
            <w:pPr>
              <w:jc w:val="both"/>
              <w:rPr>
                <w:rFonts w:ascii="Arial" w:hAnsi="Arial" w:cs="Arial"/>
                <w:sz w:val="8"/>
                <w:szCs w:val="8"/>
              </w:rPr>
            </w:pPr>
          </w:p>
          <w:p w:rsidR="00D31028" w:rsidRPr="00020E20" w:rsidRDefault="0084463C" w:rsidP="0084463C">
            <w:pPr>
              <w:jc w:val="both"/>
              <w:rPr>
                <w:rFonts w:ascii="Arial" w:hAnsi="Arial" w:cs="Arial"/>
                <w:sz w:val="20"/>
                <w:szCs w:val="20"/>
              </w:rPr>
            </w:pPr>
            <w:r>
              <w:rPr>
                <w:rFonts w:ascii="Arial" w:hAnsi="Arial"/>
                <w:sz w:val="20"/>
              </w:rPr>
              <w:t>La modernisation de l’ALE ne devrait avoir aucune incidence notable sur les budgets nationaux ni sur les administrations nationales. L</w:t>
            </w:r>
            <w:r w:rsidR="002724FA">
              <w:rPr>
                <w:rFonts w:ascii="Arial" w:hAnsi="Arial"/>
                <w:sz w:val="20"/>
              </w:rPr>
              <w:t>’</w:t>
            </w:r>
            <w:r>
              <w:rPr>
                <w:rFonts w:ascii="Arial" w:hAnsi="Arial"/>
                <w:sz w:val="20"/>
              </w:rPr>
              <w:t>incidence sur le budget de l’UE consécutive à la perte de recettes douanières serait de quelque 3,87 millions d’EUR, sur la base d</w:t>
            </w:r>
            <w:r w:rsidR="002724FA">
              <w:rPr>
                <w:rFonts w:ascii="Arial" w:hAnsi="Arial"/>
                <w:sz w:val="20"/>
              </w:rPr>
              <w:t>’</w:t>
            </w:r>
            <w:r>
              <w:rPr>
                <w:rFonts w:ascii="Arial" w:hAnsi="Arial"/>
                <w:sz w:val="20"/>
              </w:rPr>
              <w:t>une projection de la valeur des recettes douanières en 2025.</w:t>
            </w:r>
          </w:p>
          <w:p w:rsidR="00020E20" w:rsidRPr="00020E20" w:rsidRDefault="00020E20" w:rsidP="0084463C">
            <w:pPr>
              <w:jc w:val="both"/>
              <w:rPr>
                <w:rFonts w:ascii="Arial" w:hAnsi="Arial" w:cs="Arial"/>
                <w:sz w:val="8"/>
                <w:szCs w:val="8"/>
              </w:rPr>
            </w:pPr>
          </w:p>
        </w:tc>
      </w:tr>
      <w:tr w:rsidR="00020E20" w:rsidRPr="00020E20" w:rsidTr="00A139BB">
        <w:tc>
          <w:tcPr>
            <w:tcW w:w="10188" w:type="dxa"/>
            <w:tcBorders>
              <w:bottom w:val="single" w:sz="4" w:space="0" w:color="auto"/>
            </w:tcBorders>
            <w:shd w:val="clear" w:color="auto" w:fill="E6E6E6"/>
          </w:tcPr>
          <w:p w:rsidR="00D31028" w:rsidRPr="00020E20" w:rsidRDefault="00D31028" w:rsidP="002437F3">
            <w:pPr>
              <w:spacing w:before="60"/>
              <w:jc w:val="both"/>
              <w:rPr>
                <w:rFonts w:ascii="Tahoma" w:hAnsi="Tahoma" w:cs="Tahoma"/>
                <w:sz w:val="20"/>
                <w:szCs w:val="20"/>
              </w:rPr>
            </w:pPr>
            <w:r>
              <w:rPr>
                <w:rFonts w:ascii="Tahoma" w:hAnsi="Tahoma"/>
                <w:b/>
                <w:sz w:val="20"/>
              </w:rPr>
              <w:t>Y aura-t-il d’autres incidences notables?</w:t>
            </w:r>
            <w:r>
              <w:rPr>
                <w:rFonts w:ascii="Tahoma" w:hAnsi="Tahoma"/>
                <w:sz w:val="20"/>
              </w:rPr>
              <w:t xml:space="preserve"> </w:t>
            </w:r>
          </w:p>
        </w:tc>
      </w:tr>
      <w:tr w:rsidR="00020E20" w:rsidRPr="00020E20" w:rsidTr="009F3C77">
        <w:tc>
          <w:tcPr>
            <w:tcW w:w="10188" w:type="dxa"/>
            <w:tcBorders>
              <w:bottom w:val="single" w:sz="4" w:space="0" w:color="auto"/>
            </w:tcBorders>
            <w:shd w:val="clear" w:color="auto" w:fill="auto"/>
          </w:tcPr>
          <w:p w:rsidR="00020E20" w:rsidRPr="00020E20" w:rsidRDefault="00020E20" w:rsidP="00A95B58">
            <w:pPr>
              <w:jc w:val="both"/>
              <w:rPr>
                <w:rFonts w:ascii="Arial" w:hAnsi="Arial" w:cs="Arial"/>
                <w:sz w:val="8"/>
                <w:szCs w:val="8"/>
              </w:rPr>
            </w:pPr>
          </w:p>
          <w:p w:rsidR="00D31028" w:rsidRPr="00020E20" w:rsidRDefault="00F70C2A" w:rsidP="00A95B58">
            <w:pPr>
              <w:jc w:val="both"/>
              <w:rPr>
                <w:rFonts w:ascii="Arial" w:hAnsi="Arial" w:cs="Arial"/>
                <w:sz w:val="20"/>
                <w:szCs w:val="20"/>
              </w:rPr>
            </w:pPr>
            <w:r>
              <w:rPr>
                <w:rFonts w:ascii="Arial" w:hAnsi="Arial"/>
                <w:sz w:val="20"/>
              </w:rPr>
              <w:t>Non.</w:t>
            </w:r>
          </w:p>
          <w:p w:rsidR="00020E20" w:rsidRPr="00020E20" w:rsidRDefault="00020E20" w:rsidP="00A95B58">
            <w:pPr>
              <w:jc w:val="both"/>
              <w:rPr>
                <w:rFonts w:ascii="Arial" w:hAnsi="Arial" w:cs="Arial"/>
                <w:sz w:val="8"/>
                <w:szCs w:val="8"/>
              </w:rPr>
            </w:pPr>
          </w:p>
        </w:tc>
      </w:tr>
      <w:tr w:rsidR="00020E20" w:rsidRPr="00020E20" w:rsidTr="009F3C77">
        <w:tc>
          <w:tcPr>
            <w:tcW w:w="10188" w:type="dxa"/>
            <w:tcBorders>
              <w:bottom w:val="single" w:sz="4" w:space="0" w:color="auto"/>
            </w:tcBorders>
            <w:shd w:val="clear" w:color="auto" w:fill="C0C0C0"/>
          </w:tcPr>
          <w:p w:rsidR="00D31028" w:rsidRPr="00020E20" w:rsidRDefault="00D31028" w:rsidP="005F63F8">
            <w:pPr>
              <w:spacing w:before="60" w:after="60"/>
              <w:jc w:val="center"/>
              <w:rPr>
                <w:rFonts w:ascii="Tahoma" w:hAnsi="Tahoma" w:cs="Tahoma"/>
                <w:b/>
                <w:sz w:val="22"/>
                <w:szCs w:val="22"/>
              </w:rPr>
            </w:pPr>
            <w:r>
              <w:rPr>
                <w:rFonts w:ascii="Tahoma" w:hAnsi="Tahoma"/>
                <w:b/>
                <w:sz w:val="22"/>
              </w:rPr>
              <w:t>D. Suivi</w:t>
            </w:r>
          </w:p>
        </w:tc>
      </w:tr>
      <w:tr w:rsidR="00020E20" w:rsidRPr="00020E20" w:rsidTr="002F1896">
        <w:tc>
          <w:tcPr>
            <w:tcW w:w="10188" w:type="dxa"/>
            <w:tcBorders>
              <w:bottom w:val="single" w:sz="4" w:space="0" w:color="auto"/>
            </w:tcBorders>
            <w:shd w:val="clear" w:color="auto" w:fill="E6E6E6"/>
          </w:tcPr>
          <w:p w:rsidR="00D31028" w:rsidRPr="00020E20" w:rsidRDefault="00D31028" w:rsidP="002437F3">
            <w:pPr>
              <w:spacing w:before="60"/>
              <w:jc w:val="both"/>
              <w:rPr>
                <w:rFonts w:ascii="Tahoma" w:hAnsi="Tahoma" w:cs="Tahoma"/>
                <w:sz w:val="20"/>
                <w:szCs w:val="20"/>
              </w:rPr>
            </w:pPr>
            <w:r>
              <w:rPr>
                <w:rFonts w:ascii="Tahoma" w:hAnsi="Tahoma"/>
                <w:b/>
                <w:sz w:val="20"/>
              </w:rPr>
              <w:t xml:space="preserve">Quand la législation sera-t-elle réexaminée? </w:t>
            </w:r>
          </w:p>
        </w:tc>
      </w:tr>
      <w:tr w:rsidR="00020E20" w:rsidRPr="00020E20" w:rsidTr="002F1896">
        <w:tc>
          <w:tcPr>
            <w:tcW w:w="10188" w:type="dxa"/>
            <w:tcBorders>
              <w:bottom w:val="single" w:sz="4" w:space="0" w:color="auto"/>
            </w:tcBorders>
            <w:shd w:val="clear" w:color="auto" w:fill="auto"/>
          </w:tcPr>
          <w:p w:rsidR="00020E20" w:rsidRPr="00020E20" w:rsidRDefault="00020E20" w:rsidP="00F70C2A">
            <w:pPr>
              <w:jc w:val="both"/>
              <w:rPr>
                <w:rFonts w:ascii="Tahoma" w:hAnsi="Tahoma" w:cs="Tahoma"/>
                <w:sz w:val="8"/>
                <w:szCs w:val="8"/>
              </w:rPr>
            </w:pPr>
          </w:p>
          <w:p w:rsidR="00D31028" w:rsidRPr="00020E20" w:rsidRDefault="00F70C2A" w:rsidP="00F70C2A">
            <w:pPr>
              <w:jc w:val="both"/>
              <w:rPr>
                <w:rFonts w:ascii="Tahoma" w:hAnsi="Tahoma" w:cs="Tahoma"/>
                <w:sz w:val="20"/>
                <w:szCs w:val="20"/>
              </w:rPr>
            </w:pPr>
            <w:r>
              <w:rPr>
                <w:rFonts w:ascii="Tahoma" w:hAnsi="Tahoma"/>
                <w:sz w:val="20"/>
              </w:rPr>
              <w:t>Après la conclusion, l’entrée en vigueur et la mise en œuvre de l’ALE modernisé, ce dernier ferait l’objet d’un suivi à l’aide d’indicateurs de suivi. Des consultations régulières avec les parties prenantes permettront un suivi efficace de sa mise en œuvre. L’ALE serait évalué après un certain temps d</w:t>
            </w:r>
            <w:r w:rsidR="002724FA">
              <w:rPr>
                <w:rFonts w:ascii="Tahoma" w:hAnsi="Tahoma"/>
                <w:sz w:val="20"/>
              </w:rPr>
              <w:t>’</w:t>
            </w:r>
            <w:r>
              <w:rPr>
                <w:rFonts w:ascii="Tahoma" w:hAnsi="Tahoma"/>
                <w:sz w:val="20"/>
              </w:rPr>
              <w:t>application pour que l’on dispose de données significatives.</w:t>
            </w:r>
          </w:p>
          <w:p w:rsidR="00020E20" w:rsidRPr="00020E20" w:rsidRDefault="00020E20" w:rsidP="00F70C2A">
            <w:pPr>
              <w:jc w:val="both"/>
              <w:rPr>
                <w:rFonts w:ascii="Tahoma" w:hAnsi="Tahoma" w:cs="Tahoma"/>
                <w:sz w:val="8"/>
                <w:szCs w:val="8"/>
              </w:rPr>
            </w:pPr>
          </w:p>
        </w:tc>
      </w:tr>
    </w:tbl>
    <w:p w:rsidR="00215251" w:rsidRPr="009F3C77" w:rsidRDefault="00215251" w:rsidP="009F3C77"/>
    <w:sectPr w:rsidR="00215251" w:rsidRPr="009F3C77" w:rsidSect="00A06E55">
      <w:headerReference w:type="even" r:id="rId19"/>
      <w:headerReference w:type="default" r:id="rId20"/>
      <w:footerReference w:type="even" r:id="rId21"/>
      <w:footerReference w:type="default" r:id="rId22"/>
      <w:headerReference w:type="first" r:id="rId23"/>
      <w:footerReference w:type="first" r:id="rId24"/>
      <w:pgSz w:w="11906" w:h="16838" w:code="9"/>
      <w:pgMar w:top="614" w:right="567" w:bottom="624" w:left="1134" w:header="284" w:footer="25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2A" w:rsidRDefault="0055682A">
      <w:r>
        <w:separator/>
      </w:r>
    </w:p>
  </w:endnote>
  <w:endnote w:type="continuationSeparator" w:id="0">
    <w:p w:rsidR="0055682A" w:rsidRDefault="0055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2D" w:rsidRPr="00AB2C2D" w:rsidRDefault="00AB2C2D" w:rsidP="00AB2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2D" w:rsidRPr="00AB2C2D" w:rsidRDefault="00AB2C2D" w:rsidP="00AB2C2D">
    <w:pPr>
      <w:pStyle w:val="FooterCoverPage"/>
      <w:rPr>
        <w:rFonts w:ascii="Arial" w:hAnsi="Arial" w:cs="Arial"/>
        <w:b/>
        <w:sz w:val="48"/>
      </w:rPr>
    </w:pPr>
    <w:r w:rsidRPr="00AB2C2D">
      <w:rPr>
        <w:rFonts w:ascii="Arial" w:hAnsi="Arial" w:cs="Arial"/>
        <w:b/>
        <w:sz w:val="48"/>
      </w:rPr>
      <w:t>FR</w:t>
    </w:r>
    <w:r w:rsidRPr="00AB2C2D">
      <w:rPr>
        <w:rFonts w:ascii="Arial" w:hAnsi="Arial" w:cs="Arial"/>
        <w:b/>
        <w:sz w:val="48"/>
      </w:rPr>
      <w:tab/>
    </w:r>
    <w:r w:rsidRPr="00AB2C2D">
      <w:rPr>
        <w:rFonts w:ascii="Arial" w:hAnsi="Arial" w:cs="Arial"/>
        <w:b/>
        <w:sz w:val="48"/>
      </w:rPr>
      <w:tab/>
    </w:r>
    <w:fldSimple w:instr=" DOCVARIABLE &quot;LW_Confidence&quot; \* MERGEFORMAT ">
      <w:r>
        <w:t xml:space="preserve"> </w:t>
      </w:r>
    </w:fldSimple>
    <w:r w:rsidRPr="00AB2C2D">
      <w:tab/>
    </w:r>
    <w:r w:rsidRPr="00AB2C2D">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2D" w:rsidRPr="00AB2C2D" w:rsidRDefault="00AB2C2D" w:rsidP="00AB2C2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55" w:rsidRDefault="00A06E5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47817"/>
      <w:docPartObj>
        <w:docPartGallery w:val="Page Numbers (Bottom of Page)"/>
        <w:docPartUnique/>
      </w:docPartObj>
    </w:sdtPr>
    <w:sdtEndPr>
      <w:rPr>
        <w:noProof/>
      </w:rPr>
    </w:sdtEndPr>
    <w:sdtContent>
      <w:p w:rsidR="00CF410F" w:rsidRDefault="00CF410F">
        <w:pPr>
          <w:pStyle w:val="Footer"/>
          <w:jc w:val="center"/>
        </w:pPr>
        <w:r>
          <w:fldChar w:fldCharType="begin"/>
        </w:r>
        <w:r>
          <w:instrText xml:space="preserve"> PAGE   \* MERGEFORMAT </w:instrText>
        </w:r>
        <w:r>
          <w:fldChar w:fldCharType="separate"/>
        </w:r>
        <w:r w:rsidR="00AB2C2D">
          <w:rPr>
            <w:noProof/>
          </w:rPr>
          <w:t>3</w:t>
        </w:r>
        <w:r>
          <w:rPr>
            <w:noProof/>
          </w:rPr>
          <w:fldChar w:fldCharType="end"/>
        </w:r>
      </w:p>
    </w:sdtContent>
  </w:sdt>
  <w:p w:rsidR="00A06E55" w:rsidRDefault="00A06E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869864"/>
      <w:docPartObj>
        <w:docPartGallery w:val="Page Numbers (Bottom of Page)"/>
        <w:docPartUnique/>
      </w:docPartObj>
    </w:sdtPr>
    <w:sdtEndPr>
      <w:rPr>
        <w:noProof/>
      </w:rPr>
    </w:sdtEndPr>
    <w:sdtContent>
      <w:p w:rsidR="00A06E55" w:rsidRDefault="00A06E55">
        <w:pPr>
          <w:pStyle w:val="Footer"/>
          <w:jc w:val="center"/>
        </w:pPr>
        <w:r>
          <w:fldChar w:fldCharType="begin"/>
        </w:r>
        <w:r>
          <w:instrText xml:space="preserve"> PAGE   \* MERGEFORMAT </w:instrText>
        </w:r>
        <w:r>
          <w:fldChar w:fldCharType="separate"/>
        </w:r>
        <w:r w:rsidR="00AB2C2D">
          <w:rPr>
            <w:noProof/>
          </w:rPr>
          <w:t>2</w:t>
        </w:r>
        <w:r>
          <w:rPr>
            <w:noProof/>
          </w:rPr>
          <w:fldChar w:fldCharType="end"/>
        </w:r>
      </w:p>
    </w:sdtContent>
  </w:sdt>
  <w:p w:rsidR="00A06E55" w:rsidRDefault="00A06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2A" w:rsidRDefault="0055682A">
      <w:r>
        <w:separator/>
      </w:r>
    </w:p>
  </w:footnote>
  <w:footnote w:type="continuationSeparator" w:id="0">
    <w:p w:rsidR="0055682A" w:rsidRDefault="00556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2D" w:rsidRPr="00AB2C2D" w:rsidRDefault="00AB2C2D" w:rsidP="00AB2C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2D" w:rsidRPr="00AB2C2D" w:rsidRDefault="00AB2C2D" w:rsidP="00AB2C2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2D" w:rsidRPr="00AB2C2D" w:rsidRDefault="00AB2C2D" w:rsidP="00AB2C2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55" w:rsidRDefault="00A06E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55" w:rsidRDefault="00A06E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55" w:rsidRDefault="00A06E55">
    <w:pPr>
      <w:pStyle w:val="Header"/>
    </w:pPr>
  </w:p>
  <w:p w:rsidR="00A06E55" w:rsidRDefault="00A06E55">
    <w:pPr>
      <w:pStyle w:val="Header"/>
    </w:pPr>
  </w:p>
  <w:p w:rsidR="00A06E55" w:rsidRDefault="00A06E55">
    <w:pPr>
      <w:pStyle w:val="Header"/>
    </w:pPr>
  </w:p>
  <w:p w:rsidR="00A06E55" w:rsidRDefault="00A06E5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588231E3"/>
    <w:multiLevelType w:val="hybridMultilevel"/>
    <w:tmpl w:val="39861E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DC70638"/>
    <w:multiLevelType w:val="hybridMultilevel"/>
    <w:tmpl w:val="9FC49C64"/>
    <w:lvl w:ilvl="0" w:tplc="823CC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AF50CC"/>
    <w:multiLevelType w:val="hybridMultilevel"/>
    <w:tmpl w:val="DF464582"/>
    <w:lvl w:ilvl="0" w:tplc="823CC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EU RESTRICTED"/>
    <w:docVar w:name="LW_CORRIGENDUM" w:val="&lt;UNUSED&gt;"/>
    <w:docVar w:name="LW_COVERPAGE_GUID" w:val="43E1595B7B214889970EB79BF3D98AA9"/>
    <w:docVar w:name="LW_CROSSREFERENCE" w:val="{JOIN(2017) 19 final}_x000a_{SWD(2017) 173 final}"/>
    <w:docVar w:name="LW_DocType" w:val="NORMAL"/>
    <w:docVar w:name="LW_EMISSION" w:val="24.5.2017"/>
    <w:docVar w:name="LW_EMISSION_ISODATE" w:val="2017-05-24"/>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autorisant la Commission européenne et la haute représentante de l\u8217?Union pour les affaires étrangères et la politique de sécurité à ouvrir des négociations et à négocier un accord d\u8217?association modernisé avec la République du Chili_x000b_"/>
    <w:docVar w:name="LW_PART_NBR" w:val="1"/>
    <w:docVar w:name="LW_PART_NBR_TOTAL" w:val="1"/>
    <w:docVar w:name="LW_REF.INST.NEW" w:val="SWD"/>
    <w:docVar w:name="LW_REF.INST.NEW_ADOPTED" w:val="final"/>
    <w:docVar w:name="LW_REF.INST.NEW_TEXT" w:val="(2017) 172"/>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Recommandation conjointe de DÉCISION DU CONSEIL"/>
  </w:docVars>
  <w:rsids>
    <w:rsidRoot w:val="00D77C10"/>
    <w:rsid w:val="00002A85"/>
    <w:rsid w:val="000060F7"/>
    <w:rsid w:val="000135A1"/>
    <w:rsid w:val="00013CC7"/>
    <w:rsid w:val="00015FC4"/>
    <w:rsid w:val="00020E20"/>
    <w:rsid w:val="000217AC"/>
    <w:rsid w:val="0002207B"/>
    <w:rsid w:val="000221EC"/>
    <w:rsid w:val="0002272D"/>
    <w:rsid w:val="000232FB"/>
    <w:rsid w:val="000310FF"/>
    <w:rsid w:val="00033BE7"/>
    <w:rsid w:val="00036958"/>
    <w:rsid w:val="00037325"/>
    <w:rsid w:val="00040A29"/>
    <w:rsid w:val="00040D94"/>
    <w:rsid w:val="00042167"/>
    <w:rsid w:val="0004365C"/>
    <w:rsid w:val="00043F8F"/>
    <w:rsid w:val="00044066"/>
    <w:rsid w:val="000507B0"/>
    <w:rsid w:val="00052E4F"/>
    <w:rsid w:val="0005352C"/>
    <w:rsid w:val="000555AC"/>
    <w:rsid w:val="0005694E"/>
    <w:rsid w:val="000649B6"/>
    <w:rsid w:val="0006777C"/>
    <w:rsid w:val="000701BC"/>
    <w:rsid w:val="00071DB8"/>
    <w:rsid w:val="00081505"/>
    <w:rsid w:val="0008299C"/>
    <w:rsid w:val="00095254"/>
    <w:rsid w:val="000953F8"/>
    <w:rsid w:val="00096178"/>
    <w:rsid w:val="000A0799"/>
    <w:rsid w:val="000A31EA"/>
    <w:rsid w:val="000A3963"/>
    <w:rsid w:val="000A5AAE"/>
    <w:rsid w:val="000A62DC"/>
    <w:rsid w:val="000B54A0"/>
    <w:rsid w:val="000B6220"/>
    <w:rsid w:val="000C0222"/>
    <w:rsid w:val="000C2FA0"/>
    <w:rsid w:val="000C3636"/>
    <w:rsid w:val="000C4387"/>
    <w:rsid w:val="000C46A3"/>
    <w:rsid w:val="000C4902"/>
    <w:rsid w:val="000C5397"/>
    <w:rsid w:val="000C58C9"/>
    <w:rsid w:val="000C7457"/>
    <w:rsid w:val="000C7A19"/>
    <w:rsid w:val="000D08FC"/>
    <w:rsid w:val="000D0F00"/>
    <w:rsid w:val="000D2F02"/>
    <w:rsid w:val="000D4746"/>
    <w:rsid w:val="000D5130"/>
    <w:rsid w:val="000D6CCD"/>
    <w:rsid w:val="000D7DF1"/>
    <w:rsid w:val="000E69AE"/>
    <w:rsid w:val="000E7131"/>
    <w:rsid w:val="000E7606"/>
    <w:rsid w:val="000F024C"/>
    <w:rsid w:val="000F1893"/>
    <w:rsid w:val="000F209D"/>
    <w:rsid w:val="000F230A"/>
    <w:rsid w:val="000F40BA"/>
    <w:rsid w:val="000F471C"/>
    <w:rsid w:val="000F7DED"/>
    <w:rsid w:val="00102998"/>
    <w:rsid w:val="00103716"/>
    <w:rsid w:val="001049F7"/>
    <w:rsid w:val="0011174F"/>
    <w:rsid w:val="00111DD1"/>
    <w:rsid w:val="0011417C"/>
    <w:rsid w:val="00115331"/>
    <w:rsid w:val="00116AE6"/>
    <w:rsid w:val="0011760C"/>
    <w:rsid w:val="00120AE1"/>
    <w:rsid w:val="00122824"/>
    <w:rsid w:val="001239CB"/>
    <w:rsid w:val="0012665D"/>
    <w:rsid w:val="001425C5"/>
    <w:rsid w:val="00147689"/>
    <w:rsid w:val="00150FC4"/>
    <w:rsid w:val="001532AA"/>
    <w:rsid w:val="00162337"/>
    <w:rsid w:val="00163213"/>
    <w:rsid w:val="00164FD6"/>
    <w:rsid w:val="00172C0A"/>
    <w:rsid w:val="001743F6"/>
    <w:rsid w:val="00177D3D"/>
    <w:rsid w:val="00181CF6"/>
    <w:rsid w:val="00192434"/>
    <w:rsid w:val="001931E5"/>
    <w:rsid w:val="001A0337"/>
    <w:rsid w:val="001A0F5C"/>
    <w:rsid w:val="001A193C"/>
    <w:rsid w:val="001A2A27"/>
    <w:rsid w:val="001A558F"/>
    <w:rsid w:val="001A6F4A"/>
    <w:rsid w:val="001B0A69"/>
    <w:rsid w:val="001B2DAE"/>
    <w:rsid w:val="001B3004"/>
    <w:rsid w:val="001B648C"/>
    <w:rsid w:val="001B692A"/>
    <w:rsid w:val="001C0FC3"/>
    <w:rsid w:val="001C1187"/>
    <w:rsid w:val="001C7449"/>
    <w:rsid w:val="001D0332"/>
    <w:rsid w:val="001D2C3F"/>
    <w:rsid w:val="001D71BB"/>
    <w:rsid w:val="001D7A64"/>
    <w:rsid w:val="001E0328"/>
    <w:rsid w:val="001E41D7"/>
    <w:rsid w:val="001E5EA8"/>
    <w:rsid w:val="001E72E6"/>
    <w:rsid w:val="001E7E96"/>
    <w:rsid w:val="001F2643"/>
    <w:rsid w:val="001F2F9B"/>
    <w:rsid w:val="001F53EF"/>
    <w:rsid w:val="001F7408"/>
    <w:rsid w:val="0020130A"/>
    <w:rsid w:val="0020146B"/>
    <w:rsid w:val="00202CB4"/>
    <w:rsid w:val="00203AB6"/>
    <w:rsid w:val="00206EE7"/>
    <w:rsid w:val="00207AB9"/>
    <w:rsid w:val="00210486"/>
    <w:rsid w:val="00212954"/>
    <w:rsid w:val="002133FF"/>
    <w:rsid w:val="002144A9"/>
    <w:rsid w:val="002144B8"/>
    <w:rsid w:val="00215251"/>
    <w:rsid w:val="002176D8"/>
    <w:rsid w:val="00222036"/>
    <w:rsid w:val="002319E7"/>
    <w:rsid w:val="0023339A"/>
    <w:rsid w:val="00237331"/>
    <w:rsid w:val="0024340D"/>
    <w:rsid w:val="002437F3"/>
    <w:rsid w:val="00243E1F"/>
    <w:rsid w:val="0024561C"/>
    <w:rsid w:val="00253CDD"/>
    <w:rsid w:val="00254744"/>
    <w:rsid w:val="00256A94"/>
    <w:rsid w:val="00256C56"/>
    <w:rsid w:val="00260DFB"/>
    <w:rsid w:val="00261919"/>
    <w:rsid w:val="00262D1C"/>
    <w:rsid w:val="00265A1D"/>
    <w:rsid w:val="00267586"/>
    <w:rsid w:val="002724FA"/>
    <w:rsid w:val="002734D2"/>
    <w:rsid w:val="00274F3E"/>
    <w:rsid w:val="0027750C"/>
    <w:rsid w:val="00283D9B"/>
    <w:rsid w:val="00286ADA"/>
    <w:rsid w:val="002961D9"/>
    <w:rsid w:val="002A1D45"/>
    <w:rsid w:val="002A3521"/>
    <w:rsid w:val="002A378E"/>
    <w:rsid w:val="002A4FBD"/>
    <w:rsid w:val="002A73D0"/>
    <w:rsid w:val="002B15CC"/>
    <w:rsid w:val="002B243A"/>
    <w:rsid w:val="002B2BD3"/>
    <w:rsid w:val="002B37CB"/>
    <w:rsid w:val="002B51D0"/>
    <w:rsid w:val="002C5A48"/>
    <w:rsid w:val="002C6435"/>
    <w:rsid w:val="002D13D3"/>
    <w:rsid w:val="002D14A2"/>
    <w:rsid w:val="002D25D1"/>
    <w:rsid w:val="002D452E"/>
    <w:rsid w:val="002D6E91"/>
    <w:rsid w:val="002D7F53"/>
    <w:rsid w:val="002E1081"/>
    <w:rsid w:val="002E3107"/>
    <w:rsid w:val="002E51F6"/>
    <w:rsid w:val="002E6131"/>
    <w:rsid w:val="002E6493"/>
    <w:rsid w:val="002E6DD4"/>
    <w:rsid w:val="002E7E6E"/>
    <w:rsid w:val="002F0D37"/>
    <w:rsid w:val="002F1896"/>
    <w:rsid w:val="002F44B2"/>
    <w:rsid w:val="002F7873"/>
    <w:rsid w:val="00302819"/>
    <w:rsid w:val="00303D7C"/>
    <w:rsid w:val="003056C5"/>
    <w:rsid w:val="00306759"/>
    <w:rsid w:val="00306EBC"/>
    <w:rsid w:val="00306F3D"/>
    <w:rsid w:val="00310A8C"/>
    <w:rsid w:val="00311F92"/>
    <w:rsid w:val="00313317"/>
    <w:rsid w:val="0031612B"/>
    <w:rsid w:val="00316F0E"/>
    <w:rsid w:val="0032134A"/>
    <w:rsid w:val="003237FD"/>
    <w:rsid w:val="00323ECF"/>
    <w:rsid w:val="0032455D"/>
    <w:rsid w:val="00327745"/>
    <w:rsid w:val="0033331A"/>
    <w:rsid w:val="00335A7C"/>
    <w:rsid w:val="00342BCD"/>
    <w:rsid w:val="00343963"/>
    <w:rsid w:val="00351B75"/>
    <w:rsid w:val="00352A2A"/>
    <w:rsid w:val="00355713"/>
    <w:rsid w:val="00364170"/>
    <w:rsid w:val="003642E7"/>
    <w:rsid w:val="00366914"/>
    <w:rsid w:val="003670AD"/>
    <w:rsid w:val="00367B35"/>
    <w:rsid w:val="00367F37"/>
    <w:rsid w:val="00370F0A"/>
    <w:rsid w:val="003717C6"/>
    <w:rsid w:val="0037217B"/>
    <w:rsid w:val="00373DE5"/>
    <w:rsid w:val="00374085"/>
    <w:rsid w:val="00375F57"/>
    <w:rsid w:val="0037604D"/>
    <w:rsid w:val="003803DF"/>
    <w:rsid w:val="00381A9C"/>
    <w:rsid w:val="00395523"/>
    <w:rsid w:val="00397710"/>
    <w:rsid w:val="003A03F5"/>
    <w:rsid w:val="003A0497"/>
    <w:rsid w:val="003A089C"/>
    <w:rsid w:val="003A0DCF"/>
    <w:rsid w:val="003A704D"/>
    <w:rsid w:val="003B1DB3"/>
    <w:rsid w:val="003B3CF7"/>
    <w:rsid w:val="003C17E3"/>
    <w:rsid w:val="003C77DC"/>
    <w:rsid w:val="003D1DAE"/>
    <w:rsid w:val="003D208E"/>
    <w:rsid w:val="003D39F6"/>
    <w:rsid w:val="003D3C8A"/>
    <w:rsid w:val="003E1686"/>
    <w:rsid w:val="003E230D"/>
    <w:rsid w:val="003F54D5"/>
    <w:rsid w:val="003F5CA9"/>
    <w:rsid w:val="003F675A"/>
    <w:rsid w:val="003F6874"/>
    <w:rsid w:val="003F7099"/>
    <w:rsid w:val="0040097D"/>
    <w:rsid w:val="004013A2"/>
    <w:rsid w:val="00405A63"/>
    <w:rsid w:val="00406B41"/>
    <w:rsid w:val="004073BE"/>
    <w:rsid w:val="004101BE"/>
    <w:rsid w:val="00410ADD"/>
    <w:rsid w:val="00411E3B"/>
    <w:rsid w:val="00413838"/>
    <w:rsid w:val="00413893"/>
    <w:rsid w:val="00417B72"/>
    <w:rsid w:val="00421010"/>
    <w:rsid w:val="00426B40"/>
    <w:rsid w:val="0042708E"/>
    <w:rsid w:val="00427E6A"/>
    <w:rsid w:val="00431A20"/>
    <w:rsid w:val="00436003"/>
    <w:rsid w:val="00436341"/>
    <w:rsid w:val="00436993"/>
    <w:rsid w:val="004411A2"/>
    <w:rsid w:val="00441B5C"/>
    <w:rsid w:val="00446B27"/>
    <w:rsid w:val="00446EB6"/>
    <w:rsid w:val="00460D5B"/>
    <w:rsid w:val="00462243"/>
    <w:rsid w:val="00462C23"/>
    <w:rsid w:val="00462E71"/>
    <w:rsid w:val="00470B92"/>
    <w:rsid w:val="00471597"/>
    <w:rsid w:val="0047175D"/>
    <w:rsid w:val="004724EC"/>
    <w:rsid w:val="00472C10"/>
    <w:rsid w:val="0047667D"/>
    <w:rsid w:val="00485BAF"/>
    <w:rsid w:val="00486AF3"/>
    <w:rsid w:val="0048702D"/>
    <w:rsid w:val="00494B44"/>
    <w:rsid w:val="00494C27"/>
    <w:rsid w:val="004971AA"/>
    <w:rsid w:val="004A2A40"/>
    <w:rsid w:val="004B17C0"/>
    <w:rsid w:val="004B22CF"/>
    <w:rsid w:val="004B3D8A"/>
    <w:rsid w:val="004B5688"/>
    <w:rsid w:val="004C37CC"/>
    <w:rsid w:val="004D5CC7"/>
    <w:rsid w:val="004D79B2"/>
    <w:rsid w:val="004E6B3A"/>
    <w:rsid w:val="004F4E57"/>
    <w:rsid w:val="00501200"/>
    <w:rsid w:val="00501394"/>
    <w:rsid w:val="00507315"/>
    <w:rsid w:val="005101B8"/>
    <w:rsid w:val="00511180"/>
    <w:rsid w:val="0051446E"/>
    <w:rsid w:val="00515DD6"/>
    <w:rsid w:val="0052039D"/>
    <w:rsid w:val="00522128"/>
    <w:rsid w:val="005261E7"/>
    <w:rsid w:val="00534D30"/>
    <w:rsid w:val="00537A62"/>
    <w:rsid w:val="005438E6"/>
    <w:rsid w:val="005456A3"/>
    <w:rsid w:val="005460AE"/>
    <w:rsid w:val="005533ED"/>
    <w:rsid w:val="00555298"/>
    <w:rsid w:val="0055567E"/>
    <w:rsid w:val="0055682A"/>
    <w:rsid w:val="00560B15"/>
    <w:rsid w:val="0056281E"/>
    <w:rsid w:val="0056751B"/>
    <w:rsid w:val="00567F5D"/>
    <w:rsid w:val="005718AD"/>
    <w:rsid w:val="00577E6D"/>
    <w:rsid w:val="00577FAD"/>
    <w:rsid w:val="005814D2"/>
    <w:rsid w:val="00591492"/>
    <w:rsid w:val="0059531D"/>
    <w:rsid w:val="005A13EA"/>
    <w:rsid w:val="005A1A34"/>
    <w:rsid w:val="005A38C9"/>
    <w:rsid w:val="005A7F1B"/>
    <w:rsid w:val="005B4AE9"/>
    <w:rsid w:val="005B6711"/>
    <w:rsid w:val="005C0FDC"/>
    <w:rsid w:val="005C1CC0"/>
    <w:rsid w:val="005C2C88"/>
    <w:rsid w:val="005C79E0"/>
    <w:rsid w:val="005D654D"/>
    <w:rsid w:val="005D7C1D"/>
    <w:rsid w:val="005E15C1"/>
    <w:rsid w:val="005E17BF"/>
    <w:rsid w:val="005E1E4A"/>
    <w:rsid w:val="005E26B5"/>
    <w:rsid w:val="005E2805"/>
    <w:rsid w:val="005E2FC1"/>
    <w:rsid w:val="005E33F2"/>
    <w:rsid w:val="005E6707"/>
    <w:rsid w:val="005E6B3B"/>
    <w:rsid w:val="005F09AB"/>
    <w:rsid w:val="005F2232"/>
    <w:rsid w:val="005F63F8"/>
    <w:rsid w:val="006023B4"/>
    <w:rsid w:val="00612254"/>
    <w:rsid w:val="00616173"/>
    <w:rsid w:val="00617728"/>
    <w:rsid w:val="00625D79"/>
    <w:rsid w:val="00627994"/>
    <w:rsid w:val="0063067F"/>
    <w:rsid w:val="006333CA"/>
    <w:rsid w:val="006341EE"/>
    <w:rsid w:val="0063425F"/>
    <w:rsid w:val="00634E9C"/>
    <w:rsid w:val="00643CC3"/>
    <w:rsid w:val="00650760"/>
    <w:rsid w:val="00650A44"/>
    <w:rsid w:val="00652FF6"/>
    <w:rsid w:val="00661F23"/>
    <w:rsid w:val="0066235A"/>
    <w:rsid w:val="00665DED"/>
    <w:rsid w:val="00670E71"/>
    <w:rsid w:val="00671828"/>
    <w:rsid w:val="00673012"/>
    <w:rsid w:val="006743C2"/>
    <w:rsid w:val="00677657"/>
    <w:rsid w:val="0067770D"/>
    <w:rsid w:val="0068439E"/>
    <w:rsid w:val="006855C0"/>
    <w:rsid w:val="00686B2F"/>
    <w:rsid w:val="00687970"/>
    <w:rsid w:val="0069078C"/>
    <w:rsid w:val="006957EC"/>
    <w:rsid w:val="00697B87"/>
    <w:rsid w:val="006A1B7B"/>
    <w:rsid w:val="006A283F"/>
    <w:rsid w:val="006B38FE"/>
    <w:rsid w:val="006B3E11"/>
    <w:rsid w:val="006B5FB4"/>
    <w:rsid w:val="006C10E8"/>
    <w:rsid w:val="006C118D"/>
    <w:rsid w:val="006C11A2"/>
    <w:rsid w:val="006C2AF4"/>
    <w:rsid w:val="006C6432"/>
    <w:rsid w:val="006C6BD7"/>
    <w:rsid w:val="006D19DC"/>
    <w:rsid w:val="006D54FC"/>
    <w:rsid w:val="006E518F"/>
    <w:rsid w:val="006E645F"/>
    <w:rsid w:val="006E7913"/>
    <w:rsid w:val="006F17C1"/>
    <w:rsid w:val="006F2D2D"/>
    <w:rsid w:val="006F5312"/>
    <w:rsid w:val="00705122"/>
    <w:rsid w:val="00712A1B"/>
    <w:rsid w:val="00713706"/>
    <w:rsid w:val="00715E23"/>
    <w:rsid w:val="00715E60"/>
    <w:rsid w:val="00717CD7"/>
    <w:rsid w:val="00721A20"/>
    <w:rsid w:val="0072447C"/>
    <w:rsid w:val="007272E0"/>
    <w:rsid w:val="00730891"/>
    <w:rsid w:val="00731944"/>
    <w:rsid w:val="007333B2"/>
    <w:rsid w:val="00734B53"/>
    <w:rsid w:val="00735740"/>
    <w:rsid w:val="00737872"/>
    <w:rsid w:val="007407A9"/>
    <w:rsid w:val="00742CC6"/>
    <w:rsid w:val="0074680C"/>
    <w:rsid w:val="0074787A"/>
    <w:rsid w:val="00752BE3"/>
    <w:rsid w:val="00752D83"/>
    <w:rsid w:val="0075642E"/>
    <w:rsid w:val="00756B4B"/>
    <w:rsid w:val="00770D16"/>
    <w:rsid w:val="00771F08"/>
    <w:rsid w:val="00773E5D"/>
    <w:rsid w:val="007757B3"/>
    <w:rsid w:val="00776C24"/>
    <w:rsid w:val="00784584"/>
    <w:rsid w:val="007878C2"/>
    <w:rsid w:val="007903E8"/>
    <w:rsid w:val="007976FB"/>
    <w:rsid w:val="007A0AF3"/>
    <w:rsid w:val="007A1006"/>
    <w:rsid w:val="007A65EF"/>
    <w:rsid w:val="007A7148"/>
    <w:rsid w:val="007B0703"/>
    <w:rsid w:val="007B0F4F"/>
    <w:rsid w:val="007B1BF5"/>
    <w:rsid w:val="007B3249"/>
    <w:rsid w:val="007B4422"/>
    <w:rsid w:val="007B49CA"/>
    <w:rsid w:val="007B53B1"/>
    <w:rsid w:val="007C380F"/>
    <w:rsid w:val="007D775F"/>
    <w:rsid w:val="007E173A"/>
    <w:rsid w:val="007E3C27"/>
    <w:rsid w:val="007E3D6A"/>
    <w:rsid w:val="007E70C7"/>
    <w:rsid w:val="007F4E50"/>
    <w:rsid w:val="007F6F0D"/>
    <w:rsid w:val="007F79DD"/>
    <w:rsid w:val="007F7DC0"/>
    <w:rsid w:val="008017C7"/>
    <w:rsid w:val="00803AC1"/>
    <w:rsid w:val="00806863"/>
    <w:rsid w:val="00810C7F"/>
    <w:rsid w:val="008123D2"/>
    <w:rsid w:val="008159DA"/>
    <w:rsid w:val="00815C9C"/>
    <w:rsid w:val="0082159B"/>
    <w:rsid w:val="0082469E"/>
    <w:rsid w:val="00826619"/>
    <w:rsid w:val="00827C8E"/>
    <w:rsid w:val="00831D28"/>
    <w:rsid w:val="0084253A"/>
    <w:rsid w:val="008430C8"/>
    <w:rsid w:val="0084463C"/>
    <w:rsid w:val="00844BCE"/>
    <w:rsid w:val="00844CEC"/>
    <w:rsid w:val="00855872"/>
    <w:rsid w:val="00856D58"/>
    <w:rsid w:val="00861726"/>
    <w:rsid w:val="0086513D"/>
    <w:rsid w:val="008714CB"/>
    <w:rsid w:val="008744AA"/>
    <w:rsid w:val="00876420"/>
    <w:rsid w:val="00884A87"/>
    <w:rsid w:val="00891008"/>
    <w:rsid w:val="00892CF2"/>
    <w:rsid w:val="008954A3"/>
    <w:rsid w:val="00897807"/>
    <w:rsid w:val="008B4D6A"/>
    <w:rsid w:val="008C085B"/>
    <w:rsid w:val="008C56EB"/>
    <w:rsid w:val="008C5799"/>
    <w:rsid w:val="008C7ABC"/>
    <w:rsid w:val="008C7EA1"/>
    <w:rsid w:val="008D0A6C"/>
    <w:rsid w:val="008D0B6E"/>
    <w:rsid w:val="008D1C47"/>
    <w:rsid w:val="008D6ED4"/>
    <w:rsid w:val="008E0206"/>
    <w:rsid w:val="008E22D5"/>
    <w:rsid w:val="008E4ADA"/>
    <w:rsid w:val="008F14CC"/>
    <w:rsid w:val="008F54FF"/>
    <w:rsid w:val="008F6135"/>
    <w:rsid w:val="008F616B"/>
    <w:rsid w:val="008F622C"/>
    <w:rsid w:val="009110B1"/>
    <w:rsid w:val="00912240"/>
    <w:rsid w:val="00914EC8"/>
    <w:rsid w:val="00916146"/>
    <w:rsid w:val="00917208"/>
    <w:rsid w:val="009220EF"/>
    <w:rsid w:val="00924E46"/>
    <w:rsid w:val="00925603"/>
    <w:rsid w:val="00927ED9"/>
    <w:rsid w:val="009316BD"/>
    <w:rsid w:val="009318EE"/>
    <w:rsid w:val="00934E53"/>
    <w:rsid w:val="00937E6C"/>
    <w:rsid w:val="009400B0"/>
    <w:rsid w:val="00940A8F"/>
    <w:rsid w:val="00941B2E"/>
    <w:rsid w:val="00941C83"/>
    <w:rsid w:val="009459D1"/>
    <w:rsid w:val="00945CAE"/>
    <w:rsid w:val="00946294"/>
    <w:rsid w:val="00947707"/>
    <w:rsid w:val="00951E34"/>
    <w:rsid w:val="00955BCD"/>
    <w:rsid w:val="0096595D"/>
    <w:rsid w:val="00966C43"/>
    <w:rsid w:val="009670F5"/>
    <w:rsid w:val="00970211"/>
    <w:rsid w:val="00972857"/>
    <w:rsid w:val="00972B12"/>
    <w:rsid w:val="00974EB5"/>
    <w:rsid w:val="00975C6D"/>
    <w:rsid w:val="00977540"/>
    <w:rsid w:val="00982A33"/>
    <w:rsid w:val="00986BE0"/>
    <w:rsid w:val="00995C2C"/>
    <w:rsid w:val="009968B9"/>
    <w:rsid w:val="00996F50"/>
    <w:rsid w:val="009A0BBF"/>
    <w:rsid w:val="009A0D36"/>
    <w:rsid w:val="009A0D84"/>
    <w:rsid w:val="009A6062"/>
    <w:rsid w:val="009B00B5"/>
    <w:rsid w:val="009B12F0"/>
    <w:rsid w:val="009B29B1"/>
    <w:rsid w:val="009B40F0"/>
    <w:rsid w:val="009B6664"/>
    <w:rsid w:val="009B6D0C"/>
    <w:rsid w:val="009B7BAF"/>
    <w:rsid w:val="009C13D3"/>
    <w:rsid w:val="009C308B"/>
    <w:rsid w:val="009C62D7"/>
    <w:rsid w:val="009C7A47"/>
    <w:rsid w:val="009D3219"/>
    <w:rsid w:val="009D7835"/>
    <w:rsid w:val="009D7D22"/>
    <w:rsid w:val="009E1D54"/>
    <w:rsid w:val="009E26EE"/>
    <w:rsid w:val="009E5060"/>
    <w:rsid w:val="009F3C77"/>
    <w:rsid w:val="009F4680"/>
    <w:rsid w:val="009F56C1"/>
    <w:rsid w:val="009F5F7B"/>
    <w:rsid w:val="009F6134"/>
    <w:rsid w:val="009F6D2D"/>
    <w:rsid w:val="009F74FF"/>
    <w:rsid w:val="00A00B8F"/>
    <w:rsid w:val="00A00E51"/>
    <w:rsid w:val="00A02490"/>
    <w:rsid w:val="00A02A0F"/>
    <w:rsid w:val="00A06E55"/>
    <w:rsid w:val="00A1085F"/>
    <w:rsid w:val="00A127EF"/>
    <w:rsid w:val="00A139BB"/>
    <w:rsid w:val="00A14CA7"/>
    <w:rsid w:val="00A154AF"/>
    <w:rsid w:val="00A24E91"/>
    <w:rsid w:val="00A25117"/>
    <w:rsid w:val="00A262FA"/>
    <w:rsid w:val="00A26F8E"/>
    <w:rsid w:val="00A26FE7"/>
    <w:rsid w:val="00A3516B"/>
    <w:rsid w:val="00A36F44"/>
    <w:rsid w:val="00A41755"/>
    <w:rsid w:val="00A42E43"/>
    <w:rsid w:val="00A43E2E"/>
    <w:rsid w:val="00A450E8"/>
    <w:rsid w:val="00A46006"/>
    <w:rsid w:val="00A54EBC"/>
    <w:rsid w:val="00A55CCC"/>
    <w:rsid w:val="00A55F4E"/>
    <w:rsid w:val="00A7386E"/>
    <w:rsid w:val="00A744F1"/>
    <w:rsid w:val="00A87419"/>
    <w:rsid w:val="00A90873"/>
    <w:rsid w:val="00A9203B"/>
    <w:rsid w:val="00A95B58"/>
    <w:rsid w:val="00AA03BC"/>
    <w:rsid w:val="00AA255B"/>
    <w:rsid w:val="00AA2C26"/>
    <w:rsid w:val="00AA42E4"/>
    <w:rsid w:val="00AB025C"/>
    <w:rsid w:val="00AB06D4"/>
    <w:rsid w:val="00AB2C2D"/>
    <w:rsid w:val="00AB325F"/>
    <w:rsid w:val="00AB3ADF"/>
    <w:rsid w:val="00AB3F03"/>
    <w:rsid w:val="00AB5364"/>
    <w:rsid w:val="00AB675C"/>
    <w:rsid w:val="00AC2818"/>
    <w:rsid w:val="00AC65E9"/>
    <w:rsid w:val="00AC6D74"/>
    <w:rsid w:val="00AC78D6"/>
    <w:rsid w:val="00AC7B96"/>
    <w:rsid w:val="00AD11D2"/>
    <w:rsid w:val="00AD2428"/>
    <w:rsid w:val="00AD49F4"/>
    <w:rsid w:val="00AD5AA8"/>
    <w:rsid w:val="00AD79CE"/>
    <w:rsid w:val="00AE6768"/>
    <w:rsid w:val="00AF4B20"/>
    <w:rsid w:val="00AF72DB"/>
    <w:rsid w:val="00B03CCE"/>
    <w:rsid w:val="00B07B28"/>
    <w:rsid w:val="00B142D7"/>
    <w:rsid w:val="00B14C1D"/>
    <w:rsid w:val="00B230F2"/>
    <w:rsid w:val="00B23AAE"/>
    <w:rsid w:val="00B243BC"/>
    <w:rsid w:val="00B24D64"/>
    <w:rsid w:val="00B27AC8"/>
    <w:rsid w:val="00B30848"/>
    <w:rsid w:val="00B32B4D"/>
    <w:rsid w:val="00B41330"/>
    <w:rsid w:val="00B437E6"/>
    <w:rsid w:val="00B43AE2"/>
    <w:rsid w:val="00B45726"/>
    <w:rsid w:val="00B46CB8"/>
    <w:rsid w:val="00B47631"/>
    <w:rsid w:val="00B5145E"/>
    <w:rsid w:val="00B53A5F"/>
    <w:rsid w:val="00B53E28"/>
    <w:rsid w:val="00B602F2"/>
    <w:rsid w:val="00B608A8"/>
    <w:rsid w:val="00B66E10"/>
    <w:rsid w:val="00B72557"/>
    <w:rsid w:val="00B74B23"/>
    <w:rsid w:val="00B74B49"/>
    <w:rsid w:val="00B7551C"/>
    <w:rsid w:val="00B77F1B"/>
    <w:rsid w:val="00B8070D"/>
    <w:rsid w:val="00B836D1"/>
    <w:rsid w:val="00B83B27"/>
    <w:rsid w:val="00B85B1D"/>
    <w:rsid w:val="00B879CD"/>
    <w:rsid w:val="00B94931"/>
    <w:rsid w:val="00B9521F"/>
    <w:rsid w:val="00BA0063"/>
    <w:rsid w:val="00BA4736"/>
    <w:rsid w:val="00BB1262"/>
    <w:rsid w:val="00BB211C"/>
    <w:rsid w:val="00BB2722"/>
    <w:rsid w:val="00BB50C8"/>
    <w:rsid w:val="00BC42C6"/>
    <w:rsid w:val="00BD14B4"/>
    <w:rsid w:val="00BD16CD"/>
    <w:rsid w:val="00BD22A2"/>
    <w:rsid w:val="00BD2BA5"/>
    <w:rsid w:val="00BD7933"/>
    <w:rsid w:val="00BE09D9"/>
    <w:rsid w:val="00BE17E9"/>
    <w:rsid w:val="00BE73A1"/>
    <w:rsid w:val="00BF0CFE"/>
    <w:rsid w:val="00BF30B1"/>
    <w:rsid w:val="00BF3ACF"/>
    <w:rsid w:val="00BF7E14"/>
    <w:rsid w:val="00C00994"/>
    <w:rsid w:val="00C0397C"/>
    <w:rsid w:val="00C1106D"/>
    <w:rsid w:val="00C13152"/>
    <w:rsid w:val="00C22EC4"/>
    <w:rsid w:val="00C2333B"/>
    <w:rsid w:val="00C23897"/>
    <w:rsid w:val="00C25B62"/>
    <w:rsid w:val="00C338E0"/>
    <w:rsid w:val="00C3525D"/>
    <w:rsid w:val="00C371AA"/>
    <w:rsid w:val="00C37253"/>
    <w:rsid w:val="00C43A68"/>
    <w:rsid w:val="00C44FFA"/>
    <w:rsid w:val="00C52317"/>
    <w:rsid w:val="00C56DB9"/>
    <w:rsid w:val="00C5794F"/>
    <w:rsid w:val="00C600A9"/>
    <w:rsid w:val="00C60B49"/>
    <w:rsid w:val="00C62DBC"/>
    <w:rsid w:val="00C64321"/>
    <w:rsid w:val="00C674C0"/>
    <w:rsid w:val="00C71DFB"/>
    <w:rsid w:val="00C74D04"/>
    <w:rsid w:val="00C761AB"/>
    <w:rsid w:val="00C81C0C"/>
    <w:rsid w:val="00C823C6"/>
    <w:rsid w:val="00C84FC3"/>
    <w:rsid w:val="00C85E33"/>
    <w:rsid w:val="00C8634F"/>
    <w:rsid w:val="00C86ADF"/>
    <w:rsid w:val="00C90386"/>
    <w:rsid w:val="00C903B9"/>
    <w:rsid w:val="00C90E2C"/>
    <w:rsid w:val="00C914DF"/>
    <w:rsid w:val="00C9198D"/>
    <w:rsid w:val="00C93939"/>
    <w:rsid w:val="00C9403B"/>
    <w:rsid w:val="00C96605"/>
    <w:rsid w:val="00CA0FED"/>
    <w:rsid w:val="00CA2C4B"/>
    <w:rsid w:val="00CA5F54"/>
    <w:rsid w:val="00CB1343"/>
    <w:rsid w:val="00CB3E7E"/>
    <w:rsid w:val="00CB48BF"/>
    <w:rsid w:val="00CB7964"/>
    <w:rsid w:val="00CC1C51"/>
    <w:rsid w:val="00CC75B8"/>
    <w:rsid w:val="00CD2483"/>
    <w:rsid w:val="00CD4871"/>
    <w:rsid w:val="00CD76E6"/>
    <w:rsid w:val="00CE1F67"/>
    <w:rsid w:val="00CE2459"/>
    <w:rsid w:val="00CE6AED"/>
    <w:rsid w:val="00CF01BA"/>
    <w:rsid w:val="00CF1677"/>
    <w:rsid w:val="00CF21B5"/>
    <w:rsid w:val="00CF410F"/>
    <w:rsid w:val="00CF5288"/>
    <w:rsid w:val="00CF7A46"/>
    <w:rsid w:val="00D002FE"/>
    <w:rsid w:val="00D0355E"/>
    <w:rsid w:val="00D03D7A"/>
    <w:rsid w:val="00D058D2"/>
    <w:rsid w:val="00D06529"/>
    <w:rsid w:val="00D11311"/>
    <w:rsid w:val="00D15B68"/>
    <w:rsid w:val="00D248E2"/>
    <w:rsid w:val="00D24E40"/>
    <w:rsid w:val="00D31028"/>
    <w:rsid w:val="00D31CEE"/>
    <w:rsid w:val="00D3602C"/>
    <w:rsid w:val="00D36496"/>
    <w:rsid w:val="00D41911"/>
    <w:rsid w:val="00D443ED"/>
    <w:rsid w:val="00D44886"/>
    <w:rsid w:val="00D51343"/>
    <w:rsid w:val="00D530D8"/>
    <w:rsid w:val="00D6070A"/>
    <w:rsid w:val="00D62EB2"/>
    <w:rsid w:val="00D6581A"/>
    <w:rsid w:val="00D75034"/>
    <w:rsid w:val="00D767C0"/>
    <w:rsid w:val="00D77301"/>
    <w:rsid w:val="00D77C10"/>
    <w:rsid w:val="00D8005B"/>
    <w:rsid w:val="00D8358B"/>
    <w:rsid w:val="00D94A67"/>
    <w:rsid w:val="00D95737"/>
    <w:rsid w:val="00DB1607"/>
    <w:rsid w:val="00DB1F90"/>
    <w:rsid w:val="00DB3205"/>
    <w:rsid w:val="00DB46C6"/>
    <w:rsid w:val="00DB6E54"/>
    <w:rsid w:val="00DC3091"/>
    <w:rsid w:val="00DC317F"/>
    <w:rsid w:val="00DC71AC"/>
    <w:rsid w:val="00DC7BC2"/>
    <w:rsid w:val="00DC7CC7"/>
    <w:rsid w:val="00DD2DA1"/>
    <w:rsid w:val="00DE2719"/>
    <w:rsid w:val="00DF0E51"/>
    <w:rsid w:val="00DF2F1F"/>
    <w:rsid w:val="00DF3E4A"/>
    <w:rsid w:val="00DF421A"/>
    <w:rsid w:val="00DF4279"/>
    <w:rsid w:val="00DF72CE"/>
    <w:rsid w:val="00DF746D"/>
    <w:rsid w:val="00E006D2"/>
    <w:rsid w:val="00E00A47"/>
    <w:rsid w:val="00E03565"/>
    <w:rsid w:val="00E0767E"/>
    <w:rsid w:val="00E106FC"/>
    <w:rsid w:val="00E10B1A"/>
    <w:rsid w:val="00E122F6"/>
    <w:rsid w:val="00E206FE"/>
    <w:rsid w:val="00E245D6"/>
    <w:rsid w:val="00E2741B"/>
    <w:rsid w:val="00E30276"/>
    <w:rsid w:val="00E32B46"/>
    <w:rsid w:val="00E35088"/>
    <w:rsid w:val="00E35B03"/>
    <w:rsid w:val="00E37803"/>
    <w:rsid w:val="00E37A22"/>
    <w:rsid w:val="00E421DA"/>
    <w:rsid w:val="00E431AD"/>
    <w:rsid w:val="00E446B8"/>
    <w:rsid w:val="00E44781"/>
    <w:rsid w:val="00E51F43"/>
    <w:rsid w:val="00E531FB"/>
    <w:rsid w:val="00E536D5"/>
    <w:rsid w:val="00E629C3"/>
    <w:rsid w:val="00E63710"/>
    <w:rsid w:val="00E656A2"/>
    <w:rsid w:val="00E702A8"/>
    <w:rsid w:val="00E777FE"/>
    <w:rsid w:val="00E82B13"/>
    <w:rsid w:val="00E848A1"/>
    <w:rsid w:val="00E8599F"/>
    <w:rsid w:val="00E86696"/>
    <w:rsid w:val="00E943B6"/>
    <w:rsid w:val="00E979D8"/>
    <w:rsid w:val="00E97E71"/>
    <w:rsid w:val="00EA0C92"/>
    <w:rsid w:val="00EA0DAB"/>
    <w:rsid w:val="00EA551F"/>
    <w:rsid w:val="00EA5A3E"/>
    <w:rsid w:val="00EB1E4B"/>
    <w:rsid w:val="00EB4994"/>
    <w:rsid w:val="00EB58B5"/>
    <w:rsid w:val="00EC2336"/>
    <w:rsid w:val="00EC2C82"/>
    <w:rsid w:val="00EC2D5C"/>
    <w:rsid w:val="00EC4DD2"/>
    <w:rsid w:val="00ED127E"/>
    <w:rsid w:val="00ED33BD"/>
    <w:rsid w:val="00ED4866"/>
    <w:rsid w:val="00EE027C"/>
    <w:rsid w:val="00EE28D0"/>
    <w:rsid w:val="00EE4513"/>
    <w:rsid w:val="00EE46B7"/>
    <w:rsid w:val="00EE4CB1"/>
    <w:rsid w:val="00EE566C"/>
    <w:rsid w:val="00EE6A1C"/>
    <w:rsid w:val="00EE722A"/>
    <w:rsid w:val="00EE7FB5"/>
    <w:rsid w:val="00EF7FFD"/>
    <w:rsid w:val="00F005B0"/>
    <w:rsid w:val="00F0368C"/>
    <w:rsid w:val="00F047CE"/>
    <w:rsid w:val="00F066BE"/>
    <w:rsid w:val="00F13268"/>
    <w:rsid w:val="00F13364"/>
    <w:rsid w:val="00F14342"/>
    <w:rsid w:val="00F175C0"/>
    <w:rsid w:val="00F17EAB"/>
    <w:rsid w:val="00F200D2"/>
    <w:rsid w:val="00F20392"/>
    <w:rsid w:val="00F20840"/>
    <w:rsid w:val="00F225CE"/>
    <w:rsid w:val="00F26D8A"/>
    <w:rsid w:val="00F27C68"/>
    <w:rsid w:val="00F40D97"/>
    <w:rsid w:val="00F4113E"/>
    <w:rsid w:val="00F4442A"/>
    <w:rsid w:val="00F45FCF"/>
    <w:rsid w:val="00F504E4"/>
    <w:rsid w:val="00F5062B"/>
    <w:rsid w:val="00F5202F"/>
    <w:rsid w:val="00F53054"/>
    <w:rsid w:val="00F560A2"/>
    <w:rsid w:val="00F61F02"/>
    <w:rsid w:val="00F66BC8"/>
    <w:rsid w:val="00F66EA5"/>
    <w:rsid w:val="00F6713F"/>
    <w:rsid w:val="00F67FA8"/>
    <w:rsid w:val="00F70C2A"/>
    <w:rsid w:val="00F74C2F"/>
    <w:rsid w:val="00F753AA"/>
    <w:rsid w:val="00F806CD"/>
    <w:rsid w:val="00F81F73"/>
    <w:rsid w:val="00F83DF7"/>
    <w:rsid w:val="00F8724A"/>
    <w:rsid w:val="00F91A2C"/>
    <w:rsid w:val="00F91A68"/>
    <w:rsid w:val="00F92999"/>
    <w:rsid w:val="00F97497"/>
    <w:rsid w:val="00FA023A"/>
    <w:rsid w:val="00FA112E"/>
    <w:rsid w:val="00FA17E7"/>
    <w:rsid w:val="00FA3BED"/>
    <w:rsid w:val="00FA76FF"/>
    <w:rsid w:val="00FB1200"/>
    <w:rsid w:val="00FB557A"/>
    <w:rsid w:val="00FC0426"/>
    <w:rsid w:val="00FC3A71"/>
    <w:rsid w:val="00FC7602"/>
    <w:rsid w:val="00FD20BD"/>
    <w:rsid w:val="00FD2748"/>
    <w:rsid w:val="00FD2B56"/>
    <w:rsid w:val="00FD5794"/>
    <w:rsid w:val="00FE016E"/>
    <w:rsid w:val="00FE4C2F"/>
    <w:rsid w:val="00FF0BC0"/>
    <w:rsid w:val="00FF32FC"/>
    <w:rsid w:val="00FF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7770D"/>
    <w:pPr>
      <w:tabs>
        <w:tab w:val="center" w:pos="4153"/>
        <w:tab w:val="right" w:pos="8306"/>
      </w:tabs>
    </w:pPr>
  </w:style>
  <w:style w:type="paragraph" w:styleId="Footer">
    <w:name w:val="footer"/>
    <w:basedOn w:val="Normal"/>
    <w:link w:val="FooterChar"/>
    <w:uiPriority w:val="99"/>
    <w:rsid w:val="0067770D"/>
    <w:pPr>
      <w:tabs>
        <w:tab w:val="center" w:pos="4153"/>
        <w:tab w:val="right" w:pos="8306"/>
      </w:tabs>
    </w:pPr>
  </w:style>
  <w:style w:type="paragraph" w:styleId="FootnoteText">
    <w:name w:val="footnote text"/>
    <w:basedOn w:val="Normal"/>
    <w:semiHidden/>
    <w:rsid w:val="00D77C10"/>
    <w:pPr>
      <w:ind w:left="720" w:hanging="720"/>
      <w:jc w:val="both"/>
    </w:pPr>
    <w:rPr>
      <w:sz w:val="20"/>
      <w:szCs w:val="20"/>
    </w:rPr>
  </w:style>
  <w:style w:type="character" w:styleId="FootnoteReference">
    <w:name w:val="footnote reference"/>
    <w:basedOn w:val="DefaultParagraphFont"/>
    <w:semiHidden/>
    <w:rsid w:val="00D77C10"/>
    <w:rPr>
      <w:vertAlign w:val="superscript"/>
    </w:rPr>
  </w:style>
  <w:style w:type="paragraph" w:styleId="BalloonText">
    <w:name w:val="Balloon Text"/>
    <w:basedOn w:val="Normal"/>
    <w:semiHidden/>
    <w:rsid w:val="008430C8"/>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sid w:val="00CD4871"/>
    <w:rPr>
      <w:b/>
      <w:bCs/>
    </w:rPr>
  </w:style>
  <w:style w:type="character" w:customStyle="1" w:styleId="HeaderChar">
    <w:name w:val="Header Char"/>
    <w:basedOn w:val="DefaultParagraphFont"/>
    <w:link w:val="Header"/>
    <w:uiPriority w:val="99"/>
    <w:rsid w:val="00D248E2"/>
    <w:rPr>
      <w:sz w:val="24"/>
      <w:szCs w:val="24"/>
    </w:rPr>
  </w:style>
  <w:style w:type="paragraph" w:customStyle="1" w:styleId="ZCom">
    <w:name w:val="Z_Com"/>
    <w:basedOn w:val="Normal"/>
    <w:next w:val="ZDGName"/>
    <w:uiPriority w:val="99"/>
    <w:rsid w:val="00D248E2"/>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rsid w:val="00D248E2"/>
    <w:pPr>
      <w:widowControl w:val="0"/>
      <w:autoSpaceDE w:val="0"/>
      <w:autoSpaceDN w:val="0"/>
      <w:ind w:right="85"/>
    </w:pPr>
    <w:rPr>
      <w:rFonts w:ascii="Arial" w:eastAsiaTheme="minorEastAsia" w:hAnsi="Arial" w:cs="Arial"/>
      <w:sz w:val="16"/>
      <w:szCs w:val="16"/>
    </w:rPr>
  </w:style>
  <w:style w:type="paragraph" w:styleId="ListParagraph">
    <w:name w:val="List Paragraph"/>
    <w:basedOn w:val="Normal"/>
    <w:uiPriority w:val="34"/>
    <w:qFormat/>
    <w:rsid w:val="00FA112E"/>
    <w:pPr>
      <w:ind w:left="720"/>
      <w:contextualSpacing/>
    </w:pPr>
  </w:style>
  <w:style w:type="paragraph" w:styleId="Revision">
    <w:name w:val="Revision"/>
    <w:hidden/>
    <w:uiPriority w:val="99"/>
    <w:semiHidden/>
    <w:rsid w:val="009D3219"/>
    <w:rPr>
      <w:sz w:val="24"/>
      <w:szCs w:val="24"/>
    </w:rPr>
  </w:style>
  <w:style w:type="character" w:customStyle="1" w:styleId="Marker">
    <w:name w:val="Marker"/>
    <w:basedOn w:val="DefaultParagraphFont"/>
    <w:rsid w:val="00A06E55"/>
    <w:rPr>
      <w:color w:val="0000FF"/>
      <w:shd w:val="clear" w:color="auto" w:fill="auto"/>
    </w:rPr>
  </w:style>
  <w:style w:type="paragraph" w:customStyle="1" w:styleId="Pagedecouverture">
    <w:name w:val="Page de couverture"/>
    <w:basedOn w:val="Normal"/>
    <w:next w:val="Normal"/>
    <w:rsid w:val="00A06E55"/>
    <w:pPr>
      <w:jc w:val="both"/>
    </w:pPr>
    <w:rPr>
      <w:rFonts w:eastAsiaTheme="minorHAnsi"/>
      <w:szCs w:val="22"/>
    </w:rPr>
  </w:style>
  <w:style w:type="paragraph" w:customStyle="1" w:styleId="FooterCoverPage">
    <w:name w:val="Footer Cover Page"/>
    <w:basedOn w:val="Normal"/>
    <w:link w:val="FooterCoverPageChar"/>
    <w:rsid w:val="00A06E55"/>
    <w:pPr>
      <w:tabs>
        <w:tab w:val="center" w:pos="4535"/>
        <w:tab w:val="right" w:pos="9071"/>
        <w:tab w:val="right" w:pos="9921"/>
      </w:tabs>
      <w:spacing w:before="360"/>
      <w:ind w:left="-850" w:right="-850"/>
    </w:pPr>
    <w:rPr>
      <w:szCs w:val="22"/>
    </w:rPr>
  </w:style>
  <w:style w:type="character" w:customStyle="1" w:styleId="FooterCoverPageChar">
    <w:name w:val="Footer Cover Page Char"/>
    <w:basedOn w:val="DefaultParagraphFont"/>
    <w:link w:val="FooterCoverPage"/>
    <w:rsid w:val="00A06E55"/>
    <w:rPr>
      <w:sz w:val="24"/>
      <w:szCs w:val="22"/>
    </w:rPr>
  </w:style>
  <w:style w:type="paragraph" w:customStyle="1" w:styleId="HeaderCoverPage">
    <w:name w:val="Header Cover Page"/>
    <w:basedOn w:val="Normal"/>
    <w:link w:val="HeaderCoverPageChar"/>
    <w:rsid w:val="00A06E55"/>
    <w:pPr>
      <w:tabs>
        <w:tab w:val="center" w:pos="4535"/>
        <w:tab w:val="right" w:pos="9071"/>
      </w:tabs>
      <w:spacing w:after="120"/>
      <w:jc w:val="both"/>
    </w:pPr>
    <w:rPr>
      <w:szCs w:val="22"/>
    </w:rPr>
  </w:style>
  <w:style w:type="character" w:customStyle="1" w:styleId="HeaderCoverPageChar">
    <w:name w:val="Header Cover Page Char"/>
    <w:basedOn w:val="DefaultParagraphFont"/>
    <w:link w:val="HeaderCoverPage"/>
    <w:rsid w:val="00A06E55"/>
    <w:rPr>
      <w:sz w:val="24"/>
      <w:szCs w:val="22"/>
    </w:rPr>
  </w:style>
  <w:style w:type="character" w:customStyle="1" w:styleId="FooterChar">
    <w:name w:val="Footer Char"/>
    <w:basedOn w:val="DefaultParagraphFont"/>
    <w:link w:val="Footer"/>
    <w:uiPriority w:val="99"/>
    <w:rsid w:val="00A06E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7770D"/>
    <w:pPr>
      <w:tabs>
        <w:tab w:val="center" w:pos="4153"/>
        <w:tab w:val="right" w:pos="8306"/>
      </w:tabs>
    </w:pPr>
  </w:style>
  <w:style w:type="paragraph" w:styleId="Footer">
    <w:name w:val="footer"/>
    <w:basedOn w:val="Normal"/>
    <w:link w:val="FooterChar"/>
    <w:uiPriority w:val="99"/>
    <w:rsid w:val="0067770D"/>
    <w:pPr>
      <w:tabs>
        <w:tab w:val="center" w:pos="4153"/>
        <w:tab w:val="right" w:pos="8306"/>
      </w:tabs>
    </w:pPr>
  </w:style>
  <w:style w:type="paragraph" w:styleId="FootnoteText">
    <w:name w:val="footnote text"/>
    <w:basedOn w:val="Normal"/>
    <w:semiHidden/>
    <w:rsid w:val="00D77C10"/>
    <w:pPr>
      <w:ind w:left="720" w:hanging="720"/>
      <w:jc w:val="both"/>
    </w:pPr>
    <w:rPr>
      <w:sz w:val="20"/>
      <w:szCs w:val="20"/>
    </w:rPr>
  </w:style>
  <w:style w:type="character" w:styleId="FootnoteReference">
    <w:name w:val="footnote reference"/>
    <w:basedOn w:val="DefaultParagraphFont"/>
    <w:semiHidden/>
    <w:rsid w:val="00D77C10"/>
    <w:rPr>
      <w:vertAlign w:val="superscript"/>
    </w:rPr>
  </w:style>
  <w:style w:type="paragraph" w:styleId="BalloonText">
    <w:name w:val="Balloon Text"/>
    <w:basedOn w:val="Normal"/>
    <w:semiHidden/>
    <w:rsid w:val="008430C8"/>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sid w:val="00CD4871"/>
    <w:rPr>
      <w:b/>
      <w:bCs/>
    </w:rPr>
  </w:style>
  <w:style w:type="character" w:customStyle="1" w:styleId="HeaderChar">
    <w:name w:val="Header Char"/>
    <w:basedOn w:val="DefaultParagraphFont"/>
    <w:link w:val="Header"/>
    <w:uiPriority w:val="99"/>
    <w:rsid w:val="00D248E2"/>
    <w:rPr>
      <w:sz w:val="24"/>
      <w:szCs w:val="24"/>
    </w:rPr>
  </w:style>
  <w:style w:type="paragraph" w:customStyle="1" w:styleId="ZCom">
    <w:name w:val="Z_Com"/>
    <w:basedOn w:val="Normal"/>
    <w:next w:val="ZDGName"/>
    <w:uiPriority w:val="99"/>
    <w:rsid w:val="00D248E2"/>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rsid w:val="00D248E2"/>
    <w:pPr>
      <w:widowControl w:val="0"/>
      <w:autoSpaceDE w:val="0"/>
      <w:autoSpaceDN w:val="0"/>
      <w:ind w:right="85"/>
    </w:pPr>
    <w:rPr>
      <w:rFonts w:ascii="Arial" w:eastAsiaTheme="minorEastAsia" w:hAnsi="Arial" w:cs="Arial"/>
      <w:sz w:val="16"/>
      <w:szCs w:val="16"/>
    </w:rPr>
  </w:style>
  <w:style w:type="paragraph" w:styleId="ListParagraph">
    <w:name w:val="List Paragraph"/>
    <w:basedOn w:val="Normal"/>
    <w:uiPriority w:val="34"/>
    <w:qFormat/>
    <w:rsid w:val="00FA112E"/>
    <w:pPr>
      <w:ind w:left="720"/>
      <w:contextualSpacing/>
    </w:pPr>
  </w:style>
  <w:style w:type="paragraph" w:styleId="Revision">
    <w:name w:val="Revision"/>
    <w:hidden/>
    <w:uiPriority w:val="99"/>
    <w:semiHidden/>
    <w:rsid w:val="009D3219"/>
    <w:rPr>
      <w:sz w:val="24"/>
      <w:szCs w:val="24"/>
    </w:rPr>
  </w:style>
  <w:style w:type="character" w:customStyle="1" w:styleId="Marker">
    <w:name w:val="Marker"/>
    <w:basedOn w:val="DefaultParagraphFont"/>
    <w:rsid w:val="00A06E55"/>
    <w:rPr>
      <w:color w:val="0000FF"/>
      <w:shd w:val="clear" w:color="auto" w:fill="auto"/>
    </w:rPr>
  </w:style>
  <w:style w:type="paragraph" w:customStyle="1" w:styleId="Pagedecouverture">
    <w:name w:val="Page de couverture"/>
    <w:basedOn w:val="Normal"/>
    <w:next w:val="Normal"/>
    <w:rsid w:val="00A06E55"/>
    <w:pPr>
      <w:jc w:val="both"/>
    </w:pPr>
    <w:rPr>
      <w:rFonts w:eastAsiaTheme="minorHAnsi"/>
      <w:szCs w:val="22"/>
    </w:rPr>
  </w:style>
  <w:style w:type="paragraph" w:customStyle="1" w:styleId="FooterCoverPage">
    <w:name w:val="Footer Cover Page"/>
    <w:basedOn w:val="Normal"/>
    <w:link w:val="FooterCoverPageChar"/>
    <w:rsid w:val="00A06E55"/>
    <w:pPr>
      <w:tabs>
        <w:tab w:val="center" w:pos="4535"/>
        <w:tab w:val="right" w:pos="9071"/>
        <w:tab w:val="right" w:pos="9921"/>
      </w:tabs>
      <w:spacing w:before="360"/>
      <w:ind w:left="-850" w:right="-850"/>
    </w:pPr>
    <w:rPr>
      <w:szCs w:val="22"/>
    </w:rPr>
  </w:style>
  <w:style w:type="character" w:customStyle="1" w:styleId="FooterCoverPageChar">
    <w:name w:val="Footer Cover Page Char"/>
    <w:basedOn w:val="DefaultParagraphFont"/>
    <w:link w:val="FooterCoverPage"/>
    <w:rsid w:val="00A06E55"/>
    <w:rPr>
      <w:sz w:val="24"/>
      <w:szCs w:val="22"/>
    </w:rPr>
  </w:style>
  <w:style w:type="paragraph" w:customStyle="1" w:styleId="HeaderCoverPage">
    <w:name w:val="Header Cover Page"/>
    <w:basedOn w:val="Normal"/>
    <w:link w:val="HeaderCoverPageChar"/>
    <w:rsid w:val="00A06E55"/>
    <w:pPr>
      <w:tabs>
        <w:tab w:val="center" w:pos="4535"/>
        <w:tab w:val="right" w:pos="9071"/>
      </w:tabs>
      <w:spacing w:after="120"/>
      <w:jc w:val="both"/>
    </w:pPr>
    <w:rPr>
      <w:szCs w:val="22"/>
    </w:rPr>
  </w:style>
  <w:style w:type="character" w:customStyle="1" w:styleId="HeaderCoverPageChar">
    <w:name w:val="Header Cover Page Char"/>
    <w:basedOn w:val="DefaultParagraphFont"/>
    <w:link w:val="HeaderCoverPage"/>
    <w:rsid w:val="00A06E55"/>
    <w:rPr>
      <w:sz w:val="24"/>
      <w:szCs w:val="22"/>
    </w:rPr>
  </w:style>
  <w:style w:type="character" w:customStyle="1" w:styleId="FooterChar">
    <w:name w:val="Footer Char"/>
    <w:basedOn w:val="DefaultParagraphFont"/>
    <w:link w:val="Footer"/>
    <w:uiPriority w:val="99"/>
    <w:rsid w:val="00A06E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d9d19619fb13d22ef75a991e34aeea0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2.xml><?xml version="1.0" encoding="utf-8"?>
<ds:datastoreItem xmlns:ds="http://schemas.openxmlformats.org/officeDocument/2006/customXml" ds:itemID="{23424173-A8CF-4AAB-BE0C-126D8400FDC0}">
  <ds:schemaRefs>
    <ds:schemaRef ds:uri="http://www.w3.org/XML/1998/namespace"/>
    <ds:schemaRef ds:uri="http://schemas.microsoft.com/office/infopath/2007/PartnerControls"/>
    <ds:schemaRef ds:uri="http://schemas.microsoft.com/sharepoint/v3"/>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52D6951F-D096-4F56-A0A2-BFF56F7A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7C402-9780-42F4-8BF1-578C6325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1346</Words>
  <Characters>7791</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ROADMAP (Template)</vt:lpstr>
    </vt:vector>
  </TitlesOfParts>
  <Company>European Commission</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duchaee</dc:creator>
  <cp:lastModifiedBy>JANSEN Colette (SG)</cp:lastModifiedBy>
  <cp:revision>10</cp:revision>
  <cp:lastPrinted>2017-05-17T10:13:00Z</cp:lastPrinted>
  <dcterms:created xsi:type="dcterms:W3CDTF">2017-05-03T13:09:00Z</dcterms:created>
  <dcterms:modified xsi:type="dcterms:W3CDTF">2017-05-24T13:03:00Z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0x010100AB6DCF41F10D214DBDDF7E1F5EB8F7C1</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Classification">
    <vt:lpwstr> </vt:lpwstr>
  </property>
  <property fmtid="{D5CDD505-2E9C-101B-9397-08002B2CF9AE}" pid="11" name="DocStatus">
    <vt:lpwstr>Green</vt:lpwstr>
  </property>
</Properties>
</file>