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EF" w:rsidRDefault="00450848" w:rsidP="00450848">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DD9460A-CA17-424C-A8ED-04A57471CE33" style="width:450.6pt;height:422.4pt">
            <v:imagedata r:id="rId9" o:title=""/>
          </v:shape>
        </w:pict>
      </w:r>
    </w:p>
    <w:bookmarkEnd w:id="0"/>
    <w:p w:rsidR="000164EF" w:rsidRDefault="000164EF" w:rsidP="000164EF">
      <w:pPr>
        <w:sectPr w:rsidR="000164EF" w:rsidSect="0045084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sz w:val="22"/>
          <w:szCs w:val="22"/>
          <w:lang w:val="en-GB" w:eastAsia="en-US"/>
        </w:rPr>
        <w:id w:val="-1117675705"/>
        <w:docPartObj>
          <w:docPartGallery w:val="Table of Contents"/>
          <w:docPartUnique/>
        </w:docPartObj>
      </w:sdtPr>
      <w:sdtEndPr>
        <w:rPr>
          <w:bCs/>
          <w:noProof/>
        </w:rPr>
      </w:sdtEndPr>
      <w:sdtContent>
        <w:p w:rsidR="00302A40" w:rsidRPr="00302A40" w:rsidRDefault="00302A40" w:rsidP="00302A40">
          <w:pPr>
            <w:pStyle w:val="TOCHeading"/>
            <w:spacing w:after="360"/>
            <w:rPr>
              <w:rFonts w:ascii="Times New Roman Bold" w:hAnsi="Times New Roman Bold" w:hint="eastAsia"/>
              <w:caps/>
            </w:rPr>
          </w:pPr>
          <w:r w:rsidRPr="00302A40">
            <w:rPr>
              <w:rFonts w:ascii="Times New Roman Bold" w:hAnsi="Times New Roman Bold"/>
              <w:caps/>
            </w:rPr>
            <w:t>Table of Contents</w:t>
          </w:r>
        </w:p>
        <w:p w:rsidR="00B93EC4" w:rsidRDefault="00302A40">
          <w:pPr>
            <w:pStyle w:val="TOC1"/>
            <w:rPr>
              <w:rFonts w:asciiTheme="minorHAnsi" w:hAnsiTheme="minorHAnsi" w:cstheme="minorBidi"/>
              <w:caps w:val="0"/>
              <w:sz w:val="22"/>
              <w:szCs w:val="22"/>
              <w:lang w:val="en-GB" w:eastAsia="en-GB"/>
            </w:rPr>
          </w:pPr>
          <w:r>
            <w:fldChar w:fldCharType="begin"/>
          </w:r>
          <w:r>
            <w:instrText xml:space="preserve"> TOC \o "1-3" \h \z \u </w:instrText>
          </w:r>
          <w:r>
            <w:fldChar w:fldCharType="separate"/>
          </w:r>
          <w:hyperlink w:anchor="_Toc473123063" w:history="1">
            <w:r w:rsidR="00B93EC4" w:rsidRPr="00993DB8">
              <w:rPr>
                <w:rStyle w:val="Hyperlink"/>
                <w:b/>
              </w:rPr>
              <w:t>INTRODUCTION</w:t>
            </w:r>
            <w:r w:rsidR="00B93EC4">
              <w:rPr>
                <w:webHidden/>
              </w:rPr>
              <w:tab/>
            </w:r>
            <w:r w:rsidR="00B93EC4">
              <w:rPr>
                <w:webHidden/>
              </w:rPr>
              <w:fldChar w:fldCharType="begin"/>
            </w:r>
            <w:r w:rsidR="00B93EC4">
              <w:rPr>
                <w:webHidden/>
              </w:rPr>
              <w:instrText xml:space="preserve"> PAGEREF _Toc473123063 \h </w:instrText>
            </w:r>
            <w:r w:rsidR="00B93EC4">
              <w:rPr>
                <w:webHidden/>
              </w:rPr>
            </w:r>
            <w:r w:rsidR="00B93EC4">
              <w:rPr>
                <w:webHidden/>
              </w:rPr>
              <w:fldChar w:fldCharType="separate"/>
            </w:r>
            <w:r w:rsidR="00993DB8">
              <w:rPr>
                <w:webHidden/>
              </w:rPr>
              <w:t>4</w:t>
            </w:r>
            <w:r w:rsidR="00B93EC4">
              <w:rPr>
                <w:webHidden/>
              </w:rPr>
              <w:fldChar w:fldCharType="end"/>
            </w:r>
          </w:hyperlink>
        </w:p>
        <w:p w:rsidR="00B93EC4" w:rsidRDefault="00450848">
          <w:pPr>
            <w:pStyle w:val="TOC1"/>
            <w:rPr>
              <w:rFonts w:asciiTheme="minorHAnsi" w:hAnsiTheme="minorHAnsi" w:cstheme="minorBidi"/>
              <w:caps w:val="0"/>
              <w:sz w:val="22"/>
              <w:szCs w:val="22"/>
              <w:lang w:val="en-GB" w:eastAsia="en-GB"/>
            </w:rPr>
          </w:pPr>
          <w:hyperlink w:anchor="_Toc473123064" w:history="1">
            <w:r w:rsidR="00B93EC4" w:rsidRPr="00993DB8">
              <w:rPr>
                <w:rStyle w:val="Hyperlink"/>
                <w:b/>
              </w:rPr>
              <w:t>1.</w:t>
            </w:r>
            <w:r w:rsidR="00B93EC4" w:rsidRPr="00993DB8">
              <w:rPr>
                <w:rFonts w:asciiTheme="minorHAnsi" w:hAnsiTheme="minorHAnsi" w:cstheme="minorBidi"/>
                <w:b/>
                <w:caps w:val="0"/>
                <w:sz w:val="22"/>
                <w:szCs w:val="22"/>
                <w:lang w:val="en-GB" w:eastAsia="en-GB"/>
              </w:rPr>
              <w:tab/>
            </w:r>
            <w:r w:rsidR="00B93EC4" w:rsidRPr="00993DB8">
              <w:rPr>
                <w:rStyle w:val="Hyperlink"/>
                <w:b/>
              </w:rPr>
              <w:t>WHAT IS THE PROBLEM AND WHY IS IT A PROBLEM</w:t>
            </w:r>
            <w:r w:rsidR="00B93EC4" w:rsidRPr="002E5FE7">
              <w:rPr>
                <w:rStyle w:val="Hyperlink"/>
              </w:rPr>
              <w:t>?</w:t>
            </w:r>
            <w:r w:rsidR="00B93EC4">
              <w:rPr>
                <w:webHidden/>
              </w:rPr>
              <w:tab/>
            </w:r>
            <w:r w:rsidR="00B93EC4">
              <w:rPr>
                <w:webHidden/>
              </w:rPr>
              <w:fldChar w:fldCharType="begin"/>
            </w:r>
            <w:r w:rsidR="00B93EC4">
              <w:rPr>
                <w:webHidden/>
              </w:rPr>
              <w:instrText xml:space="preserve"> PAGEREF _Toc473123064 \h </w:instrText>
            </w:r>
            <w:r w:rsidR="00B93EC4">
              <w:rPr>
                <w:webHidden/>
              </w:rPr>
            </w:r>
            <w:r w:rsidR="00B93EC4">
              <w:rPr>
                <w:webHidden/>
              </w:rPr>
              <w:fldChar w:fldCharType="separate"/>
            </w:r>
            <w:r w:rsidR="00993DB8">
              <w:rPr>
                <w:webHidden/>
              </w:rPr>
              <w:t>6</w:t>
            </w:r>
            <w:r w:rsidR="00B93EC4">
              <w:rPr>
                <w:webHidden/>
              </w:rPr>
              <w:fldChar w:fldCharType="end"/>
            </w:r>
          </w:hyperlink>
        </w:p>
        <w:p w:rsidR="00B93EC4" w:rsidRDefault="00450848">
          <w:pPr>
            <w:pStyle w:val="TOC2"/>
            <w:tabs>
              <w:tab w:val="left" w:pos="880"/>
              <w:tab w:val="right" w:leader="dot" w:pos="9062"/>
            </w:tabs>
            <w:rPr>
              <w:noProof/>
              <w:lang w:val="en-GB" w:eastAsia="en-GB"/>
            </w:rPr>
          </w:pPr>
          <w:hyperlink w:anchor="_Toc473123065" w:history="1">
            <w:r w:rsidR="00B93EC4" w:rsidRPr="002E5FE7">
              <w:rPr>
                <w:rStyle w:val="Hyperlink"/>
                <w:noProof/>
              </w:rPr>
              <w:t>1.1.</w:t>
            </w:r>
            <w:r w:rsidR="00B93EC4">
              <w:rPr>
                <w:noProof/>
                <w:lang w:val="en-GB" w:eastAsia="en-GB"/>
              </w:rPr>
              <w:tab/>
            </w:r>
            <w:r w:rsidR="00B93EC4" w:rsidRPr="002E5FE7">
              <w:rPr>
                <w:rStyle w:val="Hyperlink"/>
                <w:noProof/>
              </w:rPr>
              <w:t>What is the issue that may require an action, what is the size of the problem?</w:t>
            </w:r>
            <w:r w:rsidR="00B93EC4">
              <w:rPr>
                <w:noProof/>
                <w:webHidden/>
              </w:rPr>
              <w:tab/>
            </w:r>
            <w:r w:rsidR="00B93EC4">
              <w:rPr>
                <w:noProof/>
                <w:webHidden/>
              </w:rPr>
              <w:fldChar w:fldCharType="begin"/>
            </w:r>
            <w:r w:rsidR="00B93EC4">
              <w:rPr>
                <w:noProof/>
                <w:webHidden/>
              </w:rPr>
              <w:instrText xml:space="preserve"> PAGEREF _Toc473123065 \h </w:instrText>
            </w:r>
            <w:r w:rsidR="00B93EC4">
              <w:rPr>
                <w:noProof/>
                <w:webHidden/>
              </w:rPr>
            </w:r>
            <w:r w:rsidR="00B93EC4">
              <w:rPr>
                <w:noProof/>
                <w:webHidden/>
              </w:rPr>
              <w:fldChar w:fldCharType="separate"/>
            </w:r>
            <w:r w:rsidR="00993DB8">
              <w:rPr>
                <w:noProof/>
                <w:webHidden/>
              </w:rPr>
              <w:t>6</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66" w:history="1">
            <w:r w:rsidR="00B93EC4" w:rsidRPr="002E5FE7">
              <w:rPr>
                <w:rStyle w:val="Hyperlink"/>
                <w:noProof/>
              </w:rPr>
              <w:t>1.2.</w:t>
            </w:r>
            <w:r w:rsidR="00B93EC4">
              <w:rPr>
                <w:noProof/>
                <w:lang w:val="en-GB" w:eastAsia="en-GB"/>
              </w:rPr>
              <w:tab/>
            </w:r>
            <w:r w:rsidR="00B93EC4" w:rsidRPr="002E5FE7">
              <w:rPr>
                <w:rStyle w:val="Hyperlink"/>
                <w:noProof/>
              </w:rPr>
              <w:t>What are the drivers of the problems?</w:t>
            </w:r>
            <w:r w:rsidR="00B93EC4">
              <w:rPr>
                <w:noProof/>
                <w:webHidden/>
              </w:rPr>
              <w:tab/>
            </w:r>
            <w:r w:rsidR="00B93EC4">
              <w:rPr>
                <w:noProof/>
                <w:webHidden/>
              </w:rPr>
              <w:fldChar w:fldCharType="begin"/>
            </w:r>
            <w:r w:rsidR="00B93EC4">
              <w:rPr>
                <w:noProof/>
                <w:webHidden/>
              </w:rPr>
              <w:instrText xml:space="preserve"> PAGEREF _Toc473123066 \h </w:instrText>
            </w:r>
            <w:r w:rsidR="00B93EC4">
              <w:rPr>
                <w:noProof/>
                <w:webHidden/>
              </w:rPr>
            </w:r>
            <w:r w:rsidR="00B93EC4">
              <w:rPr>
                <w:noProof/>
                <w:webHidden/>
              </w:rPr>
              <w:fldChar w:fldCharType="separate"/>
            </w:r>
            <w:r w:rsidR="00993DB8">
              <w:rPr>
                <w:noProof/>
                <w:webHidden/>
              </w:rPr>
              <w:t>9</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67" w:history="1">
            <w:r w:rsidR="00B93EC4" w:rsidRPr="002E5FE7">
              <w:rPr>
                <w:rStyle w:val="Hyperlink"/>
                <w:noProof/>
                <w:lang w:val="fr-BE"/>
              </w:rPr>
              <w:t>1.3.</w:t>
            </w:r>
            <w:r w:rsidR="00B93EC4">
              <w:rPr>
                <w:noProof/>
                <w:lang w:val="en-GB" w:eastAsia="en-GB"/>
              </w:rPr>
              <w:tab/>
            </w:r>
            <w:r w:rsidR="00B93EC4" w:rsidRPr="002E5FE7">
              <w:rPr>
                <w:rStyle w:val="Hyperlink"/>
                <w:noProof/>
                <w:lang w:val="fr-BE"/>
              </w:rPr>
              <w:t>Problem tree</w:t>
            </w:r>
            <w:r w:rsidR="00B93EC4">
              <w:rPr>
                <w:noProof/>
                <w:webHidden/>
              </w:rPr>
              <w:tab/>
            </w:r>
            <w:r w:rsidR="00B93EC4">
              <w:rPr>
                <w:noProof/>
                <w:webHidden/>
              </w:rPr>
              <w:fldChar w:fldCharType="begin"/>
            </w:r>
            <w:r w:rsidR="00B93EC4">
              <w:rPr>
                <w:noProof/>
                <w:webHidden/>
              </w:rPr>
              <w:instrText xml:space="preserve"> PAGEREF _Toc473123067 \h </w:instrText>
            </w:r>
            <w:r w:rsidR="00B93EC4">
              <w:rPr>
                <w:noProof/>
                <w:webHidden/>
              </w:rPr>
            </w:r>
            <w:r w:rsidR="00B93EC4">
              <w:rPr>
                <w:noProof/>
                <w:webHidden/>
              </w:rPr>
              <w:fldChar w:fldCharType="separate"/>
            </w:r>
            <w:r w:rsidR="00993DB8">
              <w:rPr>
                <w:noProof/>
                <w:webHidden/>
              </w:rPr>
              <w:t>12</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68" w:history="1">
            <w:r w:rsidR="00B93EC4" w:rsidRPr="002E5FE7">
              <w:rPr>
                <w:rStyle w:val="Hyperlink"/>
                <w:noProof/>
              </w:rPr>
              <w:t>1.4.</w:t>
            </w:r>
            <w:r w:rsidR="00B93EC4">
              <w:rPr>
                <w:noProof/>
                <w:lang w:val="en-GB" w:eastAsia="en-GB"/>
              </w:rPr>
              <w:tab/>
            </w:r>
            <w:r w:rsidR="00B93EC4" w:rsidRPr="002E5FE7">
              <w:rPr>
                <w:rStyle w:val="Hyperlink"/>
                <w:noProof/>
              </w:rPr>
              <w:t>How would the problem evolve, all things being equal?</w:t>
            </w:r>
            <w:r w:rsidR="00B93EC4">
              <w:rPr>
                <w:noProof/>
                <w:webHidden/>
              </w:rPr>
              <w:tab/>
            </w:r>
            <w:r w:rsidR="00B93EC4">
              <w:rPr>
                <w:noProof/>
                <w:webHidden/>
              </w:rPr>
              <w:fldChar w:fldCharType="begin"/>
            </w:r>
            <w:r w:rsidR="00B93EC4">
              <w:rPr>
                <w:noProof/>
                <w:webHidden/>
              </w:rPr>
              <w:instrText xml:space="preserve"> PAGEREF _Toc473123068 \h </w:instrText>
            </w:r>
            <w:r w:rsidR="00B93EC4">
              <w:rPr>
                <w:noProof/>
                <w:webHidden/>
              </w:rPr>
            </w:r>
            <w:r w:rsidR="00B93EC4">
              <w:rPr>
                <w:noProof/>
                <w:webHidden/>
              </w:rPr>
              <w:fldChar w:fldCharType="separate"/>
            </w:r>
            <w:r w:rsidR="00993DB8">
              <w:rPr>
                <w:noProof/>
                <w:webHidden/>
              </w:rPr>
              <w:t>14</w:t>
            </w:r>
            <w:r w:rsidR="00B93EC4">
              <w:rPr>
                <w:noProof/>
                <w:webHidden/>
              </w:rPr>
              <w:fldChar w:fldCharType="end"/>
            </w:r>
          </w:hyperlink>
        </w:p>
        <w:p w:rsidR="00B93EC4" w:rsidRDefault="00B93EC4">
          <w:pPr>
            <w:pStyle w:val="TOC2"/>
            <w:tabs>
              <w:tab w:val="left" w:pos="880"/>
              <w:tab w:val="right" w:leader="dot" w:pos="9062"/>
            </w:tabs>
            <w:rPr>
              <w:rStyle w:val="Hyperlink"/>
              <w:noProof/>
            </w:rPr>
          </w:pPr>
          <w:r w:rsidRPr="002E5FE7">
            <w:rPr>
              <w:rStyle w:val="Hyperlink"/>
              <w:noProof/>
            </w:rPr>
            <w:fldChar w:fldCharType="begin"/>
          </w:r>
          <w:r w:rsidRPr="002E5FE7">
            <w:rPr>
              <w:rStyle w:val="Hyperlink"/>
              <w:noProof/>
            </w:rPr>
            <w:instrText xml:space="preserve"> </w:instrText>
          </w:r>
          <w:r>
            <w:rPr>
              <w:noProof/>
            </w:rPr>
            <w:instrText>HYPERLINK \l "_Toc473123069"</w:instrText>
          </w:r>
          <w:r w:rsidRPr="002E5FE7">
            <w:rPr>
              <w:rStyle w:val="Hyperlink"/>
              <w:noProof/>
            </w:rPr>
            <w:instrText xml:space="preserve"> </w:instrText>
          </w:r>
          <w:r w:rsidRPr="002E5FE7">
            <w:rPr>
              <w:rStyle w:val="Hyperlink"/>
              <w:noProof/>
            </w:rPr>
            <w:fldChar w:fldCharType="separate"/>
          </w:r>
          <w:r w:rsidRPr="002E5FE7">
            <w:rPr>
              <w:rStyle w:val="Hyperlink"/>
              <w:noProof/>
            </w:rPr>
            <w:t>1.5.</w:t>
          </w:r>
          <w:r>
            <w:rPr>
              <w:noProof/>
              <w:lang w:val="en-GB" w:eastAsia="en-GB"/>
            </w:rPr>
            <w:tab/>
          </w:r>
          <w:r w:rsidRPr="002E5FE7">
            <w:rPr>
              <w:rStyle w:val="Hyperlink"/>
              <w:noProof/>
            </w:rPr>
            <w:t>Has any fitness check/retrospective evaluation been carried out of the existing policy</w:t>
          </w:r>
        </w:p>
        <w:p w:rsidR="00B93EC4" w:rsidRDefault="00B93EC4">
          <w:pPr>
            <w:pStyle w:val="TOC2"/>
            <w:tabs>
              <w:tab w:val="left" w:pos="880"/>
              <w:tab w:val="right" w:leader="dot" w:pos="9062"/>
            </w:tabs>
            <w:rPr>
              <w:noProof/>
              <w:lang w:val="en-GB" w:eastAsia="en-GB"/>
            </w:rPr>
          </w:pPr>
          <w:r>
            <w:rPr>
              <w:rStyle w:val="Hyperlink"/>
              <w:noProof/>
            </w:rPr>
            <w:t xml:space="preserve">             </w:t>
          </w:r>
          <w:r w:rsidRPr="002E5FE7">
            <w:rPr>
              <w:rStyle w:val="Hyperlink"/>
              <w:noProof/>
            </w:rPr>
            <w:t>framework? What was concluded from the evaluation / fitness check?</w:t>
          </w:r>
          <w:r>
            <w:rPr>
              <w:noProof/>
              <w:webHidden/>
            </w:rPr>
            <w:tab/>
          </w:r>
          <w:r>
            <w:rPr>
              <w:noProof/>
              <w:webHidden/>
            </w:rPr>
            <w:fldChar w:fldCharType="begin"/>
          </w:r>
          <w:r>
            <w:rPr>
              <w:noProof/>
              <w:webHidden/>
            </w:rPr>
            <w:instrText xml:space="preserve"> PAGEREF _Toc473123069 \h </w:instrText>
          </w:r>
          <w:r>
            <w:rPr>
              <w:noProof/>
              <w:webHidden/>
            </w:rPr>
          </w:r>
          <w:r>
            <w:rPr>
              <w:noProof/>
              <w:webHidden/>
            </w:rPr>
            <w:fldChar w:fldCharType="separate"/>
          </w:r>
          <w:r w:rsidR="00993DB8">
            <w:rPr>
              <w:noProof/>
              <w:webHidden/>
            </w:rPr>
            <w:t>14</w:t>
          </w:r>
          <w:r>
            <w:rPr>
              <w:noProof/>
              <w:webHidden/>
            </w:rPr>
            <w:fldChar w:fldCharType="end"/>
          </w:r>
          <w:r w:rsidRPr="002E5FE7">
            <w:rPr>
              <w:rStyle w:val="Hyperlink"/>
              <w:noProof/>
            </w:rPr>
            <w:fldChar w:fldCharType="end"/>
          </w:r>
        </w:p>
        <w:p w:rsidR="00B93EC4" w:rsidRDefault="00450848">
          <w:pPr>
            <w:pStyle w:val="TOC1"/>
            <w:rPr>
              <w:rFonts w:asciiTheme="minorHAnsi" w:hAnsiTheme="minorHAnsi" w:cstheme="minorBidi"/>
              <w:caps w:val="0"/>
              <w:sz w:val="22"/>
              <w:szCs w:val="22"/>
              <w:lang w:val="en-GB" w:eastAsia="en-GB"/>
            </w:rPr>
          </w:pPr>
          <w:hyperlink w:anchor="_Toc473123070" w:history="1">
            <w:r w:rsidR="00B93EC4" w:rsidRPr="00993DB8">
              <w:rPr>
                <w:rStyle w:val="Hyperlink"/>
                <w:b/>
              </w:rPr>
              <w:t>2.</w:t>
            </w:r>
            <w:r w:rsidR="00B93EC4" w:rsidRPr="00993DB8">
              <w:rPr>
                <w:rFonts w:asciiTheme="minorHAnsi" w:hAnsiTheme="minorHAnsi" w:cstheme="minorBidi"/>
                <w:b/>
                <w:caps w:val="0"/>
                <w:sz w:val="22"/>
                <w:szCs w:val="22"/>
                <w:lang w:val="en-GB" w:eastAsia="en-GB"/>
              </w:rPr>
              <w:tab/>
            </w:r>
            <w:r w:rsidR="00B93EC4" w:rsidRPr="00993DB8">
              <w:rPr>
                <w:rStyle w:val="Hyperlink"/>
                <w:b/>
              </w:rPr>
              <w:t>WHY SHOULD THE EU ACT?</w:t>
            </w:r>
            <w:r w:rsidR="00B93EC4">
              <w:rPr>
                <w:webHidden/>
              </w:rPr>
              <w:tab/>
            </w:r>
            <w:r w:rsidR="00B93EC4">
              <w:rPr>
                <w:webHidden/>
              </w:rPr>
              <w:fldChar w:fldCharType="begin"/>
            </w:r>
            <w:r w:rsidR="00B93EC4">
              <w:rPr>
                <w:webHidden/>
              </w:rPr>
              <w:instrText xml:space="preserve"> PAGEREF _Toc473123070 \h </w:instrText>
            </w:r>
            <w:r w:rsidR="00B93EC4">
              <w:rPr>
                <w:webHidden/>
              </w:rPr>
            </w:r>
            <w:r w:rsidR="00B93EC4">
              <w:rPr>
                <w:webHidden/>
              </w:rPr>
              <w:fldChar w:fldCharType="separate"/>
            </w:r>
            <w:r w:rsidR="00993DB8">
              <w:rPr>
                <w:webHidden/>
              </w:rPr>
              <w:t>15</w:t>
            </w:r>
            <w:r w:rsidR="00B93EC4">
              <w:rPr>
                <w:webHidden/>
              </w:rPr>
              <w:fldChar w:fldCharType="end"/>
            </w:r>
          </w:hyperlink>
        </w:p>
        <w:p w:rsidR="00B93EC4" w:rsidRDefault="00450848">
          <w:pPr>
            <w:pStyle w:val="TOC1"/>
            <w:rPr>
              <w:rFonts w:asciiTheme="minorHAnsi" w:hAnsiTheme="minorHAnsi" w:cstheme="minorBidi"/>
              <w:caps w:val="0"/>
              <w:sz w:val="22"/>
              <w:szCs w:val="22"/>
              <w:lang w:val="en-GB" w:eastAsia="en-GB"/>
            </w:rPr>
          </w:pPr>
          <w:hyperlink w:anchor="_Toc473123071" w:history="1">
            <w:r w:rsidR="00B93EC4" w:rsidRPr="00993DB8">
              <w:rPr>
                <w:rStyle w:val="Hyperlink"/>
                <w:b/>
              </w:rPr>
              <w:t>3.</w:t>
            </w:r>
            <w:r w:rsidR="00B93EC4" w:rsidRPr="00993DB8">
              <w:rPr>
                <w:rFonts w:asciiTheme="minorHAnsi" w:hAnsiTheme="minorHAnsi" w:cstheme="minorBidi"/>
                <w:b/>
                <w:caps w:val="0"/>
                <w:sz w:val="22"/>
                <w:szCs w:val="22"/>
                <w:lang w:val="en-GB" w:eastAsia="en-GB"/>
              </w:rPr>
              <w:tab/>
            </w:r>
            <w:r w:rsidR="00B93EC4" w:rsidRPr="00993DB8">
              <w:rPr>
                <w:rStyle w:val="Hyperlink"/>
                <w:b/>
              </w:rPr>
              <w:t>WHAT SHOULD BE ACHIEVED?</w:t>
            </w:r>
            <w:r w:rsidR="00B93EC4">
              <w:rPr>
                <w:webHidden/>
              </w:rPr>
              <w:tab/>
            </w:r>
            <w:r w:rsidR="00B93EC4">
              <w:rPr>
                <w:webHidden/>
              </w:rPr>
              <w:fldChar w:fldCharType="begin"/>
            </w:r>
            <w:r w:rsidR="00B93EC4">
              <w:rPr>
                <w:webHidden/>
              </w:rPr>
              <w:instrText xml:space="preserve"> PAGEREF _Toc473123071 \h </w:instrText>
            </w:r>
            <w:r w:rsidR="00B93EC4">
              <w:rPr>
                <w:webHidden/>
              </w:rPr>
            </w:r>
            <w:r w:rsidR="00B93EC4">
              <w:rPr>
                <w:webHidden/>
              </w:rPr>
              <w:fldChar w:fldCharType="separate"/>
            </w:r>
            <w:r w:rsidR="00993DB8">
              <w:rPr>
                <w:webHidden/>
              </w:rPr>
              <w:t>16</w:t>
            </w:r>
            <w:r w:rsidR="00B93EC4">
              <w:rPr>
                <w:webHidden/>
              </w:rPr>
              <w:fldChar w:fldCharType="end"/>
            </w:r>
          </w:hyperlink>
        </w:p>
        <w:p w:rsidR="00B93EC4" w:rsidRDefault="00450848">
          <w:pPr>
            <w:pStyle w:val="TOC2"/>
            <w:tabs>
              <w:tab w:val="left" w:pos="880"/>
              <w:tab w:val="right" w:leader="dot" w:pos="9062"/>
            </w:tabs>
            <w:rPr>
              <w:noProof/>
              <w:lang w:val="en-GB" w:eastAsia="en-GB"/>
            </w:rPr>
          </w:pPr>
          <w:hyperlink w:anchor="_Toc473123074" w:history="1">
            <w:r w:rsidR="00B93EC4" w:rsidRPr="002E5FE7">
              <w:rPr>
                <w:rStyle w:val="Hyperlink"/>
                <w:noProof/>
              </w:rPr>
              <w:t>3.1.</w:t>
            </w:r>
            <w:r w:rsidR="00B93EC4">
              <w:rPr>
                <w:noProof/>
                <w:lang w:val="en-GB" w:eastAsia="en-GB"/>
              </w:rPr>
              <w:tab/>
            </w:r>
            <w:r w:rsidR="00B93EC4" w:rsidRPr="002E5FE7">
              <w:rPr>
                <w:rStyle w:val="Hyperlink"/>
                <w:noProof/>
              </w:rPr>
              <w:t>General objectives</w:t>
            </w:r>
            <w:r w:rsidR="00B93EC4">
              <w:rPr>
                <w:noProof/>
                <w:webHidden/>
              </w:rPr>
              <w:tab/>
            </w:r>
            <w:r w:rsidR="00B93EC4">
              <w:rPr>
                <w:noProof/>
                <w:webHidden/>
              </w:rPr>
              <w:fldChar w:fldCharType="begin"/>
            </w:r>
            <w:r w:rsidR="00B93EC4">
              <w:rPr>
                <w:noProof/>
                <w:webHidden/>
              </w:rPr>
              <w:instrText xml:space="preserve"> PAGEREF _Toc473123074 \h </w:instrText>
            </w:r>
            <w:r w:rsidR="00B93EC4">
              <w:rPr>
                <w:noProof/>
                <w:webHidden/>
              </w:rPr>
            </w:r>
            <w:r w:rsidR="00B93EC4">
              <w:rPr>
                <w:noProof/>
                <w:webHidden/>
              </w:rPr>
              <w:fldChar w:fldCharType="separate"/>
            </w:r>
            <w:r w:rsidR="00993DB8">
              <w:rPr>
                <w:noProof/>
                <w:webHidden/>
              </w:rPr>
              <w:t>16</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75" w:history="1">
            <w:r w:rsidR="00B93EC4" w:rsidRPr="002E5FE7">
              <w:rPr>
                <w:rStyle w:val="Hyperlink"/>
                <w:noProof/>
              </w:rPr>
              <w:t>3.2.</w:t>
            </w:r>
            <w:r w:rsidR="00B93EC4">
              <w:rPr>
                <w:noProof/>
                <w:lang w:val="en-GB" w:eastAsia="en-GB"/>
              </w:rPr>
              <w:tab/>
            </w:r>
            <w:r w:rsidR="00B93EC4" w:rsidRPr="002E5FE7">
              <w:rPr>
                <w:rStyle w:val="Hyperlink"/>
                <w:noProof/>
              </w:rPr>
              <w:t>Specific objectives</w:t>
            </w:r>
            <w:r w:rsidR="00B93EC4">
              <w:rPr>
                <w:noProof/>
                <w:webHidden/>
              </w:rPr>
              <w:tab/>
            </w:r>
            <w:r w:rsidR="00B93EC4">
              <w:rPr>
                <w:noProof/>
                <w:webHidden/>
              </w:rPr>
              <w:fldChar w:fldCharType="begin"/>
            </w:r>
            <w:r w:rsidR="00B93EC4">
              <w:rPr>
                <w:noProof/>
                <w:webHidden/>
              </w:rPr>
              <w:instrText xml:space="preserve"> PAGEREF _Toc473123075 \h </w:instrText>
            </w:r>
            <w:r w:rsidR="00B93EC4">
              <w:rPr>
                <w:noProof/>
                <w:webHidden/>
              </w:rPr>
            </w:r>
            <w:r w:rsidR="00B93EC4">
              <w:rPr>
                <w:noProof/>
                <w:webHidden/>
              </w:rPr>
              <w:fldChar w:fldCharType="separate"/>
            </w:r>
            <w:r w:rsidR="00993DB8">
              <w:rPr>
                <w:noProof/>
                <w:webHidden/>
              </w:rPr>
              <w:t>16</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76" w:history="1">
            <w:r w:rsidR="00B93EC4" w:rsidRPr="002E5FE7">
              <w:rPr>
                <w:rStyle w:val="Hyperlink"/>
                <w:noProof/>
              </w:rPr>
              <w:t>3.3.</w:t>
            </w:r>
            <w:r w:rsidR="00B93EC4">
              <w:rPr>
                <w:noProof/>
                <w:lang w:val="en-GB" w:eastAsia="en-GB"/>
              </w:rPr>
              <w:tab/>
            </w:r>
            <w:r w:rsidR="00B93EC4" w:rsidRPr="002E5FE7">
              <w:rPr>
                <w:rStyle w:val="Hyperlink"/>
                <w:noProof/>
              </w:rPr>
              <w:t>Consistency of the objectives of this initiative with other EU policies</w:t>
            </w:r>
            <w:r w:rsidR="00B93EC4">
              <w:rPr>
                <w:noProof/>
                <w:webHidden/>
              </w:rPr>
              <w:tab/>
            </w:r>
            <w:r w:rsidR="00B93EC4">
              <w:rPr>
                <w:noProof/>
                <w:webHidden/>
              </w:rPr>
              <w:fldChar w:fldCharType="begin"/>
            </w:r>
            <w:r w:rsidR="00B93EC4">
              <w:rPr>
                <w:noProof/>
                <w:webHidden/>
              </w:rPr>
              <w:instrText xml:space="preserve"> PAGEREF _Toc473123076 \h </w:instrText>
            </w:r>
            <w:r w:rsidR="00B93EC4">
              <w:rPr>
                <w:noProof/>
                <w:webHidden/>
              </w:rPr>
            </w:r>
            <w:r w:rsidR="00B93EC4">
              <w:rPr>
                <w:noProof/>
                <w:webHidden/>
              </w:rPr>
              <w:fldChar w:fldCharType="separate"/>
            </w:r>
            <w:r w:rsidR="00993DB8">
              <w:rPr>
                <w:noProof/>
                <w:webHidden/>
              </w:rPr>
              <w:t>17</w:t>
            </w:r>
            <w:r w:rsidR="00B93EC4">
              <w:rPr>
                <w:noProof/>
                <w:webHidden/>
              </w:rPr>
              <w:fldChar w:fldCharType="end"/>
            </w:r>
          </w:hyperlink>
        </w:p>
        <w:p w:rsidR="00B93EC4" w:rsidRDefault="00450848">
          <w:pPr>
            <w:pStyle w:val="TOC1"/>
            <w:rPr>
              <w:rFonts w:asciiTheme="minorHAnsi" w:hAnsiTheme="minorHAnsi" w:cstheme="minorBidi"/>
              <w:caps w:val="0"/>
              <w:sz w:val="22"/>
              <w:szCs w:val="22"/>
              <w:lang w:val="en-GB" w:eastAsia="en-GB"/>
            </w:rPr>
          </w:pPr>
          <w:hyperlink w:anchor="_Toc473123077" w:history="1">
            <w:r w:rsidR="00B93EC4" w:rsidRPr="00993DB8">
              <w:rPr>
                <w:rStyle w:val="Hyperlink"/>
                <w:b/>
              </w:rPr>
              <w:t>4.</w:t>
            </w:r>
            <w:r w:rsidR="00B93EC4" w:rsidRPr="00993DB8">
              <w:rPr>
                <w:rFonts w:asciiTheme="minorHAnsi" w:hAnsiTheme="minorHAnsi" w:cstheme="minorBidi"/>
                <w:b/>
                <w:caps w:val="0"/>
                <w:sz w:val="22"/>
                <w:szCs w:val="22"/>
                <w:lang w:val="en-GB" w:eastAsia="en-GB"/>
              </w:rPr>
              <w:tab/>
            </w:r>
            <w:r w:rsidR="00B93EC4" w:rsidRPr="00993DB8">
              <w:rPr>
                <w:rStyle w:val="Hyperlink"/>
                <w:b/>
              </w:rPr>
              <w:t>WHAT ARE THE VARIOUS OPTIONS TO ACHIEVE THE OBJECTIVES?</w:t>
            </w:r>
            <w:r w:rsidR="00B93EC4">
              <w:rPr>
                <w:webHidden/>
              </w:rPr>
              <w:tab/>
            </w:r>
            <w:r w:rsidR="00B93EC4">
              <w:rPr>
                <w:webHidden/>
              </w:rPr>
              <w:fldChar w:fldCharType="begin"/>
            </w:r>
            <w:r w:rsidR="00B93EC4">
              <w:rPr>
                <w:webHidden/>
              </w:rPr>
              <w:instrText xml:space="preserve"> PAGEREF _Toc473123077 \h </w:instrText>
            </w:r>
            <w:r w:rsidR="00B93EC4">
              <w:rPr>
                <w:webHidden/>
              </w:rPr>
            </w:r>
            <w:r w:rsidR="00B93EC4">
              <w:rPr>
                <w:webHidden/>
              </w:rPr>
              <w:fldChar w:fldCharType="separate"/>
            </w:r>
            <w:r w:rsidR="00993DB8">
              <w:rPr>
                <w:webHidden/>
              </w:rPr>
              <w:t>18</w:t>
            </w:r>
            <w:r w:rsidR="00B93EC4">
              <w:rPr>
                <w:webHidden/>
              </w:rPr>
              <w:fldChar w:fldCharType="end"/>
            </w:r>
          </w:hyperlink>
        </w:p>
        <w:p w:rsidR="00B93EC4" w:rsidRDefault="00450848">
          <w:pPr>
            <w:pStyle w:val="TOC2"/>
            <w:tabs>
              <w:tab w:val="left" w:pos="880"/>
              <w:tab w:val="right" w:leader="dot" w:pos="9062"/>
            </w:tabs>
            <w:rPr>
              <w:noProof/>
              <w:lang w:val="en-GB" w:eastAsia="en-GB"/>
            </w:rPr>
          </w:pPr>
          <w:hyperlink w:anchor="_Toc473123079" w:history="1">
            <w:r w:rsidR="00B93EC4" w:rsidRPr="002E5FE7">
              <w:rPr>
                <w:rStyle w:val="Hyperlink"/>
                <w:noProof/>
              </w:rPr>
              <w:t>4.1.</w:t>
            </w:r>
            <w:r w:rsidR="00B93EC4">
              <w:rPr>
                <w:noProof/>
                <w:lang w:val="en-GB" w:eastAsia="en-GB"/>
              </w:rPr>
              <w:tab/>
            </w:r>
            <w:r w:rsidR="00B93EC4" w:rsidRPr="002E5FE7">
              <w:rPr>
                <w:rStyle w:val="Hyperlink"/>
                <w:noProof/>
              </w:rPr>
              <w:t>Policy option A: No policy change (baseline scenario)</w:t>
            </w:r>
            <w:r w:rsidR="00B93EC4">
              <w:rPr>
                <w:noProof/>
                <w:webHidden/>
              </w:rPr>
              <w:tab/>
            </w:r>
            <w:r w:rsidR="00B93EC4">
              <w:rPr>
                <w:noProof/>
                <w:webHidden/>
              </w:rPr>
              <w:fldChar w:fldCharType="begin"/>
            </w:r>
            <w:r w:rsidR="00B93EC4">
              <w:rPr>
                <w:noProof/>
                <w:webHidden/>
              </w:rPr>
              <w:instrText xml:space="preserve"> PAGEREF _Toc473123079 \h </w:instrText>
            </w:r>
            <w:r w:rsidR="00B93EC4">
              <w:rPr>
                <w:noProof/>
                <w:webHidden/>
              </w:rPr>
            </w:r>
            <w:r w:rsidR="00B93EC4">
              <w:rPr>
                <w:noProof/>
                <w:webHidden/>
              </w:rPr>
              <w:fldChar w:fldCharType="separate"/>
            </w:r>
            <w:r w:rsidR="00993DB8">
              <w:rPr>
                <w:noProof/>
                <w:webHidden/>
              </w:rPr>
              <w:t>18</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80" w:history="1">
            <w:r w:rsidR="00B93EC4" w:rsidRPr="002E5FE7">
              <w:rPr>
                <w:rStyle w:val="Hyperlink"/>
                <w:noProof/>
              </w:rPr>
              <w:t>4.2.</w:t>
            </w:r>
            <w:r w:rsidR="00B93EC4">
              <w:rPr>
                <w:noProof/>
                <w:lang w:val="en-GB" w:eastAsia="en-GB"/>
              </w:rPr>
              <w:tab/>
            </w:r>
            <w:r w:rsidR="00B93EC4" w:rsidRPr="002E5FE7">
              <w:rPr>
                <w:rStyle w:val="Hyperlink"/>
                <w:noProof/>
              </w:rPr>
              <w:t>Policy option B: Use of the sectoral review clauses on agriculture and services</w:t>
            </w:r>
            <w:r w:rsidR="00B93EC4">
              <w:rPr>
                <w:noProof/>
                <w:webHidden/>
              </w:rPr>
              <w:tab/>
            </w:r>
            <w:r w:rsidR="00B93EC4">
              <w:rPr>
                <w:noProof/>
                <w:webHidden/>
              </w:rPr>
              <w:fldChar w:fldCharType="begin"/>
            </w:r>
            <w:r w:rsidR="00B93EC4">
              <w:rPr>
                <w:noProof/>
                <w:webHidden/>
              </w:rPr>
              <w:instrText xml:space="preserve"> PAGEREF _Toc473123080 \h </w:instrText>
            </w:r>
            <w:r w:rsidR="00B93EC4">
              <w:rPr>
                <w:noProof/>
                <w:webHidden/>
              </w:rPr>
            </w:r>
            <w:r w:rsidR="00B93EC4">
              <w:rPr>
                <w:noProof/>
                <w:webHidden/>
              </w:rPr>
              <w:fldChar w:fldCharType="separate"/>
            </w:r>
            <w:r w:rsidR="00993DB8">
              <w:rPr>
                <w:noProof/>
                <w:webHidden/>
              </w:rPr>
              <w:t>19</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81" w:history="1">
            <w:r w:rsidR="00B93EC4" w:rsidRPr="002E5FE7">
              <w:rPr>
                <w:rStyle w:val="Hyperlink"/>
                <w:noProof/>
              </w:rPr>
              <w:t>4.3.</w:t>
            </w:r>
            <w:r w:rsidR="00B93EC4">
              <w:rPr>
                <w:noProof/>
                <w:lang w:val="en-GB" w:eastAsia="en-GB"/>
              </w:rPr>
              <w:tab/>
            </w:r>
            <w:r w:rsidR="00B93EC4" w:rsidRPr="002E5FE7">
              <w:rPr>
                <w:rStyle w:val="Hyperlink"/>
                <w:noProof/>
              </w:rPr>
              <w:t xml:space="preserve">Policy </w:t>
            </w:r>
            <w:r w:rsidR="0030137C">
              <w:rPr>
                <w:rStyle w:val="Hyperlink"/>
                <w:noProof/>
              </w:rPr>
              <w:t>option C: C</w:t>
            </w:r>
            <w:r w:rsidR="00B93EC4" w:rsidRPr="002E5FE7">
              <w:rPr>
                <w:rStyle w:val="Hyperlink"/>
                <w:noProof/>
              </w:rPr>
              <w:t>omprehensive modernisation of the EU-Chile FTA</w:t>
            </w:r>
            <w:r w:rsidR="00B93EC4">
              <w:rPr>
                <w:noProof/>
                <w:webHidden/>
              </w:rPr>
              <w:tab/>
            </w:r>
            <w:r w:rsidR="00B93EC4">
              <w:rPr>
                <w:noProof/>
                <w:webHidden/>
              </w:rPr>
              <w:fldChar w:fldCharType="begin"/>
            </w:r>
            <w:r w:rsidR="00B93EC4">
              <w:rPr>
                <w:noProof/>
                <w:webHidden/>
              </w:rPr>
              <w:instrText xml:space="preserve"> PAGEREF _Toc473123081 \h </w:instrText>
            </w:r>
            <w:r w:rsidR="00B93EC4">
              <w:rPr>
                <w:noProof/>
                <w:webHidden/>
              </w:rPr>
            </w:r>
            <w:r w:rsidR="00B93EC4">
              <w:rPr>
                <w:noProof/>
                <w:webHidden/>
              </w:rPr>
              <w:fldChar w:fldCharType="separate"/>
            </w:r>
            <w:r w:rsidR="00993DB8">
              <w:rPr>
                <w:noProof/>
                <w:webHidden/>
              </w:rPr>
              <w:t>19</w:t>
            </w:r>
            <w:r w:rsidR="00B93EC4">
              <w:rPr>
                <w:noProof/>
                <w:webHidden/>
              </w:rPr>
              <w:fldChar w:fldCharType="end"/>
            </w:r>
          </w:hyperlink>
        </w:p>
        <w:p w:rsidR="00B51550" w:rsidRDefault="00B51550">
          <w:pPr>
            <w:pStyle w:val="TOC1"/>
            <w:tabs>
              <w:tab w:val="left" w:pos="880"/>
            </w:tabs>
            <w:rPr>
              <w:rStyle w:val="Hyperlink"/>
              <w:rFonts w:ascii="Times New Roman Bold" w:hAnsi="Times New Roman Bold" w:hint="eastAsia"/>
            </w:rPr>
          </w:pPr>
          <w:r>
            <w:fldChar w:fldCharType="begin"/>
          </w:r>
          <w:r>
            <w:instrText xml:space="preserve"> HYPERLINK \l "_Toc473123082" </w:instrText>
          </w:r>
          <w:r>
            <w:fldChar w:fldCharType="separate"/>
          </w:r>
          <w:r w:rsidR="00B93EC4" w:rsidRPr="002E5FE7">
            <w:rPr>
              <w:rStyle w:val="Hyperlink"/>
              <w:rFonts w:ascii="Times New Roman Bold" w:hAnsi="Times New Roman Bold"/>
            </w:rPr>
            <w:t>5.</w:t>
          </w:r>
          <w:r w:rsidR="00B93EC4">
            <w:rPr>
              <w:rFonts w:asciiTheme="minorHAnsi" w:hAnsiTheme="minorHAnsi" w:cstheme="minorBidi"/>
              <w:caps w:val="0"/>
              <w:sz w:val="22"/>
              <w:szCs w:val="22"/>
              <w:lang w:val="en-GB" w:eastAsia="en-GB"/>
            </w:rPr>
            <w:tab/>
          </w:r>
          <w:r w:rsidR="00B93EC4" w:rsidRPr="002E5FE7">
            <w:rPr>
              <w:rStyle w:val="Hyperlink"/>
              <w:rFonts w:ascii="Times New Roman Bold" w:hAnsi="Times New Roman Bold"/>
            </w:rPr>
            <w:t>What are the impacts of the d</w:t>
          </w:r>
          <w:r>
            <w:rPr>
              <w:rStyle w:val="Hyperlink"/>
              <w:rFonts w:ascii="Times New Roman Bold" w:hAnsi="Times New Roman Bold"/>
            </w:rPr>
            <w:t>ifferent policy options and who</w:t>
          </w:r>
        </w:p>
        <w:p w:rsidR="00B93EC4" w:rsidRDefault="00B51550">
          <w:pPr>
            <w:pStyle w:val="TOC1"/>
            <w:tabs>
              <w:tab w:val="left" w:pos="880"/>
            </w:tabs>
            <w:rPr>
              <w:rFonts w:asciiTheme="minorHAnsi" w:hAnsiTheme="minorHAnsi" w:cstheme="minorBidi"/>
              <w:caps w:val="0"/>
              <w:sz w:val="22"/>
              <w:szCs w:val="22"/>
              <w:lang w:val="en-GB" w:eastAsia="en-GB"/>
            </w:rPr>
          </w:pPr>
          <w:r>
            <w:rPr>
              <w:rStyle w:val="Hyperlink"/>
              <w:rFonts w:ascii="Times New Roman Bold" w:hAnsi="Times New Roman Bold"/>
            </w:rPr>
            <w:t xml:space="preserve">          </w:t>
          </w:r>
          <w:r w:rsidR="00B93EC4" w:rsidRPr="002E5FE7">
            <w:rPr>
              <w:rStyle w:val="Hyperlink"/>
              <w:rFonts w:ascii="Times New Roman Bold" w:hAnsi="Times New Roman Bold"/>
            </w:rPr>
            <w:t>will be affected?</w:t>
          </w:r>
          <w:r w:rsidR="00B93EC4">
            <w:rPr>
              <w:webHidden/>
            </w:rPr>
            <w:tab/>
          </w:r>
          <w:r w:rsidR="00B93EC4">
            <w:rPr>
              <w:webHidden/>
            </w:rPr>
            <w:fldChar w:fldCharType="begin"/>
          </w:r>
          <w:r w:rsidR="00B93EC4">
            <w:rPr>
              <w:webHidden/>
            </w:rPr>
            <w:instrText xml:space="preserve"> PAGEREF _Toc473123082 \h </w:instrText>
          </w:r>
          <w:r w:rsidR="00B93EC4">
            <w:rPr>
              <w:webHidden/>
            </w:rPr>
          </w:r>
          <w:r w:rsidR="00B93EC4">
            <w:rPr>
              <w:webHidden/>
            </w:rPr>
            <w:fldChar w:fldCharType="separate"/>
          </w:r>
          <w:r w:rsidR="00993DB8">
            <w:rPr>
              <w:webHidden/>
            </w:rPr>
            <w:t>21</w:t>
          </w:r>
          <w:r w:rsidR="00B93EC4">
            <w:rPr>
              <w:webHidden/>
            </w:rPr>
            <w:fldChar w:fldCharType="end"/>
          </w:r>
          <w:r>
            <w:fldChar w:fldCharType="end"/>
          </w:r>
        </w:p>
        <w:p w:rsidR="00B93EC4" w:rsidRDefault="00450848">
          <w:pPr>
            <w:pStyle w:val="TOC2"/>
            <w:tabs>
              <w:tab w:val="left" w:pos="880"/>
              <w:tab w:val="right" w:leader="dot" w:pos="9062"/>
            </w:tabs>
            <w:rPr>
              <w:noProof/>
              <w:lang w:val="en-GB" w:eastAsia="en-GB"/>
            </w:rPr>
          </w:pPr>
          <w:hyperlink w:anchor="_Toc473123084" w:history="1">
            <w:r w:rsidR="00B93EC4" w:rsidRPr="002E5FE7">
              <w:rPr>
                <w:rStyle w:val="Hyperlink"/>
                <w:noProof/>
              </w:rPr>
              <w:t>5.1.</w:t>
            </w:r>
            <w:r w:rsidR="00B93EC4">
              <w:rPr>
                <w:noProof/>
                <w:lang w:val="en-GB" w:eastAsia="en-GB"/>
              </w:rPr>
              <w:tab/>
            </w:r>
            <w:r w:rsidR="00B93EC4" w:rsidRPr="002E5FE7">
              <w:rPr>
                <w:rStyle w:val="Hyperlink"/>
                <w:noProof/>
              </w:rPr>
              <w:t>Model and assumptions</w:t>
            </w:r>
            <w:r w:rsidR="00B93EC4">
              <w:rPr>
                <w:noProof/>
                <w:webHidden/>
              </w:rPr>
              <w:tab/>
            </w:r>
            <w:r w:rsidR="00B93EC4">
              <w:rPr>
                <w:noProof/>
                <w:webHidden/>
              </w:rPr>
              <w:fldChar w:fldCharType="begin"/>
            </w:r>
            <w:r w:rsidR="00B93EC4">
              <w:rPr>
                <w:noProof/>
                <w:webHidden/>
              </w:rPr>
              <w:instrText xml:space="preserve"> PAGEREF _Toc473123084 \h </w:instrText>
            </w:r>
            <w:r w:rsidR="00B93EC4">
              <w:rPr>
                <w:noProof/>
                <w:webHidden/>
              </w:rPr>
            </w:r>
            <w:r w:rsidR="00B93EC4">
              <w:rPr>
                <w:noProof/>
                <w:webHidden/>
              </w:rPr>
              <w:fldChar w:fldCharType="separate"/>
            </w:r>
            <w:r w:rsidR="00993DB8">
              <w:rPr>
                <w:noProof/>
                <w:webHidden/>
              </w:rPr>
              <w:t>21</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85" w:history="1">
            <w:r w:rsidR="00B93EC4" w:rsidRPr="002E5FE7">
              <w:rPr>
                <w:rStyle w:val="Hyperlink"/>
                <w:noProof/>
              </w:rPr>
              <w:t>5.2.</w:t>
            </w:r>
            <w:r w:rsidR="00B93EC4">
              <w:rPr>
                <w:noProof/>
                <w:lang w:val="en-GB" w:eastAsia="en-GB"/>
              </w:rPr>
              <w:tab/>
            </w:r>
            <w:r w:rsidR="00B93EC4" w:rsidRPr="002E5FE7">
              <w:rPr>
                <w:rStyle w:val="Hyperlink"/>
                <w:noProof/>
              </w:rPr>
              <w:t>Policy option A: No policy change (the baseline scenario)</w:t>
            </w:r>
            <w:r w:rsidR="00B93EC4">
              <w:rPr>
                <w:noProof/>
                <w:webHidden/>
              </w:rPr>
              <w:tab/>
            </w:r>
            <w:r w:rsidR="00B93EC4">
              <w:rPr>
                <w:noProof/>
                <w:webHidden/>
              </w:rPr>
              <w:fldChar w:fldCharType="begin"/>
            </w:r>
            <w:r w:rsidR="00B93EC4">
              <w:rPr>
                <w:noProof/>
                <w:webHidden/>
              </w:rPr>
              <w:instrText xml:space="preserve"> PAGEREF _Toc473123085 \h </w:instrText>
            </w:r>
            <w:r w:rsidR="00B93EC4">
              <w:rPr>
                <w:noProof/>
                <w:webHidden/>
              </w:rPr>
            </w:r>
            <w:r w:rsidR="00B93EC4">
              <w:rPr>
                <w:noProof/>
                <w:webHidden/>
              </w:rPr>
              <w:fldChar w:fldCharType="separate"/>
            </w:r>
            <w:r w:rsidR="00993DB8">
              <w:rPr>
                <w:noProof/>
                <w:webHidden/>
              </w:rPr>
              <w:t>23</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86" w:history="1">
            <w:r w:rsidR="00B93EC4" w:rsidRPr="002E5FE7">
              <w:rPr>
                <w:rStyle w:val="Hyperlink"/>
                <w:noProof/>
              </w:rPr>
              <w:t>5.3.</w:t>
            </w:r>
            <w:r w:rsidR="00B93EC4">
              <w:rPr>
                <w:noProof/>
                <w:lang w:val="en-GB" w:eastAsia="en-GB"/>
              </w:rPr>
              <w:tab/>
            </w:r>
            <w:r w:rsidR="00B93EC4" w:rsidRPr="002E5FE7">
              <w:rPr>
                <w:rStyle w:val="Hyperlink"/>
                <w:noProof/>
              </w:rPr>
              <w:t>Policy Option C: Comprehensive modernisation of the EU-Chile FTAs</w:t>
            </w:r>
            <w:r w:rsidR="00B93EC4">
              <w:rPr>
                <w:noProof/>
                <w:webHidden/>
              </w:rPr>
              <w:tab/>
            </w:r>
            <w:r w:rsidR="00B93EC4">
              <w:rPr>
                <w:noProof/>
                <w:webHidden/>
              </w:rPr>
              <w:fldChar w:fldCharType="begin"/>
            </w:r>
            <w:r w:rsidR="00B93EC4">
              <w:rPr>
                <w:noProof/>
                <w:webHidden/>
              </w:rPr>
              <w:instrText xml:space="preserve"> PAGEREF _Toc473123086 \h </w:instrText>
            </w:r>
            <w:r w:rsidR="00B93EC4">
              <w:rPr>
                <w:noProof/>
                <w:webHidden/>
              </w:rPr>
            </w:r>
            <w:r w:rsidR="00B93EC4">
              <w:rPr>
                <w:noProof/>
                <w:webHidden/>
              </w:rPr>
              <w:fldChar w:fldCharType="separate"/>
            </w:r>
            <w:r w:rsidR="00993DB8">
              <w:rPr>
                <w:noProof/>
                <w:webHidden/>
              </w:rPr>
              <w:t>23</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87" w:history="1">
            <w:r w:rsidR="00B93EC4" w:rsidRPr="002E5FE7">
              <w:rPr>
                <w:rStyle w:val="Hyperlink"/>
                <w:noProof/>
              </w:rPr>
              <w:t>5.4.</w:t>
            </w:r>
            <w:r w:rsidR="00B93EC4">
              <w:rPr>
                <w:noProof/>
                <w:lang w:val="en-GB" w:eastAsia="en-GB"/>
              </w:rPr>
              <w:tab/>
            </w:r>
            <w:r w:rsidR="00B93EC4" w:rsidRPr="002E5FE7">
              <w:rPr>
                <w:rStyle w:val="Hyperlink"/>
                <w:noProof/>
              </w:rPr>
              <w:t>Impact on sectoral competitiveness</w:t>
            </w:r>
            <w:r w:rsidR="00B93EC4">
              <w:rPr>
                <w:noProof/>
                <w:webHidden/>
              </w:rPr>
              <w:tab/>
            </w:r>
            <w:r w:rsidR="00B93EC4">
              <w:rPr>
                <w:noProof/>
                <w:webHidden/>
              </w:rPr>
              <w:fldChar w:fldCharType="begin"/>
            </w:r>
            <w:r w:rsidR="00B93EC4">
              <w:rPr>
                <w:noProof/>
                <w:webHidden/>
              </w:rPr>
              <w:instrText xml:space="preserve"> PAGEREF _Toc473123087 \h </w:instrText>
            </w:r>
            <w:r w:rsidR="00B93EC4">
              <w:rPr>
                <w:noProof/>
                <w:webHidden/>
              </w:rPr>
            </w:r>
            <w:r w:rsidR="00B93EC4">
              <w:rPr>
                <w:noProof/>
                <w:webHidden/>
              </w:rPr>
              <w:fldChar w:fldCharType="separate"/>
            </w:r>
            <w:r w:rsidR="00993DB8">
              <w:rPr>
                <w:noProof/>
                <w:webHidden/>
              </w:rPr>
              <w:t>25</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88" w:history="1">
            <w:r w:rsidR="00B93EC4" w:rsidRPr="002E5FE7">
              <w:rPr>
                <w:rStyle w:val="Hyperlink"/>
                <w:noProof/>
              </w:rPr>
              <w:t>5.5.</w:t>
            </w:r>
            <w:r w:rsidR="00B93EC4">
              <w:rPr>
                <w:noProof/>
                <w:lang w:val="en-GB" w:eastAsia="en-GB"/>
              </w:rPr>
              <w:tab/>
            </w:r>
            <w:r w:rsidR="00B93EC4" w:rsidRPr="002E5FE7">
              <w:rPr>
                <w:rStyle w:val="Hyperlink"/>
                <w:noProof/>
              </w:rPr>
              <w:t>Impact on SMEs</w:t>
            </w:r>
            <w:r w:rsidR="00B93EC4">
              <w:rPr>
                <w:noProof/>
                <w:webHidden/>
              </w:rPr>
              <w:tab/>
            </w:r>
            <w:r w:rsidR="00B93EC4">
              <w:rPr>
                <w:noProof/>
                <w:webHidden/>
              </w:rPr>
              <w:fldChar w:fldCharType="begin"/>
            </w:r>
            <w:r w:rsidR="00B93EC4">
              <w:rPr>
                <w:noProof/>
                <w:webHidden/>
              </w:rPr>
              <w:instrText xml:space="preserve"> PAGEREF _Toc473123088 \h </w:instrText>
            </w:r>
            <w:r w:rsidR="00B93EC4">
              <w:rPr>
                <w:noProof/>
                <w:webHidden/>
              </w:rPr>
            </w:r>
            <w:r w:rsidR="00B93EC4">
              <w:rPr>
                <w:noProof/>
                <w:webHidden/>
              </w:rPr>
              <w:fldChar w:fldCharType="separate"/>
            </w:r>
            <w:r w:rsidR="00993DB8">
              <w:rPr>
                <w:noProof/>
                <w:webHidden/>
              </w:rPr>
              <w:t>25</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89" w:history="1">
            <w:r w:rsidR="00B93EC4" w:rsidRPr="002E5FE7">
              <w:rPr>
                <w:rStyle w:val="Hyperlink"/>
                <w:noProof/>
              </w:rPr>
              <w:t>5.6.</w:t>
            </w:r>
            <w:r w:rsidR="00B93EC4">
              <w:rPr>
                <w:noProof/>
                <w:lang w:val="en-GB" w:eastAsia="en-GB"/>
              </w:rPr>
              <w:tab/>
            </w:r>
            <w:r w:rsidR="00B93EC4" w:rsidRPr="002E5FE7">
              <w:rPr>
                <w:rStyle w:val="Hyperlink"/>
                <w:noProof/>
              </w:rPr>
              <w:t>Impact on third countries, in particular Least Developed Countries (LDCs)</w:t>
            </w:r>
            <w:r w:rsidR="00B93EC4">
              <w:rPr>
                <w:noProof/>
                <w:webHidden/>
              </w:rPr>
              <w:tab/>
            </w:r>
            <w:r w:rsidR="00B93EC4">
              <w:rPr>
                <w:noProof/>
                <w:webHidden/>
              </w:rPr>
              <w:fldChar w:fldCharType="begin"/>
            </w:r>
            <w:r w:rsidR="00B93EC4">
              <w:rPr>
                <w:noProof/>
                <w:webHidden/>
              </w:rPr>
              <w:instrText xml:space="preserve"> PAGEREF _Toc473123089 \h </w:instrText>
            </w:r>
            <w:r w:rsidR="00B93EC4">
              <w:rPr>
                <w:noProof/>
                <w:webHidden/>
              </w:rPr>
            </w:r>
            <w:r w:rsidR="00B93EC4">
              <w:rPr>
                <w:noProof/>
                <w:webHidden/>
              </w:rPr>
              <w:fldChar w:fldCharType="separate"/>
            </w:r>
            <w:r w:rsidR="00993DB8">
              <w:rPr>
                <w:noProof/>
                <w:webHidden/>
              </w:rPr>
              <w:t>26</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90" w:history="1">
            <w:r w:rsidR="00B93EC4" w:rsidRPr="002E5FE7">
              <w:rPr>
                <w:rStyle w:val="Hyperlink"/>
                <w:noProof/>
              </w:rPr>
              <w:t>5.7.</w:t>
            </w:r>
            <w:r w:rsidR="00B93EC4">
              <w:rPr>
                <w:noProof/>
                <w:lang w:val="en-GB" w:eastAsia="en-GB"/>
              </w:rPr>
              <w:tab/>
            </w:r>
            <w:r w:rsidR="00B93EC4" w:rsidRPr="002E5FE7">
              <w:rPr>
                <w:rStyle w:val="Hyperlink"/>
                <w:noProof/>
              </w:rPr>
              <w:t>Environmental impact</w:t>
            </w:r>
            <w:r w:rsidR="00B93EC4">
              <w:rPr>
                <w:noProof/>
                <w:webHidden/>
              </w:rPr>
              <w:tab/>
            </w:r>
            <w:r w:rsidR="00B93EC4">
              <w:rPr>
                <w:noProof/>
                <w:webHidden/>
              </w:rPr>
              <w:fldChar w:fldCharType="begin"/>
            </w:r>
            <w:r w:rsidR="00B93EC4">
              <w:rPr>
                <w:noProof/>
                <w:webHidden/>
              </w:rPr>
              <w:instrText xml:space="preserve"> PAGEREF _Toc473123090 \h </w:instrText>
            </w:r>
            <w:r w:rsidR="00B93EC4">
              <w:rPr>
                <w:noProof/>
                <w:webHidden/>
              </w:rPr>
            </w:r>
            <w:r w:rsidR="00B93EC4">
              <w:rPr>
                <w:noProof/>
                <w:webHidden/>
              </w:rPr>
              <w:fldChar w:fldCharType="separate"/>
            </w:r>
            <w:r w:rsidR="00993DB8">
              <w:rPr>
                <w:noProof/>
                <w:webHidden/>
              </w:rPr>
              <w:t>27</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91" w:history="1">
            <w:r w:rsidR="00B93EC4" w:rsidRPr="002E5FE7">
              <w:rPr>
                <w:rStyle w:val="Hyperlink"/>
                <w:noProof/>
              </w:rPr>
              <w:t>5.8.</w:t>
            </w:r>
            <w:r w:rsidR="00B93EC4">
              <w:rPr>
                <w:noProof/>
                <w:lang w:val="en-GB" w:eastAsia="en-GB"/>
              </w:rPr>
              <w:tab/>
            </w:r>
            <w:r w:rsidR="00B93EC4" w:rsidRPr="002E5FE7">
              <w:rPr>
                <w:rStyle w:val="Hyperlink"/>
                <w:noProof/>
              </w:rPr>
              <w:t>Social impact</w:t>
            </w:r>
            <w:r w:rsidR="00B93EC4">
              <w:rPr>
                <w:noProof/>
                <w:webHidden/>
              </w:rPr>
              <w:tab/>
            </w:r>
            <w:r w:rsidR="00B93EC4">
              <w:rPr>
                <w:noProof/>
                <w:webHidden/>
              </w:rPr>
              <w:fldChar w:fldCharType="begin"/>
            </w:r>
            <w:r w:rsidR="00B93EC4">
              <w:rPr>
                <w:noProof/>
                <w:webHidden/>
              </w:rPr>
              <w:instrText xml:space="preserve"> PAGEREF _Toc473123091 \h </w:instrText>
            </w:r>
            <w:r w:rsidR="00B93EC4">
              <w:rPr>
                <w:noProof/>
                <w:webHidden/>
              </w:rPr>
            </w:r>
            <w:r w:rsidR="00B93EC4">
              <w:rPr>
                <w:noProof/>
                <w:webHidden/>
              </w:rPr>
              <w:fldChar w:fldCharType="separate"/>
            </w:r>
            <w:r w:rsidR="00993DB8">
              <w:rPr>
                <w:noProof/>
                <w:webHidden/>
              </w:rPr>
              <w:t>28</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092" w:history="1">
            <w:r w:rsidR="00B93EC4" w:rsidRPr="002E5FE7">
              <w:rPr>
                <w:rStyle w:val="Hyperlink"/>
                <w:noProof/>
              </w:rPr>
              <w:t>5.9.</w:t>
            </w:r>
            <w:r w:rsidR="00B93EC4">
              <w:rPr>
                <w:noProof/>
                <w:lang w:val="en-GB" w:eastAsia="en-GB"/>
              </w:rPr>
              <w:tab/>
            </w:r>
            <w:r w:rsidR="00B93EC4" w:rsidRPr="002E5FE7">
              <w:rPr>
                <w:rStyle w:val="Hyperlink"/>
                <w:noProof/>
              </w:rPr>
              <w:t>Impact on consumers</w:t>
            </w:r>
            <w:r w:rsidR="00B93EC4">
              <w:rPr>
                <w:noProof/>
                <w:webHidden/>
              </w:rPr>
              <w:tab/>
            </w:r>
            <w:r w:rsidR="00B93EC4">
              <w:rPr>
                <w:noProof/>
                <w:webHidden/>
              </w:rPr>
              <w:fldChar w:fldCharType="begin"/>
            </w:r>
            <w:r w:rsidR="00B93EC4">
              <w:rPr>
                <w:noProof/>
                <w:webHidden/>
              </w:rPr>
              <w:instrText xml:space="preserve"> PAGEREF _Toc473123092 \h </w:instrText>
            </w:r>
            <w:r w:rsidR="00B93EC4">
              <w:rPr>
                <w:noProof/>
                <w:webHidden/>
              </w:rPr>
            </w:r>
            <w:r w:rsidR="00B93EC4">
              <w:rPr>
                <w:noProof/>
                <w:webHidden/>
              </w:rPr>
              <w:fldChar w:fldCharType="separate"/>
            </w:r>
            <w:r w:rsidR="00993DB8">
              <w:rPr>
                <w:noProof/>
                <w:webHidden/>
              </w:rPr>
              <w:t>31</w:t>
            </w:r>
            <w:r w:rsidR="00B93EC4">
              <w:rPr>
                <w:noProof/>
                <w:webHidden/>
              </w:rPr>
              <w:fldChar w:fldCharType="end"/>
            </w:r>
          </w:hyperlink>
        </w:p>
        <w:p w:rsidR="00B93EC4" w:rsidRDefault="00450848">
          <w:pPr>
            <w:pStyle w:val="TOC2"/>
            <w:tabs>
              <w:tab w:val="left" w:pos="1100"/>
              <w:tab w:val="right" w:leader="dot" w:pos="9062"/>
            </w:tabs>
            <w:rPr>
              <w:noProof/>
              <w:lang w:val="en-GB" w:eastAsia="en-GB"/>
            </w:rPr>
          </w:pPr>
          <w:hyperlink w:anchor="_Toc473123093" w:history="1">
            <w:r w:rsidR="00B93EC4" w:rsidRPr="002E5FE7">
              <w:rPr>
                <w:rStyle w:val="Hyperlink"/>
                <w:noProof/>
              </w:rPr>
              <w:t>5.10.</w:t>
            </w:r>
            <w:r w:rsidR="00B93EC4">
              <w:rPr>
                <w:noProof/>
                <w:lang w:val="en-GB" w:eastAsia="en-GB"/>
              </w:rPr>
              <w:t xml:space="preserve">    </w:t>
            </w:r>
            <w:r w:rsidR="00B93EC4" w:rsidRPr="002E5FE7">
              <w:rPr>
                <w:rStyle w:val="Hyperlink"/>
                <w:noProof/>
              </w:rPr>
              <w:t>Impact on human rights</w:t>
            </w:r>
            <w:r w:rsidR="00B93EC4">
              <w:rPr>
                <w:noProof/>
                <w:webHidden/>
              </w:rPr>
              <w:tab/>
            </w:r>
            <w:r w:rsidR="00B93EC4">
              <w:rPr>
                <w:noProof/>
                <w:webHidden/>
              </w:rPr>
              <w:fldChar w:fldCharType="begin"/>
            </w:r>
            <w:r w:rsidR="00B93EC4">
              <w:rPr>
                <w:noProof/>
                <w:webHidden/>
              </w:rPr>
              <w:instrText xml:space="preserve"> PAGEREF _Toc473123093 \h </w:instrText>
            </w:r>
            <w:r w:rsidR="00B93EC4">
              <w:rPr>
                <w:noProof/>
                <w:webHidden/>
              </w:rPr>
            </w:r>
            <w:r w:rsidR="00B93EC4">
              <w:rPr>
                <w:noProof/>
                <w:webHidden/>
              </w:rPr>
              <w:fldChar w:fldCharType="separate"/>
            </w:r>
            <w:r w:rsidR="00993DB8">
              <w:rPr>
                <w:noProof/>
                <w:webHidden/>
              </w:rPr>
              <w:t>32</w:t>
            </w:r>
            <w:r w:rsidR="00B93EC4">
              <w:rPr>
                <w:noProof/>
                <w:webHidden/>
              </w:rPr>
              <w:fldChar w:fldCharType="end"/>
            </w:r>
          </w:hyperlink>
        </w:p>
        <w:p w:rsidR="00B93EC4" w:rsidRDefault="00450848">
          <w:pPr>
            <w:pStyle w:val="TOC2"/>
            <w:tabs>
              <w:tab w:val="left" w:pos="1100"/>
              <w:tab w:val="right" w:leader="dot" w:pos="9062"/>
            </w:tabs>
            <w:rPr>
              <w:noProof/>
              <w:lang w:val="en-GB" w:eastAsia="en-GB"/>
            </w:rPr>
          </w:pPr>
          <w:hyperlink w:anchor="_Toc473123094" w:history="1">
            <w:r w:rsidR="00B93EC4" w:rsidRPr="002E5FE7">
              <w:rPr>
                <w:rStyle w:val="Hyperlink"/>
                <w:noProof/>
              </w:rPr>
              <w:t>5.11.</w:t>
            </w:r>
            <w:r w:rsidR="00B93EC4">
              <w:rPr>
                <w:noProof/>
                <w:lang w:val="en-GB" w:eastAsia="en-GB"/>
              </w:rPr>
              <w:t xml:space="preserve">    </w:t>
            </w:r>
            <w:r w:rsidR="00B93EC4" w:rsidRPr="002E5FE7">
              <w:rPr>
                <w:rStyle w:val="Hyperlink"/>
                <w:noProof/>
              </w:rPr>
              <w:t>Governance impact</w:t>
            </w:r>
            <w:r w:rsidR="00B93EC4">
              <w:rPr>
                <w:noProof/>
                <w:webHidden/>
              </w:rPr>
              <w:tab/>
            </w:r>
            <w:r w:rsidR="00B93EC4">
              <w:rPr>
                <w:noProof/>
                <w:webHidden/>
              </w:rPr>
              <w:fldChar w:fldCharType="begin"/>
            </w:r>
            <w:r w:rsidR="00B93EC4">
              <w:rPr>
                <w:noProof/>
                <w:webHidden/>
              </w:rPr>
              <w:instrText xml:space="preserve"> PAGEREF _Toc473123094 \h </w:instrText>
            </w:r>
            <w:r w:rsidR="00B93EC4">
              <w:rPr>
                <w:noProof/>
                <w:webHidden/>
              </w:rPr>
            </w:r>
            <w:r w:rsidR="00B93EC4">
              <w:rPr>
                <w:noProof/>
                <w:webHidden/>
              </w:rPr>
              <w:fldChar w:fldCharType="separate"/>
            </w:r>
            <w:r w:rsidR="00993DB8">
              <w:rPr>
                <w:noProof/>
                <w:webHidden/>
              </w:rPr>
              <w:t>35</w:t>
            </w:r>
            <w:r w:rsidR="00B93EC4">
              <w:rPr>
                <w:noProof/>
                <w:webHidden/>
              </w:rPr>
              <w:fldChar w:fldCharType="end"/>
            </w:r>
          </w:hyperlink>
        </w:p>
        <w:p w:rsidR="00B93EC4" w:rsidRDefault="00450848">
          <w:pPr>
            <w:pStyle w:val="TOC2"/>
            <w:tabs>
              <w:tab w:val="left" w:pos="1100"/>
              <w:tab w:val="right" w:leader="dot" w:pos="9062"/>
            </w:tabs>
            <w:rPr>
              <w:noProof/>
              <w:lang w:val="en-GB" w:eastAsia="en-GB"/>
            </w:rPr>
          </w:pPr>
          <w:hyperlink w:anchor="_Toc473123095" w:history="1">
            <w:r w:rsidR="00B93EC4" w:rsidRPr="002E5FE7">
              <w:rPr>
                <w:rStyle w:val="Hyperlink"/>
                <w:noProof/>
              </w:rPr>
              <w:t>5.12.</w:t>
            </w:r>
            <w:r w:rsidR="00B93EC4">
              <w:rPr>
                <w:noProof/>
                <w:lang w:val="en-GB" w:eastAsia="en-GB"/>
              </w:rPr>
              <w:t xml:space="preserve">    </w:t>
            </w:r>
            <w:r w:rsidR="00B93EC4" w:rsidRPr="002E5FE7">
              <w:rPr>
                <w:rStyle w:val="Hyperlink"/>
                <w:noProof/>
              </w:rPr>
              <w:t>Administrative impact</w:t>
            </w:r>
            <w:r w:rsidR="00B93EC4">
              <w:rPr>
                <w:noProof/>
                <w:webHidden/>
              </w:rPr>
              <w:tab/>
            </w:r>
            <w:r w:rsidR="00B93EC4">
              <w:rPr>
                <w:noProof/>
                <w:webHidden/>
              </w:rPr>
              <w:fldChar w:fldCharType="begin"/>
            </w:r>
            <w:r w:rsidR="00B93EC4">
              <w:rPr>
                <w:noProof/>
                <w:webHidden/>
              </w:rPr>
              <w:instrText xml:space="preserve"> PAGEREF _Toc473123095 \h </w:instrText>
            </w:r>
            <w:r w:rsidR="00B93EC4">
              <w:rPr>
                <w:noProof/>
                <w:webHidden/>
              </w:rPr>
            </w:r>
            <w:r w:rsidR="00B93EC4">
              <w:rPr>
                <w:noProof/>
                <w:webHidden/>
              </w:rPr>
              <w:fldChar w:fldCharType="separate"/>
            </w:r>
            <w:r w:rsidR="00993DB8">
              <w:rPr>
                <w:noProof/>
                <w:webHidden/>
              </w:rPr>
              <w:t>35</w:t>
            </w:r>
            <w:r w:rsidR="00B93EC4">
              <w:rPr>
                <w:noProof/>
                <w:webHidden/>
              </w:rPr>
              <w:fldChar w:fldCharType="end"/>
            </w:r>
          </w:hyperlink>
        </w:p>
        <w:p w:rsidR="00B93EC4" w:rsidRDefault="00B93EC4">
          <w:pPr>
            <w:pStyle w:val="TOC2"/>
            <w:tabs>
              <w:tab w:val="left" w:pos="1100"/>
              <w:tab w:val="right" w:leader="dot" w:pos="9062"/>
            </w:tabs>
            <w:rPr>
              <w:rStyle w:val="Hyperlink"/>
              <w:noProof/>
            </w:rPr>
          </w:pPr>
          <w:r w:rsidRPr="002E5FE7">
            <w:rPr>
              <w:rStyle w:val="Hyperlink"/>
              <w:noProof/>
            </w:rPr>
            <w:fldChar w:fldCharType="begin"/>
          </w:r>
          <w:r w:rsidRPr="002E5FE7">
            <w:rPr>
              <w:rStyle w:val="Hyperlink"/>
              <w:noProof/>
            </w:rPr>
            <w:instrText xml:space="preserve"> </w:instrText>
          </w:r>
          <w:r>
            <w:rPr>
              <w:noProof/>
            </w:rPr>
            <w:instrText>HYPERLINK \l "_Toc473123096"</w:instrText>
          </w:r>
          <w:r w:rsidRPr="002E5FE7">
            <w:rPr>
              <w:rStyle w:val="Hyperlink"/>
              <w:noProof/>
            </w:rPr>
            <w:instrText xml:space="preserve"> </w:instrText>
          </w:r>
          <w:r w:rsidRPr="002E5FE7">
            <w:rPr>
              <w:rStyle w:val="Hyperlink"/>
              <w:noProof/>
            </w:rPr>
            <w:fldChar w:fldCharType="separate"/>
          </w:r>
          <w:r w:rsidRPr="002E5FE7">
            <w:rPr>
              <w:rStyle w:val="Hyperlink"/>
              <w:noProof/>
            </w:rPr>
            <w:t>5.13.</w:t>
          </w:r>
          <w:r>
            <w:rPr>
              <w:noProof/>
              <w:lang w:val="en-GB" w:eastAsia="en-GB"/>
            </w:rPr>
            <w:tab/>
          </w:r>
          <w:r w:rsidRPr="002E5FE7">
            <w:rPr>
              <w:rStyle w:val="Hyperlink"/>
              <w:noProof/>
            </w:rPr>
            <w:t>Assessment of administrative capacity of Chile's cus</w:t>
          </w:r>
          <w:r>
            <w:rPr>
              <w:rStyle w:val="Hyperlink"/>
              <w:noProof/>
            </w:rPr>
            <w:t>toms to implement the agreement</w:t>
          </w:r>
        </w:p>
        <w:p w:rsidR="00B93EC4" w:rsidRDefault="00B93EC4">
          <w:pPr>
            <w:pStyle w:val="TOC2"/>
            <w:tabs>
              <w:tab w:val="left" w:pos="1100"/>
              <w:tab w:val="right" w:leader="dot" w:pos="9062"/>
            </w:tabs>
            <w:rPr>
              <w:noProof/>
              <w:lang w:val="en-GB" w:eastAsia="en-GB"/>
            </w:rPr>
          </w:pPr>
          <w:r>
            <w:rPr>
              <w:rStyle w:val="Hyperlink"/>
              <w:noProof/>
            </w:rPr>
            <w:t xml:space="preserve">                 </w:t>
          </w:r>
          <w:r w:rsidRPr="002E5FE7">
            <w:rPr>
              <w:rStyle w:val="Hyperlink"/>
              <w:noProof/>
            </w:rPr>
            <w:t>(notably on application of rules of origin)</w:t>
          </w:r>
          <w:r>
            <w:rPr>
              <w:noProof/>
              <w:webHidden/>
            </w:rPr>
            <w:tab/>
          </w:r>
          <w:r>
            <w:rPr>
              <w:noProof/>
              <w:webHidden/>
            </w:rPr>
            <w:fldChar w:fldCharType="begin"/>
          </w:r>
          <w:r>
            <w:rPr>
              <w:noProof/>
              <w:webHidden/>
            </w:rPr>
            <w:instrText xml:space="preserve"> PAGEREF _Toc473123096 \h </w:instrText>
          </w:r>
          <w:r>
            <w:rPr>
              <w:noProof/>
              <w:webHidden/>
            </w:rPr>
          </w:r>
          <w:r>
            <w:rPr>
              <w:noProof/>
              <w:webHidden/>
            </w:rPr>
            <w:fldChar w:fldCharType="separate"/>
          </w:r>
          <w:r w:rsidR="00993DB8">
            <w:rPr>
              <w:noProof/>
              <w:webHidden/>
            </w:rPr>
            <w:t>36</w:t>
          </w:r>
          <w:r>
            <w:rPr>
              <w:noProof/>
              <w:webHidden/>
            </w:rPr>
            <w:fldChar w:fldCharType="end"/>
          </w:r>
          <w:r w:rsidRPr="002E5FE7">
            <w:rPr>
              <w:rStyle w:val="Hyperlink"/>
              <w:noProof/>
            </w:rPr>
            <w:fldChar w:fldCharType="end"/>
          </w:r>
        </w:p>
        <w:p w:rsidR="00B93EC4" w:rsidRDefault="00450848">
          <w:pPr>
            <w:pStyle w:val="TOC2"/>
            <w:tabs>
              <w:tab w:val="left" w:pos="1100"/>
              <w:tab w:val="right" w:leader="dot" w:pos="9062"/>
            </w:tabs>
            <w:rPr>
              <w:noProof/>
              <w:lang w:val="en-GB" w:eastAsia="en-GB"/>
            </w:rPr>
          </w:pPr>
          <w:hyperlink w:anchor="_Toc473123097" w:history="1">
            <w:r w:rsidR="00B93EC4" w:rsidRPr="002E5FE7">
              <w:rPr>
                <w:rStyle w:val="Hyperlink"/>
                <w:noProof/>
              </w:rPr>
              <w:t>5.14.</w:t>
            </w:r>
            <w:r w:rsidR="00B93EC4">
              <w:rPr>
                <w:noProof/>
                <w:lang w:val="en-GB" w:eastAsia="en-GB"/>
              </w:rPr>
              <w:tab/>
            </w:r>
            <w:r w:rsidR="00B93EC4" w:rsidRPr="002E5FE7">
              <w:rPr>
                <w:rStyle w:val="Hyperlink"/>
                <w:noProof/>
              </w:rPr>
              <w:t>Impact on the budget of the European Union</w:t>
            </w:r>
            <w:r w:rsidR="00B93EC4">
              <w:rPr>
                <w:noProof/>
                <w:webHidden/>
              </w:rPr>
              <w:tab/>
            </w:r>
            <w:r w:rsidR="00B93EC4">
              <w:rPr>
                <w:noProof/>
                <w:webHidden/>
              </w:rPr>
              <w:fldChar w:fldCharType="begin"/>
            </w:r>
            <w:r w:rsidR="00B93EC4">
              <w:rPr>
                <w:noProof/>
                <w:webHidden/>
              </w:rPr>
              <w:instrText xml:space="preserve"> PAGEREF _Toc473123097 \h </w:instrText>
            </w:r>
            <w:r w:rsidR="00B93EC4">
              <w:rPr>
                <w:noProof/>
                <w:webHidden/>
              </w:rPr>
            </w:r>
            <w:r w:rsidR="00B93EC4">
              <w:rPr>
                <w:noProof/>
                <w:webHidden/>
              </w:rPr>
              <w:fldChar w:fldCharType="separate"/>
            </w:r>
            <w:r w:rsidR="00993DB8">
              <w:rPr>
                <w:noProof/>
                <w:webHidden/>
              </w:rPr>
              <w:t>37</w:t>
            </w:r>
            <w:r w:rsidR="00B93EC4">
              <w:rPr>
                <w:noProof/>
                <w:webHidden/>
              </w:rPr>
              <w:fldChar w:fldCharType="end"/>
            </w:r>
          </w:hyperlink>
        </w:p>
        <w:p w:rsidR="00B93EC4" w:rsidRDefault="00450848">
          <w:pPr>
            <w:pStyle w:val="TOC1"/>
            <w:rPr>
              <w:rFonts w:asciiTheme="minorHAnsi" w:hAnsiTheme="minorHAnsi" w:cstheme="minorBidi"/>
              <w:caps w:val="0"/>
              <w:sz w:val="22"/>
              <w:szCs w:val="22"/>
              <w:lang w:val="en-GB" w:eastAsia="en-GB"/>
            </w:rPr>
          </w:pPr>
          <w:hyperlink w:anchor="_Toc473123098" w:history="1">
            <w:r w:rsidR="00B93EC4" w:rsidRPr="002E5FE7">
              <w:rPr>
                <w:rStyle w:val="Hyperlink"/>
                <w:rFonts w:ascii="Times New Roman Bold" w:hAnsi="Times New Roman Bold"/>
              </w:rPr>
              <w:t>6.</w:t>
            </w:r>
            <w:r w:rsidR="00B93EC4">
              <w:rPr>
                <w:rFonts w:asciiTheme="minorHAnsi" w:hAnsiTheme="minorHAnsi" w:cstheme="minorBidi"/>
                <w:caps w:val="0"/>
                <w:sz w:val="22"/>
                <w:szCs w:val="22"/>
                <w:lang w:val="en-GB" w:eastAsia="en-GB"/>
              </w:rPr>
              <w:tab/>
            </w:r>
            <w:r w:rsidR="00B93EC4" w:rsidRPr="002E5FE7">
              <w:rPr>
                <w:rStyle w:val="Hyperlink"/>
                <w:rFonts w:ascii="Times New Roman Bold" w:hAnsi="Times New Roman Bold"/>
              </w:rPr>
              <w:t>HOW DO THE OPTIONS COMPARE?</w:t>
            </w:r>
            <w:r w:rsidR="00B93EC4">
              <w:rPr>
                <w:webHidden/>
              </w:rPr>
              <w:tab/>
            </w:r>
            <w:r w:rsidR="00B93EC4">
              <w:rPr>
                <w:webHidden/>
              </w:rPr>
              <w:fldChar w:fldCharType="begin"/>
            </w:r>
            <w:r w:rsidR="00B93EC4">
              <w:rPr>
                <w:webHidden/>
              </w:rPr>
              <w:instrText xml:space="preserve"> PAGEREF _Toc473123098 \h </w:instrText>
            </w:r>
            <w:r w:rsidR="00B93EC4">
              <w:rPr>
                <w:webHidden/>
              </w:rPr>
            </w:r>
            <w:r w:rsidR="00B93EC4">
              <w:rPr>
                <w:webHidden/>
              </w:rPr>
              <w:fldChar w:fldCharType="separate"/>
            </w:r>
            <w:r w:rsidR="00993DB8">
              <w:rPr>
                <w:webHidden/>
              </w:rPr>
              <w:t>38</w:t>
            </w:r>
            <w:r w:rsidR="00B93EC4">
              <w:rPr>
                <w:webHidden/>
              </w:rPr>
              <w:fldChar w:fldCharType="end"/>
            </w:r>
          </w:hyperlink>
        </w:p>
        <w:p w:rsidR="00B93EC4" w:rsidRDefault="00450848">
          <w:pPr>
            <w:pStyle w:val="TOC2"/>
            <w:tabs>
              <w:tab w:val="left" w:pos="880"/>
              <w:tab w:val="right" w:leader="dot" w:pos="9062"/>
            </w:tabs>
            <w:rPr>
              <w:noProof/>
              <w:lang w:val="en-GB" w:eastAsia="en-GB"/>
            </w:rPr>
          </w:pPr>
          <w:hyperlink w:anchor="_Toc473123100" w:history="1">
            <w:r w:rsidR="00B93EC4" w:rsidRPr="002E5FE7">
              <w:rPr>
                <w:rStyle w:val="Hyperlink"/>
                <w:noProof/>
              </w:rPr>
              <w:t>6.1.</w:t>
            </w:r>
            <w:r w:rsidR="00B93EC4">
              <w:rPr>
                <w:noProof/>
                <w:lang w:val="en-GB" w:eastAsia="en-GB"/>
              </w:rPr>
              <w:tab/>
              <w:t xml:space="preserve">    </w:t>
            </w:r>
            <w:r w:rsidR="00B93EC4" w:rsidRPr="002E5FE7">
              <w:rPr>
                <w:rStyle w:val="Hyperlink"/>
                <w:noProof/>
              </w:rPr>
              <w:t>Positive and negative effects of the policy options</w:t>
            </w:r>
            <w:r w:rsidR="00B93EC4">
              <w:rPr>
                <w:noProof/>
                <w:webHidden/>
              </w:rPr>
              <w:tab/>
            </w:r>
            <w:r w:rsidR="00B93EC4">
              <w:rPr>
                <w:noProof/>
                <w:webHidden/>
              </w:rPr>
              <w:fldChar w:fldCharType="begin"/>
            </w:r>
            <w:r w:rsidR="00B93EC4">
              <w:rPr>
                <w:noProof/>
                <w:webHidden/>
              </w:rPr>
              <w:instrText xml:space="preserve"> PAGEREF _Toc473123100 \h </w:instrText>
            </w:r>
            <w:r w:rsidR="00B93EC4">
              <w:rPr>
                <w:noProof/>
                <w:webHidden/>
              </w:rPr>
            </w:r>
            <w:r w:rsidR="00B93EC4">
              <w:rPr>
                <w:noProof/>
                <w:webHidden/>
              </w:rPr>
              <w:fldChar w:fldCharType="separate"/>
            </w:r>
            <w:r w:rsidR="00993DB8">
              <w:rPr>
                <w:noProof/>
                <w:webHidden/>
              </w:rPr>
              <w:t>38</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101" w:history="1">
            <w:r w:rsidR="00B93EC4" w:rsidRPr="002E5FE7">
              <w:rPr>
                <w:rStyle w:val="Hyperlink"/>
                <w:noProof/>
              </w:rPr>
              <w:t>6.2.</w:t>
            </w:r>
            <w:r w:rsidR="00B93EC4">
              <w:rPr>
                <w:noProof/>
                <w:lang w:val="en-GB" w:eastAsia="en-GB"/>
              </w:rPr>
              <w:tab/>
              <w:t xml:space="preserve">    </w:t>
            </w:r>
            <w:r w:rsidR="00B93EC4" w:rsidRPr="002E5FE7">
              <w:rPr>
                <w:rStyle w:val="Hyperlink"/>
                <w:noProof/>
              </w:rPr>
              <w:t>Summary table of the effects of the different policy options</w:t>
            </w:r>
            <w:r w:rsidR="00B93EC4">
              <w:rPr>
                <w:noProof/>
                <w:webHidden/>
              </w:rPr>
              <w:tab/>
            </w:r>
            <w:r w:rsidR="00B93EC4">
              <w:rPr>
                <w:noProof/>
                <w:webHidden/>
              </w:rPr>
              <w:fldChar w:fldCharType="begin"/>
            </w:r>
            <w:r w:rsidR="00B93EC4">
              <w:rPr>
                <w:noProof/>
                <w:webHidden/>
              </w:rPr>
              <w:instrText xml:space="preserve"> PAGEREF _Toc473123101 \h </w:instrText>
            </w:r>
            <w:r w:rsidR="00B93EC4">
              <w:rPr>
                <w:noProof/>
                <w:webHidden/>
              </w:rPr>
            </w:r>
            <w:r w:rsidR="00B93EC4">
              <w:rPr>
                <w:noProof/>
                <w:webHidden/>
              </w:rPr>
              <w:fldChar w:fldCharType="separate"/>
            </w:r>
            <w:r w:rsidR="00993DB8">
              <w:rPr>
                <w:noProof/>
                <w:webHidden/>
              </w:rPr>
              <w:t>39</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102" w:history="1">
            <w:r w:rsidR="00B93EC4" w:rsidRPr="002E5FE7">
              <w:rPr>
                <w:rStyle w:val="Hyperlink"/>
                <w:noProof/>
              </w:rPr>
              <w:t>6.3.</w:t>
            </w:r>
            <w:r w:rsidR="00B93EC4">
              <w:rPr>
                <w:noProof/>
                <w:lang w:val="en-GB" w:eastAsia="en-GB"/>
              </w:rPr>
              <w:tab/>
              <w:t xml:space="preserve">    </w:t>
            </w:r>
            <w:r w:rsidR="00B93EC4" w:rsidRPr="002E5FE7">
              <w:rPr>
                <w:rStyle w:val="Hyperlink"/>
                <w:noProof/>
              </w:rPr>
              <w:t>Identification of a preferred policy option</w:t>
            </w:r>
            <w:r w:rsidR="00B93EC4">
              <w:rPr>
                <w:noProof/>
                <w:webHidden/>
              </w:rPr>
              <w:tab/>
            </w:r>
            <w:r w:rsidR="00B93EC4">
              <w:rPr>
                <w:noProof/>
                <w:webHidden/>
              </w:rPr>
              <w:fldChar w:fldCharType="begin"/>
            </w:r>
            <w:r w:rsidR="00B93EC4">
              <w:rPr>
                <w:noProof/>
                <w:webHidden/>
              </w:rPr>
              <w:instrText xml:space="preserve"> PAGEREF _Toc473123102 \h </w:instrText>
            </w:r>
            <w:r w:rsidR="00B93EC4">
              <w:rPr>
                <w:noProof/>
                <w:webHidden/>
              </w:rPr>
            </w:r>
            <w:r w:rsidR="00B93EC4">
              <w:rPr>
                <w:noProof/>
                <w:webHidden/>
              </w:rPr>
              <w:fldChar w:fldCharType="separate"/>
            </w:r>
            <w:r w:rsidR="00993DB8">
              <w:rPr>
                <w:noProof/>
                <w:webHidden/>
              </w:rPr>
              <w:t>40</w:t>
            </w:r>
            <w:r w:rsidR="00B93EC4">
              <w:rPr>
                <w:noProof/>
                <w:webHidden/>
              </w:rPr>
              <w:fldChar w:fldCharType="end"/>
            </w:r>
          </w:hyperlink>
        </w:p>
        <w:p w:rsidR="00B93EC4" w:rsidRDefault="00450848">
          <w:pPr>
            <w:pStyle w:val="TOC1"/>
            <w:rPr>
              <w:rFonts w:asciiTheme="minorHAnsi" w:hAnsiTheme="minorHAnsi" w:cstheme="minorBidi"/>
              <w:caps w:val="0"/>
              <w:sz w:val="22"/>
              <w:szCs w:val="22"/>
              <w:lang w:val="en-GB" w:eastAsia="en-GB"/>
            </w:rPr>
          </w:pPr>
          <w:hyperlink w:anchor="_Toc473123103" w:history="1">
            <w:r w:rsidR="00B93EC4" w:rsidRPr="002E5FE7">
              <w:rPr>
                <w:rStyle w:val="Hyperlink"/>
                <w:rFonts w:ascii="Times New Roman Bold" w:hAnsi="Times New Roman Bold"/>
              </w:rPr>
              <w:t>7.</w:t>
            </w:r>
            <w:r w:rsidR="00B93EC4">
              <w:rPr>
                <w:rFonts w:asciiTheme="minorHAnsi" w:hAnsiTheme="minorHAnsi" w:cstheme="minorBidi"/>
                <w:caps w:val="0"/>
                <w:sz w:val="22"/>
                <w:szCs w:val="22"/>
                <w:lang w:val="en-GB" w:eastAsia="en-GB"/>
              </w:rPr>
              <w:tab/>
            </w:r>
            <w:r w:rsidR="00B93EC4" w:rsidRPr="002E5FE7">
              <w:rPr>
                <w:rStyle w:val="Hyperlink"/>
                <w:rFonts w:ascii="Times New Roman Bold" w:hAnsi="Times New Roman Bold"/>
              </w:rPr>
              <w:t>How would actual impacts be monitored and evaluated?</w:t>
            </w:r>
            <w:r w:rsidR="00B93EC4">
              <w:rPr>
                <w:webHidden/>
              </w:rPr>
              <w:tab/>
            </w:r>
            <w:r w:rsidR="00B93EC4">
              <w:rPr>
                <w:webHidden/>
              </w:rPr>
              <w:fldChar w:fldCharType="begin"/>
            </w:r>
            <w:r w:rsidR="00B93EC4">
              <w:rPr>
                <w:webHidden/>
              </w:rPr>
              <w:instrText xml:space="preserve"> PAGEREF _Toc473123103 \h </w:instrText>
            </w:r>
            <w:r w:rsidR="00B93EC4">
              <w:rPr>
                <w:webHidden/>
              </w:rPr>
            </w:r>
            <w:r w:rsidR="00B93EC4">
              <w:rPr>
                <w:webHidden/>
              </w:rPr>
              <w:fldChar w:fldCharType="separate"/>
            </w:r>
            <w:r w:rsidR="00993DB8">
              <w:rPr>
                <w:webHidden/>
              </w:rPr>
              <w:t>41</w:t>
            </w:r>
            <w:r w:rsidR="00B93EC4">
              <w:rPr>
                <w:webHidden/>
              </w:rPr>
              <w:fldChar w:fldCharType="end"/>
            </w:r>
          </w:hyperlink>
        </w:p>
        <w:p w:rsidR="00B93EC4" w:rsidRDefault="00450848">
          <w:pPr>
            <w:pStyle w:val="TOC2"/>
            <w:tabs>
              <w:tab w:val="left" w:pos="880"/>
              <w:tab w:val="right" w:leader="dot" w:pos="9062"/>
            </w:tabs>
            <w:rPr>
              <w:noProof/>
              <w:lang w:val="en-GB" w:eastAsia="en-GB"/>
            </w:rPr>
          </w:pPr>
          <w:hyperlink w:anchor="_Toc473123105" w:history="1">
            <w:r w:rsidR="00B93EC4" w:rsidRPr="002E5FE7">
              <w:rPr>
                <w:rStyle w:val="Hyperlink"/>
                <w:noProof/>
              </w:rPr>
              <w:t>7.1.</w:t>
            </w:r>
            <w:r w:rsidR="00B93EC4">
              <w:rPr>
                <w:noProof/>
                <w:lang w:val="en-GB" w:eastAsia="en-GB"/>
              </w:rPr>
              <w:tab/>
              <w:t xml:space="preserve">    </w:t>
            </w:r>
            <w:r w:rsidR="00B93EC4" w:rsidRPr="002E5FE7">
              <w:rPr>
                <w:rStyle w:val="Hyperlink"/>
                <w:noProof/>
              </w:rPr>
              <w:t>Operational objectives</w:t>
            </w:r>
            <w:r w:rsidR="00B93EC4">
              <w:rPr>
                <w:noProof/>
                <w:webHidden/>
              </w:rPr>
              <w:tab/>
            </w:r>
            <w:r w:rsidR="00B93EC4">
              <w:rPr>
                <w:noProof/>
                <w:webHidden/>
              </w:rPr>
              <w:fldChar w:fldCharType="begin"/>
            </w:r>
            <w:r w:rsidR="00B93EC4">
              <w:rPr>
                <w:noProof/>
                <w:webHidden/>
              </w:rPr>
              <w:instrText xml:space="preserve"> PAGEREF _Toc473123105 \h </w:instrText>
            </w:r>
            <w:r w:rsidR="00B93EC4">
              <w:rPr>
                <w:noProof/>
                <w:webHidden/>
              </w:rPr>
            </w:r>
            <w:r w:rsidR="00B93EC4">
              <w:rPr>
                <w:noProof/>
                <w:webHidden/>
              </w:rPr>
              <w:fldChar w:fldCharType="separate"/>
            </w:r>
            <w:r w:rsidR="00993DB8">
              <w:rPr>
                <w:noProof/>
                <w:webHidden/>
              </w:rPr>
              <w:t>41</w:t>
            </w:r>
            <w:r w:rsidR="00B93EC4">
              <w:rPr>
                <w:noProof/>
                <w:webHidden/>
              </w:rPr>
              <w:fldChar w:fldCharType="end"/>
            </w:r>
          </w:hyperlink>
        </w:p>
        <w:p w:rsidR="00B93EC4" w:rsidRDefault="00450848">
          <w:pPr>
            <w:pStyle w:val="TOC2"/>
            <w:tabs>
              <w:tab w:val="left" w:pos="880"/>
              <w:tab w:val="right" w:leader="dot" w:pos="9062"/>
            </w:tabs>
            <w:rPr>
              <w:noProof/>
              <w:lang w:val="en-GB" w:eastAsia="en-GB"/>
            </w:rPr>
          </w:pPr>
          <w:hyperlink w:anchor="_Toc473123106" w:history="1">
            <w:r w:rsidR="00B93EC4" w:rsidRPr="002E5FE7">
              <w:rPr>
                <w:rStyle w:val="Hyperlink"/>
                <w:noProof/>
              </w:rPr>
              <w:t>7.2.</w:t>
            </w:r>
            <w:r w:rsidR="00B93EC4">
              <w:rPr>
                <w:noProof/>
                <w:lang w:val="en-GB" w:eastAsia="en-GB"/>
              </w:rPr>
              <w:tab/>
              <w:t xml:space="preserve">    </w:t>
            </w:r>
            <w:r w:rsidR="00B93EC4" w:rsidRPr="002E5FE7">
              <w:rPr>
                <w:rStyle w:val="Hyperlink"/>
                <w:noProof/>
              </w:rPr>
              <w:t>Future monitoring and evaluation</w:t>
            </w:r>
            <w:r w:rsidR="00B93EC4">
              <w:rPr>
                <w:noProof/>
                <w:webHidden/>
              </w:rPr>
              <w:tab/>
            </w:r>
            <w:r w:rsidR="00B93EC4">
              <w:rPr>
                <w:noProof/>
                <w:webHidden/>
              </w:rPr>
              <w:fldChar w:fldCharType="begin"/>
            </w:r>
            <w:r w:rsidR="00B93EC4">
              <w:rPr>
                <w:noProof/>
                <w:webHidden/>
              </w:rPr>
              <w:instrText xml:space="preserve"> PAGEREF _Toc473123106 \h </w:instrText>
            </w:r>
            <w:r w:rsidR="00B93EC4">
              <w:rPr>
                <w:noProof/>
                <w:webHidden/>
              </w:rPr>
            </w:r>
            <w:r w:rsidR="00B93EC4">
              <w:rPr>
                <w:noProof/>
                <w:webHidden/>
              </w:rPr>
              <w:fldChar w:fldCharType="separate"/>
            </w:r>
            <w:r w:rsidR="00993DB8">
              <w:rPr>
                <w:noProof/>
                <w:webHidden/>
              </w:rPr>
              <w:t>41</w:t>
            </w:r>
            <w:r w:rsidR="00B93EC4">
              <w:rPr>
                <w:noProof/>
                <w:webHidden/>
              </w:rPr>
              <w:fldChar w:fldCharType="end"/>
            </w:r>
          </w:hyperlink>
        </w:p>
        <w:p w:rsidR="00B93EC4" w:rsidRDefault="00450848">
          <w:pPr>
            <w:pStyle w:val="TOC1"/>
            <w:rPr>
              <w:rFonts w:asciiTheme="minorHAnsi" w:hAnsiTheme="minorHAnsi" w:cstheme="minorBidi"/>
              <w:caps w:val="0"/>
              <w:sz w:val="22"/>
              <w:szCs w:val="22"/>
              <w:lang w:val="en-GB" w:eastAsia="en-GB"/>
            </w:rPr>
          </w:pPr>
          <w:hyperlink w:anchor="_Toc473123107" w:history="1">
            <w:r w:rsidR="00B93EC4" w:rsidRPr="002E5FE7">
              <w:rPr>
                <w:rStyle w:val="Hyperlink"/>
              </w:rPr>
              <w:t>ANNEXES</w:t>
            </w:r>
            <w:r w:rsidR="00B93EC4">
              <w:rPr>
                <w:webHidden/>
              </w:rPr>
              <w:tab/>
            </w:r>
            <w:r w:rsidR="00B93EC4">
              <w:rPr>
                <w:webHidden/>
              </w:rPr>
              <w:fldChar w:fldCharType="begin"/>
            </w:r>
            <w:r w:rsidR="00B93EC4">
              <w:rPr>
                <w:webHidden/>
              </w:rPr>
              <w:instrText xml:space="preserve"> PAGEREF _Toc473123107 \h </w:instrText>
            </w:r>
            <w:r w:rsidR="00B93EC4">
              <w:rPr>
                <w:webHidden/>
              </w:rPr>
            </w:r>
            <w:r w:rsidR="00B93EC4">
              <w:rPr>
                <w:webHidden/>
              </w:rPr>
              <w:fldChar w:fldCharType="separate"/>
            </w:r>
            <w:r w:rsidR="00993DB8">
              <w:rPr>
                <w:webHidden/>
              </w:rPr>
              <w:t>44</w:t>
            </w:r>
            <w:r w:rsidR="00B93EC4">
              <w:rPr>
                <w:webHidden/>
              </w:rPr>
              <w:fldChar w:fldCharType="end"/>
            </w:r>
          </w:hyperlink>
        </w:p>
        <w:p w:rsidR="00B93EC4" w:rsidRDefault="00450848">
          <w:pPr>
            <w:pStyle w:val="TOC2"/>
            <w:tabs>
              <w:tab w:val="right" w:leader="dot" w:pos="9062"/>
            </w:tabs>
            <w:rPr>
              <w:noProof/>
              <w:lang w:val="en-GB" w:eastAsia="en-GB"/>
            </w:rPr>
          </w:pPr>
          <w:hyperlink w:anchor="_Toc473123108" w:history="1">
            <w:r w:rsidR="00B93EC4" w:rsidRPr="002E5FE7">
              <w:rPr>
                <w:rStyle w:val="Hyperlink"/>
                <w:rFonts w:ascii="Times New Roman Bold" w:hAnsi="Times New Roman Bold"/>
                <w:caps/>
                <w:noProof/>
              </w:rPr>
              <w:t>Annex 1 - Procedural information</w:t>
            </w:r>
            <w:r w:rsidR="00B93EC4">
              <w:rPr>
                <w:noProof/>
                <w:webHidden/>
              </w:rPr>
              <w:tab/>
            </w:r>
            <w:r w:rsidR="00B93EC4">
              <w:rPr>
                <w:noProof/>
                <w:webHidden/>
              </w:rPr>
              <w:fldChar w:fldCharType="begin"/>
            </w:r>
            <w:r w:rsidR="00B93EC4">
              <w:rPr>
                <w:noProof/>
                <w:webHidden/>
              </w:rPr>
              <w:instrText xml:space="preserve"> PAGEREF _Toc473123108 \h </w:instrText>
            </w:r>
            <w:r w:rsidR="00B93EC4">
              <w:rPr>
                <w:noProof/>
                <w:webHidden/>
              </w:rPr>
            </w:r>
            <w:r w:rsidR="00B93EC4">
              <w:rPr>
                <w:noProof/>
                <w:webHidden/>
              </w:rPr>
              <w:fldChar w:fldCharType="separate"/>
            </w:r>
            <w:r w:rsidR="00993DB8">
              <w:rPr>
                <w:noProof/>
                <w:webHidden/>
              </w:rPr>
              <w:t>45</w:t>
            </w:r>
            <w:r w:rsidR="00B93EC4">
              <w:rPr>
                <w:noProof/>
                <w:webHidden/>
              </w:rPr>
              <w:fldChar w:fldCharType="end"/>
            </w:r>
          </w:hyperlink>
        </w:p>
        <w:p w:rsidR="00B93EC4" w:rsidRDefault="00450848">
          <w:pPr>
            <w:pStyle w:val="TOC2"/>
            <w:tabs>
              <w:tab w:val="right" w:leader="dot" w:pos="9062"/>
            </w:tabs>
            <w:rPr>
              <w:noProof/>
              <w:lang w:val="en-GB" w:eastAsia="en-GB"/>
            </w:rPr>
          </w:pPr>
          <w:hyperlink w:anchor="_Toc473123109" w:history="1">
            <w:r w:rsidR="00B93EC4" w:rsidRPr="002E5FE7">
              <w:rPr>
                <w:rStyle w:val="Hyperlink"/>
                <w:rFonts w:ascii="Times New Roman Bold" w:hAnsi="Times New Roman Bold"/>
                <w:caps/>
                <w:noProof/>
              </w:rPr>
              <w:t>Annex 2 - Stakeholders consultations</w:t>
            </w:r>
            <w:r w:rsidR="00B93EC4">
              <w:rPr>
                <w:noProof/>
                <w:webHidden/>
              </w:rPr>
              <w:tab/>
            </w:r>
            <w:r w:rsidR="00B93EC4">
              <w:rPr>
                <w:noProof/>
                <w:webHidden/>
              </w:rPr>
              <w:fldChar w:fldCharType="begin"/>
            </w:r>
            <w:r w:rsidR="00B93EC4">
              <w:rPr>
                <w:noProof/>
                <w:webHidden/>
              </w:rPr>
              <w:instrText xml:space="preserve"> PAGEREF _Toc473123109 \h </w:instrText>
            </w:r>
            <w:r w:rsidR="00B93EC4">
              <w:rPr>
                <w:noProof/>
                <w:webHidden/>
              </w:rPr>
            </w:r>
            <w:r w:rsidR="00B93EC4">
              <w:rPr>
                <w:noProof/>
                <w:webHidden/>
              </w:rPr>
              <w:fldChar w:fldCharType="separate"/>
            </w:r>
            <w:r w:rsidR="00993DB8">
              <w:rPr>
                <w:noProof/>
                <w:webHidden/>
              </w:rPr>
              <w:t>47</w:t>
            </w:r>
            <w:r w:rsidR="00B93EC4">
              <w:rPr>
                <w:noProof/>
                <w:webHidden/>
              </w:rPr>
              <w:fldChar w:fldCharType="end"/>
            </w:r>
          </w:hyperlink>
        </w:p>
        <w:p w:rsidR="00B93EC4" w:rsidRDefault="00450848">
          <w:pPr>
            <w:pStyle w:val="TOC2"/>
            <w:tabs>
              <w:tab w:val="right" w:leader="dot" w:pos="9062"/>
            </w:tabs>
            <w:rPr>
              <w:noProof/>
              <w:lang w:val="en-GB" w:eastAsia="en-GB"/>
            </w:rPr>
          </w:pPr>
          <w:hyperlink w:anchor="_Toc473123110" w:history="1">
            <w:r w:rsidR="00B93EC4" w:rsidRPr="002E5FE7">
              <w:rPr>
                <w:rStyle w:val="Hyperlink"/>
                <w:rFonts w:ascii="Times New Roman Bold" w:hAnsi="Times New Roman Bold"/>
                <w:caps/>
                <w:noProof/>
              </w:rPr>
              <w:t>Annex 3 - Who is affected by the initiative and how?</w:t>
            </w:r>
            <w:r w:rsidR="00B93EC4">
              <w:rPr>
                <w:noProof/>
                <w:webHidden/>
              </w:rPr>
              <w:tab/>
            </w:r>
            <w:r w:rsidR="00B93EC4">
              <w:rPr>
                <w:noProof/>
                <w:webHidden/>
              </w:rPr>
              <w:fldChar w:fldCharType="begin"/>
            </w:r>
            <w:r w:rsidR="00B93EC4">
              <w:rPr>
                <w:noProof/>
                <w:webHidden/>
              </w:rPr>
              <w:instrText xml:space="preserve"> PAGEREF _Toc473123110 \h </w:instrText>
            </w:r>
            <w:r w:rsidR="00B93EC4">
              <w:rPr>
                <w:noProof/>
                <w:webHidden/>
              </w:rPr>
            </w:r>
            <w:r w:rsidR="00B93EC4">
              <w:rPr>
                <w:noProof/>
                <w:webHidden/>
              </w:rPr>
              <w:fldChar w:fldCharType="separate"/>
            </w:r>
            <w:r w:rsidR="00993DB8">
              <w:rPr>
                <w:noProof/>
                <w:webHidden/>
              </w:rPr>
              <w:t>55</w:t>
            </w:r>
            <w:r w:rsidR="00B93EC4">
              <w:rPr>
                <w:noProof/>
                <w:webHidden/>
              </w:rPr>
              <w:fldChar w:fldCharType="end"/>
            </w:r>
          </w:hyperlink>
        </w:p>
        <w:p w:rsidR="00B93EC4" w:rsidRDefault="00450848">
          <w:pPr>
            <w:pStyle w:val="TOC2"/>
            <w:tabs>
              <w:tab w:val="right" w:leader="dot" w:pos="9062"/>
            </w:tabs>
            <w:rPr>
              <w:noProof/>
              <w:lang w:val="en-GB" w:eastAsia="en-GB"/>
            </w:rPr>
          </w:pPr>
          <w:hyperlink w:anchor="_Toc473123111" w:history="1">
            <w:r w:rsidR="00B93EC4" w:rsidRPr="002E5FE7">
              <w:rPr>
                <w:rStyle w:val="Hyperlink"/>
                <w:rFonts w:ascii="Times New Roman Bold" w:hAnsi="Times New Roman Bold"/>
                <w:caps/>
                <w:noProof/>
              </w:rPr>
              <w:t>Annex 4 - Analytical models used in preparing the Impact Assessment</w:t>
            </w:r>
            <w:r w:rsidR="00B93EC4">
              <w:rPr>
                <w:noProof/>
                <w:webHidden/>
              </w:rPr>
              <w:tab/>
            </w:r>
            <w:r w:rsidR="00B93EC4">
              <w:rPr>
                <w:noProof/>
                <w:webHidden/>
              </w:rPr>
              <w:fldChar w:fldCharType="begin"/>
            </w:r>
            <w:r w:rsidR="00B93EC4">
              <w:rPr>
                <w:noProof/>
                <w:webHidden/>
              </w:rPr>
              <w:instrText xml:space="preserve"> PAGEREF _Toc473123111 \h </w:instrText>
            </w:r>
            <w:r w:rsidR="00B93EC4">
              <w:rPr>
                <w:noProof/>
                <w:webHidden/>
              </w:rPr>
            </w:r>
            <w:r w:rsidR="00B93EC4">
              <w:rPr>
                <w:noProof/>
                <w:webHidden/>
              </w:rPr>
              <w:fldChar w:fldCharType="separate"/>
            </w:r>
            <w:r w:rsidR="00993DB8">
              <w:rPr>
                <w:noProof/>
                <w:webHidden/>
              </w:rPr>
              <w:t>57</w:t>
            </w:r>
            <w:r w:rsidR="00B93EC4">
              <w:rPr>
                <w:noProof/>
                <w:webHidden/>
              </w:rPr>
              <w:fldChar w:fldCharType="end"/>
            </w:r>
          </w:hyperlink>
        </w:p>
        <w:p w:rsidR="00B93EC4" w:rsidRDefault="00450848">
          <w:pPr>
            <w:pStyle w:val="TOC2"/>
            <w:tabs>
              <w:tab w:val="right" w:leader="dot" w:pos="9062"/>
            </w:tabs>
            <w:rPr>
              <w:noProof/>
              <w:lang w:val="en-GB" w:eastAsia="en-GB"/>
            </w:rPr>
          </w:pPr>
          <w:hyperlink w:anchor="_Toc473123112" w:history="1">
            <w:r w:rsidR="00B93EC4" w:rsidRPr="002E5FE7">
              <w:rPr>
                <w:rStyle w:val="Hyperlink"/>
                <w:rFonts w:ascii="Times New Roman Bold" w:hAnsi="Times New Roman Bold"/>
                <w:caps/>
                <w:noProof/>
              </w:rPr>
              <w:t>Annex 5 - External study Final Report</w:t>
            </w:r>
            <w:r w:rsidR="00B93EC4">
              <w:rPr>
                <w:noProof/>
                <w:webHidden/>
              </w:rPr>
              <w:tab/>
            </w:r>
            <w:r w:rsidR="00B93EC4">
              <w:rPr>
                <w:noProof/>
                <w:webHidden/>
              </w:rPr>
              <w:fldChar w:fldCharType="begin"/>
            </w:r>
            <w:r w:rsidR="00B93EC4">
              <w:rPr>
                <w:noProof/>
                <w:webHidden/>
              </w:rPr>
              <w:instrText xml:space="preserve"> PAGEREF _Toc473123112 \h </w:instrText>
            </w:r>
            <w:r w:rsidR="00B93EC4">
              <w:rPr>
                <w:noProof/>
                <w:webHidden/>
              </w:rPr>
            </w:r>
            <w:r w:rsidR="00B93EC4">
              <w:rPr>
                <w:noProof/>
                <w:webHidden/>
              </w:rPr>
              <w:fldChar w:fldCharType="separate"/>
            </w:r>
            <w:r w:rsidR="00993DB8">
              <w:rPr>
                <w:noProof/>
                <w:webHidden/>
              </w:rPr>
              <w:t>67</w:t>
            </w:r>
            <w:r w:rsidR="00B93EC4">
              <w:rPr>
                <w:noProof/>
                <w:webHidden/>
              </w:rPr>
              <w:fldChar w:fldCharType="end"/>
            </w:r>
          </w:hyperlink>
        </w:p>
        <w:p w:rsidR="00302A40" w:rsidRDefault="00302A40">
          <w:r>
            <w:rPr>
              <w:b/>
              <w:bCs/>
              <w:noProof/>
            </w:rPr>
            <w:fldChar w:fldCharType="end"/>
          </w:r>
        </w:p>
      </w:sdtContent>
    </w:sdt>
    <w:p w:rsidR="00302A40" w:rsidRDefault="00302A40">
      <w:pPr>
        <w:rPr>
          <w:rFonts w:ascii="Times New Roman" w:eastAsiaTheme="majorEastAsia" w:hAnsi="Times New Roman" w:cs="Times New Roman"/>
          <w:b/>
          <w:sz w:val="24"/>
          <w:szCs w:val="24"/>
        </w:rPr>
      </w:pPr>
      <w:bookmarkStart w:id="2" w:name="_Toc442284037"/>
      <w:r>
        <w:br w:type="page"/>
      </w:r>
    </w:p>
    <w:p w:rsidR="00725586" w:rsidRPr="000356B4" w:rsidRDefault="00A94DE5" w:rsidP="000356B4">
      <w:pPr>
        <w:pStyle w:val="Heading1"/>
      </w:pPr>
      <w:bookmarkStart w:id="3" w:name="_Toc473123063"/>
      <w:r w:rsidRPr="000356B4">
        <w:lastRenderedPageBreak/>
        <w:t>INTRODUCTION</w:t>
      </w:r>
      <w:bookmarkEnd w:id="2"/>
      <w:bookmarkEnd w:id="3"/>
    </w:p>
    <w:p w:rsidR="00725586" w:rsidRDefault="00725586" w:rsidP="00725586">
      <w:pPr>
        <w:spacing w:after="0" w:line="240" w:lineRule="auto"/>
        <w:rPr>
          <w:rFonts w:ascii="Times New Roman" w:hAnsi="Times New Roman" w:cs="Times New Roman"/>
          <w:sz w:val="24"/>
          <w:szCs w:val="24"/>
        </w:rPr>
      </w:pPr>
    </w:p>
    <w:p w:rsidR="006B10C7" w:rsidRPr="00A94DE5" w:rsidRDefault="006B10C7" w:rsidP="0017343A">
      <w:pPr>
        <w:spacing w:after="0" w:line="240" w:lineRule="auto"/>
        <w:jc w:val="both"/>
        <w:rPr>
          <w:rFonts w:ascii="Times New Roman" w:hAnsi="Times New Roman" w:cs="Times New Roman"/>
          <w:sz w:val="24"/>
          <w:szCs w:val="24"/>
        </w:rPr>
      </w:pPr>
      <w:r w:rsidRPr="00A94DE5">
        <w:rPr>
          <w:rFonts w:ascii="Times New Roman" w:hAnsi="Times New Roman" w:cs="Times New Roman"/>
          <w:sz w:val="24"/>
          <w:szCs w:val="24"/>
        </w:rPr>
        <w:t>Chile</w:t>
      </w:r>
      <w:r w:rsidR="00C37C0E">
        <w:rPr>
          <w:rFonts w:ascii="Times New Roman" w:hAnsi="Times New Roman" w:cs="Times New Roman"/>
          <w:sz w:val="24"/>
          <w:szCs w:val="24"/>
        </w:rPr>
        <w:t>,</w:t>
      </w:r>
      <w:r w:rsidRPr="00A94DE5">
        <w:rPr>
          <w:rFonts w:ascii="Times New Roman" w:hAnsi="Times New Roman" w:cs="Times New Roman"/>
          <w:sz w:val="24"/>
          <w:szCs w:val="24"/>
        </w:rPr>
        <w:t xml:space="preserve"> </w:t>
      </w:r>
      <w:r w:rsidR="00BB0672" w:rsidRPr="00A94DE5">
        <w:rPr>
          <w:rFonts w:ascii="Times New Roman" w:hAnsi="Times New Roman" w:cs="Times New Roman"/>
          <w:sz w:val="24"/>
          <w:szCs w:val="24"/>
        </w:rPr>
        <w:t xml:space="preserve">with </w:t>
      </w:r>
      <w:r w:rsidR="00C37C0E">
        <w:rPr>
          <w:rFonts w:ascii="Times New Roman" w:hAnsi="Times New Roman" w:cs="Times New Roman"/>
          <w:sz w:val="24"/>
          <w:szCs w:val="24"/>
        </w:rPr>
        <w:t xml:space="preserve">its strong </w:t>
      </w:r>
      <w:r w:rsidR="00BB0672" w:rsidRPr="00A94DE5">
        <w:rPr>
          <w:rFonts w:ascii="Times New Roman" w:hAnsi="Times New Roman" w:cs="Times New Roman"/>
          <w:sz w:val="24"/>
          <w:szCs w:val="24"/>
        </w:rPr>
        <w:t xml:space="preserve">democratic </w:t>
      </w:r>
      <w:r w:rsidR="00C37C0E">
        <w:rPr>
          <w:rFonts w:ascii="Times New Roman" w:hAnsi="Times New Roman" w:cs="Times New Roman"/>
          <w:sz w:val="24"/>
          <w:szCs w:val="24"/>
        </w:rPr>
        <w:t>institutions,</w:t>
      </w:r>
      <w:r w:rsidR="00BB0672" w:rsidRPr="00A94DE5">
        <w:rPr>
          <w:rFonts w:ascii="Times New Roman" w:hAnsi="Times New Roman" w:cs="Times New Roman"/>
          <w:sz w:val="24"/>
          <w:szCs w:val="24"/>
        </w:rPr>
        <w:t xml:space="preserve"> sound economic policies</w:t>
      </w:r>
      <w:r w:rsidR="00F44F4B">
        <w:rPr>
          <w:rFonts w:ascii="Times New Roman" w:hAnsi="Times New Roman" w:cs="Times New Roman"/>
          <w:sz w:val="24"/>
          <w:szCs w:val="24"/>
        </w:rPr>
        <w:t xml:space="preserve"> and support </w:t>
      </w:r>
      <w:r w:rsidR="00C37C0E">
        <w:rPr>
          <w:rFonts w:ascii="Times New Roman" w:hAnsi="Times New Roman" w:cs="Times New Roman"/>
          <w:sz w:val="24"/>
          <w:szCs w:val="24"/>
        </w:rPr>
        <w:t>f</w:t>
      </w:r>
      <w:r w:rsidR="00F44F4B">
        <w:rPr>
          <w:rFonts w:ascii="Times New Roman" w:hAnsi="Times New Roman" w:cs="Times New Roman"/>
          <w:sz w:val="24"/>
          <w:szCs w:val="24"/>
        </w:rPr>
        <w:t>or</w:t>
      </w:r>
      <w:r w:rsidR="00C37C0E">
        <w:rPr>
          <w:rFonts w:ascii="Times New Roman" w:hAnsi="Times New Roman" w:cs="Times New Roman"/>
          <w:sz w:val="24"/>
          <w:szCs w:val="24"/>
        </w:rPr>
        <w:t xml:space="preserve"> multilateralism</w:t>
      </w:r>
      <w:r w:rsidR="00BB0672" w:rsidRPr="00A94DE5">
        <w:rPr>
          <w:rFonts w:ascii="Times New Roman" w:hAnsi="Times New Roman" w:cs="Times New Roman"/>
          <w:sz w:val="24"/>
          <w:szCs w:val="24"/>
        </w:rPr>
        <w:t xml:space="preserve"> is </w:t>
      </w:r>
      <w:r w:rsidRPr="00A94DE5">
        <w:rPr>
          <w:rFonts w:ascii="Times New Roman" w:hAnsi="Times New Roman" w:cs="Times New Roman"/>
          <w:sz w:val="24"/>
          <w:szCs w:val="24"/>
        </w:rPr>
        <w:t>a</w:t>
      </w:r>
      <w:r w:rsidR="00B840A1" w:rsidRPr="00A94DE5">
        <w:rPr>
          <w:rFonts w:ascii="Times New Roman" w:hAnsi="Times New Roman" w:cs="Times New Roman"/>
          <w:sz w:val="24"/>
          <w:szCs w:val="24"/>
        </w:rPr>
        <w:t xml:space="preserve"> close and</w:t>
      </w:r>
      <w:r w:rsidRPr="00A94DE5">
        <w:rPr>
          <w:rFonts w:ascii="Times New Roman" w:hAnsi="Times New Roman" w:cs="Times New Roman"/>
          <w:sz w:val="24"/>
          <w:szCs w:val="24"/>
        </w:rPr>
        <w:t xml:space="preserve"> like-minded partner for the </w:t>
      </w:r>
      <w:r w:rsidR="00B840A1" w:rsidRPr="00A94DE5">
        <w:rPr>
          <w:rFonts w:ascii="Times New Roman" w:hAnsi="Times New Roman" w:cs="Times New Roman"/>
          <w:sz w:val="24"/>
          <w:szCs w:val="24"/>
        </w:rPr>
        <w:t>EU,</w:t>
      </w:r>
      <w:r w:rsidRPr="00A94DE5">
        <w:rPr>
          <w:rFonts w:ascii="Times New Roman" w:hAnsi="Times New Roman" w:cs="Times New Roman"/>
          <w:sz w:val="24"/>
          <w:szCs w:val="24"/>
        </w:rPr>
        <w:t xml:space="preserve"> and a key ally in Latin America. </w:t>
      </w:r>
      <w:r w:rsidR="006E6BC4">
        <w:rPr>
          <w:rFonts w:ascii="Times New Roman" w:hAnsi="Times New Roman" w:cs="Times New Roman"/>
          <w:sz w:val="24"/>
          <w:szCs w:val="24"/>
        </w:rPr>
        <w:t>O</w:t>
      </w:r>
      <w:r w:rsidR="004327EB" w:rsidRPr="00A94DE5">
        <w:rPr>
          <w:rFonts w:ascii="Times New Roman" w:hAnsi="Times New Roman" w:cs="Times New Roman"/>
          <w:sz w:val="24"/>
          <w:szCs w:val="24"/>
        </w:rPr>
        <w:t xml:space="preserve">n </w:t>
      </w:r>
      <w:r w:rsidR="004327EB">
        <w:rPr>
          <w:rFonts w:ascii="Times New Roman" w:hAnsi="Times New Roman" w:cs="Times New Roman"/>
          <w:sz w:val="24"/>
          <w:szCs w:val="24"/>
        </w:rPr>
        <w:t xml:space="preserve">global </w:t>
      </w:r>
      <w:r w:rsidR="004327EB" w:rsidRPr="00A94DE5">
        <w:rPr>
          <w:rFonts w:ascii="Times New Roman" w:hAnsi="Times New Roman" w:cs="Times New Roman"/>
          <w:sz w:val="24"/>
          <w:szCs w:val="24"/>
        </w:rPr>
        <w:t>economic and trade issues</w:t>
      </w:r>
      <w:r w:rsidR="004327EB">
        <w:rPr>
          <w:rFonts w:ascii="Times New Roman" w:hAnsi="Times New Roman" w:cs="Times New Roman"/>
          <w:sz w:val="24"/>
          <w:szCs w:val="24"/>
        </w:rPr>
        <w:t xml:space="preserve">, </w:t>
      </w:r>
      <w:r w:rsidR="006E6BC4" w:rsidRPr="00A94DE5">
        <w:rPr>
          <w:rFonts w:ascii="Times New Roman" w:hAnsi="Times New Roman" w:cs="Times New Roman"/>
          <w:sz w:val="24"/>
          <w:szCs w:val="24"/>
        </w:rPr>
        <w:t xml:space="preserve">Chile is an important </w:t>
      </w:r>
      <w:r w:rsidR="006E6BC4">
        <w:rPr>
          <w:rFonts w:ascii="Times New Roman" w:hAnsi="Times New Roman" w:cs="Times New Roman"/>
          <w:sz w:val="24"/>
          <w:szCs w:val="24"/>
        </w:rPr>
        <w:t>partner</w:t>
      </w:r>
      <w:r w:rsidR="006E6BC4" w:rsidRPr="00A94DE5">
        <w:rPr>
          <w:rFonts w:ascii="Times New Roman" w:hAnsi="Times New Roman" w:cs="Times New Roman"/>
          <w:sz w:val="24"/>
          <w:szCs w:val="24"/>
        </w:rPr>
        <w:t xml:space="preserve"> </w:t>
      </w:r>
      <w:r w:rsidR="004327EB">
        <w:rPr>
          <w:rFonts w:ascii="Times New Roman" w:hAnsi="Times New Roman" w:cs="Times New Roman"/>
          <w:sz w:val="24"/>
          <w:szCs w:val="24"/>
        </w:rPr>
        <w:t>e.g. in the W</w:t>
      </w:r>
      <w:r w:rsidR="004A7B8F">
        <w:rPr>
          <w:rFonts w:ascii="Times New Roman" w:hAnsi="Times New Roman" w:cs="Times New Roman"/>
          <w:sz w:val="24"/>
          <w:szCs w:val="24"/>
        </w:rPr>
        <w:t xml:space="preserve">orld </w:t>
      </w:r>
      <w:r w:rsidR="004327EB">
        <w:rPr>
          <w:rFonts w:ascii="Times New Roman" w:hAnsi="Times New Roman" w:cs="Times New Roman"/>
          <w:sz w:val="24"/>
          <w:szCs w:val="24"/>
        </w:rPr>
        <w:t>T</w:t>
      </w:r>
      <w:r w:rsidR="004A7B8F">
        <w:rPr>
          <w:rFonts w:ascii="Times New Roman" w:hAnsi="Times New Roman" w:cs="Times New Roman"/>
          <w:sz w:val="24"/>
          <w:szCs w:val="24"/>
        </w:rPr>
        <w:t xml:space="preserve">rade </w:t>
      </w:r>
      <w:r w:rsidR="004327EB">
        <w:rPr>
          <w:rFonts w:ascii="Times New Roman" w:hAnsi="Times New Roman" w:cs="Times New Roman"/>
          <w:sz w:val="24"/>
          <w:szCs w:val="24"/>
        </w:rPr>
        <w:t>O</w:t>
      </w:r>
      <w:r w:rsidR="004A7B8F">
        <w:rPr>
          <w:rFonts w:ascii="Times New Roman" w:hAnsi="Times New Roman" w:cs="Times New Roman"/>
          <w:sz w:val="24"/>
          <w:szCs w:val="24"/>
        </w:rPr>
        <w:t>rganisation (WTO)</w:t>
      </w:r>
      <w:r w:rsidR="004327EB">
        <w:rPr>
          <w:rFonts w:ascii="Times New Roman" w:hAnsi="Times New Roman" w:cs="Times New Roman"/>
          <w:sz w:val="24"/>
          <w:szCs w:val="24"/>
        </w:rPr>
        <w:t xml:space="preserve"> or in </w:t>
      </w:r>
      <w:r w:rsidR="004327EB" w:rsidRPr="00A94DE5">
        <w:rPr>
          <w:rFonts w:ascii="Times New Roman" w:hAnsi="Times New Roman" w:cs="Times New Roman"/>
          <w:sz w:val="24"/>
          <w:szCs w:val="24"/>
        </w:rPr>
        <w:t>the Organisation for Economic Co-operation and Development (OECD)</w:t>
      </w:r>
      <w:r w:rsidR="004327EB">
        <w:rPr>
          <w:rFonts w:ascii="Times New Roman" w:hAnsi="Times New Roman" w:cs="Times New Roman"/>
          <w:sz w:val="24"/>
          <w:szCs w:val="24"/>
        </w:rPr>
        <w:t xml:space="preserve">. </w:t>
      </w:r>
      <w:r w:rsidR="006E6BC4">
        <w:rPr>
          <w:rFonts w:ascii="Times New Roman" w:hAnsi="Times New Roman" w:cs="Times New Roman"/>
          <w:sz w:val="24"/>
          <w:szCs w:val="24"/>
        </w:rPr>
        <w:t xml:space="preserve">More broadly, </w:t>
      </w:r>
      <w:r w:rsidRPr="00A94DE5">
        <w:rPr>
          <w:rFonts w:ascii="Times New Roman" w:hAnsi="Times New Roman" w:cs="Times New Roman"/>
          <w:sz w:val="24"/>
          <w:szCs w:val="24"/>
        </w:rPr>
        <w:t xml:space="preserve">Chile and the EU share a broad spectrum of </w:t>
      </w:r>
      <w:r w:rsidR="00BB0672" w:rsidRPr="00A94DE5">
        <w:rPr>
          <w:rFonts w:ascii="Times New Roman" w:hAnsi="Times New Roman" w:cs="Times New Roman"/>
          <w:sz w:val="24"/>
          <w:szCs w:val="24"/>
        </w:rPr>
        <w:t>values</w:t>
      </w:r>
      <w:r w:rsidRPr="00A94DE5">
        <w:rPr>
          <w:rFonts w:ascii="Times New Roman" w:hAnsi="Times New Roman" w:cs="Times New Roman"/>
          <w:sz w:val="24"/>
          <w:szCs w:val="24"/>
        </w:rPr>
        <w:t xml:space="preserve">, ranging from democracy, human rights and good governance to </w:t>
      </w:r>
      <w:r w:rsidR="005D1E00" w:rsidRPr="00A94DE5">
        <w:rPr>
          <w:rFonts w:ascii="Times New Roman" w:hAnsi="Times New Roman" w:cs="Times New Roman"/>
          <w:sz w:val="24"/>
          <w:szCs w:val="24"/>
        </w:rPr>
        <w:t xml:space="preserve">sustainable development, </w:t>
      </w:r>
      <w:r w:rsidR="00332E6A">
        <w:rPr>
          <w:rFonts w:ascii="Times New Roman" w:hAnsi="Times New Roman" w:cs="Times New Roman"/>
          <w:sz w:val="24"/>
          <w:szCs w:val="24"/>
        </w:rPr>
        <w:t xml:space="preserve">the fight against </w:t>
      </w:r>
      <w:r w:rsidRPr="00A94DE5">
        <w:rPr>
          <w:rFonts w:ascii="Times New Roman" w:hAnsi="Times New Roman" w:cs="Times New Roman"/>
          <w:sz w:val="24"/>
          <w:szCs w:val="24"/>
        </w:rPr>
        <w:t xml:space="preserve">climate change </w:t>
      </w:r>
      <w:r w:rsidR="005D1E00" w:rsidRPr="00A94DE5">
        <w:rPr>
          <w:rFonts w:ascii="Times New Roman" w:hAnsi="Times New Roman" w:cs="Times New Roman"/>
          <w:sz w:val="24"/>
          <w:szCs w:val="24"/>
        </w:rPr>
        <w:t>or</w:t>
      </w:r>
      <w:r w:rsidR="002714BB" w:rsidRPr="00A94DE5">
        <w:rPr>
          <w:rFonts w:ascii="Times New Roman" w:hAnsi="Times New Roman" w:cs="Times New Roman"/>
          <w:sz w:val="24"/>
          <w:szCs w:val="24"/>
        </w:rPr>
        <w:t xml:space="preserve"> </w:t>
      </w:r>
      <w:r w:rsidRPr="00A94DE5">
        <w:rPr>
          <w:rFonts w:ascii="Times New Roman" w:hAnsi="Times New Roman" w:cs="Times New Roman"/>
          <w:sz w:val="24"/>
          <w:szCs w:val="24"/>
        </w:rPr>
        <w:t xml:space="preserve">the </w:t>
      </w:r>
      <w:r w:rsidR="00332E6A">
        <w:rPr>
          <w:rFonts w:ascii="Times New Roman" w:hAnsi="Times New Roman" w:cs="Times New Roman"/>
          <w:sz w:val="24"/>
          <w:szCs w:val="24"/>
        </w:rPr>
        <w:t xml:space="preserve">essential </w:t>
      </w:r>
      <w:r w:rsidR="002714BB" w:rsidRPr="00A94DE5">
        <w:rPr>
          <w:rFonts w:ascii="Times New Roman" w:hAnsi="Times New Roman" w:cs="Times New Roman"/>
          <w:sz w:val="24"/>
          <w:szCs w:val="24"/>
        </w:rPr>
        <w:t xml:space="preserve">role </w:t>
      </w:r>
      <w:r w:rsidR="00BB0672" w:rsidRPr="00A94DE5">
        <w:rPr>
          <w:rFonts w:ascii="Times New Roman" w:hAnsi="Times New Roman" w:cs="Times New Roman"/>
          <w:sz w:val="24"/>
          <w:szCs w:val="24"/>
        </w:rPr>
        <w:t xml:space="preserve">of the </w:t>
      </w:r>
      <w:r w:rsidRPr="00A94DE5">
        <w:rPr>
          <w:rFonts w:ascii="Times New Roman" w:hAnsi="Times New Roman" w:cs="Times New Roman"/>
          <w:sz w:val="24"/>
          <w:szCs w:val="24"/>
        </w:rPr>
        <w:t>U</w:t>
      </w:r>
      <w:r w:rsidR="004A7B8F">
        <w:rPr>
          <w:rFonts w:ascii="Times New Roman" w:hAnsi="Times New Roman" w:cs="Times New Roman"/>
          <w:sz w:val="24"/>
          <w:szCs w:val="24"/>
        </w:rPr>
        <w:t xml:space="preserve">nited </w:t>
      </w:r>
      <w:r w:rsidRPr="00A94DE5">
        <w:rPr>
          <w:rFonts w:ascii="Times New Roman" w:hAnsi="Times New Roman" w:cs="Times New Roman"/>
          <w:sz w:val="24"/>
          <w:szCs w:val="24"/>
        </w:rPr>
        <w:t>N</w:t>
      </w:r>
      <w:r w:rsidR="004A7B8F">
        <w:rPr>
          <w:rFonts w:ascii="Times New Roman" w:hAnsi="Times New Roman" w:cs="Times New Roman"/>
          <w:sz w:val="24"/>
          <w:szCs w:val="24"/>
        </w:rPr>
        <w:t>ations (UN)</w:t>
      </w:r>
      <w:r w:rsidRPr="00A94DE5">
        <w:rPr>
          <w:rFonts w:ascii="Times New Roman" w:hAnsi="Times New Roman" w:cs="Times New Roman"/>
          <w:sz w:val="24"/>
          <w:szCs w:val="24"/>
        </w:rPr>
        <w:t xml:space="preserve">. </w:t>
      </w:r>
    </w:p>
    <w:p w:rsidR="006B10C7" w:rsidRPr="00A94DE5" w:rsidRDefault="006B10C7" w:rsidP="0017343A">
      <w:pPr>
        <w:spacing w:after="0" w:line="240" w:lineRule="auto"/>
        <w:jc w:val="both"/>
        <w:rPr>
          <w:rFonts w:ascii="Times New Roman" w:hAnsi="Times New Roman" w:cs="Times New Roman"/>
          <w:sz w:val="24"/>
          <w:szCs w:val="24"/>
        </w:rPr>
      </w:pPr>
    </w:p>
    <w:p w:rsidR="002714BB" w:rsidRPr="00A94DE5" w:rsidRDefault="002714BB" w:rsidP="005B63DB">
      <w:pPr>
        <w:spacing w:after="0" w:line="240" w:lineRule="auto"/>
        <w:jc w:val="both"/>
        <w:rPr>
          <w:rFonts w:ascii="Times New Roman" w:hAnsi="Times New Roman" w:cs="Times New Roman"/>
          <w:sz w:val="24"/>
          <w:szCs w:val="24"/>
        </w:rPr>
      </w:pPr>
      <w:r w:rsidRPr="00A94DE5">
        <w:rPr>
          <w:rFonts w:ascii="Times New Roman" w:hAnsi="Times New Roman" w:cs="Times New Roman"/>
          <w:sz w:val="24"/>
          <w:szCs w:val="24"/>
        </w:rPr>
        <w:t xml:space="preserve">Relations between the EU and Chile were </w:t>
      </w:r>
      <w:r w:rsidR="004327EB" w:rsidRPr="00A94DE5">
        <w:rPr>
          <w:rFonts w:ascii="Times New Roman" w:hAnsi="Times New Roman" w:cs="Times New Roman"/>
          <w:sz w:val="24"/>
          <w:szCs w:val="24"/>
        </w:rPr>
        <w:t xml:space="preserve">initially </w:t>
      </w:r>
      <w:r w:rsidRPr="00A94DE5">
        <w:rPr>
          <w:rFonts w:ascii="Times New Roman" w:hAnsi="Times New Roman" w:cs="Times New Roman"/>
          <w:sz w:val="24"/>
          <w:szCs w:val="24"/>
        </w:rPr>
        <w:t xml:space="preserve">built on the 1996 Framework Cooperation Agreement, which was replaced </w:t>
      </w:r>
      <w:r w:rsidR="00B840A1" w:rsidRPr="00A94DE5">
        <w:rPr>
          <w:rFonts w:ascii="Times New Roman" w:hAnsi="Times New Roman" w:cs="Times New Roman"/>
          <w:sz w:val="24"/>
          <w:szCs w:val="24"/>
        </w:rPr>
        <w:t xml:space="preserve">subsequently </w:t>
      </w:r>
      <w:r w:rsidRPr="00A94DE5">
        <w:rPr>
          <w:rFonts w:ascii="Times New Roman" w:hAnsi="Times New Roman" w:cs="Times New Roman"/>
          <w:sz w:val="24"/>
          <w:szCs w:val="24"/>
        </w:rPr>
        <w:t xml:space="preserve">by the EU-Chile Association Agreement, </w:t>
      </w:r>
      <w:r w:rsidR="00B840A1" w:rsidRPr="00A94DE5">
        <w:rPr>
          <w:rFonts w:ascii="Times New Roman" w:hAnsi="Times New Roman" w:cs="Times New Roman"/>
          <w:sz w:val="24"/>
          <w:szCs w:val="24"/>
        </w:rPr>
        <w:t xml:space="preserve">signed in 2002 and </w:t>
      </w:r>
      <w:r w:rsidRPr="00A94DE5">
        <w:rPr>
          <w:rFonts w:ascii="Times New Roman" w:hAnsi="Times New Roman" w:cs="Times New Roman"/>
          <w:sz w:val="24"/>
          <w:szCs w:val="24"/>
        </w:rPr>
        <w:t xml:space="preserve">fully in force since 2005. </w:t>
      </w:r>
      <w:r w:rsidR="00B840A1" w:rsidRPr="00A94DE5">
        <w:rPr>
          <w:rFonts w:ascii="Times New Roman" w:hAnsi="Times New Roman" w:cs="Times New Roman"/>
          <w:sz w:val="24"/>
          <w:szCs w:val="24"/>
        </w:rPr>
        <w:t xml:space="preserve">The Association Agreement provides the </w:t>
      </w:r>
      <w:r w:rsidR="00012626" w:rsidRPr="00A94DE5">
        <w:rPr>
          <w:rFonts w:ascii="Times New Roman" w:hAnsi="Times New Roman" w:cs="Times New Roman"/>
          <w:sz w:val="24"/>
          <w:szCs w:val="24"/>
        </w:rPr>
        <w:t xml:space="preserve">legal </w:t>
      </w:r>
      <w:r w:rsidR="00B840A1" w:rsidRPr="00A94DE5">
        <w:rPr>
          <w:rFonts w:ascii="Times New Roman" w:hAnsi="Times New Roman" w:cs="Times New Roman"/>
          <w:sz w:val="24"/>
          <w:szCs w:val="24"/>
        </w:rPr>
        <w:t xml:space="preserve">framework for </w:t>
      </w:r>
      <w:r w:rsidR="00316FD0">
        <w:rPr>
          <w:rFonts w:ascii="Times New Roman" w:hAnsi="Times New Roman" w:cs="Times New Roman"/>
          <w:sz w:val="24"/>
          <w:szCs w:val="24"/>
        </w:rPr>
        <w:t xml:space="preserve">our strong </w:t>
      </w:r>
      <w:r w:rsidR="00012626" w:rsidRPr="00A94DE5">
        <w:rPr>
          <w:rFonts w:ascii="Times New Roman" w:hAnsi="Times New Roman" w:cs="Times New Roman"/>
          <w:sz w:val="24"/>
          <w:szCs w:val="24"/>
        </w:rPr>
        <w:t xml:space="preserve">bilateral </w:t>
      </w:r>
      <w:r w:rsidR="00B840A1" w:rsidRPr="00A94DE5">
        <w:rPr>
          <w:rFonts w:ascii="Times New Roman" w:hAnsi="Times New Roman" w:cs="Times New Roman"/>
          <w:sz w:val="24"/>
          <w:szCs w:val="24"/>
        </w:rPr>
        <w:t>political, trade and cooperation relations.</w:t>
      </w:r>
    </w:p>
    <w:p w:rsidR="00B840A1" w:rsidRPr="00A94DE5" w:rsidRDefault="00B840A1" w:rsidP="005B63DB">
      <w:pPr>
        <w:spacing w:after="0" w:line="240" w:lineRule="auto"/>
        <w:jc w:val="both"/>
        <w:rPr>
          <w:rFonts w:ascii="Times New Roman" w:hAnsi="Times New Roman" w:cs="Times New Roman"/>
          <w:sz w:val="24"/>
          <w:szCs w:val="24"/>
        </w:rPr>
      </w:pPr>
    </w:p>
    <w:p w:rsidR="00B840A1" w:rsidRPr="00A94DE5" w:rsidRDefault="00B840A1" w:rsidP="005B63DB">
      <w:pPr>
        <w:spacing w:after="0" w:line="240" w:lineRule="auto"/>
        <w:jc w:val="both"/>
        <w:rPr>
          <w:rFonts w:ascii="Times New Roman" w:hAnsi="Times New Roman" w:cs="Times New Roman"/>
          <w:sz w:val="24"/>
          <w:szCs w:val="24"/>
        </w:rPr>
      </w:pPr>
      <w:r w:rsidRPr="00A94DE5">
        <w:rPr>
          <w:rFonts w:ascii="Times New Roman" w:hAnsi="Times New Roman" w:cs="Times New Roman"/>
          <w:sz w:val="24"/>
          <w:szCs w:val="24"/>
        </w:rPr>
        <w:t xml:space="preserve">The trade pillar of the Association Agreement entered provisionally into force </w:t>
      </w:r>
      <w:r w:rsidR="00012626" w:rsidRPr="00A94DE5">
        <w:rPr>
          <w:rFonts w:ascii="Times New Roman" w:hAnsi="Times New Roman" w:cs="Times New Roman"/>
          <w:sz w:val="24"/>
          <w:szCs w:val="24"/>
        </w:rPr>
        <w:t xml:space="preserve">on 1 </w:t>
      </w:r>
      <w:r w:rsidRPr="00A94DE5">
        <w:rPr>
          <w:rFonts w:ascii="Times New Roman" w:hAnsi="Times New Roman" w:cs="Times New Roman"/>
          <w:sz w:val="24"/>
          <w:szCs w:val="24"/>
        </w:rPr>
        <w:t>February 2003</w:t>
      </w:r>
      <w:r w:rsidR="005C1A55" w:rsidRPr="00A94DE5">
        <w:rPr>
          <w:rFonts w:ascii="Times New Roman" w:hAnsi="Times New Roman" w:cs="Times New Roman"/>
          <w:sz w:val="24"/>
          <w:szCs w:val="24"/>
        </w:rPr>
        <w:t xml:space="preserve">. It is a </w:t>
      </w:r>
      <w:r w:rsidRPr="00A94DE5">
        <w:rPr>
          <w:rFonts w:ascii="Times New Roman" w:hAnsi="Times New Roman" w:cs="Times New Roman"/>
          <w:sz w:val="24"/>
          <w:szCs w:val="24"/>
        </w:rPr>
        <w:t xml:space="preserve">comprehensive </w:t>
      </w:r>
      <w:r w:rsidR="00160767">
        <w:rPr>
          <w:rFonts w:ascii="Times New Roman" w:hAnsi="Times New Roman" w:cs="Times New Roman"/>
          <w:sz w:val="24"/>
          <w:szCs w:val="24"/>
        </w:rPr>
        <w:t>f</w:t>
      </w:r>
      <w:r w:rsidRPr="00A94DE5">
        <w:rPr>
          <w:rFonts w:ascii="Times New Roman" w:hAnsi="Times New Roman" w:cs="Times New Roman"/>
          <w:sz w:val="24"/>
          <w:szCs w:val="24"/>
        </w:rPr>
        <w:t xml:space="preserve">ree </w:t>
      </w:r>
      <w:r w:rsidR="00160767">
        <w:rPr>
          <w:rFonts w:ascii="Times New Roman" w:hAnsi="Times New Roman" w:cs="Times New Roman"/>
          <w:sz w:val="24"/>
          <w:szCs w:val="24"/>
        </w:rPr>
        <w:t>t</w:t>
      </w:r>
      <w:r w:rsidRPr="00A94DE5">
        <w:rPr>
          <w:rFonts w:ascii="Times New Roman" w:hAnsi="Times New Roman" w:cs="Times New Roman"/>
          <w:sz w:val="24"/>
          <w:szCs w:val="24"/>
        </w:rPr>
        <w:t xml:space="preserve">rade </w:t>
      </w:r>
      <w:r w:rsidR="00160767">
        <w:rPr>
          <w:rFonts w:ascii="Times New Roman" w:hAnsi="Times New Roman" w:cs="Times New Roman"/>
          <w:sz w:val="24"/>
          <w:szCs w:val="24"/>
        </w:rPr>
        <w:t>a</w:t>
      </w:r>
      <w:r w:rsidRPr="00A94DE5">
        <w:rPr>
          <w:rFonts w:ascii="Times New Roman" w:hAnsi="Times New Roman" w:cs="Times New Roman"/>
          <w:sz w:val="24"/>
          <w:szCs w:val="24"/>
        </w:rPr>
        <w:t>greement (FTA)</w:t>
      </w:r>
      <w:r w:rsidR="00012626" w:rsidRPr="00A94DE5">
        <w:rPr>
          <w:rFonts w:ascii="Times New Roman" w:hAnsi="Times New Roman" w:cs="Times New Roman"/>
          <w:sz w:val="24"/>
          <w:szCs w:val="24"/>
        </w:rPr>
        <w:t xml:space="preserve">, which at the time was the most ambitious FTA concluded by the EU. </w:t>
      </w:r>
    </w:p>
    <w:p w:rsidR="00306B65" w:rsidRDefault="00306B65" w:rsidP="00306B65">
      <w:pPr>
        <w:spacing w:after="0" w:line="240" w:lineRule="auto"/>
        <w:jc w:val="both"/>
        <w:rPr>
          <w:rFonts w:ascii="Times New Roman" w:hAnsi="Times New Roman" w:cs="Times New Roman"/>
          <w:color w:val="1F497D" w:themeColor="text2"/>
          <w:sz w:val="24"/>
          <w:szCs w:val="24"/>
        </w:rPr>
      </w:pPr>
    </w:p>
    <w:p w:rsidR="00306B65" w:rsidRDefault="00306B65" w:rsidP="00D37B0E">
      <w:pPr>
        <w:spacing w:after="0" w:line="240" w:lineRule="auto"/>
        <w:jc w:val="both"/>
        <w:rPr>
          <w:rFonts w:ascii="Times New Roman" w:hAnsi="Times New Roman" w:cs="Times New Roman"/>
          <w:sz w:val="24"/>
          <w:szCs w:val="24"/>
        </w:rPr>
      </w:pPr>
      <w:r w:rsidRPr="00306B65">
        <w:rPr>
          <w:rFonts w:ascii="Times New Roman" w:hAnsi="Times New Roman" w:cs="Times New Roman"/>
          <w:sz w:val="24"/>
          <w:szCs w:val="24"/>
        </w:rPr>
        <w:t xml:space="preserve">The </w:t>
      </w:r>
      <w:r w:rsidR="00160767">
        <w:rPr>
          <w:rFonts w:ascii="Times New Roman" w:hAnsi="Times New Roman" w:cs="Times New Roman"/>
          <w:sz w:val="24"/>
          <w:szCs w:val="24"/>
        </w:rPr>
        <w:t xml:space="preserve">process for the </w:t>
      </w:r>
      <w:r w:rsidRPr="00306B65">
        <w:rPr>
          <w:rFonts w:ascii="Times New Roman" w:hAnsi="Times New Roman" w:cs="Times New Roman"/>
          <w:sz w:val="24"/>
          <w:szCs w:val="24"/>
        </w:rPr>
        <w:t xml:space="preserve">implementation of the EU-Chile FTA, notably though the work of the various Special Committees, the Association Committee and the Association Council established under the Agreement, </w:t>
      </w:r>
      <w:r w:rsidR="00316FD0">
        <w:rPr>
          <w:rFonts w:ascii="Times New Roman" w:hAnsi="Times New Roman" w:cs="Times New Roman"/>
          <w:sz w:val="24"/>
          <w:szCs w:val="24"/>
        </w:rPr>
        <w:t>has</w:t>
      </w:r>
      <w:r w:rsidR="00160767">
        <w:rPr>
          <w:rFonts w:ascii="Times New Roman" w:hAnsi="Times New Roman" w:cs="Times New Roman"/>
          <w:sz w:val="24"/>
          <w:szCs w:val="24"/>
        </w:rPr>
        <w:t xml:space="preserve"> worked very well</w:t>
      </w:r>
      <w:r w:rsidRPr="00306B65">
        <w:rPr>
          <w:rFonts w:ascii="Times New Roman" w:hAnsi="Times New Roman" w:cs="Times New Roman"/>
          <w:sz w:val="24"/>
          <w:szCs w:val="24"/>
        </w:rPr>
        <w:t xml:space="preserve">. </w:t>
      </w:r>
    </w:p>
    <w:p w:rsidR="00306B65" w:rsidRDefault="00306B65" w:rsidP="00D37B0E">
      <w:pPr>
        <w:spacing w:after="0" w:line="240" w:lineRule="auto"/>
        <w:jc w:val="both"/>
        <w:rPr>
          <w:rFonts w:ascii="Times New Roman" w:hAnsi="Times New Roman" w:cs="Times New Roman"/>
          <w:sz w:val="24"/>
          <w:szCs w:val="24"/>
        </w:rPr>
      </w:pPr>
    </w:p>
    <w:p w:rsidR="005F15EE" w:rsidRPr="00306B65" w:rsidRDefault="002838FD" w:rsidP="00D37B0E">
      <w:pPr>
        <w:spacing w:after="0" w:line="240" w:lineRule="auto"/>
        <w:jc w:val="both"/>
        <w:rPr>
          <w:rFonts w:ascii="Times New Roman" w:hAnsi="Times New Roman" w:cs="Times New Roman"/>
          <w:color w:val="1F497D" w:themeColor="text2"/>
          <w:sz w:val="24"/>
          <w:szCs w:val="24"/>
        </w:rPr>
      </w:pPr>
      <w:r w:rsidRPr="00306B65">
        <w:rPr>
          <w:rFonts w:ascii="Times New Roman" w:hAnsi="Times New Roman" w:cs="Times New Roman"/>
          <w:bCs/>
          <w:sz w:val="24"/>
          <w:szCs w:val="24"/>
        </w:rPr>
        <w:t xml:space="preserve">However, since the </w:t>
      </w:r>
      <w:r w:rsidR="002D4F43" w:rsidRPr="00306B65">
        <w:rPr>
          <w:rFonts w:ascii="Times New Roman" w:hAnsi="Times New Roman" w:cs="Times New Roman"/>
          <w:bCs/>
          <w:sz w:val="24"/>
          <w:szCs w:val="24"/>
        </w:rPr>
        <w:t>EU-</w:t>
      </w:r>
      <w:r w:rsidR="00F02747" w:rsidRPr="00306B65">
        <w:rPr>
          <w:rFonts w:ascii="Times New Roman" w:hAnsi="Times New Roman" w:cs="Times New Roman"/>
          <w:bCs/>
          <w:sz w:val="24"/>
          <w:szCs w:val="24"/>
        </w:rPr>
        <w:t xml:space="preserve">Chile </w:t>
      </w:r>
      <w:r w:rsidR="002D4F43" w:rsidRPr="00306B65">
        <w:rPr>
          <w:rFonts w:ascii="Times New Roman" w:hAnsi="Times New Roman" w:cs="Times New Roman"/>
          <w:bCs/>
          <w:sz w:val="24"/>
          <w:szCs w:val="24"/>
        </w:rPr>
        <w:t xml:space="preserve">FTA </w:t>
      </w:r>
      <w:r w:rsidRPr="00306B65">
        <w:rPr>
          <w:rFonts w:ascii="Times New Roman" w:hAnsi="Times New Roman" w:cs="Times New Roman"/>
          <w:bCs/>
          <w:sz w:val="24"/>
          <w:szCs w:val="24"/>
        </w:rPr>
        <w:t>entered into force there have been substantial</w:t>
      </w:r>
      <w:r w:rsidR="00F50F01" w:rsidRPr="00306B65">
        <w:rPr>
          <w:rFonts w:ascii="Times New Roman" w:hAnsi="Times New Roman" w:cs="Times New Roman"/>
          <w:bCs/>
          <w:sz w:val="24"/>
          <w:szCs w:val="24"/>
        </w:rPr>
        <w:t xml:space="preserve"> economic changes </w:t>
      </w:r>
      <w:r w:rsidR="00F50F01" w:rsidRPr="00A94DE5">
        <w:rPr>
          <w:rFonts w:ascii="Times New Roman" w:hAnsi="Times New Roman" w:cs="Times New Roman"/>
          <w:bCs/>
          <w:sz w:val="24"/>
          <w:szCs w:val="24"/>
        </w:rPr>
        <w:t xml:space="preserve">in the EU and in </w:t>
      </w:r>
      <w:r w:rsidR="00F02747" w:rsidRPr="00A94DE5">
        <w:rPr>
          <w:rFonts w:ascii="Times New Roman" w:hAnsi="Times New Roman" w:cs="Times New Roman"/>
          <w:bCs/>
          <w:sz w:val="24"/>
          <w:szCs w:val="24"/>
        </w:rPr>
        <w:t>Chile</w:t>
      </w:r>
      <w:r w:rsidR="00F50F01" w:rsidRPr="00A94DE5">
        <w:rPr>
          <w:rFonts w:ascii="Times New Roman" w:hAnsi="Times New Roman" w:cs="Times New Roman"/>
          <w:bCs/>
          <w:sz w:val="24"/>
          <w:szCs w:val="24"/>
        </w:rPr>
        <w:t xml:space="preserve">. There have also been significant </w:t>
      </w:r>
      <w:r w:rsidRPr="00A94DE5">
        <w:rPr>
          <w:rFonts w:ascii="Times New Roman" w:hAnsi="Times New Roman" w:cs="Times New Roman"/>
          <w:bCs/>
          <w:sz w:val="24"/>
          <w:szCs w:val="24"/>
        </w:rPr>
        <w:t>trade policy developments</w:t>
      </w:r>
      <w:r w:rsidR="00F50F01" w:rsidRPr="00A94DE5">
        <w:rPr>
          <w:rFonts w:ascii="Times New Roman" w:hAnsi="Times New Roman" w:cs="Times New Roman"/>
          <w:bCs/>
          <w:sz w:val="24"/>
          <w:szCs w:val="24"/>
        </w:rPr>
        <w:t xml:space="preserve"> in the world</w:t>
      </w:r>
      <w:r w:rsidR="0075592A" w:rsidRPr="00A94DE5">
        <w:rPr>
          <w:rFonts w:ascii="Times New Roman" w:hAnsi="Times New Roman" w:cs="Times New Roman"/>
          <w:bCs/>
          <w:sz w:val="24"/>
          <w:szCs w:val="24"/>
        </w:rPr>
        <w:t>,</w:t>
      </w:r>
      <w:r w:rsidRPr="00A94DE5">
        <w:rPr>
          <w:rFonts w:ascii="Times New Roman" w:hAnsi="Times New Roman" w:cs="Times New Roman"/>
          <w:bCs/>
          <w:sz w:val="24"/>
          <w:szCs w:val="24"/>
        </w:rPr>
        <w:t xml:space="preserve"> and both </w:t>
      </w:r>
      <w:r w:rsidR="0075592A" w:rsidRPr="00A94DE5">
        <w:rPr>
          <w:rFonts w:ascii="Times New Roman" w:hAnsi="Times New Roman" w:cs="Times New Roman"/>
          <w:bCs/>
          <w:sz w:val="24"/>
          <w:szCs w:val="24"/>
        </w:rPr>
        <w:t>parties</w:t>
      </w:r>
      <w:r w:rsidRPr="00A94DE5">
        <w:rPr>
          <w:rFonts w:ascii="Times New Roman" w:hAnsi="Times New Roman" w:cs="Times New Roman"/>
          <w:bCs/>
          <w:sz w:val="24"/>
          <w:szCs w:val="24"/>
        </w:rPr>
        <w:t xml:space="preserve"> have concluded </w:t>
      </w:r>
      <w:r w:rsidR="005D1E00" w:rsidRPr="00A94DE5">
        <w:rPr>
          <w:rFonts w:ascii="Times New Roman" w:hAnsi="Times New Roman" w:cs="Times New Roman"/>
          <w:bCs/>
          <w:sz w:val="24"/>
          <w:szCs w:val="24"/>
        </w:rPr>
        <w:t xml:space="preserve">highly ambitious and </w:t>
      </w:r>
      <w:r w:rsidRPr="00A94DE5">
        <w:rPr>
          <w:rFonts w:ascii="Times New Roman" w:hAnsi="Times New Roman" w:cs="Times New Roman"/>
          <w:bCs/>
          <w:sz w:val="24"/>
          <w:szCs w:val="24"/>
        </w:rPr>
        <w:t xml:space="preserve">comprehensive </w:t>
      </w:r>
      <w:r w:rsidR="002D4F43" w:rsidRPr="00A94DE5">
        <w:rPr>
          <w:rFonts w:ascii="Times New Roman" w:hAnsi="Times New Roman" w:cs="Times New Roman"/>
          <w:bCs/>
          <w:sz w:val="24"/>
          <w:szCs w:val="24"/>
        </w:rPr>
        <w:t xml:space="preserve">agreements </w:t>
      </w:r>
      <w:r w:rsidRPr="00A94DE5">
        <w:rPr>
          <w:rFonts w:ascii="Times New Roman" w:hAnsi="Times New Roman" w:cs="Times New Roman"/>
          <w:bCs/>
          <w:sz w:val="24"/>
          <w:szCs w:val="24"/>
        </w:rPr>
        <w:t xml:space="preserve">with </w:t>
      </w:r>
      <w:r w:rsidR="0075592A" w:rsidRPr="00A94DE5">
        <w:rPr>
          <w:rFonts w:ascii="Times New Roman" w:hAnsi="Times New Roman" w:cs="Times New Roman"/>
          <w:bCs/>
          <w:sz w:val="24"/>
          <w:szCs w:val="24"/>
        </w:rPr>
        <w:t>third</w:t>
      </w:r>
      <w:r w:rsidRPr="00A94DE5">
        <w:rPr>
          <w:rFonts w:ascii="Times New Roman" w:hAnsi="Times New Roman" w:cs="Times New Roman"/>
          <w:bCs/>
          <w:sz w:val="24"/>
          <w:szCs w:val="24"/>
        </w:rPr>
        <w:t xml:space="preserve"> partners</w:t>
      </w:r>
      <w:r w:rsidR="005F15EE" w:rsidRPr="00A94DE5">
        <w:rPr>
          <w:rFonts w:ascii="Times New Roman" w:hAnsi="Times New Roman" w:cs="Times New Roman"/>
          <w:bCs/>
          <w:sz w:val="24"/>
          <w:szCs w:val="24"/>
        </w:rPr>
        <w:t>,</w:t>
      </w:r>
      <w:r w:rsidRPr="00A94DE5">
        <w:rPr>
          <w:rFonts w:ascii="Times New Roman" w:hAnsi="Times New Roman" w:cs="Times New Roman"/>
          <w:bCs/>
          <w:sz w:val="24"/>
          <w:szCs w:val="24"/>
        </w:rPr>
        <w:t xml:space="preserve"> which go well beyond the provisions of the EU-</w:t>
      </w:r>
      <w:r w:rsidR="00F02747" w:rsidRPr="00A94DE5">
        <w:rPr>
          <w:rFonts w:ascii="Times New Roman" w:hAnsi="Times New Roman" w:cs="Times New Roman"/>
          <w:bCs/>
          <w:sz w:val="24"/>
          <w:szCs w:val="24"/>
        </w:rPr>
        <w:t>Chile</w:t>
      </w:r>
      <w:r w:rsidRPr="00A94DE5">
        <w:rPr>
          <w:rFonts w:ascii="Times New Roman" w:hAnsi="Times New Roman" w:cs="Times New Roman"/>
          <w:bCs/>
          <w:sz w:val="24"/>
          <w:szCs w:val="24"/>
        </w:rPr>
        <w:t xml:space="preserve"> FTA.</w:t>
      </w:r>
      <w:r w:rsidR="00E01F28" w:rsidRPr="00A94DE5">
        <w:rPr>
          <w:rFonts w:ascii="Times New Roman" w:hAnsi="Times New Roman" w:cs="Times New Roman"/>
          <w:bCs/>
          <w:sz w:val="24"/>
          <w:szCs w:val="24"/>
        </w:rPr>
        <w:t xml:space="preserve"> </w:t>
      </w:r>
    </w:p>
    <w:p w:rsidR="005F15EE" w:rsidRPr="00A94DE5" w:rsidRDefault="005F15EE" w:rsidP="00D37B0E">
      <w:pPr>
        <w:spacing w:after="0" w:line="240" w:lineRule="auto"/>
        <w:jc w:val="both"/>
        <w:rPr>
          <w:rFonts w:ascii="Times New Roman" w:hAnsi="Times New Roman" w:cs="Times New Roman"/>
          <w:bCs/>
          <w:sz w:val="24"/>
          <w:szCs w:val="24"/>
        </w:rPr>
      </w:pPr>
    </w:p>
    <w:p w:rsidR="0003508D" w:rsidRPr="00A94DE5" w:rsidRDefault="005C1A55" w:rsidP="00D37B0E">
      <w:pPr>
        <w:spacing w:after="0" w:line="240" w:lineRule="auto"/>
        <w:jc w:val="both"/>
        <w:rPr>
          <w:rFonts w:ascii="Times New Roman" w:hAnsi="Times New Roman" w:cs="Times New Roman"/>
          <w:bCs/>
          <w:sz w:val="24"/>
          <w:szCs w:val="24"/>
        </w:rPr>
      </w:pPr>
      <w:r w:rsidRPr="00A94DE5">
        <w:rPr>
          <w:rFonts w:ascii="Times New Roman" w:hAnsi="Times New Roman" w:cs="Times New Roman"/>
          <w:bCs/>
          <w:sz w:val="24"/>
          <w:szCs w:val="24"/>
        </w:rPr>
        <w:t>Against this backdrop</w:t>
      </w:r>
      <w:r w:rsidR="0097333D" w:rsidRPr="00A94DE5">
        <w:rPr>
          <w:rFonts w:ascii="Times New Roman" w:hAnsi="Times New Roman" w:cs="Times New Roman"/>
          <w:bCs/>
          <w:sz w:val="24"/>
          <w:szCs w:val="24"/>
        </w:rPr>
        <w:t xml:space="preserve">, between 2006 and 2010 the EU and Chile attempted to </w:t>
      </w:r>
      <w:r w:rsidR="0004006F" w:rsidRPr="00A94DE5">
        <w:rPr>
          <w:rFonts w:ascii="Times New Roman" w:hAnsi="Times New Roman" w:cs="Times New Roman"/>
          <w:bCs/>
          <w:sz w:val="24"/>
          <w:szCs w:val="24"/>
        </w:rPr>
        <w:t>advance</w:t>
      </w:r>
      <w:r w:rsidR="00160767">
        <w:rPr>
          <w:rFonts w:ascii="Times New Roman" w:hAnsi="Times New Roman" w:cs="Times New Roman"/>
          <w:bCs/>
          <w:sz w:val="24"/>
          <w:szCs w:val="24"/>
        </w:rPr>
        <w:t xml:space="preserve"> </w:t>
      </w:r>
      <w:r w:rsidR="005E57BE">
        <w:rPr>
          <w:rFonts w:ascii="Times New Roman" w:hAnsi="Times New Roman" w:cs="Times New Roman"/>
          <w:bCs/>
          <w:sz w:val="24"/>
          <w:szCs w:val="24"/>
        </w:rPr>
        <w:t xml:space="preserve">trade </w:t>
      </w:r>
      <w:r w:rsidR="005E57BE" w:rsidRPr="00A94DE5">
        <w:rPr>
          <w:rFonts w:ascii="Times New Roman" w:hAnsi="Times New Roman" w:cs="Times New Roman"/>
          <w:bCs/>
          <w:sz w:val="24"/>
          <w:szCs w:val="24"/>
        </w:rPr>
        <w:t>relations</w:t>
      </w:r>
      <w:r w:rsidR="0097333D" w:rsidRPr="00A94DE5">
        <w:rPr>
          <w:rFonts w:ascii="Times New Roman" w:hAnsi="Times New Roman" w:cs="Times New Roman"/>
          <w:bCs/>
          <w:sz w:val="24"/>
          <w:szCs w:val="24"/>
        </w:rPr>
        <w:t xml:space="preserve"> </w:t>
      </w:r>
      <w:r w:rsidR="0004006F" w:rsidRPr="00A94DE5">
        <w:rPr>
          <w:rFonts w:ascii="Times New Roman" w:hAnsi="Times New Roman" w:cs="Times New Roman"/>
          <w:bCs/>
          <w:sz w:val="24"/>
          <w:szCs w:val="24"/>
        </w:rPr>
        <w:t>through</w:t>
      </w:r>
      <w:r w:rsidR="0097333D" w:rsidRPr="00A94DE5">
        <w:rPr>
          <w:rFonts w:ascii="Times New Roman" w:hAnsi="Times New Roman" w:cs="Times New Roman"/>
          <w:bCs/>
          <w:sz w:val="24"/>
          <w:szCs w:val="24"/>
        </w:rPr>
        <w:t xml:space="preserve"> the revision of the </w:t>
      </w:r>
      <w:r w:rsidR="002838FD" w:rsidRPr="00A94DE5">
        <w:rPr>
          <w:rFonts w:ascii="Times New Roman" w:hAnsi="Times New Roman" w:cs="Times New Roman"/>
          <w:bCs/>
          <w:sz w:val="24"/>
          <w:szCs w:val="24"/>
        </w:rPr>
        <w:t>EU-</w:t>
      </w:r>
      <w:r w:rsidR="0075592A" w:rsidRPr="00A94DE5">
        <w:rPr>
          <w:rFonts w:ascii="Times New Roman" w:hAnsi="Times New Roman" w:cs="Times New Roman"/>
          <w:bCs/>
          <w:sz w:val="24"/>
          <w:szCs w:val="24"/>
        </w:rPr>
        <w:t>Chile</w:t>
      </w:r>
      <w:r w:rsidR="002838FD" w:rsidRPr="00A94DE5">
        <w:rPr>
          <w:rFonts w:ascii="Times New Roman" w:hAnsi="Times New Roman" w:cs="Times New Roman"/>
          <w:bCs/>
          <w:sz w:val="24"/>
          <w:szCs w:val="24"/>
        </w:rPr>
        <w:t xml:space="preserve"> FTA review clauses on </w:t>
      </w:r>
      <w:r w:rsidR="0075592A" w:rsidRPr="00A94DE5">
        <w:rPr>
          <w:rFonts w:ascii="Times New Roman" w:hAnsi="Times New Roman" w:cs="Times New Roman"/>
          <w:bCs/>
          <w:sz w:val="24"/>
          <w:szCs w:val="24"/>
        </w:rPr>
        <w:t>agriculture</w:t>
      </w:r>
      <w:r w:rsidRPr="00A94DE5">
        <w:rPr>
          <w:rFonts w:ascii="Times New Roman" w:hAnsi="Times New Roman" w:cs="Times New Roman"/>
          <w:bCs/>
          <w:sz w:val="24"/>
          <w:szCs w:val="24"/>
        </w:rPr>
        <w:t xml:space="preserve"> and on </w:t>
      </w:r>
      <w:r w:rsidR="002838FD" w:rsidRPr="00A94DE5">
        <w:rPr>
          <w:rFonts w:ascii="Times New Roman" w:hAnsi="Times New Roman" w:cs="Times New Roman"/>
          <w:bCs/>
          <w:sz w:val="24"/>
          <w:szCs w:val="24"/>
        </w:rPr>
        <w:t>services</w:t>
      </w:r>
      <w:r w:rsidR="0097333D" w:rsidRPr="00A94DE5">
        <w:rPr>
          <w:rFonts w:ascii="Times New Roman" w:hAnsi="Times New Roman" w:cs="Times New Roman"/>
          <w:bCs/>
          <w:sz w:val="24"/>
          <w:szCs w:val="24"/>
        </w:rPr>
        <w:t>.</w:t>
      </w:r>
      <w:r w:rsidR="0004006F" w:rsidRPr="00A94DE5">
        <w:rPr>
          <w:rFonts w:ascii="Times New Roman" w:hAnsi="Times New Roman" w:cs="Times New Roman"/>
          <w:bCs/>
          <w:sz w:val="24"/>
          <w:szCs w:val="24"/>
        </w:rPr>
        <w:t xml:space="preserve"> </w:t>
      </w:r>
      <w:r w:rsidR="005D1E00" w:rsidRPr="00A94DE5">
        <w:rPr>
          <w:rFonts w:ascii="Times New Roman" w:hAnsi="Times New Roman" w:cs="Times New Roman"/>
          <w:bCs/>
          <w:sz w:val="24"/>
          <w:szCs w:val="24"/>
        </w:rPr>
        <w:t xml:space="preserve">However, </w:t>
      </w:r>
      <w:r w:rsidR="00160767">
        <w:rPr>
          <w:rFonts w:ascii="Times New Roman" w:hAnsi="Times New Roman" w:cs="Times New Roman"/>
          <w:bCs/>
          <w:sz w:val="24"/>
          <w:szCs w:val="24"/>
        </w:rPr>
        <w:t xml:space="preserve">partly </w:t>
      </w:r>
      <w:r w:rsidR="008D5B3A" w:rsidRPr="00A94DE5">
        <w:rPr>
          <w:rFonts w:ascii="Times New Roman" w:hAnsi="Times New Roman" w:cs="Times New Roman"/>
          <w:bCs/>
          <w:sz w:val="24"/>
          <w:szCs w:val="24"/>
        </w:rPr>
        <w:t>due to th</w:t>
      </w:r>
      <w:r w:rsidR="00160767">
        <w:rPr>
          <w:rFonts w:ascii="Times New Roman" w:hAnsi="Times New Roman" w:cs="Times New Roman"/>
          <w:bCs/>
          <w:sz w:val="24"/>
          <w:szCs w:val="24"/>
        </w:rPr>
        <w:t>is</w:t>
      </w:r>
      <w:r w:rsidR="00F44F4B">
        <w:rPr>
          <w:rFonts w:ascii="Times New Roman" w:hAnsi="Times New Roman" w:cs="Times New Roman"/>
          <w:bCs/>
          <w:sz w:val="24"/>
          <w:szCs w:val="24"/>
        </w:rPr>
        <w:t xml:space="preserve"> narrow sector</w:t>
      </w:r>
      <w:r w:rsidR="008D5B3A" w:rsidRPr="00A94DE5">
        <w:rPr>
          <w:rFonts w:ascii="Times New Roman" w:hAnsi="Times New Roman" w:cs="Times New Roman"/>
          <w:bCs/>
          <w:sz w:val="24"/>
          <w:szCs w:val="24"/>
        </w:rPr>
        <w:t>al approach</w:t>
      </w:r>
      <w:r w:rsidR="00841D82">
        <w:rPr>
          <w:rFonts w:ascii="Times New Roman" w:hAnsi="Times New Roman" w:cs="Times New Roman"/>
          <w:bCs/>
          <w:sz w:val="24"/>
          <w:szCs w:val="24"/>
        </w:rPr>
        <w:t>,</w:t>
      </w:r>
      <w:r w:rsidR="008D5B3A" w:rsidRPr="00A94DE5">
        <w:rPr>
          <w:rFonts w:ascii="Times New Roman" w:hAnsi="Times New Roman" w:cs="Times New Roman"/>
          <w:bCs/>
          <w:sz w:val="24"/>
          <w:szCs w:val="24"/>
        </w:rPr>
        <w:t xml:space="preserve"> </w:t>
      </w:r>
      <w:r w:rsidR="005D1E00" w:rsidRPr="00A94DE5">
        <w:rPr>
          <w:rFonts w:ascii="Times New Roman" w:hAnsi="Times New Roman" w:cs="Times New Roman"/>
          <w:bCs/>
          <w:sz w:val="24"/>
          <w:szCs w:val="24"/>
        </w:rPr>
        <w:t>i</w:t>
      </w:r>
      <w:r w:rsidR="0097333D" w:rsidRPr="00A94DE5">
        <w:rPr>
          <w:rFonts w:ascii="Times New Roman" w:hAnsi="Times New Roman" w:cs="Times New Roman"/>
          <w:bCs/>
          <w:sz w:val="24"/>
          <w:szCs w:val="24"/>
        </w:rPr>
        <w:t xml:space="preserve">t was not possible to find a balanced and mutually satisfactory outcome. </w:t>
      </w:r>
      <w:r w:rsidR="005D73B7" w:rsidRPr="00A94DE5">
        <w:rPr>
          <w:rFonts w:ascii="Times New Roman" w:hAnsi="Times New Roman" w:cs="Times New Roman"/>
          <w:bCs/>
          <w:sz w:val="24"/>
          <w:szCs w:val="24"/>
        </w:rPr>
        <w:t xml:space="preserve"> </w:t>
      </w:r>
    </w:p>
    <w:p w:rsidR="0003508D" w:rsidRPr="00A94DE5" w:rsidRDefault="0003508D" w:rsidP="00D37B0E">
      <w:pPr>
        <w:spacing w:after="0" w:line="240" w:lineRule="auto"/>
        <w:jc w:val="both"/>
        <w:rPr>
          <w:rFonts w:ascii="Times New Roman" w:hAnsi="Times New Roman" w:cs="Times New Roman"/>
          <w:bCs/>
          <w:sz w:val="24"/>
          <w:szCs w:val="24"/>
        </w:rPr>
      </w:pPr>
    </w:p>
    <w:p w:rsidR="007902D2" w:rsidRPr="00A94DE5" w:rsidRDefault="00D453D5" w:rsidP="00D37B0E">
      <w:pPr>
        <w:spacing w:after="0" w:line="240" w:lineRule="auto"/>
        <w:jc w:val="both"/>
        <w:rPr>
          <w:rFonts w:ascii="Times New Roman" w:hAnsi="Times New Roman" w:cs="Times New Roman"/>
          <w:bCs/>
          <w:sz w:val="24"/>
          <w:szCs w:val="24"/>
        </w:rPr>
      </w:pPr>
      <w:r w:rsidRPr="00A94DE5">
        <w:rPr>
          <w:rFonts w:ascii="Times New Roman" w:hAnsi="Times New Roman" w:cs="Times New Roman"/>
          <w:bCs/>
          <w:sz w:val="24"/>
          <w:szCs w:val="24"/>
        </w:rPr>
        <w:t>Hence,</w:t>
      </w:r>
      <w:r w:rsidR="002838FD" w:rsidRPr="00A94DE5">
        <w:rPr>
          <w:rFonts w:ascii="Times New Roman" w:hAnsi="Times New Roman" w:cs="Times New Roman"/>
          <w:bCs/>
          <w:sz w:val="24"/>
          <w:szCs w:val="24"/>
        </w:rPr>
        <w:t xml:space="preserve"> </w:t>
      </w:r>
      <w:r w:rsidR="0097333D" w:rsidRPr="00A94DE5">
        <w:rPr>
          <w:rFonts w:ascii="Times New Roman" w:hAnsi="Times New Roman" w:cs="Times New Roman"/>
          <w:bCs/>
          <w:sz w:val="24"/>
          <w:szCs w:val="24"/>
        </w:rPr>
        <w:t>at</w:t>
      </w:r>
      <w:r w:rsidR="002838FD" w:rsidRPr="00A94DE5">
        <w:rPr>
          <w:rFonts w:ascii="Times New Roman" w:hAnsi="Times New Roman" w:cs="Times New Roman"/>
          <w:bCs/>
          <w:sz w:val="24"/>
          <w:szCs w:val="24"/>
        </w:rPr>
        <w:t xml:space="preserve"> the EU-CELAC Summit in Santiago </w:t>
      </w:r>
      <w:r w:rsidR="005D1E00" w:rsidRPr="00A94DE5">
        <w:rPr>
          <w:rFonts w:ascii="Times New Roman" w:hAnsi="Times New Roman" w:cs="Times New Roman"/>
          <w:bCs/>
          <w:sz w:val="24"/>
          <w:szCs w:val="24"/>
        </w:rPr>
        <w:t xml:space="preserve">in </w:t>
      </w:r>
      <w:r w:rsidR="0097333D" w:rsidRPr="00A94DE5">
        <w:rPr>
          <w:rFonts w:ascii="Times New Roman" w:hAnsi="Times New Roman" w:cs="Times New Roman"/>
          <w:bCs/>
          <w:sz w:val="24"/>
          <w:szCs w:val="24"/>
        </w:rPr>
        <w:t>January 2013 the EU and Chile</w:t>
      </w:r>
      <w:r w:rsidR="002838FD" w:rsidRPr="00A94DE5">
        <w:rPr>
          <w:rFonts w:ascii="Times New Roman" w:hAnsi="Times New Roman" w:cs="Times New Roman"/>
          <w:bCs/>
          <w:sz w:val="24"/>
          <w:szCs w:val="24"/>
        </w:rPr>
        <w:t xml:space="preserve"> agreed to explore the options for a comprehensive update of the </w:t>
      </w:r>
      <w:r w:rsidR="0097333D" w:rsidRPr="00A94DE5">
        <w:rPr>
          <w:rFonts w:ascii="Times New Roman" w:hAnsi="Times New Roman" w:cs="Times New Roman"/>
          <w:bCs/>
          <w:sz w:val="24"/>
          <w:szCs w:val="24"/>
        </w:rPr>
        <w:t xml:space="preserve">EU-Chile </w:t>
      </w:r>
      <w:r w:rsidR="0004006F" w:rsidRPr="00A94DE5">
        <w:rPr>
          <w:rFonts w:ascii="Times New Roman" w:hAnsi="Times New Roman" w:cs="Times New Roman"/>
          <w:bCs/>
          <w:sz w:val="24"/>
          <w:szCs w:val="24"/>
        </w:rPr>
        <w:t>Association Agreement</w:t>
      </w:r>
      <w:r w:rsidR="002838FD" w:rsidRPr="00A94DE5">
        <w:rPr>
          <w:rFonts w:ascii="Times New Roman" w:hAnsi="Times New Roman" w:cs="Times New Roman"/>
          <w:bCs/>
          <w:sz w:val="24"/>
          <w:szCs w:val="24"/>
        </w:rPr>
        <w:t xml:space="preserve">. </w:t>
      </w:r>
      <w:r w:rsidR="00160767">
        <w:rPr>
          <w:rFonts w:ascii="Times New Roman" w:hAnsi="Times New Roman" w:cs="Times New Roman"/>
          <w:bCs/>
          <w:sz w:val="24"/>
          <w:szCs w:val="24"/>
        </w:rPr>
        <w:t>Bilateral contacts took place and a</w:t>
      </w:r>
      <w:r w:rsidR="002838FD" w:rsidRPr="00A94DE5">
        <w:rPr>
          <w:rFonts w:ascii="Times New Roman" w:hAnsi="Times New Roman" w:cs="Times New Roman"/>
          <w:bCs/>
          <w:sz w:val="24"/>
          <w:szCs w:val="24"/>
        </w:rPr>
        <w:t>n EU-</w:t>
      </w:r>
      <w:r w:rsidR="0004006F" w:rsidRPr="00A94DE5">
        <w:rPr>
          <w:rFonts w:ascii="Times New Roman" w:hAnsi="Times New Roman" w:cs="Times New Roman"/>
          <w:bCs/>
          <w:sz w:val="24"/>
          <w:szCs w:val="24"/>
        </w:rPr>
        <w:t>Chile</w:t>
      </w:r>
      <w:r w:rsidR="002838FD" w:rsidRPr="00A94DE5">
        <w:rPr>
          <w:rFonts w:ascii="Times New Roman" w:hAnsi="Times New Roman" w:cs="Times New Roman"/>
          <w:bCs/>
          <w:sz w:val="24"/>
          <w:szCs w:val="24"/>
        </w:rPr>
        <w:t xml:space="preserve"> Working Group was set up </w:t>
      </w:r>
      <w:r w:rsidR="0004006F" w:rsidRPr="00A94DE5">
        <w:rPr>
          <w:rFonts w:ascii="Times New Roman" w:hAnsi="Times New Roman" w:cs="Times New Roman"/>
          <w:bCs/>
          <w:sz w:val="24"/>
          <w:szCs w:val="24"/>
        </w:rPr>
        <w:t>in 2015</w:t>
      </w:r>
      <w:r w:rsidR="00316FD0">
        <w:rPr>
          <w:rFonts w:ascii="Times New Roman" w:hAnsi="Times New Roman" w:cs="Times New Roman"/>
          <w:bCs/>
          <w:sz w:val="24"/>
          <w:szCs w:val="24"/>
        </w:rPr>
        <w:t xml:space="preserve"> to this effect</w:t>
      </w:r>
      <w:r w:rsidR="002838FD" w:rsidRPr="00A94DE5">
        <w:rPr>
          <w:rFonts w:ascii="Times New Roman" w:hAnsi="Times New Roman" w:cs="Times New Roman"/>
          <w:bCs/>
          <w:sz w:val="24"/>
          <w:szCs w:val="24"/>
        </w:rPr>
        <w:t>.</w:t>
      </w:r>
      <w:r w:rsidR="0004006F" w:rsidRPr="00A94DE5">
        <w:rPr>
          <w:rFonts w:ascii="Times New Roman" w:hAnsi="Times New Roman" w:cs="Times New Roman"/>
          <w:bCs/>
          <w:sz w:val="24"/>
          <w:szCs w:val="24"/>
        </w:rPr>
        <w:t xml:space="preserve"> </w:t>
      </w:r>
    </w:p>
    <w:p w:rsidR="007902D2" w:rsidRPr="00A94DE5" w:rsidRDefault="007902D2" w:rsidP="00D37B0E">
      <w:pPr>
        <w:spacing w:after="0" w:line="240" w:lineRule="auto"/>
        <w:jc w:val="both"/>
        <w:rPr>
          <w:rFonts w:ascii="Times New Roman" w:hAnsi="Times New Roman" w:cs="Times New Roman"/>
          <w:bCs/>
          <w:sz w:val="24"/>
          <w:szCs w:val="24"/>
        </w:rPr>
      </w:pPr>
    </w:p>
    <w:p w:rsidR="007902D2" w:rsidRPr="00A94DE5" w:rsidRDefault="0004006F" w:rsidP="007902D2">
      <w:pPr>
        <w:spacing w:after="0" w:line="240" w:lineRule="auto"/>
        <w:jc w:val="both"/>
        <w:rPr>
          <w:rFonts w:ascii="Times New Roman" w:hAnsi="Times New Roman" w:cs="Times New Roman"/>
          <w:bCs/>
          <w:sz w:val="24"/>
          <w:szCs w:val="24"/>
        </w:rPr>
      </w:pPr>
      <w:r w:rsidRPr="00A94DE5">
        <w:rPr>
          <w:rFonts w:ascii="Times New Roman" w:hAnsi="Times New Roman" w:cs="Times New Roman"/>
          <w:bCs/>
          <w:sz w:val="24"/>
          <w:szCs w:val="24"/>
        </w:rPr>
        <w:t xml:space="preserve">After two </w:t>
      </w:r>
      <w:r w:rsidR="008D5B3A">
        <w:rPr>
          <w:rFonts w:ascii="Times New Roman" w:hAnsi="Times New Roman" w:cs="Times New Roman"/>
          <w:bCs/>
          <w:sz w:val="24"/>
          <w:szCs w:val="24"/>
        </w:rPr>
        <w:t xml:space="preserve">EU-Chile </w:t>
      </w:r>
      <w:r w:rsidRPr="00A94DE5">
        <w:rPr>
          <w:rFonts w:ascii="Times New Roman" w:hAnsi="Times New Roman" w:cs="Times New Roman"/>
          <w:bCs/>
          <w:sz w:val="24"/>
          <w:szCs w:val="24"/>
        </w:rPr>
        <w:t>Working Group meetings (October 2015 and January 2016), in early 2016 the EU and Chile agree</w:t>
      </w:r>
      <w:r w:rsidR="00F44F4B">
        <w:rPr>
          <w:rFonts w:ascii="Times New Roman" w:hAnsi="Times New Roman" w:cs="Times New Roman"/>
          <w:bCs/>
          <w:sz w:val="24"/>
          <w:szCs w:val="24"/>
        </w:rPr>
        <w:t>d to move forward with a joint s</w:t>
      </w:r>
      <w:r w:rsidRPr="00A94DE5">
        <w:rPr>
          <w:rFonts w:ascii="Times New Roman" w:hAnsi="Times New Roman" w:cs="Times New Roman"/>
          <w:bCs/>
          <w:sz w:val="24"/>
          <w:szCs w:val="24"/>
        </w:rPr>
        <w:t>coping exercise.</w:t>
      </w:r>
      <w:r w:rsidR="0003508D" w:rsidRPr="00A94DE5">
        <w:rPr>
          <w:rFonts w:ascii="Times New Roman" w:hAnsi="Times New Roman" w:cs="Times New Roman"/>
          <w:bCs/>
          <w:sz w:val="24"/>
          <w:szCs w:val="24"/>
        </w:rPr>
        <w:t xml:space="preserve"> </w:t>
      </w:r>
      <w:r w:rsidR="00316FD0">
        <w:rPr>
          <w:rFonts w:ascii="Times New Roman" w:hAnsi="Times New Roman" w:cs="Times New Roman"/>
          <w:bCs/>
          <w:sz w:val="24"/>
          <w:szCs w:val="24"/>
        </w:rPr>
        <w:t xml:space="preserve">The aim was to </w:t>
      </w:r>
      <w:r w:rsidR="00316FD0" w:rsidRPr="00A94DE5">
        <w:rPr>
          <w:rFonts w:ascii="Times New Roman" w:hAnsi="Times New Roman" w:cs="Times New Roman"/>
          <w:bCs/>
          <w:sz w:val="24"/>
          <w:szCs w:val="24"/>
        </w:rPr>
        <w:t xml:space="preserve">test the degree of convergence on the scope and on the level of ambition of a potential modernised </w:t>
      </w:r>
      <w:r w:rsidR="00316FD0">
        <w:rPr>
          <w:rFonts w:ascii="Times New Roman" w:hAnsi="Times New Roman" w:cs="Times New Roman"/>
          <w:bCs/>
          <w:sz w:val="24"/>
          <w:szCs w:val="24"/>
        </w:rPr>
        <w:t>FTA so as to</w:t>
      </w:r>
      <w:r w:rsidR="00316FD0" w:rsidRPr="00A94DE5">
        <w:rPr>
          <w:rFonts w:ascii="Times New Roman" w:hAnsi="Times New Roman" w:cs="Times New Roman"/>
          <w:bCs/>
          <w:sz w:val="24"/>
          <w:szCs w:val="24"/>
        </w:rPr>
        <w:t xml:space="preserve"> increase the likelihood of a successful outcome</w:t>
      </w:r>
      <w:r w:rsidR="00316FD0">
        <w:rPr>
          <w:rFonts w:ascii="Times New Roman" w:hAnsi="Times New Roman" w:cs="Times New Roman"/>
          <w:bCs/>
          <w:sz w:val="24"/>
          <w:szCs w:val="24"/>
        </w:rPr>
        <w:t xml:space="preserve"> of a modernisation process</w:t>
      </w:r>
      <w:r w:rsidR="00316FD0" w:rsidRPr="00A94DE5">
        <w:rPr>
          <w:rFonts w:ascii="Times New Roman" w:hAnsi="Times New Roman" w:cs="Times New Roman"/>
          <w:bCs/>
          <w:sz w:val="24"/>
          <w:szCs w:val="24"/>
        </w:rPr>
        <w:t xml:space="preserve">. </w:t>
      </w:r>
      <w:r w:rsidR="0003508D" w:rsidRPr="00A94DE5">
        <w:rPr>
          <w:rFonts w:ascii="Times New Roman" w:hAnsi="Times New Roman" w:cs="Times New Roman"/>
          <w:bCs/>
          <w:sz w:val="24"/>
          <w:szCs w:val="24"/>
        </w:rPr>
        <w:t xml:space="preserve">This was </w:t>
      </w:r>
      <w:r w:rsidR="005D1E00" w:rsidRPr="00A94DE5">
        <w:rPr>
          <w:rFonts w:ascii="Times New Roman" w:hAnsi="Times New Roman" w:cs="Times New Roman"/>
          <w:bCs/>
          <w:sz w:val="24"/>
          <w:szCs w:val="24"/>
        </w:rPr>
        <w:t xml:space="preserve">in line with </w:t>
      </w:r>
      <w:r w:rsidR="0003508D" w:rsidRPr="00A94DE5">
        <w:rPr>
          <w:rFonts w:ascii="Times New Roman" w:hAnsi="Times New Roman" w:cs="Times New Roman"/>
          <w:bCs/>
          <w:sz w:val="24"/>
          <w:szCs w:val="24"/>
        </w:rPr>
        <w:t xml:space="preserve">the Communication </w:t>
      </w:r>
      <w:r w:rsidR="0003508D" w:rsidRPr="00A94DE5">
        <w:rPr>
          <w:rFonts w:ascii="Times New Roman" w:hAnsi="Times New Roman" w:cs="Times New Roman"/>
          <w:bCs/>
          <w:i/>
          <w:sz w:val="24"/>
          <w:szCs w:val="24"/>
        </w:rPr>
        <w:t>'Trade for All -</w:t>
      </w:r>
      <w:r w:rsidR="0003508D" w:rsidRPr="00A94DE5">
        <w:rPr>
          <w:rFonts w:ascii="Times New Roman" w:hAnsi="Times New Roman" w:cs="Times New Roman"/>
          <w:i/>
          <w:sz w:val="24"/>
          <w:szCs w:val="24"/>
        </w:rPr>
        <w:t xml:space="preserve"> Towards a More Effective, Transparent and Responsible Trade and Investment Policy',</w:t>
      </w:r>
      <w:r w:rsidR="0003508D" w:rsidRPr="00A94DE5">
        <w:rPr>
          <w:rStyle w:val="FootnoteReference"/>
          <w:rFonts w:ascii="Times New Roman" w:hAnsi="Times New Roman" w:cs="Times New Roman"/>
          <w:sz w:val="24"/>
          <w:szCs w:val="24"/>
        </w:rPr>
        <w:footnoteReference w:id="1"/>
      </w:r>
      <w:r w:rsidR="0003508D" w:rsidRPr="00A94DE5">
        <w:rPr>
          <w:rFonts w:ascii="Times New Roman" w:hAnsi="Times New Roman" w:cs="Times New Roman"/>
          <w:bCs/>
          <w:sz w:val="24"/>
          <w:szCs w:val="24"/>
        </w:rPr>
        <w:t xml:space="preserve"> in which the Commission </w:t>
      </w:r>
      <w:r w:rsidR="00D83EFC" w:rsidRPr="00A94DE5">
        <w:rPr>
          <w:rFonts w:ascii="Times New Roman" w:hAnsi="Times New Roman" w:cs="Times New Roman"/>
          <w:bCs/>
          <w:sz w:val="24"/>
          <w:szCs w:val="24"/>
        </w:rPr>
        <w:t xml:space="preserve">had </w:t>
      </w:r>
      <w:r w:rsidR="00160767">
        <w:rPr>
          <w:rFonts w:ascii="Times New Roman" w:hAnsi="Times New Roman" w:cs="Times New Roman"/>
          <w:bCs/>
          <w:sz w:val="24"/>
          <w:szCs w:val="24"/>
        </w:rPr>
        <w:t xml:space="preserve">announced its intention to pursue the </w:t>
      </w:r>
      <w:r w:rsidR="0003508D" w:rsidRPr="00A94DE5">
        <w:rPr>
          <w:rFonts w:ascii="Times New Roman" w:hAnsi="Times New Roman" w:cs="Times New Roman"/>
          <w:bCs/>
          <w:sz w:val="24"/>
          <w:szCs w:val="24"/>
        </w:rPr>
        <w:t>modernis</w:t>
      </w:r>
      <w:r w:rsidR="00160767">
        <w:rPr>
          <w:rFonts w:ascii="Times New Roman" w:hAnsi="Times New Roman" w:cs="Times New Roman"/>
          <w:bCs/>
          <w:sz w:val="24"/>
          <w:szCs w:val="24"/>
        </w:rPr>
        <w:t>ation of</w:t>
      </w:r>
      <w:r w:rsidR="0003508D" w:rsidRPr="00A94DE5">
        <w:rPr>
          <w:rFonts w:ascii="Times New Roman" w:hAnsi="Times New Roman" w:cs="Times New Roman"/>
          <w:bCs/>
          <w:sz w:val="24"/>
          <w:szCs w:val="24"/>
        </w:rPr>
        <w:t xml:space="preserve"> the </w:t>
      </w:r>
      <w:r w:rsidR="00160767">
        <w:rPr>
          <w:rFonts w:ascii="Times New Roman" w:hAnsi="Times New Roman" w:cs="Times New Roman"/>
          <w:bCs/>
          <w:sz w:val="24"/>
          <w:szCs w:val="24"/>
        </w:rPr>
        <w:t xml:space="preserve">EU-Chile </w:t>
      </w:r>
      <w:r w:rsidR="0003508D" w:rsidRPr="00A94DE5">
        <w:rPr>
          <w:rFonts w:ascii="Times New Roman" w:hAnsi="Times New Roman" w:cs="Times New Roman"/>
          <w:bCs/>
          <w:sz w:val="24"/>
          <w:szCs w:val="24"/>
        </w:rPr>
        <w:t>FTA</w:t>
      </w:r>
      <w:r w:rsidR="005E4BEA">
        <w:rPr>
          <w:rFonts w:ascii="Times New Roman" w:hAnsi="Times New Roman" w:cs="Times New Roman"/>
          <w:bCs/>
          <w:sz w:val="24"/>
          <w:szCs w:val="24"/>
        </w:rPr>
        <w:t xml:space="preserve"> and </w:t>
      </w:r>
      <w:r w:rsidR="003153AA">
        <w:rPr>
          <w:rFonts w:ascii="Times New Roman" w:hAnsi="Times New Roman" w:cs="Times New Roman"/>
          <w:bCs/>
          <w:sz w:val="24"/>
          <w:szCs w:val="24"/>
        </w:rPr>
        <w:t>to</w:t>
      </w:r>
      <w:r w:rsidR="005E4BEA">
        <w:rPr>
          <w:rFonts w:ascii="Times New Roman" w:hAnsi="Times New Roman" w:cs="Times New Roman"/>
          <w:bCs/>
          <w:sz w:val="24"/>
          <w:szCs w:val="24"/>
        </w:rPr>
        <w:t xml:space="preserve"> request negotiation </w:t>
      </w:r>
      <w:r w:rsidR="00841D82">
        <w:rPr>
          <w:rFonts w:ascii="Times New Roman" w:hAnsi="Times New Roman" w:cs="Times New Roman"/>
          <w:bCs/>
          <w:sz w:val="24"/>
          <w:szCs w:val="24"/>
        </w:rPr>
        <w:t xml:space="preserve">authorisation and </w:t>
      </w:r>
      <w:r w:rsidR="005E4BEA">
        <w:rPr>
          <w:rFonts w:ascii="Times New Roman" w:hAnsi="Times New Roman" w:cs="Times New Roman"/>
          <w:bCs/>
          <w:sz w:val="24"/>
          <w:szCs w:val="24"/>
        </w:rPr>
        <w:t>directives</w:t>
      </w:r>
      <w:r w:rsidR="005D1E0D">
        <w:rPr>
          <w:rFonts w:ascii="Times New Roman" w:hAnsi="Times New Roman" w:cs="Times New Roman"/>
          <w:bCs/>
          <w:sz w:val="24"/>
          <w:szCs w:val="24"/>
        </w:rPr>
        <w:t xml:space="preserve"> to this effect</w:t>
      </w:r>
      <w:r w:rsidR="007902D2" w:rsidRPr="00A94DE5">
        <w:rPr>
          <w:rFonts w:ascii="Times New Roman" w:hAnsi="Times New Roman" w:cs="Times New Roman"/>
          <w:bCs/>
          <w:sz w:val="24"/>
          <w:szCs w:val="24"/>
        </w:rPr>
        <w:t xml:space="preserve">. </w:t>
      </w:r>
    </w:p>
    <w:p w:rsidR="007902D2" w:rsidRPr="00A94DE5" w:rsidRDefault="007902D2" w:rsidP="007902D2">
      <w:pPr>
        <w:spacing w:after="0" w:line="240" w:lineRule="auto"/>
        <w:jc w:val="both"/>
        <w:rPr>
          <w:rFonts w:ascii="Times New Roman" w:hAnsi="Times New Roman" w:cs="Times New Roman"/>
          <w:bCs/>
          <w:sz w:val="24"/>
          <w:szCs w:val="24"/>
        </w:rPr>
      </w:pPr>
    </w:p>
    <w:p w:rsidR="00FC7BE7" w:rsidRPr="00A94DE5" w:rsidRDefault="005E4BEA" w:rsidP="00FC7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w:t>
      </w:r>
      <w:r w:rsidR="007902D2" w:rsidRPr="00A94DE5">
        <w:rPr>
          <w:rFonts w:ascii="Times New Roman" w:hAnsi="Times New Roman" w:cs="Times New Roman"/>
          <w:sz w:val="24"/>
          <w:szCs w:val="24"/>
        </w:rPr>
        <w:t xml:space="preserve"> scoping exercise </w:t>
      </w:r>
      <w:r w:rsidR="00A85148" w:rsidRPr="00A94DE5">
        <w:rPr>
          <w:rFonts w:ascii="Times New Roman" w:hAnsi="Times New Roman" w:cs="Times New Roman"/>
          <w:sz w:val="24"/>
          <w:szCs w:val="24"/>
        </w:rPr>
        <w:t xml:space="preserve">with Chile was completed </w:t>
      </w:r>
      <w:r w:rsidR="00216CA2">
        <w:rPr>
          <w:rFonts w:ascii="Times New Roman" w:hAnsi="Times New Roman" w:cs="Times New Roman"/>
          <w:sz w:val="24"/>
          <w:szCs w:val="24"/>
        </w:rPr>
        <w:t>officially on 31 January 2017</w:t>
      </w:r>
      <w:r w:rsidR="00A85148" w:rsidRPr="00A94DE5">
        <w:rPr>
          <w:rFonts w:ascii="Times New Roman" w:hAnsi="Times New Roman" w:cs="Times New Roman"/>
          <w:sz w:val="24"/>
          <w:szCs w:val="24"/>
        </w:rPr>
        <w:t xml:space="preserve">, and </w:t>
      </w:r>
      <w:r w:rsidR="007902D2" w:rsidRPr="00A94DE5">
        <w:rPr>
          <w:rFonts w:ascii="Times New Roman" w:hAnsi="Times New Roman" w:cs="Times New Roman"/>
          <w:sz w:val="24"/>
          <w:szCs w:val="24"/>
        </w:rPr>
        <w:t>result</w:t>
      </w:r>
      <w:r w:rsidR="00A85148" w:rsidRPr="00A94DE5">
        <w:rPr>
          <w:rFonts w:ascii="Times New Roman" w:hAnsi="Times New Roman" w:cs="Times New Roman"/>
          <w:sz w:val="24"/>
          <w:szCs w:val="24"/>
        </w:rPr>
        <w:t>ed in a</w:t>
      </w:r>
      <w:r w:rsidR="009359D8" w:rsidRPr="00A94DE5">
        <w:rPr>
          <w:rFonts w:ascii="Times New Roman" w:hAnsi="Times New Roman" w:cs="Times New Roman"/>
          <w:sz w:val="24"/>
          <w:szCs w:val="24"/>
        </w:rPr>
        <w:t xml:space="preserve">n EU-Chile </w:t>
      </w:r>
      <w:r w:rsidR="00A85148" w:rsidRPr="00A94DE5">
        <w:rPr>
          <w:rFonts w:ascii="Times New Roman" w:hAnsi="Times New Roman" w:cs="Times New Roman"/>
          <w:sz w:val="24"/>
          <w:szCs w:val="24"/>
        </w:rPr>
        <w:t xml:space="preserve">Joint Scoping Paper. </w:t>
      </w:r>
      <w:r w:rsidR="005D1E0D">
        <w:rPr>
          <w:rFonts w:ascii="Times New Roman" w:hAnsi="Times New Roman" w:cs="Times New Roman"/>
          <w:sz w:val="24"/>
          <w:szCs w:val="24"/>
        </w:rPr>
        <w:t>It reflects</w:t>
      </w:r>
      <w:r w:rsidR="005D1E0D" w:rsidRPr="00A94DE5">
        <w:rPr>
          <w:rFonts w:ascii="Times New Roman" w:hAnsi="Times New Roman" w:cs="Times New Roman"/>
          <w:sz w:val="24"/>
          <w:szCs w:val="24"/>
        </w:rPr>
        <w:t xml:space="preserve"> the </w:t>
      </w:r>
      <w:r w:rsidR="005D1E0D">
        <w:rPr>
          <w:rFonts w:ascii="Times New Roman" w:hAnsi="Times New Roman" w:cs="Times New Roman"/>
          <w:sz w:val="24"/>
          <w:szCs w:val="24"/>
        </w:rPr>
        <w:t xml:space="preserve">pursuit with Chile of the </w:t>
      </w:r>
      <w:r w:rsidR="005D1E0D" w:rsidRPr="00A94DE5">
        <w:rPr>
          <w:rFonts w:ascii="Times New Roman" w:hAnsi="Times New Roman" w:cs="Times New Roman"/>
          <w:sz w:val="24"/>
          <w:szCs w:val="24"/>
        </w:rPr>
        <w:t>key objectives of EU trade policy</w:t>
      </w:r>
      <w:r w:rsidR="005D1E0D" w:rsidRPr="00A94DE5">
        <w:t xml:space="preserve"> </w:t>
      </w:r>
      <w:r w:rsidR="005D1E0D" w:rsidRPr="00A94DE5">
        <w:rPr>
          <w:rFonts w:ascii="Times New Roman" w:hAnsi="Times New Roman" w:cs="Times New Roman"/>
          <w:sz w:val="24"/>
          <w:szCs w:val="24"/>
        </w:rPr>
        <w:t xml:space="preserve">established by the Treaties, and the priorities highlighted in the </w:t>
      </w:r>
      <w:r w:rsidR="005D1E0D" w:rsidRPr="00A94DE5">
        <w:rPr>
          <w:rFonts w:ascii="Times New Roman" w:hAnsi="Times New Roman" w:cs="Times New Roman"/>
          <w:i/>
          <w:sz w:val="24"/>
          <w:szCs w:val="24"/>
        </w:rPr>
        <w:t>'Trade for all'</w:t>
      </w:r>
      <w:r w:rsidR="005D1E0D" w:rsidRPr="00A94DE5">
        <w:rPr>
          <w:rFonts w:ascii="Times New Roman" w:hAnsi="Times New Roman" w:cs="Times New Roman"/>
          <w:sz w:val="24"/>
          <w:szCs w:val="24"/>
        </w:rPr>
        <w:t xml:space="preserve"> Communication. </w:t>
      </w:r>
      <w:r w:rsidR="005D1E0D">
        <w:rPr>
          <w:rFonts w:ascii="Times New Roman" w:hAnsi="Times New Roman" w:cs="Times New Roman"/>
          <w:sz w:val="24"/>
          <w:szCs w:val="24"/>
        </w:rPr>
        <w:t>A</w:t>
      </w:r>
      <w:r w:rsidR="00316FD0">
        <w:rPr>
          <w:rFonts w:ascii="Times New Roman" w:hAnsi="Times New Roman" w:cs="Times New Roman"/>
          <w:sz w:val="24"/>
          <w:szCs w:val="24"/>
        </w:rPr>
        <w:t xml:space="preserve">s in the </w:t>
      </w:r>
      <w:r w:rsidR="005C23C5">
        <w:rPr>
          <w:rFonts w:ascii="Times New Roman" w:hAnsi="Times New Roman" w:cs="Times New Roman"/>
          <w:sz w:val="24"/>
          <w:szCs w:val="24"/>
        </w:rPr>
        <w:t xml:space="preserve">case of other scoping exercises, </w:t>
      </w:r>
      <w:r w:rsidR="005D1E0D">
        <w:rPr>
          <w:rFonts w:ascii="Times New Roman" w:hAnsi="Times New Roman" w:cs="Times New Roman"/>
          <w:sz w:val="24"/>
          <w:szCs w:val="24"/>
        </w:rPr>
        <w:t xml:space="preserve">it </w:t>
      </w:r>
      <w:r w:rsidR="007902D2" w:rsidRPr="00A94DE5">
        <w:rPr>
          <w:rFonts w:ascii="Times New Roman" w:hAnsi="Times New Roman" w:cs="Times New Roman"/>
          <w:sz w:val="24"/>
          <w:szCs w:val="24"/>
        </w:rPr>
        <w:t>does not prej</w:t>
      </w:r>
      <w:r w:rsidR="00F44F4B">
        <w:rPr>
          <w:rFonts w:ascii="Times New Roman" w:hAnsi="Times New Roman" w:cs="Times New Roman"/>
          <w:sz w:val="24"/>
          <w:szCs w:val="24"/>
        </w:rPr>
        <w:t>udge the work under the impact a</w:t>
      </w:r>
      <w:r w:rsidR="007902D2" w:rsidRPr="00A94DE5">
        <w:rPr>
          <w:rFonts w:ascii="Times New Roman" w:hAnsi="Times New Roman" w:cs="Times New Roman"/>
          <w:sz w:val="24"/>
          <w:szCs w:val="24"/>
        </w:rPr>
        <w:t xml:space="preserve">ssessment or the decision by the Commission to request negotiation directives. </w:t>
      </w:r>
      <w:r w:rsidR="00A85148" w:rsidRPr="00A94DE5">
        <w:rPr>
          <w:rFonts w:ascii="Times New Roman" w:hAnsi="Times New Roman" w:cs="Times New Roman"/>
          <w:sz w:val="24"/>
          <w:szCs w:val="24"/>
        </w:rPr>
        <w:t xml:space="preserve">The </w:t>
      </w:r>
      <w:r w:rsidR="00316FD0">
        <w:rPr>
          <w:rFonts w:ascii="Times New Roman" w:hAnsi="Times New Roman" w:cs="Times New Roman"/>
          <w:sz w:val="24"/>
          <w:szCs w:val="24"/>
        </w:rPr>
        <w:t>J</w:t>
      </w:r>
      <w:r w:rsidR="00F44F4B">
        <w:rPr>
          <w:rFonts w:ascii="Times New Roman" w:hAnsi="Times New Roman" w:cs="Times New Roman"/>
          <w:sz w:val="24"/>
          <w:szCs w:val="24"/>
        </w:rPr>
        <w:t xml:space="preserve">oint </w:t>
      </w:r>
      <w:r w:rsidR="00316FD0">
        <w:rPr>
          <w:rFonts w:ascii="Times New Roman" w:hAnsi="Times New Roman" w:cs="Times New Roman"/>
          <w:sz w:val="24"/>
          <w:szCs w:val="24"/>
        </w:rPr>
        <w:t>S</w:t>
      </w:r>
      <w:r w:rsidR="00F44F4B">
        <w:rPr>
          <w:rFonts w:ascii="Times New Roman" w:hAnsi="Times New Roman" w:cs="Times New Roman"/>
          <w:sz w:val="24"/>
          <w:szCs w:val="24"/>
        </w:rPr>
        <w:t xml:space="preserve">coping </w:t>
      </w:r>
      <w:r w:rsidR="00316FD0">
        <w:rPr>
          <w:rFonts w:ascii="Times New Roman" w:hAnsi="Times New Roman" w:cs="Times New Roman"/>
          <w:sz w:val="24"/>
          <w:szCs w:val="24"/>
        </w:rPr>
        <w:t>P</w:t>
      </w:r>
      <w:r w:rsidR="00A85148" w:rsidRPr="00A94DE5">
        <w:rPr>
          <w:rFonts w:ascii="Times New Roman" w:hAnsi="Times New Roman" w:cs="Times New Roman"/>
          <w:sz w:val="24"/>
          <w:szCs w:val="24"/>
        </w:rPr>
        <w:t xml:space="preserve">aper </w:t>
      </w:r>
      <w:r w:rsidR="007902D2" w:rsidRPr="00A94DE5">
        <w:rPr>
          <w:rFonts w:ascii="Times New Roman" w:hAnsi="Times New Roman" w:cs="Times New Roman"/>
          <w:sz w:val="24"/>
          <w:szCs w:val="24"/>
        </w:rPr>
        <w:t xml:space="preserve">does not </w:t>
      </w:r>
      <w:r w:rsidR="009359D8" w:rsidRPr="00A94DE5">
        <w:rPr>
          <w:rFonts w:ascii="Times New Roman" w:hAnsi="Times New Roman" w:cs="Times New Roman"/>
          <w:sz w:val="24"/>
          <w:szCs w:val="24"/>
        </w:rPr>
        <w:t>set</w:t>
      </w:r>
      <w:r w:rsidR="008D5B3A">
        <w:rPr>
          <w:rFonts w:ascii="Times New Roman" w:hAnsi="Times New Roman" w:cs="Times New Roman"/>
          <w:sz w:val="24"/>
          <w:szCs w:val="24"/>
        </w:rPr>
        <w:t xml:space="preserve"> </w:t>
      </w:r>
      <w:r w:rsidR="009359D8" w:rsidRPr="00A94DE5">
        <w:rPr>
          <w:rFonts w:ascii="Times New Roman" w:hAnsi="Times New Roman" w:cs="Times New Roman"/>
          <w:sz w:val="24"/>
          <w:szCs w:val="24"/>
        </w:rPr>
        <w:t xml:space="preserve">out the EU </w:t>
      </w:r>
      <w:r w:rsidR="007902D2" w:rsidRPr="00A94DE5">
        <w:rPr>
          <w:rFonts w:ascii="Times New Roman" w:hAnsi="Times New Roman" w:cs="Times New Roman"/>
          <w:sz w:val="24"/>
          <w:szCs w:val="24"/>
        </w:rPr>
        <w:t>priorities</w:t>
      </w:r>
      <w:r w:rsidR="009359D8" w:rsidRPr="00A94DE5">
        <w:rPr>
          <w:rFonts w:ascii="Times New Roman" w:hAnsi="Times New Roman" w:cs="Times New Roman"/>
          <w:sz w:val="24"/>
          <w:szCs w:val="24"/>
        </w:rPr>
        <w:t xml:space="preserve"> in a potential future negotiation. These priorities </w:t>
      </w:r>
      <w:r w:rsidR="001E33EF">
        <w:rPr>
          <w:rFonts w:ascii="Times New Roman" w:hAnsi="Times New Roman" w:cs="Times New Roman"/>
          <w:sz w:val="24"/>
          <w:szCs w:val="24"/>
        </w:rPr>
        <w:t>will be</w:t>
      </w:r>
      <w:r w:rsidR="007902D2" w:rsidRPr="00A94DE5">
        <w:rPr>
          <w:rFonts w:ascii="Times New Roman" w:hAnsi="Times New Roman" w:cs="Times New Roman"/>
          <w:sz w:val="24"/>
          <w:szCs w:val="24"/>
        </w:rPr>
        <w:t xml:space="preserve"> </w:t>
      </w:r>
      <w:r w:rsidR="00316FD0">
        <w:rPr>
          <w:rFonts w:ascii="Times New Roman" w:hAnsi="Times New Roman" w:cs="Times New Roman"/>
          <w:sz w:val="24"/>
          <w:szCs w:val="24"/>
        </w:rPr>
        <w:t>set out in</w:t>
      </w:r>
      <w:r w:rsidR="009359D8" w:rsidRPr="00A94DE5">
        <w:rPr>
          <w:rFonts w:ascii="Times New Roman" w:hAnsi="Times New Roman" w:cs="Times New Roman"/>
          <w:sz w:val="24"/>
          <w:szCs w:val="24"/>
        </w:rPr>
        <w:t xml:space="preserve"> the </w:t>
      </w:r>
      <w:r w:rsidR="00A85148" w:rsidRPr="00A94DE5">
        <w:rPr>
          <w:rFonts w:ascii="Times New Roman" w:hAnsi="Times New Roman" w:cs="Times New Roman"/>
          <w:sz w:val="24"/>
          <w:szCs w:val="24"/>
        </w:rPr>
        <w:t xml:space="preserve">Council </w:t>
      </w:r>
      <w:r w:rsidR="007902D2" w:rsidRPr="00A94DE5">
        <w:rPr>
          <w:rFonts w:ascii="Times New Roman" w:hAnsi="Times New Roman" w:cs="Times New Roman"/>
          <w:sz w:val="24"/>
          <w:szCs w:val="24"/>
        </w:rPr>
        <w:t xml:space="preserve">negotiating </w:t>
      </w:r>
      <w:r w:rsidR="00A85148" w:rsidRPr="00A94DE5">
        <w:rPr>
          <w:rFonts w:ascii="Times New Roman" w:hAnsi="Times New Roman" w:cs="Times New Roman"/>
          <w:sz w:val="24"/>
          <w:szCs w:val="24"/>
        </w:rPr>
        <w:t>directives, should the Council decide to authorise negotiations</w:t>
      </w:r>
      <w:r w:rsidR="007902D2" w:rsidRPr="00A94DE5">
        <w:rPr>
          <w:rFonts w:ascii="Times New Roman" w:hAnsi="Times New Roman" w:cs="Times New Roman"/>
          <w:sz w:val="24"/>
          <w:szCs w:val="24"/>
        </w:rPr>
        <w:t xml:space="preserve">. </w:t>
      </w:r>
    </w:p>
    <w:p w:rsidR="00FC7BE7" w:rsidRPr="00A94DE5" w:rsidRDefault="00FC7BE7" w:rsidP="00FC7BE7">
      <w:pPr>
        <w:spacing w:after="0" w:line="240" w:lineRule="auto"/>
        <w:jc w:val="both"/>
        <w:rPr>
          <w:rFonts w:ascii="Times New Roman" w:hAnsi="Times New Roman" w:cs="Times New Roman"/>
          <w:sz w:val="24"/>
          <w:szCs w:val="24"/>
        </w:rPr>
      </w:pPr>
    </w:p>
    <w:p w:rsidR="009359D8" w:rsidRDefault="002838FD" w:rsidP="000E20BE">
      <w:pPr>
        <w:spacing w:after="0" w:line="240" w:lineRule="auto"/>
        <w:jc w:val="both"/>
        <w:rPr>
          <w:rFonts w:ascii="Times New Roman" w:hAnsi="Times New Roman" w:cs="Times New Roman"/>
          <w:sz w:val="24"/>
          <w:szCs w:val="24"/>
        </w:rPr>
      </w:pPr>
      <w:r w:rsidRPr="00A94DE5">
        <w:rPr>
          <w:rFonts w:ascii="Times New Roman" w:hAnsi="Times New Roman" w:cs="Times New Roman"/>
          <w:sz w:val="24"/>
          <w:szCs w:val="24"/>
        </w:rPr>
        <w:t xml:space="preserve">In </w:t>
      </w:r>
      <w:r w:rsidR="00F50F01" w:rsidRPr="00A94DE5">
        <w:rPr>
          <w:rFonts w:ascii="Times New Roman" w:hAnsi="Times New Roman" w:cs="Times New Roman"/>
          <w:sz w:val="24"/>
          <w:szCs w:val="24"/>
        </w:rPr>
        <w:t>preparation f</w:t>
      </w:r>
      <w:r w:rsidR="001E33EF">
        <w:rPr>
          <w:rFonts w:ascii="Times New Roman" w:hAnsi="Times New Roman" w:cs="Times New Roman"/>
          <w:sz w:val="24"/>
          <w:szCs w:val="24"/>
        </w:rPr>
        <w:t>or</w:t>
      </w:r>
      <w:r w:rsidR="00F50F01" w:rsidRPr="00A94DE5">
        <w:rPr>
          <w:rFonts w:ascii="Times New Roman" w:hAnsi="Times New Roman" w:cs="Times New Roman"/>
          <w:sz w:val="24"/>
          <w:szCs w:val="24"/>
        </w:rPr>
        <w:t xml:space="preserve"> a </w:t>
      </w:r>
      <w:r w:rsidR="001E33EF">
        <w:rPr>
          <w:rFonts w:ascii="Times New Roman" w:hAnsi="Times New Roman" w:cs="Times New Roman"/>
          <w:sz w:val="24"/>
          <w:szCs w:val="24"/>
        </w:rPr>
        <w:t xml:space="preserve">potential </w:t>
      </w:r>
      <w:r w:rsidR="00F50F01" w:rsidRPr="00A94DE5">
        <w:rPr>
          <w:rFonts w:ascii="Times New Roman" w:hAnsi="Times New Roman" w:cs="Times New Roman"/>
          <w:sz w:val="24"/>
          <w:szCs w:val="24"/>
        </w:rPr>
        <w:t>Commiss</w:t>
      </w:r>
      <w:r w:rsidR="003F1C3D" w:rsidRPr="00A94DE5">
        <w:rPr>
          <w:rFonts w:ascii="Times New Roman" w:hAnsi="Times New Roman" w:cs="Times New Roman"/>
          <w:sz w:val="24"/>
          <w:szCs w:val="24"/>
        </w:rPr>
        <w:t>i</w:t>
      </w:r>
      <w:r w:rsidR="00F50F01" w:rsidRPr="00A94DE5">
        <w:rPr>
          <w:rFonts w:ascii="Times New Roman" w:hAnsi="Times New Roman" w:cs="Times New Roman"/>
          <w:sz w:val="24"/>
          <w:szCs w:val="24"/>
        </w:rPr>
        <w:t>on</w:t>
      </w:r>
      <w:r w:rsidR="001C1338" w:rsidRPr="00A94DE5">
        <w:rPr>
          <w:rFonts w:ascii="Times New Roman" w:hAnsi="Times New Roman" w:cs="Times New Roman"/>
          <w:sz w:val="24"/>
          <w:szCs w:val="24"/>
        </w:rPr>
        <w:t xml:space="preserve"> decision to request authorisation from the Council to launch negotiations</w:t>
      </w:r>
      <w:r w:rsidR="004E3274">
        <w:rPr>
          <w:rFonts w:ascii="Times New Roman" w:hAnsi="Times New Roman" w:cs="Times New Roman"/>
          <w:sz w:val="24"/>
          <w:szCs w:val="24"/>
        </w:rPr>
        <w:t xml:space="preserve"> with Chile</w:t>
      </w:r>
      <w:r w:rsidRPr="00A94DE5">
        <w:rPr>
          <w:rFonts w:ascii="Times New Roman" w:hAnsi="Times New Roman" w:cs="Times New Roman"/>
          <w:sz w:val="24"/>
          <w:szCs w:val="24"/>
        </w:rPr>
        <w:t xml:space="preserve">, Commission services </w:t>
      </w:r>
      <w:r w:rsidR="00902056" w:rsidRPr="00A94DE5">
        <w:rPr>
          <w:rFonts w:ascii="Times New Roman" w:hAnsi="Times New Roman" w:cs="Times New Roman"/>
          <w:sz w:val="24"/>
          <w:szCs w:val="24"/>
        </w:rPr>
        <w:t>conducted work  to assess the i</w:t>
      </w:r>
      <w:r w:rsidRPr="00A94DE5">
        <w:rPr>
          <w:rFonts w:ascii="Times New Roman" w:hAnsi="Times New Roman" w:cs="Times New Roman"/>
          <w:sz w:val="24"/>
          <w:szCs w:val="24"/>
        </w:rPr>
        <w:t>mpact</w:t>
      </w:r>
      <w:r w:rsidR="00902056" w:rsidRPr="00A94DE5">
        <w:rPr>
          <w:rFonts w:ascii="Times New Roman" w:hAnsi="Times New Roman" w:cs="Times New Roman"/>
          <w:sz w:val="24"/>
          <w:szCs w:val="24"/>
        </w:rPr>
        <w:t>s</w:t>
      </w:r>
      <w:r w:rsidRPr="00A94DE5">
        <w:rPr>
          <w:rFonts w:ascii="Times New Roman" w:hAnsi="Times New Roman" w:cs="Times New Roman"/>
          <w:sz w:val="24"/>
          <w:szCs w:val="24"/>
        </w:rPr>
        <w:t xml:space="preserve"> of a possible mod</w:t>
      </w:r>
      <w:r w:rsidR="002D4CDC" w:rsidRPr="00A94DE5">
        <w:rPr>
          <w:rFonts w:ascii="Times New Roman" w:hAnsi="Times New Roman" w:cs="Times New Roman"/>
          <w:sz w:val="24"/>
          <w:szCs w:val="24"/>
        </w:rPr>
        <w:t>ernisation of the EU-</w:t>
      </w:r>
      <w:r w:rsidR="009359D8" w:rsidRPr="00A94DE5">
        <w:rPr>
          <w:rFonts w:ascii="Times New Roman" w:hAnsi="Times New Roman" w:cs="Times New Roman"/>
          <w:sz w:val="24"/>
          <w:szCs w:val="24"/>
        </w:rPr>
        <w:t xml:space="preserve">Chile </w:t>
      </w:r>
      <w:r w:rsidR="002D4CDC" w:rsidRPr="00A94DE5">
        <w:rPr>
          <w:rFonts w:ascii="Times New Roman" w:hAnsi="Times New Roman" w:cs="Times New Roman"/>
          <w:sz w:val="24"/>
          <w:szCs w:val="24"/>
        </w:rPr>
        <w:t>FTA</w:t>
      </w:r>
      <w:r w:rsidR="00A94DE5" w:rsidRPr="00A94DE5">
        <w:rPr>
          <w:rFonts w:ascii="Times New Roman" w:hAnsi="Times New Roman" w:cs="Times New Roman"/>
          <w:sz w:val="24"/>
          <w:szCs w:val="24"/>
        </w:rPr>
        <w:t xml:space="preserve"> (see Annex 1)</w:t>
      </w:r>
      <w:r w:rsidR="005576FD" w:rsidRPr="00A94DE5">
        <w:rPr>
          <w:rFonts w:ascii="Times New Roman" w:hAnsi="Times New Roman" w:cs="Times New Roman"/>
          <w:sz w:val="24"/>
          <w:szCs w:val="24"/>
        </w:rPr>
        <w:t xml:space="preserve">, including </w:t>
      </w:r>
      <w:r w:rsidR="001E33EF">
        <w:rPr>
          <w:rFonts w:ascii="Times New Roman" w:hAnsi="Times New Roman" w:cs="Times New Roman"/>
          <w:sz w:val="24"/>
          <w:szCs w:val="24"/>
        </w:rPr>
        <w:t xml:space="preserve">through </w:t>
      </w:r>
      <w:r w:rsidR="005576FD" w:rsidRPr="00A94DE5">
        <w:rPr>
          <w:rFonts w:ascii="Times New Roman" w:hAnsi="Times New Roman" w:cs="Times New Roman"/>
          <w:sz w:val="24"/>
          <w:szCs w:val="24"/>
        </w:rPr>
        <w:t xml:space="preserve">a public </w:t>
      </w:r>
      <w:r w:rsidR="00A94DE5" w:rsidRPr="00A94DE5">
        <w:rPr>
          <w:rFonts w:ascii="Times New Roman" w:hAnsi="Times New Roman" w:cs="Times New Roman"/>
          <w:sz w:val="24"/>
          <w:szCs w:val="24"/>
        </w:rPr>
        <w:t xml:space="preserve">stakeholder </w:t>
      </w:r>
      <w:r w:rsidR="005576FD" w:rsidRPr="00A94DE5">
        <w:rPr>
          <w:rFonts w:ascii="Times New Roman" w:hAnsi="Times New Roman" w:cs="Times New Roman"/>
          <w:sz w:val="24"/>
          <w:szCs w:val="24"/>
        </w:rPr>
        <w:t>consultation</w:t>
      </w:r>
      <w:r w:rsidR="005C23C5">
        <w:rPr>
          <w:rFonts w:ascii="Times New Roman" w:hAnsi="Times New Roman" w:cs="Times New Roman"/>
          <w:sz w:val="24"/>
          <w:szCs w:val="24"/>
        </w:rPr>
        <w:t>, which elicited 32</w:t>
      </w:r>
      <w:r w:rsidR="00F44F4B">
        <w:rPr>
          <w:rFonts w:ascii="Times New Roman" w:hAnsi="Times New Roman" w:cs="Times New Roman"/>
          <w:sz w:val="24"/>
          <w:szCs w:val="24"/>
        </w:rPr>
        <w:t xml:space="preserve"> responses</w:t>
      </w:r>
      <w:r w:rsidR="005576FD" w:rsidRPr="00A94DE5">
        <w:rPr>
          <w:rFonts w:ascii="Times New Roman" w:hAnsi="Times New Roman" w:cs="Times New Roman"/>
          <w:sz w:val="24"/>
          <w:szCs w:val="24"/>
        </w:rPr>
        <w:t xml:space="preserve"> (see Annex 2)</w:t>
      </w:r>
      <w:r w:rsidR="00CE78D6" w:rsidRPr="00A94DE5">
        <w:rPr>
          <w:rFonts w:ascii="Times New Roman" w:hAnsi="Times New Roman" w:cs="Times New Roman"/>
          <w:sz w:val="24"/>
          <w:szCs w:val="24"/>
        </w:rPr>
        <w:t>.</w:t>
      </w:r>
      <w:r w:rsidR="00D97065" w:rsidRPr="00A94DE5">
        <w:rPr>
          <w:rFonts w:ascii="Times New Roman" w:hAnsi="Times New Roman" w:cs="Times New Roman"/>
          <w:sz w:val="24"/>
          <w:szCs w:val="24"/>
        </w:rPr>
        <w:t xml:space="preserve"> </w:t>
      </w:r>
      <w:r w:rsidR="009359D8" w:rsidRPr="00A94DE5">
        <w:rPr>
          <w:rFonts w:ascii="Times New Roman" w:hAnsi="Times New Roman" w:cs="Times New Roman"/>
          <w:sz w:val="24"/>
          <w:szCs w:val="24"/>
        </w:rPr>
        <w:t>An external ex-ante study</w:t>
      </w:r>
      <w:r w:rsidR="00A94DE5" w:rsidRPr="00A94DE5">
        <w:rPr>
          <w:rFonts w:ascii="Times New Roman" w:hAnsi="Times New Roman" w:cs="Times New Roman"/>
          <w:sz w:val="24"/>
          <w:szCs w:val="24"/>
        </w:rPr>
        <w:t xml:space="preserve"> on the possible modernisation of the EU-Chile FTA</w:t>
      </w:r>
      <w:r w:rsidR="00AD73F2">
        <w:rPr>
          <w:rFonts w:ascii="Times New Roman" w:hAnsi="Times New Roman" w:cs="Times New Roman"/>
          <w:sz w:val="24"/>
          <w:szCs w:val="24"/>
        </w:rPr>
        <w:t xml:space="preserve"> was </w:t>
      </w:r>
      <w:r w:rsidR="00A94DE5" w:rsidRPr="00A94DE5">
        <w:rPr>
          <w:rFonts w:ascii="Times New Roman" w:hAnsi="Times New Roman" w:cs="Times New Roman"/>
          <w:sz w:val="24"/>
          <w:szCs w:val="24"/>
        </w:rPr>
        <w:t xml:space="preserve">carried out </w:t>
      </w:r>
      <w:r w:rsidR="009359D8" w:rsidRPr="00A94DE5">
        <w:rPr>
          <w:rFonts w:ascii="Times New Roman" w:hAnsi="Times New Roman" w:cs="Times New Roman"/>
          <w:sz w:val="24"/>
          <w:szCs w:val="24"/>
        </w:rPr>
        <w:t>by an independent consultant (ECORYS/CASE)</w:t>
      </w:r>
      <w:r w:rsidR="00AD73F2">
        <w:rPr>
          <w:rFonts w:ascii="Times New Roman" w:hAnsi="Times New Roman" w:cs="Times New Roman"/>
          <w:sz w:val="24"/>
          <w:szCs w:val="24"/>
        </w:rPr>
        <w:t xml:space="preserve"> and </w:t>
      </w:r>
      <w:r w:rsidR="00DF20CE">
        <w:rPr>
          <w:rFonts w:ascii="Times New Roman" w:hAnsi="Times New Roman" w:cs="Times New Roman"/>
          <w:sz w:val="24"/>
          <w:szCs w:val="24"/>
        </w:rPr>
        <w:t xml:space="preserve">concluded in </w:t>
      </w:r>
      <w:r w:rsidR="009359D8" w:rsidRPr="00DF20CE">
        <w:rPr>
          <w:rFonts w:ascii="Times New Roman" w:hAnsi="Times New Roman" w:cs="Times New Roman"/>
          <w:sz w:val="24"/>
          <w:szCs w:val="24"/>
        </w:rPr>
        <w:t>January 2017</w:t>
      </w:r>
      <w:r w:rsidR="009359D8" w:rsidRPr="00A94DE5">
        <w:rPr>
          <w:rFonts w:ascii="Times New Roman" w:hAnsi="Times New Roman" w:cs="Times New Roman"/>
          <w:sz w:val="24"/>
          <w:szCs w:val="24"/>
        </w:rPr>
        <w:t xml:space="preserve"> (see Annex 5). </w:t>
      </w:r>
    </w:p>
    <w:p w:rsidR="00697C2A" w:rsidRDefault="00697C2A" w:rsidP="00F713F1">
      <w:pPr>
        <w:spacing w:after="0" w:line="240" w:lineRule="auto"/>
        <w:jc w:val="both"/>
        <w:rPr>
          <w:rFonts w:ascii="Times New Roman" w:hAnsi="Times New Roman" w:cs="Times New Roman"/>
          <w:sz w:val="24"/>
          <w:szCs w:val="24"/>
        </w:rPr>
      </w:pPr>
    </w:p>
    <w:p w:rsidR="00135DA7" w:rsidRPr="00A94DE5" w:rsidRDefault="00697C2A" w:rsidP="00F713F1">
      <w:pPr>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Impact Assessment is to support the decision on whether to propose the start of negotiations, and what should be the broad outlines and the general level of ambition of a possible future Agreement. </w:t>
      </w:r>
      <w:r w:rsidRPr="00E52440">
        <w:rPr>
          <w:rFonts w:ascii="Times New Roman" w:hAnsi="Times New Roman" w:cs="Times New Roman"/>
          <w:sz w:val="24"/>
          <w:szCs w:val="24"/>
        </w:rPr>
        <w:t>When the negotiating directives are approved by the Council and negotiations are underway</w:t>
      </w:r>
      <w:r w:rsidR="005D1E0D">
        <w:rPr>
          <w:rFonts w:ascii="Times New Roman" w:hAnsi="Times New Roman" w:cs="Times New Roman"/>
          <w:sz w:val="24"/>
          <w:szCs w:val="24"/>
        </w:rPr>
        <w:t>,</w:t>
      </w:r>
      <w:r w:rsidRPr="00E52440">
        <w:rPr>
          <w:rFonts w:ascii="Times New Roman" w:hAnsi="Times New Roman" w:cs="Times New Roman"/>
          <w:sz w:val="24"/>
          <w:szCs w:val="24"/>
        </w:rPr>
        <w:t xml:space="preserve"> </w:t>
      </w:r>
      <w:r w:rsidR="005D1E0D">
        <w:rPr>
          <w:rFonts w:ascii="Times New Roman" w:hAnsi="Times New Roman" w:cs="Times New Roman"/>
          <w:sz w:val="24"/>
          <w:szCs w:val="24"/>
        </w:rPr>
        <w:t xml:space="preserve">a </w:t>
      </w:r>
      <w:r w:rsidRPr="00E52440">
        <w:rPr>
          <w:rFonts w:ascii="Times New Roman" w:hAnsi="Times New Roman" w:cs="Times New Roman"/>
          <w:sz w:val="24"/>
          <w:szCs w:val="24"/>
        </w:rPr>
        <w:t>more detailed analysis w</w:t>
      </w:r>
      <w:r w:rsidR="005D1E0D">
        <w:rPr>
          <w:rFonts w:ascii="Times New Roman" w:hAnsi="Times New Roman" w:cs="Times New Roman"/>
          <w:sz w:val="24"/>
          <w:szCs w:val="24"/>
        </w:rPr>
        <w:t xml:space="preserve">ill </w:t>
      </w:r>
      <w:r w:rsidRPr="00E52440">
        <w:rPr>
          <w:rFonts w:ascii="Times New Roman" w:hAnsi="Times New Roman" w:cs="Times New Roman"/>
          <w:sz w:val="24"/>
          <w:szCs w:val="24"/>
        </w:rPr>
        <w:t xml:space="preserve">be undertaken in the framework of </w:t>
      </w:r>
      <w:r w:rsidR="005D1E0D">
        <w:rPr>
          <w:rFonts w:ascii="Times New Roman" w:hAnsi="Times New Roman" w:cs="Times New Roman"/>
          <w:sz w:val="24"/>
          <w:szCs w:val="24"/>
        </w:rPr>
        <w:t xml:space="preserve">a </w:t>
      </w:r>
      <w:r w:rsidRPr="00E52440">
        <w:rPr>
          <w:rFonts w:ascii="Times New Roman" w:hAnsi="Times New Roman" w:cs="Times New Roman"/>
          <w:sz w:val="24"/>
          <w:szCs w:val="24"/>
        </w:rPr>
        <w:t>Sustainability Impact Assessment (SIA). SIAs, using quantitative and qualitative approaches</w:t>
      </w:r>
      <w:r w:rsidR="005D1E0D">
        <w:rPr>
          <w:rFonts w:ascii="Times New Roman" w:hAnsi="Times New Roman" w:cs="Times New Roman"/>
          <w:sz w:val="24"/>
          <w:szCs w:val="24"/>
        </w:rPr>
        <w:t>,</w:t>
      </w:r>
      <w:r w:rsidRPr="00E52440">
        <w:rPr>
          <w:rFonts w:ascii="Times New Roman" w:hAnsi="Times New Roman" w:cs="Times New Roman"/>
          <w:sz w:val="24"/>
          <w:szCs w:val="24"/>
        </w:rPr>
        <w:t xml:space="preserve"> complement impact assessment</w:t>
      </w:r>
      <w:r w:rsidR="005D1E0D">
        <w:rPr>
          <w:rFonts w:ascii="Times New Roman" w:hAnsi="Times New Roman" w:cs="Times New Roman"/>
          <w:sz w:val="24"/>
          <w:szCs w:val="24"/>
        </w:rPr>
        <w:t>s</w:t>
      </w:r>
      <w:r w:rsidRPr="00E52440">
        <w:rPr>
          <w:rFonts w:ascii="Times New Roman" w:hAnsi="Times New Roman" w:cs="Times New Roman"/>
          <w:sz w:val="24"/>
          <w:szCs w:val="24"/>
        </w:rPr>
        <w:t xml:space="preserve"> by conducting a more in-depth analysis of th</w:t>
      </w:r>
      <w:r w:rsidR="004A7B8F">
        <w:rPr>
          <w:rFonts w:ascii="Times New Roman" w:hAnsi="Times New Roman" w:cs="Times New Roman"/>
          <w:sz w:val="24"/>
          <w:szCs w:val="24"/>
        </w:rPr>
        <w:t>e likely impacts of the future A</w:t>
      </w:r>
      <w:r w:rsidRPr="00E52440">
        <w:rPr>
          <w:rFonts w:ascii="Times New Roman" w:hAnsi="Times New Roman" w:cs="Times New Roman"/>
          <w:sz w:val="24"/>
          <w:szCs w:val="24"/>
        </w:rPr>
        <w:t>greement on the three pillars of sustainable development and on human rights. They also include wide-ranging, continuous stakeholder consultation. SIAs are carried out by external consultants and their findings feed into the negotiation process. They help steer the negotiations</w:t>
      </w:r>
      <w:r>
        <w:rPr>
          <w:rFonts w:ascii="Times New Roman" w:hAnsi="Times New Roman" w:cs="Times New Roman"/>
          <w:sz w:val="24"/>
          <w:szCs w:val="24"/>
        </w:rPr>
        <w:t>, p</w:t>
      </w:r>
      <w:r w:rsidRPr="00E52440">
        <w:rPr>
          <w:rFonts w:ascii="Times New Roman" w:hAnsi="Times New Roman" w:cs="Times New Roman"/>
          <w:sz w:val="24"/>
          <w:szCs w:val="24"/>
        </w:rPr>
        <w:t xml:space="preserve">rovide recommendations and propose flanking measures to maximise the benefits of the </w:t>
      </w:r>
      <w:r w:rsidR="004A7B8F">
        <w:rPr>
          <w:rFonts w:ascii="Times New Roman" w:hAnsi="Times New Roman" w:cs="Times New Roman"/>
          <w:sz w:val="24"/>
          <w:szCs w:val="24"/>
        </w:rPr>
        <w:t>A</w:t>
      </w:r>
      <w:r w:rsidRPr="00E52440">
        <w:rPr>
          <w:rFonts w:ascii="Times New Roman" w:hAnsi="Times New Roman" w:cs="Times New Roman"/>
          <w:sz w:val="24"/>
          <w:szCs w:val="24"/>
        </w:rPr>
        <w:t>greement and prevent or minimise any potential negative impacts.</w:t>
      </w:r>
    </w:p>
    <w:p w:rsidR="009359D8" w:rsidRPr="00A94DE5" w:rsidRDefault="009359D8" w:rsidP="000E20BE">
      <w:pPr>
        <w:spacing w:after="0" w:line="240" w:lineRule="auto"/>
        <w:jc w:val="both"/>
        <w:rPr>
          <w:rFonts w:ascii="Times New Roman" w:hAnsi="Times New Roman" w:cs="Times New Roman"/>
          <w:bCs/>
          <w:sz w:val="24"/>
          <w:szCs w:val="24"/>
          <w:highlight w:val="yellow"/>
        </w:rPr>
      </w:pPr>
    </w:p>
    <w:p w:rsidR="00725586" w:rsidRPr="00A94DE5" w:rsidRDefault="00216CA2" w:rsidP="000E2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2838FD" w:rsidRPr="00A94DE5">
        <w:rPr>
          <w:rFonts w:ascii="Times New Roman" w:hAnsi="Times New Roman" w:cs="Times New Roman"/>
          <w:sz w:val="24"/>
          <w:szCs w:val="24"/>
        </w:rPr>
        <w:t xml:space="preserve">he </w:t>
      </w:r>
      <w:r>
        <w:rPr>
          <w:rFonts w:ascii="Times New Roman" w:hAnsi="Times New Roman" w:cs="Times New Roman"/>
          <w:sz w:val="24"/>
          <w:szCs w:val="24"/>
        </w:rPr>
        <w:t xml:space="preserve">potential </w:t>
      </w:r>
      <w:r w:rsidR="002838FD" w:rsidRPr="00A94DE5">
        <w:rPr>
          <w:rFonts w:ascii="Times New Roman" w:hAnsi="Times New Roman" w:cs="Times New Roman"/>
          <w:sz w:val="24"/>
          <w:szCs w:val="24"/>
        </w:rPr>
        <w:t>de</w:t>
      </w:r>
      <w:r w:rsidR="000E20BE" w:rsidRPr="00A94DE5">
        <w:rPr>
          <w:rFonts w:ascii="Times New Roman" w:hAnsi="Times New Roman" w:cs="Times New Roman"/>
          <w:sz w:val="24"/>
          <w:szCs w:val="24"/>
        </w:rPr>
        <w:t>cision of the Commission</w:t>
      </w:r>
      <w:r w:rsidR="002838FD" w:rsidRPr="00A94DE5">
        <w:rPr>
          <w:rFonts w:ascii="Times New Roman" w:hAnsi="Times New Roman" w:cs="Times New Roman"/>
          <w:sz w:val="24"/>
          <w:szCs w:val="24"/>
        </w:rPr>
        <w:t xml:space="preserve"> w</w:t>
      </w:r>
      <w:r w:rsidR="001C1338" w:rsidRPr="00A94DE5">
        <w:rPr>
          <w:rFonts w:ascii="Times New Roman" w:hAnsi="Times New Roman" w:cs="Times New Roman"/>
          <w:sz w:val="24"/>
          <w:szCs w:val="24"/>
        </w:rPr>
        <w:t>ould take the form of a recommendation for a</w:t>
      </w:r>
      <w:r w:rsidR="002838FD" w:rsidRPr="00A94DE5">
        <w:rPr>
          <w:rFonts w:ascii="Times New Roman" w:hAnsi="Times New Roman" w:cs="Times New Roman"/>
          <w:sz w:val="24"/>
          <w:szCs w:val="24"/>
        </w:rPr>
        <w:t xml:space="preserve"> </w:t>
      </w:r>
      <w:r w:rsidR="000E20BE" w:rsidRPr="00A94DE5">
        <w:rPr>
          <w:rFonts w:ascii="Times New Roman" w:hAnsi="Times New Roman" w:cs="Times New Roman"/>
          <w:sz w:val="24"/>
          <w:szCs w:val="24"/>
        </w:rPr>
        <w:t>D</w:t>
      </w:r>
      <w:r w:rsidR="002838FD" w:rsidRPr="00A94DE5">
        <w:rPr>
          <w:rFonts w:ascii="Times New Roman" w:hAnsi="Times New Roman" w:cs="Times New Roman"/>
          <w:sz w:val="24"/>
          <w:szCs w:val="24"/>
        </w:rPr>
        <w:t xml:space="preserve">ecision of the Council </w:t>
      </w:r>
      <w:r w:rsidR="001C4B8C" w:rsidRPr="00A94DE5">
        <w:rPr>
          <w:rFonts w:ascii="Times New Roman" w:hAnsi="Times New Roman" w:cs="Times New Roman"/>
          <w:sz w:val="24"/>
          <w:szCs w:val="24"/>
        </w:rPr>
        <w:t>(</w:t>
      </w:r>
      <w:r w:rsidR="002838FD" w:rsidRPr="00A94DE5">
        <w:rPr>
          <w:rFonts w:ascii="Times New Roman" w:hAnsi="Times New Roman" w:cs="Times New Roman"/>
          <w:sz w:val="24"/>
          <w:szCs w:val="24"/>
        </w:rPr>
        <w:t>authorising the opening of negotiations</w:t>
      </w:r>
      <w:r w:rsidR="003D704D" w:rsidRPr="00A94DE5">
        <w:rPr>
          <w:rFonts w:ascii="Times New Roman" w:hAnsi="Times New Roman" w:cs="Times New Roman"/>
          <w:sz w:val="24"/>
          <w:szCs w:val="24"/>
        </w:rPr>
        <w:t xml:space="preserve"> for the modernisation of the EU-</w:t>
      </w:r>
      <w:r w:rsidR="009359D8" w:rsidRPr="00A94DE5">
        <w:rPr>
          <w:rFonts w:ascii="Times New Roman" w:hAnsi="Times New Roman" w:cs="Times New Roman"/>
          <w:sz w:val="24"/>
          <w:szCs w:val="24"/>
        </w:rPr>
        <w:t xml:space="preserve">Chile Association </w:t>
      </w:r>
      <w:r w:rsidR="003D704D" w:rsidRPr="00A94DE5">
        <w:rPr>
          <w:rFonts w:ascii="Times New Roman" w:hAnsi="Times New Roman" w:cs="Times New Roman"/>
          <w:sz w:val="24"/>
          <w:szCs w:val="24"/>
        </w:rPr>
        <w:t>Agreement</w:t>
      </w:r>
      <w:r w:rsidR="001C4B8C" w:rsidRPr="00A94DE5">
        <w:rPr>
          <w:rFonts w:ascii="Times New Roman" w:hAnsi="Times New Roman" w:cs="Times New Roman"/>
          <w:sz w:val="24"/>
          <w:szCs w:val="24"/>
        </w:rPr>
        <w:t>)</w:t>
      </w:r>
      <w:r w:rsidR="001E33EF">
        <w:rPr>
          <w:rFonts w:ascii="Times New Roman" w:hAnsi="Times New Roman" w:cs="Times New Roman"/>
          <w:sz w:val="24"/>
          <w:szCs w:val="24"/>
        </w:rPr>
        <w:t xml:space="preserve">. </w:t>
      </w:r>
      <w:r w:rsidR="00A94DE5" w:rsidRPr="00A94DE5">
        <w:rPr>
          <w:rFonts w:ascii="Times New Roman" w:hAnsi="Times New Roman" w:cs="Times New Roman"/>
          <w:sz w:val="24"/>
          <w:szCs w:val="24"/>
        </w:rPr>
        <w:t xml:space="preserve">The Commission recommendation would be </w:t>
      </w:r>
      <w:r w:rsidR="002838FD" w:rsidRPr="00A94DE5">
        <w:rPr>
          <w:rFonts w:ascii="Times New Roman" w:hAnsi="Times New Roman" w:cs="Times New Roman"/>
          <w:sz w:val="24"/>
          <w:szCs w:val="24"/>
        </w:rPr>
        <w:t xml:space="preserve">accompanied by </w:t>
      </w:r>
      <w:r w:rsidR="00711C1C" w:rsidRPr="00A94DE5">
        <w:rPr>
          <w:rFonts w:ascii="Times New Roman" w:hAnsi="Times New Roman" w:cs="Times New Roman"/>
          <w:sz w:val="24"/>
          <w:szCs w:val="24"/>
        </w:rPr>
        <w:t xml:space="preserve">draft </w:t>
      </w:r>
      <w:r w:rsidR="002838FD" w:rsidRPr="00A94DE5">
        <w:rPr>
          <w:rFonts w:ascii="Times New Roman" w:hAnsi="Times New Roman" w:cs="Times New Roman"/>
          <w:sz w:val="24"/>
          <w:szCs w:val="24"/>
        </w:rPr>
        <w:t>negotiating directives, which</w:t>
      </w:r>
      <w:r w:rsidR="00711C1C" w:rsidRPr="00A94DE5">
        <w:rPr>
          <w:rFonts w:ascii="Times New Roman" w:hAnsi="Times New Roman" w:cs="Times New Roman"/>
          <w:sz w:val="24"/>
          <w:szCs w:val="24"/>
        </w:rPr>
        <w:t>, when adopted by the Council, would</w:t>
      </w:r>
      <w:r w:rsidR="00A94DE5" w:rsidRPr="00A94DE5">
        <w:rPr>
          <w:rFonts w:ascii="Times New Roman" w:hAnsi="Times New Roman" w:cs="Times New Roman"/>
          <w:sz w:val="24"/>
          <w:szCs w:val="24"/>
        </w:rPr>
        <w:t xml:space="preserve"> </w:t>
      </w:r>
      <w:r w:rsidR="002838FD" w:rsidRPr="00A94DE5">
        <w:rPr>
          <w:rFonts w:ascii="Times New Roman" w:hAnsi="Times New Roman" w:cs="Times New Roman"/>
          <w:sz w:val="24"/>
          <w:szCs w:val="24"/>
        </w:rPr>
        <w:t xml:space="preserve">provide guidance to </w:t>
      </w:r>
      <w:r w:rsidR="004C48C5" w:rsidRPr="00A94DE5">
        <w:rPr>
          <w:rFonts w:ascii="Times New Roman" w:hAnsi="Times New Roman" w:cs="Times New Roman"/>
          <w:sz w:val="24"/>
          <w:szCs w:val="24"/>
        </w:rPr>
        <w:t>EU</w:t>
      </w:r>
      <w:r w:rsidR="00623ADB" w:rsidRPr="00A94DE5">
        <w:rPr>
          <w:rFonts w:ascii="Times New Roman" w:hAnsi="Times New Roman" w:cs="Times New Roman"/>
          <w:sz w:val="24"/>
          <w:szCs w:val="24"/>
        </w:rPr>
        <w:t xml:space="preserve"> </w:t>
      </w:r>
      <w:r w:rsidR="00AD73F2">
        <w:rPr>
          <w:rFonts w:ascii="Times New Roman" w:hAnsi="Times New Roman" w:cs="Times New Roman"/>
          <w:sz w:val="24"/>
          <w:szCs w:val="24"/>
        </w:rPr>
        <w:t>negotiator</w:t>
      </w:r>
      <w:r w:rsidR="001E33EF">
        <w:rPr>
          <w:rFonts w:ascii="Times New Roman" w:hAnsi="Times New Roman" w:cs="Times New Roman"/>
          <w:sz w:val="24"/>
          <w:szCs w:val="24"/>
        </w:rPr>
        <w:t>s</w:t>
      </w:r>
      <w:r w:rsidR="00F16528">
        <w:rPr>
          <w:rFonts w:ascii="Times New Roman" w:hAnsi="Times New Roman" w:cs="Times New Roman"/>
          <w:sz w:val="24"/>
          <w:szCs w:val="24"/>
        </w:rPr>
        <w:t>,</w:t>
      </w:r>
      <w:r w:rsidR="00AD73F2">
        <w:rPr>
          <w:rFonts w:ascii="Times New Roman" w:hAnsi="Times New Roman" w:cs="Times New Roman"/>
          <w:sz w:val="24"/>
          <w:szCs w:val="24"/>
        </w:rPr>
        <w:t xml:space="preserve"> subject to</w:t>
      </w:r>
      <w:r w:rsidR="002838FD" w:rsidRPr="00A94DE5">
        <w:rPr>
          <w:rFonts w:ascii="Times New Roman" w:hAnsi="Times New Roman" w:cs="Times New Roman"/>
          <w:sz w:val="24"/>
          <w:szCs w:val="24"/>
        </w:rPr>
        <w:t xml:space="preserve"> review within the </w:t>
      </w:r>
      <w:r w:rsidR="001C1338" w:rsidRPr="00A94DE5">
        <w:rPr>
          <w:rFonts w:ascii="Times New Roman" w:hAnsi="Times New Roman" w:cs="Times New Roman"/>
          <w:sz w:val="24"/>
          <w:szCs w:val="24"/>
        </w:rPr>
        <w:t xml:space="preserve">relevant </w:t>
      </w:r>
      <w:r w:rsidR="002838FD" w:rsidRPr="00A94DE5">
        <w:rPr>
          <w:rFonts w:ascii="Times New Roman" w:hAnsi="Times New Roman" w:cs="Times New Roman"/>
          <w:sz w:val="24"/>
          <w:szCs w:val="24"/>
        </w:rPr>
        <w:t xml:space="preserve">Council </w:t>
      </w:r>
      <w:r w:rsidR="001C1338" w:rsidRPr="00A94DE5">
        <w:rPr>
          <w:rFonts w:ascii="Times New Roman" w:hAnsi="Times New Roman" w:cs="Times New Roman"/>
          <w:sz w:val="24"/>
          <w:szCs w:val="24"/>
        </w:rPr>
        <w:t xml:space="preserve">Committees </w:t>
      </w:r>
      <w:r w:rsidR="00AD73F2">
        <w:rPr>
          <w:rFonts w:ascii="Times New Roman" w:hAnsi="Times New Roman" w:cs="Times New Roman"/>
          <w:sz w:val="24"/>
          <w:szCs w:val="24"/>
        </w:rPr>
        <w:t xml:space="preserve">during the course of </w:t>
      </w:r>
      <w:r w:rsidR="002838FD" w:rsidRPr="00A94DE5">
        <w:rPr>
          <w:rFonts w:ascii="Times New Roman" w:hAnsi="Times New Roman" w:cs="Times New Roman"/>
          <w:sz w:val="24"/>
          <w:szCs w:val="24"/>
        </w:rPr>
        <w:t>negotiations.</w:t>
      </w:r>
    </w:p>
    <w:p w:rsidR="00A94DE5" w:rsidRPr="00A94DE5" w:rsidRDefault="00A94DE5" w:rsidP="000E20BE">
      <w:pPr>
        <w:spacing w:after="0" w:line="240" w:lineRule="auto"/>
        <w:jc w:val="both"/>
        <w:rPr>
          <w:rFonts w:ascii="Times New Roman" w:hAnsi="Times New Roman" w:cs="Times New Roman"/>
          <w:color w:val="1F497D" w:themeColor="text2"/>
          <w:sz w:val="24"/>
          <w:szCs w:val="24"/>
        </w:rPr>
      </w:pPr>
    </w:p>
    <w:p w:rsidR="00A73A0F" w:rsidRDefault="00A73A0F" w:rsidP="000E20BE">
      <w:pPr>
        <w:spacing w:after="0" w:line="240" w:lineRule="auto"/>
        <w:jc w:val="both"/>
        <w:rPr>
          <w:rFonts w:ascii="Times New Roman" w:eastAsiaTheme="majorEastAsia" w:hAnsi="Times New Roman" w:cs="Times New Roman"/>
          <w:b/>
          <w:sz w:val="24"/>
          <w:szCs w:val="24"/>
          <w:u w:val="single"/>
        </w:rPr>
      </w:pPr>
    </w:p>
    <w:p w:rsidR="000043EA" w:rsidRDefault="000043EA">
      <w:pPr>
        <w:rPr>
          <w:rFonts w:ascii="Times New Roman" w:hAnsi="Times New Roman" w:cs="Times New Roman"/>
          <w:b/>
          <w:sz w:val="24"/>
        </w:rPr>
      </w:pPr>
      <w:bookmarkStart w:id="4" w:name="_Toc442284038"/>
      <w:r>
        <w:rPr>
          <w:rFonts w:ascii="Times New Roman" w:hAnsi="Times New Roman" w:cs="Times New Roman"/>
          <w:b/>
          <w:sz w:val="24"/>
        </w:rPr>
        <w:br w:type="page"/>
      </w:r>
    </w:p>
    <w:p w:rsidR="00BF189B" w:rsidRDefault="005C1A55" w:rsidP="002A28DD">
      <w:pPr>
        <w:pStyle w:val="Heading1"/>
        <w:numPr>
          <w:ilvl w:val="0"/>
          <w:numId w:val="11"/>
        </w:numPr>
      </w:pPr>
      <w:bookmarkStart w:id="5" w:name="_Toc473123064"/>
      <w:r w:rsidRPr="007C3EF7">
        <w:t>WHAT IS THE PROBLEM</w:t>
      </w:r>
      <w:r w:rsidR="00CA094E" w:rsidRPr="007C3EF7">
        <w:t xml:space="preserve"> AND WHY IS IT A PROBLEM?</w:t>
      </w:r>
      <w:bookmarkEnd w:id="4"/>
      <w:bookmarkEnd w:id="5"/>
    </w:p>
    <w:p w:rsidR="00BF189B" w:rsidRPr="0000389A" w:rsidRDefault="00BF189B" w:rsidP="00A1171B">
      <w:pPr>
        <w:spacing w:after="0" w:line="240" w:lineRule="auto"/>
        <w:jc w:val="both"/>
        <w:rPr>
          <w:rFonts w:ascii="Times New Roman" w:hAnsi="Times New Roman" w:cs="Times New Roman"/>
          <w:bCs/>
          <w:sz w:val="24"/>
          <w:szCs w:val="24"/>
        </w:rPr>
      </w:pPr>
    </w:p>
    <w:p w:rsidR="00BF189B" w:rsidRPr="004609AA" w:rsidRDefault="005C1A55" w:rsidP="002A28DD">
      <w:pPr>
        <w:pStyle w:val="Heading2"/>
        <w:numPr>
          <w:ilvl w:val="1"/>
          <w:numId w:val="12"/>
        </w:numPr>
        <w:jc w:val="left"/>
        <w:rPr>
          <w:u w:val="single"/>
        </w:rPr>
      </w:pPr>
      <w:bookmarkStart w:id="6" w:name="_Toc473123065"/>
      <w:r w:rsidRPr="004609AA">
        <w:rPr>
          <w:u w:val="single"/>
        </w:rPr>
        <w:t>What is the issue that may require an action, what is the size of the problem?</w:t>
      </w:r>
      <w:bookmarkEnd w:id="6"/>
    </w:p>
    <w:p w:rsidR="005C1A55" w:rsidRDefault="005C1A55" w:rsidP="00485926">
      <w:pPr>
        <w:spacing w:after="0" w:line="240" w:lineRule="auto"/>
        <w:jc w:val="both"/>
        <w:rPr>
          <w:rFonts w:ascii="Times New Roman" w:hAnsi="Times New Roman" w:cs="Times New Roman"/>
          <w:color w:val="1F497D" w:themeColor="text2"/>
          <w:sz w:val="24"/>
          <w:szCs w:val="24"/>
        </w:rPr>
      </w:pPr>
    </w:p>
    <w:p w:rsidR="00D80527" w:rsidRPr="000D50A7" w:rsidRDefault="0034264C" w:rsidP="004609AA">
      <w:pPr>
        <w:spacing w:before="120"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1.1.1.</w:t>
      </w:r>
      <w:r>
        <w:rPr>
          <w:rFonts w:ascii="Times New Roman" w:hAnsi="Times New Roman" w:cs="Times New Roman"/>
          <w:b/>
          <w:sz w:val="24"/>
          <w:szCs w:val="24"/>
        </w:rPr>
        <w:tab/>
      </w:r>
      <w:r w:rsidR="00D80527" w:rsidRPr="000D50A7">
        <w:rPr>
          <w:rFonts w:ascii="Times New Roman" w:hAnsi="Times New Roman" w:cs="Times New Roman"/>
          <w:b/>
          <w:sz w:val="24"/>
          <w:szCs w:val="24"/>
        </w:rPr>
        <w:t>Overview of the current EU-Chile trade relations</w:t>
      </w:r>
    </w:p>
    <w:p w:rsidR="00D80527" w:rsidRPr="000D50A7" w:rsidRDefault="00D80527" w:rsidP="00485926">
      <w:pPr>
        <w:spacing w:after="0" w:line="240" w:lineRule="auto"/>
        <w:jc w:val="both"/>
        <w:rPr>
          <w:rFonts w:ascii="Times New Roman" w:hAnsi="Times New Roman" w:cs="Times New Roman"/>
          <w:sz w:val="24"/>
          <w:szCs w:val="24"/>
        </w:rPr>
      </w:pPr>
    </w:p>
    <w:p w:rsidR="00831FDE" w:rsidRDefault="00491FD3" w:rsidP="00485926">
      <w:pPr>
        <w:spacing w:after="0" w:line="240" w:lineRule="auto"/>
        <w:jc w:val="both"/>
        <w:rPr>
          <w:rFonts w:ascii="Times New Roman" w:hAnsi="Times New Roman" w:cs="Times New Roman"/>
          <w:sz w:val="24"/>
          <w:szCs w:val="24"/>
        </w:rPr>
      </w:pPr>
      <w:r w:rsidRPr="000D50A7">
        <w:rPr>
          <w:rFonts w:ascii="Times New Roman" w:hAnsi="Times New Roman" w:cs="Times New Roman"/>
          <w:bCs/>
          <w:sz w:val="24"/>
          <w:szCs w:val="24"/>
        </w:rPr>
        <w:t xml:space="preserve">In 2015 bilateral trade in goods </w:t>
      </w:r>
      <w:r w:rsidR="0023113F">
        <w:rPr>
          <w:rFonts w:ascii="Times New Roman" w:hAnsi="Times New Roman" w:cs="Times New Roman"/>
          <w:bCs/>
          <w:sz w:val="24"/>
          <w:szCs w:val="24"/>
        </w:rPr>
        <w:t>stood at €16.</w:t>
      </w:r>
      <w:r w:rsidRPr="000D50A7">
        <w:rPr>
          <w:rFonts w:ascii="Times New Roman" w:hAnsi="Times New Roman" w:cs="Times New Roman"/>
          <w:bCs/>
          <w:sz w:val="24"/>
          <w:szCs w:val="24"/>
        </w:rPr>
        <w:t>6 billion</w:t>
      </w:r>
      <w:r w:rsidR="000D50A7" w:rsidRPr="000D50A7">
        <w:rPr>
          <w:rFonts w:ascii="Times New Roman" w:hAnsi="Times New Roman" w:cs="Times New Roman"/>
          <w:bCs/>
          <w:sz w:val="24"/>
          <w:szCs w:val="24"/>
        </w:rPr>
        <w:t xml:space="preserve">. </w:t>
      </w:r>
      <w:r w:rsidR="0023113F">
        <w:rPr>
          <w:rFonts w:ascii="Times New Roman" w:hAnsi="Times New Roman" w:cs="Times New Roman"/>
          <w:bCs/>
          <w:sz w:val="24"/>
          <w:szCs w:val="24"/>
        </w:rPr>
        <w:t>T</w:t>
      </w:r>
      <w:r w:rsidR="00341D71" w:rsidRPr="000D50A7">
        <w:rPr>
          <w:rFonts w:ascii="Times New Roman" w:hAnsi="Times New Roman" w:cs="Times New Roman"/>
          <w:sz w:val="24"/>
          <w:szCs w:val="24"/>
        </w:rPr>
        <w:t xml:space="preserve">he EU was Chile's third </w:t>
      </w:r>
      <w:r w:rsidR="00C36ABD">
        <w:rPr>
          <w:rFonts w:ascii="Times New Roman" w:hAnsi="Times New Roman" w:cs="Times New Roman"/>
          <w:sz w:val="24"/>
          <w:szCs w:val="24"/>
        </w:rPr>
        <w:t xml:space="preserve">largest </w:t>
      </w:r>
      <w:r w:rsidR="00341D71" w:rsidRPr="000D50A7">
        <w:rPr>
          <w:rFonts w:ascii="Times New Roman" w:hAnsi="Times New Roman" w:cs="Times New Roman"/>
          <w:sz w:val="24"/>
          <w:szCs w:val="24"/>
        </w:rPr>
        <w:t>trading partner</w:t>
      </w:r>
      <w:r w:rsidR="0023113F">
        <w:rPr>
          <w:rFonts w:ascii="Times New Roman" w:hAnsi="Times New Roman" w:cs="Times New Roman"/>
          <w:sz w:val="24"/>
          <w:szCs w:val="24"/>
        </w:rPr>
        <w:t>, representing 14.</w:t>
      </w:r>
      <w:r w:rsidR="000D50A7" w:rsidRPr="000D50A7">
        <w:rPr>
          <w:rFonts w:ascii="Times New Roman" w:hAnsi="Times New Roman" w:cs="Times New Roman"/>
          <w:sz w:val="24"/>
          <w:szCs w:val="24"/>
        </w:rPr>
        <w:t>4% of Chile</w:t>
      </w:r>
      <w:r w:rsidR="003153AA">
        <w:rPr>
          <w:rFonts w:ascii="Times New Roman" w:hAnsi="Times New Roman" w:cs="Times New Roman"/>
          <w:sz w:val="24"/>
          <w:szCs w:val="24"/>
        </w:rPr>
        <w:t>'s</w:t>
      </w:r>
      <w:r w:rsidR="000D50A7" w:rsidRPr="000D50A7">
        <w:rPr>
          <w:rFonts w:ascii="Times New Roman" w:hAnsi="Times New Roman" w:cs="Times New Roman"/>
          <w:sz w:val="24"/>
          <w:szCs w:val="24"/>
        </w:rPr>
        <w:t xml:space="preserve"> total trade</w:t>
      </w:r>
      <w:r w:rsidR="0023113F">
        <w:rPr>
          <w:rFonts w:ascii="Times New Roman" w:hAnsi="Times New Roman" w:cs="Times New Roman"/>
          <w:sz w:val="24"/>
          <w:szCs w:val="24"/>
        </w:rPr>
        <w:t>,</w:t>
      </w:r>
      <w:r w:rsidR="00341D71" w:rsidRPr="000D50A7">
        <w:rPr>
          <w:rFonts w:ascii="Times New Roman" w:hAnsi="Times New Roman" w:cs="Times New Roman"/>
          <w:sz w:val="24"/>
          <w:szCs w:val="24"/>
        </w:rPr>
        <w:t xml:space="preserve"> and the second export destination</w:t>
      </w:r>
      <w:r w:rsidR="0023113F">
        <w:rPr>
          <w:rFonts w:ascii="Times New Roman" w:hAnsi="Times New Roman" w:cs="Times New Roman"/>
          <w:sz w:val="24"/>
          <w:szCs w:val="24"/>
        </w:rPr>
        <w:t xml:space="preserve">, whilst </w:t>
      </w:r>
      <w:r w:rsidR="00341D71" w:rsidRPr="000D50A7">
        <w:rPr>
          <w:rFonts w:ascii="Times New Roman" w:hAnsi="Times New Roman" w:cs="Times New Roman"/>
          <w:sz w:val="24"/>
          <w:szCs w:val="24"/>
        </w:rPr>
        <w:t>Chile was the EU's 38</w:t>
      </w:r>
      <w:r w:rsidR="00341D71" w:rsidRPr="000D50A7">
        <w:rPr>
          <w:rFonts w:ascii="Times New Roman" w:hAnsi="Times New Roman" w:cs="Times New Roman"/>
          <w:sz w:val="24"/>
          <w:szCs w:val="24"/>
          <w:vertAlign w:val="superscript"/>
        </w:rPr>
        <w:t>th</w:t>
      </w:r>
      <w:r w:rsidR="00341D71" w:rsidRPr="000D50A7">
        <w:rPr>
          <w:rFonts w:ascii="Times New Roman" w:hAnsi="Times New Roman" w:cs="Times New Roman"/>
          <w:sz w:val="24"/>
          <w:szCs w:val="24"/>
        </w:rPr>
        <w:t xml:space="preserve"> trading partner, representing 0.5% of total EU trade.  </w:t>
      </w:r>
      <w:r w:rsidR="0023113F">
        <w:rPr>
          <w:rFonts w:ascii="Times New Roman" w:hAnsi="Times New Roman" w:cs="Times New Roman"/>
          <w:sz w:val="24"/>
          <w:szCs w:val="24"/>
        </w:rPr>
        <w:t>Regarding trade in services, i</w:t>
      </w:r>
      <w:r w:rsidR="000D50A7" w:rsidRPr="007A07FD">
        <w:rPr>
          <w:rFonts w:ascii="Times New Roman" w:hAnsi="Times New Roman" w:cs="Times New Roman"/>
          <w:sz w:val="24"/>
          <w:szCs w:val="24"/>
        </w:rPr>
        <w:t xml:space="preserve">n 2014 </w:t>
      </w:r>
      <w:r w:rsidR="00C36ABD">
        <w:rPr>
          <w:rFonts w:ascii="Times New Roman" w:hAnsi="Times New Roman" w:cs="Times New Roman"/>
          <w:sz w:val="24"/>
          <w:szCs w:val="24"/>
        </w:rPr>
        <w:t xml:space="preserve">the </w:t>
      </w:r>
      <w:r w:rsidR="000D50A7" w:rsidRPr="007A07FD">
        <w:rPr>
          <w:rFonts w:ascii="Times New Roman" w:hAnsi="Times New Roman" w:cs="Times New Roman"/>
          <w:sz w:val="24"/>
          <w:szCs w:val="24"/>
        </w:rPr>
        <w:t>EU exported € 3.3 billion to Chile and imported € 1.7 billion</w:t>
      </w:r>
      <w:r w:rsidR="008E5316">
        <w:rPr>
          <w:rFonts w:ascii="Times New Roman" w:hAnsi="Times New Roman" w:cs="Times New Roman"/>
          <w:sz w:val="24"/>
          <w:szCs w:val="24"/>
        </w:rPr>
        <w:t>.</w:t>
      </w:r>
      <w:r w:rsidR="000D50A7" w:rsidRPr="000D50A7">
        <w:rPr>
          <w:rFonts w:ascii="Times New Roman" w:hAnsi="Times New Roman" w:cs="Times New Roman"/>
          <w:sz w:val="24"/>
          <w:szCs w:val="24"/>
        </w:rPr>
        <w:t xml:space="preserve"> </w:t>
      </w:r>
      <w:r w:rsidR="007772B2">
        <w:rPr>
          <w:rFonts w:ascii="Times New Roman" w:hAnsi="Times New Roman" w:cs="Times New Roman"/>
          <w:sz w:val="24"/>
          <w:szCs w:val="24"/>
        </w:rPr>
        <w:t xml:space="preserve">The </w:t>
      </w:r>
      <w:r w:rsidR="000D50A7" w:rsidRPr="007A07FD">
        <w:rPr>
          <w:rFonts w:ascii="Times New Roman" w:hAnsi="Times New Roman" w:cs="Times New Roman"/>
          <w:sz w:val="24"/>
          <w:szCs w:val="24"/>
        </w:rPr>
        <w:t xml:space="preserve">EU remains Chile's first </w:t>
      </w:r>
      <w:r w:rsidR="007772B2">
        <w:rPr>
          <w:rFonts w:ascii="Times New Roman" w:hAnsi="Times New Roman" w:cs="Times New Roman"/>
          <w:sz w:val="24"/>
          <w:szCs w:val="24"/>
        </w:rPr>
        <w:t>Foreign Direct Investment (</w:t>
      </w:r>
      <w:r w:rsidR="000D50A7" w:rsidRPr="007A07FD">
        <w:rPr>
          <w:rFonts w:ascii="Times New Roman" w:hAnsi="Times New Roman" w:cs="Times New Roman"/>
          <w:sz w:val="24"/>
          <w:szCs w:val="24"/>
        </w:rPr>
        <w:t>FDI</w:t>
      </w:r>
      <w:r w:rsidR="007772B2">
        <w:rPr>
          <w:rFonts w:ascii="Times New Roman" w:hAnsi="Times New Roman" w:cs="Times New Roman"/>
          <w:sz w:val="24"/>
          <w:szCs w:val="24"/>
        </w:rPr>
        <w:t>)</w:t>
      </w:r>
      <w:r w:rsidR="000D50A7" w:rsidRPr="007A07FD">
        <w:rPr>
          <w:rFonts w:ascii="Times New Roman" w:hAnsi="Times New Roman" w:cs="Times New Roman"/>
          <w:sz w:val="24"/>
          <w:szCs w:val="24"/>
        </w:rPr>
        <w:t xml:space="preserve"> provider. Total </w:t>
      </w:r>
      <w:r w:rsidR="0023113F">
        <w:rPr>
          <w:rFonts w:ascii="Times New Roman" w:hAnsi="Times New Roman" w:cs="Times New Roman"/>
          <w:sz w:val="24"/>
          <w:szCs w:val="24"/>
        </w:rPr>
        <w:t xml:space="preserve">EU </w:t>
      </w:r>
      <w:r w:rsidR="000D50A7" w:rsidRPr="007A07FD">
        <w:rPr>
          <w:rFonts w:ascii="Times New Roman" w:hAnsi="Times New Roman" w:cs="Times New Roman"/>
          <w:sz w:val="24"/>
          <w:szCs w:val="24"/>
        </w:rPr>
        <w:t xml:space="preserve">FDI flows in 2014 </w:t>
      </w:r>
      <w:r w:rsidR="0023113F">
        <w:rPr>
          <w:rFonts w:ascii="Times New Roman" w:hAnsi="Times New Roman" w:cs="Times New Roman"/>
          <w:sz w:val="24"/>
          <w:szCs w:val="24"/>
        </w:rPr>
        <w:t xml:space="preserve">stood at </w:t>
      </w:r>
      <w:r w:rsidR="000D50A7" w:rsidRPr="007A07FD">
        <w:rPr>
          <w:rFonts w:ascii="Times New Roman" w:hAnsi="Times New Roman" w:cs="Times New Roman"/>
          <w:sz w:val="24"/>
          <w:szCs w:val="24"/>
        </w:rPr>
        <w:t>€ 7</w:t>
      </w:r>
      <w:r w:rsidR="0023113F">
        <w:rPr>
          <w:rFonts w:ascii="Times New Roman" w:hAnsi="Times New Roman" w:cs="Times New Roman"/>
          <w:sz w:val="24"/>
          <w:szCs w:val="24"/>
        </w:rPr>
        <w:t>.</w:t>
      </w:r>
      <w:r w:rsidR="000D50A7" w:rsidRPr="007A07FD">
        <w:rPr>
          <w:rFonts w:ascii="Times New Roman" w:hAnsi="Times New Roman" w:cs="Times New Roman"/>
          <w:sz w:val="24"/>
          <w:szCs w:val="24"/>
        </w:rPr>
        <w:t>4 billion</w:t>
      </w:r>
      <w:r w:rsidR="0023113F">
        <w:rPr>
          <w:rFonts w:ascii="Times New Roman" w:hAnsi="Times New Roman" w:cs="Times New Roman"/>
          <w:sz w:val="24"/>
          <w:szCs w:val="24"/>
        </w:rPr>
        <w:t xml:space="preserve"> and </w:t>
      </w:r>
      <w:r w:rsidR="000D50A7" w:rsidRPr="007A07FD">
        <w:rPr>
          <w:rFonts w:ascii="Times New Roman" w:hAnsi="Times New Roman" w:cs="Times New Roman"/>
          <w:sz w:val="24"/>
          <w:szCs w:val="24"/>
        </w:rPr>
        <w:t xml:space="preserve">EU </w:t>
      </w:r>
      <w:r w:rsidR="0023113F">
        <w:rPr>
          <w:rFonts w:ascii="Times New Roman" w:hAnsi="Times New Roman" w:cs="Times New Roman"/>
          <w:sz w:val="24"/>
          <w:szCs w:val="24"/>
        </w:rPr>
        <w:t xml:space="preserve">FDI stocks </w:t>
      </w:r>
      <w:r w:rsidR="005E4BEA">
        <w:rPr>
          <w:rFonts w:ascii="Times New Roman" w:hAnsi="Times New Roman" w:cs="Times New Roman"/>
          <w:sz w:val="24"/>
          <w:szCs w:val="24"/>
        </w:rPr>
        <w:t xml:space="preserve">stood </w:t>
      </w:r>
      <w:r w:rsidR="0023113F">
        <w:rPr>
          <w:rFonts w:ascii="Times New Roman" w:hAnsi="Times New Roman" w:cs="Times New Roman"/>
          <w:sz w:val="24"/>
          <w:szCs w:val="24"/>
        </w:rPr>
        <w:t xml:space="preserve">at </w:t>
      </w:r>
      <w:r w:rsidR="000D50A7" w:rsidRPr="007A07FD">
        <w:rPr>
          <w:rFonts w:ascii="Times New Roman" w:hAnsi="Times New Roman" w:cs="Times New Roman"/>
          <w:sz w:val="24"/>
          <w:szCs w:val="24"/>
        </w:rPr>
        <w:t>€ 38</w:t>
      </w:r>
      <w:r w:rsidR="0023113F">
        <w:rPr>
          <w:rFonts w:ascii="Times New Roman" w:hAnsi="Times New Roman" w:cs="Times New Roman"/>
          <w:sz w:val="24"/>
          <w:szCs w:val="24"/>
        </w:rPr>
        <w:t>.</w:t>
      </w:r>
      <w:r w:rsidR="000D50A7" w:rsidRPr="007A07FD">
        <w:rPr>
          <w:rFonts w:ascii="Times New Roman" w:hAnsi="Times New Roman" w:cs="Times New Roman"/>
          <w:sz w:val="24"/>
          <w:szCs w:val="24"/>
        </w:rPr>
        <w:t xml:space="preserve">9 billion. </w:t>
      </w:r>
    </w:p>
    <w:p w:rsidR="00B03F92" w:rsidRDefault="00B03F92" w:rsidP="00485926">
      <w:pPr>
        <w:spacing w:after="0" w:line="240" w:lineRule="auto"/>
        <w:jc w:val="both"/>
        <w:rPr>
          <w:rFonts w:ascii="Times New Roman" w:hAnsi="Times New Roman" w:cs="Times New Roman"/>
          <w:sz w:val="24"/>
          <w:szCs w:val="24"/>
        </w:rPr>
      </w:pPr>
    </w:p>
    <w:p w:rsidR="00B03F92" w:rsidRDefault="00B03F92" w:rsidP="0048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Main EU export categories in bilateral trade </w:t>
      </w:r>
      <w:r w:rsidR="00996B00">
        <w:rPr>
          <w:rFonts w:ascii="Times New Roman" w:hAnsi="Times New Roman" w:cs="Times New Roman"/>
          <w:sz w:val="24"/>
          <w:szCs w:val="24"/>
        </w:rPr>
        <w:t xml:space="preserve">in goods in 2015 were </w:t>
      </w:r>
      <w:r>
        <w:rPr>
          <w:rFonts w:ascii="Times New Roman" w:hAnsi="Times New Roman" w:cs="Times New Roman"/>
          <w:sz w:val="24"/>
          <w:szCs w:val="24"/>
        </w:rPr>
        <w:t xml:space="preserve">machinery and transport equipment (52%), chemical products (15%) and manufactured goods (13%). Main EU import categories </w:t>
      </w:r>
      <w:r w:rsidR="00996B00">
        <w:rPr>
          <w:rFonts w:ascii="Times New Roman" w:hAnsi="Times New Roman" w:cs="Times New Roman"/>
          <w:sz w:val="24"/>
          <w:szCs w:val="24"/>
        </w:rPr>
        <w:t>were</w:t>
      </w:r>
      <w:r>
        <w:rPr>
          <w:rFonts w:ascii="Times New Roman" w:hAnsi="Times New Roman" w:cs="Times New Roman"/>
          <w:sz w:val="24"/>
          <w:szCs w:val="24"/>
        </w:rPr>
        <w:t xml:space="preserve"> crude materials except fuels (28%), manufactured goods (26%)</w:t>
      </w:r>
      <w:r w:rsidR="00C65B87">
        <w:rPr>
          <w:rFonts w:ascii="Times New Roman" w:hAnsi="Times New Roman" w:cs="Times New Roman"/>
          <w:sz w:val="24"/>
          <w:szCs w:val="24"/>
        </w:rPr>
        <w:t xml:space="preserve"> and</w:t>
      </w:r>
      <w:r>
        <w:rPr>
          <w:rFonts w:ascii="Times New Roman" w:hAnsi="Times New Roman" w:cs="Times New Roman"/>
          <w:sz w:val="24"/>
          <w:szCs w:val="24"/>
        </w:rPr>
        <w:t xml:space="preserve"> food and live animals (25%)</w:t>
      </w:r>
      <w:r w:rsidR="00C65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C65B87">
        <w:rPr>
          <w:rFonts w:ascii="Times New Roman" w:hAnsi="Times New Roman" w:cs="Times New Roman"/>
          <w:sz w:val="24"/>
          <w:szCs w:val="24"/>
        </w:rPr>
        <w:t>By Member State the</w:t>
      </w:r>
      <w:r w:rsidR="00996B00">
        <w:rPr>
          <w:rFonts w:ascii="Times New Roman" w:hAnsi="Times New Roman" w:cs="Times New Roman"/>
          <w:sz w:val="24"/>
          <w:szCs w:val="24"/>
        </w:rPr>
        <w:t xml:space="preserve"> main partners in bilateral trade were Germany (20.6%), Spain (16.6%), Italy (12.5%), The Netherlands (12.3%) France (9%)</w:t>
      </w:r>
      <w:r w:rsidR="00CE324B">
        <w:rPr>
          <w:rFonts w:ascii="Times New Roman" w:hAnsi="Times New Roman" w:cs="Times New Roman"/>
          <w:sz w:val="24"/>
          <w:szCs w:val="24"/>
        </w:rPr>
        <w:t>, United Kingdom (8.5%) and Belgium (6.8%)</w:t>
      </w:r>
      <w:r w:rsidR="00996B00">
        <w:rPr>
          <w:rFonts w:ascii="Times New Roman" w:hAnsi="Times New Roman" w:cs="Times New Roman"/>
          <w:sz w:val="24"/>
          <w:szCs w:val="24"/>
        </w:rPr>
        <w:t xml:space="preserve">. </w:t>
      </w:r>
      <w:r w:rsidR="00C65B87">
        <w:rPr>
          <w:rFonts w:ascii="Times New Roman" w:hAnsi="Times New Roman" w:cs="Times New Roman"/>
          <w:sz w:val="24"/>
          <w:szCs w:val="24"/>
        </w:rPr>
        <w:t xml:space="preserve">  </w:t>
      </w:r>
    </w:p>
    <w:p w:rsidR="00B03F92" w:rsidRPr="0023113F" w:rsidRDefault="00B03F92" w:rsidP="00485926">
      <w:pPr>
        <w:spacing w:after="0" w:line="240" w:lineRule="auto"/>
        <w:jc w:val="both"/>
        <w:rPr>
          <w:rFonts w:ascii="Times New Roman" w:hAnsi="Times New Roman" w:cs="Times New Roman"/>
          <w:bCs/>
          <w:sz w:val="24"/>
          <w:szCs w:val="24"/>
        </w:rPr>
      </w:pPr>
    </w:p>
    <w:p w:rsidR="00D80527" w:rsidRPr="0034264C" w:rsidRDefault="00FD3C27" w:rsidP="004609AA">
      <w:pPr>
        <w:spacing w:before="120"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1.1.2.</w:t>
      </w:r>
      <w:r>
        <w:rPr>
          <w:rFonts w:ascii="Times New Roman" w:hAnsi="Times New Roman" w:cs="Times New Roman"/>
          <w:b/>
          <w:sz w:val="24"/>
          <w:szCs w:val="24"/>
        </w:rPr>
        <w:tab/>
      </w:r>
      <w:r w:rsidR="00D80527" w:rsidRPr="0034264C">
        <w:rPr>
          <w:rFonts w:ascii="Times New Roman" w:hAnsi="Times New Roman" w:cs="Times New Roman"/>
          <w:b/>
          <w:sz w:val="24"/>
          <w:szCs w:val="24"/>
        </w:rPr>
        <w:t>What are the problems?</w:t>
      </w:r>
    </w:p>
    <w:p w:rsidR="00D80527" w:rsidRDefault="00D80527" w:rsidP="00485926">
      <w:pPr>
        <w:spacing w:after="0" w:line="240" w:lineRule="auto"/>
        <w:jc w:val="both"/>
        <w:rPr>
          <w:rFonts w:ascii="Times New Roman" w:hAnsi="Times New Roman" w:cs="Times New Roman"/>
          <w:color w:val="1F497D" w:themeColor="text2"/>
          <w:sz w:val="24"/>
          <w:szCs w:val="24"/>
        </w:rPr>
      </w:pPr>
    </w:p>
    <w:p w:rsidR="00E32FCA" w:rsidRPr="00E851A2" w:rsidRDefault="00E32FCA" w:rsidP="00E851A2">
      <w:pPr>
        <w:tabs>
          <w:tab w:val="center" w:pos="4536"/>
        </w:tabs>
        <w:spacing w:after="0" w:line="240" w:lineRule="auto"/>
        <w:jc w:val="both"/>
        <w:rPr>
          <w:rFonts w:ascii="Times New Roman" w:hAnsi="Times New Roman" w:cs="Times New Roman"/>
          <w:b/>
          <w:i/>
          <w:sz w:val="24"/>
          <w:szCs w:val="24"/>
        </w:rPr>
      </w:pPr>
      <w:r w:rsidRPr="00E851A2">
        <w:rPr>
          <w:rFonts w:ascii="Times New Roman" w:hAnsi="Times New Roman" w:cs="Times New Roman"/>
          <w:b/>
          <w:i/>
          <w:sz w:val="24"/>
          <w:szCs w:val="24"/>
          <w:u w:val="single"/>
        </w:rPr>
        <w:t>What are the general issues at stake?</w:t>
      </w:r>
      <w:r w:rsidRPr="00E851A2">
        <w:rPr>
          <w:rFonts w:ascii="Times New Roman" w:hAnsi="Times New Roman" w:cs="Times New Roman"/>
          <w:b/>
          <w:i/>
          <w:sz w:val="24"/>
          <w:szCs w:val="24"/>
        </w:rPr>
        <w:tab/>
      </w:r>
    </w:p>
    <w:p w:rsidR="00E32FCA" w:rsidRDefault="00E32FCA" w:rsidP="00E851A2">
      <w:pPr>
        <w:tabs>
          <w:tab w:val="center" w:pos="4536"/>
        </w:tabs>
        <w:spacing w:after="0" w:line="240" w:lineRule="auto"/>
        <w:jc w:val="both"/>
        <w:rPr>
          <w:rFonts w:ascii="Times New Roman" w:hAnsi="Times New Roman" w:cs="Times New Roman"/>
          <w:b/>
          <w:i/>
          <w:color w:val="1F497D" w:themeColor="text2"/>
          <w:sz w:val="24"/>
          <w:szCs w:val="24"/>
        </w:rPr>
      </w:pPr>
    </w:p>
    <w:p w:rsidR="00E32FCA" w:rsidRPr="00E32FCA" w:rsidRDefault="00E32FCA" w:rsidP="00E32FC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E851A2">
        <w:rPr>
          <w:rFonts w:ascii="Times New Roman" w:hAnsi="Times New Roman" w:cs="Times New Roman"/>
          <w:i/>
          <w:sz w:val="24"/>
          <w:szCs w:val="24"/>
        </w:rPr>
        <w:t>Trade for All</w:t>
      </w:r>
      <w:r w:rsidRPr="00E32FCA">
        <w:rPr>
          <w:rFonts w:ascii="Times New Roman" w:hAnsi="Times New Roman" w:cs="Times New Roman"/>
          <w:sz w:val="24"/>
          <w:szCs w:val="24"/>
        </w:rPr>
        <w:t xml:space="preserve"> Communication has three key policy messages that are also applicable to </w:t>
      </w:r>
      <w:r>
        <w:rPr>
          <w:rFonts w:ascii="Times New Roman" w:hAnsi="Times New Roman" w:cs="Times New Roman"/>
          <w:sz w:val="24"/>
          <w:szCs w:val="24"/>
        </w:rPr>
        <w:t xml:space="preserve">EU bilateral </w:t>
      </w:r>
      <w:r w:rsidRPr="00E32FCA">
        <w:rPr>
          <w:rFonts w:ascii="Times New Roman" w:hAnsi="Times New Roman" w:cs="Times New Roman"/>
          <w:sz w:val="24"/>
          <w:szCs w:val="24"/>
        </w:rPr>
        <w:t>trade and investment relation</w:t>
      </w:r>
      <w:r w:rsidR="004A7B8F">
        <w:rPr>
          <w:rFonts w:ascii="Times New Roman" w:hAnsi="Times New Roman" w:cs="Times New Roman"/>
          <w:sz w:val="24"/>
          <w:szCs w:val="24"/>
        </w:rPr>
        <w:t>s</w:t>
      </w:r>
      <w:r>
        <w:rPr>
          <w:rFonts w:ascii="Times New Roman" w:hAnsi="Times New Roman" w:cs="Times New Roman"/>
          <w:sz w:val="24"/>
          <w:szCs w:val="24"/>
        </w:rPr>
        <w:t xml:space="preserve"> with Chile</w:t>
      </w:r>
      <w:r w:rsidRPr="00E32FCA">
        <w:rPr>
          <w:rFonts w:ascii="Times New Roman" w:hAnsi="Times New Roman" w:cs="Times New Roman"/>
          <w:sz w:val="24"/>
          <w:szCs w:val="24"/>
        </w:rPr>
        <w:t xml:space="preserve">: </w:t>
      </w:r>
    </w:p>
    <w:p w:rsidR="00E32FCA" w:rsidRPr="00E32FCA" w:rsidRDefault="00E32FCA" w:rsidP="00E32FCA">
      <w:pPr>
        <w:numPr>
          <w:ilvl w:val="0"/>
          <w:numId w:val="62"/>
        </w:numPr>
        <w:spacing w:after="120" w:line="240" w:lineRule="auto"/>
        <w:jc w:val="both"/>
        <w:rPr>
          <w:rFonts w:ascii="Times New Roman" w:hAnsi="Times New Roman" w:cs="Times New Roman"/>
          <w:sz w:val="24"/>
          <w:szCs w:val="24"/>
        </w:rPr>
      </w:pPr>
      <w:r w:rsidRPr="00E32FCA">
        <w:rPr>
          <w:rFonts w:ascii="Times New Roman" w:hAnsi="Times New Roman" w:cs="Times New Roman"/>
          <w:sz w:val="24"/>
          <w:szCs w:val="24"/>
        </w:rPr>
        <w:t>To be effective: trade needs to actually deliver on its promise of new economic opportunities. Th</w:t>
      </w:r>
      <w:r w:rsidR="004A7B8F">
        <w:rPr>
          <w:rFonts w:ascii="Times New Roman" w:hAnsi="Times New Roman" w:cs="Times New Roman"/>
          <w:sz w:val="24"/>
          <w:szCs w:val="24"/>
        </w:rPr>
        <w:t>is</w:t>
      </w:r>
      <w:r w:rsidRPr="00E32FCA">
        <w:rPr>
          <w:rFonts w:ascii="Times New Roman" w:hAnsi="Times New Roman" w:cs="Times New Roman"/>
          <w:sz w:val="24"/>
          <w:szCs w:val="24"/>
        </w:rPr>
        <w:t xml:space="preserve"> means addressing the issues that affect today's economy</w:t>
      </w:r>
      <w:r w:rsidR="004A7B8F">
        <w:rPr>
          <w:rFonts w:ascii="Times New Roman" w:hAnsi="Times New Roman" w:cs="Times New Roman"/>
          <w:sz w:val="24"/>
          <w:szCs w:val="24"/>
        </w:rPr>
        <w:t xml:space="preserve">, and </w:t>
      </w:r>
      <w:r w:rsidRPr="00E32FCA">
        <w:rPr>
          <w:rFonts w:ascii="Times New Roman" w:hAnsi="Times New Roman" w:cs="Times New Roman"/>
          <w:sz w:val="24"/>
          <w:szCs w:val="24"/>
        </w:rPr>
        <w:t>providing the means and information necessary to ensure SMEs, consumers and workers can take full advantage of - and adapt to - more open markets. It also means improving implementation and enforcement of our trade rights.</w:t>
      </w:r>
    </w:p>
    <w:p w:rsidR="00E32FCA" w:rsidRPr="00E32FCA" w:rsidRDefault="00E32FCA" w:rsidP="00E32FCA">
      <w:pPr>
        <w:numPr>
          <w:ilvl w:val="0"/>
          <w:numId w:val="62"/>
        </w:numPr>
        <w:spacing w:after="120" w:line="240" w:lineRule="auto"/>
        <w:jc w:val="both"/>
        <w:rPr>
          <w:rFonts w:ascii="Times New Roman" w:hAnsi="Times New Roman" w:cs="Times New Roman"/>
          <w:sz w:val="24"/>
          <w:szCs w:val="24"/>
        </w:rPr>
      </w:pPr>
      <w:r w:rsidRPr="00E32FCA">
        <w:rPr>
          <w:rFonts w:ascii="Times New Roman" w:hAnsi="Times New Roman" w:cs="Times New Roman"/>
          <w:sz w:val="24"/>
          <w:szCs w:val="24"/>
        </w:rPr>
        <w:t xml:space="preserve">To be transparent: opening up negotiations to more public scrutiny by publishing negotiating directives and key negotiating texts from negotiations. </w:t>
      </w:r>
    </w:p>
    <w:p w:rsidR="00E32FCA" w:rsidRPr="004A7B8F" w:rsidRDefault="00E32FCA" w:rsidP="00E851A2">
      <w:pPr>
        <w:pStyle w:val="ListParagraph"/>
        <w:numPr>
          <w:ilvl w:val="0"/>
          <w:numId w:val="62"/>
        </w:numPr>
        <w:tabs>
          <w:tab w:val="center" w:pos="4536"/>
        </w:tabs>
        <w:spacing w:after="0" w:line="240" w:lineRule="auto"/>
        <w:jc w:val="both"/>
        <w:rPr>
          <w:rFonts w:ascii="Times New Roman" w:hAnsi="Times New Roman" w:cs="Times New Roman"/>
          <w:sz w:val="24"/>
          <w:szCs w:val="24"/>
          <w:lang w:val="en-GB"/>
        </w:rPr>
      </w:pPr>
      <w:r w:rsidRPr="004A7B8F">
        <w:rPr>
          <w:rFonts w:ascii="Times New Roman" w:hAnsi="Times New Roman" w:cs="Times New Roman"/>
          <w:sz w:val="24"/>
          <w:szCs w:val="24"/>
          <w:lang w:val="en-GB"/>
        </w:rPr>
        <w:t>To be based on values: first of all, safeguarding the European social and regulatory model at home. It also calls for using trade agreements and preference programmes as levers to promote, around the world, European values like sustainable development, human rights, fair and ethical trade and the fight against corruption. The EU also leads a reform of investment policy globally</w:t>
      </w:r>
      <w:r w:rsidR="004A7B8F">
        <w:rPr>
          <w:rFonts w:ascii="Times New Roman" w:hAnsi="Times New Roman" w:cs="Times New Roman"/>
          <w:sz w:val="24"/>
          <w:szCs w:val="24"/>
          <w:lang w:val="en-GB"/>
        </w:rPr>
        <w:t>,</w:t>
      </w:r>
      <w:r w:rsidRPr="004A7B8F">
        <w:rPr>
          <w:rFonts w:ascii="Times New Roman" w:hAnsi="Times New Roman" w:cs="Times New Roman"/>
          <w:sz w:val="24"/>
          <w:szCs w:val="24"/>
          <w:lang w:val="en-GB"/>
        </w:rPr>
        <w:t xml:space="preserve"> which is taking into account these non-</w:t>
      </w:r>
      <w:r w:rsidR="004F79E5" w:rsidRPr="004A7B8F">
        <w:rPr>
          <w:rFonts w:ascii="Times New Roman" w:hAnsi="Times New Roman" w:cs="Times New Roman"/>
          <w:sz w:val="24"/>
          <w:szCs w:val="24"/>
          <w:lang w:val="en-GB"/>
        </w:rPr>
        <w:t xml:space="preserve">economic </w:t>
      </w:r>
      <w:r w:rsidR="005D1E0D">
        <w:rPr>
          <w:rFonts w:ascii="Times New Roman" w:hAnsi="Times New Roman" w:cs="Times New Roman"/>
          <w:sz w:val="24"/>
          <w:szCs w:val="24"/>
          <w:lang w:val="en-GB"/>
        </w:rPr>
        <w:t xml:space="preserve">societal </w:t>
      </w:r>
      <w:r w:rsidR="004F79E5" w:rsidRPr="004A7B8F">
        <w:rPr>
          <w:rFonts w:ascii="Times New Roman" w:hAnsi="Times New Roman" w:cs="Times New Roman"/>
          <w:sz w:val="24"/>
          <w:szCs w:val="24"/>
          <w:lang w:val="en-GB"/>
        </w:rPr>
        <w:t>values.</w:t>
      </w:r>
    </w:p>
    <w:p w:rsidR="004F79E5" w:rsidRDefault="004F79E5" w:rsidP="00E851A2">
      <w:pPr>
        <w:tabs>
          <w:tab w:val="center" w:pos="4536"/>
        </w:tabs>
        <w:spacing w:after="0" w:line="240" w:lineRule="auto"/>
        <w:jc w:val="both"/>
        <w:rPr>
          <w:rFonts w:ascii="Times New Roman" w:hAnsi="Times New Roman" w:cs="Times New Roman"/>
          <w:color w:val="1F497D" w:themeColor="text2"/>
          <w:sz w:val="24"/>
          <w:szCs w:val="24"/>
        </w:rPr>
      </w:pPr>
    </w:p>
    <w:p w:rsidR="00F85344" w:rsidRPr="00E851A2" w:rsidRDefault="004F79E5" w:rsidP="00E851A2">
      <w:pPr>
        <w:pStyle w:val="ListParagraph"/>
        <w:tabs>
          <w:tab w:val="center" w:pos="4536"/>
        </w:tabs>
        <w:spacing w:after="0" w:line="240" w:lineRule="auto"/>
        <w:ind w:left="0"/>
        <w:jc w:val="both"/>
        <w:rPr>
          <w:rFonts w:ascii="Times New Roman" w:hAnsi="Times New Roman" w:cs="Times New Roman"/>
          <w:sz w:val="24"/>
          <w:szCs w:val="24"/>
          <w:lang w:val="en-GB"/>
        </w:rPr>
      </w:pPr>
      <w:r w:rsidRPr="00E851A2">
        <w:rPr>
          <w:rFonts w:ascii="Times New Roman" w:hAnsi="Times New Roman" w:cs="Times New Roman"/>
          <w:sz w:val="24"/>
          <w:szCs w:val="24"/>
          <w:lang w:val="en-GB"/>
        </w:rPr>
        <w:t xml:space="preserve">As highlighted in the </w:t>
      </w:r>
      <w:r w:rsidRPr="00E851A2">
        <w:rPr>
          <w:rFonts w:ascii="Times New Roman" w:hAnsi="Times New Roman" w:cs="Times New Roman"/>
          <w:i/>
          <w:sz w:val="24"/>
          <w:szCs w:val="24"/>
          <w:lang w:val="en-GB"/>
        </w:rPr>
        <w:t>Trade for All</w:t>
      </w:r>
      <w:r w:rsidRPr="00E851A2">
        <w:rPr>
          <w:rFonts w:ascii="Times New Roman" w:hAnsi="Times New Roman" w:cs="Times New Roman"/>
          <w:sz w:val="24"/>
          <w:szCs w:val="24"/>
          <w:lang w:val="en-GB"/>
        </w:rPr>
        <w:t xml:space="preserve"> Communication, an ambitious programme of multilateral and bilateral negotiations is needed to deliver the full potential from trade. The opening of negotiations to modernise the EU-Chile FTA is one of the concrete initiatives listed in the Communication.</w:t>
      </w:r>
    </w:p>
    <w:p w:rsidR="00F85344" w:rsidRPr="00E851A2" w:rsidRDefault="00F85344" w:rsidP="00E851A2">
      <w:pPr>
        <w:pStyle w:val="ListParagraph"/>
        <w:tabs>
          <w:tab w:val="center" w:pos="4536"/>
        </w:tabs>
        <w:spacing w:after="0" w:line="240" w:lineRule="auto"/>
        <w:ind w:left="0"/>
        <w:jc w:val="both"/>
        <w:rPr>
          <w:rFonts w:ascii="Times New Roman" w:hAnsi="Times New Roman" w:cs="Times New Roman"/>
          <w:sz w:val="24"/>
          <w:szCs w:val="24"/>
          <w:lang w:val="en-GB"/>
        </w:rPr>
      </w:pPr>
    </w:p>
    <w:p w:rsidR="00F85344" w:rsidRPr="00E851A2" w:rsidRDefault="00F85344" w:rsidP="00E851A2">
      <w:pPr>
        <w:pStyle w:val="ListParagraph"/>
        <w:tabs>
          <w:tab w:val="center" w:pos="4536"/>
        </w:tabs>
        <w:spacing w:after="0" w:line="240" w:lineRule="auto"/>
        <w:ind w:left="0"/>
        <w:jc w:val="both"/>
        <w:rPr>
          <w:rFonts w:ascii="Times New Roman" w:hAnsi="Times New Roman" w:cs="Times New Roman"/>
          <w:color w:val="1F497D" w:themeColor="text2"/>
          <w:sz w:val="24"/>
          <w:szCs w:val="24"/>
          <w:lang w:val="en-GB"/>
        </w:rPr>
      </w:pPr>
    </w:p>
    <w:p w:rsidR="00F85344" w:rsidRPr="00E851A2" w:rsidRDefault="00F85344" w:rsidP="00E851A2">
      <w:pPr>
        <w:pStyle w:val="ListParagraph"/>
        <w:tabs>
          <w:tab w:val="center" w:pos="4536"/>
        </w:tabs>
        <w:spacing w:after="0" w:line="240" w:lineRule="auto"/>
        <w:ind w:left="0"/>
        <w:jc w:val="both"/>
        <w:rPr>
          <w:rFonts w:ascii="Times New Roman" w:hAnsi="Times New Roman" w:cs="Times New Roman"/>
          <w:color w:val="1F497D" w:themeColor="text2"/>
          <w:sz w:val="24"/>
          <w:szCs w:val="24"/>
          <w:lang w:val="en-GB"/>
        </w:rPr>
      </w:pPr>
    </w:p>
    <w:p w:rsidR="00E32FCA" w:rsidRPr="00E32FCA" w:rsidRDefault="00E32FCA" w:rsidP="00E851A2">
      <w:pPr>
        <w:tabs>
          <w:tab w:val="center" w:pos="4536"/>
        </w:tabs>
        <w:spacing w:after="0" w:line="240" w:lineRule="auto"/>
        <w:jc w:val="both"/>
        <w:rPr>
          <w:rFonts w:ascii="Times New Roman" w:hAnsi="Times New Roman" w:cs="Times New Roman"/>
          <w:color w:val="1F497D" w:themeColor="text2"/>
          <w:sz w:val="24"/>
          <w:szCs w:val="24"/>
        </w:rPr>
      </w:pPr>
    </w:p>
    <w:p w:rsidR="00E32FCA" w:rsidRPr="00E851A2" w:rsidRDefault="00E32FCA" w:rsidP="009A7AB9">
      <w:pPr>
        <w:tabs>
          <w:tab w:val="center" w:pos="4536"/>
        </w:tabs>
        <w:spacing w:after="0" w:line="240" w:lineRule="auto"/>
        <w:jc w:val="both"/>
        <w:rPr>
          <w:rFonts w:ascii="Times New Roman" w:hAnsi="Times New Roman" w:cs="Times New Roman"/>
          <w:b/>
          <w:i/>
          <w:sz w:val="24"/>
          <w:szCs w:val="24"/>
          <w:u w:val="single"/>
        </w:rPr>
      </w:pPr>
      <w:r w:rsidRPr="00E851A2">
        <w:rPr>
          <w:rFonts w:ascii="Times New Roman" w:hAnsi="Times New Roman" w:cs="Times New Roman"/>
          <w:b/>
          <w:i/>
          <w:sz w:val="24"/>
          <w:szCs w:val="24"/>
          <w:u w:val="single"/>
        </w:rPr>
        <w:t>What are the specific problems?</w:t>
      </w:r>
    </w:p>
    <w:p w:rsidR="00E32FCA" w:rsidRDefault="00E32FCA" w:rsidP="00485926">
      <w:pPr>
        <w:spacing w:after="0" w:line="240" w:lineRule="auto"/>
        <w:jc w:val="both"/>
        <w:rPr>
          <w:rFonts w:ascii="Times New Roman" w:hAnsi="Times New Roman" w:cs="Times New Roman"/>
          <w:color w:val="1F497D" w:themeColor="text2"/>
          <w:sz w:val="24"/>
          <w:szCs w:val="24"/>
        </w:rPr>
      </w:pPr>
    </w:p>
    <w:p w:rsidR="00234D19" w:rsidRPr="000D11A3" w:rsidRDefault="00194090" w:rsidP="00E851A2">
      <w:p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234D19" w:rsidRPr="000D11A3">
        <w:rPr>
          <w:rFonts w:ascii="Times New Roman" w:hAnsi="Times New Roman" w:cs="Times New Roman"/>
          <w:b/>
          <w:sz w:val="24"/>
          <w:szCs w:val="24"/>
        </w:rPr>
        <w:t xml:space="preserve">Outdated EU-Chile FTA </w:t>
      </w:r>
      <w:r w:rsidR="0089580E">
        <w:rPr>
          <w:rFonts w:ascii="Times New Roman" w:hAnsi="Times New Roman" w:cs="Times New Roman"/>
          <w:b/>
          <w:sz w:val="24"/>
          <w:szCs w:val="24"/>
        </w:rPr>
        <w:t xml:space="preserve">rules-based </w:t>
      </w:r>
      <w:r w:rsidR="00007900" w:rsidRPr="000D11A3">
        <w:rPr>
          <w:rFonts w:ascii="Times New Roman" w:hAnsi="Times New Roman" w:cs="Times New Roman"/>
          <w:b/>
          <w:sz w:val="24"/>
          <w:szCs w:val="24"/>
        </w:rPr>
        <w:t xml:space="preserve">provisions </w:t>
      </w:r>
      <w:r w:rsidR="00234D19" w:rsidRPr="000D11A3">
        <w:rPr>
          <w:rFonts w:ascii="Times New Roman" w:hAnsi="Times New Roman" w:cs="Times New Roman"/>
          <w:b/>
          <w:sz w:val="24"/>
          <w:szCs w:val="24"/>
        </w:rPr>
        <w:t xml:space="preserve">do not allow bilateral trade and investment to reach </w:t>
      </w:r>
      <w:r w:rsidR="003A365C" w:rsidRPr="000D11A3">
        <w:rPr>
          <w:rFonts w:ascii="Times New Roman" w:hAnsi="Times New Roman" w:cs="Times New Roman"/>
          <w:b/>
          <w:sz w:val="24"/>
          <w:szCs w:val="24"/>
        </w:rPr>
        <w:t xml:space="preserve">its </w:t>
      </w:r>
      <w:r w:rsidR="00234D19" w:rsidRPr="000D11A3">
        <w:rPr>
          <w:rFonts w:ascii="Times New Roman" w:hAnsi="Times New Roman" w:cs="Times New Roman"/>
          <w:b/>
          <w:sz w:val="24"/>
          <w:szCs w:val="24"/>
        </w:rPr>
        <w:t>full potential</w:t>
      </w:r>
      <w:r w:rsidR="00234D19" w:rsidRPr="000D11A3">
        <w:rPr>
          <w:rFonts w:ascii="Times New Roman" w:hAnsi="Times New Roman" w:cs="Times New Roman"/>
          <w:b/>
          <w:sz w:val="24"/>
          <w:szCs w:val="24"/>
        </w:rPr>
        <w:tab/>
      </w:r>
    </w:p>
    <w:p w:rsidR="00234D19" w:rsidRPr="00234D19" w:rsidRDefault="00234D19" w:rsidP="00341D71">
      <w:pPr>
        <w:spacing w:after="0" w:line="240" w:lineRule="auto"/>
        <w:jc w:val="both"/>
        <w:rPr>
          <w:rFonts w:ascii="Times New Roman" w:hAnsi="Times New Roman" w:cs="Times New Roman"/>
          <w:sz w:val="24"/>
          <w:szCs w:val="24"/>
        </w:rPr>
      </w:pPr>
    </w:p>
    <w:p w:rsidR="00E1497B" w:rsidRPr="00234D19" w:rsidRDefault="00A270EB" w:rsidP="00341D71">
      <w:pPr>
        <w:spacing w:after="0" w:line="240" w:lineRule="auto"/>
        <w:jc w:val="both"/>
        <w:rPr>
          <w:rFonts w:ascii="Times New Roman" w:hAnsi="Times New Roman" w:cs="Times New Roman"/>
          <w:sz w:val="24"/>
          <w:szCs w:val="24"/>
        </w:rPr>
      </w:pPr>
      <w:r w:rsidRPr="00234D19">
        <w:rPr>
          <w:rFonts w:ascii="Times New Roman" w:hAnsi="Times New Roman" w:cs="Times New Roman"/>
          <w:sz w:val="24"/>
          <w:szCs w:val="24"/>
        </w:rPr>
        <w:t>F</w:t>
      </w:r>
      <w:r w:rsidR="00E84983" w:rsidRPr="00234D19">
        <w:rPr>
          <w:rFonts w:ascii="Times New Roman" w:hAnsi="Times New Roman" w:cs="Times New Roman"/>
          <w:sz w:val="24"/>
          <w:szCs w:val="24"/>
        </w:rPr>
        <w:t>ourteen</w:t>
      </w:r>
      <w:r w:rsidR="00341D71" w:rsidRPr="00234D19">
        <w:rPr>
          <w:rFonts w:ascii="Times New Roman" w:hAnsi="Times New Roman" w:cs="Times New Roman"/>
          <w:sz w:val="24"/>
          <w:szCs w:val="24"/>
        </w:rPr>
        <w:t xml:space="preserve"> years after entry into force, the EU-Chile FTA</w:t>
      </w:r>
      <w:r w:rsidR="00533B86" w:rsidRPr="00234D19">
        <w:rPr>
          <w:rFonts w:ascii="Times New Roman" w:hAnsi="Times New Roman" w:cs="Times New Roman"/>
          <w:sz w:val="24"/>
          <w:szCs w:val="24"/>
        </w:rPr>
        <w:t xml:space="preserve"> -</w:t>
      </w:r>
      <w:r w:rsidR="00341D71" w:rsidRPr="00234D19">
        <w:rPr>
          <w:rFonts w:ascii="Times New Roman" w:hAnsi="Times New Roman" w:cs="Times New Roman"/>
          <w:sz w:val="24"/>
          <w:szCs w:val="24"/>
        </w:rPr>
        <w:t xml:space="preserve"> considered a </w:t>
      </w:r>
      <w:r w:rsidR="005E4BEA">
        <w:rPr>
          <w:rFonts w:ascii="Times New Roman" w:hAnsi="Times New Roman" w:cs="Times New Roman"/>
          <w:sz w:val="24"/>
          <w:szCs w:val="24"/>
        </w:rPr>
        <w:t>very advanced</w:t>
      </w:r>
      <w:r w:rsidR="00341D71" w:rsidRPr="00234D19">
        <w:rPr>
          <w:rFonts w:ascii="Times New Roman" w:hAnsi="Times New Roman" w:cs="Times New Roman"/>
          <w:sz w:val="24"/>
          <w:szCs w:val="24"/>
        </w:rPr>
        <w:t xml:space="preserve"> FTA when it </w:t>
      </w:r>
      <w:r w:rsidR="00730E50">
        <w:rPr>
          <w:rFonts w:ascii="Times New Roman" w:hAnsi="Times New Roman" w:cs="Times New Roman"/>
          <w:sz w:val="24"/>
          <w:szCs w:val="24"/>
        </w:rPr>
        <w:t>entered into force in 2003</w:t>
      </w:r>
      <w:r w:rsidR="00533B86" w:rsidRPr="00234D19">
        <w:rPr>
          <w:rFonts w:ascii="Times New Roman" w:hAnsi="Times New Roman" w:cs="Times New Roman"/>
          <w:sz w:val="24"/>
          <w:szCs w:val="24"/>
        </w:rPr>
        <w:t xml:space="preserve"> -</w:t>
      </w:r>
      <w:r w:rsidR="00341D71" w:rsidRPr="00234D19">
        <w:rPr>
          <w:rFonts w:ascii="Times New Roman" w:hAnsi="Times New Roman" w:cs="Times New Roman"/>
          <w:sz w:val="24"/>
          <w:szCs w:val="24"/>
        </w:rPr>
        <w:t xml:space="preserve"> does not address some of the important trade and investment issu</w:t>
      </w:r>
      <w:r w:rsidR="00872452">
        <w:rPr>
          <w:rFonts w:ascii="Times New Roman" w:hAnsi="Times New Roman" w:cs="Times New Roman"/>
          <w:sz w:val="24"/>
          <w:szCs w:val="24"/>
        </w:rPr>
        <w:t>es included in the most recent A</w:t>
      </w:r>
      <w:r w:rsidR="00341D71" w:rsidRPr="00234D19">
        <w:rPr>
          <w:rFonts w:ascii="Times New Roman" w:hAnsi="Times New Roman" w:cs="Times New Roman"/>
          <w:sz w:val="24"/>
          <w:szCs w:val="24"/>
        </w:rPr>
        <w:t xml:space="preserve">greements concluded </w:t>
      </w:r>
      <w:r w:rsidR="00D83691">
        <w:rPr>
          <w:rFonts w:ascii="Times New Roman" w:hAnsi="Times New Roman" w:cs="Times New Roman"/>
          <w:sz w:val="24"/>
          <w:szCs w:val="24"/>
        </w:rPr>
        <w:t xml:space="preserve">or currently under negotiation </w:t>
      </w:r>
      <w:r w:rsidR="00341D71" w:rsidRPr="00234D19">
        <w:rPr>
          <w:rFonts w:ascii="Times New Roman" w:hAnsi="Times New Roman" w:cs="Times New Roman"/>
          <w:sz w:val="24"/>
          <w:szCs w:val="24"/>
        </w:rPr>
        <w:t xml:space="preserve">by the EU </w:t>
      </w:r>
      <w:r w:rsidR="00D83691">
        <w:rPr>
          <w:rFonts w:ascii="Times New Roman" w:hAnsi="Times New Roman" w:cs="Times New Roman"/>
          <w:sz w:val="24"/>
          <w:szCs w:val="24"/>
        </w:rPr>
        <w:t>or by</w:t>
      </w:r>
      <w:r w:rsidR="00341D71" w:rsidRPr="00234D19">
        <w:rPr>
          <w:rFonts w:ascii="Times New Roman" w:hAnsi="Times New Roman" w:cs="Times New Roman"/>
          <w:sz w:val="24"/>
          <w:szCs w:val="24"/>
        </w:rPr>
        <w:t xml:space="preserve"> Chile </w:t>
      </w:r>
      <w:r w:rsidR="00B3557F" w:rsidRPr="00234D19">
        <w:rPr>
          <w:rFonts w:ascii="Times New Roman" w:hAnsi="Times New Roman" w:cs="Times New Roman"/>
          <w:sz w:val="24"/>
          <w:szCs w:val="24"/>
        </w:rPr>
        <w:t>with third parties</w:t>
      </w:r>
      <w:r w:rsidR="0034264C" w:rsidRPr="00234D19">
        <w:rPr>
          <w:rFonts w:ascii="Times New Roman" w:hAnsi="Times New Roman" w:cs="Times New Roman"/>
          <w:sz w:val="24"/>
          <w:szCs w:val="24"/>
        </w:rPr>
        <w:t xml:space="preserve">, such as the Comprehensive Economic and Trade Agreement (CETA) with Canada, the </w:t>
      </w:r>
      <w:r w:rsidR="005E4BEA">
        <w:rPr>
          <w:rFonts w:ascii="Times New Roman" w:hAnsi="Times New Roman" w:cs="Times New Roman"/>
          <w:sz w:val="24"/>
          <w:szCs w:val="24"/>
        </w:rPr>
        <w:t xml:space="preserve">FTA </w:t>
      </w:r>
      <w:r w:rsidR="00730E50">
        <w:rPr>
          <w:rFonts w:ascii="Times New Roman" w:hAnsi="Times New Roman" w:cs="Times New Roman"/>
          <w:sz w:val="24"/>
          <w:szCs w:val="24"/>
        </w:rPr>
        <w:t xml:space="preserve">being negotiated </w:t>
      </w:r>
      <w:r w:rsidR="007772B2">
        <w:rPr>
          <w:rFonts w:ascii="Times New Roman" w:hAnsi="Times New Roman" w:cs="Times New Roman"/>
          <w:sz w:val="24"/>
          <w:szCs w:val="24"/>
        </w:rPr>
        <w:t xml:space="preserve">by the EU </w:t>
      </w:r>
      <w:r w:rsidR="005E4BEA">
        <w:rPr>
          <w:rFonts w:ascii="Times New Roman" w:hAnsi="Times New Roman" w:cs="Times New Roman"/>
          <w:sz w:val="24"/>
          <w:szCs w:val="24"/>
        </w:rPr>
        <w:t>with Japan</w:t>
      </w:r>
      <w:r w:rsidR="00730E50">
        <w:rPr>
          <w:rFonts w:ascii="Times New Roman" w:hAnsi="Times New Roman" w:cs="Times New Roman"/>
          <w:sz w:val="24"/>
          <w:szCs w:val="24"/>
        </w:rPr>
        <w:t xml:space="preserve">, the modernisation of the </w:t>
      </w:r>
      <w:r w:rsidR="007772B2">
        <w:rPr>
          <w:rFonts w:ascii="Times New Roman" w:hAnsi="Times New Roman" w:cs="Times New Roman"/>
          <w:sz w:val="24"/>
          <w:szCs w:val="24"/>
        </w:rPr>
        <w:t xml:space="preserve">EU-Mexico </w:t>
      </w:r>
      <w:r w:rsidR="00730E50">
        <w:rPr>
          <w:rFonts w:ascii="Times New Roman" w:hAnsi="Times New Roman" w:cs="Times New Roman"/>
          <w:sz w:val="24"/>
          <w:szCs w:val="24"/>
        </w:rPr>
        <w:t xml:space="preserve">FTA </w:t>
      </w:r>
      <w:r w:rsidR="0034264C" w:rsidRPr="00234D19">
        <w:rPr>
          <w:rFonts w:ascii="Times New Roman" w:hAnsi="Times New Roman" w:cs="Times New Roman"/>
          <w:sz w:val="24"/>
          <w:szCs w:val="24"/>
        </w:rPr>
        <w:t>or the Trans-Pacific Partnership</w:t>
      </w:r>
      <w:r w:rsidR="00234D19" w:rsidRPr="00234D19">
        <w:rPr>
          <w:rStyle w:val="FootnoteReference"/>
          <w:rFonts w:ascii="Times New Roman" w:hAnsi="Times New Roman" w:cs="Times New Roman"/>
          <w:sz w:val="24"/>
          <w:szCs w:val="24"/>
        </w:rPr>
        <w:footnoteReference w:id="2"/>
      </w:r>
      <w:r w:rsidR="0034264C" w:rsidRPr="00234D19">
        <w:rPr>
          <w:rFonts w:ascii="Times New Roman" w:hAnsi="Times New Roman" w:cs="Times New Roman"/>
          <w:sz w:val="24"/>
          <w:szCs w:val="24"/>
        </w:rPr>
        <w:t xml:space="preserve">. </w:t>
      </w:r>
      <w:r w:rsidRPr="00234D19">
        <w:rPr>
          <w:rFonts w:ascii="Times New Roman" w:hAnsi="Times New Roman" w:cs="Times New Roman"/>
          <w:sz w:val="24"/>
          <w:szCs w:val="24"/>
        </w:rPr>
        <w:t xml:space="preserve"> </w:t>
      </w:r>
    </w:p>
    <w:p w:rsidR="00E1497B" w:rsidRPr="000F76F0" w:rsidRDefault="00E1497B" w:rsidP="00341D71">
      <w:pPr>
        <w:spacing w:after="0" w:line="240" w:lineRule="auto"/>
        <w:jc w:val="both"/>
        <w:rPr>
          <w:rFonts w:ascii="Times New Roman" w:hAnsi="Times New Roman" w:cs="Times New Roman"/>
          <w:sz w:val="12"/>
          <w:szCs w:val="12"/>
        </w:rPr>
      </w:pPr>
    </w:p>
    <w:p w:rsidR="00872452" w:rsidRDefault="00872452" w:rsidP="00872452">
      <w:pPr>
        <w:spacing w:after="0" w:line="240" w:lineRule="auto"/>
        <w:jc w:val="both"/>
        <w:rPr>
          <w:rFonts w:ascii="Times New Roman" w:hAnsi="Times New Roman" w:cs="Times New Roman"/>
          <w:sz w:val="24"/>
          <w:szCs w:val="24"/>
        </w:rPr>
      </w:pPr>
      <w:r w:rsidRPr="00234D19">
        <w:rPr>
          <w:rFonts w:ascii="Times New Roman" w:hAnsi="Times New Roman" w:cs="Times New Roman"/>
          <w:sz w:val="24"/>
          <w:szCs w:val="24"/>
        </w:rPr>
        <w:t>As a result,</w:t>
      </w:r>
      <w:r>
        <w:rPr>
          <w:rFonts w:ascii="Times New Roman" w:hAnsi="Times New Roman" w:cs="Times New Roman"/>
          <w:sz w:val="24"/>
          <w:szCs w:val="24"/>
        </w:rPr>
        <w:t xml:space="preserve"> </w:t>
      </w:r>
      <w:r w:rsidR="007A3DCE">
        <w:rPr>
          <w:rFonts w:ascii="Times New Roman" w:hAnsi="Times New Roman" w:cs="Times New Roman"/>
          <w:sz w:val="24"/>
          <w:szCs w:val="24"/>
        </w:rPr>
        <w:t>e</w:t>
      </w:r>
      <w:r>
        <w:rPr>
          <w:rFonts w:ascii="Times New Roman" w:hAnsi="Times New Roman" w:cs="Times New Roman"/>
          <w:sz w:val="24"/>
          <w:szCs w:val="24"/>
        </w:rPr>
        <w:t xml:space="preserve">conomic operators are </w:t>
      </w:r>
      <w:r w:rsidR="007A3DCE">
        <w:rPr>
          <w:rFonts w:ascii="Times New Roman" w:hAnsi="Times New Roman" w:cs="Times New Roman"/>
          <w:sz w:val="24"/>
          <w:szCs w:val="24"/>
        </w:rPr>
        <w:t xml:space="preserve">currently </w:t>
      </w:r>
      <w:r>
        <w:rPr>
          <w:rFonts w:ascii="Times New Roman" w:hAnsi="Times New Roman" w:cs="Times New Roman"/>
          <w:sz w:val="24"/>
          <w:szCs w:val="24"/>
        </w:rPr>
        <w:t xml:space="preserve">subject to </w:t>
      </w:r>
      <w:r w:rsidR="00E37D80">
        <w:rPr>
          <w:rFonts w:ascii="Times New Roman" w:hAnsi="Times New Roman" w:cs="Times New Roman"/>
          <w:sz w:val="24"/>
          <w:szCs w:val="24"/>
        </w:rPr>
        <w:t xml:space="preserve">an </w:t>
      </w:r>
      <w:r>
        <w:rPr>
          <w:rFonts w:ascii="Times New Roman" w:hAnsi="Times New Roman" w:cs="Times New Roman"/>
          <w:sz w:val="24"/>
          <w:szCs w:val="24"/>
        </w:rPr>
        <w:t xml:space="preserve">excessive administrative burden due to remaining </w:t>
      </w:r>
      <w:r w:rsidR="00E37D80">
        <w:rPr>
          <w:rFonts w:ascii="Times New Roman" w:hAnsi="Times New Roman" w:cs="Times New Roman"/>
          <w:sz w:val="24"/>
          <w:szCs w:val="24"/>
        </w:rPr>
        <w:t>non-tariff barriers</w:t>
      </w:r>
      <w:r>
        <w:rPr>
          <w:rFonts w:ascii="Times New Roman" w:hAnsi="Times New Roman" w:cs="Times New Roman"/>
          <w:sz w:val="24"/>
          <w:szCs w:val="24"/>
        </w:rPr>
        <w:t xml:space="preserve"> and outdated </w:t>
      </w:r>
      <w:r w:rsidR="00E37D80">
        <w:rPr>
          <w:rFonts w:ascii="Times New Roman" w:hAnsi="Times New Roman" w:cs="Times New Roman"/>
          <w:sz w:val="24"/>
          <w:szCs w:val="24"/>
        </w:rPr>
        <w:t xml:space="preserve">customs procedures and </w:t>
      </w:r>
      <w:r>
        <w:rPr>
          <w:rFonts w:ascii="Times New Roman" w:hAnsi="Times New Roman" w:cs="Times New Roman"/>
          <w:sz w:val="24"/>
          <w:szCs w:val="24"/>
        </w:rPr>
        <w:t>rules of origin</w:t>
      </w:r>
      <w:r w:rsidR="000C57D8">
        <w:rPr>
          <w:rFonts w:ascii="Times New Roman" w:hAnsi="Times New Roman" w:cs="Times New Roman"/>
          <w:sz w:val="24"/>
          <w:szCs w:val="24"/>
        </w:rPr>
        <w:t>, which is particularly burdensome for SMEs</w:t>
      </w:r>
      <w:r>
        <w:rPr>
          <w:rFonts w:ascii="Times New Roman" w:hAnsi="Times New Roman" w:cs="Times New Roman"/>
          <w:sz w:val="24"/>
          <w:szCs w:val="24"/>
        </w:rPr>
        <w:t xml:space="preserve">. There is </w:t>
      </w:r>
      <w:r w:rsidR="00E37D80">
        <w:rPr>
          <w:rFonts w:ascii="Times New Roman" w:hAnsi="Times New Roman" w:cs="Times New Roman"/>
          <w:sz w:val="24"/>
          <w:szCs w:val="24"/>
        </w:rPr>
        <w:t>only partial coverage of investment protection (through Bilateral Investment Treaties)</w:t>
      </w:r>
      <w:r w:rsidR="0089580E">
        <w:rPr>
          <w:rFonts w:ascii="Times New Roman" w:hAnsi="Times New Roman" w:cs="Times New Roman"/>
          <w:sz w:val="24"/>
          <w:szCs w:val="24"/>
        </w:rPr>
        <w:t xml:space="preserve">, </w:t>
      </w:r>
      <w:r w:rsidR="00E37D80">
        <w:rPr>
          <w:rFonts w:ascii="Times New Roman" w:hAnsi="Times New Roman" w:cs="Times New Roman"/>
          <w:sz w:val="24"/>
          <w:szCs w:val="24"/>
        </w:rPr>
        <w:t xml:space="preserve">whilst </w:t>
      </w:r>
      <w:r>
        <w:rPr>
          <w:rFonts w:ascii="Times New Roman" w:hAnsi="Times New Roman" w:cs="Times New Roman"/>
          <w:sz w:val="24"/>
          <w:szCs w:val="24"/>
        </w:rPr>
        <w:t>protection and enforcement of IPR</w:t>
      </w:r>
      <w:r w:rsidR="00E37D80">
        <w:rPr>
          <w:rFonts w:ascii="Times New Roman" w:hAnsi="Times New Roman" w:cs="Times New Roman"/>
          <w:sz w:val="24"/>
          <w:szCs w:val="24"/>
        </w:rPr>
        <w:t xml:space="preserve"> remains insufficient</w:t>
      </w:r>
      <w:r>
        <w:rPr>
          <w:rFonts w:ascii="Times New Roman" w:hAnsi="Times New Roman" w:cs="Times New Roman"/>
          <w:sz w:val="24"/>
          <w:szCs w:val="24"/>
        </w:rPr>
        <w:t xml:space="preserve">, </w:t>
      </w:r>
      <w:r w:rsidR="005D1E0D">
        <w:rPr>
          <w:rFonts w:ascii="Times New Roman" w:hAnsi="Times New Roman" w:cs="Times New Roman"/>
          <w:sz w:val="24"/>
          <w:szCs w:val="24"/>
        </w:rPr>
        <w:t xml:space="preserve">and </w:t>
      </w:r>
      <w:r w:rsidR="00E37D80">
        <w:rPr>
          <w:rFonts w:ascii="Times New Roman" w:hAnsi="Times New Roman" w:cs="Times New Roman"/>
          <w:sz w:val="24"/>
          <w:szCs w:val="24"/>
        </w:rPr>
        <w:t xml:space="preserve">with </w:t>
      </w:r>
      <w:r>
        <w:rPr>
          <w:rFonts w:ascii="Times New Roman" w:hAnsi="Times New Roman" w:cs="Times New Roman"/>
          <w:sz w:val="24"/>
          <w:szCs w:val="24"/>
        </w:rPr>
        <w:t>no pr</w:t>
      </w:r>
      <w:r w:rsidR="00E37D80">
        <w:rPr>
          <w:rFonts w:ascii="Times New Roman" w:hAnsi="Times New Roman" w:cs="Times New Roman"/>
          <w:sz w:val="24"/>
          <w:szCs w:val="24"/>
        </w:rPr>
        <w:t>o</w:t>
      </w:r>
      <w:r>
        <w:rPr>
          <w:rFonts w:ascii="Times New Roman" w:hAnsi="Times New Roman" w:cs="Times New Roman"/>
          <w:sz w:val="24"/>
          <w:szCs w:val="24"/>
        </w:rPr>
        <w:t xml:space="preserve">tection of Geographical Indications on foodstuffs.  This view is shared by </w:t>
      </w:r>
      <w:r w:rsidR="00B4264C">
        <w:rPr>
          <w:rFonts w:ascii="Times New Roman" w:hAnsi="Times New Roman" w:cs="Times New Roman"/>
          <w:sz w:val="24"/>
          <w:szCs w:val="24"/>
        </w:rPr>
        <w:t xml:space="preserve">many </w:t>
      </w:r>
      <w:r>
        <w:rPr>
          <w:rFonts w:ascii="Times New Roman" w:hAnsi="Times New Roman" w:cs="Times New Roman"/>
          <w:sz w:val="24"/>
          <w:szCs w:val="24"/>
        </w:rPr>
        <w:t>public consultation respondents, who consider that there is a clear need to modernise the existing FTA to achieve a broader and more ambitious Agreement.</w:t>
      </w:r>
    </w:p>
    <w:p w:rsidR="00872452" w:rsidRDefault="00872452" w:rsidP="00872452">
      <w:pPr>
        <w:spacing w:after="0" w:line="240" w:lineRule="auto"/>
        <w:jc w:val="both"/>
        <w:rPr>
          <w:rFonts w:ascii="Times New Roman" w:hAnsi="Times New Roman" w:cs="Times New Roman"/>
          <w:sz w:val="24"/>
          <w:szCs w:val="24"/>
        </w:rPr>
      </w:pPr>
    </w:p>
    <w:p w:rsidR="000677BC" w:rsidRPr="000D11A3" w:rsidRDefault="00194090" w:rsidP="00E851A2">
      <w:p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w:t>
      </w:r>
      <w:r w:rsidR="00F84322">
        <w:rPr>
          <w:rFonts w:ascii="Times New Roman" w:hAnsi="Times New Roman" w:cs="Times New Roman"/>
          <w:b/>
          <w:sz w:val="24"/>
          <w:szCs w:val="24"/>
        </w:rPr>
        <w:tab/>
      </w:r>
      <w:r w:rsidR="000677BC" w:rsidRPr="000D11A3">
        <w:rPr>
          <w:rFonts w:ascii="Times New Roman" w:hAnsi="Times New Roman" w:cs="Times New Roman"/>
          <w:b/>
          <w:sz w:val="24"/>
          <w:szCs w:val="24"/>
        </w:rPr>
        <w:t xml:space="preserve">Unfulfilled market access in </w:t>
      </w:r>
      <w:r w:rsidR="00F14984" w:rsidRPr="000D11A3">
        <w:rPr>
          <w:rFonts w:ascii="Times New Roman" w:hAnsi="Times New Roman" w:cs="Times New Roman"/>
          <w:b/>
          <w:sz w:val="24"/>
          <w:szCs w:val="24"/>
        </w:rPr>
        <w:t xml:space="preserve">agriculture, services and public procurement </w:t>
      </w:r>
    </w:p>
    <w:p w:rsidR="000677BC" w:rsidRDefault="000677BC" w:rsidP="002A0F4A">
      <w:pPr>
        <w:spacing w:after="0" w:line="240" w:lineRule="auto"/>
        <w:ind w:left="1440" w:hanging="1440"/>
        <w:jc w:val="both"/>
        <w:rPr>
          <w:rFonts w:ascii="Times New Roman" w:hAnsi="Times New Roman" w:cs="Times New Roman"/>
          <w:b/>
          <w:i/>
          <w:sz w:val="24"/>
          <w:szCs w:val="24"/>
        </w:rPr>
      </w:pPr>
    </w:p>
    <w:p w:rsidR="00E16174" w:rsidRDefault="00950BC7" w:rsidP="00862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contrast to the 100% tariff liberalisation brought about by the </w:t>
      </w:r>
      <w:r w:rsidR="00F85BA4">
        <w:rPr>
          <w:rFonts w:ascii="Times New Roman" w:hAnsi="Times New Roman" w:cs="Times New Roman"/>
          <w:sz w:val="24"/>
          <w:szCs w:val="24"/>
        </w:rPr>
        <w:t xml:space="preserve">EU-Chile FTA </w:t>
      </w:r>
      <w:r>
        <w:rPr>
          <w:rFonts w:ascii="Times New Roman" w:hAnsi="Times New Roman" w:cs="Times New Roman"/>
          <w:sz w:val="24"/>
          <w:szCs w:val="24"/>
        </w:rPr>
        <w:t xml:space="preserve">on </w:t>
      </w:r>
      <w:r w:rsidR="00F85BA4">
        <w:rPr>
          <w:rFonts w:ascii="Times New Roman" w:hAnsi="Times New Roman" w:cs="Times New Roman"/>
          <w:sz w:val="24"/>
          <w:szCs w:val="24"/>
        </w:rPr>
        <w:t xml:space="preserve">industrial products, </w:t>
      </w:r>
      <w:r w:rsidR="008625D4">
        <w:rPr>
          <w:rFonts w:ascii="Times New Roman" w:hAnsi="Times New Roman" w:cs="Times New Roman"/>
          <w:sz w:val="24"/>
          <w:szCs w:val="24"/>
        </w:rPr>
        <w:t xml:space="preserve">trade liberalisation on agriculture and food </w:t>
      </w:r>
      <w:r w:rsidR="00A13487">
        <w:rPr>
          <w:rFonts w:ascii="Times New Roman" w:hAnsi="Times New Roman" w:cs="Times New Roman"/>
          <w:sz w:val="24"/>
          <w:szCs w:val="24"/>
        </w:rPr>
        <w:t>was</w:t>
      </w:r>
      <w:r w:rsidR="008625D4">
        <w:rPr>
          <w:rFonts w:ascii="Times New Roman" w:hAnsi="Times New Roman" w:cs="Times New Roman"/>
          <w:sz w:val="24"/>
          <w:szCs w:val="24"/>
        </w:rPr>
        <w:t xml:space="preserve"> more limited, with a number of products subject to partial liberalisation or excluded. </w:t>
      </w:r>
    </w:p>
    <w:p w:rsidR="00E16174" w:rsidRPr="000F76F0" w:rsidRDefault="00E16174" w:rsidP="008625D4">
      <w:pPr>
        <w:spacing w:after="0" w:line="240" w:lineRule="auto"/>
        <w:jc w:val="both"/>
        <w:rPr>
          <w:rFonts w:ascii="Times New Roman" w:hAnsi="Times New Roman" w:cs="Times New Roman"/>
          <w:sz w:val="12"/>
          <w:szCs w:val="12"/>
        </w:rPr>
      </w:pPr>
    </w:p>
    <w:p w:rsidR="00E16174" w:rsidRDefault="00CA7F8D" w:rsidP="00862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should be noted, however, that </w:t>
      </w:r>
      <w:r w:rsidR="00276A0F">
        <w:rPr>
          <w:rFonts w:ascii="Times New Roman" w:hAnsi="Times New Roman" w:cs="Times New Roman"/>
          <w:sz w:val="24"/>
          <w:szCs w:val="24"/>
        </w:rPr>
        <w:t>Chile has benefited greatly from the trade liberalisation offered by the EU, especially on fruits, wine and certain fish</w:t>
      </w:r>
      <w:r>
        <w:rPr>
          <w:rFonts w:ascii="Times New Roman" w:hAnsi="Times New Roman" w:cs="Times New Roman"/>
          <w:sz w:val="24"/>
          <w:szCs w:val="24"/>
        </w:rPr>
        <w:t>, where Chilean exports to the EU have increased substantially since 2003</w:t>
      </w:r>
      <w:r w:rsidR="00950BC7">
        <w:rPr>
          <w:rFonts w:ascii="Times New Roman" w:hAnsi="Times New Roman" w:cs="Times New Roman"/>
          <w:sz w:val="24"/>
          <w:szCs w:val="24"/>
        </w:rPr>
        <w:t xml:space="preserve">. </w:t>
      </w:r>
      <w:r w:rsidR="00EB0741">
        <w:rPr>
          <w:rFonts w:ascii="Times New Roman" w:hAnsi="Times New Roman" w:cs="Times New Roman"/>
          <w:sz w:val="24"/>
          <w:szCs w:val="24"/>
        </w:rPr>
        <w:t>EU exports</w:t>
      </w:r>
      <w:r w:rsidR="007772B2">
        <w:rPr>
          <w:rFonts w:ascii="Times New Roman" w:hAnsi="Times New Roman" w:cs="Times New Roman"/>
          <w:sz w:val="24"/>
          <w:szCs w:val="24"/>
        </w:rPr>
        <w:t xml:space="preserve"> of agricultural products</w:t>
      </w:r>
      <w:r w:rsidR="00EB0741">
        <w:rPr>
          <w:rFonts w:ascii="Times New Roman" w:hAnsi="Times New Roman" w:cs="Times New Roman"/>
          <w:sz w:val="24"/>
          <w:szCs w:val="24"/>
        </w:rPr>
        <w:t xml:space="preserve"> have also grown</w:t>
      </w:r>
      <w:r w:rsidR="002D352F">
        <w:rPr>
          <w:rFonts w:ascii="Times New Roman" w:hAnsi="Times New Roman" w:cs="Times New Roman"/>
          <w:sz w:val="24"/>
          <w:szCs w:val="24"/>
        </w:rPr>
        <w:t>,</w:t>
      </w:r>
      <w:r w:rsidR="00EB0741">
        <w:rPr>
          <w:rFonts w:ascii="Times New Roman" w:hAnsi="Times New Roman" w:cs="Times New Roman"/>
          <w:sz w:val="24"/>
          <w:szCs w:val="24"/>
        </w:rPr>
        <w:t xml:space="preserve"> but there is still scope for the EU to exploit</w:t>
      </w:r>
      <w:r>
        <w:rPr>
          <w:rFonts w:ascii="Times New Roman" w:hAnsi="Times New Roman" w:cs="Times New Roman"/>
          <w:sz w:val="24"/>
          <w:szCs w:val="24"/>
        </w:rPr>
        <w:t xml:space="preserve"> its </w:t>
      </w:r>
      <w:r w:rsidR="00492E87">
        <w:rPr>
          <w:rFonts w:ascii="Times New Roman" w:hAnsi="Times New Roman" w:cs="Times New Roman"/>
          <w:sz w:val="24"/>
          <w:szCs w:val="24"/>
        </w:rPr>
        <w:t>export</w:t>
      </w:r>
      <w:r>
        <w:rPr>
          <w:rFonts w:ascii="Times New Roman" w:hAnsi="Times New Roman" w:cs="Times New Roman"/>
          <w:sz w:val="24"/>
          <w:szCs w:val="24"/>
        </w:rPr>
        <w:t xml:space="preserve"> potential on agriculture, as 6% of agricultural tariff lines were excluded from the tari</w:t>
      </w:r>
      <w:r w:rsidR="00E16174">
        <w:rPr>
          <w:rFonts w:ascii="Times New Roman" w:hAnsi="Times New Roman" w:cs="Times New Roman"/>
          <w:sz w:val="24"/>
          <w:szCs w:val="24"/>
        </w:rPr>
        <w:t>ff concessions offered by Chile (</w:t>
      </w:r>
      <w:r>
        <w:rPr>
          <w:rFonts w:ascii="Times New Roman" w:hAnsi="Times New Roman" w:cs="Times New Roman"/>
          <w:sz w:val="24"/>
          <w:szCs w:val="24"/>
        </w:rPr>
        <w:t xml:space="preserve">including dairy products, vegetable oils, sugar and wheat flour, as well as </w:t>
      </w:r>
      <w:r w:rsidR="0061327F">
        <w:rPr>
          <w:rFonts w:ascii="Times New Roman" w:hAnsi="Times New Roman" w:cs="Times New Roman"/>
          <w:sz w:val="24"/>
          <w:szCs w:val="24"/>
        </w:rPr>
        <w:t>some types of fish</w:t>
      </w:r>
      <w:r>
        <w:rPr>
          <w:rFonts w:ascii="Times New Roman" w:hAnsi="Times New Roman" w:cs="Times New Roman"/>
          <w:sz w:val="24"/>
          <w:szCs w:val="24"/>
        </w:rPr>
        <w:t xml:space="preserve">, </w:t>
      </w:r>
      <w:r w:rsidR="0044506E">
        <w:rPr>
          <w:rFonts w:ascii="Times New Roman" w:hAnsi="Times New Roman" w:cs="Times New Roman"/>
          <w:sz w:val="24"/>
          <w:szCs w:val="24"/>
        </w:rPr>
        <w:t xml:space="preserve">currently </w:t>
      </w:r>
      <w:r>
        <w:rPr>
          <w:rFonts w:ascii="Times New Roman" w:hAnsi="Times New Roman" w:cs="Times New Roman"/>
          <w:sz w:val="24"/>
          <w:szCs w:val="24"/>
        </w:rPr>
        <w:t xml:space="preserve">subject </w:t>
      </w:r>
      <w:r w:rsidR="00492E87">
        <w:rPr>
          <w:rFonts w:ascii="Times New Roman" w:hAnsi="Times New Roman" w:cs="Times New Roman"/>
          <w:sz w:val="24"/>
          <w:szCs w:val="24"/>
        </w:rPr>
        <w:t xml:space="preserve">to </w:t>
      </w:r>
      <w:r>
        <w:rPr>
          <w:rFonts w:ascii="Times New Roman" w:hAnsi="Times New Roman" w:cs="Times New Roman"/>
          <w:sz w:val="24"/>
          <w:szCs w:val="24"/>
        </w:rPr>
        <w:t>partial liberalisation</w:t>
      </w:r>
      <w:r w:rsidR="00E16174">
        <w:rPr>
          <w:rFonts w:ascii="Times New Roman" w:hAnsi="Times New Roman" w:cs="Times New Roman"/>
          <w:sz w:val="24"/>
          <w:szCs w:val="24"/>
        </w:rPr>
        <w:t>)</w:t>
      </w:r>
      <w:r>
        <w:rPr>
          <w:rFonts w:ascii="Times New Roman" w:hAnsi="Times New Roman" w:cs="Times New Roman"/>
          <w:sz w:val="24"/>
          <w:szCs w:val="24"/>
        </w:rPr>
        <w:t>.</w:t>
      </w:r>
      <w:r w:rsidR="009D41C7">
        <w:rPr>
          <w:rFonts w:ascii="Times New Roman" w:hAnsi="Times New Roman" w:cs="Times New Roman"/>
          <w:sz w:val="24"/>
          <w:szCs w:val="24"/>
        </w:rPr>
        <w:t xml:space="preserve"> </w:t>
      </w:r>
    </w:p>
    <w:p w:rsidR="00E16174" w:rsidRPr="000F76F0" w:rsidRDefault="00E16174" w:rsidP="008625D4">
      <w:pPr>
        <w:spacing w:after="0" w:line="240" w:lineRule="auto"/>
        <w:jc w:val="both"/>
        <w:rPr>
          <w:rFonts w:ascii="Times New Roman" w:hAnsi="Times New Roman" w:cs="Times New Roman"/>
          <w:sz w:val="12"/>
          <w:szCs w:val="12"/>
        </w:rPr>
      </w:pPr>
    </w:p>
    <w:p w:rsidR="008625D4" w:rsidRDefault="009D41C7" w:rsidP="00862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w:t>
      </w:r>
      <w:r w:rsidR="00072B05">
        <w:rPr>
          <w:rFonts w:ascii="Times New Roman" w:hAnsi="Times New Roman" w:cs="Times New Roman"/>
          <w:sz w:val="24"/>
          <w:szCs w:val="24"/>
        </w:rPr>
        <w:t xml:space="preserve">ublic consultation </w:t>
      </w:r>
      <w:r w:rsidR="00E16174">
        <w:rPr>
          <w:rFonts w:ascii="Times New Roman" w:hAnsi="Times New Roman" w:cs="Times New Roman"/>
          <w:sz w:val="24"/>
          <w:szCs w:val="24"/>
        </w:rPr>
        <w:t>provides</w:t>
      </w:r>
      <w:r>
        <w:rPr>
          <w:rFonts w:ascii="Times New Roman" w:hAnsi="Times New Roman" w:cs="Times New Roman"/>
          <w:sz w:val="24"/>
          <w:szCs w:val="24"/>
        </w:rPr>
        <w:t xml:space="preserve"> mixed results, with some respondents considering that partial liberalisation </w:t>
      </w:r>
      <w:r w:rsidR="00E16174">
        <w:rPr>
          <w:rFonts w:ascii="Times New Roman" w:hAnsi="Times New Roman" w:cs="Times New Roman"/>
          <w:sz w:val="24"/>
          <w:szCs w:val="24"/>
        </w:rPr>
        <w:t xml:space="preserve">on agriculture </w:t>
      </w:r>
      <w:r>
        <w:rPr>
          <w:rFonts w:ascii="Times New Roman" w:hAnsi="Times New Roman" w:cs="Times New Roman"/>
          <w:sz w:val="24"/>
          <w:szCs w:val="24"/>
        </w:rPr>
        <w:t xml:space="preserve">(through quantitative measures and quotas) does not hinder trade, </w:t>
      </w:r>
      <w:r w:rsidR="00D83691">
        <w:rPr>
          <w:rFonts w:ascii="Times New Roman" w:hAnsi="Times New Roman" w:cs="Times New Roman"/>
          <w:sz w:val="24"/>
          <w:szCs w:val="24"/>
        </w:rPr>
        <w:t>but</w:t>
      </w:r>
      <w:r>
        <w:rPr>
          <w:rFonts w:ascii="Times New Roman" w:hAnsi="Times New Roman" w:cs="Times New Roman"/>
          <w:sz w:val="24"/>
          <w:szCs w:val="24"/>
        </w:rPr>
        <w:t xml:space="preserve"> others taking the view that </w:t>
      </w:r>
      <w:r w:rsidR="00730E50">
        <w:rPr>
          <w:rFonts w:ascii="Times New Roman" w:hAnsi="Times New Roman" w:cs="Times New Roman"/>
          <w:sz w:val="24"/>
          <w:szCs w:val="24"/>
        </w:rPr>
        <w:t>both sides</w:t>
      </w:r>
      <w:r w:rsidR="00E16174">
        <w:rPr>
          <w:rFonts w:ascii="Times New Roman" w:hAnsi="Times New Roman" w:cs="Times New Roman"/>
          <w:sz w:val="24"/>
          <w:szCs w:val="24"/>
        </w:rPr>
        <w:t>'</w:t>
      </w:r>
      <w:r w:rsidR="00730E50">
        <w:rPr>
          <w:rFonts w:ascii="Times New Roman" w:hAnsi="Times New Roman" w:cs="Times New Roman"/>
          <w:sz w:val="24"/>
          <w:szCs w:val="24"/>
        </w:rPr>
        <w:t xml:space="preserve"> </w:t>
      </w:r>
      <w:r>
        <w:rPr>
          <w:rFonts w:ascii="Times New Roman" w:hAnsi="Times New Roman" w:cs="Times New Roman"/>
          <w:sz w:val="24"/>
          <w:szCs w:val="24"/>
        </w:rPr>
        <w:t xml:space="preserve">export potential could be improved through further liberalisation of specific agricultural products. </w:t>
      </w:r>
      <w:r w:rsidR="00072B05">
        <w:rPr>
          <w:rFonts w:ascii="Times New Roman" w:hAnsi="Times New Roman" w:cs="Times New Roman"/>
          <w:sz w:val="24"/>
          <w:szCs w:val="24"/>
        </w:rPr>
        <w:t xml:space="preserve"> </w:t>
      </w:r>
    </w:p>
    <w:p w:rsidR="008625D4" w:rsidRPr="000F76F0" w:rsidRDefault="008625D4" w:rsidP="008202EB">
      <w:pPr>
        <w:spacing w:after="0" w:line="240" w:lineRule="auto"/>
        <w:ind w:left="1440" w:hanging="1440"/>
        <w:jc w:val="both"/>
        <w:rPr>
          <w:rFonts w:ascii="Times New Roman" w:hAnsi="Times New Roman" w:cs="Times New Roman"/>
          <w:sz w:val="12"/>
          <w:szCs w:val="12"/>
        </w:rPr>
      </w:pPr>
    </w:p>
    <w:p w:rsidR="00CA7F8D" w:rsidRDefault="00CA7F8D" w:rsidP="004450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EU-Chile FTA includes m</w:t>
      </w:r>
      <w:r w:rsidR="008202EB" w:rsidRPr="008202EB">
        <w:rPr>
          <w:rFonts w:ascii="Times New Roman" w:hAnsi="Times New Roman" w:cs="Times New Roman"/>
          <w:sz w:val="24"/>
          <w:szCs w:val="24"/>
        </w:rPr>
        <w:t>arket access commitments on services</w:t>
      </w:r>
      <w:r w:rsidR="0044506E">
        <w:rPr>
          <w:rFonts w:ascii="Times New Roman" w:hAnsi="Times New Roman" w:cs="Times New Roman"/>
          <w:sz w:val="24"/>
          <w:szCs w:val="24"/>
        </w:rPr>
        <w:t xml:space="preserve">, and Chile's economy is </w:t>
      </w:r>
      <w:r w:rsidR="00A1559A">
        <w:rPr>
          <w:rFonts w:ascii="Times New Roman" w:hAnsi="Times New Roman" w:cs="Times New Roman"/>
          <w:sz w:val="24"/>
          <w:szCs w:val="24"/>
        </w:rPr>
        <w:t xml:space="preserve">generally considered </w:t>
      </w:r>
      <w:r w:rsidR="007772B2">
        <w:rPr>
          <w:rFonts w:ascii="Times New Roman" w:hAnsi="Times New Roman" w:cs="Times New Roman"/>
          <w:sz w:val="24"/>
          <w:szCs w:val="24"/>
        </w:rPr>
        <w:t>to be</w:t>
      </w:r>
      <w:r w:rsidR="00A1559A">
        <w:rPr>
          <w:rFonts w:ascii="Times New Roman" w:hAnsi="Times New Roman" w:cs="Times New Roman"/>
          <w:sz w:val="24"/>
          <w:szCs w:val="24"/>
        </w:rPr>
        <w:t xml:space="preserve"> </w:t>
      </w:r>
      <w:r w:rsidR="00841D82">
        <w:rPr>
          <w:rFonts w:ascii="Times New Roman" w:hAnsi="Times New Roman" w:cs="Times New Roman"/>
          <w:sz w:val="24"/>
          <w:szCs w:val="24"/>
        </w:rPr>
        <w:t>quite open. Nevertheless, the A</w:t>
      </w:r>
      <w:r w:rsidR="0044506E">
        <w:rPr>
          <w:rFonts w:ascii="Times New Roman" w:hAnsi="Times New Roman" w:cs="Times New Roman"/>
          <w:sz w:val="24"/>
          <w:szCs w:val="24"/>
        </w:rPr>
        <w:t>greement contain</w:t>
      </w:r>
      <w:r w:rsidR="007772B2">
        <w:rPr>
          <w:rFonts w:ascii="Times New Roman" w:hAnsi="Times New Roman" w:cs="Times New Roman"/>
          <w:sz w:val="24"/>
          <w:szCs w:val="24"/>
        </w:rPr>
        <w:t>s</w:t>
      </w:r>
      <w:r w:rsidR="0044506E">
        <w:rPr>
          <w:rFonts w:ascii="Times New Roman" w:hAnsi="Times New Roman" w:cs="Times New Roman"/>
          <w:sz w:val="24"/>
          <w:szCs w:val="24"/>
        </w:rPr>
        <w:t xml:space="preserve"> </w:t>
      </w:r>
      <w:r w:rsidR="007772B2">
        <w:rPr>
          <w:rFonts w:ascii="Times New Roman" w:hAnsi="Times New Roman" w:cs="Times New Roman"/>
          <w:sz w:val="24"/>
          <w:szCs w:val="24"/>
        </w:rPr>
        <w:t xml:space="preserve">some </w:t>
      </w:r>
      <w:r w:rsidR="0044506E">
        <w:rPr>
          <w:rFonts w:ascii="Times New Roman" w:hAnsi="Times New Roman" w:cs="Times New Roman"/>
          <w:sz w:val="24"/>
          <w:szCs w:val="24"/>
        </w:rPr>
        <w:t xml:space="preserve">limitations or exclusions </w:t>
      </w:r>
      <w:r w:rsidR="007772B2">
        <w:rPr>
          <w:rFonts w:ascii="Times New Roman" w:hAnsi="Times New Roman" w:cs="Times New Roman"/>
          <w:sz w:val="24"/>
          <w:szCs w:val="24"/>
        </w:rPr>
        <w:t xml:space="preserve">for the EU </w:t>
      </w:r>
      <w:r w:rsidR="005D1E0D">
        <w:rPr>
          <w:rFonts w:ascii="Times New Roman" w:hAnsi="Times New Roman" w:cs="Times New Roman"/>
          <w:sz w:val="24"/>
          <w:szCs w:val="24"/>
        </w:rPr>
        <w:t>i</w:t>
      </w:r>
      <w:r w:rsidR="007840B5">
        <w:rPr>
          <w:rFonts w:ascii="Times New Roman" w:hAnsi="Times New Roman" w:cs="Times New Roman"/>
          <w:sz w:val="24"/>
          <w:szCs w:val="24"/>
        </w:rPr>
        <w:t xml:space="preserve">n some key sectors, </w:t>
      </w:r>
      <w:r w:rsidR="007772B2">
        <w:rPr>
          <w:rFonts w:ascii="Times New Roman" w:hAnsi="Times New Roman" w:cs="Times New Roman"/>
          <w:sz w:val="24"/>
          <w:szCs w:val="24"/>
        </w:rPr>
        <w:t xml:space="preserve">in which </w:t>
      </w:r>
      <w:r w:rsidR="00A41A3A">
        <w:rPr>
          <w:rFonts w:ascii="Times New Roman" w:hAnsi="Times New Roman" w:cs="Times New Roman"/>
          <w:sz w:val="24"/>
          <w:szCs w:val="24"/>
        </w:rPr>
        <w:t>the EU is highly competitive</w:t>
      </w:r>
      <w:r w:rsidR="00A13487">
        <w:rPr>
          <w:rFonts w:ascii="Times New Roman" w:hAnsi="Times New Roman" w:cs="Times New Roman"/>
          <w:sz w:val="24"/>
          <w:szCs w:val="24"/>
        </w:rPr>
        <w:t xml:space="preserve"> (e.g. financial services). </w:t>
      </w:r>
      <w:r w:rsidR="007772B2">
        <w:rPr>
          <w:rFonts w:ascii="Times New Roman" w:hAnsi="Times New Roman" w:cs="Times New Roman"/>
          <w:sz w:val="24"/>
          <w:szCs w:val="24"/>
        </w:rPr>
        <w:t xml:space="preserve">Thus, </w:t>
      </w:r>
      <w:r w:rsidR="00A41A3A">
        <w:rPr>
          <w:rFonts w:ascii="Times New Roman" w:hAnsi="Times New Roman" w:cs="Times New Roman"/>
          <w:sz w:val="24"/>
          <w:szCs w:val="24"/>
        </w:rPr>
        <w:t xml:space="preserve">EU </w:t>
      </w:r>
      <w:r w:rsidR="007772B2">
        <w:rPr>
          <w:rFonts w:ascii="Times New Roman" w:hAnsi="Times New Roman" w:cs="Times New Roman"/>
          <w:sz w:val="24"/>
          <w:szCs w:val="24"/>
        </w:rPr>
        <w:t xml:space="preserve">exporters of </w:t>
      </w:r>
      <w:r w:rsidR="00A41A3A">
        <w:rPr>
          <w:rFonts w:ascii="Times New Roman" w:hAnsi="Times New Roman" w:cs="Times New Roman"/>
          <w:sz w:val="24"/>
          <w:szCs w:val="24"/>
        </w:rPr>
        <w:t xml:space="preserve">services </w:t>
      </w:r>
      <w:r w:rsidR="007772B2">
        <w:rPr>
          <w:rFonts w:ascii="Times New Roman" w:hAnsi="Times New Roman" w:cs="Times New Roman"/>
          <w:sz w:val="24"/>
          <w:szCs w:val="24"/>
        </w:rPr>
        <w:t xml:space="preserve">are not able to </w:t>
      </w:r>
      <w:r w:rsidR="00492E87">
        <w:rPr>
          <w:rFonts w:ascii="Times New Roman" w:hAnsi="Times New Roman" w:cs="Times New Roman"/>
          <w:sz w:val="24"/>
          <w:szCs w:val="24"/>
        </w:rPr>
        <w:t>tak</w:t>
      </w:r>
      <w:r w:rsidR="00841D82">
        <w:rPr>
          <w:rFonts w:ascii="Times New Roman" w:hAnsi="Times New Roman" w:cs="Times New Roman"/>
          <w:sz w:val="24"/>
          <w:szCs w:val="24"/>
        </w:rPr>
        <w:t>e</w:t>
      </w:r>
      <w:r w:rsidR="00492E87">
        <w:rPr>
          <w:rFonts w:ascii="Times New Roman" w:hAnsi="Times New Roman" w:cs="Times New Roman"/>
          <w:sz w:val="24"/>
          <w:szCs w:val="24"/>
        </w:rPr>
        <w:t xml:space="preserve"> </w:t>
      </w:r>
      <w:r w:rsidR="00841D82">
        <w:rPr>
          <w:rFonts w:ascii="Times New Roman" w:hAnsi="Times New Roman" w:cs="Times New Roman"/>
          <w:sz w:val="24"/>
          <w:szCs w:val="24"/>
        </w:rPr>
        <w:t xml:space="preserve">full </w:t>
      </w:r>
      <w:r w:rsidR="00492E87">
        <w:rPr>
          <w:rFonts w:ascii="Times New Roman" w:hAnsi="Times New Roman" w:cs="Times New Roman"/>
          <w:sz w:val="24"/>
          <w:szCs w:val="24"/>
        </w:rPr>
        <w:t>advantage of the potential of the Chilean market</w:t>
      </w:r>
      <w:r w:rsidR="00A41A3A">
        <w:rPr>
          <w:rFonts w:ascii="Times New Roman" w:hAnsi="Times New Roman" w:cs="Times New Roman"/>
          <w:sz w:val="24"/>
          <w:szCs w:val="24"/>
        </w:rPr>
        <w:t xml:space="preserve">.  </w:t>
      </w:r>
      <w:r w:rsidR="009D41C7">
        <w:rPr>
          <w:rFonts w:ascii="Times New Roman" w:hAnsi="Times New Roman" w:cs="Times New Roman"/>
          <w:sz w:val="24"/>
          <w:szCs w:val="24"/>
        </w:rPr>
        <w:t>Some respondents in the public consultation highlight the existing barriers in Chile to trade in services</w:t>
      </w:r>
      <w:r w:rsidR="007772B2">
        <w:rPr>
          <w:rFonts w:ascii="Times New Roman" w:hAnsi="Times New Roman" w:cs="Times New Roman"/>
          <w:sz w:val="24"/>
          <w:szCs w:val="24"/>
        </w:rPr>
        <w:t>.</w:t>
      </w:r>
    </w:p>
    <w:p w:rsidR="00CA7F8D" w:rsidRPr="000F76F0" w:rsidRDefault="00CA7F8D" w:rsidP="008202EB">
      <w:pPr>
        <w:spacing w:after="0" w:line="240" w:lineRule="auto"/>
        <w:ind w:left="1440" w:hanging="1440"/>
        <w:jc w:val="both"/>
        <w:rPr>
          <w:rFonts w:ascii="Times New Roman" w:hAnsi="Times New Roman" w:cs="Times New Roman"/>
          <w:sz w:val="12"/>
          <w:szCs w:val="12"/>
        </w:rPr>
      </w:pPr>
    </w:p>
    <w:p w:rsidR="00F14984" w:rsidRDefault="00132BC2" w:rsidP="00132B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current </w:t>
      </w:r>
      <w:r w:rsidR="00A1559A">
        <w:rPr>
          <w:rFonts w:ascii="Times New Roman" w:hAnsi="Times New Roman" w:cs="Times New Roman"/>
          <w:sz w:val="24"/>
          <w:szCs w:val="24"/>
        </w:rPr>
        <w:t>A</w:t>
      </w:r>
      <w:r>
        <w:rPr>
          <w:rFonts w:ascii="Times New Roman" w:hAnsi="Times New Roman" w:cs="Times New Roman"/>
          <w:sz w:val="24"/>
          <w:szCs w:val="24"/>
        </w:rPr>
        <w:t>greement includes market access commitments on p</w:t>
      </w:r>
      <w:r w:rsidR="008202EB">
        <w:rPr>
          <w:rFonts w:ascii="Times New Roman" w:hAnsi="Times New Roman" w:cs="Times New Roman"/>
          <w:sz w:val="24"/>
          <w:szCs w:val="24"/>
        </w:rPr>
        <w:t>ublic procurement</w:t>
      </w:r>
      <w:r>
        <w:rPr>
          <w:rFonts w:ascii="Times New Roman" w:hAnsi="Times New Roman" w:cs="Times New Roman"/>
          <w:sz w:val="24"/>
          <w:szCs w:val="24"/>
        </w:rPr>
        <w:t xml:space="preserve">, a key priority for the EU, covering both central and sub-central entities. </w:t>
      </w:r>
      <w:r w:rsidR="000F1EDF">
        <w:rPr>
          <w:rFonts w:ascii="Times New Roman" w:hAnsi="Times New Roman" w:cs="Times New Roman"/>
          <w:sz w:val="24"/>
          <w:szCs w:val="24"/>
        </w:rPr>
        <w:t xml:space="preserve">Nevertheless, it </w:t>
      </w:r>
      <w:r w:rsidR="006439AC">
        <w:rPr>
          <w:rFonts w:ascii="Times New Roman" w:hAnsi="Times New Roman" w:cs="Times New Roman"/>
          <w:sz w:val="24"/>
          <w:szCs w:val="24"/>
        </w:rPr>
        <w:t>has limited coverage of</w:t>
      </w:r>
      <w:r w:rsidR="000F1EDF">
        <w:rPr>
          <w:rFonts w:ascii="Times New Roman" w:hAnsi="Times New Roman" w:cs="Times New Roman"/>
          <w:sz w:val="24"/>
          <w:szCs w:val="24"/>
        </w:rPr>
        <w:t xml:space="preserve"> State-owned enterprises and undertakings with special or exclusive rights, </w:t>
      </w:r>
      <w:r w:rsidR="00A1559A">
        <w:rPr>
          <w:rFonts w:ascii="Times New Roman" w:hAnsi="Times New Roman" w:cs="Times New Roman"/>
          <w:sz w:val="24"/>
          <w:szCs w:val="24"/>
        </w:rPr>
        <w:t xml:space="preserve">and </w:t>
      </w:r>
      <w:r w:rsidR="000F1EDF">
        <w:rPr>
          <w:rFonts w:ascii="Times New Roman" w:hAnsi="Times New Roman" w:cs="Times New Roman"/>
          <w:sz w:val="24"/>
          <w:szCs w:val="24"/>
        </w:rPr>
        <w:t>EU operators</w:t>
      </w:r>
      <w:r w:rsidR="00841D82">
        <w:rPr>
          <w:rFonts w:ascii="Times New Roman" w:hAnsi="Times New Roman" w:cs="Times New Roman"/>
          <w:sz w:val="24"/>
          <w:szCs w:val="24"/>
        </w:rPr>
        <w:t xml:space="preserve"> currently</w:t>
      </w:r>
      <w:r w:rsidR="000F1EDF">
        <w:rPr>
          <w:rFonts w:ascii="Times New Roman" w:hAnsi="Times New Roman" w:cs="Times New Roman"/>
          <w:sz w:val="24"/>
          <w:szCs w:val="24"/>
        </w:rPr>
        <w:t xml:space="preserve"> for</w:t>
      </w:r>
      <w:r w:rsidR="005D1E0D">
        <w:rPr>
          <w:rFonts w:ascii="Times New Roman" w:hAnsi="Times New Roman" w:cs="Times New Roman"/>
          <w:sz w:val="24"/>
          <w:szCs w:val="24"/>
        </w:rPr>
        <w:t>e</w:t>
      </w:r>
      <w:r w:rsidR="000F1EDF">
        <w:rPr>
          <w:rFonts w:ascii="Times New Roman" w:hAnsi="Times New Roman" w:cs="Times New Roman"/>
          <w:sz w:val="24"/>
          <w:szCs w:val="24"/>
        </w:rPr>
        <w:t xml:space="preserve">go important </w:t>
      </w:r>
      <w:r w:rsidR="00DF54BC">
        <w:rPr>
          <w:rFonts w:ascii="Times New Roman" w:hAnsi="Times New Roman" w:cs="Times New Roman"/>
          <w:sz w:val="24"/>
          <w:szCs w:val="24"/>
        </w:rPr>
        <w:t xml:space="preserve">procurement </w:t>
      </w:r>
      <w:r w:rsidR="000F1EDF">
        <w:rPr>
          <w:rFonts w:ascii="Times New Roman" w:hAnsi="Times New Roman" w:cs="Times New Roman"/>
          <w:sz w:val="24"/>
          <w:szCs w:val="24"/>
        </w:rPr>
        <w:t xml:space="preserve">opportunities. </w:t>
      </w:r>
      <w:r w:rsidR="00B4264C">
        <w:rPr>
          <w:rFonts w:ascii="Times New Roman" w:hAnsi="Times New Roman" w:cs="Times New Roman"/>
          <w:sz w:val="24"/>
          <w:szCs w:val="24"/>
        </w:rPr>
        <w:t>Many</w:t>
      </w:r>
      <w:r w:rsidR="009D41C7" w:rsidRPr="00F1111C">
        <w:rPr>
          <w:rFonts w:ascii="Times New Roman" w:hAnsi="Times New Roman" w:cs="Times New Roman"/>
          <w:sz w:val="24"/>
          <w:szCs w:val="24"/>
        </w:rPr>
        <w:t xml:space="preserve"> respondents in the public consultation who expressed an opinion on the matter highlight the difficulties </w:t>
      </w:r>
      <w:r w:rsidR="00D83691" w:rsidRPr="00480EDC">
        <w:rPr>
          <w:rFonts w:ascii="Times New Roman" w:hAnsi="Times New Roman" w:cs="Times New Roman"/>
          <w:sz w:val="24"/>
          <w:szCs w:val="24"/>
        </w:rPr>
        <w:t>faced by</w:t>
      </w:r>
      <w:r w:rsidR="009D41C7" w:rsidRPr="00480EDC">
        <w:rPr>
          <w:rFonts w:ascii="Times New Roman" w:hAnsi="Times New Roman" w:cs="Times New Roman"/>
          <w:sz w:val="24"/>
          <w:szCs w:val="24"/>
        </w:rPr>
        <w:t xml:space="preserve"> EU companies </w:t>
      </w:r>
      <w:r w:rsidR="00D83691" w:rsidRPr="00480EDC">
        <w:rPr>
          <w:rFonts w:ascii="Times New Roman" w:hAnsi="Times New Roman" w:cs="Times New Roman"/>
          <w:sz w:val="24"/>
          <w:szCs w:val="24"/>
        </w:rPr>
        <w:t>in</w:t>
      </w:r>
      <w:r w:rsidR="009D41C7" w:rsidRPr="00480EDC">
        <w:rPr>
          <w:rFonts w:ascii="Times New Roman" w:hAnsi="Times New Roman" w:cs="Times New Roman"/>
          <w:sz w:val="24"/>
          <w:szCs w:val="24"/>
        </w:rPr>
        <w:t xml:space="preserve"> access</w:t>
      </w:r>
      <w:r w:rsidR="00D83691" w:rsidRPr="00480EDC">
        <w:rPr>
          <w:rFonts w:ascii="Times New Roman" w:hAnsi="Times New Roman" w:cs="Times New Roman"/>
          <w:sz w:val="24"/>
          <w:szCs w:val="24"/>
        </w:rPr>
        <w:t>ing</w:t>
      </w:r>
      <w:r w:rsidR="009D41C7" w:rsidRPr="00480EDC">
        <w:rPr>
          <w:rFonts w:ascii="Times New Roman" w:hAnsi="Times New Roman" w:cs="Times New Roman"/>
          <w:sz w:val="24"/>
          <w:szCs w:val="24"/>
        </w:rPr>
        <w:t xml:space="preserve"> public procurement in Chile.</w:t>
      </w:r>
    </w:p>
    <w:p w:rsidR="000677BC" w:rsidRPr="00F14984" w:rsidRDefault="000677BC" w:rsidP="00132BC2">
      <w:pPr>
        <w:spacing w:after="0" w:line="240" w:lineRule="auto"/>
        <w:jc w:val="both"/>
        <w:rPr>
          <w:rFonts w:ascii="Times New Roman" w:hAnsi="Times New Roman" w:cs="Times New Roman"/>
          <w:sz w:val="24"/>
          <w:szCs w:val="24"/>
        </w:rPr>
      </w:pPr>
    </w:p>
    <w:p w:rsidR="00F14984" w:rsidRDefault="00194090" w:rsidP="00E851A2">
      <w:pPr>
        <w:spacing w:after="0" w:line="240" w:lineRule="auto"/>
        <w:ind w:left="567" w:hanging="720"/>
        <w:jc w:val="both"/>
        <w:rPr>
          <w:rFonts w:ascii="Times New Roman" w:hAnsi="Times New Roman" w:cs="Times New Roman"/>
          <w:b/>
          <w:sz w:val="24"/>
          <w:szCs w:val="24"/>
        </w:rPr>
      </w:pPr>
      <w:r>
        <w:rPr>
          <w:rFonts w:ascii="Times New Roman" w:hAnsi="Times New Roman" w:cs="Times New Roman"/>
          <w:b/>
          <w:sz w:val="24"/>
          <w:szCs w:val="24"/>
        </w:rPr>
        <w:t>c)</w:t>
      </w:r>
      <w:r w:rsidR="00F84322">
        <w:rPr>
          <w:rFonts w:ascii="Times New Roman" w:hAnsi="Times New Roman" w:cs="Times New Roman"/>
          <w:b/>
          <w:sz w:val="24"/>
          <w:szCs w:val="24"/>
        </w:rPr>
        <w:tab/>
      </w:r>
      <w:r w:rsidR="00F14984" w:rsidRPr="000D11A3">
        <w:rPr>
          <w:rFonts w:ascii="Times New Roman" w:hAnsi="Times New Roman" w:cs="Times New Roman"/>
          <w:b/>
          <w:sz w:val="24"/>
          <w:szCs w:val="24"/>
        </w:rPr>
        <w:t xml:space="preserve">EU </w:t>
      </w:r>
      <w:r w:rsidR="00B500D9" w:rsidRPr="000D11A3">
        <w:rPr>
          <w:rFonts w:ascii="Times New Roman" w:hAnsi="Times New Roman" w:cs="Times New Roman"/>
          <w:b/>
          <w:sz w:val="24"/>
          <w:szCs w:val="24"/>
        </w:rPr>
        <w:t xml:space="preserve">bilateral </w:t>
      </w:r>
      <w:r w:rsidR="00F14984" w:rsidRPr="000D11A3">
        <w:rPr>
          <w:rFonts w:ascii="Times New Roman" w:hAnsi="Times New Roman" w:cs="Times New Roman"/>
          <w:b/>
          <w:sz w:val="24"/>
          <w:szCs w:val="24"/>
        </w:rPr>
        <w:t>trade</w:t>
      </w:r>
      <w:r w:rsidR="00B500D9" w:rsidRPr="000D11A3">
        <w:rPr>
          <w:rFonts w:ascii="Times New Roman" w:hAnsi="Times New Roman" w:cs="Times New Roman"/>
          <w:b/>
          <w:sz w:val="24"/>
          <w:szCs w:val="24"/>
        </w:rPr>
        <w:t xml:space="preserve"> and investment</w:t>
      </w:r>
      <w:r w:rsidR="00F14984" w:rsidRPr="000D11A3">
        <w:rPr>
          <w:rFonts w:ascii="Times New Roman" w:hAnsi="Times New Roman" w:cs="Times New Roman"/>
          <w:b/>
          <w:sz w:val="24"/>
          <w:szCs w:val="24"/>
        </w:rPr>
        <w:t xml:space="preserve"> with Chile faces increased competition from third countries</w:t>
      </w:r>
    </w:p>
    <w:p w:rsidR="00EA7138" w:rsidRDefault="00EA7138" w:rsidP="00302A40">
      <w:pPr>
        <w:spacing w:after="0" w:line="240" w:lineRule="auto"/>
        <w:ind w:left="720" w:hanging="720"/>
        <w:jc w:val="both"/>
        <w:rPr>
          <w:rFonts w:ascii="Times New Roman" w:hAnsi="Times New Roman" w:cs="Times New Roman"/>
          <w:b/>
          <w:sz w:val="24"/>
          <w:szCs w:val="24"/>
        </w:rPr>
      </w:pPr>
    </w:p>
    <w:p w:rsidR="00E16174" w:rsidRPr="001E7E87" w:rsidRDefault="00F14984" w:rsidP="00E16174">
      <w:pPr>
        <w:spacing w:after="0" w:line="240" w:lineRule="auto"/>
        <w:jc w:val="both"/>
        <w:rPr>
          <w:rFonts w:ascii="Times New Roman" w:hAnsi="Times New Roman" w:cs="Times New Roman"/>
          <w:bCs/>
          <w:sz w:val="24"/>
          <w:szCs w:val="24"/>
        </w:rPr>
      </w:pPr>
      <w:r w:rsidRPr="00220DDD">
        <w:rPr>
          <w:rFonts w:ascii="Times New Roman" w:hAnsi="Times New Roman" w:cs="Times New Roman"/>
          <w:bCs/>
          <w:sz w:val="24"/>
          <w:szCs w:val="24"/>
        </w:rPr>
        <w:t xml:space="preserve">Bilateral trade in goods since the provisional entry into force of the EU-Chile FTA in 2003 has increased 11% per year on average. However, despite this </w:t>
      </w:r>
      <w:r w:rsidRPr="00E16174">
        <w:rPr>
          <w:rFonts w:ascii="Times New Roman" w:hAnsi="Times New Roman" w:cs="Times New Roman"/>
          <w:bCs/>
          <w:i/>
          <w:sz w:val="24"/>
          <w:szCs w:val="24"/>
        </w:rPr>
        <w:t>prima fac</w:t>
      </w:r>
      <w:r w:rsidR="00D83691" w:rsidRPr="00E16174">
        <w:rPr>
          <w:rFonts w:ascii="Times New Roman" w:hAnsi="Times New Roman" w:cs="Times New Roman"/>
          <w:bCs/>
          <w:i/>
          <w:sz w:val="24"/>
          <w:szCs w:val="24"/>
        </w:rPr>
        <w:t>i</w:t>
      </w:r>
      <w:r w:rsidRPr="00E16174">
        <w:rPr>
          <w:rFonts w:ascii="Times New Roman" w:hAnsi="Times New Roman" w:cs="Times New Roman"/>
          <w:bCs/>
          <w:i/>
          <w:sz w:val="24"/>
          <w:szCs w:val="24"/>
        </w:rPr>
        <w:t>e</w:t>
      </w:r>
      <w:r w:rsidRPr="00220DDD">
        <w:rPr>
          <w:rFonts w:ascii="Times New Roman" w:hAnsi="Times New Roman" w:cs="Times New Roman"/>
          <w:bCs/>
          <w:sz w:val="24"/>
          <w:szCs w:val="24"/>
        </w:rPr>
        <w:t xml:space="preserve"> strong bilateral growth rate, the EU has progressively lost market share in Chile to other trading partners, </w:t>
      </w:r>
      <w:r w:rsidR="00F9403E" w:rsidRPr="00220DDD">
        <w:rPr>
          <w:rFonts w:ascii="Times New Roman" w:hAnsi="Times New Roman" w:cs="Times New Roman"/>
          <w:bCs/>
          <w:sz w:val="24"/>
          <w:szCs w:val="24"/>
        </w:rPr>
        <w:t xml:space="preserve">including </w:t>
      </w:r>
      <w:r w:rsidRPr="00220DDD">
        <w:rPr>
          <w:rFonts w:ascii="Times New Roman" w:hAnsi="Times New Roman" w:cs="Times New Roman"/>
          <w:bCs/>
          <w:sz w:val="24"/>
          <w:szCs w:val="24"/>
        </w:rPr>
        <w:t xml:space="preserve">China </w:t>
      </w:r>
      <w:r w:rsidR="00F9403E" w:rsidRPr="008E2098">
        <w:rPr>
          <w:rFonts w:ascii="Times New Roman" w:hAnsi="Times New Roman" w:cs="Times New Roman"/>
          <w:bCs/>
          <w:sz w:val="24"/>
          <w:szCs w:val="24"/>
        </w:rPr>
        <w:t xml:space="preserve">and </w:t>
      </w:r>
      <w:r w:rsidRPr="008E2098">
        <w:rPr>
          <w:rFonts w:ascii="Times New Roman" w:hAnsi="Times New Roman" w:cs="Times New Roman"/>
          <w:bCs/>
          <w:sz w:val="24"/>
          <w:szCs w:val="24"/>
        </w:rPr>
        <w:t xml:space="preserve">the US. </w:t>
      </w:r>
      <w:r w:rsidR="00135DA7">
        <w:rPr>
          <w:rFonts w:ascii="Times New Roman" w:hAnsi="Times New Roman" w:cs="Times New Roman"/>
          <w:bCs/>
          <w:sz w:val="24"/>
          <w:szCs w:val="24"/>
        </w:rPr>
        <w:t>Between 2003 and 2009 the EU wa</w:t>
      </w:r>
      <w:r w:rsidR="00A0596F">
        <w:rPr>
          <w:rFonts w:ascii="Times New Roman" w:hAnsi="Times New Roman" w:cs="Times New Roman"/>
          <w:bCs/>
          <w:sz w:val="24"/>
          <w:szCs w:val="24"/>
        </w:rPr>
        <w:t>s</w:t>
      </w:r>
      <w:r w:rsidR="00135DA7">
        <w:rPr>
          <w:rFonts w:ascii="Times New Roman" w:hAnsi="Times New Roman" w:cs="Times New Roman"/>
          <w:bCs/>
          <w:sz w:val="24"/>
          <w:szCs w:val="24"/>
        </w:rPr>
        <w:t xml:space="preserve"> Chile's first trading partner, but it was overtaken by China in 2009 and by the US in 2011. </w:t>
      </w:r>
      <w:r w:rsidR="00E16174" w:rsidRPr="001E7E87">
        <w:rPr>
          <w:rFonts w:ascii="Times New Roman" w:hAnsi="Times New Roman" w:cs="Times New Roman"/>
          <w:bCs/>
          <w:sz w:val="24"/>
          <w:szCs w:val="24"/>
        </w:rPr>
        <w:t xml:space="preserve"> </w:t>
      </w:r>
    </w:p>
    <w:p w:rsidR="00E16174" w:rsidRPr="000F76F0" w:rsidRDefault="00E16174" w:rsidP="00F14984">
      <w:pPr>
        <w:spacing w:after="0" w:line="240" w:lineRule="auto"/>
        <w:jc w:val="both"/>
        <w:rPr>
          <w:rFonts w:ascii="Times New Roman" w:hAnsi="Times New Roman" w:cs="Times New Roman"/>
          <w:bCs/>
          <w:sz w:val="12"/>
          <w:szCs w:val="12"/>
        </w:rPr>
      </w:pPr>
    </w:p>
    <w:p w:rsidR="00F14984" w:rsidRPr="00EC6AE0" w:rsidRDefault="009D41C7" w:rsidP="00F1498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This increased competition from third countries is highlighted in the public consultation</w:t>
      </w:r>
      <w:r w:rsidR="0067455B">
        <w:rPr>
          <w:rFonts w:ascii="Times New Roman" w:hAnsi="Times New Roman" w:cs="Times New Roman"/>
          <w:bCs/>
          <w:sz w:val="24"/>
          <w:szCs w:val="24"/>
        </w:rPr>
        <w:t>,</w:t>
      </w:r>
      <w:r>
        <w:rPr>
          <w:rFonts w:ascii="Times New Roman" w:hAnsi="Times New Roman" w:cs="Times New Roman"/>
          <w:bCs/>
          <w:sz w:val="24"/>
          <w:szCs w:val="24"/>
        </w:rPr>
        <w:t xml:space="preserve"> especially on investment, where some respondents </w:t>
      </w:r>
      <w:r w:rsidR="0067455B">
        <w:rPr>
          <w:rFonts w:ascii="Times New Roman" w:hAnsi="Times New Roman" w:cs="Times New Roman"/>
          <w:bCs/>
          <w:sz w:val="24"/>
          <w:szCs w:val="24"/>
        </w:rPr>
        <w:t>point to the preferential treatment provided to investors from other jurisdictions</w:t>
      </w:r>
      <w:r w:rsidR="00A1559A">
        <w:rPr>
          <w:rFonts w:ascii="Times New Roman" w:hAnsi="Times New Roman" w:cs="Times New Roman"/>
          <w:bCs/>
          <w:sz w:val="24"/>
          <w:szCs w:val="24"/>
        </w:rPr>
        <w:t xml:space="preserve"> in comparison to the EU</w:t>
      </w:r>
      <w:r w:rsidR="0067455B">
        <w:rPr>
          <w:rFonts w:ascii="Times New Roman" w:hAnsi="Times New Roman" w:cs="Times New Roman"/>
          <w:bCs/>
          <w:sz w:val="24"/>
          <w:szCs w:val="24"/>
        </w:rPr>
        <w:t>.</w:t>
      </w:r>
    </w:p>
    <w:p w:rsidR="00F14984" w:rsidRPr="000F76F0" w:rsidRDefault="00F14984" w:rsidP="00F14984">
      <w:pPr>
        <w:spacing w:after="0" w:line="240" w:lineRule="auto"/>
        <w:jc w:val="both"/>
        <w:rPr>
          <w:rFonts w:ascii="Times New Roman" w:hAnsi="Times New Roman" w:cs="Times New Roman"/>
          <w:bCs/>
          <w:sz w:val="12"/>
          <w:szCs w:val="12"/>
        </w:rPr>
      </w:pPr>
    </w:p>
    <w:p w:rsidR="00F14984" w:rsidRPr="00EC6AE0" w:rsidRDefault="00A13487" w:rsidP="00F149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w:t>
      </w:r>
      <w:r w:rsidR="00F14984" w:rsidRPr="00EC6AE0">
        <w:rPr>
          <w:rFonts w:ascii="Times New Roman" w:hAnsi="Times New Roman" w:cs="Times New Roman"/>
          <w:sz w:val="24"/>
          <w:szCs w:val="24"/>
        </w:rPr>
        <w:t xml:space="preserve"> external ex-post assessment of the impact of the EU-Chile FTA commissioned by DG TRADE in 2012</w:t>
      </w:r>
      <w:r w:rsidR="00F14984" w:rsidRPr="00EC6AE0">
        <w:rPr>
          <w:rStyle w:val="FootnoteReference"/>
          <w:rFonts w:ascii="Times New Roman" w:hAnsi="Times New Roman" w:cs="Times New Roman"/>
          <w:bCs/>
          <w:sz w:val="24"/>
          <w:szCs w:val="24"/>
        </w:rPr>
        <w:footnoteReference w:id="3"/>
      </w:r>
      <w:r w:rsidR="00F14984" w:rsidRPr="00EC6AE0">
        <w:rPr>
          <w:rFonts w:ascii="Times New Roman" w:hAnsi="Times New Roman" w:cs="Times New Roman"/>
          <w:sz w:val="24"/>
          <w:szCs w:val="24"/>
        </w:rPr>
        <w:t xml:space="preserve"> </w:t>
      </w:r>
      <w:r w:rsidR="00F14984" w:rsidRPr="00EC6AE0">
        <w:rPr>
          <w:rFonts w:ascii="Times New Roman" w:hAnsi="Times New Roman" w:cs="Times New Roman"/>
          <w:bCs/>
          <w:sz w:val="24"/>
          <w:szCs w:val="24"/>
        </w:rPr>
        <w:t xml:space="preserve">concluded that the EU-Chile FTA </w:t>
      </w:r>
      <w:r>
        <w:rPr>
          <w:rFonts w:ascii="Times New Roman" w:hAnsi="Times New Roman" w:cs="Times New Roman"/>
          <w:bCs/>
          <w:sz w:val="24"/>
          <w:szCs w:val="24"/>
        </w:rPr>
        <w:t xml:space="preserve">had </w:t>
      </w:r>
      <w:r w:rsidR="00F14984" w:rsidRPr="00EC6AE0">
        <w:rPr>
          <w:rFonts w:ascii="Times New Roman" w:hAnsi="Times New Roman" w:cs="Times New Roman"/>
          <w:bCs/>
          <w:sz w:val="24"/>
          <w:szCs w:val="24"/>
        </w:rPr>
        <w:t>helped to prevent the EU market share in Chile from falling substantially further, thereby mitigating the crowding-out effect of FTAs concluded by Chile with 3</w:t>
      </w:r>
      <w:r w:rsidR="00F14984" w:rsidRPr="00EC6AE0">
        <w:rPr>
          <w:rFonts w:ascii="Times New Roman" w:hAnsi="Times New Roman" w:cs="Times New Roman"/>
          <w:bCs/>
          <w:sz w:val="24"/>
          <w:szCs w:val="24"/>
          <w:vertAlign w:val="superscript"/>
        </w:rPr>
        <w:t>rd</w:t>
      </w:r>
      <w:r w:rsidR="00F14984" w:rsidRPr="00EC6AE0">
        <w:rPr>
          <w:rFonts w:ascii="Times New Roman" w:hAnsi="Times New Roman" w:cs="Times New Roman"/>
          <w:bCs/>
          <w:sz w:val="24"/>
          <w:szCs w:val="24"/>
        </w:rPr>
        <w:t xml:space="preserve"> parties.</w:t>
      </w:r>
      <w:r w:rsidR="00F14984" w:rsidRPr="00EC6AE0">
        <w:rPr>
          <w:rStyle w:val="FootnoteReference"/>
          <w:rFonts w:ascii="Times New Roman" w:hAnsi="Times New Roman" w:cs="Times New Roman"/>
          <w:bCs/>
          <w:sz w:val="24"/>
          <w:szCs w:val="24"/>
        </w:rPr>
        <w:t xml:space="preserve"> </w:t>
      </w:r>
    </w:p>
    <w:p w:rsidR="00F14984" w:rsidRPr="000F76F0" w:rsidRDefault="00F14984" w:rsidP="00F14984">
      <w:pPr>
        <w:spacing w:after="0" w:line="240" w:lineRule="auto"/>
        <w:jc w:val="both"/>
        <w:rPr>
          <w:rFonts w:ascii="Times New Roman" w:hAnsi="Times New Roman" w:cs="Times New Roman"/>
          <w:sz w:val="12"/>
          <w:szCs w:val="12"/>
        </w:rPr>
      </w:pPr>
    </w:p>
    <w:p w:rsidR="00F14984" w:rsidRPr="00EC6AE0" w:rsidRDefault="00F14984" w:rsidP="00F149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2017 external ex-ante report on the modernisation of the EU-Chile FTA </w:t>
      </w:r>
      <w:r w:rsidR="00AE6D10">
        <w:rPr>
          <w:rFonts w:ascii="Times New Roman" w:hAnsi="Times New Roman" w:cs="Times New Roman"/>
          <w:sz w:val="24"/>
          <w:szCs w:val="24"/>
        </w:rPr>
        <w:t xml:space="preserve">(Annex 5) </w:t>
      </w:r>
      <w:r>
        <w:rPr>
          <w:rFonts w:ascii="Times New Roman" w:hAnsi="Times New Roman" w:cs="Times New Roman"/>
          <w:sz w:val="24"/>
          <w:szCs w:val="24"/>
        </w:rPr>
        <w:t xml:space="preserve">concludes </w:t>
      </w:r>
      <w:r w:rsidR="00950BC7">
        <w:rPr>
          <w:rFonts w:ascii="Times New Roman" w:hAnsi="Times New Roman" w:cs="Times New Roman"/>
          <w:sz w:val="24"/>
          <w:szCs w:val="24"/>
        </w:rPr>
        <w:t xml:space="preserve">that despite the apparent positive evolution </w:t>
      </w:r>
      <w:r w:rsidR="004A7B8F">
        <w:rPr>
          <w:rFonts w:ascii="Times New Roman" w:hAnsi="Times New Roman" w:cs="Times New Roman"/>
          <w:sz w:val="24"/>
          <w:szCs w:val="24"/>
        </w:rPr>
        <w:t>i</w:t>
      </w:r>
      <w:r w:rsidR="00950BC7">
        <w:rPr>
          <w:rFonts w:ascii="Times New Roman" w:hAnsi="Times New Roman" w:cs="Times New Roman"/>
          <w:sz w:val="24"/>
          <w:szCs w:val="24"/>
        </w:rPr>
        <w:t xml:space="preserve">n bilateral trade, when analysing the evolution of Chile's trade with the rest of the world it becomes apparent that </w:t>
      </w:r>
      <w:r w:rsidR="00A13487">
        <w:rPr>
          <w:rFonts w:ascii="Times New Roman" w:hAnsi="Times New Roman" w:cs="Times New Roman"/>
          <w:sz w:val="24"/>
          <w:szCs w:val="24"/>
        </w:rPr>
        <w:t xml:space="preserve">the </w:t>
      </w:r>
      <w:r w:rsidR="00950BC7">
        <w:rPr>
          <w:rFonts w:ascii="Times New Roman" w:hAnsi="Times New Roman" w:cs="Times New Roman"/>
          <w:sz w:val="24"/>
          <w:szCs w:val="24"/>
        </w:rPr>
        <w:t xml:space="preserve">EU and Chile have </w:t>
      </w:r>
      <w:r w:rsidR="00D83691">
        <w:rPr>
          <w:rFonts w:ascii="Times New Roman" w:hAnsi="Times New Roman" w:cs="Times New Roman"/>
          <w:sz w:val="24"/>
          <w:szCs w:val="24"/>
        </w:rPr>
        <w:t xml:space="preserve">been operating under progressively </w:t>
      </w:r>
      <w:r w:rsidR="00184239">
        <w:rPr>
          <w:rFonts w:ascii="Times New Roman" w:hAnsi="Times New Roman" w:cs="Times New Roman"/>
          <w:sz w:val="24"/>
          <w:szCs w:val="24"/>
        </w:rPr>
        <w:t xml:space="preserve">less attractive conditions </w:t>
      </w:r>
      <w:r w:rsidR="00841D82">
        <w:rPr>
          <w:rFonts w:ascii="Times New Roman" w:hAnsi="Times New Roman" w:cs="Times New Roman"/>
          <w:sz w:val="24"/>
          <w:szCs w:val="24"/>
        </w:rPr>
        <w:t>on</w:t>
      </w:r>
      <w:r w:rsidR="00184239">
        <w:rPr>
          <w:rFonts w:ascii="Times New Roman" w:hAnsi="Times New Roman" w:cs="Times New Roman"/>
          <w:sz w:val="24"/>
          <w:szCs w:val="24"/>
        </w:rPr>
        <w:t xml:space="preserve"> b</w:t>
      </w:r>
      <w:r w:rsidR="00950BC7">
        <w:rPr>
          <w:rFonts w:ascii="Times New Roman" w:hAnsi="Times New Roman" w:cs="Times New Roman"/>
          <w:sz w:val="24"/>
          <w:szCs w:val="24"/>
        </w:rPr>
        <w:t xml:space="preserve">ilateral trade. The study notes that, </w:t>
      </w:r>
      <w:r>
        <w:rPr>
          <w:rFonts w:ascii="Times New Roman" w:hAnsi="Times New Roman" w:cs="Times New Roman"/>
          <w:sz w:val="24"/>
          <w:szCs w:val="24"/>
        </w:rPr>
        <w:t xml:space="preserve">due to the </w:t>
      </w:r>
      <w:r w:rsidRPr="00EC6AE0">
        <w:rPr>
          <w:rFonts w:ascii="Times New Roman" w:hAnsi="Times New Roman" w:cs="Times New Roman"/>
          <w:sz w:val="24"/>
          <w:szCs w:val="24"/>
        </w:rPr>
        <w:t xml:space="preserve">ambition and geographical coverage of </w:t>
      </w:r>
      <w:r>
        <w:rPr>
          <w:rFonts w:ascii="Times New Roman" w:hAnsi="Times New Roman" w:cs="Times New Roman"/>
          <w:sz w:val="24"/>
          <w:szCs w:val="24"/>
        </w:rPr>
        <w:t xml:space="preserve">Chile's </w:t>
      </w:r>
      <w:r w:rsidRPr="00EC6AE0">
        <w:rPr>
          <w:rFonts w:ascii="Times New Roman" w:hAnsi="Times New Roman" w:cs="Times New Roman"/>
          <w:sz w:val="24"/>
          <w:szCs w:val="24"/>
        </w:rPr>
        <w:t>above-mentioned FTAs</w:t>
      </w:r>
      <w:r w:rsidR="00841D82">
        <w:rPr>
          <w:rFonts w:ascii="Times New Roman" w:hAnsi="Times New Roman" w:cs="Times New Roman"/>
          <w:sz w:val="24"/>
          <w:szCs w:val="24"/>
        </w:rPr>
        <w:t>,</w:t>
      </w:r>
      <w:r w:rsidRPr="00EC6AE0">
        <w:rPr>
          <w:rFonts w:ascii="Times New Roman" w:hAnsi="Times New Roman" w:cs="Times New Roman"/>
          <w:sz w:val="24"/>
          <w:szCs w:val="24"/>
        </w:rPr>
        <w:t xml:space="preserve"> trade preferences between Chile and the EU are at risk of losin</w:t>
      </w:r>
      <w:r w:rsidR="00D83691">
        <w:rPr>
          <w:rFonts w:ascii="Times New Roman" w:hAnsi="Times New Roman" w:cs="Times New Roman"/>
          <w:sz w:val="24"/>
          <w:szCs w:val="24"/>
        </w:rPr>
        <w:t>g progressively their relevance; a</w:t>
      </w:r>
      <w:r w:rsidRPr="00EC6AE0">
        <w:rPr>
          <w:rFonts w:ascii="Times New Roman" w:hAnsi="Times New Roman" w:cs="Times New Roman"/>
          <w:sz w:val="24"/>
          <w:szCs w:val="24"/>
        </w:rPr>
        <w:t>nd hence</w:t>
      </w:r>
      <w:r w:rsidR="00D83691">
        <w:rPr>
          <w:rFonts w:ascii="Times New Roman" w:hAnsi="Times New Roman" w:cs="Times New Roman"/>
          <w:sz w:val="24"/>
          <w:szCs w:val="24"/>
        </w:rPr>
        <w:t xml:space="preserve"> to</w:t>
      </w:r>
      <w:r w:rsidRPr="00EC6AE0">
        <w:rPr>
          <w:rFonts w:ascii="Times New Roman" w:hAnsi="Times New Roman" w:cs="Times New Roman"/>
          <w:sz w:val="24"/>
          <w:szCs w:val="24"/>
        </w:rPr>
        <w:t xml:space="preserve"> be subject to </w:t>
      </w:r>
      <w:r w:rsidR="009C1632">
        <w:rPr>
          <w:rFonts w:ascii="Times New Roman" w:hAnsi="Times New Roman" w:cs="Times New Roman"/>
          <w:sz w:val="24"/>
          <w:szCs w:val="24"/>
        </w:rPr>
        <w:t xml:space="preserve">comparatively less attractive conditions for bilateral trade </w:t>
      </w:r>
      <w:r w:rsidR="00A1559A">
        <w:rPr>
          <w:rFonts w:ascii="Times New Roman" w:hAnsi="Times New Roman" w:cs="Times New Roman"/>
          <w:sz w:val="24"/>
          <w:szCs w:val="24"/>
        </w:rPr>
        <w:t xml:space="preserve">and investment </w:t>
      </w:r>
      <w:r w:rsidRPr="00EC6AE0">
        <w:rPr>
          <w:rFonts w:ascii="Times New Roman" w:hAnsi="Times New Roman" w:cs="Times New Roman"/>
          <w:sz w:val="24"/>
          <w:szCs w:val="24"/>
        </w:rPr>
        <w:t>in the years to come.</w:t>
      </w:r>
    </w:p>
    <w:p w:rsidR="00F14984" w:rsidRDefault="00F14984" w:rsidP="00F14984">
      <w:pPr>
        <w:spacing w:after="0" w:line="240" w:lineRule="auto"/>
        <w:jc w:val="both"/>
        <w:rPr>
          <w:rFonts w:ascii="Times New Roman" w:hAnsi="Times New Roman" w:cs="Times New Roman"/>
          <w:sz w:val="24"/>
          <w:szCs w:val="24"/>
        </w:rPr>
      </w:pPr>
    </w:p>
    <w:p w:rsidR="00A13487" w:rsidRDefault="00194090" w:rsidP="00E851A2">
      <w:p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w:t>
      </w:r>
      <w:r w:rsidR="00F84322">
        <w:rPr>
          <w:rFonts w:ascii="Times New Roman" w:hAnsi="Times New Roman" w:cs="Times New Roman"/>
          <w:b/>
          <w:sz w:val="24"/>
          <w:szCs w:val="24"/>
        </w:rPr>
        <w:tab/>
      </w:r>
      <w:r w:rsidR="002A0F4A" w:rsidRPr="000D11A3">
        <w:rPr>
          <w:rFonts w:ascii="Times New Roman" w:hAnsi="Times New Roman" w:cs="Times New Roman"/>
          <w:b/>
          <w:sz w:val="24"/>
          <w:szCs w:val="24"/>
        </w:rPr>
        <w:t>Limited possibilities to promote a greater contribu</w:t>
      </w:r>
      <w:r w:rsidR="000D11A3">
        <w:rPr>
          <w:rFonts w:ascii="Times New Roman" w:hAnsi="Times New Roman" w:cs="Times New Roman"/>
          <w:b/>
          <w:sz w:val="24"/>
          <w:szCs w:val="24"/>
        </w:rPr>
        <w:t>tion of trade and investment to</w:t>
      </w:r>
    </w:p>
    <w:p w:rsidR="002A0F4A" w:rsidRPr="000D11A3" w:rsidRDefault="000D11A3" w:rsidP="00E851A2">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Sustainable D</w:t>
      </w:r>
      <w:r w:rsidR="002A0F4A" w:rsidRPr="000D11A3">
        <w:rPr>
          <w:rFonts w:ascii="Times New Roman" w:hAnsi="Times New Roman" w:cs="Times New Roman"/>
          <w:b/>
          <w:sz w:val="24"/>
          <w:szCs w:val="24"/>
        </w:rPr>
        <w:t>evelopment</w:t>
      </w:r>
    </w:p>
    <w:p w:rsidR="002A0F4A" w:rsidRDefault="002A0F4A" w:rsidP="002A0F4A">
      <w:pPr>
        <w:spacing w:after="0" w:line="240" w:lineRule="auto"/>
        <w:jc w:val="both"/>
        <w:rPr>
          <w:rFonts w:ascii="Times New Roman" w:hAnsi="Times New Roman" w:cs="Times New Roman"/>
          <w:sz w:val="24"/>
          <w:szCs w:val="24"/>
        </w:rPr>
      </w:pPr>
    </w:p>
    <w:p w:rsidR="007840B5" w:rsidRDefault="00FD69FD" w:rsidP="00FD69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EU-Chile FTA does not include provisions on trade and sustainable development</w:t>
      </w:r>
      <w:r w:rsidR="007840B5">
        <w:rPr>
          <w:rFonts w:ascii="Times New Roman" w:hAnsi="Times New Roman" w:cs="Times New Roman"/>
          <w:sz w:val="24"/>
          <w:szCs w:val="24"/>
        </w:rPr>
        <w:t xml:space="preserve">, therefore limiting the potential contribution of the FTA to foster a positive impact on environmental, labour and social conditions. </w:t>
      </w:r>
      <w:r w:rsidR="0067455B">
        <w:rPr>
          <w:rFonts w:ascii="Times New Roman" w:hAnsi="Times New Roman" w:cs="Times New Roman"/>
          <w:sz w:val="24"/>
          <w:szCs w:val="24"/>
        </w:rPr>
        <w:t xml:space="preserve">This limitation is strongly </w:t>
      </w:r>
      <w:r w:rsidR="00A1559A">
        <w:rPr>
          <w:rFonts w:ascii="Times New Roman" w:hAnsi="Times New Roman" w:cs="Times New Roman"/>
          <w:sz w:val="24"/>
          <w:szCs w:val="24"/>
        </w:rPr>
        <w:t xml:space="preserve">reflected </w:t>
      </w:r>
      <w:r w:rsidR="0067455B">
        <w:rPr>
          <w:rFonts w:ascii="Times New Roman" w:hAnsi="Times New Roman" w:cs="Times New Roman"/>
          <w:sz w:val="24"/>
          <w:szCs w:val="24"/>
        </w:rPr>
        <w:t>in the public consultation, with respondents heavily in favour of</w:t>
      </w:r>
      <w:r w:rsidR="005D1E0D">
        <w:rPr>
          <w:rFonts w:ascii="Times New Roman" w:hAnsi="Times New Roman" w:cs="Times New Roman"/>
          <w:sz w:val="24"/>
          <w:szCs w:val="24"/>
        </w:rPr>
        <w:t xml:space="preserve"> provisions</w:t>
      </w:r>
      <w:r w:rsidR="0067455B">
        <w:rPr>
          <w:rFonts w:ascii="Times New Roman" w:hAnsi="Times New Roman" w:cs="Times New Roman"/>
          <w:sz w:val="24"/>
          <w:szCs w:val="24"/>
        </w:rPr>
        <w:t xml:space="preserve"> to promote adherence to internationally agreed principles, labour rights and environmental provisions.  </w:t>
      </w:r>
    </w:p>
    <w:p w:rsidR="007840B5" w:rsidRPr="000F76F0" w:rsidRDefault="007840B5" w:rsidP="00FD69FD">
      <w:pPr>
        <w:spacing w:after="0" w:line="240" w:lineRule="auto"/>
        <w:jc w:val="both"/>
        <w:rPr>
          <w:rFonts w:ascii="Times New Roman" w:hAnsi="Times New Roman" w:cs="Times New Roman"/>
          <w:sz w:val="12"/>
          <w:szCs w:val="12"/>
        </w:rPr>
      </w:pPr>
    </w:p>
    <w:p w:rsidR="002A0F4A" w:rsidRDefault="008B56C0" w:rsidP="002A0F4A">
      <w:pPr>
        <w:spacing w:after="0" w:line="240" w:lineRule="auto"/>
        <w:jc w:val="both"/>
        <w:rPr>
          <w:rFonts w:ascii="Times New Roman" w:hAnsi="Times New Roman" w:cs="Times New Roman"/>
          <w:sz w:val="24"/>
          <w:szCs w:val="24"/>
        </w:rPr>
      </w:pPr>
      <w:r w:rsidRPr="00EC6AE0">
        <w:rPr>
          <w:rFonts w:ascii="Times New Roman" w:hAnsi="Times New Roman" w:cs="Times New Roman"/>
          <w:sz w:val="24"/>
          <w:szCs w:val="24"/>
        </w:rPr>
        <w:t xml:space="preserve">The </w:t>
      </w:r>
      <w:r>
        <w:rPr>
          <w:rFonts w:ascii="Times New Roman" w:hAnsi="Times New Roman" w:cs="Times New Roman"/>
          <w:sz w:val="24"/>
          <w:szCs w:val="24"/>
        </w:rPr>
        <w:t xml:space="preserve">2012 </w:t>
      </w:r>
      <w:r w:rsidRPr="00EC6AE0">
        <w:rPr>
          <w:rFonts w:ascii="Times New Roman" w:hAnsi="Times New Roman" w:cs="Times New Roman"/>
          <w:sz w:val="24"/>
          <w:szCs w:val="24"/>
        </w:rPr>
        <w:t>ex-post assessment of the impact of the EU-Chile FTA</w:t>
      </w:r>
      <w:r w:rsidR="00D020E8">
        <w:rPr>
          <w:rFonts w:ascii="Times New Roman" w:hAnsi="Times New Roman" w:cs="Times New Roman"/>
          <w:sz w:val="24"/>
          <w:szCs w:val="24"/>
        </w:rPr>
        <w:t xml:space="preserve"> concluded</w:t>
      </w:r>
      <w:r>
        <w:rPr>
          <w:rFonts w:ascii="Times New Roman" w:hAnsi="Times New Roman" w:cs="Times New Roman"/>
          <w:sz w:val="24"/>
          <w:szCs w:val="24"/>
        </w:rPr>
        <w:t xml:space="preserve"> that the impact</w:t>
      </w:r>
      <w:r w:rsidR="00D83691">
        <w:rPr>
          <w:rFonts w:ascii="Times New Roman" w:hAnsi="Times New Roman" w:cs="Times New Roman"/>
          <w:sz w:val="24"/>
          <w:szCs w:val="24"/>
        </w:rPr>
        <w:t xml:space="preserve"> of the agreement</w:t>
      </w:r>
      <w:r>
        <w:rPr>
          <w:rFonts w:ascii="Times New Roman" w:hAnsi="Times New Roman" w:cs="Times New Roman"/>
          <w:sz w:val="24"/>
          <w:szCs w:val="24"/>
        </w:rPr>
        <w:t xml:space="preserve"> on the use of natural resources and the</w:t>
      </w:r>
      <w:r w:rsidR="00D020E8">
        <w:rPr>
          <w:rFonts w:ascii="Times New Roman" w:hAnsi="Times New Roman" w:cs="Times New Roman"/>
          <w:sz w:val="24"/>
          <w:szCs w:val="24"/>
        </w:rPr>
        <w:t xml:space="preserve"> degradation of the environment had been </w:t>
      </w:r>
      <w:r>
        <w:rPr>
          <w:rFonts w:ascii="Times New Roman" w:hAnsi="Times New Roman" w:cs="Times New Roman"/>
          <w:sz w:val="24"/>
          <w:szCs w:val="24"/>
        </w:rPr>
        <w:t xml:space="preserve">marginal. </w:t>
      </w:r>
      <w:r w:rsidR="00D020E8">
        <w:rPr>
          <w:rFonts w:ascii="Times New Roman" w:hAnsi="Times New Roman" w:cs="Times New Roman"/>
          <w:sz w:val="24"/>
          <w:szCs w:val="24"/>
        </w:rPr>
        <w:t>However, t</w:t>
      </w:r>
      <w:r>
        <w:rPr>
          <w:rFonts w:ascii="Times New Roman" w:hAnsi="Times New Roman" w:cs="Times New Roman"/>
          <w:sz w:val="24"/>
          <w:szCs w:val="24"/>
        </w:rPr>
        <w:t xml:space="preserve">he increased use of fertilizers for fruits, vegetables and wine exports </w:t>
      </w:r>
      <w:r w:rsidR="00D020E8">
        <w:rPr>
          <w:rFonts w:ascii="Times New Roman" w:hAnsi="Times New Roman" w:cs="Times New Roman"/>
          <w:sz w:val="24"/>
          <w:szCs w:val="24"/>
        </w:rPr>
        <w:t xml:space="preserve">was </w:t>
      </w:r>
      <w:r>
        <w:rPr>
          <w:rFonts w:ascii="Times New Roman" w:hAnsi="Times New Roman" w:cs="Times New Roman"/>
          <w:sz w:val="24"/>
          <w:szCs w:val="24"/>
        </w:rPr>
        <w:t>significant</w:t>
      </w:r>
      <w:r w:rsidR="00D020E8">
        <w:rPr>
          <w:rFonts w:ascii="Times New Roman" w:hAnsi="Times New Roman" w:cs="Times New Roman"/>
          <w:sz w:val="24"/>
          <w:szCs w:val="24"/>
        </w:rPr>
        <w:t xml:space="preserve"> and this, together with increased exports of salmon, molluscs and wood products, might have contributed, in a limited way, to different forms of air and water pollution. </w:t>
      </w:r>
    </w:p>
    <w:p w:rsidR="00D020E8" w:rsidRDefault="00D020E8" w:rsidP="002A0F4A">
      <w:pPr>
        <w:spacing w:after="0" w:line="240" w:lineRule="auto"/>
        <w:jc w:val="both"/>
        <w:rPr>
          <w:rFonts w:ascii="Times New Roman" w:hAnsi="Times New Roman" w:cs="Times New Roman"/>
          <w:sz w:val="24"/>
          <w:szCs w:val="24"/>
        </w:rPr>
      </w:pPr>
    </w:p>
    <w:p w:rsidR="004F5FA5" w:rsidRDefault="004F5FA5" w:rsidP="002A0F4A">
      <w:pPr>
        <w:spacing w:after="0" w:line="240" w:lineRule="auto"/>
        <w:jc w:val="both"/>
        <w:rPr>
          <w:rFonts w:ascii="Times New Roman" w:hAnsi="Times New Roman" w:cs="Times New Roman"/>
          <w:sz w:val="24"/>
          <w:szCs w:val="24"/>
          <w:highlight w:val="yellow"/>
        </w:rPr>
      </w:pPr>
    </w:p>
    <w:p w:rsidR="009A7AB9" w:rsidRDefault="009A7AB9" w:rsidP="002A0F4A">
      <w:pPr>
        <w:spacing w:after="0" w:line="240" w:lineRule="auto"/>
        <w:jc w:val="both"/>
        <w:rPr>
          <w:rFonts w:ascii="Times New Roman" w:hAnsi="Times New Roman" w:cs="Times New Roman"/>
          <w:sz w:val="24"/>
          <w:szCs w:val="24"/>
          <w:highlight w:val="yellow"/>
        </w:rPr>
      </w:pPr>
    </w:p>
    <w:p w:rsidR="002951CA" w:rsidRPr="00AC505A" w:rsidRDefault="002951CA" w:rsidP="002A28DD">
      <w:pPr>
        <w:pStyle w:val="ListParagraph"/>
        <w:numPr>
          <w:ilvl w:val="1"/>
          <w:numId w:val="12"/>
        </w:numPr>
        <w:spacing w:before="120" w:after="0" w:line="240" w:lineRule="auto"/>
        <w:jc w:val="both"/>
        <w:rPr>
          <w:rStyle w:val="Heading2Char"/>
          <w:u w:val="single"/>
          <w:lang w:val="en-GB"/>
        </w:rPr>
      </w:pPr>
      <w:bookmarkStart w:id="7" w:name="_Toc473123066"/>
      <w:r w:rsidRPr="00AC505A">
        <w:rPr>
          <w:rStyle w:val="Heading2Char"/>
          <w:u w:val="single"/>
          <w:lang w:val="en-GB"/>
        </w:rPr>
        <w:t>What are the drivers of the problems?</w:t>
      </w:r>
      <w:bookmarkEnd w:id="7"/>
    </w:p>
    <w:p w:rsidR="00A73A0F" w:rsidRDefault="00A73A0F" w:rsidP="0000389A">
      <w:pPr>
        <w:spacing w:after="0" w:line="240" w:lineRule="auto"/>
        <w:jc w:val="both"/>
        <w:rPr>
          <w:rFonts w:ascii="Times New Roman" w:hAnsi="Times New Roman" w:cs="Times New Roman"/>
          <w:sz w:val="24"/>
          <w:szCs w:val="24"/>
        </w:rPr>
      </w:pPr>
    </w:p>
    <w:p w:rsidR="0079202C" w:rsidRPr="0079202C" w:rsidRDefault="008202EB" w:rsidP="0079202C">
      <w:pPr>
        <w:spacing w:after="0" w:line="240" w:lineRule="auto"/>
        <w:jc w:val="both"/>
        <w:rPr>
          <w:rFonts w:ascii="Times New Roman" w:hAnsi="Times New Roman" w:cs="Times New Roman"/>
          <w:sz w:val="24"/>
          <w:szCs w:val="24"/>
        </w:rPr>
      </w:pPr>
      <w:r w:rsidRPr="0079202C">
        <w:rPr>
          <w:rFonts w:ascii="Times New Roman" w:hAnsi="Times New Roman" w:cs="Times New Roman"/>
          <w:sz w:val="24"/>
          <w:szCs w:val="24"/>
        </w:rPr>
        <w:t>There are a number of underlying factors affecting EU-</w:t>
      </w:r>
      <w:r w:rsidR="00E76540" w:rsidRPr="0079202C">
        <w:rPr>
          <w:rFonts w:ascii="Times New Roman" w:hAnsi="Times New Roman" w:cs="Times New Roman"/>
          <w:sz w:val="24"/>
          <w:szCs w:val="24"/>
        </w:rPr>
        <w:t>Chile</w:t>
      </w:r>
      <w:r w:rsidRPr="0079202C">
        <w:rPr>
          <w:rFonts w:ascii="Times New Roman" w:hAnsi="Times New Roman" w:cs="Times New Roman"/>
          <w:sz w:val="24"/>
          <w:szCs w:val="24"/>
        </w:rPr>
        <w:t xml:space="preserve"> trade and investment relations that </w:t>
      </w:r>
      <w:r w:rsidR="00E76540" w:rsidRPr="0079202C">
        <w:rPr>
          <w:rFonts w:ascii="Times New Roman" w:hAnsi="Times New Roman" w:cs="Times New Roman"/>
          <w:sz w:val="24"/>
          <w:szCs w:val="24"/>
        </w:rPr>
        <w:t xml:space="preserve">could </w:t>
      </w:r>
      <w:r w:rsidRPr="0079202C">
        <w:rPr>
          <w:rFonts w:ascii="Times New Roman" w:hAnsi="Times New Roman" w:cs="Times New Roman"/>
          <w:sz w:val="24"/>
          <w:szCs w:val="24"/>
        </w:rPr>
        <w:t>be addressed by trade policy. The main factors that are susceptible to change through trade policy measures and/or regulatory coherence are listed below.</w:t>
      </w:r>
      <w:r w:rsidR="00B10B86" w:rsidRPr="0079202C">
        <w:rPr>
          <w:rFonts w:ascii="Times New Roman" w:hAnsi="Times New Roman" w:cs="Times New Roman"/>
          <w:sz w:val="24"/>
          <w:szCs w:val="24"/>
        </w:rPr>
        <w:t xml:space="preserve"> </w:t>
      </w:r>
    </w:p>
    <w:p w:rsidR="0079202C" w:rsidRDefault="0079202C" w:rsidP="0079202C">
      <w:pPr>
        <w:spacing w:after="0" w:line="240" w:lineRule="auto"/>
        <w:jc w:val="both"/>
        <w:rPr>
          <w:rFonts w:ascii="Times New Roman" w:hAnsi="Times New Roman" w:cs="Times New Roman"/>
          <w:sz w:val="24"/>
          <w:szCs w:val="24"/>
        </w:rPr>
      </w:pPr>
    </w:p>
    <w:p w:rsidR="0079202C" w:rsidRDefault="00B10B86" w:rsidP="00792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problem drivers fall under two distinct categories, </w:t>
      </w:r>
      <w:r w:rsidR="006338E3">
        <w:rPr>
          <w:rFonts w:ascii="Times New Roman" w:hAnsi="Times New Roman" w:cs="Times New Roman"/>
          <w:sz w:val="24"/>
          <w:szCs w:val="24"/>
        </w:rPr>
        <w:t xml:space="preserve">namely </w:t>
      </w:r>
      <w:r>
        <w:rPr>
          <w:rFonts w:ascii="Times New Roman" w:hAnsi="Times New Roman" w:cs="Times New Roman"/>
          <w:sz w:val="24"/>
          <w:szCs w:val="24"/>
        </w:rPr>
        <w:t>the shortcomings of the existing provisions of the Agreement</w:t>
      </w:r>
      <w:r w:rsidR="006338E3">
        <w:rPr>
          <w:rFonts w:ascii="Times New Roman" w:hAnsi="Times New Roman" w:cs="Times New Roman"/>
          <w:sz w:val="24"/>
          <w:szCs w:val="24"/>
        </w:rPr>
        <w:t xml:space="preserve">, and the </w:t>
      </w:r>
      <w:r>
        <w:rPr>
          <w:rFonts w:ascii="Times New Roman" w:hAnsi="Times New Roman" w:cs="Times New Roman"/>
          <w:sz w:val="24"/>
          <w:szCs w:val="24"/>
        </w:rPr>
        <w:t>new issues included in the most recent FTAs negotiated by the EU</w:t>
      </w:r>
      <w:r w:rsidR="0079202C">
        <w:rPr>
          <w:rFonts w:ascii="Times New Roman" w:hAnsi="Times New Roman" w:cs="Times New Roman"/>
          <w:sz w:val="24"/>
          <w:szCs w:val="24"/>
        </w:rPr>
        <w:t>,</w:t>
      </w:r>
      <w:r>
        <w:rPr>
          <w:rFonts w:ascii="Times New Roman" w:hAnsi="Times New Roman" w:cs="Times New Roman"/>
          <w:sz w:val="24"/>
          <w:szCs w:val="24"/>
        </w:rPr>
        <w:t xml:space="preserve"> and </w:t>
      </w:r>
      <w:r w:rsidR="006338E3">
        <w:rPr>
          <w:rFonts w:ascii="Times New Roman" w:hAnsi="Times New Roman" w:cs="Times New Roman"/>
          <w:sz w:val="24"/>
          <w:szCs w:val="24"/>
        </w:rPr>
        <w:t xml:space="preserve">which </w:t>
      </w:r>
      <w:r>
        <w:rPr>
          <w:rFonts w:ascii="Times New Roman" w:hAnsi="Times New Roman" w:cs="Times New Roman"/>
          <w:sz w:val="24"/>
          <w:szCs w:val="24"/>
        </w:rPr>
        <w:t>are missing in the current Agreement.</w:t>
      </w:r>
    </w:p>
    <w:p w:rsidR="0079202C" w:rsidRDefault="0079202C" w:rsidP="0079202C">
      <w:pPr>
        <w:spacing w:after="0" w:line="240" w:lineRule="auto"/>
        <w:jc w:val="both"/>
        <w:rPr>
          <w:rFonts w:ascii="Times New Roman" w:hAnsi="Times New Roman" w:cs="Times New Roman"/>
          <w:sz w:val="24"/>
          <w:szCs w:val="24"/>
        </w:rPr>
      </w:pPr>
    </w:p>
    <w:p w:rsidR="006D6C9E" w:rsidRPr="00E851A2" w:rsidRDefault="006D6C9E" w:rsidP="00792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More generally, there are </w:t>
      </w:r>
      <w:r w:rsidRPr="00E851A2">
        <w:rPr>
          <w:rFonts w:ascii="Times New Roman" w:hAnsi="Times New Roman" w:cs="Times New Roman"/>
          <w:b/>
          <w:sz w:val="24"/>
          <w:szCs w:val="24"/>
        </w:rPr>
        <w:t>changes in the global economy</w:t>
      </w:r>
      <w:r>
        <w:rPr>
          <w:rFonts w:ascii="Times New Roman" w:hAnsi="Times New Roman" w:cs="Times New Roman"/>
          <w:sz w:val="24"/>
          <w:szCs w:val="24"/>
        </w:rPr>
        <w:t xml:space="preserve"> that impact EU-Chile bilateral trade.</w:t>
      </w:r>
      <w:r w:rsidR="00F84322">
        <w:rPr>
          <w:rFonts w:ascii="Times New Roman" w:hAnsi="Times New Roman" w:cs="Times New Roman"/>
          <w:bCs/>
          <w:sz w:val="24"/>
          <w:szCs w:val="24"/>
        </w:rPr>
        <w:t xml:space="preserve"> </w:t>
      </w:r>
      <w:r w:rsidR="00080624" w:rsidRPr="00E851A2">
        <w:rPr>
          <w:rFonts w:ascii="Times New Roman" w:hAnsi="Times New Roman" w:cs="Times New Roman"/>
          <w:bCs/>
          <w:sz w:val="24"/>
          <w:szCs w:val="24"/>
        </w:rPr>
        <w:t>Chile</w:t>
      </w:r>
      <w:r w:rsidRPr="00E851A2">
        <w:rPr>
          <w:rFonts w:ascii="Times New Roman" w:hAnsi="Times New Roman" w:cs="Times New Roman"/>
          <w:bCs/>
          <w:sz w:val="24"/>
          <w:szCs w:val="24"/>
        </w:rPr>
        <w:t xml:space="preserve"> has concluded </w:t>
      </w:r>
      <w:r w:rsidR="00080624" w:rsidRPr="00E851A2">
        <w:rPr>
          <w:rFonts w:ascii="Times New Roman" w:hAnsi="Times New Roman" w:cs="Times New Roman"/>
          <w:bCs/>
          <w:sz w:val="24"/>
          <w:szCs w:val="24"/>
        </w:rPr>
        <w:t>numerous and important FTAs and trade agreements since 2003, including with the US (2004), China (2006) and Japan (2007). More recently, Chile has joined the Pacific Alliance and has signed the Trans-Pacific Partnership</w:t>
      </w:r>
      <w:r w:rsidR="005933C6">
        <w:rPr>
          <w:rFonts w:ascii="Times New Roman" w:hAnsi="Times New Roman" w:cs="Times New Roman"/>
          <w:bCs/>
          <w:sz w:val="24"/>
          <w:szCs w:val="24"/>
        </w:rPr>
        <w:t>, which, although currently on hold, could come back in another form</w:t>
      </w:r>
      <w:r w:rsidR="00237C90">
        <w:rPr>
          <w:rFonts w:ascii="Times New Roman" w:hAnsi="Times New Roman" w:cs="Times New Roman"/>
          <w:bCs/>
          <w:sz w:val="24"/>
          <w:szCs w:val="24"/>
        </w:rPr>
        <w:t>, including</w:t>
      </w:r>
      <w:r w:rsidR="005933C6">
        <w:rPr>
          <w:rFonts w:ascii="Times New Roman" w:hAnsi="Times New Roman" w:cs="Times New Roman"/>
          <w:bCs/>
          <w:sz w:val="24"/>
          <w:szCs w:val="24"/>
        </w:rPr>
        <w:t xml:space="preserve"> without the US.</w:t>
      </w:r>
      <w:r w:rsidR="00080624" w:rsidRPr="00E851A2">
        <w:rPr>
          <w:rFonts w:ascii="Times New Roman" w:hAnsi="Times New Roman" w:cs="Times New Roman"/>
          <w:bCs/>
          <w:sz w:val="24"/>
          <w:szCs w:val="24"/>
        </w:rPr>
        <w:t xml:space="preserve"> </w:t>
      </w:r>
      <w:r w:rsidR="0079202C" w:rsidRPr="00E851A2">
        <w:rPr>
          <w:rFonts w:ascii="Times New Roman" w:hAnsi="Times New Roman" w:cs="Times New Roman"/>
          <w:bCs/>
          <w:sz w:val="24"/>
          <w:szCs w:val="24"/>
        </w:rPr>
        <w:t xml:space="preserve">In the Americas, </w:t>
      </w:r>
      <w:r w:rsidR="00136B57">
        <w:rPr>
          <w:rFonts w:ascii="Times New Roman" w:hAnsi="Times New Roman" w:cs="Times New Roman"/>
          <w:bCs/>
          <w:sz w:val="24"/>
          <w:szCs w:val="24"/>
        </w:rPr>
        <w:t xml:space="preserve">since the entry into force of the EU-Chile FTA </w:t>
      </w:r>
      <w:r w:rsidR="0079202C" w:rsidRPr="00E851A2">
        <w:rPr>
          <w:rFonts w:ascii="Times New Roman" w:hAnsi="Times New Roman" w:cs="Times New Roman"/>
          <w:bCs/>
          <w:sz w:val="24"/>
          <w:szCs w:val="24"/>
        </w:rPr>
        <w:t xml:space="preserve">the EU has concluded ambitious and comprehensive FTAs with Central America, with Colombia, Peru and Ecuador, and more recently with Canada. Moreover, the EU is negotiating a modernisation </w:t>
      </w:r>
      <w:r w:rsidR="0079202C">
        <w:rPr>
          <w:rFonts w:ascii="Times New Roman" w:hAnsi="Times New Roman" w:cs="Times New Roman"/>
          <w:bCs/>
          <w:sz w:val="24"/>
          <w:szCs w:val="24"/>
        </w:rPr>
        <w:t>of the EU-Mexico FTA and negotiations for an EU-Mercosur FTA have gained momentum.</w:t>
      </w:r>
      <w:r w:rsidR="0079202C" w:rsidRPr="00E851A2">
        <w:rPr>
          <w:rFonts w:ascii="Times New Roman" w:hAnsi="Times New Roman" w:cs="Times New Roman"/>
          <w:bCs/>
          <w:sz w:val="24"/>
          <w:szCs w:val="24"/>
        </w:rPr>
        <w:t xml:space="preserve">  </w:t>
      </w:r>
    </w:p>
    <w:p w:rsidR="006D6C9E" w:rsidRPr="006D6C9E" w:rsidRDefault="006D6C9E" w:rsidP="006D6C9E">
      <w:pPr>
        <w:pStyle w:val="ListParagraph"/>
        <w:spacing w:after="0" w:line="240" w:lineRule="auto"/>
        <w:ind w:left="360"/>
        <w:jc w:val="both"/>
        <w:rPr>
          <w:rFonts w:ascii="Times New Roman" w:hAnsi="Times New Roman" w:cs="Times New Roman"/>
          <w:bCs/>
          <w:sz w:val="24"/>
          <w:szCs w:val="24"/>
          <w:lang w:val="en-GB"/>
        </w:rPr>
      </w:pPr>
    </w:p>
    <w:p w:rsidR="006D6C9E" w:rsidRPr="00E851A2" w:rsidRDefault="006D6C9E" w:rsidP="006D6C9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1.2.1.</w:t>
      </w:r>
      <w:r>
        <w:rPr>
          <w:rFonts w:ascii="Times New Roman" w:hAnsi="Times New Roman" w:cs="Times New Roman"/>
          <w:b/>
          <w:sz w:val="24"/>
          <w:szCs w:val="24"/>
        </w:rPr>
        <w:tab/>
      </w:r>
      <w:r w:rsidRPr="00E851A2">
        <w:rPr>
          <w:rFonts w:ascii="Times New Roman" w:hAnsi="Times New Roman" w:cs="Times New Roman"/>
          <w:b/>
          <w:sz w:val="24"/>
          <w:szCs w:val="24"/>
        </w:rPr>
        <w:t>Shortcomings of the existing provisions</w:t>
      </w:r>
    </w:p>
    <w:p w:rsidR="00080624" w:rsidRDefault="00080624" w:rsidP="00080624">
      <w:pPr>
        <w:spacing w:after="0" w:line="240" w:lineRule="auto"/>
        <w:jc w:val="both"/>
        <w:rPr>
          <w:rFonts w:ascii="Times New Roman" w:hAnsi="Times New Roman" w:cs="Times New Roman"/>
          <w:sz w:val="24"/>
          <w:szCs w:val="24"/>
        </w:rPr>
      </w:pPr>
    </w:p>
    <w:p w:rsidR="00D92A3D" w:rsidRDefault="00D92A3D" w:rsidP="00080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problem drivers are based on the issues raised </w:t>
      </w:r>
      <w:r w:rsidR="00237C90">
        <w:rPr>
          <w:rFonts w:ascii="Times New Roman" w:hAnsi="Times New Roman" w:cs="Times New Roman"/>
          <w:sz w:val="24"/>
          <w:szCs w:val="24"/>
        </w:rPr>
        <w:t xml:space="preserve">identified by Commission services or </w:t>
      </w:r>
      <w:r>
        <w:rPr>
          <w:rFonts w:ascii="Times New Roman" w:hAnsi="Times New Roman" w:cs="Times New Roman"/>
          <w:sz w:val="24"/>
          <w:szCs w:val="24"/>
        </w:rPr>
        <w:t>by Member States and business in the context of market access work with Chile, and are complemented by the public consultation and the findings of the external study in Annex 5.</w:t>
      </w:r>
    </w:p>
    <w:p w:rsidR="00D92A3D" w:rsidRPr="00080624" w:rsidRDefault="00D92A3D" w:rsidP="00080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25A6" w:rsidRPr="007D4D13" w:rsidRDefault="00D83691" w:rsidP="002A28DD">
      <w:pPr>
        <w:pStyle w:val="ListParagraph"/>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Limited</w:t>
      </w:r>
      <w:r w:rsidR="00AE0F12" w:rsidRPr="007D4D13">
        <w:rPr>
          <w:rFonts w:ascii="Times New Roman" w:hAnsi="Times New Roman" w:cs="Times New Roman"/>
          <w:b/>
          <w:sz w:val="24"/>
          <w:szCs w:val="24"/>
          <w:lang w:val="en-GB"/>
        </w:rPr>
        <w:t xml:space="preserve"> liberalisation o</w:t>
      </w:r>
      <w:r>
        <w:rPr>
          <w:rFonts w:ascii="Times New Roman" w:hAnsi="Times New Roman" w:cs="Times New Roman"/>
          <w:b/>
          <w:sz w:val="24"/>
          <w:szCs w:val="24"/>
          <w:lang w:val="en-GB"/>
        </w:rPr>
        <w:t>f</w:t>
      </w:r>
      <w:r w:rsidR="00AE0F12" w:rsidRPr="007D4D13">
        <w:rPr>
          <w:rFonts w:ascii="Times New Roman" w:hAnsi="Times New Roman" w:cs="Times New Roman"/>
          <w:b/>
          <w:sz w:val="24"/>
          <w:szCs w:val="24"/>
          <w:lang w:val="en-GB"/>
        </w:rPr>
        <w:t xml:space="preserve"> trade i</w:t>
      </w:r>
      <w:r w:rsidR="004D3AF9">
        <w:rPr>
          <w:rFonts w:ascii="Times New Roman" w:hAnsi="Times New Roman" w:cs="Times New Roman"/>
          <w:b/>
          <w:sz w:val="24"/>
          <w:szCs w:val="24"/>
          <w:lang w:val="en-GB"/>
        </w:rPr>
        <w:t>n agriculture and food products.</w:t>
      </w:r>
      <w:r w:rsidR="00AE0F12" w:rsidRPr="007D4D13">
        <w:rPr>
          <w:rFonts w:ascii="Times New Roman" w:hAnsi="Times New Roman" w:cs="Times New Roman"/>
          <w:b/>
          <w:sz w:val="24"/>
          <w:szCs w:val="24"/>
          <w:lang w:val="en-GB"/>
        </w:rPr>
        <w:t xml:space="preserve"> </w:t>
      </w:r>
      <w:r w:rsidR="003E39DE" w:rsidRPr="002D352F">
        <w:rPr>
          <w:rFonts w:ascii="Times New Roman" w:hAnsi="Times New Roman" w:cs="Times New Roman"/>
          <w:sz w:val="24"/>
          <w:szCs w:val="24"/>
          <w:lang w:val="en-GB"/>
        </w:rPr>
        <w:t>While there is</w:t>
      </w:r>
      <w:r w:rsidR="00AE0F12" w:rsidRPr="007D4D13">
        <w:rPr>
          <w:rFonts w:ascii="Times New Roman" w:hAnsi="Times New Roman" w:cs="Times New Roman"/>
          <w:sz w:val="24"/>
          <w:szCs w:val="24"/>
          <w:lang w:val="en-GB"/>
        </w:rPr>
        <w:t xml:space="preserve"> full elimination of tariffs for industrial products in the EU-Chile FTA, liberalisation of trade in agriculture and food products is partial</w:t>
      </w:r>
      <w:r w:rsidR="008202EB" w:rsidRPr="007D4D13">
        <w:rPr>
          <w:rFonts w:ascii="Times New Roman" w:hAnsi="Times New Roman" w:cs="Times New Roman"/>
          <w:sz w:val="24"/>
          <w:szCs w:val="24"/>
          <w:lang w:val="en-GB"/>
        </w:rPr>
        <w:t xml:space="preserve">. </w:t>
      </w:r>
      <w:r w:rsidR="00882520">
        <w:rPr>
          <w:rFonts w:ascii="Times New Roman" w:hAnsi="Times New Roman" w:cs="Times New Roman"/>
          <w:sz w:val="24"/>
          <w:szCs w:val="24"/>
          <w:lang w:val="en-GB"/>
        </w:rPr>
        <w:t xml:space="preserve">The EU granted partial liberalisation through tariff quotas on around 200 tariff lines, and excluded from liberalisation approximately 500 tariff lines. </w:t>
      </w:r>
      <w:r w:rsidR="00885B80">
        <w:rPr>
          <w:rFonts w:ascii="Times New Roman" w:hAnsi="Times New Roman" w:cs="Times New Roman"/>
          <w:sz w:val="24"/>
          <w:szCs w:val="24"/>
          <w:lang w:val="en-GB"/>
        </w:rPr>
        <w:t>Chile</w:t>
      </w:r>
      <w:r w:rsidR="007B32AA">
        <w:rPr>
          <w:rFonts w:ascii="Times New Roman" w:hAnsi="Times New Roman" w:cs="Times New Roman"/>
          <w:sz w:val="24"/>
          <w:szCs w:val="24"/>
          <w:lang w:val="en-GB"/>
        </w:rPr>
        <w:t xml:space="preserve"> </w:t>
      </w:r>
      <w:r w:rsidR="00885B80">
        <w:rPr>
          <w:rFonts w:ascii="Times New Roman" w:hAnsi="Times New Roman" w:cs="Times New Roman"/>
          <w:sz w:val="24"/>
          <w:szCs w:val="24"/>
          <w:lang w:val="en-GB"/>
        </w:rPr>
        <w:t xml:space="preserve">excluded </w:t>
      </w:r>
      <w:r w:rsidR="008207DD" w:rsidRPr="00885B80">
        <w:rPr>
          <w:rFonts w:ascii="Times New Roman" w:hAnsi="Times New Roman" w:cs="Times New Roman"/>
          <w:sz w:val="24"/>
          <w:szCs w:val="24"/>
          <w:lang w:val="en-GB"/>
        </w:rPr>
        <w:t>6% of agricultural tariff lines</w:t>
      </w:r>
      <w:r w:rsidR="008207DD">
        <w:rPr>
          <w:rFonts w:ascii="Times New Roman" w:hAnsi="Times New Roman" w:cs="Times New Roman"/>
          <w:sz w:val="24"/>
          <w:szCs w:val="24"/>
          <w:lang w:val="en-GB"/>
        </w:rPr>
        <w:t xml:space="preserve"> </w:t>
      </w:r>
      <w:r w:rsidR="00885B80">
        <w:rPr>
          <w:rFonts w:ascii="Times New Roman" w:hAnsi="Times New Roman" w:cs="Times New Roman"/>
          <w:sz w:val="24"/>
          <w:szCs w:val="24"/>
          <w:lang w:val="en-GB"/>
        </w:rPr>
        <w:t>from its tariff concessions</w:t>
      </w:r>
      <w:r w:rsidR="00885B80" w:rsidRPr="00885B80">
        <w:rPr>
          <w:rFonts w:ascii="Times New Roman" w:hAnsi="Times New Roman" w:cs="Times New Roman"/>
          <w:sz w:val="24"/>
          <w:szCs w:val="24"/>
          <w:lang w:val="en-GB"/>
        </w:rPr>
        <w:t xml:space="preserve">, including dairy products, vegetable oils, sugar and wheat flour, as well as </w:t>
      </w:r>
      <w:r w:rsidR="00AE6D10">
        <w:rPr>
          <w:rFonts w:ascii="Times New Roman" w:hAnsi="Times New Roman" w:cs="Times New Roman"/>
          <w:sz w:val="24"/>
          <w:szCs w:val="24"/>
          <w:lang w:val="en-GB"/>
        </w:rPr>
        <w:t>certain fish</w:t>
      </w:r>
      <w:r w:rsidR="00885B80" w:rsidRPr="00885B80">
        <w:rPr>
          <w:rFonts w:ascii="Times New Roman" w:hAnsi="Times New Roman" w:cs="Times New Roman"/>
          <w:sz w:val="24"/>
          <w:szCs w:val="24"/>
          <w:lang w:val="en-GB"/>
        </w:rPr>
        <w:t>, currently subject to partial liberalisation</w:t>
      </w:r>
      <w:r w:rsidR="008207DD">
        <w:rPr>
          <w:rFonts w:ascii="Times New Roman" w:hAnsi="Times New Roman" w:cs="Times New Roman"/>
          <w:sz w:val="24"/>
          <w:szCs w:val="24"/>
          <w:lang w:val="en-GB"/>
        </w:rPr>
        <w:t>.</w:t>
      </w:r>
    </w:p>
    <w:p w:rsidR="00AE0F12" w:rsidRDefault="00AE0F12" w:rsidP="009125A6">
      <w:pPr>
        <w:spacing w:after="0" w:line="240" w:lineRule="auto"/>
        <w:jc w:val="both"/>
        <w:rPr>
          <w:rFonts w:ascii="Times New Roman" w:hAnsi="Times New Roman" w:cs="Times New Roman"/>
          <w:sz w:val="24"/>
          <w:szCs w:val="24"/>
        </w:rPr>
      </w:pPr>
    </w:p>
    <w:p w:rsidR="00AE0F12" w:rsidRPr="007D4D13" w:rsidRDefault="004D3AF9" w:rsidP="002A28DD">
      <w:pPr>
        <w:pStyle w:val="ListParagraph"/>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Rules of origin </w:t>
      </w:r>
      <w:r w:rsidR="00357D5E">
        <w:rPr>
          <w:rFonts w:ascii="Times New Roman" w:hAnsi="Times New Roman" w:cs="Times New Roman"/>
          <w:b/>
          <w:sz w:val="24"/>
          <w:szCs w:val="24"/>
          <w:lang w:val="en-GB"/>
        </w:rPr>
        <w:t>require updating</w:t>
      </w:r>
      <w:r>
        <w:rPr>
          <w:rFonts w:ascii="Times New Roman" w:hAnsi="Times New Roman" w:cs="Times New Roman"/>
          <w:b/>
          <w:sz w:val="24"/>
          <w:szCs w:val="24"/>
          <w:lang w:val="en-GB"/>
        </w:rPr>
        <w:t>.</w:t>
      </w:r>
      <w:r w:rsidR="00AE0F12" w:rsidRPr="007D4D13">
        <w:rPr>
          <w:rFonts w:ascii="Times New Roman" w:hAnsi="Times New Roman" w:cs="Times New Roman"/>
          <w:sz w:val="24"/>
          <w:szCs w:val="24"/>
          <w:lang w:val="en-GB"/>
        </w:rPr>
        <w:t xml:space="preserve"> The EU-Chile FTA provisions on customs procedures are based on a framework of cooperation </w:t>
      </w:r>
      <w:r w:rsidR="00D83691">
        <w:rPr>
          <w:rFonts w:ascii="Times New Roman" w:hAnsi="Times New Roman" w:cs="Times New Roman"/>
          <w:sz w:val="24"/>
          <w:szCs w:val="24"/>
          <w:lang w:val="en-GB"/>
        </w:rPr>
        <w:t>between the two p</w:t>
      </w:r>
      <w:r w:rsidR="00AE0F12" w:rsidRPr="007D4D13">
        <w:rPr>
          <w:rFonts w:ascii="Times New Roman" w:hAnsi="Times New Roman" w:cs="Times New Roman"/>
          <w:sz w:val="24"/>
          <w:szCs w:val="24"/>
          <w:lang w:val="en-GB"/>
        </w:rPr>
        <w:t>arties and rely on a</w:t>
      </w:r>
      <w:r w:rsidR="006F2F43">
        <w:rPr>
          <w:rFonts w:ascii="Times New Roman" w:hAnsi="Times New Roman" w:cs="Times New Roman"/>
          <w:sz w:val="24"/>
          <w:szCs w:val="24"/>
          <w:lang w:val="en-GB"/>
        </w:rPr>
        <w:t>n</w:t>
      </w:r>
      <w:r w:rsidR="00AE0F12" w:rsidRPr="007D4D13">
        <w:rPr>
          <w:rFonts w:ascii="Times New Roman" w:hAnsi="Times New Roman" w:cs="Times New Roman"/>
          <w:sz w:val="24"/>
          <w:szCs w:val="24"/>
          <w:lang w:val="en-GB"/>
        </w:rPr>
        <w:t xml:space="preserve"> outdated set of rules of origin (RoOs), which pre-dates the EU </w:t>
      </w:r>
      <w:r w:rsidR="006F2F43">
        <w:rPr>
          <w:rFonts w:ascii="Times New Roman" w:hAnsi="Times New Roman" w:cs="Times New Roman"/>
          <w:sz w:val="24"/>
          <w:szCs w:val="24"/>
          <w:lang w:val="en-GB"/>
        </w:rPr>
        <w:t xml:space="preserve">RoOs </w:t>
      </w:r>
      <w:r w:rsidR="00AE0F12" w:rsidRPr="007D4D13">
        <w:rPr>
          <w:rFonts w:ascii="Times New Roman" w:hAnsi="Times New Roman" w:cs="Times New Roman"/>
          <w:sz w:val="24"/>
          <w:szCs w:val="24"/>
          <w:lang w:val="en-GB"/>
        </w:rPr>
        <w:t>reform launched in 200</w:t>
      </w:r>
      <w:r w:rsidR="00D83691">
        <w:rPr>
          <w:rFonts w:ascii="Times New Roman" w:hAnsi="Times New Roman" w:cs="Times New Roman"/>
          <w:sz w:val="24"/>
          <w:szCs w:val="24"/>
          <w:lang w:val="en-GB"/>
        </w:rPr>
        <w:t xml:space="preserve">3. This leaves the RoOs of the </w:t>
      </w:r>
      <w:r w:rsidR="00A1559A">
        <w:rPr>
          <w:rFonts w:ascii="Times New Roman" w:hAnsi="Times New Roman" w:cs="Times New Roman"/>
          <w:sz w:val="24"/>
          <w:szCs w:val="24"/>
          <w:lang w:val="en-GB"/>
        </w:rPr>
        <w:t>A</w:t>
      </w:r>
      <w:r w:rsidR="00AE0F12" w:rsidRPr="007D4D13">
        <w:rPr>
          <w:rFonts w:ascii="Times New Roman" w:hAnsi="Times New Roman" w:cs="Times New Roman"/>
          <w:sz w:val="24"/>
          <w:szCs w:val="24"/>
          <w:lang w:val="en-GB"/>
        </w:rPr>
        <w:t>greement at odds with the new set of EU standard RoOs, and creates an unnecessary burden for economic operators (in particular SMEs), which have to adapt to the variable geometry of the different sets of RoOs in force.</w:t>
      </w:r>
      <w:r w:rsidR="00AE0F12" w:rsidRPr="007D4D13">
        <w:rPr>
          <w:lang w:val="en-GB"/>
        </w:rPr>
        <w:t xml:space="preserve"> </w:t>
      </w:r>
      <w:r w:rsidR="00AE0F12" w:rsidRPr="007D4D13">
        <w:rPr>
          <w:rFonts w:ascii="Times New Roman" w:hAnsi="Times New Roman" w:cs="Times New Roman"/>
          <w:sz w:val="24"/>
          <w:szCs w:val="24"/>
          <w:lang w:val="en-GB"/>
        </w:rPr>
        <w:t xml:space="preserve">This divergence will become even more burdensome for economic operators when </w:t>
      </w:r>
      <w:r w:rsidR="001377B7">
        <w:rPr>
          <w:rFonts w:ascii="Times New Roman" w:hAnsi="Times New Roman" w:cs="Times New Roman"/>
          <w:sz w:val="24"/>
          <w:szCs w:val="24"/>
          <w:lang w:val="en-GB"/>
        </w:rPr>
        <w:t xml:space="preserve">other ambitious </w:t>
      </w:r>
      <w:r w:rsidR="006F2F43">
        <w:rPr>
          <w:rFonts w:ascii="Times New Roman" w:hAnsi="Times New Roman" w:cs="Times New Roman"/>
          <w:sz w:val="24"/>
          <w:szCs w:val="24"/>
          <w:lang w:val="en-GB"/>
        </w:rPr>
        <w:t xml:space="preserve">EU </w:t>
      </w:r>
      <w:r w:rsidR="001377B7">
        <w:rPr>
          <w:rFonts w:ascii="Times New Roman" w:hAnsi="Times New Roman" w:cs="Times New Roman"/>
          <w:sz w:val="24"/>
          <w:szCs w:val="24"/>
          <w:lang w:val="en-GB"/>
        </w:rPr>
        <w:t xml:space="preserve">FTAs </w:t>
      </w:r>
      <w:r w:rsidR="006F2F43">
        <w:rPr>
          <w:rFonts w:ascii="Times New Roman" w:hAnsi="Times New Roman" w:cs="Times New Roman"/>
          <w:sz w:val="24"/>
          <w:szCs w:val="24"/>
          <w:lang w:val="en-GB"/>
        </w:rPr>
        <w:t xml:space="preserve">with third countries </w:t>
      </w:r>
      <w:r w:rsidR="001377B7">
        <w:rPr>
          <w:rFonts w:ascii="Times New Roman" w:hAnsi="Times New Roman" w:cs="Times New Roman"/>
          <w:sz w:val="24"/>
          <w:szCs w:val="24"/>
          <w:lang w:val="en-GB"/>
        </w:rPr>
        <w:t>(</w:t>
      </w:r>
      <w:r w:rsidR="006F2F43">
        <w:rPr>
          <w:rFonts w:ascii="Times New Roman" w:hAnsi="Times New Roman" w:cs="Times New Roman"/>
          <w:sz w:val="24"/>
          <w:szCs w:val="24"/>
          <w:lang w:val="en-GB"/>
        </w:rPr>
        <w:t>e.g.</w:t>
      </w:r>
      <w:r w:rsidR="001377B7">
        <w:rPr>
          <w:rFonts w:ascii="Times New Roman" w:hAnsi="Times New Roman" w:cs="Times New Roman"/>
          <w:sz w:val="24"/>
          <w:szCs w:val="24"/>
          <w:lang w:val="en-GB"/>
        </w:rPr>
        <w:t xml:space="preserve"> </w:t>
      </w:r>
      <w:r w:rsidR="00AE0F12" w:rsidRPr="007D4D13">
        <w:rPr>
          <w:rFonts w:ascii="Times New Roman" w:hAnsi="Times New Roman" w:cs="Times New Roman"/>
          <w:sz w:val="24"/>
          <w:szCs w:val="24"/>
          <w:lang w:val="en-GB"/>
        </w:rPr>
        <w:t>Canada</w:t>
      </w:r>
      <w:r w:rsidR="00DF7B7F">
        <w:rPr>
          <w:rFonts w:ascii="Times New Roman" w:hAnsi="Times New Roman" w:cs="Times New Roman"/>
          <w:sz w:val="24"/>
          <w:szCs w:val="24"/>
          <w:lang w:val="en-GB"/>
        </w:rPr>
        <w:t xml:space="preserve">, </w:t>
      </w:r>
      <w:r w:rsidR="001377B7">
        <w:rPr>
          <w:rFonts w:ascii="Times New Roman" w:hAnsi="Times New Roman" w:cs="Times New Roman"/>
          <w:sz w:val="24"/>
          <w:szCs w:val="24"/>
          <w:lang w:val="en-GB"/>
        </w:rPr>
        <w:t xml:space="preserve">Vietnam) </w:t>
      </w:r>
      <w:r w:rsidR="001377B7" w:rsidRPr="007D4D13">
        <w:rPr>
          <w:rFonts w:ascii="Times New Roman" w:hAnsi="Times New Roman" w:cs="Times New Roman"/>
          <w:sz w:val="24"/>
          <w:szCs w:val="24"/>
          <w:lang w:val="en-GB"/>
        </w:rPr>
        <w:t>enter in</w:t>
      </w:r>
      <w:r w:rsidR="00D83691">
        <w:rPr>
          <w:rFonts w:ascii="Times New Roman" w:hAnsi="Times New Roman" w:cs="Times New Roman"/>
          <w:sz w:val="24"/>
          <w:szCs w:val="24"/>
          <w:lang w:val="en-GB"/>
        </w:rPr>
        <w:t>to</w:t>
      </w:r>
      <w:r w:rsidR="001377B7" w:rsidRPr="007D4D13">
        <w:rPr>
          <w:rFonts w:ascii="Times New Roman" w:hAnsi="Times New Roman" w:cs="Times New Roman"/>
          <w:sz w:val="24"/>
          <w:szCs w:val="24"/>
          <w:lang w:val="en-GB"/>
        </w:rPr>
        <w:t xml:space="preserve"> force</w:t>
      </w:r>
      <w:r w:rsidR="00AE0F12" w:rsidRPr="007D4D13">
        <w:rPr>
          <w:rFonts w:ascii="Times New Roman" w:hAnsi="Times New Roman" w:cs="Times New Roman"/>
          <w:sz w:val="24"/>
          <w:szCs w:val="24"/>
          <w:lang w:val="en-GB"/>
        </w:rPr>
        <w:t xml:space="preserve">. </w:t>
      </w:r>
      <w:r w:rsidR="00C036C3">
        <w:rPr>
          <w:rFonts w:ascii="Times New Roman" w:hAnsi="Times New Roman" w:cs="Times New Roman"/>
          <w:sz w:val="24"/>
          <w:szCs w:val="24"/>
          <w:lang w:val="en-GB"/>
        </w:rPr>
        <w:t>Updating the rules of origin is also of increasing importance</w:t>
      </w:r>
      <w:r w:rsidR="00F713F1">
        <w:rPr>
          <w:rFonts w:ascii="Times New Roman" w:hAnsi="Times New Roman" w:cs="Times New Roman"/>
          <w:sz w:val="24"/>
          <w:szCs w:val="24"/>
          <w:lang w:val="en-GB"/>
        </w:rPr>
        <w:t>,</w:t>
      </w:r>
      <w:r w:rsidR="00C036C3">
        <w:rPr>
          <w:rFonts w:ascii="Times New Roman" w:hAnsi="Times New Roman" w:cs="Times New Roman"/>
          <w:sz w:val="24"/>
          <w:szCs w:val="24"/>
          <w:lang w:val="en-GB"/>
        </w:rPr>
        <w:t xml:space="preserve"> as Chile is signing agreements on cumulation of origin with other trading partners. </w:t>
      </w:r>
      <w:r w:rsidR="00AE0F12" w:rsidRPr="007D4D13">
        <w:rPr>
          <w:rFonts w:ascii="Times New Roman" w:hAnsi="Times New Roman" w:cs="Times New Roman"/>
          <w:sz w:val="24"/>
          <w:szCs w:val="24"/>
          <w:lang w:val="en-GB"/>
        </w:rPr>
        <w:t>Rules for certification and verification of origin also need to be updated, so as to reflect newer and more efficient practices agreed by Chile or the EU in other FTAs.</w:t>
      </w:r>
      <w:r w:rsidR="0067455B">
        <w:rPr>
          <w:rFonts w:ascii="Times New Roman" w:hAnsi="Times New Roman" w:cs="Times New Roman"/>
          <w:sz w:val="24"/>
          <w:szCs w:val="24"/>
          <w:lang w:val="en-GB"/>
        </w:rPr>
        <w:t xml:space="preserve"> </w:t>
      </w:r>
      <w:r w:rsidR="00494D84">
        <w:rPr>
          <w:rFonts w:ascii="Times New Roman" w:hAnsi="Times New Roman" w:cs="Times New Roman"/>
          <w:sz w:val="24"/>
          <w:szCs w:val="24"/>
          <w:lang w:val="en-GB"/>
        </w:rPr>
        <w:t>Ten</w:t>
      </w:r>
      <w:r w:rsidR="00494D84" w:rsidRPr="00EE5BA2">
        <w:rPr>
          <w:rFonts w:ascii="Times New Roman" w:hAnsi="Times New Roman" w:cs="Times New Roman"/>
          <w:sz w:val="24"/>
          <w:szCs w:val="24"/>
          <w:lang w:val="en-GB"/>
        </w:rPr>
        <w:t xml:space="preserve"> respondents</w:t>
      </w:r>
      <w:r w:rsidR="00494D84">
        <w:rPr>
          <w:rStyle w:val="FootnoteReference"/>
          <w:rFonts w:ascii="Times New Roman" w:hAnsi="Times New Roman" w:cs="Times New Roman"/>
          <w:sz w:val="24"/>
          <w:szCs w:val="24"/>
          <w:lang w:val="en-GB"/>
        </w:rPr>
        <w:footnoteReference w:id="4"/>
      </w:r>
      <w:r w:rsidR="00494D84">
        <w:rPr>
          <w:rFonts w:ascii="Times New Roman" w:hAnsi="Times New Roman" w:cs="Times New Roman"/>
          <w:sz w:val="24"/>
          <w:szCs w:val="24"/>
          <w:lang w:val="en-GB"/>
        </w:rPr>
        <w:t xml:space="preserve"> i</w:t>
      </w:r>
      <w:r w:rsidR="0067455B">
        <w:rPr>
          <w:rFonts w:ascii="Times New Roman" w:hAnsi="Times New Roman" w:cs="Times New Roman"/>
          <w:sz w:val="24"/>
          <w:szCs w:val="24"/>
          <w:lang w:val="en-GB"/>
        </w:rPr>
        <w:t xml:space="preserve">n the public consultation highlight the need to update rules of origin </w:t>
      </w:r>
      <w:r w:rsidR="00D83691">
        <w:rPr>
          <w:rFonts w:ascii="Times New Roman" w:hAnsi="Times New Roman" w:cs="Times New Roman"/>
          <w:sz w:val="24"/>
          <w:szCs w:val="24"/>
          <w:lang w:val="en-GB"/>
        </w:rPr>
        <w:t xml:space="preserve">in order </w:t>
      </w:r>
      <w:r w:rsidR="0067455B">
        <w:rPr>
          <w:rFonts w:ascii="Times New Roman" w:hAnsi="Times New Roman" w:cs="Times New Roman"/>
          <w:sz w:val="24"/>
          <w:szCs w:val="24"/>
          <w:lang w:val="en-GB"/>
        </w:rPr>
        <w:t xml:space="preserve">to bring them in line with those agreed by the EU with other countries in recent trade agreements.  </w:t>
      </w:r>
    </w:p>
    <w:p w:rsidR="00AE0F12" w:rsidRDefault="00AE0F12" w:rsidP="00AE0F12">
      <w:pPr>
        <w:spacing w:after="0" w:line="240" w:lineRule="auto"/>
        <w:jc w:val="both"/>
        <w:rPr>
          <w:rFonts w:ascii="Times New Roman" w:hAnsi="Times New Roman" w:cs="Times New Roman"/>
          <w:b/>
          <w:sz w:val="24"/>
          <w:szCs w:val="24"/>
        </w:rPr>
      </w:pPr>
    </w:p>
    <w:p w:rsidR="004D3272" w:rsidRDefault="00AE0F12" w:rsidP="002A28DD">
      <w:pPr>
        <w:pStyle w:val="ListParagraph"/>
        <w:numPr>
          <w:ilvl w:val="0"/>
          <w:numId w:val="6"/>
        </w:numPr>
        <w:spacing w:after="0" w:line="240" w:lineRule="auto"/>
        <w:jc w:val="both"/>
        <w:rPr>
          <w:rFonts w:ascii="Times New Roman" w:hAnsi="Times New Roman" w:cs="Times New Roman"/>
          <w:sz w:val="24"/>
          <w:szCs w:val="24"/>
          <w:lang w:val="en-GB"/>
        </w:rPr>
      </w:pPr>
      <w:r w:rsidRPr="007D4D13">
        <w:rPr>
          <w:rFonts w:ascii="Times New Roman" w:hAnsi="Times New Roman" w:cs="Times New Roman"/>
          <w:b/>
          <w:sz w:val="24"/>
          <w:szCs w:val="24"/>
          <w:lang w:val="en-GB"/>
        </w:rPr>
        <w:t xml:space="preserve">Customs and trade facilitation </w:t>
      </w:r>
      <w:r w:rsidR="00357D5E">
        <w:rPr>
          <w:rFonts w:ascii="Times New Roman" w:hAnsi="Times New Roman" w:cs="Times New Roman"/>
          <w:b/>
          <w:sz w:val="24"/>
          <w:szCs w:val="24"/>
          <w:lang w:val="en-GB"/>
        </w:rPr>
        <w:t>provisions are outdated</w:t>
      </w:r>
      <w:r w:rsidR="004D3AF9">
        <w:rPr>
          <w:rFonts w:ascii="Times New Roman" w:hAnsi="Times New Roman" w:cs="Times New Roman"/>
          <w:sz w:val="24"/>
          <w:szCs w:val="24"/>
          <w:lang w:val="en-GB"/>
        </w:rPr>
        <w:t>.</w:t>
      </w:r>
      <w:r w:rsidRPr="007D4D13">
        <w:rPr>
          <w:rFonts w:ascii="Times New Roman" w:hAnsi="Times New Roman" w:cs="Times New Roman"/>
          <w:sz w:val="24"/>
          <w:szCs w:val="24"/>
          <w:lang w:val="en-GB"/>
        </w:rPr>
        <w:t xml:space="preserve"> </w:t>
      </w:r>
      <w:r w:rsidR="004D3272" w:rsidRPr="007D4D13">
        <w:rPr>
          <w:rFonts w:ascii="Times New Roman" w:hAnsi="Times New Roman" w:cs="Times New Roman"/>
          <w:sz w:val="24"/>
          <w:szCs w:val="24"/>
          <w:lang w:val="en-GB"/>
        </w:rPr>
        <w:t>P</w:t>
      </w:r>
      <w:r w:rsidRPr="007D4D13">
        <w:rPr>
          <w:rFonts w:ascii="Times New Roman" w:hAnsi="Times New Roman" w:cs="Times New Roman"/>
          <w:sz w:val="24"/>
          <w:szCs w:val="24"/>
          <w:lang w:val="en-GB"/>
        </w:rPr>
        <w:t>rovisions on customs procedures</w:t>
      </w:r>
      <w:r w:rsidR="004D3272" w:rsidRPr="007D4D13">
        <w:rPr>
          <w:rFonts w:ascii="Times New Roman" w:hAnsi="Times New Roman" w:cs="Times New Roman"/>
          <w:sz w:val="24"/>
          <w:szCs w:val="24"/>
          <w:lang w:val="en-GB"/>
        </w:rPr>
        <w:t xml:space="preserve"> rely largely on </w:t>
      </w:r>
      <w:r w:rsidRPr="007D4D13">
        <w:rPr>
          <w:rFonts w:ascii="Times New Roman" w:hAnsi="Times New Roman" w:cs="Times New Roman"/>
          <w:sz w:val="24"/>
          <w:szCs w:val="24"/>
          <w:lang w:val="en-GB"/>
        </w:rPr>
        <w:t xml:space="preserve">cooperation </w:t>
      </w:r>
      <w:r w:rsidR="004D3272" w:rsidRPr="007D4D13">
        <w:rPr>
          <w:rFonts w:ascii="Times New Roman" w:hAnsi="Times New Roman" w:cs="Times New Roman"/>
          <w:sz w:val="24"/>
          <w:szCs w:val="24"/>
          <w:lang w:val="en-GB"/>
        </w:rPr>
        <w:t>an</w:t>
      </w:r>
      <w:r w:rsidRPr="007D4D13">
        <w:rPr>
          <w:rFonts w:ascii="Times New Roman" w:hAnsi="Times New Roman" w:cs="Times New Roman"/>
          <w:sz w:val="24"/>
          <w:szCs w:val="24"/>
          <w:lang w:val="en-GB"/>
        </w:rPr>
        <w:t>d are not adapted to the most recent international developments on trade facilitation such as the World Trade Organisation (WTO) Trade Facilitation Agreement</w:t>
      </w:r>
      <w:r>
        <w:rPr>
          <w:rStyle w:val="FootnoteReference"/>
          <w:rFonts w:ascii="Times New Roman" w:hAnsi="Times New Roman" w:cs="Times New Roman"/>
          <w:sz w:val="24"/>
          <w:szCs w:val="24"/>
        </w:rPr>
        <w:footnoteReference w:id="5"/>
      </w:r>
      <w:r w:rsidRPr="007D4D13">
        <w:rPr>
          <w:rFonts w:ascii="Times New Roman" w:hAnsi="Times New Roman" w:cs="Times New Roman"/>
          <w:sz w:val="24"/>
          <w:szCs w:val="24"/>
          <w:lang w:val="en-GB"/>
        </w:rPr>
        <w:t>.</w:t>
      </w:r>
      <w:r w:rsidR="004D3272" w:rsidRPr="007D4D13">
        <w:rPr>
          <w:rFonts w:ascii="Times New Roman" w:hAnsi="Times New Roman" w:cs="Times New Roman"/>
          <w:sz w:val="24"/>
          <w:szCs w:val="24"/>
          <w:lang w:val="en-GB"/>
        </w:rPr>
        <w:t xml:space="preserve"> </w:t>
      </w:r>
      <w:r w:rsidR="0067455B">
        <w:rPr>
          <w:rFonts w:ascii="Times New Roman" w:hAnsi="Times New Roman" w:cs="Times New Roman"/>
          <w:sz w:val="24"/>
          <w:szCs w:val="24"/>
          <w:lang w:val="en-GB"/>
        </w:rPr>
        <w:t>Some respondents in the public consultation point at problems with current customs procedures and border enforcement.</w:t>
      </w:r>
    </w:p>
    <w:p w:rsidR="004D3AF9" w:rsidRDefault="004D3AF9" w:rsidP="004D3AF9">
      <w:pPr>
        <w:spacing w:after="0" w:line="240" w:lineRule="auto"/>
        <w:jc w:val="both"/>
        <w:rPr>
          <w:rFonts w:ascii="Times New Roman" w:hAnsi="Times New Roman" w:cs="Times New Roman"/>
          <w:sz w:val="24"/>
          <w:szCs w:val="24"/>
        </w:rPr>
      </w:pPr>
    </w:p>
    <w:p w:rsidR="004D3272" w:rsidRPr="00092D4B" w:rsidRDefault="00F01D9B" w:rsidP="002A28DD">
      <w:pPr>
        <w:pStyle w:val="ListParagraph"/>
        <w:numPr>
          <w:ilvl w:val="0"/>
          <w:numId w:val="6"/>
        </w:numPr>
        <w:spacing w:after="0" w:line="240" w:lineRule="auto"/>
        <w:jc w:val="both"/>
        <w:rPr>
          <w:rFonts w:ascii="Times New Roman" w:hAnsi="Times New Roman" w:cs="Times New Roman"/>
          <w:sz w:val="24"/>
          <w:szCs w:val="24"/>
          <w:lang w:val="en-GB"/>
        </w:rPr>
      </w:pPr>
      <w:r w:rsidRPr="00F5180A">
        <w:rPr>
          <w:rFonts w:ascii="Times New Roman" w:hAnsi="Times New Roman" w:cs="Times New Roman"/>
          <w:b/>
          <w:sz w:val="24"/>
          <w:szCs w:val="24"/>
          <w:lang w:val="en-GB"/>
        </w:rPr>
        <w:t xml:space="preserve">Non-tariff barriers (NTBs) are not addressed fully. </w:t>
      </w:r>
      <w:r w:rsidR="009A4DEA" w:rsidRPr="00E851A2">
        <w:rPr>
          <w:rFonts w:ascii="Times New Roman" w:hAnsi="Times New Roman" w:cs="Times New Roman"/>
          <w:sz w:val="24"/>
          <w:szCs w:val="24"/>
          <w:lang w:val="en-GB"/>
        </w:rPr>
        <w:t>A number of NTBs prevail in the agriculture sector</w:t>
      </w:r>
      <w:r w:rsidR="002A1937">
        <w:rPr>
          <w:rFonts w:ascii="Times New Roman" w:hAnsi="Times New Roman" w:cs="Times New Roman"/>
          <w:sz w:val="24"/>
          <w:szCs w:val="24"/>
          <w:lang w:val="en-GB"/>
        </w:rPr>
        <w:t>.</w:t>
      </w:r>
      <w:r w:rsidR="009A4DEA">
        <w:rPr>
          <w:rFonts w:ascii="Times New Roman" w:hAnsi="Times New Roman" w:cs="Times New Roman"/>
          <w:b/>
          <w:sz w:val="24"/>
          <w:szCs w:val="24"/>
          <w:lang w:val="en-GB"/>
        </w:rPr>
        <w:t xml:space="preserve"> </w:t>
      </w:r>
      <w:r w:rsidR="002A1937" w:rsidRPr="002A1937">
        <w:rPr>
          <w:rFonts w:ascii="Times New Roman" w:hAnsi="Times New Roman" w:cs="Times New Roman"/>
          <w:sz w:val="24"/>
          <w:szCs w:val="24"/>
          <w:lang w:val="en-GB"/>
        </w:rPr>
        <w:t>For instance, some specific EU exports such as beef and fresh fruits and vegetables have been denied access to the Chilean market due to sanitary and phytosanitary</w:t>
      </w:r>
      <w:r w:rsidR="002A1937">
        <w:rPr>
          <w:rFonts w:ascii="Times New Roman" w:hAnsi="Times New Roman" w:cs="Times New Roman"/>
          <w:sz w:val="24"/>
          <w:szCs w:val="24"/>
          <w:lang w:val="en-GB"/>
        </w:rPr>
        <w:t>-related</w:t>
      </w:r>
      <w:r w:rsidR="002A1937" w:rsidRPr="002A1937">
        <w:rPr>
          <w:rFonts w:ascii="Times New Roman" w:hAnsi="Times New Roman" w:cs="Times New Roman"/>
          <w:sz w:val="24"/>
          <w:szCs w:val="24"/>
          <w:lang w:val="en-GB"/>
        </w:rPr>
        <w:t xml:space="preserve"> issues and other requirements</w:t>
      </w:r>
      <w:r w:rsidR="002A1937">
        <w:rPr>
          <w:rFonts w:ascii="Times New Roman" w:hAnsi="Times New Roman" w:cs="Times New Roman"/>
          <w:sz w:val="24"/>
          <w:szCs w:val="24"/>
          <w:lang w:val="en-GB"/>
        </w:rPr>
        <w:t xml:space="preserve"> </w:t>
      </w:r>
      <w:r w:rsidR="002A1937" w:rsidRPr="00E851A2">
        <w:rPr>
          <w:rFonts w:ascii="Times New Roman" w:hAnsi="Times New Roman" w:cs="Times New Roman"/>
          <w:sz w:val="24"/>
          <w:szCs w:val="24"/>
          <w:lang w:val="en-GB"/>
        </w:rPr>
        <w:t xml:space="preserve">(see detailed qualitative analysis </w:t>
      </w:r>
      <w:r w:rsidR="002A1937">
        <w:rPr>
          <w:rFonts w:ascii="Times New Roman" w:hAnsi="Times New Roman" w:cs="Times New Roman"/>
          <w:sz w:val="24"/>
          <w:szCs w:val="24"/>
          <w:lang w:val="en-GB"/>
        </w:rPr>
        <w:t xml:space="preserve">in </w:t>
      </w:r>
      <w:r w:rsidR="002A1937" w:rsidRPr="00E851A2">
        <w:rPr>
          <w:rFonts w:ascii="Times New Roman" w:hAnsi="Times New Roman" w:cs="Times New Roman"/>
          <w:sz w:val="24"/>
          <w:szCs w:val="24"/>
          <w:lang w:val="en-GB"/>
        </w:rPr>
        <w:t>the external study</w:t>
      </w:r>
      <w:r w:rsidR="002A1937">
        <w:rPr>
          <w:rFonts w:ascii="Times New Roman" w:hAnsi="Times New Roman" w:cs="Times New Roman"/>
          <w:sz w:val="24"/>
          <w:szCs w:val="24"/>
          <w:lang w:val="en-GB"/>
        </w:rPr>
        <w:t>,</w:t>
      </w:r>
      <w:r w:rsidR="002A1937" w:rsidRPr="00E851A2">
        <w:rPr>
          <w:rFonts w:ascii="Times New Roman" w:hAnsi="Times New Roman" w:cs="Times New Roman"/>
          <w:sz w:val="24"/>
          <w:szCs w:val="24"/>
          <w:lang w:val="en-GB"/>
        </w:rPr>
        <w:t xml:space="preserve"> in Annex 5</w:t>
      </w:r>
      <w:r w:rsidR="002A1937">
        <w:rPr>
          <w:rFonts w:ascii="Times New Roman" w:hAnsi="Times New Roman" w:cs="Times New Roman"/>
          <w:sz w:val="24"/>
          <w:szCs w:val="24"/>
          <w:lang w:val="en-GB"/>
        </w:rPr>
        <w:t>, for further detail</w:t>
      </w:r>
      <w:r w:rsidR="002A1937" w:rsidRPr="00E851A2">
        <w:rPr>
          <w:rFonts w:ascii="Times New Roman" w:hAnsi="Times New Roman" w:cs="Times New Roman"/>
          <w:sz w:val="24"/>
          <w:szCs w:val="24"/>
          <w:lang w:val="en-GB"/>
        </w:rPr>
        <w:t>)</w:t>
      </w:r>
      <w:r w:rsidR="002A1937">
        <w:rPr>
          <w:rFonts w:ascii="Times New Roman" w:hAnsi="Times New Roman" w:cs="Times New Roman"/>
          <w:sz w:val="24"/>
          <w:szCs w:val="24"/>
          <w:lang w:val="en-GB"/>
        </w:rPr>
        <w:t xml:space="preserve">. </w:t>
      </w:r>
      <w:r w:rsidR="00D45982" w:rsidRPr="00F5180A">
        <w:rPr>
          <w:rFonts w:ascii="Times New Roman" w:hAnsi="Times New Roman" w:cs="Times New Roman"/>
          <w:sz w:val="24"/>
          <w:szCs w:val="24"/>
          <w:lang w:val="en-GB"/>
        </w:rPr>
        <w:t xml:space="preserve">There is </w:t>
      </w:r>
      <w:r w:rsidR="009A4DEA">
        <w:rPr>
          <w:rFonts w:ascii="Times New Roman" w:hAnsi="Times New Roman" w:cs="Times New Roman"/>
          <w:sz w:val="24"/>
          <w:szCs w:val="24"/>
          <w:lang w:val="en-GB"/>
        </w:rPr>
        <w:t xml:space="preserve">also </w:t>
      </w:r>
      <w:r w:rsidR="00D45982" w:rsidRPr="00F5180A">
        <w:rPr>
          <w:rFonts w:ascii="Times New Roman" w:hAnsi="Times New Roman" w:cs="Times New Roman"/>
          <w:sz w:val="24"/>
          <w:szCs w:val="24"/>
          <w:lang w:val="en-GB"/>
        </w:rPr>
        <w:t>scope to</w:t>
      </w:r>
      <w:r w:rsidR="00D45982" w:rsidRPr="00F5180A">
        <w:rPr>
          <w:rFonts w:ascii="Times New Roman" w:hAnsi="Times New Roman" w:cs="Times New Roman"/>
          <w:b/>
          <w:sz w:val="24"/>
          <w:szCs w:val="24"/>
          <w:lang w:val="en-GB"/>
        </w:rPr>
        <w:t xml:space="preserve"> strengthen and widen </w:t>
      </w:r>
      <w:r w:rsidR="004D3AF9" w:rsidRPr="00F5180A">
        <w:rPr>
          <w:rFonts w:ascii="Times New Roman" w:hAnsi="Times New Roman" w:cs="Times New Roman"/>
          <w:b/>
          <w:sz w:val="24"/>
          <w:szCs w:val="24"/>
          <w:lang w:val="en-GB"/>
        </w:rPr>
        <w:t xml:space="preserve">TBT provisions </w:t>
      </w:r>
      <w:r w:rsidR="00D45982" w:rsidRPr="00F5180A">
        <w:rPr>
          <w:rFonts w:ascii="Times New Roman" w:hAnsi="Times New Roman" w:cs="Times New Roman"/>
          <w:b/>
          <w:sz w:val="24"/>
          <w:szCs w:val="24"/>
          <w:lang w:val="en-GB"/>
        </w:rPr>
        <w:t>i</w:t>
      </w:r>
      <w:r w:rsidR="004D3AF9" w:rsidRPr="00F5180A">
        <w:rPr>
          <w:rFonts w:ascii="Times New Roman" w:hAnsi="Times New Roman" w:cs="Times New Roman"/>
          <w:b/>
          <w:sz w:val="24"/>
          <w:szCs w:val="24"/>
          <w:lang w:val="en-GB"/>
        </w:rPr>
        <w:t>n line with more recent practice</w:t>
      </w:r>
      <w:r w:rsidR="004D3AF9" w:rsidRPr="00F5180A">
        <w:rPr>
          <w:rFonts w:ascii="Times New Roman" w:hAnsi="Times New Roman" w:cs="Times New Roman"/>
          <w:sz w:val="24"/>
          <w:szCs w:val="24"/>
          <w:lang w:val="en-GB"/>
        </w:rPr>
        <w:t>. A more comprehensive chapter, building on the WTO TBT Agreement would address more effectively the unnecessary obstacles to trade stemming from standards, technical regulations, conformity assessment procedures and metrology.</w:t>
      </w:r>
      <w:r w:rsidR="009A4DEA">
        <w:rPr>
          <w:rFonts w:ascii="Times New Roman" w:hAnsi="Times New Roman" w:cs="Times New Roman"/>
          <w:sz w:val="24"/>
          <w:szCs w:val="24"/>
          <w:lang w:val="en-GB"/>
        </w:rPr>
        <w:t xml:space="preserve"> This could address, for instance, double certification for electronic products and burdensome conformity requirements for cosmetics and hygiene products, which are currently problematic</w:t>
      </w:r>
      <w:r w:rsidR="008C5A86">
        <w:rPr>
          <w:rFonts w:ascii="Times New Roman" w:hAnsi="Times New Roman" w:cs="Times New Roman"/>
          <w:sz w:val="24"/>
          <w:szCs w:val="24"/>
          <w:lang w:val="en-GB"/>
        </w:rPr>
        <w:t xml:space="preserve"> for economic operators</w:t>
      </w:r>
      <w:r w:rsidR="009A4DEA">
        <w:rPr>
          <w:rFonts w:ascii="Times New Roman" w:hAnsi="Times New Roman" w:cs="Times New Roman"/>
          <w:sz w:val="24"/>
          <w:szCs w:val="24"/>
          <w:lang w:val="en-GB"/>
        </w:rPr>
        <w:t>.</w:t>
      </w:r>
      <w:r w:rsidRPr="00F5180A">
        <w:rPr>
          <w:rFonts w:ascii="Times New Roman" w:hAnsi="Times New Roman" w:cs="Times New Roman"/>
          <w:sz w:val="24"/>
          <w:szCs w:val="24"/>
          <w:lang w:val="en-GB"/>
        </w:rPr>
        <w:t xml:space="preserve"> </w:t>
      </w:r>
      <w:r w:rsidR="0067455B">
        <w:rPr>
          <w:rFonts w:ascii="Times New Roman" w:hAnsi="Times New Roman" w:cs="Times New Roman"/>
          <w:sz w:val="24"/>
          <w:szCs w:val="24"/>
          <w:lang w:val="en-GB"/>
        </w:rPr>
        <w:t>A number of respondents in the public consultation highlight the</w:t>
      </w:r>
      <w:r w:rsidR="00790205">
        <w:rPr>
          <w:rFonts w:ascii="Times New Roman" w:hAnsi="Times New Roman" w:cs="Times New Roman"/>
          <w:sz w:val="24"/>
          <w:szCs w:val="24"/>
          <w:lang w:val="en-GB"/>
        </w:rPr>
        <w:t xml:space="preserve"> </w:t>
      </w:r>
      <w:r w:rsidR="00D31B94">
        <w:rPr>
          <w:rFonts w:ascii="Times New Roman" w:hAnsi="Times New Roman" w:cs="Times New Roman"/>
          <w:sz w:val="24"/>
          <w:szCs w:val="24"/>
          <w:lang w:val="en-GB"/>
        </w:rPr>
        <w:t xml:space="preserve">obstacles to </w:t>
      </w:r>
      <w:r w:rsidR="00790205">
        <w:rPr>
          <w:rFonts w:ascii="Times New Roman" w:hAnsi="Times New Roman" w:cs="Times New Roman"/>
          <w:sz w:val="24"/>
          <w:szCs w:val="24"/>
          <w:lang w:val="en-GB"/>
        </w:rPr>
        <w:t xml:space="preserve">bilateral trade </w:t>
      </w:r>
      <w:r w:rsidR="00D31B94">
        <w:rPr>
          <w:rFonts w:ascii="Times New Roman" w:hAnsi="Times New Roman" w:cs="Times New Roman"/>
          <w:sz w:val="24"/>
          <w:szCs w:val="24"/>
          <w:lang w:val="en-GB"/>
        </w:rPr>
        <w:t>that</w:t>
      </w:r>
      <w:r w:rsidR="00790205">
        <w:rPr>
          <w:rFonts w:ascii="Times New Roman" w:hAnsi="Times New Roman" w:cs="Times New Roman"/>
          <w:sz w:val="24"/>
          <w:szCs w:val="24"/>
          <w:lang w:val="en-GB"/>
        </w:rPr>
        <w:t xml:space="preserve"> result f</w:t>
      </w:r>
      <w:r w:rsidR="00D31B94">
        <w:rPr>
          <w:rFonts w:ascii="Times New Roman" w:hAnsi="Times New Roman" w:cs="Times New Roman"/>
          <w:sz w:val="24"/>
          <w:szCs w:val="24"/>
          <w:lang w:val="en-GB"/>
        </w:rPr>
        <w:t>rom</w:t>
      </w:r>
      <w:r w:rsidR="00790205">
        <w:rPr>
          <w:rFonts w:ascii="Times New Roman" w:hAnsi="Times New Roman" w:cs="Times New Roman"/>
          <w:sz w:val="24"/>
          <w:szCs w:val="24"/>
          <w:lang w:val="en-GB"/>
        </w:rPr>
        <w:t xml:space="preserve"> divergent standards, technical regulations </w:t>
      </w:r>
      <w:r w:rsidR="00D31B94">
        <w:rPr>
          <w:rFonts w:ascii="Times New Roman" w:hAnsi="Times New Roman" w:cs="Times New Roman"/>
          <w:sz w:val="24"/>
          <w:szCs w:val="24"/>
          <w:lang w:val="en-GB"/>
        </w:rPr>
        <w:t>or</w:t>
      </w:r>
      <w:r w:rsidR="00790205">
        <w:rPr>
          <w:rFonts w:ascii="Times New Roman" w:hAnsi="Times New Roman" w:cs="Times New Roman"/>
          <w:sz w:val="24"/>
          <w:szCs w:val="24"/>
          <w:lang w:val="en-GB"/>
        </w:rPr>
        <w:t xml:space="preserve"> conformity assessment procedures. </w:t>
      </w:r>
      <w:r w:rsidR="0067455B">
        <w:rPr>
          <w:rFonts w:ascii="Times New Roman" w:hAnsi="Times New Roman" w:cs="Times New Roman"/>
          <w:sz w:val="24"/>
          <w:szCs w:val="24"/>
          <w:lang w:val="en-GB"/>
        </w:rPr>
        <w:t xml:space="preserve"> </w:t>
      </w:r>
    </w:p>
    <w:p w:rsidR="00F5180A" w:rsidRPr="00092D4B" w:rsidRDefault="00F5180A" w:rsidP="00F5180A">
      <w:pPr>
        <w:pStyle w:val="ListParagraph"/>
        <w:spacing w:after="0" w:line="240" w:lineRule="auto"/>
        <w:ind w:left="360"/>
        <w:jc w:val="both"/>
        <w:rPr>
          <w:rFonts w:ascii="Times New Roman" w:hAnsi="Times New Roman" w:cs="Times New Roman"/>
          <w:sz w:val="24"/>
          <w:szCs w:val="24"/>
          <w:lang w:val="en-GB"/>
        </w:rPr>
      </w:pPr>
    </w:p>
    <w:p w:rsidR="004D3272" w:rsidRPr="007D4D13" w:rsidRDefault="004D3272" w:rsidP="002A28DD">
      <w:pPr>
        <w:pStyle w:val="ListParagraph"/>
        <w:numPr>
          <w:ilvl w:val="0"/>
          <w:numId w:val="6"/>
        </w:numPr>
        <w:spacing w:after="0" w:line="240" w:lineRule="auto"/>
        <w:jc w:val="both"/>
        <w:rPr>
          <w:rFonts w:ascii="Times New Roman" w:hAnsi="Times New Roman" w:cs="Times New Roman"/>
          <w:sz w:val="24"/>
          <w:szCs w:val="24"/>
          <w:lang w:val="en-GB"/>
        </w:rPr>
      </w:pPr>
      <w:r w:rsidRPr="007D4D13">
        <w:rPr>
          <w:rFonts w:ascii="Times New Roman" w:hAnsi="Times New Roman" w:cs="Times New Roman"/>
          <w:b/>
          <w:sz w:val="24"/>
          <w:szCs w:val="24"/>
          <w:lang w:val="en-GB"/>
        </w:rPr>
        <w:t>Market access limitations rem</w:t>
      </w:r>
      <w:r w:rsidR="004D3AF9">
        <w:rPr>
          <w:rFonts w:ascii="Times New Roman" w:hAnsi="Times New Roman" w:cs="Times New Roman"/>
          <w:b/>
          <w:sz w:val="24"/>
          <w:szCs w:val="24"/>
          <w:lang w:val="en-GB"/>
        </w:rPr>
        <w:t>ain for key EU services sectors.</w:t>
      </w:r>
      <w:r w:rsidRPr="007D4D13">
        <w:rPr>
          <w:rFonts w:ascii="Times New Roman" w:hAnsi="Times New Roman" w:cs="Times New Roman"/>
          <w:b/>
          <w:sz w:val="24"/>
          <w:szCs w:val="24"/>
          <w:lang w:val="en-GB"/>
        </w:rPr>
        <w:t xml:space="preserve"> </w:t>
      </w:r>
      <w:r w:rsidRPr="007D4D13">
        <w:rPr>
          <w:rFonts w:ascii="Times New Roman" w:hAnsi="Times New Roman" w:cs="Times New Roman"/>
          <w:sz w:val="24"/>
          <w:szCs w:val="24"/>
          <w:lang w:val="en-GB"/>
        </w:rPr>
        <w:t>The EU-Chile FTA contains market access limitations or exclusions on some key sectors, where the EU is highly competitive, such as financial services, telecommunications, business services, postal and courier, transport (including maritime) or distribution services.</w:t>
      </w:r>
      <w:r w:rsidR="00790205">
        <w:rPr>
          <w:rFonts w:ascii="Times New Roman" w:hAnsi="Times New Roman" w:cs="Times New Roman"/>
          <w:sz w:val="24"/>
          <w:szCs w:val="24"/>
          <w:lang w:val="en-GB"/>
        </w:rPr>
        <w:t xml:space="preserve"> </w:t>
      </w:r>
      <w:r w:rsidR="009A4DEA">
        <w:rPr>
          <w:rFonts w:ascii="Times New Roman" w:hAnsi="Times New Roman" w:cs="Times New Roman"/>
          <w:sz w:val="24"/>
          <w:szCs w:val="24"/>
          <w:lang w:val="en-GB"/>
        </w:rPr>
        <w:t xml:space="preserve">For example, </w:t>
      </w:r>
      <w:r w:rsidR="00C036C3">
        <w:rPr>
          <w:rFonts w:ascii="Times New Roman" w:hAnsi="Times New Roman" w:cs="Times New Roman"/>
          <w:sz w:val="24"/>
          <w:szCs w:val="24"/>
          <w:lang w:val="en-GB"/>
        </w:rPr>
        <w:t xml:space="preserve">very strict requirements prevail for </w:t>
      </w:r>
      <w:r w:rsidR="009A4DEA">
        <w:rPr>
          <w:rFonts w:ascii="Times New Roman" w:hAnsi="Times New Roman" w:cs="Times New Roman"/>
          <w:sz w:val="24"/>
          <w:szCs w:val="24"/>
          <w:lang w:val="en-GB"/>
        </w:rPr>
        <w:t xml:space="preserve">foreign </w:t>
      </w:r>
      <w:r w:rsidR="00C036C3">
        <w:rPr>
          <w:rFonts w:ascii="Times New Roman" w:hAnsi="Times New Roman" w:cs="Times New Roman"/>
          <w:sz w:val="24"/>
          <w:szCs w:val="24"/>
          <w:lang w:val="en-GB"/>
        </w:rPr>
        <w:t xml:space="preserve">banks and insurance </w:t>
      </w:r>
      <w:r w:rsidR="009A4DEA">
        <w:rPr>
          <w:rFonts w:ascii="Times New Roman" w:hAnsi="Times New Roman" w:cs="Times New Roman"/>
          <w:sz w:val="24"/>
          <w:szCs w:val="24"/>
          <w:lang w:val="en-GB"/>
        </w:rPr>
        <w:t xml:space="preserve">companies </w:t>
      </w:r>
      <w:r w:rsidR="00C036C3">
        <w:rPr>
          <w:rFonts w:ascii="Times New Roman" w:hAnsi="Times New Roman" w:cs="Times New Roman"/>
          <w:sz w:val="24"/>
          <w:szCs w:val="24"/>
          <w:lang w:val="en-GB"/>
        </w:rPr>
        <w:t xml:space="preserve">wishing to </w:t>
      </w:r>
      <w:r w:rsidR="009A4DEA">
        <w:rPr>
          <w:rFonts w:ascii="Times New Roman" w:hAnsi="Times New Roman" w:cs="Times New Roman"/>
          <w:sz w:val="24"/>
          <w:szCs w:val="24"/>
          <w:lang w:val="en-GB"/>
        </w:rPr>
        <w:t>open branches in Chile.</w:t>
      </w:r>
      <w:r w:rsidR="00C036C3">
        <w:rPr>
          <w:rFonts w:ascii="Times New Roman" w:hAnsi="Times New Roman" w:cs="Times New Roman"/>
          <w:sz w:val="24"/>
          <w:szCs w:val="24"/>
          <w:lang w:val="en-GB"/>
        </w:rPr>
        <w:t xml:space="preserve"> </w:t>
      </w:r>
      <w:r w:rsidR="00790205">
        <w:rPr>
          <w:rFonts w:ascii="Times New Roman" w:hAnsi="Times New Roman" w:cs="Times New Roman"/>
          <w:sz w:val="24"/>
          <w:szCs w:val="24"/>
          <w:lang w:val="en-GB"/>
        </w:rPr>
        <w:t>Public consultation respondents who expressed an opinion highlight the lack of recognition of EU qualifications and diplomas in Chile, a</w:t>
      </w:r>
      <w:r w:rsidR="009A4DEA">
        <w:rPr>
          <w:rFonts w:ascii="Times New Roman" w:hAnsi="Times New Roman" w:cs="Times New Roman"/>
          <w:sz w:val="24"/>
          <w:szCs w:val="24"/>
          <w:lang w:val="en-GB"/>
        </w:rPr>
        <w:t xml:space="preserve"> 15% </w:t>
      </w:r>
      <w:r w:rsidR="00790205">
        <w:rPr>
          <w:rFonts w:ascii="Times New Roman" w:hAnsi="Times New Roman" w:cs="Times New Roman"/>
          <w:sz w:val="24"/>
          <w:szCs w:val="24"/>
          <w:lang w:val="en-GB"/>
        </w:rPr>
        <w:t xml:space="preserve">additional tax applied by Chile on foreign services providers, and Chile's requirement for 85% of employees in companies to be of Chilean nationality, as key problems. </w:t>
      </w:r>
    </w:p>
    <w:p w:rsidR="00952DDF" w:rsidRDefault="00952DDF" w:rsidP="004D3272">
      <w:pPr>
        <w:spacing w:after="0" w:line="240" w:lineRule="auto"/>
        <w:jc w:val="both"/>
        <w:rPr>
          <w:rFonts w:ascii="Times New Roman" w:hAnsi="Times New Roman" w:cs="Times New Roman"/>
          <w:sz w:val="24"/>
          <w:szCs w:val="24"/>
        </w:rPr>
      </w:pPr>
    </w:p>
    <w:p w:rsidR="009A7AB9" w:rsidRPr="00E851A2" w:rsidRDefault="00D31B94" w:rsidP="00E851A2">
      <w:pPr>
        <w:pStyle w:val="ListParagraph"/>
        <w:numPr>
          <w:ilvl w:val="0"/>
          <w:numId w:val="6"/>
        </w:numPr>
        <w:spacing w:after="0" w:line="240" w:lineRule="auto"/>
        <w:jc w:val="both"/>
        <w:rPr>
          <w:rFonts w:ascii="Times New Roman" w:hAnsi="Times New Roman" w:cs="Times New Roman"/>
          <w:sz w:val="24"/>
          <w:szCs w:val="24"/>
          <w:lang w:val="en-GB"/>
        </w:rPr>
      </w:pPr>
      <w:r w:rsidRPr="006338E3">
        <w:rPr>
          <w:rFonts w:ascii="Times New Roman" w:hAnsi="Times New Roman" w:cs="Times New Roman"/>
          <w:b/>
          <w:sz w:val="24"/>
          <w:szCs w:val="24"/>
          <w:lang w:val="en-GB"/>
        </w:rPr>
        <w:t xml:space="preserve">The </w:t>
      </w:r>
      <w:r w:rsidR="003153AA" w:rsidRPr="006338E3">
        <w:rPr>
          <w:rFonts w:ascii="Times New Roman" w:hAnsi="Times New Roman" w:cs="Times New Roman"/>
          <w:b/>
          <w:sz w:val="24"/>
          <w:szCs w:val="24"/>
          <w:lang w:val="en-GB"/>
        </w:rPr>
        <w:t>A</w:t>
      </w:r>
      <w:r w:rsidR="00952DDF" w:rsidRPr="006338E3">
        <w:rPr>
          <w:rFonts w:ascii="Times New Roman" w:hAnsi="Times New Roman" w:cs="Times New Roman"/>
          <w:b/>
          <w:sz w:val="24"/>
          <w:szCs w:val="24"/>
          <w:lang w:val="en-GB"/>
        </w:rPr>
        <w:t xml:space="preserve">greement lacks </w:t>
      </w:r>
      <w:r w:rsidR="00211FCB" w:rsidRPr="006338E3">
        <w:rPr>
          <w:rFonts w:ascii="Times New Roman" w:hAnsi="Times New Roman" w:cs="Times New Roman"/>
          <w:b/>
          <w:sz w:val="24"/>
          <w:szCs w:val="24"/>
          <w:lang w:val="en-GB"/>
        </w:rPr>
        <w:t>comprehensive investment liberalisation disciplines</w:t>
      </w:r>
      <w:r w:rsidR="004D3AF9" w:rsidRPr="00653EB5">
        <w:rPr>
          <w:rFonts w:ascii="Times New Roman" w:hAnsi="Times New Roman" w:cs="Times New Roman"/>
          <w:b/>
          <w:sz w:val="24"/>
          <w:szCs w:val="24"/>
          <w:lang w:val="en-GB"/>
        </w:rPr>
        <w:t>.</w:t>
      </w:r>
      <w:r w:rsidR="00952DDF" w:rsidRPr="00653EB5">
        <w:rPr>
          <w:rFonts w:ascii="Times New Roman" w:hAnsi="Times New Roman" w:cs="Times New Roman"/>
          <w:sz w:val="24"/>
          <w:szCs w:val="24"/>
          <w:lang w:val="en-GB"/>
        </w:rPr>
        <w:t xml:space="preserve"> </w:t>
      </w:r>
      <w:r w:rsidR="00211FCB" w:rsidRPr="00653EB5">
        <w:rPr>
          <w:rFonts w:ascii="Times New Roman" w:hAnsi="Times New Roman" w:cs="Times New Roman"/>
          <w:sz w:val="24"/>
          <w:szCs w:val="24"/>
          <w:lang w:val="en-GB"/>
        </w:rPr>
        <w:t xml:space="preserve">In addition to disciplines on establishment (GATS mode 3) for services sectors, the </w:t>
      </w:r>
      <w:r w:rsidR="0035105C" w:rsidRPr="006D6C9E">
        <w:rPr>
          <w:rFonts w:ascii="Times New Roman" w:hAnsi="Times New Roman" w:cs="Times New Roman"/>
          <w:sz w:val="24"/>
          <w:szCs w:val="24"/>
          <w:lang w:val="en-GB"/>
        </w:rPr>
        <w:t>EU</w:t>
      </w:r>
      <w:r w:rsidR="00211FCB" w:rsidRPr="006D6C9E">
        <w:rPr>
          <w:rFonts w:ascii="Times New Roman" w:hAnsi="Times New Roman" w:cs="Times New Roman"/>
          <w:sz w:val="24"/>
          <w:szCs w:val="24"/>
          <w:lang w:val="en-GB"/>
        </w:rPr>
        <w:t>-Chile FTA offers only national treatment for establishment in non-services sectors.</w:t>
      </w:r>
      <w:r w:rsidR="000C3F78">
        <w:rPr>
          <w:rFonts w:ascii="Times New Roman" w:hAnsi="Times New Roman" w:cs="Times New Roman"/>
          <w:sz w:val="24"/>
          <w:szCs w:val="24"/>
          <w:lang w:val="en-GB"/>
        </w:rPr>
        <w:t xml:space="preserve"> </w:t>
      </w:r>
      <w:r w:rsidR="00494D84" w:rsidRPr="00EE5BA2">
        <w:rPr>
          <w:rFonts w:ascii="Times New Roman" w:hAnsi="Times New Roman" w:cs="Times New Roman"/>
          <w:sz w:val="24"/>
          <w:szCs w:val="24"/>
          <w:lang w:val="en-GB"/>
        </w:rPr>
        <w:t>Three respondents</w:t>
      </w:r>
      <w:r w:rsidR="00494D84">
        <w:rPr>
          <w:rStyle w:val="FootnoteReference"/>
          <w:rFonts w:ascii="Times New Roman" w:hAnsi="Times New Roman" w:cs="Times New Roman"/>
          <w:sz w:val="24"/>
          <w:szCs w:val="24"/>
          <w:lang w:val="en-GB"/>
        </w:rPr>
        <w:footnoteReference w:id="6"/>
      </w:r>
      <w:r w:rsidR="004A7B8F">
        <w:rPr>
          <w:rFonts w:ascii="Times New Roman" w:hAnsi="Times New Roman" w:cs="Times New Roman"/>
          <w:sz w:val="24"/>
          <w:szCs w:val="24"/>
          <w:lang w:val="en-GB"/>
        </w:rPr>
        <w:t xml:space="preserve"> </w:t>
      </w:r>
      <w:r w:rsidR="000C3F78">
        <w:rPr>
          <w:rFonts w:ascii="Times New Roman" w:hAnsi="Times New Roman" w:cs="Times New Roman"/>
          <w:sz w:val="24"/>
          <w:szCs w:val="24"/>
          <w:lang w:val="en-GB"/>
        </w:rPr>
        <w:t xml:space="preserve">in the public consultation pointed to barriers in FDI, the main Chilean one being the requirement for companies </w:t>
      </w:r>
      <w:r w:rsidR="006B4D54">
        <w:rPr>
          <w:rFonts w:ascii="Times New Roman" w:hAnsi="Times New Roman" w:cs="Times New Roman"/>
          <w:sz w:val="24"/>
          <w:szCs w:val="24"/>
          <w:lang w:val="en-GB"/>
        </w:rPr>
        <w:t xml:space="preserve">with over 25 employees to employ 85% of Chilean nationals. The </w:t>
      </w:r>
      <w:r w:rsidR="00B4264C">
        <w:rPr>
          <w:rFonts w:ascii="Times New Roman" w:hAnsi="Times New Roman" w:cs="Times New Roman"/>
          <w:sz w:val="24"/>
          <w:szCs w:val="24"/>
          <w:lang w:val="en-GB"/>
        </w:rPr>
        <w:t xml:space="preserve">same </w:t>
      </w:r>
      <w:r w:rsidR="006B4D54">
        <w:rPr>
          <w:rFonts w:ascii="Times New Roman" w:hAnsi="Times New Roman" w:cs="Times New Roman"/>
          <w:sz w:val="24"/>
          <w:szCs w:val="24"/>
          <w:lang w:val="en-GB"/>
        </w:rPr>
        <w:t xml:space="preserve">three respondents indicated that investors from other jurisdictions were granted preferential treatment. </w:t>
      </w:r>
      <w:r w:rsidR="00211FCB" w:rsidRPr="006D6C9E">
        <w:rPr>
          <w:rFonts w:ascii="Times New Roman" w:hAnsi="Times New Roman" w:cs="Times New Roman"/>
          <w:sz w:val="24"/>
          <w:szCs w:val="24"/>
          <w:lang w:val="en-GB"/>
        </w:rPr>
        <w:t xml:space="preserve"> </w:t>
      </w:r>
    </w:p>
    <w:p w:rsidR="004D3272" w:rsidRPr="00E851A2" w:rsidRDefault="004D3272" w:rsidP="00E851A2">
      <w:pPr>
        <w:pStyle w:val="ListParagraph"/>
        <w:spacing w:after="0" w:line="240" w:lineRule="auto"/>
        <w:ind w:left="360"/>
        <w:jc w:val="both"/>
        <w:rPr>
          <w:rFonts w:ascii="Times New Roman" w:hAnsi="Times New Roman" w:cs="Times New Roman"/>
          <w:sz w:val="16"/>
          <w:szCs w:val="16"/>
          <w:lang w:val="en-GB"/>
        </w:rPr>
      </w:pPr>
    </w:p>
    <w:p w:rsidR="004D3272" w:rsidRDefault="009269ED" w:rsidP="002A28DD">
      <w:pPr>
        <w:pStyle w:val="ListParagraph"/>
        <w:numPr>
          <w:ilvl w:val="0"/>
          <w:numId w:val="6"/>
        </w:numPr>
        <w:spacing w:after="0" w:line="240" w:lineRule="auto"/>
        <w:jc w:val="both"/>
        <w:rPr>
          <w:rFonts w:ascii="Times New Roman" w:hAnsi="Times New Roman" w:cs="Times New Roman"/>
          <w:sz w:val="24"/>
          <w:szCs w:val="24"/>
          <w:lang w:val="en-GB"/>
        </w:rPr>
      </w:pPr>
      <w:r w:rsidRPr="006B0B15">
        <w:rPr>
          <w:rFonts w:ascii="Times New Roman" w:hAnsi="Times New Roman" w:cs="Times New Roman"/>
          <w:b/>
          <w:sz w:val="24"/>
          <w:szCs w:val="24"/>
          <w:lang w:val="en-GB"/>
        </w:rPr>
        <w:t>Public procurement market access do</w:t>
      </w:r>
      <w:r w:rsidR="009E4F71">
        <w:rPr>
          <w:rFonts w:ascii="Times New Roman" w:hAnsi="Times New Roman" w:cs="Times New Roman"/>
          <w:b/>
          <w:sz w:val="24"/>
          <w:szCs w:val="24"/>
          <w:lang w:val="en-GB"/>
        </w:rPr>
        <w:t>es</w:t>
      </w:r>
      <w:r w:rsidRPr="006B0B15">
        <w:rPr>
          <w:rFonts w:ascii="Times New Roman" w:hAnsi="Times New Roman" w:cs="Times New Roman"/>
          <w:b/>
          <w:sz w:val="24"/>
          <w:szCs w:val="24"/>
          <w:lang w:val="en-GB"/>
        </w:rPr>
        <w:t xml:space="preserve"> not cover all entities</w:t>
      </w:r>
      <w:r w:rsidR="004D3AF9">
        <w:rPr>
          <w:rFonts w:ascii="Times New Roman" w:hAnsi="Times New Roman" w:cs="Times New Roman"/>
          <w:sz w:val="24"/>
          <w:szCs w:val="24"/>
          <w:lang w:val="en-GB"/>
        </w:rPr>
        <w:t>.</w:t>
      </w:r>
      <w:r w:rsidRPr="006B0B15">
        <w:rPr>
          <w:rFonts w:ascii="Times New Roman" w:hAnsi="Times New Roman" w:cs="Times New Roman"/>
          <w:sz w:val="24"/>
          <w:szCs w:val="24"/>
          <w:lang w:val="en-GB"/>
        </w:rPr>
        <w:t xml:space="preserve"> The EU-Chile FTA </w:t>
      </w:r>
      <w:r w:rsidR="006439AC">
        <w:rPr>
          <w:rFonts w:ascii="Times New Roman" w:hAnsi="Times New Roman" w:cs="Times New Roman"/>
          <w:sz w:val="24"/>
          <w:szCs w:val="24"/>
          <w:lang w:val="en-GB"/>
        </w:rPr>
        <w:t xml:space="preserve">has limited coverage of </w:t>
      </w:r>
      <w:r w:rsidRPr="006B0B15">
        <w:rPr>
          <w:rFonts w:ascii="Times New Roman" w:hAnsi="Times New Roman" w:cs="Times New Roman"/>
          <w:sz w:val="24"/>
          <w:szCs w:val="24"/>
          <w:lang w:val="en-GB"/>
        </w:rPr>
        <w:t xml:space="preserve">State-owned enterprises and undertakings with special or exclusive rights, </w:t>
      </w:r>
      <w:r w:rsidR="001377B7">
        <w:rPr>
          <w:rFonts w:ascii="Times New Roman" w:hAnsi="Times New Roman" w:cs="Times New Roman"/>
          <w:sz w:val="24"/>
          <w:szCs w:val="24"/>
          <w:lang w:val="en-GB"/>
        </w:rPr>
        <w:t>with the result that</w:t>
      </w:r>
      <w:r w:rsidRPr="006B0B15">
        <w:rPr>
          <w:rFonts w:ascii="Times New Roman" w:hAnsi="Times New Roman" w:cs="Times New Roman"/>
          <w:sz w:val="24"/>
          <w:szCs w:val="24"/>
          <w:lang w:val="en-GB"/>
        </w:rPr>
        <w:t xml:space="preserve"> EU operators, at present, forgo important procurement opportunities. </w:t>
      </w:r>
      <w:r w:rsidR="009A4DEA">
        <w:rPr>
          <w:rFonts w:ascii="Times New Roman" w:hAnsi="Times New Roman" w:cs="Times New Roman"/>
          <w:sz w:val="24"/>
          <w:szCs w:val="24"/>
          <w:lang w:val="en-GB"/>
        </w:rPr>
        <w:t xml:space="preserve">CODELCO, for instance, Chile's largest State-owned enterprise and one of the world's most important copper producers is not covered by the current FTA. </w:t>
      </w:r>
    </w:p>
    <w:p w:rsidR="009762BA" w:rsidRPr="00E851A2" w:rsidRDefault="009762BA" w:rsidP="00E851A2">
      <w:pPr>
        <w:spacing w:after="0" w:line="240" w:lineRule="auto"/>
        <w:jc w:val="both"/>
        <w:rPr>
          <w:rFonts w:ascii="Times New Roman" w:hAnsi="Times New Roman" w:cs="Times New Roman"/>
          <w:sz w:val="24"/>
          <w:szCs w:val="24"/>
        </w:rPr>
      </w:pPr>
    </w:p>
    <w:p w:rsidR="009762BA" w:rsidRPr="007D4D13" w:rsidRDefault="009762BA" w:rsidP="002A28DD">
      <w:pPr>
        <w:pStyle w:val="ListParagraph"/>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P</w:t>
      </w:r>
      <w:r w:rsidRPr="006B0B15">
        <w:rPr>
          <w:rFonts w:ascii="Times New Roman" w:hAnsi="Times New Roman" w:cs="Times New Roman"/>
          <w:b/>
          <w:sz w:val="24"/>
          <w:szCs w:val="24"/>
          <w:lang w:val="en-GB"/>
        </w:rPr>
        <w:t>rocurement rules are outdated</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There is a list of 10 identified barriers to access the Chilean public procurement market that could be addressed through a modernisation of the existing FTA.</w:t>
      </w:r>
      <w:r>
        <w:rPr>
          <w:rStyle w:val="FootnoteReference"/>
          <w:rFonts w:ascii="Times New Roman" w:hAnsi="Times New Roman" w:cs="Times New Roman"/>
          <w:sz w:val="24"/>
          <w:szCs w:val="24"/>
          <w:lang w:val="en-GB"/>
        </w:rPr>
        <w:footnoteReference w:id="7"/>
      </w:r>
      <w:r>
        <w:rPr>
          <w:rFonts w:ascii="Times New Roman" w:hAnsi="Times New Roman" w:cs="Times New Roman"/>
          <w:sz w:val="24"/>
          <w:szCs w:val="24"/>
          <w:lang w:val="en-GB"/>
        </w:rPr>
        <w:t xml:space="preserve"> </w:t>
      </w:r>
      <w:r w:rsidRPr="007D4D13">
        <w:rPr>
          <w:rFonts w:ascii="Times New Roman" w:hAnsi="Times New Roman" w:cs="Times New Roman"/>
          <w:sz w:val="24"/>
          <w:szCs w:val="24"/>
          <w:lang w:val="en-GB"/>
        </w:rPr>
        <w:t xml:space="preserve">More generally, the provisions require some updating </w:t>
      </w:r>
      <w:r>
        <w:rPr>
          <w:rFonts w:ascii="Times New Roman" w:hAnsi="Times New Roman" w:cs="Times New Roman"/>
          <w:sz w:val="24"/>
          <w:szCs w:val="24"/>
          <w:lang w:val="en-GB"/>
        </w:rPr>
        <w:t xml:space="preserve">in order </w:t>
      </w:r>
      <w:r w:rsidRPr="007D4D13">
        <w:rPr>
          <w:rFonts w:ascii="Times New Roman" w:hAnsi="Times New Roman" w:cs="Times New Roman"/>
          <w:sz w:val="24"/>
          <w:szCs w:val="24"/>
          <w:lang w:val="en-GB"/>
        </w:rPr>
        <w:t xml:space="preserve">to adopt modern rules that </w:t>
      </w:r>
      <w:r w:rsidR="009341D9">
        <w:rPr>
          <w:rFonts w:ascii="Times New Roman" w:hAnsi="Times New Roman" w:cs="Times New Roman"/>
          <w:sz w:val="24"/>
          <w:szCs w:val="24"/>
          <w:lang w:val="en-GB"/>
        </w:rPr>
        <w:t xml:space="preserve">would </w:t>
      </w:r>
      <w:r w:rsidRPr="007D4D13">
        <w:rPr>
          <w:rFonts w:ascii="Times New Roman" w:hAnsi="Times New Roman" w:cs="Times New Roman"/>
          <w:sz w:val="24"/>
          <w:szCs w:val="24"/>
          <w:lang w:val="en-GB"/>
        </w:rPr>
        <w:t>allow</w:t>
      </w:r>
      <w:r>
        <w:rPr>
          <w:rFonts w:ascii="Times New Roman" w:hAnsi="Times New Roman" w:cs="Times New Roman"/>
          <w:sz w:val="24"/>
          <w:szCs w:val="24"/>
          <w:lang w:val="en-GB"/>
        </w:rPr>
        <w:t>,</w:t>
      </w:r>
      <w:r w:rsidRPr="007D4D13">
        <w:rPr>
          <w:rFonts w:ascii="Times New Roman" w:hAnsi="Times New Roman" w:cs="Times New Roman"/>
          <w:sz w:val="24"/>
          <w:szCs w:val="24"/>
          <w:lang w:val="en-GB"/>
        </w:rPr>
        <w:t xml:space="preserve"> for instance</w:t>
      </w:r>
      <w:r>
        <w:rPr>
          <w:rFonts w:ascii="Times New Roman" w:hAnsi="Times New Roman" w:cs="Times New Roman"/>
          <w:sz w:val="24"/>
          <w:szCs w:val="24"/>
          <w:lang w:val="en-GB"/>
        </w:rPr>
        <w:t>,</w:t>
      </w:r>
      <w:r w:rsidRPr="007D4D13">
        <w:rPr>
          <w:rFonts w:ascii="Times New Roman" w:hAnsi="Times New Roman" w:cs="Times New Roman"/>
          <w:sz w:val="24"/>
          <w:szCs w:val="24"/>
          <w:lang w:val="en-GB"/>
        </w:rPr>
        <w:t xml:space="preserve"> the promotion of green procurement and the use of e-procurement. </w:t>
      </w:r>
      <w:r>
        <w:rPr>
          <w:rFonts w:ascii="Times New Roman" w:hAnsi="Times New Roman" w:cs="Times New Roman"/>
          <w:sz w:val="24"/>
          <w:szCs w:val="24"/>
          <w:lang w:val="en-GB"/>
        </w:rPr>
        <w:t>Ten of the thirteen respondents in the public consultation who expressed an opinion highlight the difficulties for EU companies to access Chile's public procurement.</w:t>
      </w:r>
    </w:p>
    <w:p w:rsidR="004D3272" w:rsidRPr="001D4E24" w:rsidRDefault="004D3272" w:rsidP="00AE0F12">
      <w:pPr>
        <w:spacing w:after="0" w:line="240" w:lineRule="auto"/>
        <w:jc w:val="both"/>
        <w:rPr>
          <w:rFonts w:ascii="Times New Roman" w:hAnsi="Times New Roman" w:cs="Times New Roman"/>
          <w:sz w:val="16"/>
          <w:szCs w:val="16"/>
        </w:rPr>
      </w:pPr>
    </w:p>
    <w:p w:rsidR="009762BA" w:rsidRPr="000F76F0" w:rsidRDefault="004D3272" w:rsidP="000F76F0">
      <w:pPr>
        <w:pStyle w:val="ListParagraph"/>
        <w:numPr>
          <w:ilvl w:val="0"/>
          <w:numId w:val="7"/>
        </w:numPr>
        <w:spacing w:after="0" w:line="240" w:lineRule="auto"/>
        <w:jc w:val="both"/>
        <w:rPr>
          <w:rFonts w:ascii="Times New Roman" w:hAnsi="Times New Roman" w:cs="Times New Roman"/>
          <w:sz w:val="24"/>
          <w:szCs w:val="24"/>
          <w:lang w:val="en-GB"/>
        </w:rPr>
      </w:pPr>
      <w:r w:rsidRPr="009762BA">
        <w:rPr>
          <w:rFonts w:ascii="Times New Roman" w:hAnsi="Times New Roman" w:cs="Times New Roman"/>
          <w:b/>
          <w:sz w:val="24"/>
          <w:szCs w:val="24"/>
          <w:lang w:val="en-GB"/>
        </w:rPr>
        <w:t>Intellectual property rights</w:t>
      </w:r>
      <w:r w:rsidR="009A3E79" w:rsidRPr="009762BA">
        <w:rPr>
          <w:rFonts w:ascii="Times New Roman" w:hAnsi="Times New Roman" w:cs="Times New Roman"/>
          <w:b/>
          <w:sz w:val="24"/>
          <w:szCs w:val="24"/>
          <w:lang w:val="en-GB"/>
        </w:rPr>
        <w:t xml:space="preserve"> </w:t>
      </w:r>
      <w:r w:rsidR="00F55913" w:rsidRPr="009762BA">
        <w:rPr>
          <w:rFonts w:ascii="Times New Roman" w:hAnsi="Times New Roman" w:cs="Times New Roman"/>
          <w:b/>
          <w:sz w:val="24"/>
          <w:szCs w:val="24"/>
          <w:lang w:val="en-GB"/>
        </w:rPr>
        <w:t xml:space="preserve">provisions are </w:t>
      </w:r>
      <w:r w:rsidR="009E4F71" w:rsidRPr="009762BA">
        <w:rPr>
          <w:rFonts w:ascii="Times New Roman" w:hAnsi="Times New Roman" w:cs="Times New Roman"/>
          <w:b/>
          <w:sz w:val="24"/>
          <w:szCs w:val="24"/>
          <w:lang w:val="en-GB"/>
        </w:rPr>
        <w:t xml:space="preserve">very </w:t>
      </w:r>
      <w:r w:rsidR="00F55913" w:rsidRPr="009762BA">
        <w:rPr>
          <w:rFonts w:ascii="Times New Roman" w:hAnsi="Times New Roman" w:cs="Times New Roman"/>
          <w:b/>
          <w:sz w:val="24"/>
          <w:szCs w:val="24"/>
          <w:lang w:val="en-GB"/>
        </w:rPr>
        <w:t>limited</w:t>
      </w:r>
      <w:r w:rsidR="004D3AF9" w:rsidRPr="00CB6494">
        <w:rPr>
          <w:rFonts w:ascii="Times New Roman" w:hAnsi="Times New Roman" w:cs="Times New Roman"/>
          <w:b/>
          <w:sz w:val="24"/>
          <w:szCs w:val="24"/>
          <w:lang w:val="en-GB"/>
        </w:rPr>
        <w:t>.</w:t>
      </w:r>
      <w:r w:rsidR="009A3E79" w:rsidRPr="00CB6494">
        <w:rPr>
          <w:rFonts w:ascii="Times New Roman" w:hAnsi="Times New Roman" w:cs="Times New Roman"/>
          <w:b/>
          <w:sz w:val="24"/>
          <w:szCs w:val="24"/>
          <w:lang w:val="en-GB"/>
        </w:rPr>
        <w:t xml:space="preserve"> </w:t>
      </w:r>
      <w:r w:rsidR="001377B7" w:rsidRPr="00CB6494">
        <w:rPr>
          <w:rFonts w:ascii="Times New Roman" w:hAnsi="Times New Roman" w:cs="Times New Roman"/>
          <w:sz w:val="24"/>
          <w:szCs w:val="24"/>
          <w:lang w:val="en-GB"/>
        </w:rPr>
        <w:t>Current</w:t>
      </w:r>
      <w:r w:rsidR="00F55913" w:rsidRPr="00CB6494">
        <w:rPr>
          <w:rFonts w:ascii="Times New Roman" w:hAnsi="Times New Roman" w:cs="Times New Roman"/>
          <w:sz w:val="24"/>
          <w:szCs w:val="24"/>
          <w:lang w:val="en-GB"/>
        </w:rPr>
        <w:t xml:space="preserve"> IPR provisions are </w:t>
      </w:r>
      <w:r w:rsidR="00A05B3D" w:rsidRPr="009341D9">
        <w:rPr>
          <w:rFonts w:ascii="Times New Roman" w:hAnsi="Times New Roman" w:cs="Times New Roman"/>
          <w:sz w:val="24"/>
          <w:szCs w:val="24"/>
          <w:lang w:val="en-GB"/>
        </w:rPr>
        <w:t xml:space="preserve">largely </w:t>
      </w:r>
      <w:r w:rsidR="00F55913" w:rsidRPr="009341D9">
        <w:rPr>
          <w:rFonts w:ascii="Times New Roman" w:hAnsi="Times New Roman" w:cs="Times New Roman"/>
          <w:sz w:val="24"/>
          <w:szCs w:val="24"/>
          <w:lang w:val="en-GB"/>
        </w:rPr>
        <w:t xml:space="preserve">limited to respecting the WTO Agreement on Trade-related aspects of Intellectual Property Rights (TRIPs) and key </w:t>
      </w:r>
      <w:r w:rsidR="00A05B3D" w:rsidRPr="009341D9">
        <w:rPr>
          <w:rFonts w:ascii="Times New Roman" w:hAnsi="Times New Roman" w:cs="Times New Roman"/>
          <w:sz w:val="24"/>
          <w:szCs w:val="24"/>
          <w:lang w:val="en-GB"/>
        </w:rPr>
        <w:t xml:space="preserve">international conventions. Contrary to more recent agreements </w:t>
      </w:r>
      <w:r w:rsidR="006F2F43" w:rsidRPr="009341D9">
        <w:rPr>
          <w:rFonts w:ascii="Times New Roman" w:hAnsi="Times New Roman" w:cs="Times New Roman"/>
          <w:sz w:val="24"/>
          <w:szCs w:val="24"/>
          <w:lang w:val="en-GB"/>
        </w:rPr>
        <w:t>the EU-Chile FTA</w:t>
      </w:r>
      <w:r w:rsidR="00A05B3D" w:rsidRPr="009341D9">
        <w:rPr>
          <w:rFonts w:ascii="Times New Roman" w:hAnsi="Times New Roman" w:cs="Times New Roman"/>
          <w:sz w:val="24"/>
          <w:szCs w:val="24"/>
          <w:lang w:val="en-GB"/>
        </w:rPr>
        <w:t xml:space="preserve"> lacks enhanced enforcement provisions, which are key to protect</w:t>
      </w:r>
      <w:r w:rsidR="00D31B94" w:rsidRPr="009341D9">
        <w:rPr>
          <w:rFonts w:ascii="Times New Roman" w:hAnsi="Times New Roman" w:cs="Times New Roman"/>
          <w:sz w:val="24"/>
          <w:szCs w:val="24"/>
          <w:lang w:val="en-GB"/>
        </w:rPr>
        <w:t>ing</w:t>
      </w:r>
      <w:r w:rsidR="00A05B3D" w:rsidRPr="009341D9">
        <w:rPr>
          <w:rFonts w:ascii="Times New Roman" w:hAnsi="Times New Roman" w:cs="Times New Roman"/>
          <w:sz w:val="24"/>
          <w:szCs w:val="24"/>
          <w:lang w:val="en-GB"/>
        </w:rPr>
        <w:t xml:space="preserve"> the rights of EU operators, </w:t>
      </w:r>
      <w:r w:rsidR="003A365C" w:rsidRPr="009341D9">
        <w:rPr>
          <w:rFonts w:ascii="Times New Roman" w:hAnsi="Times New Roman" w:cs="Times New Roman"/>
          <w:sz w:val="24"/>
          <w:szCs w:val="24"/>
          <w:lang w:val="en-GB"/>
        </w:rPr>
        <w:t xml:space="preserve">including in the digital environment (which is not covered in the TRIPs Agreement) and at the border. </w:t>
      </w:r>
      <w:r w:rsidR="00494D84">
        <w:rPr>
          <w:rFonts w:ascii="Times New Roman" w:hAnsi="Times New Roman" w:cs="Times New Roman"/>
          <w:sz w:val="24"/>
          <w:szCs w:val="24"/>
          <w:lang w:val="en-GB"/>
        </w:rPr>
        <w:t>Seven respondents</w:t>
      </w:r>
      <w:r w:rsidR="00494D84">
        <w:rPr>
          <w:rStyle w:val="FootnoteReference"/>
          <w:rFonts w:ascii="Times New Roman" w:hAnsi="Times New Roman" w:cs="Times New Roman"/>
          <w:sz w:val="24"/>
          <w:szCs w:val="24"/>
          <w:lang w:val="en-GB"/>
        </w:rPr>
        <w:footnoteReference w:id="8"/>
      </w:r>
      <w:r w:rsidR="00494D84">
        <w:rPr>
          <w:rFonts w:ascii="Times New Roman" w:hAnsi="Times New Roman" w:cs="Times New Roman"/>
          <w:sz w:val="24"/>
          <w:szCs w:val="24"/>
          <w:lang w:val="en-GB"/>
        </w:rPr>
        <w:t xml:space="preserve"> </w:t>
      </w:r>
      <w:r w:rsidR="000F76F0">
        <w:rPr>
          <w:rFonts w:ascii="Times New Roman" w:hAnsi="Times New Roman" w:cs="Times New Roman"/>
          <w:sz w:val="24"/>
          <w:szCs w:val="24"/>
          <w:lang w:val="en-GB"/>
        </w:rPr>
        <w:t xml:space="preserve"> in the public consultation draw attention to current problems with the protection and enforcement of IPR in Chile.</w:t>
      </w:r>
    </w:p>
    <w:p w:rsidR="009341D9" w:rsidRPr="009341D9" w:rsidRDefault="009341D9" w:rsidP="00E851A2">
      <w:pPr>
        <w:spacing w:after="0" w:line="240" w:lineRule="auto"/>
        <w:jc w:val="both"/>
        <w:rPr>
          <w:rFonts w:ascii="Times New Roman" w:hAnsi="Times New Roman" w:cs="Times New Roman"/>
          <w:sz w:val="24"/>
          <w:szCs w:val="24"/>
        </w:rPr>
      </w:pPr>
    </w:p>
    <w:p w:rsidR="009762BA" w:rsidRDefault="009762BA" w:rsidP="000F76F0">
      <w:pPr>
        <w:pStyle w:val="ListParagraph"/>
        <w:numPr>
          <w:ilvl w:val="0"/>
          <w:numId w:val="7"/>
        </w:num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T</w:t>
      </w:r>
      <w:r w:rsidRPr="007D4D13">
        <w:rPr>
          <w:rFonts w:ascii="Times New Roman" w:hAnsi="Times New Roman" w:cs="Times New Roman"/>
          <w:b/>
          <w:sz w:val="24"/>
          <w:szCs w:val="24"/>
          <w:lang w:val="en-GB"/>
        </w:rPr>
        <w:t xml:space="preserve">he EU </w:t>
      </w:r>
      <w:r>
        <w:rPr>
          <w:rFonts w:ascii="Times New Roman" w:hAnsi="Times New Roman" w:cs="Times New Roman"/>
          <w:b/>
          <w:sz w:val="24"/>
          <w:szCs w:val="24"/>
          <w:lang w:val="en-GB"/>
        </w:rPr>
        <w:t>still lacks protection of its geographical i</w:t>
      </w:r>
      <w:r w:rsidRPr="007D4D13">
        <w:rPr>
          <w:rFonts w:ascii="Times New Roman" w:hAnsi="Times New Roman" w:cs="Times New Roman"/>
          <w:b/>
          <w:sz w:val="24"/>
          <w:szCs w:val="24"/>
          <w:lang w:val="en-GB"/>
        </w:rPr>
        <w:t xml:space="preserve">ndications </w:t>
      </w:r>
      <w:r>
        <w:rPr>
          <w:rFonts w:ascii="Times New Roman" w:hAnsi="Times New Roman" w:cs="Times New Roman"/>
          <w:b/>
          <w:sz w:val="24"/>
          <w:szCs w:val="24"/>
          <w:lang w:val="en-GB"/>
        </w:rPr>
        <w:t xml:space="preserve">(GIs) </w:t>
      </w:r>
      <w:r w:rsidRPr="007D4D13">
        <w:rPr>
          <w:rFonts w:ascii="Times New Roman" w:hAnsi="Times New Roman" w:cs="Times New Roman"/>
          <w:b/>
          <w:sz w:val="24"/>
          <w:szCs w:val="24"/>
          <w:lang w:val="en-GB"/>
        </w:rPr>
        <w:t>on foodstuff</w:t>
      </w:r>
      <w:r>
        <w:rPr>
          <w:rFonts w:ascii="Times New Roman" w:hAnsi="Times New Roman" w:cs="Times New Roman"/>
          <w:b/>
          <w:sz w:val="24"/>
          <w:szCs w:val="24"/>
          <w:lang w:val="en-GB"/>
        </w:rPr>
        <w:t xml:space="preserve"> products </w:t>
      </w:r>
      <w:r>
        <w:rPr>
          <w:rFonts w:ascii="Times New Roman" w:hAnsi="Times New Roman" w:cs="Times New Roman"/>
          <w:sz w:val="24"/>
          <w:szCs w:val="24"/>
          <w:lang w:val="en-GB"/>
        </w:rPr>
        <w:t>In the case of</w:t>
      </w:r>
      <w:r w:rsidRPr="007D4D13">
        <w:rPr>
          <w:rFonts w:ascii="Times New Roman" w:hAnsi="Times New Roman" w:cs="Times New Roman"/>
          <w:sz w:val="24"/>
          <w:szCs w:val="24"/>
          <w:lang w:val="en-GB"/>
        </w:rPr>
        <w:t xml:space="preserve"> GIs, </w:t>
      </w:r>
      <w:r>
        <w:rPr>
          <w:rFonts w:ascii="Times New Roman" w:hAnsi="Times New Roman" w:cs="Times New Roman"/>
          <w:sz w:val="24"/>
          <w:szCs w:val="24"/>
          <w:lang w:val="en-GB"/>
        </w:rPr>
        <w:t xml:space="preserve">which are </w:t>
      </w:r>
      <w:r w:rsidRPr="007D4D13">
        <w:rPr>
          <w:rFonts w:ascii="Times New Roman" w:hAnsi="Times New Roman" w:cs="Times New Roman"/>
          <w:sz w:val="24"/>
          <w:szCs w:val="24"/>
          <w:lang w:val="en-GB"/>
        </w:rPr>
        <w:t>of  importance to the EU, the current FTA only affords protection to EU wines and spirits</w:t>
      </w:r>
      <w:r>
        <w:rPr>
          <w:rFonts w:ascii="Times New Roman" w:hAnsi="Times New Roman" w:cs="Times New Roman"/>
          <w:sz w:val="24"/>
          <w:szCs w:val="24"/>
          <w:lang w:val="en-GB"/>
        </w:rPr>
        <w:t xml:space="preserve"> GIs</w:t>
      </w:r>
      <w:r w:rsidR="004A7B8F">
        <w:rPr>
          <w:rFonts w:ascii="Times New Roman" w:hAnsi="Times New Roman" w:cs="Times New Roman"/>
          <w:sz w:val="24"/>
          <w:szCs w:val="24"/>
          <w:lang w:val="en-GB"/>
        </w:rPr>
        <w:t xml:space="preserve">, </w:t>
      </w:r>
      <w:r w:rsidRPr="007D4D13">
        <w:rPr>
          <w:rFonts w:ascii="Times New Roman" w:hAnsi="Times New Roman" w:cs="Times New Roman"/>
          <w:sz w:val="24"/>
          <w:szCs w:val="24"/>
          <w:lang w:val="en-GB"/>
        </w:rPr>
        <w:t xml:space="preserve">but not to foodstuff </w:t>
      </w:r>
      <w:r>
        <w:rPr>
          <w:rFonts w:ascii="Times New Roman" w:hAnsi="Times New Roman" w:cs="Times New Roman"/>
          <w:sz w:val="24"/>
          <w:szCs w:val="24"/>
          <w:lang w:val="en-GB"/>
        </w:rPr>
        <w:t>GIs</w:t>
      </w:r>
      <w:r w:rsidRPr="007D4D13">
        <w:rPr>
          <w:rFonts w:ascii="Times New Roman" w:hAnsi="Times New Roman" w:cs="Times New Roman"/>
          <w:sz w:val="24"/>
          <w:szCs w:val="24"/>
          <w:lang w:val="en-GB"/>
        </w:rPr>
        <w:t xml:space="preserve">. </w:t>
      </w:r>
      <w:r w:rsidR="00494D84">
        <w:rPr>
          <w:rFonts w:ascii="Times New Roman" w:hAnsi="Times New Roman" w:cs="Times New Roman"/>
          <w:sz w:val="24"/>
          <w:szCs w:val="24"/>
          <w:lang w:val="en-GB"/>
        </w:rPr>
        <w:t>Three respondents</w:t>
      </w:r>
      <w:r w:rsidR="00494D84">
        <w:rPr>
          <w:rStyle w:val="FootnoteReference"/>
          <w:rFonts w:ascii="Times New Roman" w:hAnsi="Times New Roman" w:cs="Times New Roman"/>
          <w:sz w:val="24"/>
          <w:szCs w:val="24"/>
          <w:lang w:val="en-GB"/>
        </w:rPr>
        <w:footnoteReference w:id="9"/>
      </w:r>
      <w:r w:rsidR="00494D8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the public consultation </w:t>
      </w:r>
      <w:r w:rsidR="00B94375">
        <w:rPr>
          <w:rFonts w:ascii="Times New Roman" w:hAnsi="Times New Roman" w:cs="Times New Roman"/>
          <w:sz w:val="24"/>
          <w:szCs w:val="24"/>
          <w:lang w:val="en-GB"/>
        </w:rPr>
        <w:t xml:space="preserve">highlight </w:t>
      </w:r>
      <w:r>
        <w:rPr>
          <w:rFonts w:ascii="Times New Roman" w:hAnsi="Times New Roman" w:cs="Times New Roman"/>
          <w:sz w:val="24"/>
          <w:szCs w:val="24"/>
          <w:lang w:val="en-GB"/>
        </w:rPr>
        <w:t xml:space="preserve">current problems with the protection </w:t>
      </w:r>
      <w:r w:rsidR="000F76F0">
        <w:rPr>
          <w:rFonts w:ascii="Times New Roman" w:hAnsi="Times New Roman" w:cs="Times New Roman"/>
          <w:sz w:val="24"/>
          <w:szCs w:val="24"/>
          <w:lang w:val="en-GB"/>
        </w:rPr>
        <w:t>of GIs on foodstuffs, for instance for cheese.</w:t>
      </w:r>
    </w:p>
    <w:p w:rsidR="00E851A2" w:rsidRPr="00E851A2" w:rsidRDefault="00E851A2" w:rsidP="00E851A2">
      <w:pPr>
        <w:pStyle w:val="ListParagraph"/>
        <w:spacing w:after="0" w:line="240" w:lineRule="auto"/>
        <w:ind w:left="360"/>
        <w:jc w:val="both"/>
        <w:rPr>
          <w:rFonts w:ascii="Times New Roman" w:hAnsi="Times New Roman" w:cs="Times New Roman"/>
          <w:sz w:val="12"/>
          <w:szCs w:val="12"/>
          <w:lang w:val="en-GB"/>
        </w:rPr>
      </w:pPr>
    </w:p>
    <w:p w:rsidR="006338E3" w:rsidRDefault="006338E3" w:rsidP="00E851A2">
      <w:pPr>
        <w:spacing w:after="0" w:line="240" w:lineRule="auto"/>
        <w:jc w:val="both"/>
        <w:rPr>
          <w:rFonts w:ascii="Times New Roman" w:hAnsi="Times New Roman" w:cs="Times New Roman"/>
          <w:sz w:val="24"/>
          <w:szCs w:val="24"/>
        </w:rPr>
      </w:pPr>
    </w:p>
    <w:p w:rsidR="006338E3" w:rsidRPr="00E851A2" w:rsidRDefault="006338E3" w:rsidP="006338E3">
      <w:pPr>
        <w:spacing w:after="0" w:line="240" w:lineRule="auto"/>
        <w:jc w:val="both"/>
        <w:rPr>
          <w:rFonts w:ascii="Times New Roman" w:hAnsi="Times New Roman" w:cs="Times New Roman"/>
          <w:b/>
          <w:sz w:val="24"/>
          <w:szCs w:val="24"/>
        </w:rPr>
      </w:pPr>
      <w:r w:rsidRPr="00E851A2">
        <w:rPr>
          <w:rFonts w:ascii="Times New Roman" w:hAnsi="Times New Roman" w:cs="Times New Roman"/>
          <w:b/>
          <w:sz w:val="24"/>
          <w:szCs w:val="24"/>
        </w:rPr>
        <w:t>1.2.2</w:t>
      </w:r>
      <w:r w:rsidR="004A7B8F">
        <w:rPr>
          <w:rFonts w:ascii="Times New Roman" w:hAnsi="Times New Roman" w:cs="Times New Roman"/>
          <w:b/>
          <w:sz w:val="24"/>
          <w:szCs w:val="24"/>
        </w:rPr>
        <w:t>.</w:t>
      </w:r>
      <w:r w:rsidRPr="00E851A2">
        <w:rPr>
          <w:rFonts w:ascii="Times New Roman" w:hAnsi="Times New Roman" w:cs="Times New Roman"/>
          <w:b/>
          <w:sz w:val="24"/>
          <w:szCs w:val="24"/>
        </w:rPr>
        <w:tab/>
        <w:t>New trade issues missing in the existing Agreement</w:t>
      </w:r>
    </w:p>
    <w:p w:rsidR="004D3272" w:rsidRPr="001D4E24" w:rsidRDefault="004D3272" w:rsidP="00AE0F12">
      <w:pPr>
        <w:spacing w:after="0" w:line="240" w:lineRule="auto"/>
        <w:jc w:val="both"/>
        <w:rPr>
          <w:rFonts w:ascii="Times New Roman" w:hAnsi="Times New Roman" w:cs="Times New Roman"/>
          <w:sz w:val="16"/>
          <w:szCs w:val="16"/>
        </w:rPr>
      </w:pPr>
    </w:p>
    <w:p w:rsidR="006338E3" w:rsidRPr="007D4D13" w:rsidRDefault="009341D9" w:rsidP="006338E3">
      <w:pPr>
        <w:pStyle w:val="ListParagraph"/>
        <w:numPr>
          <w:ilvl w:val="0"/>
          <w:numId w:val="6"/>
        </w:num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Modern standards of</w:t>
      </w:r>
      <w:r w:rsidR="00653EB5">
        <w:rPr>
          <w:rFonts w:ascii="Times New Roman" w:hAnsi="Times New Roman" w:cs="Times New Roman"/>
          <w:b/>
          <w:sz w:val="24"/>
          <w:szCs w:val="24"/>
          <w:lang w:val="en-GB"/>
        </w:rPr>
        <w:t xml:space="preserve"> i</w:t>
      </w:r>
      <w:r w:rsidR="006338E3" w:rsidRPr="00E851A2">
        <w:rPr>
          <w:rFonts w:ascii="Times New Roman" w:hAnsi="Times New Roman" w:cs="Times New Roman"/>
          <w:b/>
          <w:sz w:val="24"/>
          <w:szCs w:val="24"/>
          <w:lang w:val="en-GB"/>
        </w:rPr>
        <w:t>nvestment protection</w:t>
      </w:r>
      <w:r w:rsidR="00653EB5">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not available </w:t>
      </w:r>
      <w:r w:rsidR="00653EB5">
        <w:rPr>
          <w:rFonts w:ascii="Times New Roman" w:hAnsi="Times New Roman" w:cs="Times New Roman"/>
          <w:b/>
          <w:sz w:val="24"/>
          <w:szCs w:val="24"/>
          <w:lang w:val="en-GB"/>
        </w:rPr>
        <w:t>for all EU investors</w:t>
      </w:r>
      <w:r w:rsidR="006338E3">
        <w:rPr>
          <w:rFonts w:ascii="Times New Roman" w:hAnsi="Times New Roman" w:cs="Times New Roman"/>
          <w:b/>
          <w:sz w:val="24"/>
          <w:szCs w:val="24"/>
          <w:lang w:val="en-GB"/>
        </w:rPr>
        <w:t xml:space="preserve">. </w:t>
      </w:r>
      <w:r w:rsidR="006338E3">
        <w:rPr>
          <w:rFonts w:ascii="Times New Roman" w:hAnsi="Times New Roman" w:cs="Times New Roman"/>
          <w:sz w:val="24"/>
          <w:szCs w:val="24"/>
          <w:lang w:val="en-GB"/>
        </w:rPr>
        <w:t xml:space="preserve"> Currently, investment protection is only partly covered by t</w:t>
      </w:r>
      <w:r w:rsidR="006338E3" w:rsidRPr="007D4D13">
        <w:rPr>
          <w:rFonts w:ascii="Times New Roman" w:hAnsi="Times New Roman" w:cs="Times New Roman"/>
          <w:sz w:val="24"/>
          <w:szCs w:val="24"/>
          <w:lang w:val="en-GB"/>
        </w:rPr>
        <w:t xml:space="preserve">he Bilateral Investment Treaties (BITs) </w:t>
      </w:r>
      <w:r w:rsidR="006338E3">
        <w:rPr>
          <w:rFonts w:ascii="Times New Roman" w:hAnsi="Times New Roman" w:cs="Times New Roman"/>
          <w:sz w:val="24"/>
          <w:szCs w:val="24"/>
          <w:lang w:val="en-GB"/>
        </w:rPr>
        <w:t>in force</w:t>
      </w:r>
      <w:r w:rsidR="006338E3" w:rsidRPr="007D4D13">
        <w:rPr>
          <w:rFonts w:ascii="Times New Roman" w:hAnsi="Times New Roman" w:cs="Times New Roman"/>
          <w:sz w:val="24"/>
          <w:szCs w:val="24"/>
          <w:lang w:val="en-GB"/>
        </w:rPr>
        <w:t xml:space="preserve"> between 1</w:t>
      </w:r>
      <w:r w:rsidR="006338E3">
        <w:rPr>
          <w:rFonts w:ascii="Times New Roman" w:hAnsi="Times New Roman" w:cs="Times New Roman"/>
          <w:sz w:val="24"/>
          <w:szCs w:val="24"/>
          <w:lang w:val="en-GB"/>
        </w:rPr>
        <w:t>6</w:t>
      </w:r>
      <w:r w:rsidR="006338E3" w:rsidRPr="007D4D13">
        <w:rPr>
          <w:rFonts w:ascii="Times New Roman" w:hAnsi="Times New Roman" w:cs="Times New Roman"/>
          <w:sz w:val="24"/>
          <w:szCs w:val="24"/>
          <w:lang w:val="en-GB"/>
        </w:rPr>
        <w:t xml:space="preserve"> EU Member States and Chile</w:t>
      </w:r>
      <w:r w:rsidR="006338E3">
        <w:rPr>
          <w:rFonts w:ascii="Times New Roman" w:hAnsi="Times New Roman" w:cs="Times New Roman"/>
          <w:sz w:val="24"/>
          <w:szCs w:val="24"/>
          <w:lang w:val="en-GB"/>
        </w:rPr>
        <w:t>.</w:t>
      </w:r>
      <w:r w:rsidR="006338E3">
        <w:rPr>
          <w:rStyle w:val="FootnoteReference"/>
          <w:rFonts w:ascii="Times New Roman" w:hAnsi="Times New Roman" w:cs="Times New Roman"/>
          <w:sz w:val="24"/>
          <w:szCs w:val="24"/>
          <w:lang w:val="en-GB"/>
        </w:rPr>
        <w:footnoteReference w:id="10"/>
      </w:r>
      <w:r w:rsidR="006338E3">
        <w:rPr>
          <w:rFonts w:ascii="Times New Roman" w:hAnsi="Times New Roman" w:cs="Times New Roman"/>
          <w:sz w:val="24"/>
          <w:szCs w:val="24"/>
          <w:lang w:val="en-GB"/>
        </w:rPr>
        <w:t xml:space="preserve"> However, the BITs do not cover investment from all Member States, and </w:t>
      </w:r>
      <w:r w:rsidR="006338E3" w:rsidRPr="007D4D13">
        <w:rPr>
          <w:rFonts w:ascii="Times New Roman" w:hAnsi="Times New Roman" w:cs="Times New Roman"/>
          <w:sz w:val="24"/>
          <w:szCs w:val="24"/>
          <w:lang w:val="en-GB"/>
        </w:rPr>
        <w:t>differ in their level of ambition</w:t>
      </w:r>
      <w:r w:rsidR="006338E3">
        <w:rPr>
          <w:rFonts w:ascii="Times New Roman" w:hAnsi="Times New Roman" w:cs="Times New Roman"/>
          <w:sz w:val="24"/>
          <w:szCs w:val="24"/>
          <w:lang w:val="en-GB"/>
        </w:rPr>
        <w:t xml:space="preserve">, resulting in </w:t>
      </w:r>
      <w:r>
        <w:rPr>
          <w:rFonts w:ascii="Times New Roman" w:hAnsi="Times New Roman" w:cs="Times New Roman"/>
          <w:sz w:val="24"/>
          <w:szCs w:val="24"/>
          <w:lang w:val="en-GB"/>
        </w:rPr>
        <w:t>an unlevel</w:t>
      </w:r>
      <w:r w:rsidR="006338E3">
        <w:rPr>
          <w:rFonts w:ascii="Times New Roman" w:hAnsi="Times New Roman" w:cs="Times New Roman"/>
          <w:sz w:val="24"/>
          <w:szCs w:val="24"/>
          <w:lang w:val="en-GB"/>
        </w:rPr>
        <w:t xml:space="preserve"> playing field and</w:t>
      </w:r>
      <w:r w:rsidR="00F84322">
        <w:rPr>
          <w:rFonts w:ascii="Times New Roman" w:hAnsi="Times New Roman" w:cs="Times New Roman"/>
          <w:sz w:val="24"/>
          <w:szCs w:val="24"/>
          <w:lang w:val="en-GB"/>
        </w:rPr>
        <w:t>,</w:t>
      </w:r>
      <w:r w:rsidR="006338E3">
        <w:rPr>
          <w:rFonts w:ascii="Times New Roman" w:hAnsi="Times New Roman" w:cs="Times New Roman"/>
          <w:sz w:val="24"/>
          <w:szCs w:val="24"/>
          <w:lang w:val="en-GB"/>
        </w:rPr>
        <w:t xml:space="preserve"> potentially</w:t>
      </w:r>
      <w:r w:rsidR="00F84322">
        <w:rPr>
          <w:rFonts w:ascii="Times New Roman" w:hAnsi="Times New Roman" w:cs="Times New Roman"/>
          <w:sz w:val="24"/>
          <w:szCs w:val="24"/>
          <w:lang w:val="en-GB"/>
        </w:rPr>
        <w:t>,</w:t>
      </w:r>
      <w:r w:rsidR="006338E3">
        <w:rPr>
          <w:rFonts w:ascii="Times New Roman" w:hAnsi="Times New Roman" w:cs="Times New Roman"/>
          <w:sz w:val="24"/>
          <w:szCs w:val="24"/>
          <w:lang w:val="en-GB"/>
        </w:rPr>
        <w:t xml:space="preserve"> in investment flows diversion. They </w:t>
      </w:r>
      <w:r w:rsidR="006338E3" w:rsidRPr="007D4D13">
        <w:rPr>
          <w:rFonts w:ascii="Times New Roman" w:hAnsi="Times New Roman" w:cs="Times New Roman"/>
          <w:sz w:val="24"/>
          <w:szCs w:val="24"/>
          <w:lang w:val="en-GB"/>
        </w:rPr>
        <w:t xml:space="preserve">are </w:t>
      </w:r>
      <w:r w:rsidR="006338E3">
        <w:rPr>
          <w:rFonts w:ascii="Times New Roman" w:hAnsi="Times New Roman" w:cs="Times New Roman"/>
          <w:sz w:val="24"/>
          <w:szCs w:val="24"/>
          <w:lang w:val="en-GB"/>
        </w:rPr>
        <w:t xml:space="preserve">also </w:t>
      </w:r>
      <w:r w:rsidR="006338E3" w:rsidRPr="007D4D13">
        <w:rPr>
          <w:rFonts w:ascii="Times New Roman" w:hAnsi="Times New Roman" w:cs="Times New Roman"/>
          <w:sz w:val="24"/>
          <w:szCs w:val="24"/>
          <w:lang w:val="en-GB"/>
        </w:rPr>
        <w:t xml:space="preserve">not in line with </w:t>
      </w:r>
      <w:r w:rsidR="006338E3">
        <w:rPr>
          <w:rFonts w:ascii="Times New Roman" w:hAnsi="Times New Roman" w:cs="Times New Roman"/>
          <w:sz w:val="24"/>
          <w:szCs w:val="24"/>
          <w:lang w:val="en-GB"/>
        </w:rPr>
        <w:t xml:space="preserve">key elements of </w:t>
      </w:r>
      <w:r w:rsidR="006338E3" w:rsidRPr="007D4D13">
        <w:rPr>
          <w:rFonts w:ascii="Times New Roman" w:hAnsi="Times New Roman" w:cs="Times New Roman"/>
          <w:sz w:val="24"/>
          <w:szCs w:val="24"/>
          <w:lang w:val="en-GB"/>
        </w:rPr>
        <w:t>EU investment policy</w:t>
      </w:r>
      <w:r w:rsidR="006338E3">
        <w:rPr>
          <w:rFonts w:ascii="Times New Roman" w:hAnsi="Times New Roman" w:cs="Times New Roman"/>
          <w:sz w:val="24"/>
          <w:szCs w:val="24"/>
          <w:lang w:val="en-GB"/>
        </w:rPr>
        <w:t>, such as support for an Investment Court System</w:t>
      </w:r>
      <w:r w:rsidR="006338E3" w:rsidRPr="007D4D13">
        <w:rPr>
          <w:rFonts w:ascii="Times New Roman" w:hAnsi="Times New Roman" w:cs="Times New Roman"/>
          <w:sz w:val="24"/>
          <w:szCs w:val="24"/>
          <w:lang w:val="en-GB"/>
        </w:rPr>
        <w:t>.</w:t>
      </w:r>
    </w:p>
    <w:p w:rsidR="006338E3" w:rsidRPr="00E851A2" w:rsidRDefault="006338E3" w:rsidP="00E851A2">
      <w:pPr>
        <w:pStyle w:val="ListParagraph"/>
        <w:spacing w:after="0" w:line="240" w:lineRule="auto"/>
        <w:ind w:left="360"/>
        <w:jc w:val="both"/>
        <w:rPr>
          <w:rFonts w:ascii="Times New Roman" w:hAnsi="Times New Roman" w:cs="Times New Roman"/>
          <w:sz w:val="24"/>
          <w:szCs w:val="24"/>
          <w:lang w:val="en-GB"/>
        </w:rPr>
      </w:pPr>
    </w:p>
    <w:p w:rsidR="006338E3" w:rsidRDefault="00653EB5" w:rsidP="00D71E45">
      <w:pPr>
        <w:pStyle w:val="ListParagraph"/>
        <w:numPr>
          <w:ilvl w:val="0"/>
          <w:numId w:val="7"/>
        </w:num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Lack of T</w:t>
      </w:r>
      <w:r w:rsidR="007840B5" w:rsidRPr="009E4F71">
        <w:rPr>
          <w:rFonts w:ascii="Times New Roman" w:hAnsi="Times New Roman" w:cs="Times New Roman"/>
          <w:b/>
          <w:sz w:val="24"/>
          <w:szCs w:val="24"/>
          <w:lang w:val="en-GB"/>
        </w:rPr>
        <w:t>rade and Sustainable Development</w:t>
      </w:r>
      <w:r w:rsidR="009E4F71" w:rsidRPr="009E4F71">
        <w:rPr>
          <w:rFonts w:ascii="Times New Roman" w:hAnsi="Times New Roman" w:cs="Times New Roman"/>
          <w:b/>
          <w:sz w:val="24"/>
          <w:szCs w:val="24"/>
          <w:lang w:val="en-GB"/>
        </w:rPr>
        <w:t xml:space="preserve"> provisions.</w:t>
      </w:r>
      <w:r w:rsidR="00AE0F12" w:rsidRPr="007D4D13">
        <w:rPr>
          <w:rFonts w:ascii="Times New Roman" w:hAnsi="Times New Roman" w:cs="Times New Roman"/>
          <w:b/>
          <w:sz w:val="24"/>
          <w:szCs w:val="24"/>
          <w:lang w:val="en-GB"/>
        </w:rPr>
        <w:t xml:space="preserve"> </w:t>
      </w:r>
      <w:r w:rsidR="007840B5" w:rsidRPr="007D4D13">
        <w:rPr>
          <w:rFonts w:ascii="Times New Roman" w:hAnsi="Times New Roman" w:cs="Times New Roman"/>
          <w:sz w:val="24"/>
          <w:szCs w:val="24"/>
          <w:lang w:val="en-GB"/>
        </w:rPr>
        <w:t>The EU-Chile FTA does not include provisions on sustainable development</w:t>
      </w:r>
      <w:r w:rsidR="00F55913" w:rsidRPr="007D4D13">
        <w:rPr>
          <w:rFonts w:ascii="Times New Roman" w:hAnsi="Times New Roman" w:cs="Times New Roman"/>
          <w:sz w:val="24"/>
          <w:szCs w:val="24"/>
          <w:lang w:val="en-GB"/>
        </w:rPr>
        <w:t xml:space="preserve"> and therefore </w:t>
      </w:r>
      <w:r w:rsidR="001377B7">
        <w:rPr>
          <w:rFonts w:ascii="Times New Roman" w:hAnsi="Times New Roman" w:cs="Times New Roman"/>
          <w:sz w:val="24"/>
          <w:szCs w:val="24"/>
          <w:lang w:val="en-GB"/>
        </w:rPr>
        <w:t xml:space="preserve">limits the positive </w:t>
      </w:r>
      <w:r w:rsidR="00F55913" w:rsidRPr="007D4D13">
        <w:rPr>
          <w:rFonts w:ascii="Times New Roman" w:hAnsi="Times New Roman" w:cs="Times New Roman"/>
          <w:sz w:val="24"/>
          <w:szCs w:val="24"/>
          <w:lang w:val="en-GB"/>
        </w:rPr>
        <w:t>impact of the FTA on environmental, labour or social aspects</w:t>
      </w:r>
      <w:r w:rsidR="006B4D54">
        <w:rPr>
          <w:rFonts w:ascii="Times New Roman" w:hAnsi="Times New Roman" w:cs="Times New Roman"/>
          <w:sz w:val="24"/>
          <w:szCs w:val="24"/>
          <w:lang w:val="en-GB"/>
        </w:rPr>
        <w:t>, as well as on gender issues.</w:t>
      </w:r>
      <w:r w:rsidR="00F84322">
        <w:rPr>
          <w:rFonts w:ascii="Times New Roman" w:hAnsi="Times New Roman" w:cs="Times New Roman"/>
          <w:sz w:val="24"/>
          <w:szCs w:val="24"/>
          <w:lang w:val="en-GB"/>
        </w:rPr>
        <w:t xml:space="preserve"> </w:t>
      </w:r>
      <w:r w:rsidR="00D71E45">
        <w:rPr>
          <w:rFonts w:ascii="Times New Roman" w:hAnsi="Times New Roman" w:cs="Times New Roman"/>
          <w:sz w:val="24"/>
          <w:szCs w:val="24"/>
          <w:lang w:val="en-GB"/>
        </w:rPr>
        <w:t>Many</w:t>
      </w:r>
      <w:r w:rsidR="00F84322">
        <w:rPr>
          <w:rFonts w:ascii="Times New Roman" w:hAnsi="Times New Roman" w:cs="Times New Roman"/>
          <w:sz w:val="24"/>
          <w:szCs w:val="24"/>
          <w:lang w:val="en-GB"/>
        </w:rPr>
        <w:t xml:space="preserve"> </w:t>
      </w:r>
      <w:r w:rsidR="00645951">
        <w:rPr>
          <w:rFonts w:ascii="Times New Roman" w:hAnsi="Times New Roman" w:cs="Times New Roman"/>
          <w:sz w:val="24"/>
          <w:szCs w:val="24"/>
          <w:lang w:val="en-GB"/>
        </w:rPr>
        <w:t xml:space="preserve">public consultation respondents who expressed an opinion </w:t>
      </w:r>
      <w:r w:rsidR="008C626D">
        <w:rPr>
          <w:rFonts w:ascii="Times New Roman" w:hAnsi="Times New Roman" w:cs="Times New Roman"/>
          <w:sz w:val="24"/>
          <w:szCs w:val="24"/>
          <w:lang w:val="en-GB"/>
        </w:rPr>
        <w:t>are</w:t>
      </w:r>
      <w:r w:rsidR="00645951">
        <w:rPr>
          <w:rFonts w:ascii="Times New Roman" w:hAnsi="Times New Roman" w:cs="Times New Roman"/>
          <w:sz w:val="24"/>
          <w:szCs w:val="24"/>
          <w:lang w:val="en-GB"/>
        </w:rPr>
        <w:t xml:space="preserve"> in favour of including </w:t>
      </w:r>
      <w:r w:rsidR="00922C57">
        <w:rPr>
          <w:rFonts w:ascii="Times New Roman" w:hAnsi="Times New Roman" w:cs="Times New Roman"/>
          <w:sz w:val="24"/>
          <w:szCs w:val="24"/>
          <w:lang w:val="en-GB"/>
        </w:rPr>
        <w:t xml:space="preserve">trade </w:t>
      </w:r>
      <w:r w:rsidR="00645951">
        <w:rPr>
          <w:rFonts w:ascii="Times New Roman" w:hAnsi="Times New Roman" w:cs="Times New Roman"/>
          <w:sz w:val="24"/>
          <w:szCs w:val="24"/>
          <w:lang w:val="en-GB"/>
        </w:rPr>
        <w:t xml:space="preserve">and </w:t>
      </w:r>
      <w:r w:rsidR="00922C57">
        <w:rPr>
          <w:rFonts w:ascii="Times New Roman" w:hAnsi="Times New Roman" w:cs="Times New Roman"/>
          <w:sz w:val="24"/>
          <w:szCs w:val="24"/>
          <w:lang w:val="en-GB"/>
        </w:rPr>
        <w:t xml:space="preserve">sustainable development </w:t>
      </w:r>
      <w:r w:rsidR="00645951">
        <w:rPr>
          <w:rFonts w:ascii="Times New Roman" w:hAnsi="Times New Roman" w:cs="Times New Roman"/>
          <w:sz w:val="24"/>
          <w:szCs w:val="24"/>
          <w:lang w:val="en-GB"/>
        </w:rPr>
        <w:t>related provisions.</w:t>
      </w:r>
    </w:p>
    <w:p w:rsidR="003A5D5E" w:rsidRPr="00E851A2" w:rsidRDefault="003A5D5E" w:rsidP="003A5D5E">
      <w:pPr>
        <w:pStyle w:val="ListParagraph"/>
        <w:spacing w:after="0" w:line="240" w:lineRule="auto"/>
        <w:ind w:left="360"/>
        <w:jc w:val="both"/>
        <w:rPr>
          <w:rFonts w:ascii="Times New Roman" w:hAnsi="Times New Roman" w:cs="Times New Roman"/>
          <w:sz w:val="24"/>
          <w:szCs w:val="24"/>
          <w:lang w:val="en-GB"/>
        </w:rPr>
      </w:pPr>
    </w:p>
    <w:p w:rsidR="00494D84" w:rsidRPr="00E851A2" w:rsidRDefault="00653EB5" w:rsidP="00494D84">
      <w:pPr>
        <w:pStyle w:val="ListParagraph"/>
        <w:numPr>
          <w:ilvl w:val="0"/>
          <w:numId w:val="7"/>
        </w:numPr>
        <w:spacing w:after="0" w:line="240" w:lineRule="auto"/>
        <w:jc w:val="both"/>
        <w:rPr>
          <w:rFonts w:ascii="Times New Roman" w:hAnsi="Times New Roman" w:cs="Times New Roman"/>
          <w:sz w:val="24"/>
          <w:szCs w:val="24"/>
          <w:lang w:val="en-GB"/>
        </w:rPr>
      </w:pPr>
      <w:r w:rsidRPr="00E851A2">
        <w:rPr>
          <w:rFonts w:ascii="Times New Roman" w:hAnsi="Times New Roman" w:cs="Times New Roman"/>
          <w:sz w:val="24"/>
          <w:szCs w:val="24"/>
          <w:lang w:val="en-GB"/>
        </w:rPr>
        <w:t xml:space="preserve">There is no dedicated </w:t>
      </w:r>
      <w:r w:rsidR="00F47F12" w:rsidRPr="00E851A2">
        <w:rPr>
          <w:rFonts w:ascii="Times New Roman" w:hAnsi="Times New Roman" w:cs="Times New Roman"/>
          <w:sz w:val="24"/>
          <w:szCs w:val="24"/>
          <w:lang w:val="en-GB"/>
        </w:rPr>
        <w:t xml:space="preserve">and binding </w:t>
      </w:r>
      <w:r w:rsidRPr="00E851A2">
        <w:rPr>
          <w:rFonts w:ascii="Times New Roman" w:hAnsi="Times New Roman" w:cs="Times New Roman"/>
          <w:sz w:val="24"/>
          <w:szCs w:val="24"/>
          <w:lang w:val="en-GB"/>
        </w:rPr>
        <w:t xml:space="preserve">bilateral mechanism to facilitate trade and investment for </w:t>
      </w:r>
      <w:r w:rsidRPr="00E851A2">
        <w:rPr>
          <w:rFonts w:ascii="Times New Roman" w:hAnsi="Times New Roman" w:cs="Times New Roman"/>
          <w:b/>
          <w:sz w:val="24"/>
          <w:szCs w:val="24"/>
          <w:lang w:val="en-GB"/>
        </w:rPr>
        <w:t>SMEs</w:t>
      </w:r>
      <w:r w:rsidRPr="00E851A2">
        <w:rPr>
          <w:rFonts w:ascii="Times New Roman" w:hAnsi="Times New Roman" w:cs="Times New Roman"/>
          <w:sz w:val="24"/>
          <w:szCs w:val="24"/>
          <w:lang w:val="en-GB"/>
        </w:rPr>
        <w:t>.</w:t>
      </w:r>
      <w:r w:rsidR="00F85344" w:rsidRPr="00E851A2">
        <w:rPr>
          <w:rFonts w:ascii="Times New Roman" w:hAnsi="Times New Roman" w:cs="Times New Roman"/>
          <w:sz w:val="24"/>
          <w:szCs w:val="24"/>
          <w:lang w:val="en-GB"/>
        </w:rPr>
        <w:t xml:space="preserve"> Currently, some SMEs forego export opportunities due to lack of knowledge on the market access requir</w:t>
      </w:r>
      <w:r w:rsidR="00F84322">
        <w:rPr>
          <w:rFonts w:ascii="Times New Roman" w:hAnsi="Times New Roman" w:cs="Times New Roman"/>
          <w:sz w:val="24"/>
          <w:szCs w:val="24"/>
          <w:lang w:val="en-GB"/>
        </w:rPr>
        <w:t>e</w:t>
      </w:r>
      <w:r w:rsidR="00F85344" w:rsidRPr="00E851A2">
        <w:rPr>
          <w:rFonts w:ascii="Times New Roman" w:hAnsi="Times New Roman" w:cs="Times New Roman"/>
          <w:sz w:val="24"/>
          <w:szCs w:val="24"/>
          <w:lang w:val="en-GB"/>
        </w:rPr>
        <w:t xml:space="preserve">ments. A dedicated mechanism would include information-sharing arrangements on market access requirements that would help to solve this issue. </w:t>
      </w:r>
      <w:r w:rsidR="00494D84" w:rsidRPr="00E851A2">
        <w:rPr>
          <w:rFonts w:ascii="Times New Roman" w:hAnsi="Times New Roman" w:cs="Times New Roman"/>
          <w:sz w:val="24"/>
          <w:szCs w:val="24"/>
          <w:lang w:val="en-GB"/>
        </w:rPr>
        <w:t>Numerous respondents</w:t>
      </w:r>
      <w:r w:rsidR="00494D84">
        <w:rPr>
          <w:rStyle w:val="FootnoteReference"/>
          <w:rFonts w:ascii="Times New Roman" w:hAnsi="Times New Roman" w:cs="Times New Roman"/>
          <w:sz w:val="24"/>
          <w:szCs w:val="24"/>
          <w:lang w:val="en-GB"/>
        </w:rPr>
        <w:footnoteReference w:id="11"/>
      </w:r>
      <w:r w:rsidR="00494D84" w:rsidRPr="00E851A2">
        <w:rPr>
          <w:rFonts w:ascii="Times New Roman" w:hAnsi="Times New Roman" w:cs="Times New Roman"/>
          <w:sz w:val="24"/>
          <w:szCs w:val="24"/>
          <w:lang w:val="en-GB"/>
        </w:rPr>
        <w:t xml:space="preserve"> in the public consultation highlighted the particular problems encountered by SMEs in exporting or importing between the EU and Chile.</w:t>
      </w:r>
    </w:p>
    <w:p w:rsidR="007840B5" w:rsidRDefault="007840B5" w:rsidP="008202EB">
      <w:pPr>
        <w:spacing w:after="0" w:line="240" w:lineRule="auto"/>
        <w:jc w:val="both"/>
        <w:rPr>
          <w:rFonts w:ascii="Times New Roman" w:hAnsi="Times New Roman" w:cs="Times New Roman"/>
          <w:sz w:val="24"/>
          <w:szCs w:val="24"/>
        </w:rPr>
      </w:pPr>
    </w:p>
    <w:p w:rsidR="00E851A2" w:rsidRDefault="00E851A2" w:rsidP="008202EB">
      <w:pPr>
        <w:spacing w:after="0" w:line="240" w:lineRule="auto"/>
        <w:jc w:val="both"/>
        <w:rPr>
          <w:rFonts w:ascii="Times New Roman" w:hAnsi="Times New Roman" w:cs="Times New Roman"/>
          <w:sz w:val="24"/>
          <w:szCs w:val="24"/>
        </w:rPr>
      </w:pPr>
    </w:p>
    <w:p w:rsidR="000D11A3" w:rsidRPr="004609AA" w:rsidRDefault="000D11A3" w:rsidP="002A28DD">
      <w:pPr>
        <w:pStyle w:val="ListParagraph"/>
        <w:numPr>
          <w:ilvl w:val="1"/>
          <w:numId w:val="12"/>
        </w:numPr>
        <w:snapToGrid w:val="0"/>
        <w:spacing w:after="120" w:line="240" w:lineRule="auto"/>
        <w:jc w:val="both"/>
        <w:rPr>
          <w:rStyle w:val="Heading2Char"/>
          <w:u w:val="single"/>
        </w:rPr>
      </w:pPr>
      <w:bookmarkStart w:id="8" w:name="_Toc473123067"/>
      <w:r w:rsidRPr="004609AA">
        <w:rPr>
          <w:rStyle w:val="Heading2Char"/>
          <w:u w:val="single"/>
        </w:rPr>
        <w:t>Problem tree</w:t>
      </w:r>
      <w:bookmarkEnd w:id="8"/>
    </w:p>
    <w:p w:rsidR="00882520" w:rsidRDefault="00882520" w:rsidP="00882520">
      <w:pPr>
        <w:snapToGrid w:val="0"/>
        <w:spacing w:after="120" w:line="240" w:lineRule="auto"/>
        <w:jc w:val="both"/>
        <w:rPr>
          <w:rFonts w:ascii="Times New Roman" w:hAnsi="Times New Roman" w:cs="Times New Roman"/>
          <w:sz w:val="24"/>
          <w:szCs w:val="24"/>
        </w:rPr>
      </w:pPr>
      <w:r w:rsidRPr="000D11A3">
        <w:rPr>
          <w:rFonts w:ascii="Times New Roman" w:hAnsi="Times New Roman" w:cs="Times New Roman"/>
          <w:sz w:val="24"/>
          <w:szCs w:val="24"/>
        </w:rPr>
        <w:t xml:space="preserve">The chart </w:t>
      </w:r>
      <w:r>
        <w:rPr>
          <w:rFonts w:ascii="Times New Roman" w:hAnsi="Times New Roman" w:cs="Times New Roman"/>
          <w:sz w:val="24"/>
          <w:szCs w:val="24"/>
        </w:rPr>
        <w:t xml:space="preserve">on the following page </w:t>
      </w:r>
      <w:r w:rsidRPr="000D11A3">
        <w:rPr>
          <w:rFonts w:ascii="Times New Roman" w:hAnsi="Times New Roman" w:cs="Times New Roman"/>
          <w:sz w:val="24"/>
          <w:szCs w:val="24"/>
        </w:rPr>
        <w:t>relates the problems identified to the underlying causes, grouped thematically</w:t>
      </w:r>
      <w:r>
        <w:rPr>
          <w:rFonts w:ascii="Times New Roman" w:hAnsi="Times New Roman" w:cs="Times New Roman"/>
          <w:sz w:val="24"/>
          <w:szCs w:val="24"/>
        </w:rPr>
        <w:t>,</w:t>
      </w:r>
      <w:r w:rsidRPr="000D11A3">
        <w:rPr>
          <w:rFonts w:ascii="Times New Roman" w:hAnsi="Times New Roman" w:cs="Times New Roman"/>
          <w:sz w:val="24"/>
          <w:szCs w:val="24"/>
        </w:rPr>
        <w:t xml:space="preserve"> and links them to the actual or potential consequences for the EU</w:t>
      </w:r>
      <w:r>
        <w:rPr>
          <w:rFonts w:ascii="Times New Roman" w:hAnsi="Times New Roman" w:cs="Times New Roman"/>
          <w:sz w:val="24"/>
          <w:szCs w:val="24"/>
        </w:rPr>
        <w:t xml:space="preserve"> and Chile</w:t>
      </w:r>
      <w:r w:rsidRPr="000D11A3">
        <w:rPr>
          <w:rFonts w:ascii="Times New Roman" w:hAnsi="Times New Roman" w:cs="Times New Roman"/>
          <w:sz w:val="24"/>
          <w:szCs w:val="24"/>
        </w:rPr>
        <w:t>, in the form of a "problem tree".</w:t>
      </w:r>
    </w:p>
    <w:p w:rsidR="00882520" w:rsidRPr="00882520" w:rsidRDefault="00882520" w:rsidP="00882520">
      <w:pPr>
        <w:snapToGrid w:val="0"/>
        <w:spacing w:after="120" w:line="240" w:lineRule="auto"/>
        <w:jc w:val="both"/>
        <w:rPr>
          <w:rFonts w:ascii="Times New Roman" w:hAnsi="Times New Roman" w:cs="Times New Roman"/>
          <w:sz w:val="24"/>
          <w:szCs w:val="24"/>
        </w:rPr>
        <w:sectPr w:rsidR="00882520" w:rsidRPr="00882520" w:rsidSect="00785A8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pPr>
    </w:p>
    <w:p w:rsidR="00882520" w:rsidRPr="0000389A" w:rsidRDefault="002A45A4" w:rsidP="00882520">
      <w:pPr>
        <w:spacing w:after="0" w:line="240" w:lineRule="auto"/>
        <w:jc w:val="both"/>
        <w:rPr>
          <w:rFonts w:ascii="Times New Roman" w:hAnsi="Times New Roman" w:cs="Times New Roman"/>
          <w:sz w:val="24"/>
          <w:szCs w:val="24"/>
        </w:rPr>
        <w:sectPr w:rsidR="00882520" w:rsidRPr="0000389A" w:rsidSect="000235B5">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08"/>
          <w:docGrid w:linePitch="360"/>
        </w:sectPr>
      </w:pPr>
      <w:r>
        <w:rPr>
          <w:noProof/>
          <w:lang w:eastAsia="en-GB"/>
        </w:rPr>
        <w:drawing>
          <wp:inline distT="0" distB="0" distL="0" distR="0" wp14:anchorId="11F9F05D" wp14:editId="3C86D210">
            <wp:extent cx="8740239" cy="5581402"/>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49661" cy="5587419"/>
                    </a:xfrm>
                    <a:prstGeom prst="rect">
                      <a:avLst/>
                    </a:prstGeom>
                    <a:noFill/>
                    <a:ln>
                      <a:noFill/>
                    </a:ln>
                  </pic:spPr>
                </pic:pic>
              </a:graphicData>
            </a:graphic>
          </wp:inline>
        </w:drawing>
      </w:r>
    </w:p>
    <w:p w:rsidR="00765649" w:rsidRPr="0083164D" w:rsidRDefault="00765649" w:rsidP="00D568EA">
      <w:pPr>
        <w:pStyle w:val="ListParagraph"/>
        <w:numPr>
          <w:ilvl w:val="1"/>
          <w:numId w:val="12"/>
        </w:numPr>
        <w:snapToGrid w:val="0"/>
        <w:spacing w:after="120" w:line="240" w:lineRule="auto"/>
        <w:jc w:val="both"/>
        <w:rPr>
          <w:rStyle w:val="Heading2Char"/>
          <w:u w:val="single"/>
          <w:lang w:val="en-GB"/>
        </w:rPr>
      </w:pPr>
      <w:bookmarkStart w:id="9" w:name="_Toc473123068"/>
      <w:r w:rsidRPr="00015230">
        <w:rPr>
          <w:rStyle w:val="Heading2Char"/>
          <w:u w:val="single"/>
          <w:lang w:val="en-GB"/>
        </w:rPr>
        <w:t>How would the problem evolve, all things being equal?</w:t>
      </w:r>
      <w:bookmarkEnd w:id="9"/>
    </w:p>
    <w:p w:rsidR="004609AA" w:rsidRDefault="004609AA" w:rsidP="00765649">
      <w:pPr>
        <w:snapToGrid w:val="0"/>
        <w:spacing w:after="120" w:line="240" w:lineRule="auto"/>
        <w:jc w:val="both"/>
        <w:rPr>
          <w:rFonts w:ascii="Times New Roman" w:hAnsi="Times New Roman" w:cs="Times New Roman"/>
          <w:sz w:val="24"/>
          <w:szCs w:val="24"/>
        </w:rPr>
      </w:pPr>
    </w:p>
    <w:p w:rsidR="00765649" w:rsidRPr="000D11A3" w:rsidRDefault="00765649" w:rsidP="00765649">
      <w:pPr>
        <w:snapToGrid w:val="0"/>
        <w:spacing w:after="120" w:line="240" w:lineRule="auto"/>
        <w:jc w:val="both"/>
        <w:rPr>
          <w:rFonts w:ascii="Times New Roman" w:hAnsi="Times New Roman" w:cs="Times New Roman"/>
          <w:sz w:val="24"/>
          <w:szCs w:val="24"/>
        </w:rPr>
      </w:pPr>
      <w:r w:rsidRPr="000D11A3">
        <w:rPr>
          <w:rFonts w:ascii="Times New Roman" w:hAnsi="Times New Roman" w:cs="Times New Roman"/>
          <w:sz w:val="24"/>
          <w:szCs w:val="24"/>
        </w:rPr>
        <w:t>The identified problems would persist and increase</w:t>
      </w:r>
      <w:r w:rsidR="008A0307">
        <w:rPr>
          <w:rFonts w:ascii="Times New Roman" w:hAnsi="Times New Roman" w:cs="Times New Roman"/>
          <w:sz w:val="24"/>
          <w:szCs w:val="24"/>
        </w:rPr>
        <w:t>,</w:t>
      </w:r>
      <w:r w:rsidRPr="000D11A3">
        <w:rPr>
          <w:rFonts w:ascii="Times New Roman" w:hAnsi="Times New Roman" w:cs="Times New Roman"/>
          <w:sz w:val="24"/>
          <w:szCs w:val="24"/>
        </w:rPr>
        <w:t xml:space="preserve"> as </w:t>
      </w:r>
      <w:r w:rsidR="0070220B">
        <w:rPr>
          <w:rFonts w:ascii="Times New Roman" w:hAnsi="Times New Roman" w:cs="Times New Roman"/>
          <w:sz w:val="24"/>
          <w:szCs w:val="24"/>
        </w:rPr>
        <w:t xml:space="preserve">Chile would </w:t>
      </w:r>
      <w:r w:rsidRPr="000D11A3">
        <w:rPr>
          <w:rFonts w:ascii="Times New Roman" w:hAnsi="Times New Roman" w:cs="Times New Roman"/>
          <w:sz w:val="24"/>
          <w:szCs w:val="24"/>
        </w:rPr>
        <w:t>progressively implement new FTAs with other partners. European stakeholders, manufacturers, service industr</w:t>
      </w:r>
      <w:r w:rsidR="0011628D">
        <w:rPr>
          <w:rFonts w:ascii="Times New Roman" w:hAnsi="Times New Roman" w:cs="Times New Roman"/>
          <w:sz w:val="24"/>
          <w:szCs w:val="24"/>
        </w:rPr>
        <w:t>ies</w:t>
      </w:r>
      <w:r w:rsidRPr="000D11A3">
        <w:rPr>
          <w:rFonts w:ascii="Times New Roman" w:hAnsi="Times New Roman" w:cs="Times New Roman"/>
          <w:sz w:val="24"/>
          <w:szCs w:val="24"/>
        </w:rPr>
        <w:t>, traders and their workforce</w:t>
      </w:r>
      <w:r w:rsidR="008A0307">
        <w:rPr>
          <w:rFonts w:ascii="Times New Roman" w:hAnsi="Times New Roman" w:cs="Times New Roman"/>
          <w:sz w:val="24"/>
          <w:szCs w:val="24"/>
        </w:rPr>
        <w:t>,</w:t>
      </w:r>
      <w:r w:rsidRPr="000D11A3">
        <w:rPr>
          <w:rFonts w:ascii="Times New Roman" w:hAnsi="Times New Roman" w:cs="Times New Roman"/>
          <w:sz w:val="24"/>
          <w:szCs w:val="24"/>
        </w:rPr>
        <w:t xml:space="preserve"> as well as consumers and regulators</w:t>
      </w:r>
      <w:r w:rsidR="008A0307">
        <w:rPr>
          <w:rFonts w:ascii="Times New Roman" w:hAnsi="Times New Roman" w:cs="Times New Roman"/>
          <w:sz w:val="24"/>
          <w:szCs w:val="24"/>
        </w:rPr>
        <w:t>,</w:t>
      </w:r>
      <w:r w:rsidRPr="000D11A3">
        <w:rPr>
          <w:rFonts w:ascii="Times New Roman" w:hAnsi="Times New Roman" w:cs="Times New Roman"/>
          <w:sz w:val="24"/>
          <w:szCs w:val="24"/>
        </w:rPr>
        <w:t xml:space="preserve"> would forgo potential additional benefits if no policy action is taken.</w:t>
      </w:r>
    </w:p>
    <w:p w:rsidR="00765649" w:rsidRPr="000D11A3" w:rsidRDefault="00765649" w:rsidP="00765649">
      <w:pPr>
        <w:snapToGrid w:val="0"/>
        <w:spacing w:after="120" w:line="240" w:lineRule="auto"/>
        <w:ind w:left="792"/>
        <w:jc w:val="both"/>
        <w:rPr>
          <w:rFonts w:ascii="Times New Roman" w:hAnsi="Times New Roman" w:cs="Times New Roman"/>
          <w:b/>
          <w:sz w:val="24"/>
          <w:szCs w:val="24"/>
        </w:rPr>
      </w:pPr>
    </w:p>
    <w:p w:rsidR="00765649" w:rsidRPr="00D568EA" w:rsidRDefault="00765649" w:rsidP="00D568EA">
      <w:pPr>
        <w:pStyle w:val="ListParagraph"/>
        <w:numPr>
          <w:ilvl w:val="1"/>
          <w:numId w:val="12"/>
        </w:numPr>
        <w:snapToGrid w:val="0"/>
        <w:spacing w:after="120" w:line="240" w:lineRule="auto"/>
        <w:jc w:val="both"/>
        <w:rPr>
          <w:rStyle w:val="Heading2Char"/>
          <w:u w:val="single"/>
        </w:rPr>
      </w:pPr>
      <w:bookmarkStart w:id="10" w:name="_Toc473123069"/>
      <w:r w:rsidRPr="00015230">
        <w:rPr>
          <w:rStyle w:val="Heading2Char"/>
          <w:u w:val="single"/>
          <w:lang w:val="en-GB"/>
        </w:rPr>
        <w:t xml:space="preserve">Has any fitness check/retrospective evaluation been carried out of the existing policy framework? </w:t>
      </w:r>
      <w:r w:rsidRPr="00D568EA">
        <w:rPr>
          <w:rStyle w:val="Heading2Char"/>
          <w:u w:val="single"/>
        </w:rPr>
        <w:t>What was concluded from the evaluation / fitness check?</w:t>
      </w:r>
      <w:bookmarkEnd w:id="10"/>
    </w:p>
    <w:p w:rsidR="000E00F4" w:rsidRDefault="000E00F4" w:rsidP="00301DBB">
      <w:pPr>
        <w:spacing w:after="0" w:line="240" w:lineRule="auto"/>
        <w:jc w:val="both"/>
        <w:rPr>
          <w:rFonts w:ascii="Times New Roman" w:hAnsi="Times New Roman" w:cs="Times New Roman"/>
          <w:sz w:val="24"/>
          <w:szCs w:val="24"/>
        </w:rPr>
      </w:pPr>
    </w:p>
    <w:p w:rsidR="0070220B" w:rsidRPr="00194090" w:rsidRDefault="00194090" w:rsidP="00AC505A">
      <w:pPr>
        <w:spacing w:before="240" w:after="0" w:line="240" w:lineRule="auto"/>
        <w:ind w:left="720" w:hanging="720"/>
        <w:jc w:val="both"/>
        <w:rPr>
          <w:rFonts w:ascii="Times New Roman" w:hAnsi="Times New Roman" w:cs="Times New Roman"/>
          <w:b/>
          <w:sz w:val="24"/>
          <w:szCs w:val="24"/>
        </w:rPr>
      </w:pPr>
      <w:r w:rsidRPr="00194090">
        <w:rPr>
          <w:rFonts w:ascii="Times New Roman" w:hAnsi="Times New Roman" w:cs="Times New Roman"/>
          <w:b/>
          <w:sz w:val="24"/>
          <w:szCs w:val="24"/>
        </w:rPr>
        <w:t>a)</w:t>
      </w:r>
      <w:r w:rsidRPr="00194090">
        <w:rPr>
          <w:rFonts w:ascii="Times New Roman" w:hAnsi="Times New Roman" w:cs="Times New Roman"/>
          <w:b/>
          <w:sz w:val="24"/>
          <w:szCs w:val="24"/>
        </w:rPr>
        <w:tab/>
        <w:t>Evaluation of the economic impact of the trade pillar of the EU-Chile Association Agreement (ITAQA</w:t>
      </w:r>
      <w:r w:rsidR="007D4D13">
        <w:rPr>
          <w:rFonts w:ascii="Times New Roman" w:hAnsi="Times New Roman" w:cs="Times New Roman"/>
          <w:b/>
          <w:sz w:val="24"/>
          <w:szCs w:val="24"/>
        </w:rPr>
        <w:t xml:space="preserve"> Sarl</w:t>
      </w:r>
      <w:r w:rsidRPr="00194090">
        <w:rPr>
          <w:rFonts w:ascii="Times New Roman" w:hAnsi="Times New Roman" w:cs="Times New Roman"/>
          <w:b/>
          <w:sz w:val="24"/>
          <w:szCs w:val="24"/>
        </w:rPr>
        <w:t>, 2012)</w:t>
      </w:r>
      <w:r w:rsidR="00F96C51">
        <w:rPr>
          <w:rStyle w:val="FootnoteReference"/>
          <w:rFonts w:ascii="Times New Roman" w:hAnsi="Times New Roman" w:cs="Times New Roman"/>
          <w:b/>
          <w:sz w:val="24"/>
          <w:szCs w:val="24"/>
        </w:rPr>
        <w:footnoteReference w:id="12"/>
      </w:r>
    </w:p>
    <w:p w:rsidR="0070220B" w:rsidRDefault="0045507E" w:rsidP="0045507E">
      <w:pPr>
        <w:tabs>
          <w:tab w:val="left" w:pos="3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52228" w:rsidRDefault="007D4D13" w:rsidP="00301D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commissioned by DG TRADE and prepared by ITAQA Sarl</w:t>
      </w:r>
      <w:r w:rsidR="00752228">
        <w:rPr>
          <w:rFonts w:ascii="Times New Roman" w:hAnsi="Times New Roman" w:cs="Times New Roman"/>
          <w:sz w:val="24"/>
          <w:szCs w:val="24"/>
        </w:rPr>
        <w:t xml:space="preserve"> in 2012</w:t>
      </w:r>
      <w:r>
        <w:rPr>
          <w:rFonts w:ascii="Times New Roman" w:hAnsi="Times New Roman" w:cs="Times New Roman"/>
          <w:sz w:val="24"/>
          <w:szCs w:val="24"/>
        </w:rPr>
        <w:t xml:space="preserve">, </w:t>
      </w:r>
      <w:r w:rsidR="00752228">
        <w:rPr>
          <w:rFonts w:ascii="Times New Roman" w:hAnsi="Times New Roman" w:cs="Times New Roman"/>
          <w:sz w:val="24"/>
          <w:szCs w:val="24"/>
        </w:rPr>
        <w:t xml:space="preserve">evaluated </w:t>
      </w:r>
      <w:r>
        <w:rPr>
          <w:rFonts w:ascii="Times New Roman" w:hAnsi="Times New Roman" w:cs="Times New Roman"/>
          <w:sz w:val="24"/>
          <w:szCs w:val="24"/>
        </w:rPr>
        <w:t>ex-post the impact of the EU-Chile FTA</w:t>
      </w:r>
      <w:r w:rsidR="003D2715">
        <w:rPr>
          <w:rFonts w:ascii="Times New Roman" w:hAnsi="Times New Roman" w:cs="Times New Roman"/>
          <w:sz w:val="24"/>
          <w:szCs w:val="24"/>
        </w:rPr>
        <w:t>. Using an econometric analysis</w:t>
      </w:r>
      <w:r w:rsidR="00AE6D10">
        <w:rPr>
          <w:rFonts w:ascii="Times New Roman" w:hAnsi="Times New Roman" w:cs="Times New Roman"/>
          <w:sz w:val="24"/>
          <w:szCs w:val="24"/>
        </w:rPr>
        <w:t>,</w:t>
      </w:r>
      <w:r w:rsidR="003D2715">
        <w:rPr>
          <w:rFonts w:ascii="Times New Roman" w:hAnsi="Times New Roman" w:cs="Times New Roman"/>
          <w:sz w:val="24"/>
          <w:szCs w:val="24"/>
        </w:rPr>
        <w:t xml:space="preserve"> it </w:t>
      </w:r>
      <w:r w:rsidR="00EB21E6">
        <w:rPr>
          <w:rFonts w:ascii="Times New Roman" w:hAnsi="Times New Roman" w:cs="Times New Roman"/>
          <w:sz w:val="24"/>
          <w:szCs w:val="24"/>
        </w:rPr>
        <w:t>conclud</w:t>
      </w:r>
      <w:r w:rsidR="003D2715">
        <w:rPr>
          <w:rFonts w:ascii="Times New Roman" w:hAnsi="Times New Roman" w:cs="Times New Roman"/>
          <w:sz w:val="24"/>
          <w:szCs w:val="24"/>
        </w:rPr>
        <w:t>ed</w:t>
      </w:r>
      <w:r w:rsidR="00EB21E6">
        <w:rPr>
          <w:rFonts w:ascii="Times New Roman" w:hAnsi="Times New Roman" w:cs="Times New Roman"/>
          <w:sz w:val="24"/>
          <w:szCs w:val="24"/>
        </w:rPr>
        <w:t xml:space="preserve"> that tariff cuts had </w:t>
      </w:r>
      <w:r w:rsidR="003D2715">
        <w:rPr>
          <w:rFonts w:ascii="Times New Roman" w:hAnsi="Times New Roman" w:cs="Times New Roman"/>
          <w:sz w:val="24"/>
          <w:szCs w:val="24"/>
        </w:rPr>
        <w:t>had a significant impact on bilateral trade flows. Simulations sh</w:t>
      </w:r>
      <w:r w:rsidR="0011628D">
        <w:rPr>
          <w:rFonts w:ascii="Times New Roman" w:hAnsi="Times New Roman" w:cs="Times New Roman"/>
          <w:sz w:val="24"/>
          <w:szCs w:val="24"/>
        </w:rPr>
        <w:t>owed that</w:t>
      </w:r>
      <w:r w:rsidR="004A7B8F">
        <w:rPr>
          <w:rFonts w:ascii="Times New Roman" w:hAnsi="Times New Roman" w:cs="Times New Roman"/>
          <w:sz w:val="24"/>
          <w:szCs w:val="24"/>
        </w:rPr>
        <w:t xml:space="preserve"> in the absence of an A</w:t>
      </w:r>
      <w:r w:rsidR="003D2715">
        <w:rPr>
          <w:rFonts w:ascii="Times New Roman" w:hAnsi="Times New Roman" w:cs="Times New Roman"/>
          <w:sz w:val="24"/>
          <w:szCs w:val="24"/>
        </w:rPr>
        <w:t xml:space="preserve">greement (i.e. applying MFN tariffs), Chile's exports to the EU </w:t>
      </w:r>
      <w:r w:rsidR="00752228">
        <w:rPr>
          <w:rFonts w:ascii="Times New Roman" w:hAnsi="Times New Roman" w:cs="Times New Roman"/>
          <w:sz w:val="24"/>
          <w:szCs w:val="24"/>
        </w:rPr>
        <w:t xml:space="preserve">in 2009 </w:t>
      </w:r>
      <w:r w:rsidR="003D2715">
        <w:rPr>
          <w:rFonts w:ascii="Times New Roman" w:hAnsi="Times New Roman" w:cs="Times New Roman"/>
          <w:sz w:val="24"/>
          <w:szCs w:val="24"/>
        </w:rPr>
        <w:t xml:space="preserve">would have been 20% lower, and EU exports to Chile </w:t>
      </w:r>
      <w:r w:rsidR="00752228">
        <w:rPr>
          <w:rFonts w:ascii="Times New Roman" w:hAnsi="Times New Roman" w:cs="Times New Roman"/>
          <w:sz w:val="24"/>
          <w:szCs w:val="24"/>
        </w:rPr>
        <w:t xml:space="preserve">in 2010 </w:t>
      </w:r>
      <w:r w:rsidR="003D2715">
        <w:rPr>
          <w:rFonts w:ascii="Times New Roman" w:hAnsi="Times New Roman" w:cs="Times New Roman"/>
          <w:sz w:val="24"/>
          <w:szCs w:val="24"/>
        </w:rPr>
        <w:t>would have been cut by at least 40%.</w:t>
      </w:r>
      <w:r w:rsidR="00752228">
        <w:rPr>
          <w:rFonts w:ascii="Times New Roman" w:hAnsi="Times New Roman" w:cs="Times New Roman"/>
          <w:sz w:val="24"/>
          <w:szCs w:val="24"/>
        </w:rPr>
        <w:t xml:space="preserve"> The study pointed at the declining </w:t>
      </w:r>
      <w:r w:rsidR="002F6BF9">
        <w:rPr>
          <w:rFonts w:ascii="Times New Roman" w:hAnsi="Times New Roman" w:cs="Times New Roman"/>
          <w:sz w:val="24"/>
          <w:szCs w:val="24"/>
        </w:rPr>
        <w:t xml:space="preserve">EU </w:t>
      </w:r>
      <w:r w:rsidR="00752228">
        <w:rPr>
          <w:rFonts w:ascii="Times New Roman" w:hAnsi="Times New Roman" w:cs="Times New Roman"/>
          <w:sz w:val="24"/>
          <w:szCs w:val="24"/>
        </w:rPr>
        <w:t>share in Chile's total trade sin</w:t>
      </w:r>
      <w:r w:rsidR="0011628D">
        <w:rPr>
          <w:rFonts w:ascii="Times New Roman" w:hAnsi="Times New Roman" w:cs="Times New Roman"/>
          <w:sz w:val="24"/>
          <w:szCs w:val="24"/>
        </w:rPr>
        <w:t xml:space="preserve">ce the entry into force of the </w:t>
      </w:r>
      <w:r w:rsidR="00026DB4">
        <w:rPr>
          <w:rFonts w:ascii="Times New Roman" w:hAnsi="Times New Roman" w:cs="Times New Roman"/>
          <w:sz w:val="24"/>
          <w:szCs w:val="24"/>
        </w:rPr>
        <w:t>A</w:t>
      </w:r>
      <w:r w:rsidR="00752228">
        <w:rPr>
          <w:rFonts w:ascii="Times New Roman" w:hAnsi="Times New Roman" w:cs="Times New Roman"/>
          <w:sz w:val="24"/>
          <w:szCs w:val="24"/>
        </w:rPr>
        <w:t>greement,</w:t>
      </w:r>
      <w:r w:rsidR="000344A0">
        <w:rPr>
          <w:rFonts w:ascii="Times New Roman" w:hAnsi="Times New Roman" w:cs="Times New Roman"/>
          <w:sz w:val="24"/>
          <w:szCs w:val="24"/>
        </w:rPr>
        <w:t xml:space="preserve"> despite </w:t>
      </w:r>
      <w:r w:rsidR="002F6BF9">
        <w:rPr>
          <w:rFonts w:ascii="Times New Roman" w:hAnsi="Times New Roman" w:cs="Times New Roman"/>
          <w:sz w:val="24"/>
          <w:szCs w:val="24"/>
        </w:rPr>
        <w:t>a</w:t>
      </w:r>
      <w:r w:rsidR="000344A0">
        <w:rPr>
          <w:rFonts w:ascii="Times New Roman" w:hAnsi="Times New Roman" w:cs="Times New Roman"/>
          <w:sz w:val="24"/>
          <w:szCs w:val="24"/>
        </w:rPr>
        <w:t xml:space="preserve"> </w:t>
      </w:r>
      <w:r w:rsidR="009B2ECA">
        <w:rPr>
          <w:rFonts w:ascii="Times New Roman" w:hAnsi="Times New Roman" w:cs="Times New Roman"/>
          <w:sz w:val="24"/>
          <w:szCs w:val="24"/>
        </w:rPr>
        <w:t xml:space="preserve">substantial </w:t>
      </w:r>
      <w:r w:rsidR="000344A0">
        <w:rPr>
          <w:rFonts w:ascii="Times New Roman" w:hAnsi="Times New Roman" w:cs="Times New Roman"/>
          <w:sz w:val="24"/>
          <w:szCs w:val="24"/>
        </w:rPr>
        <w:t xml:space="preserve">increase in </w:t>
      </w:r>
      <w:r w:rsidR="009B2ECA">
        <w:rPr>
          <w:rFonts w:ascii="Times New Roman" w:hAnsi="Times New Roman" w:cs="Times New Roman"/>
          <w:sz w:val="24"/>
          <w:szCs w:val="24"/>
        </w:rPr>
        <w:t xml:space="preserve">bilateral </w:t>
      </w:r>
      <w:r w:rsidR="000344A0">
        <w:rPr>
          <w:rFonts w:ascii="Times New Roman" w:hAnsi="Times New Roman" w:cs="Times New Roman"/>
          <w:sz w:val="24"/>
          <w:szCs w:val="24"/>
        </w:rPr>
        <w:t>trade flows,</w:t>
      </w:r>
      <w:r w:rsidR="00752228">
        <w:rPr>
          <w:rFonts w:ascii="Times New Roman" w:hAnsi="Times New Roman" w:cs="Times New Roman"/>
          <w:sz w:val="24"/>
          <w:szCs w:val="24"/>
        </w:rPr>
        <w:t xml:space="preserve"> suggesting that</w:t>
      </w:r>
      <w:r w:rsidR="004454E3">
        <w:rPr>
          <w:rFonts w:ascii="Times New Roman" w:hAnsi="Times New Roman" w:cs="Times New Roman"/>
          <w:sz w:val="24"/>
          <w:szCs w:val="24"/>
        </w:rPr>
        <w:t>,</w:t>
      </w:r>
      <w:r w:rsidR="00752228">
        <w:rPr>
          <w:rFonts w:ascii="Times New Roman" w:hAnsi="Times New Roman" w:cs="Times New Roman"/>
          <w:sz w:val="24"/>
          <w:szCs w:val="24"/>
        </w:rPr>
        <w:t xml:space="preserve"> in the absence of an FTA</w:t>
      </w:r>
      <w:r w:rsidR="004454E3">
        <w:rPr>
          <w:rFonts w:ascii="Times New Roman" w:hAnsi="Times New Roman" w:cs="Times New Roman"/>
          <w:sz w:val="24"/>
          <w:szCs w:val="24"/>
        </w:rPr>
        <w:t>,</w:t>
      </w:r>
      <w:r w:rsidR="00752228">
        <w:rPr>
          <w:rFonts w:ascii="Times New Roman" w:hAnsi="Times New Roman" w:cs="Times New Roman"/>
          <w:sz w:val="24"/>
          <w:szCs w:val="24"/>
        </w:rPr>
        <w:t xml:space="preserve"> EU export</w:t>
      </w:r>
      <w:r w:rsidR="000344A0">
        <w:rPr>
          <w:rFonts w:ascii="Times New Roman" w:hAnsi="Times New Roman" w:cs="Times New Roman"/>
          <w:sz w:val="24"/>
          <w:szCs w:val="24"/>
        </w:rPr>
        <w:t>ers could have been significantly crowded out from the Chilean market</w:t>
      </w:r>
      <w:r w:rsidR="00752228">
        <w:rPr>
          <w:rFonts w:ascii="Times New Roman" w:hAnsi="Times New Roman" w:cs="Times New Roman"/>
          <w:sz w:val="24"/>
          <w:szCs w:val="24"/>
        </w:rPr>
        <w:t>, due to</w:t>
      </w:r>
      <w:r w:rsidR="00700FD3">
        <w:rPr>
          <w:rFonts w:ascii="Times New Roman" w:hAnsi="Times New Roman" w:cs="Times New Roman"/>
          <w:sz w:val="24"/>
          <w:szCs w:val="24"/>
        </w:rPr>
        <w:t xml:space="preserve"> the </w:t>
      </w:r>
      <w:r w:rsidR="00026DB4">
        <w:rPr>
          <w:rFonts w:ascii="Times New Roman" w:hAnsi="Times New Roman" w:cs="Times New Roman"/>
          <w:sz w:val="24"/>
          <w:szCs w:val="24"/>
        </w:rPr>
        <w:t xml:space="preserve">significant number </w:t>
      </w:r>
      <w:r w:rsidR="008A0307">
        <w:rPr>
          <w:rFonts w:ascii="Times New Roman" w:hAnsi="Times New Roman" w:cs="Times New Roman"/>
          <w:sz w:val="24"/>
          <w:szCs w:val="24"/>
        </w:rPr>
        <w:t xml:space="preserve">of </w:t>
      </w:r>
      <w:r w:rsidR="002F6BF9">
        <w:rPr>
          <w:rFonts w:ascii="Times New Roman" w:hAnsi="Times New Roman" w:cs="Times New Roman"/>
          <w:sz w:val="24"/>
          <w:szCs w:val="24"/>
        </w:rPr>
        <w:t>FTAs signed by Chile</w:t>
      </w:r>
      <w:r w:rsidR="00752228">
        <w:rPr>
          <w:rFonts w:ascii="Times New Roman" w:hAnsi="Times New Roman" w:cs="Times New Roman"/>
          <w:sz w:val="24"/>
          <w:szCs w:val="24"/>
        </w:rPr>
        <w:t>.</w:t>
      </w:r>
    </w:p>
    <w:p w:rsidR="00752228" w:rsidRDefault="00752228" w:rsidP="00301DBB">
      <w:pPr>
        <w:spacing w:after="0" w:line="240" w:lineRule="auto"/>
        <w:jc w:val="both"/>
        <w:rPr>
          <w:rFonts w:ascii="Times New Roman" w:hAnsi="Times New Roman" w:cs="Times New Roman"/>
          <w:sz w:val="24"/>
          <w:szCs w:val="24"/>
        </w:rPr>
      </w:pPr>
    </w:p>
    <w:p w:rsidR="00194090" w:rsidRDefault="00752228" w:rsidP="00301D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Due to methodological challenges the study did not provide an assessment on the impact of non-tariff measures. </w:t>
      </w:r>
      <w:r w:rsidR="000344A0">
        <w:rPr>
          <w:rFonts w:ascii="Times New Roman" w:hAnsi="Times New Roman" w:cs="Times New Roman"/>
          <w:sz w:val="24"/>
          <w:szCs w:val="24"/>
        </w:rPr>
        <w:t xml:space="preserve">Building </w:t>
      </w:r>
      <w:r w:rsidR="0011628D">
        <w:rPr>
          <w:rFonts w:ascii="Times New Roman" w:hAnsi="Times New Roman" w:cs="Times New Roman"/>
          <w:sz w:val="24"/>
          <w:szCs w:val="24"/>
        </w:rPr>
        <w:t xml:space="preserve">upon </w:t>
      </w:r>
      <w:r w:rsidR="00EB21E6">
        <w:rPr>
          <w:rFonts w:ascii="Times New Roman" w:hAnsi="Times New Roman" w:cs="Times New Roman"/>
          <w:sz w:val="24"/>
          <w:szCs w:val="24"/>
        </w:rPr>
        <w:t xml:space="preserve">a Computable General Equilibrium </w:t>
      </w:r>
      <w:r w:rsidR="000344A0">
        <w:rPr>
          <w:rFonts w:ascii="Times New Roman" w:hAnsi="Times New Roman" w:cs="Times New Roman"/>
          <w:sz w:val="24"/>
          <w:szCs w:val="24"/>
        </w:rPr>
        <w:t xml:space="preserve">(CGE) </w:t>
      </w:r>
      <w:r w:rsidR="00EB21E6">
        <w:rPr>
          <w:rFonts w:ascii="Times New Roman" w:hAnsi="Times New Roman" w:cs="Times New Roman"/>
          <w:sz w:val="24"/>
          <w:szCs w:val="24"/>
        </w:rPr>
        <w:t xml:space="preserve">model </w:t>
      </w:r>
      <w:r w:rsidR="000344A0">
        <w:rPr>
          <w:rFonts w:ascii="Times New Roman" w:hAnsi="Times New Roman" w:cs="Times New Roman"/>
          <w:sz w:val="24"/>
          <w:szCs w:val="24"/>
        </w:rPr>
        <w:t>t</w:t>
      </w:r>
      <w:r w:rsidR="00EB21E6">
        <w:rPr>
          <w:rFonts w:ascii="Times New Roman" w:hAnsi="Times New Roman" w:cs="Times New Roman"/>
          <w:sz w:val="24"/>
          <w:szCs w:val="24"/>
        </w:rPr>
        <w:t>he report</w:t>
      </w:r>
      <w:r w:rsidR="000344A0">
        <w:rPr>
          <w:rFonts w:ascii="Times New Roman" w:hAnsi="Times New Roman" w:cs="Times New Roman"/>
          <w:sz w:val="24"/>
          <w:szCs w:val="24"/>
        </w:rPr>
        <w:t xml:space="preserve"> concluded th</w:t>
      </w:r>
      <w:r w:rsidR="0011628D">
        <w:rPr>
          <w:rFonts w:ascii="Times New Roman" w:hAnsi="Times New Roman" w:cs="Times New Roman"/>
          <w:sz w:val="24"/>
          <w:szCs w:val="24"/>
        </w:rPr>
        <w:t>at the sectors that had benefited most</w:t>
      </w:r>
      <w:r w:rsidR="000344A0">
        <w:rPr>
          <w:rFonts w:ascii="Times New Roman" w:hAnsi="Times New Roman" w:cs="Times New Roman"/>
          <w:sz w:val="24"/>
          <w:szCs w:val="24"/>
        </w:rPr>
        <w:t xml:space="preserve"> from the FTA </w:t>
      </w:r>
      <w:r w:rsidR="00F96C51">
        <w:rPr>
          <w:rFonts w:ascii="Times New Roman" w:hAnsi="Times New Roman" w:cs="Times New Roman"/>
          <w:sz w:val="24"/>
          <w:szCs w:val="24"/>
        </w:rPr>
        <w:t>had been</w:t>
      </w:r>
      <w:r w:rsidR="000344A0">
        <w:rPr>
          <w:rFonts w:ascii="Times New Roman" w:hAnsi="Times New Roman" w:cs="Times New Roman"/>
          <w:sz w:val="24"/>
          <w:szCs w:val="24"/>
        </w:rPr>
        <w:t xml:space="preserve"> fruit, wine, fisheries and fish processing on the Chilean side</w:t>
      </w:r>
      <w:r w:rsidR="00F96C51">
        <w:rPr>
          <w:rFonts w:ascii="Times New Roman" w:hAnsi="Times New Roman" w:cs="Times New Roman"/>
          <w:sz w:val="24"/>
          <w:szCs w:val="24"/>
        </w:rPr>
        <w:t>,</w:t>
      </w:r>
      <w:r w:rsidR="000344A0">
        <w:rPr>
          <w:rFonts w:ascii="Times New Roman" w:hAnsi="Times New Roman" w:cs="Times New Roman"/>
          <w:sz w:val="24"/>
          <w:szCs w:val="24"/>
        </w:rPr>
        <w:t xml:space="preserve"> and machinery, transport equipment and chemical industries on the EU side. Compared to a counterfactual state without the </w:t>
      </w:r>
      <w:r w:rsidR="004A7B8F">
        <w:rPr>
          <w:rFonts w:ascii="Times New Roman" w:hAnsi="Times New Roman" w:cs="Times New Roman"/>
          <w:sz w:val="24"/>
          <w:szCs w:val="24"/>
        </w:rPr>
        <w:t>A</w:t>
      </w:r>
      <w:r w:rsidR="000344A0">
        <w:rPr>
          <w:rFonts w:ascii="Times New Roman" w:hAnsi="Times New Roman" w:cs="Times New Roman"/>
          <w:sz w:val="24"/>
          <w:szCs w:val="24"/>
        </w:rPr>
        <w:t xml:space="preserve">greement, Chilean exports to the EU were assessed to be 20% higher and EU exports to Chile 60% higher. The higher sensitivity of EU exports to tariff changes </w:t>
      </w:r>
      <w:r w:rsidR="00F96C51">
        <w:rPr>
          <w:rFonts w:ascii="Times New Roman" w:hAnsi="Times New Roman" w:cs="Times New Roman"/>
          <w:sz w:val="24"/>
          <w:szCs w:val="24"/>
        </w:rPr>
        <w:t>was</w:t>
      </w:r>
      <w:r w:rsidR="000344A0">
        <w:rPr>
          <w:rFonts w:ascii="Times New Roman" w:hAnsi="Times New Roman" w:cs="Times New Roman"/>
          <w:sz w:val="24"/>
          <w:szCs w:val="24"/>
        </w:rPr>
        <w:t xml:space="preserve"> due to differences in price elasticity and stronger substitutability of the main EU exports. In terms of aggregate economic gain the CGE model estimated a +0.23% real income gain for Chile.</w:t>
      </w:r>
    </w:p>
    <w:p w:rsidR="009B2ECA" w:rsidRDefault="009B2ECA" w:rsidP="00301DBB">
      <w:pPr>
        <w:spacing w:after="0" w:line="240" w:lineRule="auto"/>
        <w:jc w:val="both"/>
        <w:rPr>
          <w:rFonts w:ascii="Times New Roman" w:hAnsi="Times New Roman" w:cs="Times New Roman"/>
          <w:sz w:val="24"/>
          <w:szCs w:val="24"/>
        </w:rPr>
      </w:pPr>
    </w:p>
    <w:p w:rsidR="009B2ECA" w:rsidRDefault="009B2ECA" w:rsidP="00301D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w:t>
      </w:r>
      <w:r w:rsidR="0011628D">
        <w:rPr>
          <w:rFonts w:ascii="Times New Roman" w:hAnsi="Times New Roman" w:cs="Times New Roman"/>
          <w:sz w:val="24"/>
          <w:szCs w:val="24"/>
        </w:rPr>
        <w:t>encountered</w:t>
      </w:r>
      <w:r>
        <w:rPr>
          <w:rFonts w:ascii="Times New Roman" w:hAnsi="Times New Roman" w:cs="Times New Roman"/>
          <w:sz w:val="24"/>
          <w:szCs w:val="24"/>
        </w:rPr>
        <w:t xml:space="preserve"> serious limitations </w:t>
      </w:r>
      <w:r w:rsidR="0011628D">
        <w:rPr>
          <w:rFonts w:ascii="Times New Roman" w:hAnsi="Times New Roman" w:cs="Times New Roman"/>
          <w:sz w:val="24"/>
          <w:szCs w:val="24"/>
        </w:rPr>
        <w:t xml:space="preserve">when attempting </w:t>
      </w:r>
      <w:r>
        <w:rPr>
          <w:rFonts w:ascii="Times New Roman" w:hAnsi="Times New Roman" w:cs="Times New Roman"/>
          <w:sz w:val="24"/>
          <w:szCs w:val="24"/>
        </w:rPr>
        <w:t xml:space="preserve">to analyse quantitatively the </w:t>
      </w:r>
      <w:r w:rsidR="00E37D80">
        <w:rPr>
          <w:rFonts w:ascii="Times New Roman" w:hAnsi="Times New Roman" w:cs="Times New Roman"/>
          <w:sz w:val="24"/>
          <w:szCs w:val="24"/>
        </w:rPr>
        <w:t xml:space="preserve">FTA </w:t>
      </w:r>
      <w:r>
        <w:rPr>
          <w:rFonts w:ascii="Times New Roman" w:hAnsi="Times New Roman" w:cs="Times New Roman"/>
          <w:sz w:val="24"/>
          <w:szCs w:val="24"/>
        </w:rPr>
        <w:t>impact on bilateral trade in services, which had increased steepl</w:t>
      </w:r>
      <w:r w:rsidR="0011628D">
        <w:rPr>
          <w:rFonts w:ascii="Times New Roman" w:hAnsi="Times New Roman" w:cs="Times New Roman"/>
          <w:sz w:val="24"/>
          <w:szCs w:val="24"/>
        </w:rPr>
        <w:t xml:space="preserve">y since the </w:t>
      </w:r>
      <w:r w:rsidR="00026DB4">
        <w:rPr>
          <w:rFonts w:ascii="Times New Roman" w:hAnsi="Times New Roman" w:cs="Times New Roman"/>
          <w:sz w:val="24"/>
          <w:szCs w:val="24"/>
        </w:rPr>
        <w:t xml:space="preserve">entry into force </w:t>
      </w:r>
      <w:r w:rsidR="0011628D">
        <w:rPr>
          <w:rFonts w:ascii="Times New Roman" w:hAnsi="Times New Roman" w:cs="Times New Roman"/>
          <w:sz w:val="24"/>
          <w:szCs w:val="24"/>
        </w:rPr>
        <w:t xml:space="preserve">of the </w:t>
      </w:r>
      <w:r w:rsidR="00E37D80">
        <w:rPr>
          <w:rFonts w:ascii="Times New Roman" w:hAnsi="Times New Roman" w:cs="Times New Roman"/>
          <w:sz w:val="24"/>
          <w:szCs w:val="24"/>
        </w:rPr>
        <w:t>A</w:t>
      </w:r>
      <w:r>
        <w:rPr>
          <w:rFonts w:ascii="Times New Roman" w:hAnsi="Times New Roman" w:cs="Times New Roman"/>
          <w:sz w:val="24"/>
          <w:szCs w:val="24"/>
        </w:rPr>
        <w:t xml:space="preserve">greement. </w:t>
      </w:r>
      <w:r w:rsidR="00E37D80">
        <w:rPr>
          <w:rFonts w:ascii="Times New Roman" w:hAnsi="Times New Roman" w:cs="Times New Roman"/>
          <w:sz w:val="24"/>
          <w:szCs w:val="24"/>
        </w:rPr>
        <w:t>C</w:t>
      </w:r>
      <w:r>
        <w:rPr>
          <w:rFonts w:ascii="Times New Roman" w:hAnsi="Times New Roman" w:cs="Times New Roman"/>
          <w:sz w:val="24"/>
          <w:szCs w:val="24"/>
        </w:rPr>
        <w:t>ompar</w:t>
      </w:r>
      <w:r w:rsidR="00F96C51">
        <w:rPr>
          <w:rFonts w:ascii="Times New Roman" w:hAnsi="Times New Roman" w:cs="Times New Roman"/>
          <w:sz w:val="24"/>
          <w:szCs w:val="24"/>
        </w:rPr>
        <w:t>ing</w:t>
      </w:r>
      <w:r>
        <w:rPr>
          <w:rFonts w:ascii="Times New Roman" w:hAnsi="Times New Roman" w:cs="Times New Roman"/>
          <w:sz w:val="24"/>
          <w:szCs w:val="24"/>
        </w:rPr>
        <w:t xml:space="preserve"> the FTA provisions with the level of commitment of the Parties under GATS</w:t>
      </w:r>
      <w:r w:rsidR="002135C2">
        <w:rPr>
          <w:rFonts w:ascii="Times New Roman" w:hAnsi="Times New Roman" w:cs="Times New Roman"/>
          <w:sz w:val="24"/>
          <w:szCs w:val="24"/>
        </w:rPr>
        <w:t xml:space="preserve">, </w:t>
      </w:r>
      <w:r w:rsidR="00F96C51">
        <w:rPr>
          <w:rFonts w:ascii="Times New Roman" w:hAnsi="Times New Roman" w:cs="Times New Roman"/>
          <w:sz w:val="24"/>
          <w:szCs w:val="24"/>
        </w:rPr>
        <w:t xml:space="preserve">it </w:t>
      </w:r>
      <w:r w:rsidR="002135C2">
        <w:rPr>
          <w:rFonts w:ascii="Times New Roman" w:hAnsi="Times New Roman" w:cs="Times New Roman"/>
          <w:sz w:val="24"/>
          <w:szCs w:val="24"/>
        </w:rPr>
        <w:t>conclud</w:t>
      </w:r>
      <w:r w:rsidR="00F96C51">
        <w:rPr>
          <w:rFonts w:ascii="Times New Roman" w:hAnsi="Times New Roman" w:cs="Times New Roman"/>
          <w:sz w:val="24"/>
          <w:szCs w:val="24"/>
        </w:rPr>
        <w:t>ed</w:t>
      </w:r>
      <w:r w:rsidR="002135C2">
        <w:rPr>
          <w:rFonts w:ascii="Times New Roman" w:hAnsi="Times New Roman" w:cs="Times New Roman"/>
          <w:sz w:val="24"/>
          <w:szCs w:val="24"/>
        </w:rPr>
        <w:t xml:space="preserve"> that EU services exports </w:t>
      </w:r>
      <w:r w:rsidR="00F96C51">
        <w:rPr>
          <w:rFonts w:ascii="Times New Roman" w:hAnsi="Times New Roman" w:cs="Times New Roman"/>
          <w:sz w:val="24"/>
          <w:szCs w:val="24"/>
        </w:rPr>
        <w:t xml:space="preserve">had </w:t>
      </w:r>
      <w:r w:rsidR="002135C2">
        <w:rPr>
          <w:rFonts w:ascii="Times New Roman" w:hAnsi="Times New Roman" w:cs="Times New Roman"/>
          <w:sz w:val="24"/>
          <w:szCs w:val="24"/>
        </w:rPr>
        <w:t>increase</w:t>
      </w:r>
      <w:r w:rsidR="00F96C51">
        <w:rPr>
          <w:rFonts w:ascii="Times New Roman" w:hAnsi="Times New Roman" w:cs="Times New Roman"/>
          <w:sz w:val="24"/>
          <w:szCs w:val="24"/>
        </w:rPr>
        <w:t>d</w:t>
      </w:r>
      <w:r w:rsidR="002135C2">
        <w:rPr>
          <w:rFonts w:ascii="Times New Roman" w:hAnsi="Times New Roman" w:cs="Times New Roman"/>
          <w:sz w:val="24"/>
          <w:szCs w:val="24"/>
        </w:rPr>
        <w:t xml:space="preserve"> more after the FTA entry into force in those sectors where commitments </w:t>
      </w:r>
      <w:r w:rsidR="00F96C51">
        <w:rPr>
          <w:rFonts w:ascii="Times New Roman" w:hAnsi="Times New Roman" w:cs="Times New Roman"/>
          <w:sz w:val="24"/>
          <w:szCs w:val="24"/>
        </w:rPr>
        <w:t xml:space="preserve">had </w:t>
      </w:r>
      <w:r w:rsidR="002135C2">
        <w:rPr>
          <w:rFonts w:ascii="Times New Roman" w:hAnsi="Times New Roman" w:cs="Times New Roman"/>
          <w:sz w:val="24"/>
          <w:szCs w:val="24"/>
        </w:rPr>
        <w:t xml:space="preserve">brought a higher degree of (consolidated) liberalisation. Chile's services exports to the EU </w:t>
      </w:r>
      <w:r w:rsidR="00F96C51">
        <w:rPr>
          <w:rFonts w:ascii="Times New Roman" w:hAnsi="Times New Roman" w:cs="Times New Roman"/>
          <w:sz w:val="24"/>
          <w:szCs w:val="24"/>
        </w:rPr>
        <w:t xml:space="preserve">had </w:t>
      </w:r>
      <w:r w:rsidR="002135C2">
        <w:rPr>
          <w:rFonts w:ascii="Times New Roman" w:hAnsi="Times New Roman" w:cs="Times New Roman"/>
          <w:sz w:val="24"/>
          <w:szCs w:val="24"/>
        </w:rPr>
        <w:t xml:space="preserve">performed relatively well in several sectors where FTA commitments </w:t>
      </w:r>
      <w:r w:rsidR="00F96C51">
        <w:rPr>
          <w:rFonts w:ascii="Times New Roman" w:hAnsi="Times New Roman" w:cs="Times New Roman"/>
          <w:sz w:val="24"/>
          <w:szCs w:val="24"/>
        </w:rPr>
        <w:t xml:space="preserve">had </w:t>
      </w:r>
      <w:r w:rsidR="002135C2">
        <w:rPr>
          <w:rFonts w:ascii="Times New Roman" w:hAnsi="Times New Roman" w:cs="Times New Roman"/>
          <w:sz w:val="24"/>
          <w:szCs w:val="24"/>
        </w:rPr>
        <w:t>significantly improved those made in GATS.</w:t>
      </w:r>
    </w:p>
    <w:p w:rsidR="002135C2" w:rsidRDefault="002135C2" w:rsidP="00301DBB">
      <w:pPr>
        <w:spacing w:after="0" w:line="240" w:lineRule="auto"/>
        <w:jc w:val="both"/>
        <w:rPr>
          <w:rFonts w:ascii="Times New Roman" w:hAnsi="Times New Roman" w:cs="Times New Roman"/>
          <w:sz w:val="24"/>
          <w:szCs w:val="24"/>
        </w:rPr>
      </w:pPr>
    </w:p>
    <w:p w:rsidR="002135C2" w:rsidRDefault="00962EF4" w:rsidP="00213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Overall, t</w:t>
      </w:r>
      <w:r w:rsidR="002135C2" w:rsidRPr="00EC6AE0">
        <w:rPr>
          <w:rFonts w:ascii="Times New Roman" w:hAnsi="Times New Roman" w:cs="Times New Roman"/>
          <w:sz w:val="24"/>
          <w:szCs w:val="24"/>
        </w:rPr>
        <w:t xml:space="preserve">he </w:t>
      </w:r>
      <w:r>
        <w:rPr>
          <w:rFonts w:ascii="Times New Roman" w:hAnsi="Times New Roman" w:cs="Times New Roman"/>
          <w:sz w:val="24"/>
          <w:szCs w:val="24"/>
        </w:rPr>
        <w:t xml:space="preserve">study </w:t>
      </w:r>
      <w:r w:rsidR="002135C2">
        <w:rPr>
          <w:rFonts w:ascii="Times New Roman" w:hAnsi="Times New Roman" w:cs="Times New Roman"/>
          <w:sz w:val="24"/>
          <w:szCs w:val="24"/>
        </w:rPr>
        <w:t xml:space="preserve">concluded that the impact of the </w:t>
      </w:r>
      <w:r w:rsidR="00026DB4">
        <w:rPr>
          <w:rFonts w:ascii="Times New Roman" w:hAnsi="Times New Roman" w:cs="Times New Roman"/>
          <w:sz w:val="24"/>
          <w:szCs w:val="24"/>
        </w:rPr>
        <w:t>A</w:t>
      </w:r>
      <w:r w:rsidR="002135C2">
        <w:rPr>
          <w:rFonts w:ascii="Times New Roman" w:hAnsi="Times New Roman" w:cs="Times New Roman"/>
          <w:sz w:val="24"/>
          <w:szCs w:val="24"/>
        </w:rPr>
        <w:t xml:space="preserve">greement on the use of natural resources and </w:t>
      </w:r>
      <w:r w:rsidR="0011628D">
        <w:rPr>
          <w:rFonts w:ascii="Times New Roman" w:hAnsi="Times New Roman" w:cs="Times New Roman"/>
          <w:sz w:val="24"/>
          <w:szCs w:val="24"/>
        </w:rPr>
        <w:t xml:space="preserve">on </w:t>
      </w:r>
      <w:r w:rsidR="002135C2">
        <w:rPr>
          <w:rFonts w:ascii="Times New Roman" w:hAnsi="Times New Roman" w:cs="Times New Roman"/>
          <w:sz w:val="24"/>
          <w:szCs w:val="24"/>
        </w:rPr>
        <w:t>environment</w:t>
      </w:r>
      <w:r w:rsidR="0011628D">
        <w:rPr>
          <w:rFonts w:ascii="Times New Roman" w:hAnsi="Times New Roman" w:cs="Times New Roman"/>
          <w:sz w:val="24"/>
          <w:szCs w:val="24"/>
        </w:rPr>
        <w:t>al degradation</w:t>
      </w:r>
      <w:r w:rsidR="002135C2">
        <w:rPr>
          <w:rFonts w:ascii="Times New Roman" w:hAnsi="Times New Roman" w:cs="Times New Roman"/>
          <w:sz w:val="24"/>
          <w:szCs w:val="24"/>
        </w:rPr>
        <w:t xml:space="preserve"> had been marginal. However, the increased use of fertili</w:t>
      </w:r>
      <w:r w:rsidR="00700FD3">
        <w:rPr>
          <w:rFonts w:ascii="Times New Roman" w:hAnsi="Times New Roman" w:cs="Times New Roman"/>
          <w:sz w:val="24"/>
          <w:szCs w:val="24"/>
        </w:rPr>
        <w:t>s</w:t>
      </w:r>
      <w:r w:rsidR="002135C2">
        <w:rPr>
          <w:rFonts w:ascii="Times New Roman" w:hAnsi="Times New Roman" w:cs="Times New Roman"/>
          <w:sz w:val="24"/>
          <w:szCs w:val="24"/>
        </w:rPr>
        <w:t xml:space="preserve">ers for fruits, vegetables and wine exports </w:t>
      </w:r>
      <w:r w:rsidR="00F96C51">
        <w:rPr>
          <w:rFonts w:ascii="Times New Roman" w:hAnsi="Times New Roman" w:cs="Times New Roman"/>
          <w:sz w:val="24"/>
          <w:szCs w:val="24"/>
        </w:rPr>
        <w:t>had been</w:t>
      </w:r>
      <w:r w:rsidR="002135C2">
        <w:rPr>
          <w:rFonts w:ascii="Times New Roman" w:hAnsi="Times New Roman" w:cs="Times New Roman"/>
          <w:sz w:val="24"/>
          <w:szCs w:val="24"/>
        </w:rPr>
        <w:t xml:space="preserve"> significant and this, together with increased exports of salmon, molluscs and wood products, might have contributed, in a limited way, to different forms of air and water pollution. </w:t>
      </w:r>
    </w:p>
    <w:p w:rsidR="002135C2" w:rsidRDefault="002135C2" w:rsidP="002135C2">
      <w:pPr>
        <w:spacing w:after="0" w:line="240" w:lineRule="auto"/>
        <w:jc w:val="both"/>
        <w:rPr>
          <w:rFonts w:ascii="Times New Roman" w:hAnsi="Times New Roman" w:cs="Times New Roman"/>
          <w:sz w:val="24"/>
          <w:szCs w:val="24"/>
        </w:rPr>
      </w:pPr>
    </w:p>
    <w:p w:rsidR="002135C2" w:rsidRDefault="00962EF4" w:rsidP="00213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Finally, t</w:t>
      </w:r>
      <w:r w:rsidR="002135C2">
        <w:rPr>
          <w:rFonts w:ascii="Times New Roman" w:hAnsi="Times New Roman" w:cs="Times New Roman"/>
          <w:sz w:val="24"/>
          <w:szCs w:val="24"/>
        </w:rPr>
        <w:t xml:space="preserve">he study </w:t>
      </w:r>
      <w:r>
        <w:rPr>
          <w:rFonts w:ascii="Times New Roman" w:hAnsi="Times New Roman" w:cs="Times New Roman"/>
          <w:sz w:val="24"/>
          <w:szCs w:val="24"/>
        </w:rPr>
        <w:t xml:space="preserve">estimated </w:t>
      </w:r>
      <w:r w:rsidR="002135C2">
        <w:rPr>
          <w:rFonts w:ascii="Times New Roman" w:hAnsi="Times New Roman" w:cs="Times New Roman"/>
          <w:sz w:val="24"/>
          <w:szCs w:val="24"/>
        </w:rPr>
        <w:t>the social impact of the EU-Chile FTA on Chile. The CGE analysis concluded that reallocation between sectors (largely in favour of fruits and wine sectors) for low and medium skills w</w:t>
      </w:r>
      <w:r w:rsidR="0011628D">
        <w:rPr>
          <w:rFonts w:ascii="Times New Roman" w:hAnsi="Times New Roman" w:cs="Times New Roman"/>
          <w:sz w:val="24"/>
          <w:szCs w:val="24"/>
        </w:rPr>
        <w:t>as</w:t>
      </w:r>
      <w:r w:rsidR="002135C2">
        <w:rPr>
          <w:rFonts w:ascii="Times New Roman" w:hAnsi="Times New Roman" w:cs="Times New Roman"/>
          <w:sz w:val="24"/>
          <w:szCs w:val="24"/>
        </w:rPr>
        <w:t xml:space="preserve"> small.  In the agriculture sector, although small farm households might </w:t>
      </w:r>
      <w:r w:rsidR="008A0307">
        <w:rPr>
          <w:rFonts w:ascii="Times New Roman" w:hAnsi="Times New Roman" w:cs="Times New Roman"/>
          <w:sz w:val="24"/>
          <w:szCs w:val="24"/>
        </w:rPr>
        <w:t xml:space="preserve">have </w:t>
      </w:r>
      <w:r w:rsidR="002135C2">
        <w:rPr>
          <w:rFonts w:ascii="Times New Roman" w:hAnsi="Times New Roman" w:cs="Times New Roman"/>
          <w:sz w:val="24"/>
          <w:szCs w:val="24"/>
        </w:rPr>
        <w:t>los</w:t>
      </w:r>
      <w:r w:rsidR="008A0307">
        <w:rPr>
          <w:rFonts w:ascii="Times New Roman" w:hAnsi="Times New Roman" w:cs="Times New Roman"/>
          <w:sz w:val="24"/>
          <w:szCs w:val="24"/>
        </w:rPr>
        <w:t>t</w:t>
      </w:r>
      <w:r w:rsidR="002135C2">
        <w:rPr>
          <w:rFonts w:ascii="Times New Roman" w:hAnsi="Times New Roman" w:cs="Times New Roman"/>
          <w:sz w:val="24"/>
          <w:szCs w:val="24"/>
        </w:rPr>
        <w:t xml:space="preserve"> </w:t>
      </w:r>
      <w:r w:rsidR="0011628D">
        <w:rPr>
          <w:rFonts w:ascii="Times New Roman" w:hAnsi="Times New Roman" w:cs="Times New Roman"/>
          <w:sz w:val="24"/>
          <w:szCs w:val="24"/>
        </w:rPr>
        <w:t xml:space="preserve">out </w:t>
      </w:r>
      <w:r w:rsidR="002135C2">
        <w:rPr>
          <w:rFonts w:ascii="Times New Roman" w:hAnsi="Times New Roman" w:cs="Times New Roman"/>
          <w:sz w:val="24"/>
          <w:szCs w:val="24"/>
        </w:rPr>
        <w:t xml:space="preserve">relative to </w:t>
      </w:r>
      <w:r w:rsidR="0011628D">
        <w:rPr>
          <w:rFonts w:ascii="Times New Roman" w:hAnsi="Times New Roman" w:cs="Times New Roman"/>
          <w:sz w:val="24"/>
          <w:szCs w:val="24"/>
        </w:rPr>
        <w:t>larger-scale</w:t>
      </w:r>
      <w:r w:rsidR="002135C2">
        <w:rPr>
          <w:rFonts w:ascii="Times New Roman" w:hAnsi="Times New Roman" w:cs="Times New Roman"/>
          <w:sz w:val="24"/>
          <w:szCs w:val="24"/>
        </w:rPr>
        <w:t xml:space="preserve"> farm</w:t>
      </w:r>
      <w:r w:rsidR="0011628D">
        <w:rPr>
          <w:rFonts w:ascii="Times New Roman" w:hAnsi="Times New Roman" w:cs="Times New Roman"/>
          <w:sz w:val="24"/>
          <w:szCs w:val="24"/>
        </w:rPr>
        <w:t>ing enterprises</w:t>
      </w:r>
      <w:r w:rsidR="002135C2">
        <w:rPr>
          <w:rFonts w:ascii="Times New Roman" w:hAnsi="Times New Roman" w:cs="Times New Roman"/>
          <w:sz w:val="24"/>
          <w:szCs w:val="24"/>
        </w:rPr>
        <w:t xml:space="preserve"> (increasing intra-sectoral inequality), globally they </w:t>
      </w:r>
      <w:r w:rsidR="008A0307">
        <w:rPr>
          <w:rFonts w:ascii="Times New Roman" w:hAnsi="Times New Roman" w:cs="Times New Roman"/>
          <w:sz w:val="24"/>
          <w:szCs w:val="24"/>
        </w:rPr>
        <w:t xml:space="preserve">had </w:t>
      </w:r>
      <w:r w:rsidR="002135C2">
        <w:rPr>
          <w:rFonts w:ascii="Times New Roman" w:hAnsi="Times New Roman" w:cs="Times New Roman"/>
          <w:sz w:val="24"/>
          <w:szCs w:val="24"/>
        </w:rPr>
        <w:t>benefi</w:t>
      </w:r>
      <w:r>
        <w:rPr>
          <w:rFonts w:ascii="Times New Roman" w:hAnsi="Times New Roman" w:cs="Times New Roman"/>
          <w:sz w:val="24"/>
          <w:szCs w:val="24"/>
        </w:rPr>
        <w:t>ted</w:t>
      </w:r>
      <w:r w:rsidR="002135C2">
        <w:rPr>
          <w:rFonts w:ascii="Times New Roman" w:hAnsi="Times New Roman" w:cs="Times New Roman"/>
          <w:sz w:val="24"/>
          <w:szCs w:val="24"/>
        </w:rPr>
        <w:t xml:space="preserve"> from the increase in overall agricultural income and </w:t>
      </w:r>
      <w:r w:rsidR="0011628D">
        <w:rPr>
          <w:rFonts w:ascii="Times New Roman" w:hAnsi="Times New Roman" w:cs="Times New Roman"/>
          <w:sz w:val="24"/>
          <w:szCs w:val="24"/>
        </w:rPr>
        <w:t xml:space="preserve">from </w:t>
      </w:r>
      <w:r>
        <w:rPr>
          <w:rFonts w:ascii="Times New Roman" w:hAnsi="Times New Roman" w:cs="Times New Roman"/>
          <w:sz w:val="24"/>
          <w:szCs w:val="24"/>
        </w:rPr>
        <w:t xml:space="preserve">the </w:t>
      </w:r>
      <w:r w:rsidR="0011628D">
        <w:rPr>
          <w:rFonts w:ascii="Times New Roman" w:hAnsi="Times New Roman" w:cs="Times New Roman"/>
          <w:sz w:val="24"/>
          <w:szCs w:val="24"/>
        </w:rPr>
        <w:t>reduced</w:t>
      </w:r>
      <w:r w:rsidR="002135C2">
        <w:rPr>
          <w:rFonts w:ascii="Times New Roman" w:hAnsi="Times New Roman" w:cs="Times New Roman"/>
          <w:sz w:val="24"/>
          <w:szCs w:val="24"/>
        </w:rPr>
        <w:t xml:space="preserve"> inequality </w:t>
      </w:r>
      <w:r w:rsidR="00700FD3">
        <w:rPr>
          <w:rFonts w:ascii="Times New Roman" w:hAnsi="Times New Roman" w:cs="Times New Roman"/>
          <w:sz w:val="24"/>
          <w:szCs w:val="24"/>
        </w:rPr>
        <w:t xml:space="preserve">in terms of market access </w:t>
      </w:r>
      <w:r w:rsidR="002135C2">
        <w:rPr>
          <w:rFonts w:ascii="Times New Roman" w:hAnsi="Times New Roman" w:cs="Times New Roman"/>
          <w:sz w:val="24"/>
          <w:szCs w:val="24"/>
        </w:rPr>
        <w:t>between agriculture and other sectors</w:t>
      </w:r>
      <w:r w:rsidR="0011628D">
        <w:rPr>
          <w:rFonts w:ascii="Times New Roman" w:hAnsi="Times New Roman" w:cs="Times New Roman"/>
          <w:sz w:val="24"/>
          <w:szCs w:val="24"/>
        </w:rPr>
        <w:t>, which had been</w:t>
      </w:r>
      <w:r>
        <w:rPr>
          <w:rFonts w:ascii="Times New Roman" w:hAnsi="Times New Roman" w:cs="Times New Roman"/>
          <w:sz w:val="24"/>
          <w:szCs w:val="24"/>
        </w:rPr>
        <w:t xml:space="preserve"> brought about by the EU-Chile FTA</w:t>
      </w:r>
      <w:r w:rsidR="002135C2">
        <w:rPr>
          <w:rFonts w:ascii="Times New Roman" w:hAnsi="Times New Roman" w:cs="Times New Roman"/>
          <w:sz w:val="24"/>
          <w:szCs w:val="24"/>
        </w:rPr>
        <w:t xml:space="preserve">. </w:t>
      </w:r>
    </w:p>
    <w:p w:rsidR="00194090" w:rsidRDefault="00194090" w:rsidP="005A61D3">
      <w:pPr>
        <w:spacing w:after="0" w:line="240" w:lineRule="auto"/>
        <w:jc w:val="both"/>
        <w:rPr>
          <w:rFonts w:ascii="Times New Roman" w:hAnsi="Times New Roman" w:cs="Times New Roman"/>
          <w:sz w:val="24"/>
          <w:szCs w:val="24"/>
        </w:rPr>
      </w:pPr>
    </w:p>
    <w:p w:rsidR="004353ED" w:rsidRDefault="004353ED">
      <w:pPr>
        <w:rPr>
          <w:rFonts w:ascii="Times New Roman" w:eastAsiaTheme="majorEastAsia" w:hAnsi="Times New Roman" w:cs="Times New Roman"/>
          <w:b/>
          <w:sz w:val="24"/>
          <w:szCs w:val="24"/>
          <w:u w:val="single"/>
        </w:rPr>
      </w:pPr>
      <w:bookmarkStart w:id="11" w:name="_Toc442284042"/>
    </w:p>
    <w:p w:rsidR="00BF189B" w:rsidRPr="007C3EF7" w:rsidRDefault="00CA094E" w:rsidP="002A28DD">
      <w:pPr>
        <w:pStyle w:val="Heading1"/>
        <w:numPr>
          <w:ilvl w:val="0"/>
          <w:numId w:val="11"/>
        </w:numPr>
      </w:pPr>
      <w:bookmarkStart w:id="12" w:name="_Toc473123070"/>
      <w:r w:rsidRPr="007C3EF7">
        <w:t>WHY SHOULD THE EU ACT?</w:t>
      </w:r>
      <w:bookmarkEnd w:id="11"/>
      <w:bookmarkEnd w:id="12"/>
    </w:p>
    <w:p w:rsidR="00F54B56" w:rsidRDefault="00F54B56" w:rsidP="00301DBB">
      <w:pPr>
        <w:spacing w:after="0" w:line="240" w:lineRule="auto"/>
        <w:jc w:val="both"/>
        <w:rPr>
          <w:rFonts w:ascii="Times New Roman" w:hAnsi="Times New Roman" w:cs="Times New Roman"/>
          <w:bCs/>
          <w:sz w:val="24"/>
          <w:szCs w:val="24"/>
        </w:rPr>
      </w:pPr>
    </w:p>
    <w:p w:rsidR="007772B2" w:rsidRDefault="007235C4" w:rsidP="005F33FE">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t xml:space="preserve">The main objective of policy intervention </w:t>
      </w:r>
      <w:r w:rsidR="000B034E">
        <w:rPr>
          <w:rFonts w:ascii="Times New Roman" w:hAnsi="Times New Roman" w:cs="Times New Roman"/>
          <w:bCs/>
          <w:sz w:val="24"/>
          <w:szCs w:val="24"/>
        </w:rPr>
        <w:t xml:space="preserve">in this case </w:t>
      </w:r>
      <w:r w:rsidR="00CC7F91">
        <w:rPr>
          <w:rFonts w:ascii="Times New Roman" w:hAnsi="Times New Roman" w:cs="Times New Roman"/>
          <w:bCs/>
          <w:sz w:val="24"/>
          <w:szCs w:val="24"/>
        </w:rPr>
        <w:t>is</w:t>
      </w:r>
      <w:r w:rsidR="00451FEF">
        <w:rPr>
          <w:rFonts w:ascii="Times New Roman" w:hAnsi="Times New Roman" w:cs="Times New Roman"/>
          <w:bCs/>
          <w:sz w:val="24"/>
          <w:szCs w:val="24"/>
        </w:rPr>
        <w:t xml:space="preserve"> two-fold. Fir</w:t>
      </w:r>
      <w:r w:rsidR="008C5A86">
        <w:rPr>
          <w:rFonts w:ascii="Times New Roman" w:hAnsi="Times New Roman" w:cs="Times New Roman"/>
          <w:bCs/>
          <w:sz w:val="24"/>
          <w:szCs w:val="24"/>
        </w:rPr>
        <w:t>st</w:t>
      </w:r>
      <w:r w:rsidR="00451FEF">
        <w:rPr>
          <w:rFonts w:ascii="Times New Roman" w:hAnsi="Times New Roman" w:cs="Times New Roman"/>
          <w:bCs/>
          <w:sz w:val="24"/>
          <w:szCs w:val="24"/>
        </w:rPr>
        <w:t>,</w:t>
      </w:r>
      <w:r w:rsidRPr="007235C4">
        <w:rPr>
          <w:rFonts w:ascii="Times New Roman" w:hAnsi="Times New Roman" w:cs="Times New Roman"/>
          <w:bCs/>
          <w:sz w:val="24"/>
          <w:szCs w:val="24"/>
        </w:rPr>
        <w:t xml:space="preserve"> </w:t>
      </w:r>
      <w:r w:rsidR="00922C57">
        <w:rPr>
          <w:rFonts w:ascii="Times New Roman" w:hAnsi="Times New Roman" w:cs="Times New Roman"/>
          <w:bCs/>
          <w:sz w:val="24"/>
          <w:szCs w:val="24"/>
        </w:rPr>
        <w:t xml:space="preserve">the initiative aims </w:t>
      </w:r>
      <w:r w:rsidRPr="007235C4">
        <w:rPr>
          <w:rFonts w:ascii="Times New Roman" w:hAnsi="Times New Roman" w:cs="Times New Roman"/>
          <w:bCs/>
          <w:sz w:val="24"/>
          <w:szCs w:val="24"/>
        </w:rPr>
        <w:t xml:space="preserve">to create more favourable conditions for </w:t>
      </w:r>
      <w:r>
        <w:rPr>
          <w:rFonts w:ascii="Times New Roman" w:hAnsi="Times New Roman" w:cs="Times New Roman"/>
          <w:bCs/>
          <w:sz w:val="24"/>
          <w:szCs w:val="24"/>
        </w:rPr>
        <w:t xml:space="preserve">further increasing </w:t>
      </w:r>
      <w:r w:rsidRPr="007235C4">
        <w:rPr>
          <w:rFonts w:ascii="Times New Roman" w:hAnsi="Times New Roman" w:cs="Times New Roman"/>
          <w:bCs/>
          <w:sz w:val="24"/>
          <w:szCs w:val="24"/>
        </w:rPr>
        <w:t>trade and inv</w:t>
      </w:r>
      <w:r>
        <w:rPr>
          <w:rFonts w:ascii="Times New Roman" w:hAnsi="Times New Roman" w:cs="Times New Roman"/>
          <w:bCs/>
          <w:sz w:val="24"/>
          <w:szCs w:val="24"/>
        </w:rPr>
        <w:t xml:space="preserve">estment between the EU and </w:t>
      </w:r>
      <w:r w:rsidR="0045507E">
        <w:rPr>
          <w:rFonts w:ascii="Times New Roman" w:hAnsi="Times New Roman" w:cs="Times New Roman"/>
          <w:bCs/>
          <w:sz w:val="24"/>
          <w:szCs w:val="24"/>
        </w:rPr>
        <w:t>Chile</w:t>
      </w:r>
      <w:r w:rsidR="008C5A86">
        <w:rPr>
          <w:rFonts w:ascii="Times New Roman" w:hAnsi="Times New Roman" w:cs="Times New Roman"/>
          <w:bCs/>
          <w:sz w:val="24"/>
          <w:szCs w:val="24"/>
        </w:rPr>
        <w:t xml:space="preserve"> by addressing shortcomings in the existing FTA</w:t>
      </w:r>
      <w:r w:rsidR="004A1571">
        <w:rPr>
          <w:rFonts w:ascii="Times New Roman" w:hAnsi="Times New Roman" w:cs="Times New Roman"/>
          <w:bCs/>
          <w:sz w:val="24"/>
          <w:szCs w:val="24"/>
        </w:rPr>
        <w:t>.</w:t>
      </w:r>
      <w:r w:rsidR="008C5A86">
        <w:rPr>
          <w:rFonts w:ascii="Times New Roman" w:hAnsi="Times New Roman" w:cs="Times New Roman"/>
          <w:bCs/>
          <w:sz w:val="24"/>
          <w:szCs w:val="24"/>
        </w:rPr>
        <w:t xml:space="preserve"> </w:t>
      </w:r>
      <w:r w:rsidR="004A1571">
        <w:rPr>
          <w:rFonts w:ascii="Times New Roman" w:hAnsi="Times New Roman" w:cs="Times New Roman"/>
          <w:bCs/>
          <w:sz w:val="24"/>
          <w:szCs w:val="24"/>
        </w:rPr>
        <w:t>S</w:t>
      </w:r>
      <w:r w:rsidR="008C5A86">
        <w:rPr>
          <w:rFonts w:ascii="Times New Roman" w:hAnsi="Times New Roman" w:cs="Times New Roman"/>
          <w:bCs/>
          <w:sz w:val="24"/>
          <w:szCs w:val="24"/>
        </w:rPr>
        <w:t xml:space="preserve">econdly, </w:t>
      </w:r>
      <w:r w:rsidR="004A1571">
        <w:rPr>
          <w:rFonts w:ascii="Times New Roman" w:hAnsi="Times New Roman" w:cs="Times New Roman"/>
          <w:bCs/>
          <w:sz w:val="24"/>
          <w:szCs w:val="24"/>
        </w:rPr>
        <w:t xml:space="preserve">the initiative aims </w:t>
      </w:r>
      <w:r w:rsidR="008C5A86">
        <w:rPr>
          <w:rFonts w:ascii="Times New Roman" w:hAnsi="Times New Roman" w:cs="Times New Roman"/>
          <w:bCs/>
          <w:sz w:val="24"/>
          <w:szCs w:val="24"/>
        </w:rPr>
        <w:t xml:space="preserve">to </w:t>
      </w:r>
      <w:r w:rsidR="00451FEF">
        <w:rPr>
          <w:rFonts w:ascii="Times New Roman" w:hAnsi="Times New Roman" w:cs="Times New Roman"/>
          <w:bCs/>
          <w:sz w:val="24"/>
          <w:szCs w:val="24"/>
        </w:rPr>
        <w:t>expand the coverage of the Agreement to take account of the new economic realities and to enhance the contribution of trade policy to other policy objectives including sustainable development and the particular needs of SMEs.</w:t>
      </w:r>
    </w:p>
    <w:p w:rsidR="007772B2" w:rsidRDefault="007772B2" w:rsidP="005F33FE">
      <w:pPr>
        <w:spacing w:after="0" w:line="240" w:lineRule="auto"/>
        <w:jc w:val="both"/>
        <w:rPr>
          <w:rFonts w:ascii="Times New Roman" w:hAnsi="Times New Roman" w:cs="Times New Roman"/>
          <w:bCs/>
          <w:sz w:val="24"/>
          <w:szCs w:val="24"/>
        </w:rPr>
      </w:pPr>
    </w:p>
    <w:p w:rsidR="005F33FE" w:rsidRDefault="00812519" w:rsidP="005F33F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This objective is in line with t</w:t>
      </w:r>
      <w:r w:rsidR="005F33FE">
        <w:rPr>
          <w:rFonts w:ascii="Times New Roman" w:hAnsi="Times New Roman" w:cs="Times New Roman"/>
          <w:bCs/>
          <w:sz w:val="24"/>
          <w:szCs w:val="24"/>
        </w:rPr>
        <w:t>he Foreign Affairs Council conclusions on trade of 21 November 2014</w:t>
      </w:r>
      <w:r w:rsidR="005F33FE">
        <w:rPr>
          <w:rStyle w:val="FootnoteReference"/>
          <w:rFonts w:ascii="Times New Roman" w:hAnsi="Times New Roman" w:cs="Times New Roman"/>
          <w:bCs/>
          <w:sz w:val="24"/>
          <w:szCs w:val="24"/>
        </w:rPr>
        <w:footnoteReference w:id="13"/>
      </w:r>
      <w:r w:rsidR="005F33FE">
        <w:rPr>
          <w:rFonts w:ascii="Times New Roman" w:hAnsi="Times New Roman" w:cs="Times New Roman"/>
          <w:bCs/>
          <w:sz w:val="24"/>
          <w:szCs w:val="24"/>
        </w:rPr>
        <w:t xml:space="preserve"> </w:t>
      </w:r>
      <w:r w:rsidR="001C4B8C">
        <w:rPr>
          <w:rFonts w:ascii="Times New Roman" w:hAnsi="Times New Roman" w:cs="Times New Roman"/>
          <w:bCs/>
          <w:sz w:val="24"/>
          <w:szCs w:val="24"/>
        </w:rPr>
        <w:t xml:space="preserve">which </w:t>
      </w:r>
      <w:r w:rsidR="005F33FE">
        <w:rPr>
          <w:rFonts w:ascii="Times New Roman" w:hAnsi="Times New Roman" w:cs="Times New Roman"/>
          <w:bCs/>
          <w:sz w:val="24"/>
          <w:szCs w:val="24"/>
        </w:rPr>
        <w:t xml:space="preserve">underlined that </w:t>
      </w:r>
      <w:r w:rsidR="005F33FE" w:rsidRPr="00750649">
        <w:rPr>
          <w:rFonts w:ascii="Times New Roman" w:hAnsi="Times New Roman" w:cs="Times New Roman"/>
          <w:bCs/>
          <w:i/>
          <w:sz w:val="24"/>
          <w:szCs w:val="24"/>
        </w:rPr>
        <w:t>trade in goods,</w:t>
      </w:r>
      <w:r w:rsidR="005F33FE">
        <w:rPr>
          <w:rFonts w:ascii="Times New Roman" w:hAnsi="Times New Roman" w:cs="Times New Roman"/>
          <w:bCs/>
          <w:i/>
          <w:sz w:val="24"/>
          <w:szCs w:val="24"/>
        </w:rPr>
        <w:t xml:space="preserve"> </w:t>
      </w:r>
      <w:r w:rsidR="005F33FE" w:rsidRPr="00750649">
        <w:rPr>
          <w:rFonts w:ascii="Times New Roman" w:hAnsi="Times New Roman" w:cs="Times New Roman"/>
          <w:bCs/>
          <w:i/>
          <w:sz w:val="24"/>
          <w:szCs w:val="24"/>
        </w:rPr>
        <w:t>services and investment can make a significant contribution to achieve the aims at the core of</w:t>
      </w:r>
      <w:r w:rsidR="005F33FE">
        <w:rPr>
          <w:rFonts w:ascii="Times New Roman" w:hAnsi="Times New Roman" w:cs="Times New Roman"/>
          <w:bCs/>
          <w:i/>
          <w:sz w:val="24"/>
          <w:szCs w:val="24"/>
        </w:rPr>
        <w:t xml:space="preserve"> </w:t>
      </w:r>
      <w:r w:rsidR="005F33FE" w:rsidRPr="00750649">
        <w:rPr>
          <w:rFonts w:ascii="Times New Roman" w:hAnsi="Times New Roman" w:cs="Times New Roman"/>
          <w:bCs/>
          <w:i/>
          <w:sz w:val="24"/>
          <w:szCs w:val="24"/>
        </w:rPr>
        <w:t xml:space="preserve">the </w:t>
      </w:r>
      <w:r w:rsidR="005F33FE">
        <w:rPr>
          <w:rFonts w:ascii="Times New Roman" w:hAnsi="Times New Roman" w:cs="Times New Roman"/>
          <w:bCs/>
          <w:i/>
          <w:sz w:val="24"/>
          <w:szCs w:val="24"/>
        </w:rPr>
        <w:t>‘</w:t>
      </w:r>
      <w:r w:rsidR="005F33FE" w:rsidRPr="003A7A41">
        <w:rPr>
          <w:rFonts w:ascii="Times New Roman" w:hAnsi="Times New Roman" w:cs="Times New Roman"/>
          <w:bCs/>
          <w:i/>
          <w:sz w:val="24"/>
          <w:szCs w:val="24"/>
        </w:rPr>
        <w:t>Strategic Agenda for the Union in times of change</w:t>
      </w:r>
      <w:r w:rsidR="005F33FE">
        <w:rPr>
          <w:rFonts w:ascii="Times New Roman" w:hAnsi="Times New Roman" w:cs="Times New Roman"/>
          <w:bCs/>
          <w:i/>
          <w:sz w:val="24"/>
          <w:szCs w:val="24"/>
        </w:rPr>
        <w:t>’</w:t>
      </w:r>
      <w:r w:rsidR="005F33FE">
        <w:rPr>
          <w:rFonts w:ascii="Times New Roman" w:hAnsi="Times New Roman" w:cs="Times New Roman"/>
          <w:bCs/>
          <w:sz w:val="24"/>
          <w:szCs w:val="24"/>
        </w:rPr>
        <w:t xml:space="preserve"> and expressed that </w:t>
      </w:r>
      <w:r w:rsidR="005F33FE" w:rsidRPr="00CC7F91">
        <w:rPr>
          <w:rFonts w:ascii="Times New Roman" w:hAnsi="Times New Roman" w:cs="Times New Roman"/>
          <w:bCs/>
          <w:i/>
          <w:sz w:val="24"/>
          <w:szCs w:val="24"/>
        </w:rPr>
        <w:t>building on the tangible progress made in the EU's bilateral trade agenda, efforts should be devoted to pursuing agreements with key partners</w:t>
      </w:r>
      <w:r w:rsidR="005F33FE">
        <w:rPr>
          <w:rFonts w:ascii="Times New Roman" w:hAnsi="Times New Roman" w:cs="Times New Roman"/>
          <w:bCs/>
          <w:sz w:val="24"/>
          <w:szCs w:val="24"/>
        </w:rPr>
        <w:t>.</w:t>
      </w:r>
    </w:p>
    <w:p w:rsidR="00DD34A8" w:rsidRDefault="00DD34A8" w:rsidP="005F33FE">
      <w:pPr>
        <w:spacing w:after="0" w:line="240" w:lineRule="auto"/>
        <w:jc w:val="both"/>
        <w:rPr>
          <w:rFonts w:ascii="Times New Roman" w:hAnsi="Times New Roman" w:cs="Times New Roman"/>
          <w:bCs/>
          <w:sz w:val="24"/>
          <w:szCs w:val="24"/>
        </w:rPr>
      </w:pPr>
    </w:p>
    <w:p w:rsidR="00DD34A8" w:rsidRPr="00FE1F09" w:rsidRDefault="00DD34A8" w:rsidP="00DD34A8">
      <w:pPr>
        <w:autoSpaceDE w:val="0"/>
        <w:autoSpaceDN w:val="0"/>
        <w:adjustRightInd w:val="0"/>
        <w:snapToGrid w:val="0"/>
        <w:spacing w:after="120" w:line="240" w:lineRule="auto"/>
        <w:jc w:val="both"/>
        <w:rPr>
          <w:rFonts w:ascii="Times New Roman" w:hAnsi="Times New Roman" w:cs="Times New Roman"/>
          <w:bCs/>
          <w:sz w:val="24"/>
          <w:szCs w:val="24"/>
        </w:rPr>
      </w:pPr>
      <w:r w:rsidRPr="00FE1F09">
        <w:rPr>
          <w:rFonts w:ascii="Times New Roman" w:hAnsi="Times New Roman" w:cs="Times New Roman"/>
          <w:bCs/>
          <w:sz w:val="24"/>
          <w:szCs w:val="24"/>
        </w:rPr>
        <w:t>The intervention is also fully in line with the Communication ‘</w:t>
      </w:r>
      <w:r w:rsidRPr="00E37D80">
        <w:rPr>
          <w:rFonts w:ascii="Times New Roman" w:hAnsi="Times New Roman" w:cs="Times New Roman"/>
          <w:bCs/>
          <w:i/>
          <w:sz w:val="24"/>
          <w:szCs w:val="24"/>
        </w:rPr>
        <w:t>Trade for all - Towards a More Effective, Transparent and Responsible Trade and Investment Policy</w:t>
      </w:r>
      <w:r w:rsidRPr="00FE1F09">
        <w:rPr>
          <w:rFonts w:ascii="Times New Roman" w:hAnsi="Times New Roman" w:cs="Times New Roman"/>
          <w:bCs/>
          <w:sz w:val="24"/>
          <w:szCs w:val="24"/>
          <w:vertAlign w:val="superscript"/>
        </w:rPr>
        <w:footnoteReference w:id="14"/>
      </w:r>
      <w:r w:rsidRPr="00FE1F09">
        <w:rPr>
          <w:rFonts w:ascii="Times New Roman" w:hAnsi="Times New Roman" w:cs="Times New Roman"/>
          <w:bCs/>
          <w:sz w:val="24"/>
          <w:szCs w:val="24"/>
        </w:rPr>
        <w:t>’ which highlight</w:t>
      </w:r>
      <w:r w:rsidR="008D0D8E">
        <w:rPr>
          <w:rFonts w:ascii="Times New Roman" w:hAnsi="Times New Roman" w:cs="Times New Roman"/>
          <w:bCs/>
          <w:sz w:val="24"/>
          <w:szCs w:val="24"/>
        </w:rPr>
        <w:t>ed</w:t>
      </w:r>
      <w:r w:rsidRPr="00FE1F09">
        <w:rPr>
          <w:rFonts w:ascii="Times New Roman" w:hAnsi="Times New Roman" w:cs="Times New Roman"/>
          <w:bCs/>
          <w:sz w:val="24"/>
          <w:szCs w:val="24"/>
        </w:rPr>
        <w:t xml:space="preserve"> the need to move forward our bilateral relationships in order to deliver jobs and growth by tackling trade and investment barriers in a comprehensive way</w:t>
      </w:r>
      <w:r w:rsidRPr="00FE1F09">
        <w:rPr>
          <w:rFonts w:ascii="Times New Roman" w:hAnsi="Times New Roman" w:cs="Times New Roman"/>
          <w:sz w:val="24"/>
          <w:szCs w:val="24"/>
        </w:rPr>
        <w:t xml:space="preserve"> </w:t>
      </w:r>
      <w:r w:rsidRPr="00FE1F09">
        <w:rPr>
          <w:rFonts w:ascii="Times New Roman" w:hAnsi="Times New Roman" w:cs="Times New Roman"/>
          <w:bCs/>
          <w:sz w:val="24"/>
          <w:szCs w:val="24"/>
        </w:rPr>
        <w:t xml:space="preserve">while securing the EU's </w:t>
      </w:r>
      <w:r>
        <w:rPr>
          <w:rFonts w:ascii="Times New Roman" w:hAnsi="Times New Roman" w:cs="Times New Roman"/>
          <w:bCs/>
          <w:sz w:val="24"/>
          <w:szCs w:val="24"/>
        </w:rPr>
        <w:t xml:space="preserve">high </w:t>
      </w:r>
      <w:r w:rsidRPr="00FE1F09">
        <w:rPr>
          <w:rFonts w:ascii="Times New Roman" w:hAnsi="Times New Roman" w:cs="Times New Roman"/>
          <w:bCs/>
          <w:sz w:val="24"/>
          <w:szCs w:val="24"/>
        </w:rPr>
        <w:t xml:space="preserve">level of social and environmental protection and contributing to other policy objectives, including sustainable development and the particular needs of SMEs. </w:t>
      </w:r>
    </w:p>
    <w:p w:rsidR="0042320E" w:rsidRDefault="0042320E" w:rsidP="00481225">
      <w:pPr>
        <w:spacing w:after="0" w:line="240" w:lineRule="auto"/>
        <w:jc w:val="both"/>
        <w:rPr>
          <w:rFonts w:ascii="Times New Roman" w:hAnsi="Times New Roman" w:cs="Times New Roman"/>
          <w:bCs/>
          <w:sz w:val="24"/>
          <w:szCs w:val="24"/>
        </w:rPr>
      </w:pPr>
    </w:p>
    <w:p w:rsidR="00321A1B" w:rsidRDefault="00321A1B" w:rsidP="004812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According to</w:t>
      </w:r>
      <w:r w:rsidR="007913B7">
        <w:rPr>
          <w:rFonts w:ascii="Times New Roman" w:hAnsi="Times New Roman" w:cs="Times New Roman"/>
          <w:sz w:val="24"/>
          <w:szCs w:val="24"/>
        </w:rPr>
        <w:t xml:space="preserve"> Article 5(3)</w:t>
      </w:r>
      <w:r w:rsidRPr="00321A1B">
        <w:t xml:space="preserve"> </w:t>
      </w:r>
      <w:r w:rsidRPr="00321A1B">
        <w:rPr>
          <w:rFonts w:ascii="Times New Roman" w:hAnsi="Times New Roman" w:cs="Times New Roman"/>
          <w:sz w:val="24"/>
          <w:szCs w:val="24"/>
        </w:rPr>
        <w:t>of the Treaty on European Union</w:t>
      </w:r>
      <w:r w:rsidR="007913B7">
        <w:rPr>
          <w:rFonts w:ascii="Times New Roman" w:hAnsi="Times New Roman" w:cs="Times New Roman"/>
          <w:sz w:val="24"/>
          <w:szCs w:val="24"/>
        </w:rPr>
        <w:t xml:space="preserve"> </w:t>
      </w:r>
      <w:r>
        <w:rPr>
          <w:rFonts w:ascii="Times New Roman" w:hAnsi="Times New Roman" w:cs="Times New Roman"/>
          <w:sz w:val="24"/>
          <w:szCs w:val="24"/>
        </w:rPr>
        <w:t>(</w:t>
      </w:r>
      <w:r w:rsidR="007913B7">
        <w:rPr>
          <w:rFonts w:ascii="Times New Roman" w:hAnsi="Times New Roman" w:cs="Times New Roman"/>
          <w:sz w:val="24"/>
          <w:szCs w:val="24"/>
        </w:rPr>
        <w:t>TEU</w:t>
      </w:r>
      <w:r>
        <w:rPr>
          <w:rFonts w:ascii="Times New Roman" w:hAnsi="Times New Roman" w:cs="Times New Roman"/>
          <w:sz w:val="24"/>
          <w:szCs w:val="24"/>
        </w:rPr>
        <w:t>)</w:t>
      </w:r>
      <w:r w:rsidR="007913B7">
        <w:rPr>
          <w:rFonts w:ascii="Times New Roman" w:hAnsi="Times New Roman" w:cs="Times New Roman"/>
          <w:sz w:val="24"/>
          <w:szCs w:val="24"/>
        </w:rPr>
        <w:t>, the subsidiarity principle does not apply in areas of exclusive EU</w:t>
      </w:r>
      <w:r w:rsidR="00481225">
        <w:rPr>
          <w:rFonts w:ascii="Times New Roman" w:hAnsi="Times New Roman" w:cs="Times New Roman"/>
          <w:sz w:val="24"/>
          <w:szCs w:val="24"/>
        </w:rPr>
        <w:t xml:space="preserve"> </w:t>
      </w:r>
      <w:r>
        <w:rPr>
          <w:rFonts w:ascii="Times New Roman" w:hAnsi="Times New Roman" w:cs="Times New Roman"/>
          <w:sz w:val="24"/>
          <w:szCs w:val="24"/>
        </w:rPr>
        <w:t>competence.</w:t>
      </w:r>
      <w:r w:rsidRPr="00321A1B">
        <w:rPr>
          <w:rFonts w:ascii="Times New Roman" w:hAnsi="Times New Roman" w:cs="Times New Roman"/>
          <w:sz w:val="24"/>
          <w:szCs w:val="24"/>
        </w:rPr>
        <w:t xml:space="preserve"> The common commercial p</w:t>
      </w:r>
      <w:r w:rsidR="00312421">
        <w:rPr>
          <w:rFonts w:ascii="Times New Roman" w:hAnsi="Times New Roman" w:cs="Times New Roman"/>
          <w:sz w:val="24"/>
          <w:szCs w:val="24"/>
        </w:rPr>
        <w:t>olicy is listed among the areas</w:t>
      </w:r>
      <w:r w:rsidRPr="00321A1B">
        <w:rPr>
          <w:rFonts w:ascii="Times New Roman" w:hAnsi="Times New Roman" w:cs="Times New Roman"/>
          <w:sz w:val="24"/>
          <w:szCs w:val="24"/>
        </w:rPr>
        <w:t xml:space="preserve"> of exclusive competence of the Union in Article 3 of the Treaty on the Functioning of the European Union (TFEU).</w:t>
      </w:r>
      <w:r>
        <w:rPr>
          <w:rFonts w:ascii="Times New Roman" w:hAnsi="Times New Roman" w:cs="Times New Roman"/>
          <w:sz w:val="24"/>
          <w:szCs w:val="24"/>
        </w:rPr>
        <w:t xml:space="preserve"> </w:t>
      </w:r>
      <w:r w:rsidRPr="00321A1B">
        <w:rPr>
          <w:rFonts w:ascii="Times New Roman" w:hAnsi="Times New Roman" w:cs="Times New Roman"/>
          <w:sz w:val="24"/>
          <w:szCs w:val="24"/>
        </w:rPr>
        <w:t xml:space="preserve">This policy includes the negotiation of trade agreements </w:t>
      </w:r>
      <w:r>
        <w:rPr>
          <w:rFonts w:ascii="Times New Roman" w:hAnsi="Times New Roman" w:cs="Times New Roman"/>
          <w:sz w:val="24"/>
          <w:szCs w:val="24"/>
        </w:rPr>
        <w:t>pursuant to Article 207</w:t>
      </w:r>
      <w:r w:rsidRPr="00321A1B">
        <w:rPr>
          <w:rFonts w:ascii="Times New Roman" w:hAnsi="Times New Roman" w:cs="Times New Roman"/>
          <w:sz w:val="24"/>
          <w:szCs w:val="24"/>
        </w:rPr>
        <w:t xml:space="preserve"> TFEU.</w:t>
      </w:r>
    </w:p>
    <w:p w:rsidR="00381758" w:rsidRPr="007235C4" w:rsidRDefault="00381758" w:rsidP="00481225">
      <w:pPr>
        <w:spacing w:after="0" w:line="240" w:lineRule="auto"/>
        <w:jc w:val="both"/>
        <w:rPr>
          <w:rFonts w:ascii="Times New Roman" w:hAnsi="Times New Roman" w:cs="Times New Roman"/>
          <w:bCs/>
          <w:sz w:val="24"/>
          <w:szCs w:val="24"/>
        </w:rPr>
      </w:pPr>
    </w:p>
    <w:p w:rsidR="0045507E" w:rsidRDefault="007913B7" w:rsidP="00FA28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w:t>
      </w:r>
      <w:r w:rsidRPr="007913B7">
        <w:rPr>
          <w:rFonts w:ascii="Times New Roman" w:hAnsi="Times New Roman" w:cs="Times New Roman"/>
          <w:bCs/>
          <w:sz w:val="24"/>
          <w:szCs w:val="24"/>
        </w:rPr>
        <w:t>n line with the principle of proportionality, all reasonable policy options</w:t>
      </w:r>
      <w:r>
        <w:rPr>
          <w:rFonts w:ascii="Times New Roman" w:hAnsi="Times New Roman" w:cs="Times New Roman"/>
          <w:bCs/>
          <w:sz w:val="24"/>
          <w:szCs w:val="24"/>
        </w:rPr>
        <w:t xml:space="preserve"> </w:t>
      </w:r>
      <w:r w:rsidRPr="007913B7">
        <w:rPr>
          <w:rFonts w:ascii="Times New Roman" w:hAnsi="Times New Roman" w:cs="Times New Roman"/>
          <w:bCs/>
          <w:sz w:val="24"/>
          <w:szCs w:val="24"/>
        </w:rPr>
        <w:t xml:space="preserve">are </w:t>
      </w:r>
      <w:r w:rsidR="00466E83">
        <w:rPr>
          <w:rFonts w:ascii="Times New Roman" w:hAnsi="Times New Roman" w:cs="Times New Roman"/>
          <w:bCs/>
          <w:sz w:val="24"/>
          <w:szCs w:val="24"/>
        </w:rPr>
        <w:t>presented</w:t>
      </w:r>
      <w:r w:rsidR="00466E83" w:rsidRPr="007913B7">
        <w:rPr>
          <w:rFonts w:ascii="Times New Roman" w:hAnsi="Times New Roman" w:cs="Times New Roman"/>
          <w:bCs/>
          <w:sz w:val="24"/>
          <w:szCs w:val="24"/>
        </w:rPr>
        <w:t xml:space="preserve"> </w:t>
      </w:r>
      <w:r>
        <w:rPr>
          <w:rFonts w:ascii="Times New Roman" w:hAnsi="Times New Roman" w:cs="Times New Roman"/>
          <w:bCs/>
          <w:sz w:val="24"/>
          <w:szCs w:val="24"/>
        </w:rPr>
        <w:t xml:space="preserve">below </w:t>
      </w:r>
      <w:r w:rsidR="00466E83">
        <w:rPr>
          <w:rFonts w:ascii="Times New Roman" w:hAnsi="Times New Roman" w:cs="Times New Roman"/>
          <w:bCs/>
          <w:sz w:val="24"/>
          <w:szCs w:val="24"/>
        </w:rPr>
        <w:t xml:space="preserve">in order </w:t>
      </w:r>
      <w:r w:rsidRPr="007913B7">
        <w:rPr>
          <w:rFonts w:ascii="Times New Roman" w:hAnsi="Times New Roman" w:cs="Times New Roman"/>
          <w:bCs/>
          <w:sz w:val="24"/>
          <w:szCs w:val="24"/>
        </w:rPr>
        <w:t>to assess the likely effectiveness of such policy intervention</w:t>
      </w:r>
      <w:r w:rsidR="00466E83">
        <w:rPr>
          <w:rFonts w:ascii="Times New Roman" w:hAnsi="Times New Roman" w:cs="Times New Roman"/>
          <w:bCs/>
          <w:sz w:val="24"/>
          <w:szCs w:val="24"/>
        </w:rPr>
        <w:t>s</w:t>
      </w:r>
      <w:r w:rsidRPr="007913B7">
        <w:rPr>
          <w:rFonts w:ascii="Times New Roman" w:hAnsi="Times New Roman" w:cs="Times New Roman"/>
          <w:bCs/>
          <w:sz w:val="24"/>
          <w:szCs w:val="24"/>
        </w:rPr>
        <w:t>.</w:t>
      </w:r>
    </w:p>
    <w:p w:rsidR="00AC2EAE" w:rsidRDefault="00AC2EAE" w:rsidP="00FA285D">
      <w:pPr>
        <w:spacing w:after="0" w:line="240" w:lineRule="auto"/>
        <w:jc w:val="both"/>
        <w:rPr>
          <w:rFonts w:ascii="Times New Roman" w:eastAsiaTheme="majorEastAsia" w:hAnsi="Times New Roman" w:cs="Times New Roman"/>
          <w:sz w:val="24"/>
          <w:szCs w:val="24"/>
        </w:rPr>
      </w:pPr>
    </w:p>
    <w:p w:rsidR="004454E3" w:rsidRPr="003B5C3C" w:rsidRDefault="004454E3" w:rsidP="003B5C3C">
      <w:pPr>
        <w:spacing w:after="0" w:line="240" w:lineRule="auto"/>
        <w:rPr>
          <w:rFonts w:ascii="Times New Roman" w:eastAsiaTheme="majorEastAsia" w:hAnsi="Times New Roman" w:cs="Times New Roman"/>
          <w:sz w:val="24"/>
          <w:szCs w:val="24"/>
        </w:rPr>
      </w:pPr>
    </w:p>
    <w:p w:rsidR="00BF189B" w:rsidRPr="007C3EF7" w:rsidRDefault="00CA094E" w:rsidP="002A28DD">
      <w:pPr>
        <w:pStyle w:val="Heading1"/>
        <w:numPr>
          <w:ilvl w:val="0"/>
          <w:numId w:val="11"/>
        </w:numPr>
      </w:pPr>
      <w:bookmarkStart w:id="13" w:name="_Toc442284043"/>
      <w:bookmarkStart w:id="14" w:name="_Toc473123071"/>
      <w:r w:rsidRPr="007C3EF7">
        <w:t>WHAT SHOULD BE ACHIEVED?</w:t>
      </w:r>
      <w:bookmarkEnd w:id="13"/>
      <w:bookmarkEnd w:id="14"/>
    </w:p>
    <w:p w:rsidR="00BF189B" w:rsidRPr="003B5C3C" w:rsidRDefault="00BF189B" w:rsidP="00301DBB">
      <w:pPr>
        <w:spacing w:after="0" w:line="240" w:lineRule="auto"/>
        <w:jc w:val="both"/>
        <w:rPr>
          <w:rFonts w:ascii="Times New Roman" w:hAnsi="Times New Roman" w:cs="Times New Roman"/>
          <w:bCs/>
          <w:sz w:val="24"/>
          <w:szCs w:val="24"/>
        </w:rPr>
      </w:pPr>
    </w:p>
    <w:p w:rsidR="00D568EA" w:rsidRPr="00D568EA" w:rsidRDefault="00D568EA" w:rsidP="00D568EA">
      <w:pPr>
        <w:pStyle w:val="ListParagraph"/>
        <w:keepNext/>
        <w:keepLines/>
        <w:numPr>
          <w:ilvl w:val="0"/>
          <w:numId w:val="56"/>
        </w:numPr>
        <w:spacing w:after="0" w:line="240" w:lineRule="auto"/>
        <w:contextualSpacing w:val="0"/>
        <w:jc w:val="both"/>
        <w:outlineLvl w:val="1"/>
        <w:rPr>
          <w:rFonts w:ascii="Times New Roman" w:eastAsiaTheme="majorEastAsia" w:hAnsi="Times New Roman" w:cs="Times New Roman"/>
          <w:b/>
          <w:bCs/>
          <w:vanish/>
          <w:sz w:val="24"/>
          <w:szCs w:val="24"/>
          <w:u w:val="single"/>
          <w:lang w:val="en-GB"/>
        </w:rPr>
      </w:pPr>
      <w:bookmarkStart w:id="15" w:name="_Toc467831503"/>
      <w:bookmarkStart w:id="16" w:name="_Toc472961392"/>
      <w:bookmarkStart w:id="17" w:name="_Toc472961441"/>
      <w:bookmarkStart w:id="18" w:name="_Toc473123072"/>
      <w:bookmarkStart w:id="19" w:name="_Toc442284044"/>
      <w:bookmarkEnd w:id="15"/>
      <w:bookmarkEnd w:id="16"/>
      <w:bookmarkEnd w:id="17"/>
      <w:bookmarkEnd w:id="18"/>
    </w:p>
    <w:p w:rsidR="00D568EA" w:rsidRPr="00D568EA" w:rsidRDefault="00D568EA" w:rsidP="00D568EA">
      <w:pPr>
        <w:pStyle w:val="ListParagraph"/>
        <w:keepNext/>
        <w:keepLines/>
        <w:numPr>
          <w:ilvl w:val="0"/>
          <w:numId w:val="56"/>
        </w:numPr>
        <w:spacing w:after="0" w:line="240" w:lineRule="auto"/>
        <w:contextualSpacing w:val="0"/>
        <w:jc w:val="both"/>
        <w:outlineLvl w:val="1"/>
        <w:rPr>
          <w:rFonts w:ascii="Times New Roman" w:eastAsiaTheme="majorEastAsia" w:hAnsi="Times New Roman" w:cs="Times New Roman"/>
          <w:b/>
          <w:bCs/>
          <w:vanish/>
          <w:sz w:val="24"/>
          <w:szCs w:val="24"/>
          <w:u w:val="single"/>
          <w:lang w:val="en-GB"/>
        </w:rPr>
      </w:pPr>
    </w:p>
    <w:p w:rsidR="00D568EA" w:rsidRPr="00D568EA" w:rsidRDefault="00D568EA" w:rsidP="00D568EA">
      <w:pPr>
        <w:pStyle w:val="ListParagraph"/>
        <w:keepNext/>
        <w:keepLines/>
        <w:numPr>
          <w:ilvl w:val="0"/>
          <w:numId w:val="56"/>
        </w:numPr>
        <w:spacing w:after="0" w:line="240" w:lineRule="auto"/>
        <w:contextualSpacing w:val="0"/>
        <w:jc w:val="both"/>
        <w:outlineLvl w:val="1"/>
        <w:rPr>
          <w:rFonts w:ascii="Times New Roman" w:eastAsiaTheme="majorEastAsia" w:hAnsi="Times New Roman" w:cs="Times New Roman"/>
          <w:b/>
          <w:bCs/>
          <w:vanish/>
          <w:sz w:val="24"/>
          <w:szCs w:val="24"/>
          <w:u w:val="single"/>
          <w:lang w:val="en-GB"/>
        </w:rPr>
      </w:pPr>
    </w:p>
    <w:p w:rsidR="00BF189B" w:rsidRPr="00261E9D" w:rsidRDefault="00BF189B" w:rsidP="00D568EA">
      <w:pPr>
        <w:pStyle w:val="Heading2"/>
        <w:numPr>
          <w:ilvl w:val="1"/>
          <w:numId w:val="56"/>
        </w:numPr>
        <w:rPr>
          <w:u w:val="single"/>
        </w:rPr>
      </w:pPr>
      <w:r w:rsidRPr="00261E9D">
        <w:rPr>
          <w:u w:val="single"/>
        </w:rPr>
        <w:t xml:space="preserve"> </w:t>
      </w:r>
      <w:bookmarkStart w:id="20" w:name="_Toc473123074"/>
      <w:r w:rsidRPr="00261E9D">
        <w:rPr>
          <w:u w:val="single"/>
        </w:rPr>
        <w:t>General objectives</w:t>
      </w:r>
      <w:bookmarkEnd w:id="19"/>
      <w:bookmarkEnd w:id="20"/>
    </w:p>
    <w:p w:rsidR="00BF189B" w:rsidRPr="00BF189B" w:rsidRDefault="00BF189B" w:rsidP="00301DBB">
      <w:pPr>
        <w:spacing w:after="0" w:line="240" w:lineRule="auto"/>
        <w:jc w:val="both"/>
        <w:rPr>
          <w:rFonts w:ascii="Times New Roman" w:hAnsi="Times New Roman" w:cs="Times New Roman"/>
          <w:sz w:val="24"/>
          <w:szCs w:val="24"/>
        </w:rPr>
      </w:pPr>
    </w:p>
    <w:p w:rsidR="00900120" w:rsidRDefault="00900120" w:rsidP="00C92F3F">
      <w:pPr>
        <w:spacing w:after="0" w:line="240" w:lineRule="auto"/>
        <w:jc w:val="both"/>
        <w:rPr>
          <w:rFonts w:ascii="Times New Roman" w:hAnsi="Times New Roman" w:cs="Times New Roman"/>
          <w:sz w:val="24"/>
          <w:szCs w:val="24"/>
        </w:rPr>
      </w:pPr>
      <w:r w:rsidRPr="00900120">
        <w:rPr>
          <w:rFonts w:ascii="Times New Roman" w:hAnsi="Times New Roman" w:cs="Times New Roman"/>
          <w:sz w:val="24"/>
          <w:szCs w:val="24"/>
        </w:rPr>
        <w:t xml:space="preserve">The EU general objective </w:t>
      </w:r>
      <w:r w:rsidR="003B7876" w:rsidRPr="003B7876">
        <w:rPr>
          <w:rFonts w:ascii="Times New Roman" w:hAnsi="Times New Roman" w:cs="Times New Roman"/>
          <w:sz w:val="24"/>
          <w:szCs w:val="24"/>
        </w:rPr>
        <w:t>as regards economic and trade relations</w:t>
      </w:r>
      <w:r w:rsidR="003B7876" w:rsidRPr="00900120">
        <w:rPr>
          <w:rFonts w:ascii="Times New Roman" w:hAnsi="Times New Roman" w:cs="Times New Roman"/>
          <w:sz w:val="24"/>
          <w:szCs w:val="24"/>
        </w:rPr>
        <w:t xml:space="preserve"> </w:t>
      </w:r>
      <w:r w:rsidRPr="00900120">
        <w:rPr>
          <w:rFonts w:ascii="Times New Roman" w:hAnsi="Times New Roman" w:cs="Times New Roman"/>
          <w:sz w:val="24"/>
          <w:szCs w:val="24"/>
        </w:rPr>
        <w:t xml:space="preserve">derives from the </w:t>
      </w:r>
      <w:r w:rsidR="008954A7">
        <w:rPr>
          <w:rFonts w:ascii="Times New Roman" w:hAnsi="Times New Roman" w:cs="Times New Roman"/>
          <w:sz w:val="24"/>
          <w:szCs w:val="24"/>
        </w:rPr>
        <w:t>TF</w:t>
      </w:r>
      <w:r w:rsidR="009401F8">
        <w:rPr>
          <w:rFonts w:ascii="Times New Roman" w:hAnsi="Times New Roman" w:cs="Times New Roman"/>
          <w:sz w:val="24"/>
          <w:szCs w:val="24"/>
        </w:rPr>
        <w:t>E</w:t>
      </w:r>
      <w:r w:rsidR="008954A7">
        <w:rPr>
          <w:rFonts w:ascii="Times New Roman" w:hAnsi="Times New Roman" w:cs="Times New Roman"/>
          <w:sz w:val="24"/>
          <w:szCs w:val="24"/>
        </w:rPr>
        <w:t>U</w:t>
      </w:r>
      <w:r w:rsidRPr="00900120">
        <w:rPr>
          <w:rFonts w:ascii="Times New Roman" w:hAnsi="Times New Roman" w:cs="Times New Roman"/>
          <w:sz w:val="24"/>
          <w:szCs w:val="24"/>
        </w:rPr>
        <w:t>, which in Article 3(1</w:t>
      </w:r>
      <w:r w:rsidR="00BC2840" w:rsidRPr="00900120">
        <w:rPr>
          <w:rFonts w:ascii="Times New Roman" w:hAnsi="Times New Roman" w:cs="Times New Roman"/>
          <w:sz w:val="24"/>
          <w:szCs w:val="24"/>
        </w:rPr>
        <w:t>) (</w:t>
      </w:r>
      <w:r w:rsidRPr="00900120">
        <w:rPr>
          <w:rFonts w:ascii="Times New Roman" w:hAnsi="Times New Roman" w:cs="Times New Roman"/>
          <w:sz w:val="24"/>
          <w:szCs w:val="24"/>
        </w:rPr>
        <w:t>3) establishes the EU exclusive competence for the common commercial policy</w:t>
      </w:r>
      <w:r w:rsidR="008954A7">
        <w:rPr>
          <w:rFonts w:ascii="Times New Roman" w:hAnsi="Times New Roman" w:cs="Times New Roman"/>
          <w:sz w:val="24"/>
          <w:szCs w:val="24"/>
        </w:rPr>
        <w:t xml:space="preserve">. Furthermore, </w:t>
      </w:r>
      <w:r w:rsidRPr="00900120">
        <w:rPr>
          <w:rFonts w:ascii="Times New Roman" w:hAnsi="Times New Roman" w:cs="Times New Roman"/>
          <w:sz w:val="24"/>
          <w:szCs w:val="24"/>
        </w:rPr>
        <w:t>Article 206 provides that the overall objective of EU policy as regards econ</w:t>
      </w:r>
      <w:r>
        <w:rPr>
          <w:rFonts w:ascii="Times New Roman" w:hAnsi="Times New Roman" w:cs="Times New Roman"/>
          <w:sz w:val="24"/>
          <w:szCs w:val="24"/>
        </w:rPr>
        <w:t>omic and trade relations is to ‘</w:t>
      </w:r>
      <w:r w:rsidRPr="00900120">
        <w:rPr>
          <w:rFonts w:ascii="Times New Roman" w:hAnsi="Times New Roman" w:cs="Times New Roman"/>
          <w:i/>
          <w:sz w:val="24"/>
          <w:szCs w:val="24"/>
        </w:rPr>
        <w:t>contribute, in the common interest, to the harmonious development of world trade, the progressive abolition of restrictions on international trade and on foreign direct investment, and the lowering of customs and other barriers</w:t>
      </w:r>
      <w:r>
        <w:rPr>
          <w:rFonts w:ascii="Times New Roman" w:hAnsi="Times New Roman" w:cs="Times New Roman"/>
          <w:sz w:val="24"/>
          <w:szCs w:val="24"/>
        </w:rPr>
        <w:t>’</w:t>
      </w:r>
      <w:r w:rsidRPr="00900120">
        <w:rPr>
          <w:rFonts w:ascii="Times New Roman" w:hAnsi="Times New Roman" w:cs="Times New Roman"/>
          <w:sz w:val="24"/>
          <w:szCs w:val="24"/>
        </w:rPr>
        <w:t>.</w:t>
      </w:r>
    </w:p>
    <w:p w:rsidR="005F33FE" w:rsidRDefault="005F33FE" w:rsidP="00C92F3F">
      <w:pPr>
        <w:spacing w:after="0" w:line="240" w:lineRule="auto"/>
        <w:jc w:val="both"/>
        <w:rPr>
          <w:rFonts w:ascii="Times New Roman" w:hAnsi="Times New Roman" w:cs="Times New Roman"/>
          <w:sz w:val="24"/>
          <w:szCs w:val="24"/>
        </w:rPr>
      </w:pPr>
    </w:p>
    <w:p w:rsidR="005F33FE" w:rsidRDefault="005F33FE" w:rsidP="00C92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established by Article 205 of the TFEU</w:t>
      </w:r>
      <w:r w:rsidR="00145058">
        <w:rPr>
          <w:rFonts w:ascii="Times New Roman" w:hAnsi="Times New Roman" w:cs="Times New Roman"/>
          <w:sz w:val="24"/>
          <w:szCs w:val="24"/>
        </w:rPr>
        <w:t>,</w:t>
      </w:r>
      <w:r>
        <w:rPr>
          <w:rFonts w:ascii="Times New Roman" w:hAnsi="Times New Roman" w:cs="Times New Roman"/>
          <w:sz w:val="24"/>
          <w:szCs w:val="24"/>
        </w:rPr>
        <w:t xml:space="preserve"> </w:t>
      </w:r>
      <w:r w:rsidR="00145058">
        <w:rPr>
          <w:rFonts w:ascii="Times New Roman" w:hAnsi="Times New Roman" w:cs="Times New Roman"/>
          <w:sz w:val="24"/>
          <w:szCs w:val="24"/>
        </w:rPr>
        <w:t>t</w:t>
      </w:r>
      <w:r>
        <w:rPr>
          <w:rFonts w:ascii="Times New Roman" w:hAnsi="Times New Roman" w:cs="Times New Roman"/>
          <w:sz w:val="24"/>
          <w:szCs w:val="24"/>
        </w:rPr>
        <w:t xml:space="preserve">he common commercial policy also serves the more general objectives of the Union’s External Action as described in Article 21 of the </w:t>
      </w:r>
      <w:r w:rsidR="00732819">
        <w:rPr>
          <w:rFonts w:ascii="Times New Roman" w:hAnsi="Times New Roman" w:cs="Times New Roman"/>
          <w:sz w:val="24"/>
          <w:szCs w:val="24"/>
        </w:rPr>
        <w:t>TEU.</w:t>
      </w:r>
    </w:p>
    <w:p w:rsidR="00C92F3F" w:rsidRPr="00C92F3F" w:rsidRDefault="00C92F3F" w:rsidP="00C92F3F">
      <w:pPr>
        <w:spacing w:after="0" w:line="240" w:lineRule="auto"/>
        <w:jc w:val="both"/>
        <w:rPr>
          <w:rFonts w:ascii="Times New Roman" w:hAnsi="Times New Roman" w:cs="Times New Roman"/>
          <w:sz w:val="24"/>
          <w:szCs w:val="24"/>
        </w:rPr>
      </w:pPr>
    </w:p>
    <w:p w:rsidR="00C92F3F" w:rsidRDefault="00C92F3F" w:rsidP="00C92F3F">
      <w:pPr>
        <w:spacing w:after="0" w:line="240" w:lineRule="auto"/>
        <w:jc w:val="both"/>
        <w:rPr>
          <w:rFonts w:ascii="Times New Roman" w:hAnsi="Times New Roman" w:cs="Times New Roman"/>
          <w:sz w:val="24"/>
          <w:szCs w:val="24"/>
        </w:rPr>
      </w:pPr>
      <w:r w:rsidRPr="00C92F3F">
        <w:rPr>
          <w:rFonts w:ascii="Times New Roman" w:hAnsi="Times New Roman" w:cs="Times New Roman"/>
          <w:sz w:val="24"/>
          <w:szCs w:val="24"/>
        </w:rPr>
        <w:t xml:space="preserve">The general objectives of </w:t>
      </w:r>
      <w:r w:rsidR="007913B7">
        <w:rPr>
          <w:rFonts w:ascii="Times New Roman" w:hAnsi="Times New Roman" w:cs="Times New Roman"/>
          <w:sz w:val="24"/>
          <w:szCs w:val="24"/>
        </w:rPr>
        <w:t>this initiative</w:t>
      </w:r>
      <w:r w:rsidR="003B7876">
        <w:rPr>
          <w:rFonts w:ascii="Times New Roman" w:hAnsi="Times New Roman" w:cs="Times New Roman"/>
          <w:sz w:val="24"/>
          <w:szCs w:val="24"/>
        </w:rPr>
        <w:t xml:space="preserve"> </w:t>
      </w:r>
      <w:r w:rsidR="004F79E5">
        <w:rPr>
          <w:rFonts w:ascii="Times New Roman" w:hAnsi="Times New Roman" w:cs="Times New Roman"/>
          <w:sz w:val="24"/>
          <w:szCs w:val="24"/>
        </w:rPr>
        <w:t>are</w:t>
      </w:r>
      <w:r w:rsidR="008C71F6">
        <w:rPr>
          <w:rFonts w:ascii="Times New Roman" w:hAnsi="Times New Roman" w:cs="Times New Roman"/>
          <w:sz w:val="24"/>
          <w:szCs w:val="24"/>
        </w:rPr>
        <w:t xml:space="preserve"> in line with the general EU policy</w:t>
      </w:r>
      <w:r w:rsidR="004F79E5">
        <w:rPr>
          <w:rFonts w:ascii="Times New Roman" w:hAnsi="Times New Roman" w:cs="Times New Roman"/>
          <w:sz w:val="24"/>
          <w:szCs w:val="24"/>
        </w:rPr>
        <w:t xml:space="preserve"> and include concretely</w:t>
      </w:r>
      <w:r w:rsidRPr="00C92F3F">
        <w:rPr>
          <w:rFonts w:ascii="Times New Roman" w:hAnsi="Times New Roman" w:cs="Times New Roman"/>
          <w:sz w:val="24"/>
          <w:szCs w:val="24"/>
        </w:rPr>
        <w:t>:</w:t>
      </w:r>
    </w:p>
    <w:p w:rsidR="00C92F3F" w:rsidRPr="00B861F5" w:rsidRDefault="00C92F3F" w:rsidP="002A28DD">
      <w:pPr>
        <w:pStyle w:val="ListParagraph"/>
        <w:numPr>
          <w:ilvl w:val="0"/>
          <w:numId w:val="2"/>
        </w:numPr>
        <w:spacing w:after="0" w:line="240" w:lineRule="auto"/>
        <w:jc w:val="both"/>
        <w:rPr>
          <w:rFonts w:ascii="Times New Roman" w:hAnsi="Times New Roman" w:cs="Times New Roman"/>
          <w:sz w:val="24"/>
          <w:szCs w:val="24"/>
          <w:lang w:val="en-GB"/>
        </w:rPr>
      </w:pPr>
      <w:r w:rsidRPr="00B861F5">
        <w:rPr>
          <w:rFonts w:ascii="Times New Roman" w:hAnsi="Times New Roman" w:cs="Times New Roman"/>
          <w:sz w:val="24"/>
          <w:szCs w:val="24"/>
          <w:lang w:val="en-GB"/>
        </w:rPr>
        <w:t xml:space="preserve">promoting smart, sustainable and inclusive growth </w:t>
      </w:r>
      <w:r w:rsidR="00666DA0" w:rsidRPr="00B861F5">
        <w:rPr>
          <w:rFonts w:ascii="Times New Roman" w:hAnsi="Times New Roman" w:cs="Times New Roman"/>
          <w:sz w:val="24"/>
          <w:szCs w:val="24"/>
          <w:lang w:val="en-GB"/>
        </w:rPr>
        <w:t>through the expansion of trade</w:t>
      </w:r>
      <w:r w:rsidR="00666DA0">
        <w:rPr>
          <w:rStyle w:val="FootnoteReference"/>
          <w:rFonts w:ascii="Times New Roman" w:hAnsi="Times New Roman" w:cs="Times New Roman"/>
          <w:sz w:val="24"/>
          <w:szCs w:val="24"/>
        </w:rPr>
        <w:footnoteReference w:id="15"/>
      </w:r>
      <w:r w:rsidR="008C71F6" w:rsidRPr="00E851A2">
        <w:rPr>
          <w:rFonts w:ascii="Times New Roman" w:hAnsi="Times New Roman" w:cs="Times New Roman"/>
          <w:sz w:val="24"/>
          <w:szCs w:val="24"/>
          <w:lang w:val="en-GB"/>
        </w:rPr>
        <w:t>, investment and</w:t>
      </w:r>
      <w:r w:rsidR="008C71F6">
        <w:rPr>
          <w:rFonts w:ascii="Times New Roman" w:hAnsi="Times New Roman" w:cs="Times New Roman"/>
          <w:sz w:val="24"/>
          <w:szCs w:val="24"/>
          <w:lang w:val="en-GB"/>
        </w:rPr>
        <w:t xml:space="preserve"> relevant rules,</w:t>
      </w:r>
      <w:r w:rsidR="008C71F6" w:rsidRPr="00E851A2">
        <w:rPr>
          <w:rFonts w:ascii="Times New Roman" w:hAnsi="Times New Roman" w:cs="Times New Roman"/>
          <w:sz w:val="24"/>
          <w:szCs w:val="24"/>
          <w:lang w:val="en-GB"/>
        </w:rPr>
        <w:t xml:space="preserve"> </w:t>
      </w:r>
    </w:p>
    <w:p w:rsidR="00C92F3F" w:rsidRDefault="00C92F3F" w:rsidP="002A28DD">
      <w:pPr>
        <w:pStyle w:val="ListParagraph"/>
        <w:numPr>
          <w:ilvl w:val="0"/>
          <w:numId w:val="2"/>
        </w:numPr>
        <w:spacing w:after="0" w:line="240" w:lineRule="auto"/>
        <w:jc w:val="both"/>
        <w:rPr>
          <w:rFonts w:ascii="Times New Roman" w:hAnsi="Times New Roman" w:cs="Times New Roman"/>
          <w:sz w:val="24"/>
          <w:szCs w:val="24"/>
          <w:lang w:val="en-GB"/>
        </w:rPr>
      </w:pPr>
      <w:r w:rsidRPr="00666DA0">
        <w:rPr>
          <w:rFonts w:ascii="Times New Roman" w:hAnsi="Times New Roman" w:cs="Times New Roman"/>
          <w:sz w:val="24"/>
          <w:szCs w:val="24"/>
          <w:lang w:val="en-GB"/>
        </w:rPr>
        <w:t>creati</w:t>
      </w:r>
      <w:r w:rsidR="00C30FF0">
        <w:rPr>
          <w:rFonts w:ascii="Times New Roman" w:hAnsi="Times New Roman" w:cs="Times New Roman"/>
          <w:sz w:val="24"/>
          <w:szCs w:val="24"/>
          <w:lang w:val="en-GB"/>
        </w:rPr>
        <w:t>ng</w:t>
      </w:r>
      <w:r w:rsidRPr="00666DA0">
        <w:rPr>
          <w:rFonts w:ascii="Times New Roman" w:hAnsi="Times New Roman" w:cs="Times New Roman"/>
          <w:sz w:val="24"/>
          <w:szCs w:val="24"/>
          <w:lang w:val="en-GB"/>
        </w:rPr>
        <w:t xml:space="preserve"> job and labour o</w:t>
      </w:r>
      <w:r w:rsidR="00666DA0" w:rsidRPr="00666DA0">
        <w:rPr>
          <w:rFonts w:ascii="Times New Roman" w:hAnsi="Times New Roman" w:cs="Times New Roman"/>
          <w:sz w:val="24"/>
          <w:szCs w:val="24"/>
          <w:lang w:val="en-GB"/>
        </w:rPr>
        <w:t>pportunities and welfare gains</w:t>
      </w:r>
      <w:r w:rsidR="00666DA0">
        <w:rPr>
          <w:rStyle w:val="FootnoteReference"/>
          <w:rFonts w:ascii="Times New Roman" w:hAnsi="Times New Roman" w:cs="Times New Roman"/>
          <w:sz w:val="24"/>
          <w:szCs w:val="24"/>
          <w:lang w:val="en-GB"/>
        </w:rPr>
        <w:footnoteReference w:id="16"/>
      </w:r>
      <w:r w:rsidR="00666DA0" w:rsidRPr="00666DA0">
        <w:rPr>
          <w:rFonts w:ascii="Times New Roman" w:hAnsi="Times New Roman" w:cs="Times New Roman"/>
          <w:sz w:val="24"/>
          <w:szCs w:val="24"/>
          <w:lang w:val="en-GB"/>
        </w:rPr>
        <w:t>,</w:t>
      </w:r>
    </w:p>
    <w:p w:rsidR="00C92F3F" w:rsidRDefault="008C71F6" w:rsidP="002A28DD">
      <w:pPr>
        <w:pStyle w:val="ListParagraph"/>
        <w:numPr>
          <w:ilvl w:val="0"/>
          <w:numId w:val="2"/>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increasing </w:t>
      </w:r>
      <w:r w:rsidR="00666DA0" w:rsidRPr="00666DA0">
        <w:rPr>
          <w:rFonts w:ascii="Times New Roman" w:hAnsi="Times New Roman" w:cs="Times New Roman"/>
          <w:sz w:val="24"/>
          <w:szCs w:val="24"/>
          <w:lang w:val="en-GB"/>
        </w:rPr>
        <w:t>consumer benefits</w:t>
      </w:r>
      <w:r>
        <w:rPr>
          <w:rFonts w:ascii="Times New Roman" w:hAnsi="Times New Roman" w:cs="Times New Roman"/>
          <w:sz w:val="24"/>
          <w:szCs w:val="24"/>
          <w:lang w:val="en-GB"/>
        </w:rPr>
        <w:t xml:space="preserve"> (</w:t>
      </w:r>
      <w:r w:rsidR="004F79E5">
        <w:rPr>
          <w:rFonts w:ascii="Times New Roman" w:hAnsi="Times New Roman" w:cs="Times New Roman"/>
          <w:sz w:val="24"/>
          <w:szCs w:val="24"/>
          <w:lang w:val="en-GB"/>
        </w:rPr>
        <w:t xml:space="preserve">e.g. in terms of </w:t>
      </w:r>
      <w:r>
        <w:rPr>
          <w:rFonts w:ascii="Times New Roman" w:hAnsi="Times New Roman" w:cs="Times New Roman"/>
          <w:sz w:val="24"/>
          <w:szCs w:val="24"/>
          <w:lang w:val="en-GB"/>
        </w:rPr>
        <w:t xml:space="preserve"> choice, </w:t>
      </w:r>
      <w:r w:rsidR="004F79E5">
        <w:rPr>
          <w:rFonts w:ascii="Times New Roman" w:hAnsi="Times New Roman" w:cs="Times New Roman"/>
          <w:sz w:val="24"/>
          <w:szCs w:val="24"/>
          <w:lang w:val="en-GB"/>
        </w:rPr>
        <w:t>availability, price and</w:t>
      </w:r>
      <w:r w:rsidR="00E137A1">
        <w:rPr>
          <w:rFonts w:ascii="Times New Roman" w:hAnsi="Times New Roman" w:cs="Times New Roman"/>
          <w:sz w:val="24"/>
          <w:szCs w:val="24"/>
          <w:lang w:val="en-GB"/>
        </w:rPr>
        <w:t xml:space="preserve"> maintaining</w:t>
      </w:r>
      <w:r w:rsidR="004F79E5">
        <w:rPr>
          <w:rFonts w:ascii="Times New Roman" w:hAnsi="Times New Roman" w:cs="Times New Roman"/>
          <w:sz w:val="24"/>
          <w:szCs w:val="24"/>
          <w:lang w:val="en-GB"/>
        </w:rPr>
        <w:t xml:space="preserve"> </w:t>
      </w:r>
      <w:r>
        <w:rPr>
          <w:rFonts w:ascii="Times New Roman" w:hAnsi="Times New Roman" w:cs="Times New Roman"/>
          <w:sz w:val="24"/>
          <w:szCs w:val="24"/>
          <w:lang w:val="en-GB"/>
        </w:rPr>
        <w:t>high standards)</w:t>
      </w:r>
      <w:r w:rsidR="00666DA0" w:rsidRPr="00666DA0">
        <w:rPr>
          <w:rFonts w:ascii="Times New Roman" w:hAnsi="Times New Roman" w:cs="Times New Roman"/>
          <w:sz w:val="24"/>
          <w:szCs w:val="24"/>
          <w:lang w:val="en-GB"/>
        </w:rPr>
        <w:t xml:space="preserve">, </w:t>
      </w:r>
    </w:p>
    <w:p w:rsidR="008954A7" w:rsidRDefault="00C92F3F" w:rsidP="002A28DD">
      <w:pPr>
        <w:pStyle w:val="ListParagraph"/>
        <w:numPr>
          <w:ilvl w:val="0"/>
          <w:numId w:val="2"/>
        </w:numPr>
        <w:spacing w:after="0" w:line="240" w:lineRule="auto"/>
        <w:jc w:val="both"/>
        <w:rPr>
          <w:rFonts w:ascii="Times New Roman" w:hAnsi="Times New Roman" w:cs="Times New Roman"/>
          <w:sz w:val="24"/>
          <w:szCs w:val="24"/>
          <w:lang w:val="en-GB"/>
        </w:rPr>
      </w:pPr>
      <w:r w:rsidRPr="008954A7">
        <w:rPr>
          <w:rFonts w:ascii="Times New Roman" w:hAnsi="Times New Roman" w:cs="Times New Roman"/>
          <w:sz w:val="24"/>
          <w:szCs w:val="24"/>
          <w:lang w:val="en-GB"/>
        </w:rPr>
        <w:t>improving Europe’s competitiveness in global markets</w:t>
      </w:r>
      <w:r w:rsidR="008954A7">
        <w:rPr>
          <w:rFonts w:ascii="Times New Roman" w:hAnsi="Times New Roman" w:cs="Times New Roman"/>
          <w:sz w:val="24"/>
          <w:szCs w:val="24"/>
          <w:lang w:val="en-GB"/>
        </w:rPr>
        <w:t>,</w:t>
      </w:r>
      <w:r w:rsidR="008954A7" w:rsidRPr="008954A7">
        <w:rPr>
          <w:rFonts w:ascii="Times New Roman" w:hAnsi="Times New Roman" w:cs="Times New Roman"/>
          <w:sz w:val="24"/>
          <w:szCs w:val="24"/>
          <w:lang w:val="en-GB"/>
        </w:rPr>
        <w:t xml:space="preserve"> </w:t>
      </w:r>
      <w:r w:rsidR="008954A7" w:rsidRPr="00666DA0">
        <w:rPr>
          <w:rFonts w:ascii="Times New Roman" w:hAnsi="Times New Roman" w:cs="Times New Roman"/>
          <w:sz w:val="24"/>
          <w:szCs w:val="24"/>
          <w:lang w:val="en-GB"/>
        </w:rPr>
        <w:t>and</w:t>
      </w:r>
    </w:p>
    <w:p w:rsidR="00FF2844" w:rsidRDefault="00005082" w:rsidP="002A28DD">
      <w:pPr>
        <w:pStyle w:val="ListParagraph"/>
        <w:numPr>
          <w:ilvl w:val="0"/>
          <w:numId w:val="2"/>
        </w:numPr>
        <w:spacing w:after="0" w:line="240" w:lineRule="auto"/>
        <w:jc w:val="both"/>
        <w:rPr>
          <w:rFonts w:ascii="Times New Roman" w:hAnsi="Times New Roman" w:cs="Times New Roman"/>
          <w:sz w:val="24"/>
          <w:szCs w:val="24"/>
          <w:lang w:val="en-GB"/>
        </w:rPr>
      </w:pPr>
      <w:r w:rsidRPr="008954A7">
        <w:rPr>
          <w:rFonts w:ascii="Times New Roman" w:hAnsi="Times New Roman" w:cs="Times New Roman"/>
          <w:sz w:val="24"/>
          <w:szCs w:val="24"/>
          <w:lang w:val="en-US"/>
        </w:rPr>
        <w:t>reinfor</w:t>
      </w:r>
      <w:r>
        <w:rPr>
          <w:rFonts w:ascii="Times New Roman" w:hAnsi="Times New Roman" w:cs="Times New Roman"/>
          <w:sz w:val="24"/>
          <w:szCs w:val="24"/>
          <w:lang w:val="en-US"/>
        </w:rPr>
        <w:t>cing</w:t>
      </w:r>
      <w:r w:rsidRPr="008954A7">
        <w:rPr>
          <w:rFonts w:ascii="Times New Roman" w:hAnsi="Times New Roman" w:cs="Times New Roman"/>
          <w:sz w:val="24"/>
          <w:szCs w:val="24"/>
          <w:lang w:val="en-US"/>
        </w:rPr>
        <w:t xml:space="preserve"> cooperation on trade-related issues with a like-minded partner</w:t>
      </w:r>
      <w:r w:rsidRPr="008954A7">
        <w:rPr>
          <w:rFonts w:ascii="Times New Roman" w:hAnsi="Times New Roman" w:cs="Times New Roman"/>
          <w:sz w:val="24"/>
          <w:szCs w:val="24"/>
          <w:lang w:val="en-GB"/>
        </w:rPr>
        <w:t>.</w:t>
      </w:r>
    </w:p>
    <w:p w:rsidR="004454E3" w:rsidRPr="004454E3" w:rsidRDefault="004454E3" w:rsidP="004454E3">
      <w:pPr>
        <w:pStyle w:val="Heading2"/>
        <w:spacing w:after="120"/>
        <w:rPr>
          <w:rFonts w:eastAsiaTheme="minorHAnsi"/>
          <w:b w:val="0"/>
          <w:bCs w:val="0"/>
        </w:rPr>
      </w:pPr>
    </w:p>
    <w:p w:rsidR="00BF189B" w:rsidRPr="00261E9D" w:rsidRDefault="00BF189B" w:rsidP="00882520">
      <w:pPr>
        <w:pStyle w:val="Heading2"/>
        <w:numPr>
          <w:ilvl w:val="1"/>
          <w:numId w:val="56"/>
        </w:numPr>
        <w:rPr>
          <w:u w:val="single"/>
        </w:rPr>
      </w:pPr>
      <w:bookmarkStart w:id="21" w:name="_Toc442284045"/>
      <w:bookmarkStart w:id="22" w:name="_Toc473123075"/>
      <w:r w:rsidRPr="00261E9D">
        <w:rPr>
          <w:u w:val="single"/>
        </w:rPr>
        <w:t>Specific objectives</w:t>
      </w:r>
      <w:bookmarkEnd w:id="21"/>
      <w:bookmarkEnd w:id="22"/>
    </w:p>
    <w:p w:rsidR="00BF189B" w:rsidRDefault="00BF189B" w:rsidP="00301DBB">
      <w:pPr>
        <w:spacing w:after="0" w:line="240" w:lineRule="auto"/>
        <w:jc w:val="both"/>
        <w:rPr>
          <w:rFonts w:ascii="Times New Roman" w:hAnsi="Times New Roman" w:cs="Times New Roman"/>
          <w:sz w:val="24"/>
          <w:szCs w:val="24"/>
        </w:rPr>
      </w:pPr>
    </w:p>
    <w:p w:rsidR="00501BF3" w:rsidRDefault="00375234" w:rsidP="00301D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regard to</w:t>
      </w:r>
      <w:r w:rsidR="00501BF3">
        <w:rPr>
          <w:rFonts w:ascii="Times New Roman" w:hAnsi="Times New Roman" w:cs="Times New Roman"/>
          <w:sz w:val="24"/>
          <w:szCs w:val="24"/>
        </w:rPr>
        <w:t xml:space="preserve"> future EU-</w:t>
      </w:r>
      <w:r w:rsidR="00E917B6">
        <w:rPr>
          <w:rFonts w:ascii="Times New Roman" w:hAnsi="Times New Roman" w:cs="Times New Roman"/>
          <w:sz w:val="24"/>
          <w:szCs w:val="24"/>
        </w:rPr>
        <w:t xml:space="preserve">Chile </w:t>
      </w:r>
      <w:r w:rsidR="00501BF3">
        <w:rPr>
          <w:rFonts w:ascii="Times New Roman" w:hAnsi="Times New Roman" w:cs="Times New Roman"/>
          <w:sz w:val="24"/>
          <w:szCs w:val="24"/>
        </w:rPr>
        <w:t>economic and trade relations, the general objectives set out above would translate into the following specific objectives:</w:t>
      </w:r>
    </w:p>
    <w:p w:rsidR="00501BF3" w:rsidRPr="00501BF3" w:rsidRDefault="00501BF3" w:rsidP="00301DBB">
      <w:pPr>
        <w:spacing w:after="0" w:line="240" w:lineRule="auto"/>
        <w:jc w:val="both"/>
        <w:rPr>
          <w:rFonts w:ascii="Times New Roman" w:hAnsi="Times New Roman" w:cs="Times New Roman"/>
          <w:sz w:val="24"/>
          <w:szCs w:val="24"/>
        </w:rPr>
      </w:pPr>
    </w:p>
    <w:p w:rsidR="00BF189B" w:rsidRDefault="004A7B8F" w:rsidP="003E41D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482AE8">
        <w:rPr>
          <w:rFonts w:ascii="Times New Roman" w:hAnsi="Times New Roman" w:cs="Times New Roman"/>
          <w:sz w:val="24"/>
          <w:szCs w:val="24"/>
        </w:rPr>
        <w:t>ealise untapped</w:t>
      </w:r>
      <w:r w:rsidR="00BF189B" w:rsidRPr="00501BF3">
        <w:rPr>
          <w:rFonts w:ascii="Times New Roman" w:hAnsi="Times New Roman" w:cs="Times New Roman"/>
          <w:sz w:val="24"/>
          <w:szCs w:val="24"/>
        </w:rPr>
        <w:t xml:space="preserve"> market </w:t>
      </w:r>
      <w:r w:rsidR="00482AE8">
        <w:rPr>
          <w:rFonts w:ascii="Times New Roman" w:hAnsi="Times New Roman" w:cs="Times New Roman"/>
          <w:sz w:val="24"/>
          <w:szCs w:val="24"/>
        </w:rPr>
        <w:t xml:space="preserve">opportunities in </w:t>
      </w:r>
      <w:r w:rsidR="00BF189B" w:rsidRPr="00501BF3">
        <w:rPr>
          <w:rFonts w:ascii="Times New Roman" w:hAnsi="Times New Roman" w:cs="Times New Roman"/>
          <w:sz w:val="24"/>
          <w:szCs w:val="24"/>
        </w:rPr>
        <w:t>goods, services</w:t>
      </w:r>
      <w:r w:rsidR="00482AE8">
        <w:rPr>
          <w:rFonts w:ascii="Times New Roman" w:hAnsi="Times New Roman" w:cs="Times New Roman"/>
          <w:sz w:val="24"/>
          <w:szCs w:val="24"/>
        </w:rPr>
        <w:t xml:space="preserve">, </w:t>
      </w:r>
      <w:r w:rsidR="00BF189B" w:rsidRPr="00501BF3">
        <w:rPr>
          <w:rFonts w:ascii="Times New Roman" w:hAnsi="Times New Roman" w:cs="Times New Roman"/>
          <w:sz w:val="24"/>
          <w:szCs w:val="24"/>
        </w:rPr>
        <w:t xml:space="preserve">investment </w:t>
      </w:r>
      <w:r w:rsidR="00482AE8">
        <w:rPr>
          <w:rFonts w:ascii="Times New Roman" w:hAnsi="Times New Roman" w:cs="Times New Roman"/>
          <w:sz w:val="24"/>
          <w:szCs w:val="24"/>
        </w:rPr>
        <w:t xml:space="preserve">and </w:t>
      </w:r>
      <w:r w:rsidR="00BF189B" w:rsidRPr="00501BF3">
        <w:rPr>
          <w:rFonts w:ascii="Times New Roman" w:hAnsi="Times New Roman" w:cs="Times New Roman"/>
          <w:sz w:val="24"/>
          <w:szCs w:val="24"/>
        </w:rPr>
        <w:t xml:space="preserve">government procurement from the EU and </w:t>
      </w:r>
      <w:r w:rsidR="00E917B6">
        <w:rPr>
          <w:rFonts w:ascii="Times New Roman" w:hAnsi="Times New Roman" w:cs="Times New Roman"/>
          <w:sz w:val="24"/>
          <w:szCs w:val="24"/>
        </w:rPr>
        <w:t xml:space="preserve">Chile </w:t>
      </w:r>
      <w:r w:rsidR="00501BF3">
        <w:rPr>
          <w:rFonts w:ascii="Times New Roman" w:hAnsi="Times New Roman" w:cs="Times New Roman"/>
          <w:sz w:val="24"/>
          <w:szCs w:val="24"/>
        </w:rPr>
        <w:t xml:space="preserve">by further </w:t>
      </w:r>
      <w:r w:rsidR="00061B69">
        <w:rPr>
          <w:rFonts w:ascii="Times New Roman" w:hAnsi="Times New Roman" w:cs="Times New Roman"/>
          <w:sz w:val="24"/>
          <w:szCs w:val="24"/>
        </w:rPr>
        <w:t xml:space="preserve">eliminating, </w:t>
      </w:r>
      <w:r w:rsidR="00501BF3">
        <w:rPr>
          <w:rFonts w:ascii="Times New Roman" w:hAnsi="Times New Roman" w:cs="Times New Roman"/>
          <w:sz w:val="24"/>
          <w:szCs w:val="24"/>
        </w:rPr>
        <w:t xml:space="preserve">reducing </w:t>
      </w:r>
      <w:r w:rsidR="00061B69">
        <w:rPr>
          <w:rFonts w:ascii="Times New Roman" w:hAnsi="Times New Roman" w:cs="Times New Roman"/>
          <w:sz w:val="24"/>
          <w:szCs w:val="24"/>
        </w:rPr>
        <w:t xml:space="preserve">or preventing unnecessary </w:t>
      </w:r>
      <w:r w:rsidR="00501BF3">
        <w:rPr>
          <w:rFonts w:ascii="Times New Roman" w:hAnsi="Times New Roman" w:cs="Times New Roman"/>
          <w:sz w:val="24"/>
          <w:szCs w:val="24"/>
        </w:rPr>
        <w:t>barriers</w:t>
      </w:r>
      <w:r w:rsidR="00BF189B" w:rsidRPr="00501BF3">
        <w:rPr>
          <w:rFonts w:ascii="Times New Roman" w:hAnsi="Times New Roman" w:cs="Times New Roman"/>
          <w:sz w:val="24"/>
          <w:szCs w:val="24"/>
        </w:rPr>
        <w:t>,</w:t>
      </w:r>
    </w:p>
    <w:p w:rsidR="00F64436" w:rsidRDefault="002F1246" w:rsidP="003E41D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F64436">
        <w:rPr>
          <w:rFonts w:ascii="Times New Roman" w:hAnsi="Times New Roman" w:cs="Times New Roman"/>
          <w:sz w:val="24"/>
          <w:szCs w:val="24"/>
        </w:rPr>
        <w:t xml:space="preserve">nsure </w:t>
      </w:r>
      <w:r w:rsidR="00195315">
        <w:rPr>
          <w:rFonts w:ascii="Times New Roman" w:hAnsi="Times New Roman" w:cs="Times New Roman"/>
          <w:sz w:val="24"/>
          <w:szCs w:val="24"/>
        </w:rPr>
        <w:t xml:space="preserve">a </w:t>
      </w:r>
      <w:r w:rsidR="00A01FDF">
        <w:rPr>
          <w:rFonts w:ascii="Times New Roman" w:hAnsi="Times New Roman" w:cs="Times New Roman"/>
          <w:sz w:val="24"/>
          <w:szCs w:val="24"/>
        </w:rPr>
        <w:t xml:space="preserve">single, </w:t>
      </w:r>
      <w:r w:rsidR="00F64436">
        <w:rPr>
          <w:rFonts w:ascii="Times New Roman" w:hAnsi="Times New Roman" w:cs="Times New Roman"/>
          <w:sz w:val="24"/>
          <w:szCs w:val="24"/>
        </w:rPr>
        <w:t xml:space="preserve">effective investment protection </w:t>
      </w:r>
      <w:r w:rsidR="00A01FDF">
        <w:rPr>
          <w:rFonts w:ascii="Times New Roman" w:hAnsi="Times New Roman" w:cs="Times New Roman"/>
          <w:sz w:val="24"/>
          <w:szCs w:val="24"/>
        </w:rPr>
        <w:t>framework for all EU investments, enforced</w:t>
      </w:r>
      <w:r w:rsidR="00F64436">
        <w:rPr>
          <w:rFonts w:ascii="Times New Roman" w:hAnsi="Times New Roman" w:cs="Times New Roman"/>
          <w:sz w:val="24"/>
          <w:szCs w:val="24"/>
        </w:rPr>
        <w:t xml:space="preserve"> through a</w:t>
      </w:r>
      <w:r w:rsidR="00211FCB">
        <w:rPr>
          <w:rFonts w:ascii="Times New Roman" w:hAnsi="Times New Roman" w:cs="Times New Roman"/>
          <w:sz w:val="24"/>
          <w:szCs w:val="24"/>
        </w:rPr>
        <w:t>n</w:t>
      </w:r>
      <w:r w:rsidR="00F64436">
        <w:rPr>
          <w:rFonts w:ascii="Times New Roman" w:hAnsi="Times New Roman" w:cs="Times New Roman"/>
          <w:sz w:val="24"/>
          <w:szCs w:val="24"/>
        </w:rPr>
        <w:t xml:space="preserve"> Investment Court System</w:t>
      </w:r>
      <w:r w:rsidR="00211FCB">
        <w:rPr>
          <w:rFonts w:ascii="Times New Roman" w:hAnsi="Times New Roman" w:cs="Times New Roman"/>
          <w:sz w:val="24"/>
          <w:szCs w:val="24"/>
        </w:rPr>
        <w:t>,</w:t>
      </w:r>
      <w:r w:rsidR="00F64436">
        <w:rPr>
          <w:rFonts w:ascii="Times New Roman" w:hAnsi="Times New Roman" w:cs="Times New Roman"/>
          <w:sz w:val="24"/>
          <w:szCs w:val="24"/>
        </w:rPr>
        <w:t xml:space="preserve"> </w:t>
      </w:r>
    </w:p>
    <w:p w:rsidR="00BF189B" w:rsidRDefault="00BF189B" w:rsidP="003E41D3">
      <w:pPr>
        <w:numPr>
          <w:ilvl w:val="0"/>
          <w:numId w:val="1"/>
        </w:numPr>
        <w:spacing w:after="0" w:line="240" w:lineRule="auto"/>
        <w:jc w:val="both"/>
        <w:rPr>
          <w:rFonts w:ascii="Times New Roman" w:hAnsi="Times New Roman" w:cs="Times New Roman"/>
          <w:sz w:val="24"/>
          <w:szCs w:val="24"/>
        </w:rPr>
      </w:pPr>
      <w:r w:rsidRPr="00501BF3">
        <w:rPr>
          <w:rFonts w:ascii="Times New Roman" w:hAnsi="Times New Roman" w:cs="Times New Roman"/>
          <w:sz w:val="24"/>
          <w:szCs w:val="24"/>
        </w:rPr>
        <w:t xml:space="preserve">ensure a high level of protection </w:t>
      </w:r>
      <w:r w:rsidR="00F64436">
        <w:rPr>
          <w:rFonts w:ascii="Times New Roman" w:hAnsi="Times New Roman" w:cs="Times New Roman"/>
          <w:sz w:val="24"/>
          <w:szCs w:val="24"/>
        </w:rPr>
        <w:t xml:space="preserve">of </w:t>
      </w:r>
      <w:r w:rsidR="00F82BFE">
        <w:rPr>
          <w:rFonts w:ascii="Times New Roman" w:hAnsi="Times New Roman" w:cs="Times New Roman"/>
          <w:sz w:val="24"/>
          <w:szCs w:val="24"/>
        </w:rPr>
        <w:t>IPR</w:t>
      </w:r>
      <w:r w:rsidRPr="00501BF3">
        <w:rPr>
          <w:rFonts w:ascii="Times New Roman" w:hAnsi="Times New Roman" w:cs="Times New Roman"/>
          <w:sz w:val="24"/>
          <w:szCs w:val="24"/>
        </w:rPr>
        <w:t>,</w:t>
      </w:r>
    </w:p>
    <w:p w:rsidR="009C78B2" w:rsidRDefault="00061B69" w:rsidP="003E41D3">
      <w:pPr>
        <w:numPr>
          <w:ilvl w:val="0"/>
          <w:numId w:val="1"/>
        </w:numPr>
        <w:spacing w:after="0" w:line="240" w:lineRule="auto"/>
        <w:jc w:val="both"/>
        <w:rPr>
          <w:rFonts w:ascii="Times New Roman" w:hAnsi="Times New Roman" w:cs="Times New Roman"/>
          <w:sz w:val="24"/>
          <w:szCs w:val="24"/>
        </w:rPr>
      </w:pPr>
      <w:r w:rsidRPr="00501BF3">
        <w:rPr>
          <w:rFonts w:ascii="Times New Roman" w:hAnsi="Times New Roman" w:cs="Times New Roman"/>
          <w:sz w:val="24"/>
          <w:szCs w:val="24"/>
        </w:rPr>
        <w:t>reinforce dialogue</w:t>
      </w:r>
      <w:r w:rsidR="009A26EB">
        <w:rPr>
          <w:rFonts w:ascii="Times New Roman" w:hAnsi="Times New Roman" w:cs="Times New Roman"/>
          <w:sz w:val="24"/>
          <w:szCs w:val="24"/>
        </w:rPr>
        <w:t xml:space="preserve"> and</w:t>
      </w:r>
      <w:r w:rsidRPr="00501BF3">
        <w:rPr>
          <w:rFonts w:ascii="Times New Roman" w:hAnsi="Times New Roman" w:cs="Times New Roman"/>
          <w:sz w:val="24"/>
          <w:szCs w:val="24"/>
        </w:rPr>
        <w:t xml:space="preserve"> cooperation </w:t>
      </w:r>
      <w:r w:rsidR="00EE78E1">
        <w:rPr>
          <w:rFonts w:ascii="Times New Roman" w:hAnsi="Times New Roman" w:cs="Times New Roman"/>
          <w:sz w:val="24"/>
          <w:szCs w:val="24"/>
        </w:rPr>
        <w:t xml:space="preserve">on </w:t>
      </w:r>
      <w:r w:rsidRPr="00501BF3">
        <w:rPr>
          <w:rFonts w:ascii="Times New Roman" w:hAnsi="Times New Roman" w:cs="Times New Roman"/>
          <w:sz w:val="24"/>
          <w:szCs w:val="24"/>
        </w:rPr>
        <w:t>regulatory frameworks (including technical regulations and conformity assessment procedures) and administrative practices to  i</w:t>
      </w:r>
      <w:r w:rsidR="00CE3572">
        <w:rPr>
          <w:rFonts w:ascii="Times New Roman" w:hAnsi="Times New Roman" w:cs="Times New Roman"/>
          <w:sz w:val="24"/>
          <w:szCs w:val="24"/>
        </w:rPr>
        <w:t>mprove regulatory coherence,</w:t>
      </w:r>
      <w:r w:rsidR="00AF765F">
        <w:rPr>
          <w:rFonts w:ascii="Times New Roman" w:hAnsi="Times New Roman" w:cs="Times New Roman"/>
          <w:sz w:val="24"/>
          <w:szCs w:val="24"/>
        </w:rPr>
        <w:t xml:space="preserve"> </w:t>
      </w:r>
    </w:p>
    <w:p w:rsidR="00061B69" w:rsidRDefault="009C78B2" w:rsidP="003E41D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increase opportunities through specific mechanisms and simplified procedures for small and medium-sized enterprises, </w:t>
      </w:r>
      <w:r w:rsidR="00AF765F">
        <w:rPr>
          <w:rFonts w:ascii="Times New Roman" w:hAnsi="Times New Roman" w:cs="Times New Roman"/>
          <w:sz w:val="24"/>
          <w:szCs w:val="24"/>
        </w:rPr>
        <w:t>and</w:t>
      </w:r>
    </w:p>
    <w:p w:rsidR="00061B69" w:rsidRDefault="00061B69" w:rsidP="003E41D3">
      <w:pPr>
        <w:numPr>
          <w:ilvl w:val="0"/>
          <w:numId w:val="1"/>
        </w:numPr>
        <w:spacing w:after="0" w:line="240" w:lineRule="auto"/>
        <w:jc w:val="both"/>
        <w:rPr>
          <w:rFonts w:ascii="Times New Roman" w:hAnsi="Times New Roman" w:cs="Times New Roman"/>
          <w:sz w:val="24"/>
          <w:szCs w:val="24"/>
        </w:rPr>
      </w:pPr>
      <w:r w:rsidRPr="00501BF3">
        <w:rPr>
          <w:rFonts w:ascii="Times New Roman" w:hAnsi="Times New Roman" w:cs="Times New Roman"/>
          <w:sz w:val="24"/>
          <w:szCs w:val="24"/>
        </w:rPr>
        <w:t>contribute to the shared objective of promoting sustainable development</w:t>
      </w:r>
      <w:r w:rsidR="00482AE8">
        <w:rPr>
          <w:rFonts w:ascii="Times New Roman" w:hAnsi="Times New Roman" w:cs="Times New Roman"/>
          <w:sz w:val="24"/>
          <w:szCs w:val="24"/>
        </w:rPr>
        <w:t xml:space="preserve"> and broader EU values such as human rights</w:t>
      </w:r>
      <w:r w:rsidR="000B034E">
        <w:rPr>
          <w:rFonts w:ascii="Times New Roman" w:hAnsi="Times New Roman" w:cs="Times New Roman"/>
          <w:sz w:val="24"/>
          <w:szCs w:val="24"/>
        </w:rPr>
        <w:t>, inter alia</w:t>
      </w:r>
      <w:r w:rsidRPr="00501BF3">
        <w:rPr>
          <w:rFonts w:ascii="Times New Roman" w:hAnsi="Times New Roman" w:cs="Times New Roman"/>
          <w:sz w:val="24"/>
          <w:szCs w:val="24"/>
        </w:rPr>
        <w:t xml:space="preserve"> by including trade-related provi</w:t>
      </w:r>
      <w:r w:rsidR="00CE3572">
        <w:rPr>
          <w:rFonts w:ascii="Times New Roman" w:hAnsi="Times New Roman" w:cs="Times New Roman"/>
          <w:sz w:val="24"/>
          <w:szCs w:val="24"/>
        </w:rPr>
        <w:t>sions on labour</w:t>
      </w:r>
      <w:r w:rsidR="00482AE8">
        <w:rPr>
          <w:rFonts w:ascii="Times New Roman" w:hAnsi="Times New Roman" w:cs="Times New Roman"/>
          <w:sz w:val="24"/>
          <w:szCs w:val="24"/>
        </w:rPr>
        <w:t>,</w:t>
      </w:r>
      <w:r w:rsidR="00CE3572">
        <w:rPr>
          <w:rFonts w:ascii="Times New Roman" w:hAnsi="Times New Roman" w:cs="Times New Roman"/>
          <w:sz w:val="24"/>
          <w:szCs w:val="24"/>
        </w:rPr>
        <w:t xml:space="preserve"> environment</w:t>
      </w:r>
      <w:r w:rsidR="00482AE8">
        <w:rPr>
          <w:rFonts w:ascii="Times New Roman" w:hAnsi="Times New Roman" w:cs="Times New Roman"/>
          <w:sz w:val="24"/>
          <w:szCs w:val="24"/>
        </w:rPr>
        <w:t xml:space="preserve"> and gender</w:t>
      </w:r>
      <w:r w:rsidR="00BB7496">
        <w:rPr>
          <w:rFonts w:ascii="Times New Roman" w:hAnsi="Times New Roman" w:cs="Times New Roman"/>
          <w:sz w:val="24"/>
          <w:szCs w:val="24"/>
        </w:rPr>
        <w:t>.</w:t>
      </w:r>
    </w:p>
    <w:p w:rsidR="00482AE8" w:rsidRDefault="00482AE8" w:rsidP="009C78B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7B32AA" w:rsidRPr="001E7E87" w:rsidRDefault="007B32AA" w:rsidP="001E7E87">
      <w:pPr>
        <w:spacing w:after="0" w:line="240" w:lineRule="auto"/>
        <w:jc w:val="both"/>
        <w:rPr>
          <w:rFonts w:ascii="Times New Roman" w:hAnsi="Times New Roman" w:cs="Times New Roman"/>
          <w:sz w:val="24"/>
          <w:szCs w:val="24"/>
        </w:rPr>
      </w:pPr>
      <w:r w:rsidRPr="001E7E87">
        <w:rPr>
          <w:rFonts w:ascii="Times New Roman" w:hAnsi="Times New Roman" w:cs="Times New Roman"/>
          <w:sz w:val="24"/>
          <w:szCs w:val="24"/>
        </w:rPr>
        <w:t xml:space="preserve">These objectives are consistent with the findings of the public consultation, with respondents indicating as key general priorities in the FTA modernisation exercise: increased market access on agriculture and fisheries, removing barriers and facilitating investment, increased access to public procurement, updating rules of origin, increasing IPR protection and enforcement, reducing non-tariff barriers, further regulatory cooperation, addressing digital trade and ensuring that the Agreement contributes to sustainable development. </w:t>
      </w:r>
    </w:p>
    <w:p w:rsidR="004454E3" w:rsidRDefault="004454E3" w:rsidP="007D435C">
      <w:pPr>
        <w:spacing w:after="0" w:line="240" w:lineRule="auto"/>
        <w:jc w:val="both"/>
        <w:rPr>
          <w:rFonts w:ascii="Times New Roman" w:hAnsi="Times New Roman" w:cs="Times New Roman"/>
          <w:sz w:val="24"/>
          <w:szCs w:val="24"/>
        </w:rPr>
      </w:pPr>
    </w:p>
    <w:p w:rsidR="00645951" w:rsidRDefault="00645951" w:rsidP="007D435C">
      <w:pPr>
        <w:spacing w:after="0" w:line="240" w:lineRule="auto"/>
        <w:jc w:val="both"/>
        <w:rPr>
          <w:rFonts w:ascii="Times New Roman" w:hAnsi="Times New Roman" w:cs="Times New Roman"/>
          <w:sz w:val="24"/>
          <w:szCs w:val="24"/>
        </w:rPr>
      </w:pPr>
    </w:p>
    <w:p w:rsidR="00BB0776" w:rsidRPr="00973C78" w:rsidRDefault="00BB0776" w:rsidP="00882520">
      <w:pPr>
        <w:pStyle w:val="Heading2"/>
        <w:numPr>
          <w:ilvl w:val="1"/>
          <w:numId w:val="56"/>
        </w:numPr>
        <w:rPr>
          <w:u w:val="single"/>
        </w:rPr>
      </w:pPr>
      <w:bookmarkStart w:id="23" w:name="_Toc473123076"/>
      <w:r w:rsidRPr="00261E9D">
        <w:rPr>
          <w:u w:val="single"/>
        </w:rPr>
        <w:t>Consistency of the objectives of this initiative with other EU policies</w:t>
      </w:r>
      <w:bookmarkEnd w:id="23"/>
    </w:p>
    <w:p w:rsidR="00973C78" w:rsidRDefault="00973C78" w:rsidP="00BB0776">
      <w:pPr>
        <w:spacing w:after="120" w:line="240" w:lineRule="auto"/>
        <w:jc w:val="both"/>
        <w:rPr>
          <w:rFonts w:ascii="Times New Roman" w:hAnsi="Times New Roman" w:cs="Times New Roman"/>
          <w:bCs/>
          <w:sz w:val="24"/>
          <w:szCs w:val="24"/>
        </w:rPr>
      </w:pPr>
    </w:p>
    <w:p w:rsidR="00BB0776" w:rsidRPr="00FE1F09" w:rsidRDefault="00BB0776" w:rsidP="00E851A2">
      <w:pPr>
        <w:spacing w:after="240" w:line="240" w:lineRule="auto"/>
        <w:jc w:val="both"/>
        <w:rPr>
          <w:rFonts w:ascii="Times New Roman" w:hAnsi="Times New Roman" w:cs="Times New Roman"/>
          <w:bCs/>
          <w:sz w:val="24"/>
          <w:szCs w:val="24"/>
        </w:rPr>
      </w:pPr>
      <w:r w:rsidRPr="00FE1F09">
        <w:rPr>
          <w:rFonts w:ascii="Times New Roman" w:hAnsi="Times New Roman" w:cs="Times New Roman"/>
          <w:bCs/>
          <w:sz w:val="24"/>
          <w:szCs w:val="24"/>
        </w:rPr>
        <w:t xml:space="preserve">The objectives described above are fully consistent with, and indeed stem from the principle that the European Union should </w:t>
      </w:r>
      <w:r w:rsidRPr="00FE1F09">
        <w:rPr>
          <w:rFonts w:ascii="Times New Roman" w:hAnsi="Times New Roman" w:cs="Times New Roman"/>
          <w:bCs/>
          <w:i/>
          <w:sz w:val="24"/>
          <w:szCs w:val="24"/>
        </w:rPr>
        <w:t>encourage the integration of all countries into the world economy, including through the progressive abolition of restrictions on international trade</w:t>
      </w:r>
      <w:r w:rsidRPr="00FE1F09">
        <w:rPr>
          <w:rStyle w:val="FootnoteReference"/>
          <w:rFonts w:ascii="Times New Roman" w:hAnsi="Times New Roman" w:cs="Times New Roman"/>
          <w:bCs/>
          <w:sz w:val="24"/>
          <w:szCs w:val="24"/>
        </w:rPr>
        <w:footnoteReference w:id="17"/>
      </w:r>
      <w:r w:rsidRPr="00FE1F09">
        <w:rPr>
          <w:rFonts w:ascii="Times New Roman" w:hAnsi="Times New Roman" w:cs="Times New Roman"/>
          <w:bCs/>
          <w:sz w:val="24"/>
          <w:szCs w:val="24"/>
        </w:rPr>
        <w:t>.</w:t>
      </w:r>
    </w:p>
    <w:p w:rsidR="008D0D8E" w:rsidRPr="00FE1F09" w:rsidRDefault="00BB0776" w:rsidP="00E851A2">
      <w:pPr>
        <w:autoSpaceDE w:val="0"/>
        <w:autoSpaceDN w:val="0"/>
        <w:adjustRightInd w:val="0"/>
        <w:snapToGrid w:val="0"/>
        <w:spacing w:after="240" w:line="240" w:lineRule="auto"/>
        <w:jc w:val="both"/>
        <w:rPr>
          <w:rFonts w:ascii="Times New Roman" w:hAnsi="Times New Roman" w:cs="Times New Roman"/>
          <w:bCs/>
          <w:sz w:val="24"/>
          <w:szCs w:val="24"/>
        </w:rPr>
      </w:pPr>
      <w:r w:rsidRPr="00FE1F09">
        <w:rPr>
          <w:rFonts w:ascii="Times New Roman" w:hAnsi="Times New Roman" w:cs="Times New Roman"/>
          <w:bCs/>
          <w:sz w:val="24"/>
          <w:szCs w:val="24"/>
        </w:rPr>
        <w:t xml:space="preserve">The objectives are also in line with the </w:t>
      </w:r>
      <w:r w:rsidR="00DD34A8">
        <w:rPr>
          <w:rFonts w:ascii="Times New Roman" w:hAnsi="Times New Roman" w:cs="Times New Roman"/>
          <w:bCs/>
          <w:sz w:val="24"/>
          <w:szCs w:val="24"/>
        </w:rPr>
        <w:t>Trade for All Communication</w:t>
      </w:r>
      <w:r w:rsidR="008D0D8E">
        <w:rPr>
          <w:rFonts w:ascii="Times New Roman" w:hAnsi="Times New Roman" w:cs="Times New Roman"/>
          <w:bCs/>
          <w:sz w:val="24"/>
          <w:szCs w:val="24"/>
        </w:rPr>
        <w:t xml:space="preserve"> of 2015</w:t>
      </w:r>
      <w:r w:rsidR="00DD34A8">
        <w:rPr>
          <w:rFonts w:ascii="Times New Roman" w:hAnsi="Times New Roman" w:cs="Times New Roman"/>
          <w:bCs/>
          <w:sz w:val="24"/>
          <w:szCs w:val="24"/>
        </w:rPr>
        <w:t xml:space="preserve">, </w:t>
      </w:r>
      <w:r w:rsidR="008D0D8E">
        <w:rPr>
          <w:rFonts w:ascii="Times New Roman" w:hAnsi="Times New Roman" w:cs="Times New Roman"/>
          <w:bCs/>
          <w:sz w:val="24"/>
          <w:szCs w:val="24"/>
        </w:rPr>
        <w:t xml:space="preserve">which underlined </w:t>
      </w:r>
      <w:r w:rsidR="008D0D8E" w:rsidRPr="00FE1F09">
        <w:rPr>
          <w:rFonts w:ascii="Times New Roman" w:hAnsi="Times New Roman" w:cs="Times New Roman"/>
          <w:bCs/>
          <w:sz w:val="24"/>
          <w:szCs w:val="24"/>
        </w:rPr>
        <w:t xml:space="preserve">the need to move bilateral relationships </w:t>
      </w:r>
      <w:r w:rsidR="008D0D8E">
        <w:rPr>
          <w:rFonts w:ascii="Times New Roman" w:hAnsi="Times New Roman" w:cs="Times New Roman"/>
          <w:bCs/>
          <w:sz w:val="24"/>
          <w:szCs w:val="24"/>
        </w:rPr>
        <w:t xml:space="preserve">forward </w:t>
      </w:r>
      <w:r w:rsidR="008D0D8E" w:rsidRPr="00FE1F09">
        <w:rPr>
          <w:rFonts w:ascii="Times New Roman" w:hAnsi="Times New Roman" w:cs="Times New Roman"/>
          <w:bCs/>
          <w:sz w:val="24"/>
          <w:szCs w:val="24"/>
        </w:rPr>
        <w:t>in order to deliver jobs and growth by tackling trade and investment barriers in a comprehensive way</w:t>
      </w:r>
      <w:r w:rsidR="008D0D8E" w:rsidRPr="00FE1F09">
        <w:rPr>
          <w:rFonts w:ascii="Times New Roman" w:hAnsi="Times New Roman" w:cs="Times New Roman"/>
          <w:sz w:val="24"/>
          <w:szCs w:val="24"/>
        </w:rPr>
        <w:t xml:space="preserve"> </w:t>
      </w:r>
      <w:r w:rsidR="008D0D8E" w:rsidRPr="00FE1F09">
        <w:rPr>
          <w:rFonts w:ascii="Times New Roman" w:hAnsi="Times New Roman" w:cs="Times New Roman"/>
          <w:bCs/>
          <w:sz w:val="24"/>
          <w:szCs w:val="24"/>
        </w:rPr>
        <w:t xml:space="preserve">while securing the EU's </w:t>
      </w:r>
      <w:r w:rsidR="008D0D8E">
        <w:rPr>
          <w:rFonts w:ascii="Times New Roman" w:hAnsi="Times New Roman" w:cs="Times New Roman"/>
          <w:bCs/>
          <w:sz w:val="24"/>
          <w:szCs w:val="24"/>
        </w:rPr>
        <w:t xml:space="preserve">high </w:t>
      </w:r>
      <w:r w:rsidR="008D0D8E" w:rsidRPr="00FE1F09">
        <w:rPr>
          <w:rFonts w:ascii="Times New Roman" w:hAnsi="Times New Roman" w:cs="Times New Roman"/>
          <w:bCs/>
          <w:sz w:val="24"/>
          <w:szCs w:val="24"/>
        </w:rPr>
        <w:t xml:space="preserve">level of social and environmental protection and contributing to other policy objectives, including sustainable development and the particular needs of SMEs. </w:t>
      </w:r>
      <w:r w:rsidR="008D0D8E">
        <w:rPr>
          <w:rFonts w:ascii="Times New Roman" w:hAnsi="Times New Roman" w:cs="Times New Roman"/>
          <w:bCs/>
          <w:sz w:val="24"/>
          <w:szCs w:val="24"/>
        </w:rPr>
        <w:t>In particular the Communication indicated that "</w:t>
      </w:r>
      <w:r w:rsidR="008D0D8E" w:rsidRPr="001E7E87">
        <w:rPr>
          <w:rFonts w:ascii="Times New Roman" w:hAnsi="Times New Roman" w:cs="Times New Roman"/>
          <w:bCs/>
          <w:i/>
          <w:sz w:val="24"/>
          <w:szCs w:val="24"/>
        </w:rPr>
        <w:t>The Commission will request negotiating directives to modernise the FTA with Mexico and Chile after completing the scoping exercise. These agreements should be comparable to, and compatible with, our FTA with Canada</w:t>
      </w:r>
      <w:r w:rsidR="008D0D8E">
        <w:rPr>
          <w:rFonts w:ascii="Times New Roman" w:hAnsi="Times New Roman" w:cs="Times New Roman"/>
          <w:bCs/>
          <w:i/>
          <w:sz w:val="24"/>
          <w:szCs w:val="24"/>
        </w:rPr>
        <w:t xml:space="preserve"> (</w:t>
      </w:r>
      <w:r w:rsidR="008D0D8E" w:rsidRPr="001E7E87">
        <w:rPr>
          <w:rFonts w:ascii="Times New Roman" w:hAnsi="Times New Roman" w:cs="Times New Roman"/>
          <w:bCs/>
          <w:i/>
          <w:sz w:val="24"/>
          <w:szCs w:val="24"/>
        </w:rPr>
        <w:t>…</w:t>
      </w:r>
      <w:r w:rsidR="008D0D8E">
        <w:rPr>
          <w:rFonts w:ascii="Times New Roman" w:hAnsi="Times New Roman" w:cs="Times New Roman"/>
          <w:bCs/>
          <w:i/>
          <w:sz w:val="24"/>
          <w:szCs w:val="24"/>
        </w:rPr>
        <w:t>)</w:t>
      </w:r>
      <w:r w:rsidR="008D0D8E">
        <w:rPr>
          <w:rFonts w:ascii="Times New Roman" w:hAnsi="Times New Roman" w:cs="Times New Roman"/>
          <w:bCs/>
          <w:sz w:val="24"/>
          <w:szCs w:val="24"/>
        </w:rPr>
        <w:t>".</w:t>
      </w:r>
    </w:p>
    <w:p w:rsidR="00BB0776" w:rsidRPr="00FE1F09" w:rsidRDefault="00BB0776" w:rsidP="00E851A2">
      <w:pPr>
        <w:spacing w:before="120" w:after="240" w:line="240" w:lineRule="auto"/>
        <w:jc w:val="both"/>
        <w:rPr>
          <w:rFonts w:ascii="Times New Roman" w:hAnsi="Times New Roman" w:cs="Times New Roman"/>
          <w:bCs/>
          <w:sz w:val="24"/>
          <w:szCs w:val="24"/>
        </w:rPr>
      </w:pPr>
      <w:r w:rsidRPr="00FE1F09">
        <w:rPr>
          <w:rFonts w:ascii="Times New Roman" w:hAnsi="Times New Roman" w:cs="Times New Roman"/>
          <w:bCs/>
          <w:sz w:val="24"/>
          <w:szCs w:val="24"/>
        </w:rPr>
        <w:t xml:space="preserve">In terms of contribution to the multilateral trading system, deep and comprehensive FTAs can usefully reinforce the benefits to be derived from the multilateral process, in particular by providing improvements in trading conditions, not just for the partners who are parties to bilateral agreements but also by providing benefits via most favoured nation treatment </w:t>
      </w:r>
      <w:r w:rsidR="001D5AF8">
        <w:rPr>
          <w:rFonts w:ascii="Times New Roman" w:hAnsi="Times New Roman" w:cs="Times New Roman"/>
          <w:bCs/>
          <w:sz w:val="24"/>
          <w:szCs w:val="24"/>
        </w:rPr>
        <w:t xml:space="preserve">(MFN) </w:t>
      </w:r>
      <w:r w:rsidRPr="00FE1F09">
        <w:rPr>
          <w:rFonts w:ascii="Times New Roman" w:hAnsi="Times New Roman" w:cs="Times New Roman"/>
          <w:bCs/>
          <w:sz w:val="24"/>
          <w:szCs w:val="24"/>
        </w:rPr>
        <w:t>to other WTO members, where this results from the agreement in question.</w:t>
      </w:r>
    </w:p>
    <w:p w:rsidR="00BB0776" w:rsidRPr="00FE1F09" w:rsidRDefault="00BB0776" w:rsidP="00E851A2">
      <w:pPr>
        <w:spacing w:after="240" w:line="240" w:lineRule="auto"/>
        <w:jc w:val="both"/>
        <w:rPr>
          <w:rFonts w:ascii="Times New Roman" w:hAnsi="Times New Roman" w:cs="Times New Roman"/>
          <w:bCs/>
          <w:sz w:val="24"/>
          <w:szCs w:val="24"/>
        </w:rPr>
      </w:pPr>
      <w:r w:rsidRPr="00FE1F09">
        <w:rPr>
          <w:rFonts w:ascii="Times New Roman" w:hAnsi="Times New Roman" w:cs="Times New Roman"/>
          <w:bCs/>
          <w:sz w:val="24"/>
          <w:szCs w:val="24"/>
        </w:rPr>
        <w:t>The objectives are also fully consistent with the objectives set out by the European Commission's Communication</w:t>
      </w:r>
      <w:r w:rsidR="001D5AF8">
        <w:rPr>
          <w:rFonts w:ascii="Times New Roman" w:hAnsi="Times New Roman" w:cs="Times New Roman"/>
          <w:bCs/>
          <w:sz w:val="24"/>
          <w:szCs w:val="24"/>
        </w:rPr>
        <w:t>s</w:t>
      </w:r>
      <w:r w:rsidRPr="00FE1F09">
        <w:rPr>
          <w:rFonts w:ascii="Times New Roman" w:hAnsi="Times New Roman" w:cs="Times New Roman"/>
          <w:bCs/>
          <w:sz w:val="24"/>
          <w:szCs w:val="24"/>
        </w:rPr>
        <w:t xml:space="preserve"> ‘Small Business Act for Europe’ (2008) and ‘Small Business, Big World’ (2011). Supporting SMEs economic activities outside the EU is also embedded in the Union's overall competitiveness strategy as outlined in the Europe 2020 Communication on Industrial Policy.</w:t>
      </w:r>
    </w:p>
    <w:p w:rsidR="00BB0776" w:rsidRPr="00FE1F09" w:rsidRDefault="00BB0776" w:rsidP="00E851A2">
      <w:pPr>
        <w:spacing w:after="240" w:line="240" w:lineRule="auto"/>
        <w:jc w:val="both"/>
        <w:rPr>
          <w:rFonts w:ascii="Times New Roman" w:hAnsi="Times New Roman" w:cs="Times New Roman"/>
          <w:bCs/>
          <w:sz w:val="24"/>
          <w:szCs w:val="24"/>
        </w:rPr>
      </w:pPr>
      <w:r w:rsidRPr="00FE1F09">
        <w:rPr>
          <w:rFonts w:ascii="Times New Roman" w:hAnsi="Times New Roman" w:cs="Times New Roman"/>
          <w:bCs/>
          <w:sz w:val="24"/>
          <w:szCs w:val="24"/>
        </w:rPr>
        <w:t xml:space="preserve">The objectives also comply with the principles established in the TEU stipulating that the Union's policies and actions should aim to </w:t>
      </w:r>
      <w:r w:rsidRPr="00FE1F09">
        <w:rPr>
          <w:rFonts w:ascii="Times New Roman" w:hAnsi="Times New Roman" w:cs="Times New Roman"/>
          <w:bCs/>
          <w:i/>
          <w:sz w:val="24"/>
          <w:szCs w:val="24"/>
        </w:rPr>
        <w:t>consolidate and support human rights</w:t>
      </w:r>
      <w:r w:rsidRPr="00FE1F09">
        <w:rPr>
          <w:rStyle w:val="FootnoteReference"/>
          <w:rFonts w:ascii="Times New Roman" w:hAnsi="Times New Roman" w:cs="Times New Roman"/>
          <w:bCs/>
          <w:sz w:val="24"/>
          <w:szCs w:val="24"/>
        </w:rPr>
        <w:footnoteReference w:id="18"/>
      </w:r>
      <w:r w:rsidRPr="00FE1F09">
        <w:rPr>
          <w:rFonts w:ascii="Times New Roman" w:hAnsi="Times New Roman" w:cs="Times New Roman"/>
          <w:bCs/>
          <w:sz w:val="24"/>
          <w:szCs w:val="24"/>
        </w:rPr>
        <w:t xml:space="preserve"> and to </w:t>
      </w:r>
      <w:r w:rsidRPr="00FE1F09">
        <w:rPr>
          <w:rFonts w:ascii="Times New Roman" w:hAnsi="Times New Roman" w:cs="Times New Roman"/>
          <w:bCs/>
          <w:i/>
          <w:sz w:val="24"/>
          <w:szCs w:val="24"/>
        </w:rPr>
        <w:t>help develop international measures to preserve and improve the quality of the environment and the sustainable management of global natural resources</w:t>
      </w:r>
      <w:r w:rsidRPr="00FE1F09">
        <w:rPr>
          <w:rStyle w:val="FootnoteReference"/>
          <w:rFonts w:ascii="Times New Roman" w:hAnsi="Times New Roman" w:cs="Times New Roman"/>
          <w:bCs/>
          <w:sz w:val="24"/>
          <w:szCs w:val="24"/>
        </w:rPr>
        <w:footnoteReference w:id="19"/>
      </w:r>
      <w:r w:rsidRPr="00FE1F09">
        <w:rPr>
          <w:rFonts w:ascii="Times New Roman" w:hAnsi="Times New Roman" w:cs="Times New Roman"/>
          <w:bCs/>
          <w:sz w:val="24"/>
          <w:szCs w:val="24"/>
        </w:rPr>
        <w:t xml:space="preserve"> in the manner set out in Chapter 5.</w:t>
      </w:r>
    </w:p>
    <w:p w:rsidR="00BB0776" w:rsidRPr="00FE1F09" w:rsidRDefault="00BB0776" w:rsidP="00BB0776">
      <w:pPr>
        <w:tabs>
          <w:tab w:val="left" w:pos="1425"/>
        </w:tabs>
        <w:spacing w:after="120" w:line="240" w:lineRule="auto"/>
        <w:jc w:val="both"/>
        <w:rPr>
          <w:rFonts w:ascii="Times New Roman" w:hAnsi="Times New Roman" w:cs="Times New Roman"/>
          <w:bCs/>
          <w:sz w:val="24"/>
          <w:szCs w:val="24"/>
        </w:rPr>
      </w:pPr>
      <w:r w:rsidRPr="00FE1F09">
        <w:rPr>
          <w:rFonts w:ascii="Times New Roman" w:hAnsi="Times New Roman" w:cs="Times New Roman"/>
          <w:bCs/>
          <w:sz w:val="24"/>
          <w:szCs w:val="24"/>
        </w:rPr>
        <w:t>The objectives are consistent with other EU pol</w:t>
      </w:r>
      <w:r w:rsidR="001D5AF8">
        <w:rPr>
          <w:rFonts w:ascii="Times New Roman" w:hAnsi="Times New Roman" w:cs="Times New Roman"/>
          <w:bCs/>
          <w:sz w:val="24"/>
          <w:szCs w:val="24"/>
        </w:rPr>
        <w:t>icies and with the Charter for F</w:t>
      </w:r>
      <w:r w:rsidRPr="00FE1F09">
        <w:rPr>
          <w:rFonts w:ascii="Times New Roman" w:hAnsi="Times New Roman" w:cs="Times New Roman"/>
          <w:bCs/>
          <w:sz w:val="24"/>
          <w:szCs w:val="24"/>
        </w:rPr>
        <w:t xml:space="preserve">undamental </w:t>
      </w:r>
      <w:r w:rsidR="001D5AF8">
        <w:rPr>
          <w:rFonts w:ascii="Times New Roman" w:hAnsi="Times New Roman" w:cs="Times New Roman"/>
          <w:bCs/>
          <w:sz w:val="24"/>
          <w:szCs w:val="24"/>
        </w:rPr>
        <w:t>R</w:t>
      </w:r>
      <w:r w:rsidRPr="00FE1F09">
        <w:rPr>
          <w:rFonts w:ascii="Times New Roman" w:hAnsi="Times New Roman" w:cs="Times New Roman"/>
          <w:bCs/>
          <w:sz w:val="24"/>
          <w:szCs w:val="24"/>
        </w:rPr>
        <w:t>ights.</w:t>
      </w:r>
      <w:r w:rsidR="00880C76">
        <w:rPr>
          <w:rFonts w:ascii="Times New Roman" w:hAnsi="Times New Roman" w:cs="Times New Roman"/>
          <w:bCs/>
          <w:sz w:val="24"/>
          <w:szCs w:val="24"/>
        </w:rPr>
        <w:t xml:space="preserve"> </w:t>
      </w:r>
      <w:r w:rsidRPr="00FE1F09">
        <w:rPr>
          <w:rFonts w:ascii="Times New Roman" w:hAnsi="Times New Roman" w:cs="Times New Roman"/>
          <w:bCs/>
          <w:sz w:val="24"/>
          <w:szCs w:val="24"/>
        </w:rPr>
        <w:t>Finally, the objectives are fully consistent with the Juncker Commission’s top priority to get Europe growing again and to increase the number of jobs without creating new debt</w:t>
      </w:r>
      <w:r w:rsidRPr="00FE1F09">
        <w:rPr>
          <w:rStyle w:val="FootnoteReference"/>
          <w:rFonts w:ascii="Times New Roman" w:hAnsi="Times New Roman" w:cs="Times New Roman"/>
          <w:bCs/>
          <w:sz w:val="24"/>
          <w:szCs w:val="24"/>
        </w:rPr>
        <w:footnoteReference w:id="20"/>
      </w:r>
      <w:r w:rsidR="001D5AF8">
        <w:rPr>
          <w:rFonts w:ascii="Times New Roman" w:hAnsi="Times New Roman" w:cs="Times New Roman"/>
          <w:bCs/>
          <w:sz w:val="24"/>
          <w:szCs w:val="24"/>
        </w:rPr>
        <w:t>,</w:t>
      </w:r>
      <w:r w:rsidR="00321486">
        <w:rPr>
          <w:rFonts w:ascii="Times New Roman" w:hAnsi="Times New Roman" w:cs="Times New Roman"/>
          <w:bCs/>
          <w:sz w:val="24"/>
          <w:szCs w:val="24"/>
        </w:rPr>
        <w:t xml:space="preserve"> </w:t>
      </w:r>
      <w:r w:rsidR="001D5AF8">
        <w:rPr>
          <w:rFonts w:ascii="Times New Roman" w:hAnsi="Times New Roman" w:cs="Times New Roman"/>
          <w:bCs/>
          <w:sz w:val="24"/>
          <w:szCs w:val="24"/>
        </w:rPr>
        <w:t xml:space="preserve">with </w:t>
      </w:r>
      <w:r w:rsidRPr="00FE1F09">
        <w:rPr>
          <w:rFonts w:ascii="Times New Roman" w:hAnsi="Times New Roman" w:cs="Times New Roman"/>
          <w:bCs/>
          <w:sz w:val="24"/>
          <w:szCs w:val="24"/>
        </w:rPr>
        <w:t>the Investment Plan</w:t>
      </w:r>
      <w:r w:rsidRPr="00FE1F09">
        <w:rPr>
          <w:rStyle w:val="FootnoteReference"/>
          <w:rFonts w:ascii="Times New Roman" w:hAnsi="Times New Roman" w:cs="Times New Roman"/>
          <w:bCs/>
          <w:sz w:val="24"/>
          <w:szCs w:val="24"/>
        </w:rPr>
        <w:footnoteReference w:id="21"/>
      </w:r>
      <w:r w:rsidR="001D5AF8">
        <w:rPr>
          <w:rFonts w:ascii="Times New Roman" w:hAnsi="Times New Roman" w:cs="Times New Roman"/>
          <w:bCs/>
          <w:sz w:val="24"/>
          <w:szCs w:val="24"/>
        </w:rPr>
        <w:t xml:space="preserve">, </w:t>
      </w:r>
      <w:r w:rsidRPr="00FE1F09">
        <w:rPr>
          <w:rFonts w:ascii="Times New Roman" w:hAnsi="Times New Roman" w:cs="Times New Roman"/>
          <w:bCs/>
          <w:sz w:val="24"/>
          <w:szCs w:val="24"/>
        </w:rPr>
        <w:t xml:space="preserve">and </w:t>
      </w:r>
      <w:r w:rsidR="001D5AF8">
        <w:rPr>
          <w:rFonts w:ascii="Times New Roman" w:hAnsi="Times New Roman" w:cs="Times New Roman"/>
          <w:bCs/>
          <w:sz w:val="24"/>
          <w:szCs w:val="24"/>
        </w:rPr>
        <w:t xml:space="preserve">with </w:t>
      </w:r>
      <w:r w:rsidRPr="00FE1F09">
        <w:rPr>
          <w:rFonts w:ascii="Times New Roman" w:hAnsi="Times New Roman" w:cs="Times New Roman"/>
          <w:bCs/>
          <w:sz w:val="24"/>
          <w:szCs w:val="24"/>
        </w:rPr>
        <w:t>the specific priorities set out by the Commission</w:t>
      </w:r>
      <w:r>
        <w:rPr>
          <w:rFonts w:ascii="Times New Roman" w:hAnsi="Times New Roman" w:cs="Times New Roman"/>
          <w:bCs/>
          <w:sz w:val="24"/>
          <w:szCs w:val="24"/>
        </w:rPr>
        <w:t xml:space="preserve"> Work Programme for 2017</w:t>
      </w:r>
      <w:r w:rsidRPr="00FE1F09">
        <w:rPr>
          <w:rStyle w:val="FootnoteReference"/>
          <w:rFonts w:ascii="Times New Roman" w:hAnsi="Times New Roman" w:cs="Times New Roman"/>
          <w:bCs/>
          <w:sz w:val="24"/>
          <w:szCs w:val="24"/>
        </w:rPr>
        <w:footnoteReference w:id="22"/>
      </w:r>
      <w:r w:rsidRPr="00FE1F09">
        <w:rPr>
          <w:rFonts w:ascii="Times New Roman" w:hAnsi="Times New Roman" w:cs="Times New Roman"/>
          <w:bCs/>
          <w:sz w:val="24"/>
          <w:szCs w:val="24"/>
        </w:rPr>
        <w:t>.</w:t>
      </w:r>
    </w:p>
    <w:p w:rsidR="00481059" w:rsidRDefault="00481059" w:rsidP="00481059">
      <w:pPr>
        <w:rPr>
          <w:rFonts w:ascii="Times New Roman" w:eastAsiaTheme="majorEastAsia" w:hAnsi="Times New Roman" w:cs="Times New Roman"/>
          <w:sz w:val="24"/>
          <w:szCs w:val="24"/>
          <w:u w:val="single"/>
        </w:rPr>
      </w:pPr>
      <w:bookmarkStart w:id="24" w:name="_Toc442284048"/>
    </w:p>
    <w:p w:rsidR="00BF189B" w:rsidRPr="007C3EF7" w:rsidRDefault="00B515BB" w:rsidP="002A28DD">
      <w:pPr>
        <w:pStyle w:val="Heading1"/>
        <w:numPr>
          <w:ilvl w:val="0"/>
          <w:numId w:val="11"/>
        </w:numPr>
      </w:pPr>
      <w:bookmarkStart w:id="25" w:name="_Toc473123077"/>
      <w:r w:rsidRPr="007C3EF7">
        <w:t>WHAT ARE THE VARIOUS OPTIONS TO ACHIEVE THE OBJECTIVES</w:t>
      </w:r>
      <w:r w:rsidR="00460BFD" w:rsidRPr="007C3EF7">
        <w:t>?</w:t>
      </w:r>
      <w:bookmarkEnd w:id="24"/>
      <w:bookmarkEnd w:id="25"/>
    </w:p>
    <w:p w:rsidR="00BF189B" w:rsidRDefault="00BF189B" w:rsidP="00301DBB">
      <w:pPr>
        <w:spacing w:after="0" w:line="240" w:lineRule="auto"/>
        <w:jc w:val="both"/>
        <w:rPr>
          <w:rFonts w:ascii="Times New Roman" w:hAnsi="Times New Roman" w:cs="Times New Roman"/>
          <w:sz w:val="24"/>
          <w:szCs w:val="24"/>
        </w:rPr>
      </w:pPr>
    </w:p>
    <w:p w:rsidR="00EE627A" w:rsidRDefault="00582C35" w:rsidP="00582C35">
      <w:pPr>
        <w:spacing w:after="0" w:line="240" w:lineRule="auto"/>
        <w:jc w:val="both"/>
        <w:rPr>
          <w:rFonts w:ascii="Times New Roman" w:hAnsi="Times New Roman" w:cs="Times New Roman"/>
          <w:sz w:val="24"/>
          <w:szCs w:val="24"/>
        </w:rPr>
      </w:pPr>
      <w:r w:rsidRPr="00582C35">
        <w:rPr>
          <w:rFonts w:ascii="Times New Roman" w:hAnsi="Times New Roman" w:cs="Times New Roman"/>
          <w:sz w:val="24"/>
          <w:szCs w:val="24"/>
        </w:rPr>
        <w:t>With a view to attaining t</w:t>
      </w:r>
      <w:r>
        <w:rPr>
          <w:rFonts w:ascii="Times New Roman" w:hAnsi="Times New Roman" w:cs="Times New Roman"/>
          <w:sz w:val="24"/>
          <w:szCs w:val="24"/>
        </w:rPr>
        <w:t>he objectives set out in Chapter</w:t>
      </w:r>
      <w:r w:rsidRPr="00582C35">
        <w:rPr>
          <w:rFonts w:ascii="Times New Roman" w:hAnsi="Times New Roman" w:cs="Times New Roman"/>
          <w:sz w:val="24"/>
          <w:szCs w:val="24"/>
        </w:rPr>
        <w:t xml:space="preserve"> 3, this chapter ou</w:t>
      </w:r>
      <w:r>
        <w:rPr>
          <w:rFonts w:ascii="Times New Roman" w:hAnsi="Times New Roman" w:cs="Times New Roman"/>
          <w:sz w:val="24"/>
          <w:szCs w:val="24"/>
        </w:rPr>
        <w:t xml:space="preserve">tlines </w:t>
      </w:r>
      <w:r w:rsidR="00860DD5">
        <w:rPr>
          <w:rFonts w:ascii="Times New Roman" w:hAnsi="Times New Roman" w:cs="Times New Roman"/>
          <w:sz w:val="24"/>
          <w:szCs w:val="24"/>
        </w:rPr>
        <w:t xml:space="preserve">three </w:t>
      </w:r>
      <w:r>
        <w:rPr>
          <w:rFonts w:ascii="Times New Roman" w:hAnsi="Times New Roman" w:cs="Times New Roman"/>
          <w:sz w:val="24"/>
          <w:szCs w:val="24"/>
        </w:rPr>
        <w:t>different scenarios</w:t>
      </w:r>
      <w:r w:rsidR="008C71F6">
        <w:rPr>
          <w:rFonts w:ascii="Times New Roman" w:hAnsi="Times New Roman" w:cs="Times New Roman"/>
          <w:sz w:val="24"/>
          <w:szCs w:val="24"/>
        </w:rPr>
        <w:t xml:space="preserve">. </w:t>
      </w:r>
      <w:r w:rsidR="00F9686F">
        <w:rPr>
          <w:rFonts w:ascii="Times New Roman" w:hAnsi="Times New Roman" w:cs="Times New Roman"/>
          <w:sz w:val="24"/>
          <w:szCs w:val="24"/>
        </w:rPr>
        <w:t xml:space="preserve">The </w:t>
      </w:r>
      <w:r w:rsidR="003B72BB">
        <w:rPr>
          <w:rFonts w:ascii="Times New Roman" w:hAnsi="Times New Roman" w:cs="Times New Roman"/>
          <w:sz w:val="24"/>
          <w:szCs w:val="24"/>
        </w:rPr>
        <w:t>i</w:t>
      </w:r>
      <w:r w:rsidR="00F9686F">
        <w:rPr>
          <w:rFonts w:ascii="Times New Roman" w:hAnsi="Times New Roman" w:cs="Times New Roman"/>
          <w:sz w:val="24"/>
          <w:szCs w:val="24"/>
        </w:rPr>
        <w:t xml:space="preserve">mpact </w:t>
      </w:r>
      <w:r w:rsidR="003B72BB">
        <w:rPr>
          <w:rFonts w:ascii="Times New Roman" w:hAnsi="Times New Roman" w:cs="Times New Roman"/>
          <w:sz w:val="24"/>
          <w:szCs w:val="24"/>
        </w:rPr>
        <w:t xml:space="preserve">analysis </w:t>
      </w:r>
      <w:r>
        <w:rPr>
          <w:rFonts w:ascii="Times New Roman" w:hAnsi="Times New Roman" w:cs="Times New Roman"/>
          <w:sz w:val="24"/>
          <w:szCs w:val="24"/>
        </w:rPr>
        <w:t>carried out in Chapter 5 of this</w:t>
      </w:r>
      <w:r w:rsidRPr="00582C35">
        <w:rPr>
          <w:rFonts w:ascii="Times New Roman" w:hAnsi="Times New Roman" w:cs="Times New Roman"/>
          <w:sz w:val="24"/>
          <w:szCs w:val="24"/>
        </w:rPr>
        <w:t xml:space="preserve"> report will assess the opportunity and feasibility of the various options</w:t>
      </w:r>
      <w:r w:rsidR="006E27E2">
        <w:rPr>
          <w:rFonts w:ascii="Times New Roman" w:hAnsi="Times New Roman" w:cs="Times New Roman"/>
          <w:sz w:val="24"/>
          <w:szCs w:val="24"/>
        </w:rPr>
        <w:t>,</w:t>
      </w:r>
      <w:r w:rsidRPr="00582C35">
        <w:rPr>
          <w:rFonts w:ascii="Times New Roman" w:hAnsi="Times New Roman" w:cs="Times New Roman"/>
          <w:sz w:val="24"/>
          <w:szCs w:val="24"/>
        </w:rPr>
        <w:t xml:space="preserve"> with a view to providing clear indications on what </w:t>
      </w:r>
      <w:r w:rsidR="00973C78">
        <w:rPr>
          <w:rFonts w:ascii="Times New Roman" w:hAnsi="Times New Roman" w:cs="Times New Roman"/>
          <w:sz w:val="24"/>
          <w:szCs w:val="24"/>
        </w:rPr>
        <w:t>w</w:t>
      </w:r>
      <w:r w:rsidRPr="00582C35">
        <w:rPr>
          <w:rFonts w:ascii="Times New Roman" w:hAnsi="Times New Roman" w:cs="Times New Roman"/>
          <w:sz w:val="24"/>
          <w:szCs w:val="24"/>
        </w:rPr>
        <w:t xml:space="preserve">ould be the </w:t>
      </w:r>
      <w:r w:rsidR="006E27E2">
        <w:rPr>
          <w:rFonts w:ascii="Times New Roman" w:hAnsi="Times New Roman" w:cs="Times New Roman"/>
          <w:sz w:val="24"/>
          <w:szCs w:val="24"/>
        </w:rPr>
        <w:t>best option to follow</w:t>
      </w:r>
      <w:r w:rsidRPr="00582C35">
        <w:rPr>
          <w:rFonts w:ascii="Times New Roman" w:hAnsi="Times New Roman" w:cs="Times New Roman"/>
          <w:sz w:val="24"/>
          <w:szCs w:val="24"/>
        </w:rPr>
        <w:t>.</w:t>
      </w:r>
    </w:p>
    <w:p w:rsidR="00EE627A" w:rsidRDefault="00EE627A" w:rsidP="00301DBB">
      <w:pPr>
        <w:spacing w:after="0" w:line="240" w:lineRule="auto"/>
        <w:jc w:val="both"/>
        <w:rPr>
          <w:rFonts w:ascii="Times New Roman" w:hAnsi="Times New Roman" w:cs="Times New Roman"/>
          <w:sz w:val="24"/>
          <w:szCs w:val="24"/>
        </w:rPr>
      </w:pPr>
    </w:p>
    <w:p w:rsidR="00261E9D" w:rsidRPr="00261E9D" w:rsidRDefault="00261E9D" w:rsidP="00882520">
      <w:pPr>
        <w:pStyle w:val="ListParagraph"/>
        <w:keepNext/>
        <w:keepLines/>
        <w:numPr>
          <w:ilvl w:val="0"/>
          <w:numId w:val="56"/>
        </w:numPr>
        <w:spacing w:after="0" w:line="240" w:lineRule="auto"/>
        <w:contextualSpacing w:val="0"/>
        <w:jc w:val="both"/>
        <w:outlineLvl w:val="1"/>
        <w:rPr>
          <w:rFonts w:ascii="Times New Roman" w:eastAsiaTheme="majorEastAsia" w:hAnsi="Times New Roman" w:cs="Times New Roman"/>
          <w:b/>
          <w:bCs/>
          <w:vanish/>
          <w:sz w:val="24"/>
          <w:szCs w:val="24"/>
          <w:u w:val="single"/>
          <w:lang w:val="en-GB"/>
        </w:rPr>
      </w:pPr>
      <w:bookmarkStart w:id="26" w:name="_Toc467831510"/>
      <w:bookmarkStart w:id="27" w:name="_Toc472961398"/>
      <w:bookmarkStart w:id="28" w:name="_Toc472961447"/>
      <w:bookmarkStart w:id="29" w:name="_Toc473123078"/>
      <w:bookmarkStart w:id="30" w:name="_Toc442284049"/>
      <w:bookmarkEnd w:id="26"/>
      <w:bookmarkEnd w:id="27"/>
      <w:bookmarkEnd w:id="28"/>
      <w:bookmarkEnd w:id="29"/>
    </w:p>
    <w:p w:rsidR="00BF189B" w:rsidRPr="00261E9D" w:rsidRDefault="00860DD5" w:rsidP="00882520">
      <w:pPr>
        <w:pStyle w:val="Heading2"/>
        <w:numPr>
          <w:ilvl w:val="1"/>
          <w:numId w:val="56"/>
        </w:numPr>
        <w:rPr>
          <w:u w:val="single"/>
        </w:rPr>
      </w:pPr>
      <w:bookmarkStart w:id="31" w:name="_Toc473123079"/>
      <w:r w:rsidRPr="00261E9D">
        <w:rPr>
          <w:u w:val="single"/>
        </w:rPr>
        <w:t>Policy option A: N</w:t>
      </w:r>
      <w:r w:rsidR="00BF189B" w:rsidRPr="00261E9D">
        <w:rPr>
          <w:u w:val="single"/>
        </w:rPr>
        <w:t>o policy change (baseline scenario)</w:t>
      </w:r>
      <w:bookmarkEnd w:id="30"/>
      <w:bookmarkEnd w:id="31"/>
    </w:p>
    <w:p w:rsidR="00BF189B" w:rsidRDefault="00BF189B" w:rsidP="00301DBB">
      <w:pPr>
        <w:spacing w:after="0" w:line="240" w:lineRule="auto"/>
        <w:jc w:val="both"/>
        <w:rPr>
          <w:rFonts w:ascii="Times New Roman" w:hAnsi="Times New Roman" w:cs="Times New Roman"/>
          <w:sz w:val="24"/>
          <w:szCs w:val="24"/>
        </w:rPr>
      </w:pPr>
    </w:p>
    <w:p w:rsidR="00F55563" w:rsidRDefault="00F55563" w:rsidP="00F55563">
      <w:pPr>
        <w:spacing w:after="0" w:line="240" w:lineRule="auto"/>
        <w:jc w:val="both"/>
        <w:rPr>
          <w:rFonts w:ascii="Times New Roman" w:hAnsi="Times New Roman" w:cs="Times New Roman"/>
          <w:sz w:val="24"/>
          <w:szCs w:val="24"/>
        </w:rPr>
      </w:pPr>
      <w:r w:rsidRPr="00F55563">
        <w:rPr>
          <w:rFonts w:ascii="Times New Roman" w:hAnsi="Times New Roman" w:cs="Times New Roman"/>
          <w:sz w:val="24"/>
          <w:szCs w:val="24"/>
        </w:rPr>
        <w:t>The first option would b</w:t>
      </w:r>
      <w:r w:rsidR="008B12FB">
        <w:rPr>
          <w:rFonts w:ascii="Times New Roman" w:hAnsi="Times New Roman" w:cs="Times New Roman"/>
          <w:sz w:val="24"/>
          <w:szCs w:val="24"/>
        </w:rPr>
        <w:t>e to continue to operate under the existing</w:t>
      </w:r>
      <w:r w:rsidRPr="00F55563">
        <w:rPr>
          <w:rFonts w:ascii="Times New Roman" w:hAnsi="Times New Roman" w:cs="Times New Roman"/>
          <w:sz w:val="24"/>
          <w:szCs w:val="24"/>
        </w:rPr>
        <w:t xml:space="preserve"> framework, with possible </w:t>
      </w:r>
      <w:r w:rsidR="008B12FB">
        <w:rPr>
          <w:rFonts w:ascii="Times New Roman" w:hAnsi="Times New Roman" w:cs="Times New Roman"/>
          <w:sz w:val="24"/>
          <w:szCs w:val="24"/>
        </w:rPr>
        <w:t>incremental improvement</w:t>
      </w:r>
      <w:r w:rsidR="0001188E">
        <w:rPr>
          <w:rFonts w:ascii="Times New Roman" w:hAnsi="Times New Roman" w:cs="Times New Roman"/>
          <w:sz w:val="24"/>
          <w:szCs w:val="24"/>
        </w:rPr>
        <w:t>s</w:t>
      </w:r>
      <w:r w:rsidR="008B12FB">
        <w:rPr>
          <w:rFonts w:ascii="Times New Roman" w:hAnsi="Times New Roman" w:cs="Times New Roman"/>
          <w:sz w:val="24"/>
          <w:szCs w:val="24"/>
        </w:rPr>
        <w:t xml:space="preserve"> of its</w:t>
      </w:r>
      <w:r w:rsidRPr="00F55563">
        <w:rPr>
          <w:rFonts w:ascii="Times New Roman" w:hAnsi="Times New Roman" w:cs="Times New Roman"/>
          <w:sz w:val="24"/>
          <w:szCs w:val="24"/>
        </w:rPr>
        <w:t xml:space="preserve"> functioning and effectiveness</w:t>
      </w:r>
      <w:r w:rsidR="0009750B">
        <w:rPr>
          <w:rFonts w:ascii="Times New Roman" w:hAnsi="Times New Roman" w:cs="Times New Roman"/>
          <w:sz w:val="24"/>
          <w:szCs w:val="24"/>
        </w:rPr>
        <w:t xml:space="preserve"> (e.g. updating the rules of origin to reflect the changes in the Harmonised System</w:t>
      </w:r>
      <w:r w:rsidR="0009750B" w:rsidRPr="0009750B">
        <w:t xml:space="preserve"> </w:t>
      </w:r>
      <w:r w:rsidR="0009750B" w:rsidRPr="0009750B">
        <w:rPr>
          <w:rFonts w:ascii="Times New Roman" w:hAnsi="Times New Roman" w:cs="Times New Roman"/>
          <w:sz w:val="24"/>
          <w:szCs w:val="24"/>
        </w:rPr>
        <w:t>run by the World Customs Organisation</w:t>
      </w:r>
      <w:r w:rsidR="0009750B">
        <w:rPr>
          <w:rFonts w:ascii="Times New Roman" w:hAnsi="Times New Roman" w:cs="Times New Roman"/>
          <w:sz w:val="24"/>
          <w:szCs w:val="24"/>
        </w:rPr>
        <w:t xml:space="preserve">, </w:t>
      </w:r>
      <w:r w:rsidR="004F5B0D">
        <w:rPr>
          <w:rFonts w:ascii="Times New Roman" w:hAnsi="Times New Roman" w:cs="Times New Roman"/>
          <w:sz w:val="24"/>
          <w:szCs w:val="24"/>
        </w:rPr>
        <w:t xml:space="preserve">or </w:t>
      </w:r>
      <w:r w:rsidR="0009750B">
        <w:rPr>
          <w:rFonts w:ascii="Times New Roman" w:hAnsi="Times New Roman" w:cs="Times New Roman"/>
          <w:sz w:val="24"/>
          <w:szCs w:val="24"/>
        </w:rPr>
        <w:t>addressing some specific trade irritants)</w:t>
      </w:r>
      <w:r w:rsidRPr="00F55563">
        <w:rPr>
          <w:rFonts w:ascii="Times New Roman" w:hAnsi="Times New Roman" w:cs="Times New Roman"/>
          <w:sz w:val="24"/>
          <w:szCs w:val="24"/>
        </w:rPr>
        <w:t>.</w:t>
      </w:r>
    </w:p>
    <w:p w:rsidR="00F55563" w:rsidRPr="00F55563" w:rsidRDefault="00F55563" w:rsidP="00F55563">
      <w:pPr>
        <w:spacing w:after="0" w:line="240" w:lineRule="auto"/>
        <w:jc w:val="both"/>
        <w:rPr>
          <w:rFonts w:ascii="Times New Roman" w:hAnsi="Times New Roman" w:cs="Times New Roman"/>
          <w:sz w:val="24"/>
          <w:szCs w:val="24"/>
        </w:rPr>
      </w:pPr>
    </w:p>
    <w:p w:rsidR="00AC2EAE" w:rsidRDefault="00F55563" w:rsidP="00F55563">
      <w:pPr>
        <w:spacing w:after="0" w:line="240" w:lineRule="auto"/>
        <w:jc w:val="both"/>
        <w:rPr>
          <w:rFonts w:ascii="Times New Roman" w:hAnsi="Times New Roman" w:cs="Times New Roman"/>
          <w:sz w:val="24"/>
          <w:szCs w:val="24"/>
        </w:rPr>
      </w:pPr>
      <w:r w:rsidRPr="00F55563">
        <w:rPr>
          <w:rFonts w:ascii="Times New Roman" w:hAnsi="Times New Roman" w:cs="Times New Roman"/>
          <w:sz w:val="24"/>
          <w:szCs w:val="24"/>
        </w:rPr>
        <w:t>Thus</w:t>
      </w:r>
      <w:r w:rsidR="0001188E">
        <w:rPr>
          <w:rFonts w:ascii="Times New Roman" w:hAnsi="Times New Roman" w:cs="Times New Roman"/>
          <w:sz w:val="24"/>
          <w:szCs w:val="24"/>
        </w:rPr>
        <w:t>,</w:t>
      </w:r>
      <w:r w:rsidRPr="00F55563">
        <w:rPr>
          <w:rFonts w:ascii="Times New Roman" w:hAnsi="Times New Roman" w:cs="Times New Roman"/>
          <w:sz w:val="24"/>
          <w:szCs w:val="24"/>
        </w:rPr>
        <w:t xml:space="preserve"> the analysis of this baseline scenario is essentially based on the developments in bilateral </w:t>
      </w:r>
      <w:r w:rsidR="006E27E2">
        <w:rPr>
          <w:rFonts w:ascii="Times New Roman" w:hAnsi="Times New Roman" w:cs="Times New Roman"/>
          <w:sz w:val="24"/>
          <w:szCs w:val="24"/>
        </w:rPr>
        <w:t xml:space="preserve">trade </w:t>
      </w:r>
      <w:r w:rsidRPr="00F55563">
        <w:rPr>
          <w:rFonts w:ascii="Times New Roman" w:hAnsi="Times New Roman" w:cs="Times New Roman"/>
          <w:sz w:val="24"/>
          <w:szCs w:val="24"/>
        </w:rPr>
        <w:t xml:space="preserve">relations likely to </w:t>
      </w:r>
      <w:r w:rsidR="006E27E2">
        <w:rPr>
          <w:rFonts w:ascii="Times New Roman" w:hAnsi="Times New Roman" w:cs="Times New Roman"/>
          <w:sz w:val="24"/>
          <w:szCs w:val="24"/>
        </w:rPr>
        <w:t xml:space="preserve">result from </w:t>
      </w:r>
      <w:r w:rsidRPr="00F55563">
        <w:rPr>
          <w:rFonts w:ascii="Times New Roman" w:hAnsi="Times New Roman" w:cs="Times New Roman"/>
          <w:sz w:val="24"/>
          <w:szCs w:val="24"/>
        </w:rPr>
        <w:t>th</w:t>
      </w:r>
      <w:r w:rsidR="008E7109">
        <w:rPr>
          <w:rFonts w:ascii="Times New Roman" w:hAnsi="Times New Roman" w:cs="Times New Roman"/>
          <w:sz w:val="24"/>
          <w:szCs w:val="24"/>
        </w:rPr>
        <w:t xml:space="preserve">e evolution of the EU and </w:t>
      </w:r>
      <w:r w:rsidR="006E27E2">
        <w:rPr>
          <w:rFonts w:ascii="Times New Roman" w:hAnsi="Times New Roman" w:cs="Times New Roman"/>
          <w:sz w:val="24"/>
          <w:szCs w:val="24"/>
        </w:rPr>
        <w:t xml:space="preserve">Chile </w:t>
      </w:r>
      <w:r w:rsidRPr="00F55563">
        <w:rPr>
          <w:rFonts w:ascii="Times New Roman" w:hAnsi="Times New Roman" w:cs="Times New Roman"/>
          <w:sz w:val="24"/>
          <w:szCs w:val="24"/>
        </w:rPr>
        <w:t>economies</w:t>
      </w:r>
      <w:r w:rsidR="006E27E2">
        <w:rPr>
          <w:rFonts w:ascii="Times New Roman" w:hAnsi="Times New Roman" w:cs="Times New Roman"/>
          <w:sz w:val="24"/>
          <w:szCs w:val="24"/>
        </w:rPr>
        <w:t xml:space="preserve"> and from </w:t>
      </w:r>
      <w:r w:rsidRPr="00F55563">
        <w:rPr>
          <w:rFonts w:ascii="Times New Roman" w:hAnsi="Times New Roman" w:cs="Times New Roman"/>
          <w:sz w:val="24"/>
          <w:szCs w:val="24"/>
        </w:rPr>
        <w:t xml:space="preserve">global economic </w:t>
      </w:r>
      <w:r w:rsidR="006E27E2">
        <w:rPr>
          <w:rFonts w:ascii="Times New Roman" w:hAnsi="Times New Roman" w:cs="Times New Roman"/>
          <w:sz w:val="24"/>
          <w:szCs w:val="24"/>
        </w:rPr>
        <w:t>conditions</w:t>
      </w:r>
      <w:r w:rsidRPr="00F55563">
        <w:rPr>
          <w:rFonts w:ascii="Times New Roman" w:hAnsi="Times New Roman" w:cs="Times New Roman"/>
          <w:sz w:val="24"/>
          <w:szCs w:val="24"/>
        </w:rPr>
        <w:t>.</w:t>
      </w:r>
      <w:r w:rsidR="008C71F6">
        <w:rPr>
          <w:rFonts w:ascii="Times New Roman" w:hAnsi="Times New Roman" w:cs="Times New Roman"/>
          <w:sz w:val="24"/>
          <w:szCs w:val="24"/>
        </w:rPr>
        <w:t xml:space="preserve"> </w:t>
      </w:r>
    </w:p>
    <w:p w:rsidR="00AC2EAE" w:rsidRDefault="00AC2EAE" w:rsidP="00F55563">
      <w:pPr>
        <w:spacing w:after="0" w:line="240" w:lineRule="auto"/>
        <w:jc w:val="both"/>
        <w:rPr>
          <w:rFonts w:ascii="Times New Roman" w:hAnsi="Times New Roman" w:cs="Times New Roman"/>
          <w:sz w:val="24"/>
          <w:szCs w:val="24"/>
        </w:rPr>
      </w:pPr>
    </w:p>
    <w:p w:rsidR="000E00F4" w:rsidRDefault="008C71F6" w:rsidP="00F555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economic modelling tool </w:t>
      </w:r>
      <w:r w:rsidR="004F79E5">
        <w:rPr>
          <w:rFonts w:ascii="Times New Roman" w:hAnsi="Times New Roman" w:cs="Times New Roman"/>
          <w:sz w:val="24"/>
          <w:szCs w:val="24"/>
        </w:rPr>
        <w:t>(see Chapter 5 and Annex 4)</w:t>
      </w:r>
      <w:r>
        <w:rPr>
          <w:rFonts w:ascii="Times New Roman" w:hAnsi="Times New Roman" w:cs="Times New Roman"/>
          <w:sz w:val="24"/>
          <w:szCs w:val="24"/>
        </w:rPr>
        <w:t xml:space="preserve"> projects this baseline scenario into the long term (2025) </w:t>
      </w:r>
      <w:r w:rsidR="004F79E5">
        <w:rPr>
          <w:rFonts w:ascii="Times New Roman" w:hAnsi="Times New Roman" w:cs="Times New Roman"/>
          <w:sz w:val="24"/>
          <w:szCs w:val="24"/>
        </w:rPr>
        <w:t xml:space="preserve">for it to be </w:t>
      </w:r>
      <w:r>
        <w:rPr>
          <w:rFonts w:ascii="Times New Roman" w:hAnsi="Times New Roman" w:cs="Times New Roman"/>
          <w:sz w:val="24"/>
          <w:szCs w:val="24"/>
        </w:rPr>
        <w:t>compar</w:t>
      </w:r>
      <w:r w:rsidR="004F79E5">
        <w:rPr>
          <w:rFonts w:ascii="Times New Roman" w:hAnsi="Times New Roman" w:cs="Times New Roman"/>
          <w:sz w:val="24"/>
          <w:szCs w:val="24"/>
        </w:rPr>
        <w:t xml:space="preserve">able with </w:t>
      </w:r>
      <w:r>
        <w:rPr>
          <w:rFonts w:ascii="Times New Roman" w:hAnsi="Times New Roman" w:cs="Times New Roman"/>
          <w:sz w:val="24"/>
          <w:szCs w:val="24"/>
        </w:rPr>
        <w:t>policy option C.</w:t>
      </w:r>
    </w:p>
    <w:p w:rsidR="00FA285D" w:rsidRDefault="00FA285D" w:rsidP="00F55563">
      <w:pPr>
        <w:spacing w:after="0" w:line="240" w:lineRule="auto"/>
        <w:jc w:val="both"/>
        <w:rPr>
          <w:rFonts w:ascii="Times New Roman" w:hAnsi="Times New Roman" w:cs="Times New Roman"/>
          <w:sz w:val="24"/>
          <w:szCs w:val="24"/>
        </w:rPr>
      </w:pPr>
    </w:p>
    <w:p w:rsidR="000E00F4" w:rsidRDefault="000E00F4" w:rsidP="00301DBB">
      <w:pPr>
        <w:spacing w:after="0" w:line="240" w:lineRule="auto"/>
        <w:jc w:val="both"/>
        <w:rPr>
          <w:rFonts w:ascii="Times New Roman" w:hAnsi="Times New Roman" w:cs="Times New Roman"/>
          <w:sz w:val="24"/>
          <w:szCs w:val="24"/>
        </w:rPr>
      </w:pPr>
    </w:p>
    <w:p w:rsidR="00AC2EAE" w:rsidRDefault="00AC2EAE" w:rsidP="00301DBB">
      <w:pPr>
        <w:spacing w:after="0" w:line="240" w:lineRule="auto"/>
        <w:jc w:val="both"/>
        <w:rPr>
          <w:rFonts w:ascii="Times New Roman" w:hAnsi="Times New Roman" w:cs="Times New Roman"/>
          <w:sz w:val="24"/>
          <w:szCs w:val="24"/>
        </w:rPr>
      </w:pPr>
    </w:p>
    <w:p w:rsidR="00AC2EAE" w:rsidRDefault="00AC2EAE" w:rsidP="00301DBB">
      <w:pPr>
        <w:spacing w:after="0" w:line="240" w:lineRule="auto"/>
        <w:jc w:val="both"/>
        <w:rPr>
          <w:rFonts w:ascii="Times New Roman" w:hAnsi="Times New Roman" w:cs="Times New Roman"/>
          <w:sz w:val="24"/>
          <w:szCs w:val="24"/>
        </w:rPr>
      </w:pPr>
    </w:p>
    <w:p w:rsidR="00AC2EAE" w:rsidRDefault="00AC2EAE" w:rsidP="00301DBB">
      <w:pPr>
        <w:spacing w:after="0" w:line="240" w:lineRule="auto"/>
        <w:jc w:val="both"/>
        <w:rPr>
          <w:rFonts w:ascii="Times New Roman" w:hAnsi="Times New Roman" w:cs="Times New Roman"/>
          <w:sz w:val="24"/>
          <w:szCs w:val="24"/>
        </w:rPr>
      </w:pPr>
    </w:p>
    <w:p w:rsidR="00BF189B" w:rsidRPr="00261E9D" w:rsidRDefault="00860DD5" w:rsidP="00882520">
      <w:pPr>
        <w:pStyle w:val="Heading2"/>
        <w:numPr>
          <w:ilvl w:val="1"/>
          <w:numId w:val="56"/>
        </w:numPr>
        <w:rPr>
          <w:u w:val="single"/>
        </w:rPr>
      </w:pPr>
      <w:bookmarkStart w:id="32" w:name="_Toc442284050"/>
      <w:bookmarkStart w:id="33" w:name="_Toc473123080"/>
      <w:r w:rsidRPr="00261E9D">
        <w:rPr>
          <w:u w:val="single"/>
        </w:rPr>
        <w:t>Policy option B: U</w:t>
      </w:r>
      <w:r w:rsidR="00BF189B" w:rsidRPr="00261E9D">
        <w:rPr>
          <w:u w:val="single"/>
        </w:rPr>
        <w:t xml:space="preserve">se </w:t>
      </w:r>
      <w:r w:rsidR="00E12D0F" w:rsidRPr="00261E9D">
        <w:rPr>
          <w:u w:val="single"/>
        </w:rPr>
        <w:t xml:space="preserve">of </w:t>
      </w:r>
      <w:r w:rsidR="00BF189B" w:rsidRPr="00261E9D">
        <w:rPr>
          <w:u w:val="single"/>
        </w:rPr>
        <w:t xml:space="preserve">the </w:t>
      </w:r>
      <w:r w:rsidR="00F55563" w:rsidRPr="00261E9D">
        <w:rPr>
          <w:u w:val="single"/>
        </w:rPr>
        <w:t xml:space="preserve">sectoral </w:t>
      </w:r>
      <w:r w:rsidR="00BF189B" w:rsidRPr="00261E9D">
        <w:rPr>
          <w:u w:val="single"/>
        </w:rPr>
        <w:t>review clauses on agriculture</w:t>
      </w:r>
      <w:r w:rsidRPr="00261E9D">
        <w:rPr>
          <w:u w:val="single"/>
        </w:rPr>
        <w:t xml:space="preserve"> and</w:t>
      </w:r>
      <w:r w:rsidR="000A4DEF" w:rsidRPr="00261E9D">
        <w:rPr>
          <w:u w:val="single"/>
        </w:rPr>
        <w:t xml:space="preserve"> services</w:t>
      </w:r>
      <w:bookmarkEnd w:id="32"/>
      <w:bookmarkEnd w:id="33"/>
    </w:p>
    <w:p w:rsidR="00BF189B" w:rsidRDefault="00BF189B" w:rsidP="00301DBB">
      <w:pPr>
        <w:spacing w:after="0" w:line="240" w:lineRule="auto"/>
        <w:jc w:val="both"/>
        <w:rPr>
          <w:rFonts w:ascii="Times New Roman" w:hAnsi="Times New Roman" w:cs="Times New Roman"/>
          <w:sz w:val="24"/>
          <w:szCs w:val="24"/>
        </w:rPr>
      </w:pPr>
    </w:p>
    <w:p w:rsidR="006E27E2" w:rsidRDefault="00AC0E3B" w:rsidP="00475E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847606">
        <w:rPr>
          <w:rFonts w:ascii="Times New Roman" w:hAnsi="Times New Roman" w:cs="Times New Roman"/>
          <w:sz w:val="24"/>
          <w:szCs w:val="24"/>
        </w:rPr>
        <w:t xml:space="preserve"> existing</w:t>
      </w:r>
      <w:r w:rsidR="00475E36" w:rsidRPr="00475E36">
        <w:rPr>
          <w:rFonts w:ascii="Times New Roman" w:hAnsi="Times New Roman" w:cs="Times New Roman"/>
          <w:sz w:val="24"/>
          <w:szCs w:val="24"/>
        </w:rPr>
        <w:t xml:space="preserve"> </w:t>
      </w:r>
      <w:r w:rsidR="004A7B8F">
        <w:rPr>
          <w:rFonts w:ascii="Times New Roman" w:hAnsi="Times New Roman" w:cs="Times New Roman"/>
          <w:sz w:val="24"/>
          <w:szCs w:val="24"/>
        </w:rPr>
        <w:t>A</w:t>
      </w:r>
      <w:r w:rsidR="006E27E2">
        <w:rPr>
          <w:rFonts w:ascii="Times New Roman" w:hAnsi="Times New Roman" w:cs="Times New Roman"/>
          <w:sz w:val="24"/>
          <w:szCs w:val="24"/>
        </w:rPr>
        <w:t xml:space="preserve">greement </w:t>
      </w:r>
      <w:r>
        <w:rPr>
          <w:rFonts w:ascii="Times New Roman" w:hAnsi="Times New Roman" w:cs="Times New Roman"/>
          <w:sz w:val="24"/>
          <w:szCs w:val="24"/>
        </w:rPr>
        <w:t>includes</w:t>
      </w:r>
      <w:r w:rsidR="001C632B" w:rsidRPr="001C632B">
        <w:rPr>
          <w:rFonts w:ascii="Times New Roman" w:hAnsi="Times New Roman" w:cs="Times New Roman"/>
          <w:sz w:val="24"/>
          <w:szCs w:val="24"/>
        </w:rPr>
        <w:t xml:space="preserve"> sectoral review clauses foreseen in </w:t>
      </w:r>
      <w:r w:rsidR="006E27E2">
        <w:rPr>
          <w:rFonts w:ascii="Times New Roman" w:hAnsi="Times New Roman" w:cs="Times New Roman"/>
          <w:sz w:val="24"/>
          <w:szCs w:val="24"/>
        </w:rPr>
        <w:t>Article 74 (evolution clause for agricultural products), Article 100 (review on services) and Article 101</w:t>
      </w:r>
      <w:r w:rsidR="00A57301">
        <w:rPr>
          <w:rFonts w:ascii="Times New Roman" w:hAnsi="Times New Roman" w:cs="Times New Roman"/>
          <w:sz w:val="24"/>
          <w:szCs w:val="24"/>
        </w:rPr>
        <w:t xml:space="preserve"> (review on movement of natural persons (services –mode 4))</w:t>
      </w:r>
      <w:r w:rsidR="006E27E2">
        <w:rPr>
          <w:rFonts w:ascii="Times New Roman" w:hAnsi="Times New Roman" w:cs="Times New Roman"/>
          <w:sz w:val="24"/>
          <w:szCs w:val="24"/>
        </w:rPr>
        <w:t>.</w:t>
      </w:r>
    </w:p>
    <w:p w:rsidR="006E27E2" w:rsidRDefault="006E27E2" w:rsidP="00475E36">
      <w:pPr>
        <w:spacing w:after="0" w:line="240" w:lineRule="auto"/>
        <w:jc w:val="both"/>
        <w:rPr>
          <w:rFonts w:ascii="Times New Roman" w:hAnsi="Times New Roman" w:cs="Times New Roman"/>
          <w:sz w:val="24"/>
          <w:szCs w:val="24"/>
        </w:rPr>
      </w:pPr>
    </w:p>
    <w:p w:rsidR="001C632B" w:rsidRDefault="002A6EEB" w:rsidP="00475E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F5B0D">
        <w:rPr>
          <w:rFonts w:ascii="Times New Roman" w:hAnsi="Times New Roman" w:cs="Times New Roman"/>
          <w:sz w:val="24"/>
          <w:szCs w:val="24"/>
        </w:rPr>
        <w:t>n</w:t>
      </w:r>
      <w:r w:rsidR="00475E36" w:rsidRPr="00475E36">
        <w:rPr>
          <w:rFonts w:ascii="Times New Roman" w:hAnsi="Times New Roman" w:cs="Times New Roman"/>
          <w:sz w:val="24"/>
          <w:szCs w:val="24"/>
        </w:rPr>
        <w:t xml:space="preserve"> </w:t>
      </w:r>
      <w:r w:rsidR="001C632B">
        <w:rPr>
          <w:rFonts w:ascii="Times New Roman" w:hAnsi="Times New Roman" w:cs="Times New Roman"/>
          <w:sz w:val="24"/>
          <w:szCs w:val="24"/>
        </w:rPr>
        <w:t>EU-</w:t>
      </w:r>
      <w:r w:rsidR="00A57301">
        <w:rPr>
          <w:rFonts w:ascii="Times New Roman" w:hAnsi="Times New Roman" w:cs="Times New Roman"/>
          <w:sz w:val="24"/>
          <w:szCs w:val="24"/>
        </w:rPr>
        <w:t xml:space="preserve">Chile </w:t>
      </w:r>
      <w:r w:rsidR="001C632B">
        <w:rPr>
          <w:rFonts w:ascii="Times New Roman" w:hAnsi="Times New Roman" w:cs="Times New Roman"/>
          <w:sz w:val="24"/>
          <w:szCs w:val="24"/>
        </w:rPr>
        <w:t>FTA</w:t>
      </w:r>
      <w:r w:rsidR="00475E36" w:rsidRPr="00475E36">
        <w:rPr>
          <w:rFonts w:ascii="Times New Roman" w:hAnsi="Times New Roman" w:cs="Times New Roman"/>
          <w:sz w:val="24"/>
          <w:szCs w:val="24"/>
        </w:rPr>
        <w:t xml:space="preserve"> </w:t>
      </w:r>
      <w:r w:rsidR="004F5B0D">
        <w:rPr>
          <w:rFonts w:ascii="Times New Roman" w:hAnsi="Times New Roman" w:cs="Times New Roman"/>
          <w:sz w:val="24"/>
          <w:szCs w:val="24"/>
        </w:rPr>
        <w:t xml:space="preserve">revised </w:t>
      </w:r>
      <w:r w:rsidR="00475E36" w:rsidRPr="00475E36">
        <w:rPr>
          <w:rFonts w:ascii="Times New Roman" w:hAnsi="Times New Roman" w:cs="Times New Roman"/>
          <w:sz w:val="24"/>
          <w:szCs w:val="24"/>
        </w:rPr>
        <w:t xml:space="preserve">along such lines would entail </w:t>
      </w:r>
      <w:r w:rsidR="001C632B">
        <w:rPr>
          <w:rFonts w:ascii="Times New Roman" w:hAnsi="Times New Roman" w:cs="Times New Roman"/>
          <w:sz w:val="24"/>
          <w:szCs w:val="24"/>
        </w:rPr>
        <w:t>keeping the existing</w:t>
      </w:r>
      <w:r w:rsidR="00475E36" w:rsidRPr="00475E36">
        <w:rPr>
          <w:rFonts w:ascii="Times New Roman" w:hAnsi="Times New Roman" w:cs="Times New Roman"/>
          <w:sz w:val="24"/>
          <w:szCs w:val="24"/>
        </w:rPr>
        <w:t xml:space="preserve"> </w:t>
      </w:r>
      <w:r w:rsidR="001C632B">
        <w:rPr>
          <w:rFonts w:ascii="Times New Roman" w:hAnsi="Times New Roman" w:cs="Times New Roman"/>
          <w:sz w:val="24"/>
          <w:szCs w:val="24"/>
        </w:rPr>
        <w:t>framework without any possibility to redesign</w:t>
      </w:r>
      <w:r w:rsidR="00475E36" w:rsidRPr="00475E36">
        <w:rPr>
          <w:rFonts w:ascii="Times New Roman" w:hAnsi="Times New Roman" w:cs="Times New Roman"/>
          <w:sz w:val="24"/>
          <w:szCs w:val="24"/>
        </w:rPr>
        <w:t xml:space="preserve"> </w:t>
      </w:r>
      <w:r w:rsidR="001C632B">
        <w:rPr>
          <w:rFonts w:ascii="Times New Roman" w:hAnsi="Times New Roman" w:cs="Times New Roman"/>
          <w:sz w:val="24"/>
          <w:szCs w:val="24"/>
        </w:rPr>
        <w:t xml:space="preserve">the provisions </w:t>
      </w:r>
      <w:r w:rsidR="006C7023">
        <w:rPr>
          <w:rFonts w:ascii="Times New Roman" w:hAnsi="Times New Roman" w:cs="Times New Roman"/>
          <w:sz w:val="24"/>
          <w:szCs w:val="24"/>
        </w:rPr>
        <w:t xml:space="preserve">not covered by the review clauses </w:t>
      </w:r>
      <w:r w:rsidR="00801CF5">
        <w:rPr>
          <w:rFonts w:ascii="Times New Roman" w:hAnsi="Times New Roman" w:cs="Times New Roman"/>
          <w:sz w:val="24"/>
          <w:szCs w:val="24"/>
        </w:rPr>
        <w:t xml:space="preserve">(e.g. TBT, IPR </w:t>
      </w:r>
      <w:r w:rsidR="00E23FC0">
        <w:rPr>
          <w:rFonts w:ascii="Times New Roman" w:hAnsi="Times New Roman" w:cs="Times New Roman"/>
          <w:sz w:val="24"/>
          <w:szCs w:val="24"/>
        </w:rPr>
        <w:t xml:space="preserve">including </w:t>
      </w:r>
      <w:r w:rsidR="008F77F5">
        <w:rPr>
          <w:rFonts w:ascii="Times New Roman" w:hAnsi="Times New Roman" w:cs="Times New Roman"/>
          <w:sz w:val="24"/>
          <w:szCs w:val="24"/>
        </w:rPr>
        <w:t xml:space="preserve">GIs, </w:t>
      </w:r>
      <w:r w:rsidR="00801CF5">
        <w:rPr>
          <w:rFonts w:ascii="Times New Roman" w:hAnsi="Times New Roman" w:cs="Times New Roman"/>
          <w:sz w:val="24"/>
          <w:szCs w:val="24"/>
        </w:rPr>
        <w:t>public procurement</w:t>
      </w:r>
      <w:r w:rsidR="00CD051A">
        <w:rPr>
          <w:rFonts w:ascii="Times New Roman" w:hAnsi="Times New Roman" w:cs="Times New Roman"/>
          <w:sz w:val="24"/>
          <w:szCs w:val="24"/>
        </w:rPr>
        <w:t>, competition</w:t>
      </w:r>
      <w:r w:rsidR="001C632B">
        <w:rPr>
          <w:rFonts w:ascii="Times New Roman" w:hAnsi="Times New Roman" w:cs="Times New Roman"/>
          <w:sz w:val="24"/>
          <w:szCs w:val="24"/>
        </w:rPr>
        <w:t>)</w:t>
      </w:r>
      <w:r w:rsidR="006C7023">
        <w:rPr>
          <w:rFonts w:ascii="Times New Roman" w:hAnsi="Times New Roman" w:cs="Times New Roman"/>
          <w:sz w:val="24"/>
          <w:szCs w:val="24"/>
        </w:rPr>
        <w:t>,</w:t>
      </w:r>
      <w:r w:rsidR="001C632B">
        <w:rPr>
          <w:rFonts w:ascii="Times New Roman" w:hAnsi="Times New Roman" w:cs="Times New Roman"/>
          <w:sz w:val="24"/>
          <w:szCs w:val="24"/>
        </w:rPr>
        <w:t xml:space="preserve"> or </w:t>
      </w:r>
      <w:r w:rsidR="006C7023">
        <w:rPr>
          <w:rFonts w:ascii="Times New Roman" w:hAnsi="Times New Roman" w:cs="Times New Roman"/>
          <w:sz w:val="24"/>
          <w:szCs w:val="24"/>
        </w:rPr>
        <w:t xml:space="preserve">to </w:t>
      </w:r>
      <w:r w:rsidR="001C632B">
        <w:rPr>
          <w:rFonts w:ascii="Times New Roman" w:hAnsi="Times New Roman" w:cs="Times New Roman"/>
          <w:sz w:val="24"/>
          <w:szCs w:val="24"/>
        </w:rPr>
        <w:t>incorporate new ones</w:t>
      </w:r>
      <w:r w:rsidR="00801CF5">
        <w:rPr>
          <w:rFonts w:ascii="Times New Roman" w:hAnsi="Times New Roman" w:cs="Times New Roman"/>
          <w:sz w:val="24"/>
          <w:szCs w:val="24"/>
        </w:rPr>
        <w:t xml:space="preserve"> (e.g. </w:t>
      </w:r>
      <w:r w:rsidR="006E27E2">
        <w:rPr>
          <w:rFonts w:ascii="Times New Roman" w:hAnsi="Times New Roman" w:cs="Times New Roman"/>
          <w:sz w:val="24"/>
          <w:szCs w:val="24"/>
        </w:rPr>
        <w:t xml:space="preserve">investment protection, </w:t>
      </w:r>
      <w:r w:rsidR="00801CF5">
        <w:rPr>
          <w:rFonts w:ascii="Times New Roman" w:hAnsi="Times New Roman" w:cs="Times New Roman"/>
          <w:sz w:val="24"/>
          <w:szCs w:val="24"/>
        </w:rPr>
        <w:t>trade and sustainable development)</w:t>
      </w:r>
      <w:r w:rsidR="001C632B">
        <w:rPr>
          <w:rFonts w:ascii="Times New Roman" w:hAnsi="Times New Roman" w:cs="Times New Roman"/>
          <w:sz w:val="24"/>
          <w:szCs w:val="24"/>
        </w:rPr>
        <w:t>.</w:t>
      </w:r>
    </w:p>
    <w:p w:rsidR="00EC1721" w:rsidRDefault="00EC1721" w:rsidP="00475E36">
      <w:pPr>
        <w:spacing w:after="0" w:line="240" w:lineRule="auto"/>
        <w:jc w:val="both"/>
        <w:rPr>
          <w:rFonts w:ascii="Times New Roman" w:hAnsi="Times New Roman" w:cs="Times New Roman"/>
          <w:sz w:val="24"/>
          <w:szCs w:val="24"/>
        </w:rPr>
      </w:pPr>
    </w:p>
    <w:p w:rsidR="008C71F6" w:rsidRDefault="00EC1721" w:rsidP="00EC1721">
      <w:pPr>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option has been discarded and </w:t>
      </w:r>
      <w:r w:rsidR="001D4E24">
        <w:rPr>
          <w:rFonts w:ascii="Times New Roman" w:hAnsi="Times New Roman" w:cs="Times New Roman"/>
          <w:sz w:val="24"/>
          <w:szCs w:val="24"/>
        </w:rPr>
        <w:t xml:space="preserve">it </w:t>
      </w:r>
      <w:r>
        <w:rPr>
          <w:rFonts w:ascii="Times New Roman" w:hAnsi="Times New Roman" w:cs="Times New Roman"/>
          <w:sz w:val="24"/>
          <w:szCs w:val="24"/>
        </w:rPr>
        <w:t xml:space="preserve">is not </w:t>
      </w:r>
      <w:r w:rsidRPr="00E606E2">
        <w:rPr>
          <w:rFonts w:ascii="Times New Roman" w:hAnsi="Times New Roman" w:cs="Times New Roman"/>
          <w:sz w:val="24"/>
          <w:szCs w:val="24"/>
        </w:rPr>
        <w:t xml:space="preserve">developed further </w:t>
      </w:r>
      <w:r>
        <w:rPr>
          <w:rFonts w:ascii="Times New Roman" w:hAnsi="Times New Roman" w:cs="Times New Roman"/>
          <w:sz w:val="24"/>
          <w:szCs w:val="24"/>
        </w:rPr>
        <w:t>in this report</w:t>
      </w:r>
      <w:r w:rsidR="00EA7138">
        <w:rPr>
          <w:rFonts w:ascii="Times New Roman" w:hAnsi="Times New Roman" w:cs="Times New Roman"/>
          <w:sz w:val="24"/>
          <w:szCs w:val="24"/>
        </w:rPr>
        <w:t xml:space="preserve">, as </w:t>
      </w:r>
      <w:r>
        <w:rPr>
          <w:rFonts w:ascii="Times New Roman" w:hAnsi="Times New Roman" w:cs="Times New Roman"/>
          <w:sz w:val="24"/>
          <w:szCs w:val="24"/>
        </w:rPr>
        <w:t>numerous discussions with Chile between 2006</w:t>
      </w:r>
      <w:r w:rsidR="001D4E24">
        <w:rPr>
          <w:rFonts w:ascii="Times New Roman" w:hAnsi="Times New Roman" w:cs="Times New Roman"/>
          <w:sz w:val="24"/>
          <w:szCs w:val="24"/>
        </w:rPr>
        <w:t xml:space="preserve"> </w:t>
      </w:r>
      <w:r>
        <w:rPr>
          <w:rFonts w:ascii="Times New Roman" w:hAnsi="Times New Roman" w:cs="Times New Roman"/>
          <w:sz w:val="24"/>
          <w:szCs w:val="24"/>
        </w:rPr>
        <w:t xml:space="preserve">and 2010 proved that it was not possible to achieve further liberalisation through a narrow sectoral approach. Chile was very interested in further liberalisation on agriculture but it was not possible to reach a balanced outcome in this sensitive area. In contrast, on services, it was not possible to reach an ambitious result in areas of EU interest (e.g. financial services). It was also complicated to reach a balanced result on movement of natural persons (mode 4). The difficulty of moving forward with an isolated sectoral approach was in fact part of the reason why the EU and Chile started discussing the possibility to upgrade the agreement in a comprehensive manner.  </w:t>
      </w:r>
    </w:p>
    <w:p w:rsidR="00EC1721" w:rsidRDefault="008C71F6" w:rsidP="00EC1721">
      <w:pPr>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In addition to being unfeasible for the above-mentioned reasons, policy option B would be unsuited to meet the EU broader trade policy objectives.</w:t>
      </w:r>
    </w:p>
    <w:p w:rsidR="004454E3" w:rsidRPr="00BF189B" w:rsidRDefault="004454E3" w:rsidP="00301DBB">
      <w:pPr>
        <w:spacing w:after="0" w:line="240" w:lineRule="auto"/>
        <w:jc w:val="both"/>
        <w:rPr>
          <w:rFonts w:ascii="Times New Roman" w:hAnsi="Times New Roman" w:cs="Times New Roman"/>
          <w:sz w:val="24"/>
          <w:szCs w:val="24"/>
        </w:rPr>
      </w:pPr>
    </w:p>
    <w:p w:rsidR="00BF189B" w:rsidRPr="00261E9D" w:rsidRDefault="00F55563" w:rsidP="00882520">
      <w:pPr>
        <w:pStyle w:val="Heading2"/>
        <w:numPr>
          <w:ilvl w:val="1"/>
          <w:numId w:val="56"/>
        </w:numPr>
        <w:rPr>
          <w:u w:val="single"/>
        </w:rPr>
      </w:pPr>
      <w:bookmarkStart w:id="34" w:name="_Toc442284051"/>
      <w:bookmarkStart w:id="35" w:name="_Toc473123081"/>
      <w:r w:rsidRPr="00261E9D">
        <w:rPr>
          <w:u w:val="single"/>
        </w:rPr>
        <w:t>Policy option C: c</w:t>
      </w:r>
      <w:r w:rsidR="00BF189B" w:rsidRPr="00261E9D">
        <w:rPr>
          <w:u w:val="single"/>
        </w:rPr>
        <w:t>omprehensive mo</w:t>
      </w:r>
      <w:r w:rsidR="002209FC" w:rsidRPr="00261E9D">
        <w:rPr>
          <w:u w:val="single"/>
        </w:rPr>
        <w:t>dernisation of</w:t>
      </w:r>
      <w:r w:rsidR="000A4DEF" w:rsidRPr="00261E9D">
        <w:rPr>
          <w:u w:val="single"/>
        </w:rPr>
        <w:t xml:space="preserve"> the EU-</w:t>
      </w:r>
      <w:r w:rsidR="00A57301" w:rsidRPr="00261E9D">
        <w:rPr>
          <w:u w:val="single"/>
        </w:rPr>
        <w:t xml:space="preserve">Chile </w:t>
      </w:r>
      <w:r w:rsidR="002209FC" w:rsidRPr="00261E9D">
        <w:rPr>
          <w:u w:val="single"/>
        </w:rPr>
        <w:t>FTA</w:t>
      </w:r>
      <w:bookmarkEnd w:id="34"/>
      <w:bookmarkEnd w:id="35"/>
    </w:p>
    <w:p w:rsidR="00BF189B" w:rsidRDefault="00BF189B" w:rsidP="00301DBB">
      <w:pPr>
        <w:spacing w:after="0" w:line="240" w:lineRule="auto"/>
        <w:jc w:val="both"/>
        <w:rPr>
          <w:rFonts w:ascii="Times New Roman" w:hAnsi="Times New Roman" w:cs="Times New Roman"/>
          <w:b/>
          <w:bCs/>
          <w:sz w:val="24"/>
          <w:szCs w:val="24"/>
        </w:rPr>
      </w:pPr>
    </w:p>
    <w:p w:rsidR="00DE566E" w:rsidRDefault="00D54913" w:rsidP="009561D5">
      <w:pPr>
        <w:spacing w:after="0" w:line="240" w:lineRule="auto"/>
        <w:jc w:val="both"/>
        <w:rPr>
          <w:rFonts w:ascii="Times New Roman" w:hAnsi="Times New Roman" w:cs="Times New Roman"/>
          <w:bCs/>
          <w:sz w:val="24"/>
          <w:szCs w:val="24"/>
        </w:rPr>
      </w:pPr>
      <w:r w:rsidRPr="00D54913">
        <w:rPr>
          <w:rFonts w:ascii="Times New Roman" w:hAnsi="Times New Roman" w:cs="Times New Roman"/>
          <w:bCs/>
          <w:sz w:val="24"/>
          <w:szCs w:val="24"/>
        </w:rPr>
        <w:t>Under option</w:t>
      </w:r>
      <w:r w:rsidR="00AC2EAE">
        <w:rPr>
          <w:rFonts w:ascii="Times New Roman" w:hAnsi="Times New Roman" w:cs="Times New Roman"/>
          <w:bCs/>
          <w:sz w:val="24"/>
          <w:szCs w:val="24"/>
        </w:rPr>
        <w:t xml:space="preserve"> C</w:t>
      </w:r>
      <w:r w:rsidRPr="00D54913">
        <w:rPr>
          <w:rFonts w:ascii="Times New Roman" w:hAnsi="Times New Roman" w:cs="Times New Roman"/>
          <w:bCs/>
          <w:sz w:val="24"/>
          <w:szCs w:val="24"/>
        </w:rPr>
        <w:t>, the EU a</w:t>
      </w:r>
      <w:r w:rsidR="002031B3">
        <w:rPr>
          <w:rFonts w:ascii="Times New Roman" w:hAnsi="Times New Roman" w:cs="Times New Roman"/>
          <w:bCs/>
          <w:sz w:val="24"/>
          <w:szCs w:val="24"/>
        </w:rPr>
        <w:t xml:space="preserve">nd </w:t>
      </w:r>
      <w:r w:rsidR="00A57301">
        <w:rPr>
          <w:rFonts w:ascii="Times New Roman" w:hAnsi="Times New Roman" w:cs="Times New Roman"/>
          <w:bCs/>
          <w:sz w:val="24"/>
          <w:szCs w:val="24"/>
        </w:rPr>
        <w:t xml:space="preserve">Chile </w:t>
      </w:r>
      <w:r w:rsidRPr="00D54913">
        <w:rPr>
          <w:rFonts w:ascii="Times New Roman" w:hAnsi="Times New Roman" w:cs="Times New Roman"/>
          <w:bCs/>
          <w:sz w:val="24"/>
          <w:szCs w:val="24"/>
        </w:rPr>
        <w:t xml:space="preserve">would enter into negotiations </w:t>
      </w:r>
      <w:r w:rsidR="00CD051A">
        <w:rPr>
          <w:rFonts w:ascii="Times New Roman" w:hAnsi="Times New Roman" w:cs="Times New Roman"/>
          <w:bCs/>
          <w:sz w:val="24"/>
          <w:szCs w:val="24"/>
        </w:rPr>
        <w:t xml:space="preserve">to </w:t>
      </w:r>
      <w:r w:rsidR="008D0D8E">
        <w:rPr>
          <w:rFonts w:ascii="Times New Roman" w:hAnsi="Times New Roman" w:cs="Times New Roman"/>
          <w:bCs/>
          <w:sz w:val="24"/>
          <w:szCs w:val="24"/>
        </w:rPr>
        <w:t xml:space="preserve">comprehensively </w:t>
      </w:r>
      <w:r w:rsidR="002031B3">
        <w:rPr>
          <w:rFonts w:ascii="Times New Roman" w:hAnsi="Times New Roman" w:cs="Times New Roman"/>
          <w:bCs/>
          <w:sz w:val="24"/>
          <w:szCs w:val="24"/>
        </w:rPr>
        <w:t>modernis</w:t>
      </w:r>
      <w:r w:rsidR="00CD051A">
        <w:rPr>
          <w:rFonts w:ascii="Times New Roman" w:hAnsi="Times New Roman" w:cs="Times New Roman"/>
          <w:bCs/>
          <w:sz w:val="24"/>
          <w:szCs w:val="24"/>
        </w:rPr>
        <w:t>e</w:t>
      </w:r>
      <w:r w:rsidR="002031B3">
        <w:rPr>
          <w:rFonts w:ascii="Times New Roman" w:hAnsi="Times New Roman" w:cs="Times New Roman"/>
          <w:bCs/>
          <w:sz w:val="24"/>
          <w:szCs w:val="24"/>
        </w:rPr>
        <w:t xml:space="preserve"> the EU-</w:t>
      </w:r>
      <w:r w:rsidR="00A57301">
        <w:rPr>
          <w:rFonts w:ascii="Times New Roman" w:hAnsi="Times New Roman" w:cs="Times New Roman"/>
          <w:bCs/>
          <w:sz w:val="24"/>
          <w:szCs w:val="24"/>
        </w:rPr>
        <w:t xml:space="preserve">Chile </w:t>
      </w:r>
      <w:r w:rsidR="002031B3">
        <w:rPr>
          <w:rFonts w:ascii="Times New Roman" w:hAnsi="Times New Roman" w:cs="Times New Roman"/>
          <w:bCs/>
          <w:sz w:val="24"/>
          <w:szCs w:val="24"/>
        </w:rPr>
        <w:t>FTA</w:t>
      </w:r>
      <w:r w:rsidR="00854C41">
        <w:rPr>
          <w:rFonts w:ascii="Times New Roman" w:hAnsi="Times New Roman" w:cs="Times New Roman"/>
          <w:bCs/>
          <w:sz w:val="24"/>
          <w:szCs w:val="24"/>
        </w:rPr>
        <w:t>.</w:t>
      </w:r>
      <w:r w:rsidR="00B664CE">
        <w:rPr>
          <w:rFonts w:ascii="Times New Roman" w:hAnsi="Times New Roman" w:cs="Times New Roman"/>
          <w:bCs/>
          <w:sz w:val="24"/>
          <w:szCs w:val="24"/>
        </w:rPr>
        <w:t xml:space="preserve"> </w:t>
      </w:r>
      <w:r w:rsidR="00DE566E">
        <w:rPr>
          <w:rFonts w:ascii="Times New Roman" w:hAnsi="Times New Roman" w:cs="Times New Roman"/>
          <w:sz w:val="24"/>
          <w:szCs w:val="24"/>
        </w:rPr>
        <w:t xml:space="preserve">Such an approach would cover issues and sectors </w:t>
      </w:r>
      <w:r w:rsidR="00CD051A">
        <w:rPr>
          <w:rFonts w:ascii="Times New Roman" w:hAnsi="Times New Roman" w:cs="Times New Roman"/>
          <w:sz w:val="24"/>
          <w:szCs w:val="24"/>
        </w:rPr>
        <w:t xml:space="preserve">other </w:t>
      </w:r>
      <w:r w:rsidR="00DE566E">
        <w:rPr>
          <w:rFonts w:ascii="Times New Roman" w:hAnsi="Times New Roman" w:cs="Times New Roman"/>
          <w:sz w:val="24"/>
          <w:szCs w:val="24"/>
        </w:rPr>
        <w:t>than the t</w:t>
      </w:r>
      <w:r w:rsidR="00A40300">
        <w:rPr>
          <w:rFonts w:ascii="Times New Roman" w:hAnsi="Times New Roman" w:cs="Times New Roman"/>
          <w:sz w:val="24"/>
          <w:szCs w:val="24"/>
        </w:rPr>
        <w:t>wo</w:t>
      </w:r>
      <w:r w:rsidR="00DE566E">
        <w:rPr>
          <w:rFonts w:ascii="Times New Roman" w:hAnsi="Times New Roman" w:cs="Times New Roman"/>
          <w:sz w:val="24"/>
          <w:szCs w:val="24"/>
        </w:rPr>
        <w:t xml:space="preserve"> foresee</w:t>
      </w:r>
      <w:r w:rsidR="004F5B0D">
        <w:rPr>
          <w:rFonts w:ascii="Times New Roman" w:hAnsi="Times New Roman" w:cs="Times New Roman"/>
          <w:sz w:val="24"/>
          <w:szCs w:val="24"/>
        </w:rPr>
        <w:t>n</w:t>
      </w:r>
      <w:r w:rsidR="0092446B">
        <w:rPr>
          <w:rFonts w:ascii="Times New Roman" w:hAnsi="Times New Roman" w:cs="Times New Roman"/>
          <w:sz w:val="24"/>
          <w:szCs w:val="24"/>
        </w:rPr>
        <w:t xml:space="preserve"> in the review</w:t>
      </w:r>
      <w:r w:rsidR="00DE566E">
        <w:rPr>
          <w:rFonts w:ascii="Times New Roman" w:hAnsi="Times New Roman" w:cs="Times New Roman"/>
          <w:sz w:val="24"/>
          <w:szCs w:val="24"/>
        </w:rPr>
        <w:t xml:space="preserve"> clauses</w:t>
      </w:r>
      <w:r w:rsidR="008D0D8E">
        <w:rPr>
          <w:rFonts w:ascii="Times New Roman" w:hAnsi="Times New Roman" w:cs="Times New Roman"/>
          <w:sz w:val="24"/>
          <w:szCs w:val="24"/>
        </w:rPr>
        <w:t xml:space="preserve"> and</w:t>
      </w:r>
      <w:r w:rsidR="00DE566E">
        <w:rPr>
          <w:rFonts w:ascii="Times New Roman" w:hAnsi="Times New Roman" w:cs="Times New Roman"/>
          <w:sz w:val="24"/>
          <w:szCs w:val="24"/>
        </w:rPr>
        <w:t xml:space="preserve"> would </w:t>
      </w:r>
      <w:r w:rsidR="00A40300">
        <w:rPr>
          <w:rFonts w:ascii="Times New Roman" w:hAnsi="Times New Roman" w:cs="Times New Roman"/>
          <w:sz w:val="24"/>
          <w:szCs w:val="24"/>
        </w:rPr>
        <w:t xml:space="preserve">also </w:t>
      </w:r>
      <w:r w:rsidR="00DE566E">
        <w:rPr>
          <w:rFonts w:ascii="Times New Roman" w:hAnsi="Times New Roman" w:cs="Times New Roman"/>
          <w:sz w:val="24"/>
          <w:szCs w:val="24"/>
        </w:rPr>
        <w:t>allow synergies between different areas.</w:t>
      </w:r>
    </w:p>
    <w:p w:rsidR="00854C41" w:rsidRDefault="00854C41" w:rsidP="00D54913">
      <w:pPr>
        <w:spacing w:after="0" w:line="240" w:lineRule="auto"/>
        <w:jc w:val="both"/>
        <w:rPr>
          <w:rFonts w:ascii="Times New Roman" w:hAnsi="Times New Roman" w:cs="Times New Roman"/>
          <w:bCs/>
          <w:sz w:val="24"/>
          <w:szCs w:val="24"/>
        </w:rPr>
      </w:pPr>
    </w:p>
    <w:p w:rsidR="0046069D" w:rsidRDefault="00854C41" w:rsidP="00E851A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 line</w:t>
      </w:r>
      <w:r w:rsidR="00D54913" w:rsidRPr="00D54913">
        <w:rPr>
          <w:rFonts w:ascii="Times New Roman" w:hAnsi="Times New Roman" w:cs="Times New Roman"/>
          <w:bCs/>
          <w:sz w:val="24"/>
          <w:szCs w:val="24"/>
        </w:rPr>
        <w:t xml:space="preserve"> with </w:t>
      </w:r>
      <w:r w:rsidR="002031B3">
        <w:rPr>
          <w:rFonts w:ascii="Times New Roman" w:hAnsi="Times New Roman" w:cs="Times New Roman"/>
          <w:bCs/>
          <w:sz w:val="24"/>
          <w:szCs w:val="24"/>
        </w:rPr>
        <w:t xml:space="preserve">recent and on-going </w:t>
      </w:r>
      <w:r w:rsidR="00D54913" w:rsidRPr="00D54913">
        <w:rPr>
          <w:rFonts w:ascii="Times New Roman" w:hAnsi="Times New Roman" w:cs="Times New Roman"/>
          <w:bCs/>
          <w:sz w:val="24"/>
          <w:szCs w:val="24"/>
        </w:rPr>
        <w:t xml:space="preserve">established policies both in the EU and </w:t>
      </w:r>
      <w:r w:rsidR="00A57301">
        <w:rPr>
          <w:rFonts w:ascii="Times New Roman" w:hAnsi="Times New Roman" w:cs="Times New Roman"/>
          <w:bCs/>
          <w:sz w:val="24"/>
          <w:szCs w:val="24"/>
        </w:rPr>
        <w:t>in Chile</w:t>
      </w:r>
      <w:r w:rsidR="002031B3">
        <w:rPr>
          <w:rFonts w:ascii="Times New Roman" w:hAnsi="Times New Roman" w:cs="Times New Roman"/>
          <w:bCs/>
          <w:sz w:val="24"/>
          <w:szCs w:val="24"/>
        </w:rPr>
        <w:t xml:space="preserve">, </w:t>
      </w:r>
      <w:r w:rsidR="0046069D">
        <w:rPr>
          <w:rFonts w:ascii="Times New Roman" w:hAnsi="Times New Roman" w:cs="Times New Roman"/>
          <w:bCs/>
          <w:sz w:val="24"/>
          <w:szCs w:val="24"/>
        </w:rPr>
        <w:t xml:space="preserve">Option C </w:t>
      </w:r>
      <w:r w:rsidR="00CD051A">
        <w:rPr>
          <w:rFonts w:ascii="Times New Roman" w:hAnsi="Times New Roman" w:cs="Times New Roman"/>
          <w:bCs/>
          <w:sz w:val="24"/>
          <w:szCs w:val="24"/>
        </w:rPr>
        <w:t>would</w:t>
      </w:r>
      <w:r w:rsidR="001D5AF8">
        <w:rPr>
          <w:rFonts w:ascii="Times New Roman" w:hAnsi="Times New Roman" w:cs="Times New Roman"/>
          <w:bCs/>
          <w:sz w:val="24"/>
          <w:szCs w:val="24"/>
        </w:rPr>
        <w:t xml:space="preserve"> enable the parties</w:t>
      </w:r>
      <w:r w:rsidR="00D54913" w:rsidRPr="00D54913">
        <w:rPr>
          <w:rFonts w:ascii="Times New Roman" w:hAnsi="Times New Roman" w:cs="Times New Roman"/>
          <w:bCs/>
          <w:sz w:val="24"/>
          <w:szCs w:val="24"/>
        </w:rPr>
        <w:t xml:space="preserve">, </w:t>
      </w:r>
      <w:r w:rsidR="00D54913" w:rsidRPr="00E51365">
        <w:rPr>
          <w:rFonts w:ascii="Times New Roman" w:hAnsi="Times New Roman" w:cs="Times New Roman"/>
          <w:bCs/>
          <w:i/>
          <w:sz w:val="24"/>
          <w:szCs w:val="24"/>
        </w:rPr>
        <w:t>inter alia</w:t>
      </w:r>
      <w:r w:rsidR="00D54913" w:rsidRPr="00D54913">
        <w:rPr>
          <w:rFonts w:ascii="Times New Roman" w:hAnsi="Times New Roman" w:cs="Times New Roman"/>
          <w:bCs/>
          <w:sz w:val="24"/>
          <w:szCs w:val="24"/>
        </w:rPr>
        <w:t xml:space="preserve">, </w:t>
      </w:r>
      <w:r w:rsidR="001D5AF8">
        <w:rPr>
          <w:rFonts w:ascii="Times New Roman" w:hAnsi="Times New Roman" w:cs="Times New Roman"/>
          <w:bCs/>
          <w:sz w:val="24"/>
          <w:szCs w:val="24"/>
        </w:rPr>
        <w:t xml:space="preserve">to </w:t>
      </w:r>
      <w:r w:rsidRPr="00E851A2">
        <w:rPr>
          <w:rFonts w:ascii="Times New Roman" w:hAnsi="Times New Roman" w:cs="Times New Roman"/>
          <w:b/>
          <w:bCs/>
          <w:sz w:val="24"/>
          <w:szCs w:val="24"/>
        </w:rPr>
        <w:t xml:space="preserve">further </w:t>
      </w:r>
      <w:r w:rsidR="002031B3" w:rsidRPr="00E851A2">
        <w:rPr>
          <w:rFonts w:ascii="Times New Roman" w:hAnsi="Times New Roman" w:cs="Times New Roman"/>
          <w:b/>
          <w:bCs/>
          <w:sz w:val="24"/>
          <w:szCs w:val="24"/>
        </w:rPr>
        <w:t>liberalise services</w:t>
      </w:r>
      <w:r w:rsidR="00A01FDF" w:rsidRPr="00E851A2">
        <w:rPr>
          <w:rFonts w:ascii="Times New Roman" w:hAnsi="Times New Roman" w:cs="Times New Roman"/>
          <w:b/>
          <w:bCs/>
          <w:sz w:val="24"/>
          <w:szCs w:val="24"/>
        </w:rPr>
        <w:t xml:space="preserve"> and investment,</w:t>
      </w:r>
      <w:r w:rsidR="002031B3" w:rsidRPr="00E851A2">
        <w:rPr>
          <w:rFonts w:ascii="Times New Roman" w:hAnsi="Times New Roman" w:cs="Times New Roman"/>
          <w:b/>
          <w:bCs/>
          <w:sz w:val="24"/>
          <w:szCs w:val="24"/>
        </w:rPr>
        <w:t xml:space="preserve"> </w:t>
      </w:r>
      <w:r w:rsidR="001D5AF8" w:rsidRPr="00E851A2">
        <w:rPr>
          <w:rFonts w:ascii="Times New Roman" w:hAnsi="Times New Roman" w:cs="Times New Roman"/>
          <w:b/>
          <w:bCs/>
          <w:sz w:val="24"/>
          <w:szCs w:val="24"/>
        </w:rPr>
        <w:t>to</w:t>
      </w:r>
      <w:r w:rsidR="00D54913" w:rsidRPr="00E851A2">
        <w:rPr>
          <w:rFonts w:ascii="Times New Roman" w:hAnsi="Times New Roman" w:cs="Times New Roman"/>
          <w:b/>
          <w:bCs/>
          <w:sz w:val="24"/>
          <w:szCs w:val="24"/>
        </w:rPr>
        <w:t xml:space="preserve"> </w:t>
      </w:r>
      <w:r w:rsidR="00A01FDF" w:rsidRPr="00E851A2">
        <w:rPr>
          <w:rFonts w:ascii="Times New Roman" w:hAnsi="Times New Roman" w:cs="Times New Roman"/>
          <w:b/>
          <w:bCs/>
          <w:sz w:val="24"/>
          <w:szCs w:val="24"/>
        </w:rPr>
        <w:t>establish a single and coherent investment protection framework,</w:t>
      </w:r>
      <w:r w:rsidR="00D81D72" w:rsidRPr="004A7B8F">
        <w:rPr>
          <w:rFonts w:ascii="Times New Roman" w:hAnsi="Times New Roman" w:cs="Times New Roman"/>
          <w:b/>
          <w:bCs/>
          <w:sz w:val="24"/>
          <w:szCs w:val="24"/>
        </w:rPr>
        <w:t xml:space="preserve"> </w:t>
      </w:r>
      <w:r w:rsidR="001D5AF8" w:rsidRPr="004A7B8F">
        <w:rPr>
          <w:rFonts w:ascii="Times New Roman" w:hAnsi="Times New Roman" w:cs="Times New Roman"/>
          <w:b/>
          <w:bCs/>
          <w:sz w:val="24"/>
          <w:szCs w:val="24"/>
        </w:rPr>
        <w:t>to</w:t>
      </w:r>
      <w:r w:rsidR="001D5AF8" w:rsidRPr="00E851A2">
        <w:rPr>
          <w:b/>
        </w:rPr>
        <w:t xml:space="preserve"> </w:t>
      </w:r>
      <w:r w:rsidR="00D81D72" w:rsidRPr="00E851A2">
        <w:rPr>
          <w:rFonts w:ascii="Times New Roman" w:hAnsi="Times New Roman" w:cs="Times New Roman"/>
          <w:b/>
          <w:bCs/>
          <w:sz w:val="24"/>
          <w:szCs w:val="24"/>
        </w:rPr>
        <w:t xml:space="preserve">address </w:t>
      </w:r>
      <w:r w:rsidRPr="00E851A2">
        <w:rPr>
          <w:rFonts w:ascii="Times New Roman" w:hAnsi="Times New Roman" w:cs="Times New Roman"/>
          <w:b/>
          <w:bCs/>
          <w:sz w:val="24"/>
          <w:szCs w:val="24"/>
        </w:rPr>
        <w:t xml:space="preserve">more </w:t>
      </w:r>
      <w:r w:rsidR="00F4684F" w:rsidRPr="00E851A2">
        <w:rPr>
          <w:rFonts w:ascii="Times New Roman" w:hAnsi="Times New Roman" w:cs="Times New Roman"/>
          <w:b/>
          <w:bCs/>
          <w:sz w:val="24"/>
          <w:szCs w:val="24"/>
        </w:rPr>
        <w:t xml:space="preserve">efficiently </w:t>
      </w:r>
      <w:r w:rsidR="00D81D72" w:rsidRPr="00E851A2">
        <w:rPr>
          <w:rFonts w:ascii="Times New Roman" w:hAnsi="Times New Roman" w:cs="Times New Roman"/>
          <w:b/>
          <w:bCs/>
          <w:sz w:val="24"/>
          <w:szCs w:val="24"/>
        </w:rPr>
        <w:t>non-tariff measures</w:t>
      </w:r>
      <w:r w:rsidRPr="00E851A2">
        <w:rPr>
          <w:rFonts w:ascii="Times New Roman" w:hAnsi="Times New Roman" w:cs="Times New Roman"/>
          <w:b/>
          <w:bCs/>
          <w:sz w:val="24"/>
          <w:szCs w:val="24"/>
        </w:rPr>
        <w:t xml:space="preserve"> (including TBT aspects)</w:t>
      </w:r>
      <w:r w:rsidR="00D81D72" w:rsidRPr="00E851A2">
        <w:rPr>
          <w:rFonts w:ascii="Times New Roman" w:hAnsi="Times New Roman" w:cs="Times New Roman"/>
          <w:b/>
          <w:bCs/>
          <w:sz w:val="24"/>
          <w:szCs w:val="24"/>
        </w:rPr>
        <w:t>,</w:t>
      </w:r>
      <w:r w:rsidR="002031B3" w:rsidRPr="00E851A2">
        <w:rPr>
          <w:rFonts w:ascii="Times New Roman" w:hAnsi="Times New Roman" w:cs="Times New Roman"/>
          <w:b/>
          <w:bCs/>
          <w:sz w:val="24"/>
          <w:szCs w:val="24"/>
        </w:rPr>
        <w:t xml:space="preserve"> </w:t>
      </w:r>
      <w:r w:rsidR="001D5AF8" w:rsidRPr="00E851A2">
        <w:rPr>
          <w:rFonts w:ascii="Times New Roman" w:hAnsi="Times New Roman" w:cs="Times New Roman"/>
          <w:b/>
          <w:bCs/>
          <w:sz w:val="24"/>
          <w:szCs w:val="24"/>
        </w:rPr>
        <w:t xml:space="preserve">to </w:t>
      </w:r>
      <w:r w:rsidR="00F4684F" w:rsidRPr="00E851A2">
        <w:rPr>
          <w:rFonts w:ascii="Times New Roman" w:hAnsi="Times New Roman" w:cs="Times New Roman"/>
          <w:b/>
          <w:bCs/>
          <w:sz w:val="24"/>
          <w:szCs w:val="24"/>
        </w:rPr>
        <w:t>spur</w:t>
      </w:r>
      <w:r w:rsidR="00D81D72" w:rsidRPr="00E851A2">
        <w:rPr>
          <w:rFonts w:ascii="Times New Roman" w:hAnsi="Times New Roman" w:cs="Times New Roman"/>
          <w:b/>
          <w:bCs/>
          <w:sz w:val="24"/>
          <w:szCs w:val="24"/>
        </w:rPr>
        <w:t xml:space="preserve"> regulatory coherence</w:t>
      </w:r>
      <w:r w:rsidR="00F4684F" w:rsidRPr="00E851A2">
        <w:rPr>
          <w:rFonts w:ascii="Times New Roman" w:hAnsi="Times New Roman" w:cs="Times New Roman"/>
          <w:b/>
          <w:bCs/>
          <w:sz w:val="24"/>
          <w:szCs w:val="24"/>
        </w:rPr>
        <w:t xml:space="preserve">, </w:t>
      </w:r>
      <w:r w:rsidR="001D5AF8" w:rsidRPr="00E851A2">
        <w:rPr>
          <w:rFonts w:ascii="Times New Roman" w:hAnsi="Times New Roman" w:cs="Times New Roman"/>
          <w:b/>
          <w:bCs/>
          <w:sz w:val="24"/>
          <w:szCs w:val="24"/>
        </w:rPr>
        <w:t xml:space="preserve">to </w:t>
      </w:r>
      <w:r w:rsidR="00F4684F" w:rsidRPr="00E851A2">
        <w:rPr>
          <w:rFonts w:ascii="Times New Roman" w:hAnsi="Times New Roman" w:cs="Times New Roman"/>
          <w:b/>
          <w:bCs/>
          <w:sz w:val="24"/>
          <w:szCs w:val="24"/>
        </w:rPr>
        <w:t>provide high</w:t>
      </w:r>
      <w:r w:rsidRPr="00E851A2">
        <w:rPr>
          <w:rFonts w:ascii="Times New Roman" w:hAnsi="Times New Roman" w:cs="Times New Roman"/>
          <w:b/>
          <w:bCs/>
          <w:sz w:val="24"/>
          <w:szCs w:val="24"/>
        </w:rPr>
        <w:t>er</w:t>
      </w:r>
      <w:r w:rsidR="00F4684F" w:rsidRPr="00E851A2">
        <w:rPr>
          <w:rFonts w:ascii="Times New Roman" w:hAnsi="Times New Roman" w:cs="Times New Roman"/>
          <w:b/>
          <w:bCs/>
          <w:sz w:val="24"/>
          <w:szCs w:val="24"/>
        </w:rPr>
        <w:t xml:space="preserve"> standards of protection </w:t>
      </w:r>
      <w:r w:rsidR="00930A0C" w:rsidRPr="00E851A2">
        <w:rPr>
          <w:rFonts w:ascii="Times New Roman" w:hAnsi="Times New Roman" w:cs="Times New Roman"/>
          <w:b/>
          <w:bCs/>
          <w:sz w:val="24"/>
          <w:szCs w:val="24"/>
        </w:rPr>
        <w:t xml:space="preserve">and enforcement </w:t>
      </w:r>
      <w:r w:rsidR="00F4684F" w:rsidRPr="00E851A2">
        <w:rPr>
          <w:rFonts w:ascii="Times New Roman" w:hAnsi="Times New Roman" w:cs="Times New Roman"/>
          <w:b/>
          <w:bCs/>
          <w:sz w:val="24"/>
          <w:szCs w:val="24"/>
        </w:rPr>
        <w:t xml:space="preserve">of IPR, </w:t>
      </w:r>
      <w:r w:rsidR="001D5AF8" w:rsidRPr="00E851A2">
        <w:rPr>
          <w:rFonts w:ascii="Times New Roman" w:hAnsi="Times New Roman" w:cs="Times New Roman"/>
          <w:b/>
          <w:bCs/>
          <w:sz w:val="24"/>
          <w:szCs w:val="24"/>
        </w:rPr>
        <w:t xml:space="preserve">to </w:t>
      </w:r>
      <w:r w:rsidR="00F4684F" w:rsidRPr="00E851A2">
        <w:rPr>
          <w:rFonts w:ascii="Times New Roman" w:hAnsi="Times New Roman" w:cs="Times New Roman"/>
          <w:b/>
          <w:bCs/>
          <w:sz w:val="24"/>
          <w:szCs w:val="24"/>
        </w:rPr>
        <w:t xml:space="preserve">improve access to public procurement markets </w:t>
      </w:r>
      <w:r w:rsidR="00D5583A" w:rsidRPr="00E851A2">
        <w:rPr>
          <w:rFonts w:ascii="Times New Roman" w:hAnsi="Times New Roman" w:cs="Times New Roman"/>
          <w:b/>
          <w:bCs/>
          <w:sz w:val="24"/>
          <w:szCs w:val="24"/>
        </w:rPr>
        <w:t>(including for SMEs)</w:t>
      </w:r>
      <w:r w:rsidR="00D5583A">
        <w:rPr>
          <w:rFonts w:ascii="Times New Roman" w:hAnsi="Times New Roman" w:cs="Times New Roman"/>
          <w:bCs/>
          <w:sz w:val="24"/>
          <w:szCs w:val="24"/>
        </w:rPr>
        <w:t xml:space="preserve"> </w:t>
      </w:r>
      <w:r w:rsidR="00F4684F">
        <w:rPr>
          <w:rFonts w:ascii="Times New Roman" w:hAnsi="Times New Roman" w:cs="Times New Roman"/>
          <w:bCs/>
          <w:sz w:val="24"/>
          <w:szCs w:val="24"/>
        </w:rPr>
        <w:t xml:space="preserve">and </w:t>
      </w:r>
      <w:r w:rsidR="001D5AF8">
        <w:rPr>
          <w:rFonts w:ascii="Times New Roman" w:hAnsi="Times New Roman" w:cs="Times New Roman"/>
          <w:bCs/>
          <w:sz w:val="24"/>
          <w:szCs w:val="24"/>
        </w:rPr>
        <w:t xml:space="preserve">to </w:t>
      </w:r>
      <w:r w:rsidR="00F4684F">
        <w:rPr>
          <w:rFonts w:ascii="Times New Roman" w:hAnsi="Times New Roman" w:cs="Times New Roman"/>
          <w:bCs/>
          <w:sz w:val="24"/>
          <w:szCs w:val="24"/>
        </w:rPr>
        <w:t>promote</w:t>
      </w:r>
      <w:r w:rsidR="00F4684F" w:rsidRPr="00F4684F">
        <w:rPr>
          <w:rFonts w:ascii="Times New Roman" w:hAnsi="Times New Roman" w:cs="Times New Roman"/>
          <w:bCs/>
          <w:sz w:val="24"/>
          <w:szCs w:val="24"/>
        </w:rPr>
        <w:t xml:space="preserve"> the contribution of trade and investment to sustainable development</w:t>
      </w:r>
      <w:r w:rsidR="002031B3">
        <w:rPr>
          <w:rFonts w:ascii="Times New Roman" w:hAnsi="Times New Roman" w:cs="Times New Roman"/>
          <w:bCs/>
          <w:sz w:val="24"/>
          <w:szCs w:val="24"/>
        </w:rPr>
        <w:t>.</w:t>
      </w:r>
      <w:r w:rsidR="008C71F6">
        <w:rPr>
          <w:rFonts w:ascii="Times New Roman" w:hAnsi="Times New Roman" w:cs="Times New Roman"/>
          <w:bCs/>
          <w:sz w:val="24"/>
          <w:szCs w:val="24"/>
        </w:rPr>
        <w:t xml:space="preserve"> </w:t>
      </w:r>
    </w:p>
    <w:p w:rsidR="0046069D" w:rsidRDefault="0046069D" w:rsidP="00E851A2">
      <w:pPr>
        <w:spacing w:after="0" w:line="240" w:lineRule="auto"/>
        <w:jc w:val="both"/>
        <w:rPr>
          <w:rFonts w:ascii="Times New Roman" w:hAnsi="Times New Roman" w:cs="Times New Roman"/>
          <w:bCs/>
          <w:sz w:val="24"/>
          <w:szCs w:val="24"/>
        </w:rPr>
      </w:pPr>
    </w:p>
    <w:p w:rsidR="0018694C" w:rsidRPr="00AC2EAE" w:rsidRDefault="0018694C" w:rsidP="0018694C">
      <w:pPr>
        <w:spacing w:after="0" w:line="240" w:lineRule="auto"/>
        <w:jc w:val="both"/>
      </w:pPr>
      <w:r>
        <w:rPr>
          <w:rFonts w:ascii="Times New Roman" w:hAnsi="Times New Roman" w:cs="Times New Roman"/>
          <w:bCs/>
          <w:sz w:val="24"/>
          <w:szCs w:val="24"/>
        </w:rPr>
        <w:t xml:space="preserve">As the more recent FTAs </w:t>
      </w:r>
      <w:r w:rsidRPr="00AC2EAE">
        <w:rPr>
          <w:rFonts w:ascii="Times New Roman" w:hAnsi="Times New Roman" w:cs="Times New Roman"/>
          <w:bCs/>
          <w:sz w:val="24"/>
          <w:szCs w:val="24"/>
        </w:rPr>
        <w:t xml:space="preserve">concluded by the EU, </w:t>
      </w:r>
      <w:r>
        <w:rPr>
          <w:rFonts w:ascii="Times New Roman" w:hAnsi="Times New Roman" w:cs="Times New Roman"/>
          <w:bCs/>
          <w:sz w:val="24"/>
          <w:szCs w:val="24"/>
        </w:rPr>
        <w:t xml:space="preserve">Option C </w:t>
      </w:r>
      <w:r w:rsidRPr="00AC2EAE">
        <w:rPr>
          <w:rFonts w:ascii="Times New Roman" w:hAnsi="Times New Roman" w:cs="Times New Roman"/>
          <w:bCs/>
          <w:sz w:val="24"/>
          <w:szCs w:val="24"/>
        </w:rPr>
        <w:t xml:space="preserve">would include </w:t>
      </w:r>
      <w:r w:rsidRPr="00AC2EAE">
        <w:rPr>
          <w:rFonts w:ascii="Times New Roman" w:hAnsi="Times New Roman" w:cs="Times New Roman"/>
          <w:sz w:val="24"/>
          <w:szCs w:val="24"/>
        </w:rPr>
        <w:t xml:space="preserve">an ambitious </w:t>
      </w:r>
      <w:r w:rsidRPr="006D7F40">
        <w:rPr>
          <w:rFonts w:ascii="Times New Roman" w:hAnsi="Times New Roman" w:cs="Times New Roman"/>
          <w:b/>
          <w:sz w:val="24"/>
          <w:szCs w:val="24"/>
        </w:rPr>
        <w:t>Trade and Sustainable Development</w:t>
      </w:r>
      <w:r w:rsidRPr="00AC2EAE">
        <w:rPr>
          <w:rFonts w:ascii="Times New Roman" w:hAnsi="Times New Roman" w:cs="Times New Roman"/>
          <w:sz w:val="24"/>
          <w:szCs w:val="24"/>
        </w:rPr>
        <w:t xml:space="preserve"> chapter with robust labour and environmental protection provisions, which would refer to ILO Conventions, other ILO instruments and multilateral environmental agreements. The chapter would also include specific provisions encouraging trade practices and schemes that support and </w:t>
      </w:r>
      <w:r>
        <w:rPr>
          <w:rFonts w:ascii="Times New Roman" w:hAnsi="Times New Roman" w:cs="Times New Roman"/>
          <w:sz w:val="24"/>
          <w:szCs w:val="24"/>
        </w:rPr>
        <w:t>promote sustainable development</w:t>
      </w:r>
      <w:r w:rsidRPr="00AC2EAE">
        <w:rPr>
          <w:rFonts w:ascii="Times New Roman" w:hAnsi="Times New Roman" w:cs="Times New Roman"/>
          <w:sz w:val="24"/>
          <w:szCs w:val="24"/>
        </w:rPr>
        <w:t xml:space="preserve"> (e.g. corporate social responsibility, voluntary sustainability assurance schemes etc.). Furthermore, there would be a dedicated institutional set-up </w:t>
      </w:r>
      <w:r>
        <w:rPr>
          <w:rFonts w:ascii="Times New Roman" w:hAnsi="Times New Roman" w:cs="Times New Roman"/>
          <w:sz w:val="24"/>
          <w:szCs w:val="24"/>
        </w:rPr>
        <w:t>including</w:t>
      </w:r>
      <w:r w:rsidRPr="00AC2EAE">
        <w:rPr>
          <w:rFonts w:ascii="Times New Roman" w:hAnsi="Times New Roman" w:cs="Times New Roman"/>
          <w:sz w:val="24"/>
          <w:szCs w:val="24"/>
        </w:rPr>
        <w:t xml:space="preserve"> governmental and civil society involvement so as to foster transparency, accountability and dialogue, as well as a tailored mechanism to address disputes involving third party assessment.</w:t>
      </w:r>
    </w:p>
    <w:p w:rsidR="000B14E2" w:rsidRDefault="000B14E2" w:rsidP="00D54913">
      <w:pPr>
        <w:spacing w:after="0" w:line="240" w:lineRule="auto"/>
        <w:jc w:val="both"/>
        <w:rPr>
          <w:rFonts w:ascii="Times New Roman" w:hAnsi="Times New Roman" w:cs="Times New Roman"/>
          <w:bCs/>
          <w:sz w:val="24"/>
          <w:szCs w:val="24"/>
        </w:rPr>
      </w:pPr>
    </w:p>
    <w:p w:rsidR="00854C41" w:rsidRDefault="0046069D" w:rsidP="00D549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order to take account of existing sensitivities, Option C is divided into </w:t>
      </w:r>
      <w:r w:rsidR="00412154">
        <w:rPr>
          <w:rFonts w:ascii="Times New Roman" w:hAnsi="Times New Roman" w:cs="Times New Roman"/>
          <w:bCs/>
          <w:sz w:val="24"/>
          <w:szCs w:val="24"/>
        </w:rPr>
        <w:t>two</w:t>
      </w:r>
      <w:r w:rsidR="00D54913" w:rsidRPr="00D54913">
        <w:rPr>
          <w:rFonts w:ascii="Times New Roman" w:hAnsi="Times New Roman" w:cs="Times New Roman"/>
          <w:bCs/>
          <w:sz w:val="24"/>
          <w:szCs w:val="24"/>
        </w:rPr>
        <w:t xml:space="preserve"> different possible </w:t>
      </w:r>
      <w:r w:rsidR="009C0A4C">
        <w:rPr>
          <w:rFonts w:ascii="Times New Roman" w:hAnsi="Times New Roman" w:cs="Times New Roman"/>
          <w:bCs/>
          <w:sz w:val="24"/>
          <w:szCs w:val="24"/>
        </w:rPr>
        <w:t>sub-</w:t>
      </w:r>
      <w:r w:rsidR="00D54913" w:rsidRPr="00D54913">
        <w:rPr>
          <w:rFonts w:ascii="Times New Roman" w:hAnsi="Times New Roman" w:cs="Times New Roman"/>
          <w:bCs/>
          <w:sz w:val="24"/>
          <w:szCs w:val="24"/>
        </w:rPr>
        <w:t>scenarios</w:t>
      </w:r>
      <w:r w:rsidR="009337F2">
        <w:rPr>
          <w:rFonts w:ascii="Times New Roman" w:hAnsi="Times New Roman" w:cs="Times New Roman"/>
          <w:bCs/>
          <w:sz w:val="24"/>
          <w:szCs w:val="24"/>
        </w:rPr>
        <w:t>,</w:t>
      </w:r>
      <w:r w:rsidR="00D54913" w:rsidRPr="00D54913">
        <w:rPr>
          <w:rFonts w:ascii="Times New Roman" w:hAnsi="Times New Roman" w:cs="Times New Roman"/>
          <w:bCs/>
          <w:sz w:val="24"/>
          <w:szCs w:val="24"/>
        </w:rPr>
        <w:t xml:space="preserve"> </w:t>
      </w:r>
      <w:r>
        <w:rPr>
          <w:rFonts w:ascii="Times New Roman" w:hAnsi="Times New Roman" w:cs="Times New Roman"/>
          <w:bCs/>
          <w:sz w:val="24"/>
          <w:szCs w:val="24"/>
        </w:rPr>
        <w:t>d</w:t>
      </w:r>
      <w:r w:rsidR="004A7B8F">
        <w:rPr>
          <w:rFonts w:ascii="Times New Roman" w:hAnsi="Times New Roman" w:cs="Times New Roman"/>
          <w:bCs/>
          <w:sz w:val="24"/>
          <w:szCs w:val="24"/>
        </w:rPr>
        <w:t>iffering</w:t>
      </w:r>
      <w:r>
        <w:rPr>
          <w:rFonts w:ascii="Times New Roman" w:hAnsi="Times New Roman" w:cs="Times New Roman"/>
          <w:bCs/>
          <w:sz w:val="24"/>
          <w:szCs w:val="24"/>
        </w:rPr>
        <w:t xml:space="preserve"> </w:t>
      </w:r>
      <w:r w:rsidR="00AC2EAE">
        <w:rPr>
          <w:rFonts w:ascii="Times New Roman" w:hAnsi="Times New Roman" w:cs="Times New Roman"/>
          <w:bCs/>
          <w:sz w:val="24"/>
          <w:szCs w:val="24"/>
        </w:rPr>
        <w:t xml:space="preserve">only </w:t>
      </w:r>
      <w:r>
        <w:rPr>
          <w:rFonts w:ascii="Times New Roman" w:hAnsi="Times New Roman" w:cs="Times New Roman"/>
          <w:bCs/>
          <w:sz w:val="24"/>
          <w:szCs w:val="24"/>
        </w:rPr>
        <w:t xml:space="preserve">on the degree of ambition in the liberalisation of </w:t>
      </w:r>
      <w:r w:rsidR="00854C41">
        <w:rPr>
          <w:rFonts w:ascii="Times New Roman" w:hAnsi="Times New Roman" w:cs="Times New Roman"/>
          <w:bCs/>
          <w:sz w:val="24"/>
          <w:szCs w:val="24"/>
        </w:rPr>
        <w:t xml:space="preserve"> </w:t>
      </w:r>
      <w:r w:rsidR="00854C41" w:rsidRPr="00E851A2">
        <w:rPr>
          <w:rFonts w:ascii="Times New Roman" w:hAnsi="Times New Roman" w:cs="Times New Roman"/>
          <w:b/>
          <w:bCs/>
          <w:sz w:val="24"/>
          <w:szCs w:val="24"/>
        </w:rPr>
        <w:t xml:space="preserve">trade </w:t>
      </w:r>
      <w:r w:rsidRPr="00E851A2">
        <w:rPr>
          <w:rFonts w:ascii="Times New Roman" w:hAnsi="Times New Roman" w:cs="Times New Roman"/>
          <w:b/>
          <w:bCs/>
          <w:sz w:val="24"/>
          <w:szCs w:val="24"/>
        </w:rPr>
        <w:t>in goods</w:t>
      </w:r>
      <w:r w:rsidR="00854C41">
        <w:rPr>
          <w:rFonts w:ascii="Times New Roman" w:hAnsi="Times New Roman" w:cs="Times New Roman"/>
          <w:bCs/>
          <w:sz w:val="24"/>
          <w:szCs w:val="24"/>
        </w:rPr>
        <w:t>:</w:t>
      </w:r>
    </w:p>
    <w:p w:rsidR="00854C41" w:rsidRDefault="00854C41" w:rsidP="00D54913">
      <w:pPr>
        <w:spacing w:after="0" w:line="240" w:lineRule="auto"/>
        <w:jc w:val="both"/>
        <w:rPr>
          <w:rFonts w:ascii="Times New Roman" w:hAnsi="Times New Roman" w:cs="Times New Roman"/>
          <w:bCs/>
          <w:sz w:val="24"/>
          <w:szCs w:val="24"/>
        </w:rPr>
      </w:pPr>
    </w:p>
    <w:p w:rsidR="00854C41" w:rsidRPr="00D6703B" w:rsidRDefault="00A57301" w:rsidP="00FD3C27">
      <w:pPr>
        <w:spacing w:after="0" w:line="240" w:lineRule="auto"/>
        <w:ind w:left="1440"/>
        <w:jc w:val="both"/>
        <w:rPr>
          <w:rFonts w:ascii="Times New Roman" w:hAnsi="Times New Roman" w:cs="Times New Roman"/>
          <w:b/>
          <w:bCs/>
          <w:sz w:val="24"/>
          <w:szCs w:val="24"/>
        </w:rPr>
      </w:pPr>
      <w:r w:rsidRPr="00D6703B">
        <w:rPr>
          <w:rFonts w:ascii="Times New Roman" w:hAnsi="Times New Roman" w:cs="Times New Roman"/>
          <w:b/>
          <w:bCs/>
          <w:sz w:val="24"/>
          <w:szCs w:val="24"/>
        </w:rPr>
        <w:t>C1</w:t>
      </w:r>
      <w:r w:rsidR="00FD3C27">
        <w:rPr>
          <w:rFonts w:ascii="Times New Roman" w:hAnsi="Times New Roman" w:cs="Times New Roman"/>
          <w:b/>
          <w:bCs/>
          <w:sz w:val="24"/>
          <w:szCs w:val="24"/>
        </w:rPr>
        <w:t>:</w:t>
      </w:r>
      <w:r w:rsidRPr="00D6703B">
        <w:rPr>
          <w:rFonts w:ascii="Times New Roman" w:hAnsi="Times New Roman" w:cs="Times New Roman"/>
          <w:b/>
          <w:bCs/>
          <w:sz w:val="24"/>
          <w:szCs w:val="24"/>
        </w:rPr>
        <w:tab/>
        <w:t>C</w:t>
      </w:r>
      <w:r w:rsidR="00412154" w:rsidRPr="00D6703B">
        <w:rPr>
          <w:rFonts w:ascii="Times New Roman" w:hAnsi="Times New Roman" w:cs="Times New Roman"/>
          <w:b/>
          <w:bCs/>
          <w:sz w:val="24"/>
          <w:szCs w:val="24"/>
        </w:rPr>
        <w:t>onservative</w:t>
      </w:r>
      <w:r w:rsidRPr="00D6703B">
        <w:rPr>
          <w:rFonts w:ascii="Times New Roman" w:hAnsi="Times New Roman" w:cs="Times New Roman"/>
          <w:b/>
          <w:bCs/>
          <w:sz w:val="24"/>
          <w:szCs w:val="24"/>
        </w:rPr>
        <w:t>, partial liberalisation</w:t>
      </w:r>
      <w:r w:rsidR="00412154" w:rsidRPr="00D6703B">
        <w:rPr>
          <w:rFonts w:ascii="Times New Roman" w:hAnsi="Times New Roman" w:cs="Times New Roman"/>
          <w:b/>
          <w:bCs/>
          <w:sz w:val="24"/>
          <w:szCs w:val="24"/>
        </w:rPr>
        <w:t xml:space="preserve"> scenario</w:t>
      </w:r>
    </w:p>
    <w:p w:rsidR="00854C41" w:rsidRPr="00AC2EAE" w:rsidRDefault="00854C41" w:rsidP="00FD3C27">
      <w:pPr>
        <w:pStyle w:val="ListParagraph"/>
        <w:spacing w:after="0" w:line="240" w:lineRule="auto"/>
        <w:ind w:left="2160"/>
        <w:jc w:val="both"/>
        <w:rPr>
          <w:rFonts w:ascii="Times New Roman" w:hAnsi="Times New Roman" w:cs="Times New Roman"/>
          <w:b/>
          <w:bCs/>
          <w:sz w:val="10"/>
          <w:szCs w:val="10"/>
          <w:lang w:val="en-GB"/>
        </w:rPr>
      </w:pPr>
    </w:p>
    <w:p w:rsidR="00D54913" w:rsidRPr="00A57301" w:rsidRDefault="00A57301" w:rsidP="00FD3C27">
      <w:pPr>
        <w:spacing w:after="0" w:line="240" w:lineRule="auto"/>
        <w:ind w:left="1440"/>
        <w:jc w:val="both"/>
        <w:rPr>
          <w:rFonts w:ascii="Times New Roman" w:hAnsi="Times New Roman" w:cs="Times New Roman"/>
          <w:b/>
          <w:bCs/>
          <w:sz w:val="24"/>
          <w:szCs w:val="24"/>
        </w:rPr>
      </w:pPr>
      <w:r w:rsidRPr="00D6703B">
        <w:rPr>
          <w:rFonts w:ascii="Times New Roman" w:hAnsi="Times New Roman" w:cs="Times New Roman"/>
          <w:b/>
          <w:bCs/>
          <w:sz w:val="24"/>
          <w:szCs w:val="24"/>
        </w:rPr>
        <w:t>C2</w:t>
      </w:r>
      <w:r w:rsidR="00FD3C27">
        <w:rPr>
          <w:rFonts w:ascii="Times New Roman" w:hAnsi="Times New Roman" w:cs="Times New Roman"/>
          <w:b/>
          <w:bCs/>
          <w:sz w:val="24"/>
          <w:szCs w:val="24"/>
        </w:rPr>
        <w:t>:</w:t>
      </w:r>
      <w:r w:rsidRPr="00D6703B">
        <w:rPr>
          <w:rFonts w:ascii="Times New Roman" w:hAnsi="Times New Roman" w:cs="Times New Roman"/>
          <w:b/>
          <w:bCs/>
          <w:sz w:val="24"/>
          <w:szCs w:val="24"/>
        </w:rPr>
        <w:tab/>
      </w:r>
      <w:r w:rsidR="00046D21">
        <w:rPr>
          <w:rFonts w:ascii="Times New Roman" w:hAnsi="Times New Roman" w:cs="Times New Roman"/>
          <w:b/>
          <w:bCs/>
          <w:sz w:val="24"/>
          <w:szCs w:val="24"/>
        </w:rPr>
        <w:t>Ambitious</w:t>
      </w:r>
      <w:r w:rsidRPr="00D6703B">
        <w:rPr>
          <w:rFonts w:ascii="Times New Roman" w:hAnsi="Times New Roman" w:cs="Times New Roman"/>
          <w:b/>
          <w:bCs/>
          <w:sz w:val="24"/>
          <w:szCs w:val="24"/>
        </w:rPr>
        <w:t xml:space="preserve">, </w:t>
      </w:r>
      <w:r w:rsidR="00046D21">
        <w:rPr>
          <w:rFonts w:ascii="Times New Roman" w:hAnsi="Times New Roman" w:cs="Times New Roman"/>
          <w:b/>
          <w:bCs/>
          <w:sz w:val="24"/>
          <w:szCs w:val="24"/>
        </w:rPr>
        <w:t xml:space="preserve">including </w:t>
      </w:r>
      <w:r w:rsidRPr="00D6703B">
        <w:rPr>
          <w:rFonts w:ascii="Times New Roman" w:hAnsi="Times New Roman" w:cs="Times New Roman"/>
          <w:b/>
          <w:bCs/>
          <w:sz w:val="24"/>
          <w:szCs w:val="24"/>
        </w:rPr>
        <w:t>full liberalisation of import tariffs</w:t>
      </w:r>
    </w:p>
    <w:p w:rsidR="00A57301" w:rsidRPr="00A57301" w:rsidRDefault="00A57301" w:rsidP="00A57301">
      <w:pPr>
        <w:spacing w:after="0" w:line="240" w:lineRule="auto"/>
        <w:jc w:val="both"/>
        <w:rPr>
          <w:rFonts w:ascii="Times New Roman" w:hAnsi="Times New Roman" w:cs="Times New Roman"/>
          <w:bCs/>
          <w:sz w:val="24"/>
          <w:szCs w:val="24"/>
        </w:rPr>
      </w:pPr>
    </w:p>
    <w:p w:rsidR="004454E3" w:rsidRPr="004454E3" w:rsidRDefault="004454E3" w:rsidP="004454E3">
      <w:pPr>
        <w:snapToGrid w:val="0"/>
        <w:spacing w:after="0" w:line="240" w:lineRule="auto"/>
        <w:jc w:val="both"/>
        <w:rPr>
          <w:rFonts w:ascii="Times New Roman" w:hAnsi="Times New Roman" w:cs="Times New Roman"/>
          <w:bCs/>
          <w:sz w:val="24"/>
          <w:szCs w:val="24"/>
        </w:rPr>
      </w:pPr>
    </w:p>
    <w:p w:rsidR="002E3826" w:rsidRPr="00E851A2" w:rsidRDefault="002E3826" w:rsidP="004454E3">
      <w:pPr>
        <w:snapToGrid w:val="0"/>
        <w:spacing w:after="0" w:line="240" w:lineRule="auto"/>
        <w:jc w:val="both"/>
        <w:rPr>
          <w:rFonts w:ascii="Times New Roman" w:hAnsi="Times New Roman" w:cs="Times New Roman"/>
          <w:b/>
          <w:i/>
          <w:sz w:val="24"/>
          <w:szCs w:val="24"/>
        </w:rPr>
      </w:pPr>
      <w:r w:rsidRPr="00E851A2">
        <w:rPr>
          <w:rFonts w:ascii="Times New Roman" w:hAnsi="Times New Roman" w:cs="Times New Roman"/>
          <w:b/>
          <w:i/>
          <w:sz w:val="24"/>
          <w:szCs w:val="24"/>
        </w:rPr>
        <w:t>Overview of the different assumptions of options C1 and C2 in trade in goods</w:t>
      </w:r>
    </w:p>
    <w:tbl>
      <w:tblPr>
        <w:tblStyle w:val="TableGrid"/>
        <w:tblW w:w="0" w:type="auto"/>
        <w:tblLook w:val="04A0" w:firstRow="1" w:lastRow="0" w:firstColumn="1" w:lastColumn="0" w:noHBand="0" w:noVBand="1"/>
      </w:tblPr>
      <w:tblGrid>
        <w:gridCol w:w="1364"/>
        <w:gridCol w:w="3962"/>
        <w:gridCol w:w="3962"/>
      </w:tblGrid>
      <w:tr w:rsidR="009A7590" w:rsidRPr="00E97BBF" w:rsidTr="009A7590">
        <w:tc>
          <w:tcPr>
            <w:tcW w:w="0" w:type="auto"/>
          </w:tcPr>
          <w:p w:rsidR="009A7590" w:rsidRPr="00AC2EAE" w:rsidRDefault="009A7590" w:rsidP="003552FB">
            <w:pPr>
              <w:snapToGrid w:val="0"/>
              <w:spacing w:after="120"/>
              <w:jc w:val="both"/>
              <w:rPr>
                <w:rFonts w:ascii="Times New Roman" w:hAnsi="Times New Roman" w:cs="Times New Roman"/>
                <w:b/>
                <w:sz w:val="20"/>
                <w:szCs w:val="20"/>
                <w:lang w:val="en-GB"/>
              </w:rPr>
            </w:pPr>
          </w:p>
        </w:tc>
        <w:tc>
          <w:tcPr>
            <w:tcW w:w="3962" w:type="dxa"/>
          </w:tcPr>
          <w:p w:rsidR="009A7590" w:rsidRPr="00AC2EAE" w:rsidRDefault="009A7590" w:rsidP="003552FB">
            <w:pPr>
              <w:snapToGrid w:val="0"/>
              <w:spacing w:after="120"/>
              <w:jc w:val="center"/>
              <w:rPr>
                <w:rFonts w:ascii="Times New Roman" w:hAnsi="Times New Roman" w:cs="Times New Roman"/>
                <w:b/>
                <w:sz w:val="20"/>
                <w:szCs w:val="20"/>
              </w:rPr>
            </w:pPr>
            <w:r w:rsidRPr="00AC2EAE">
              <w:rPr>
                <w:rFonts w:ascii="Times New Roman" w:hAnsi="Times New Roman" w:cs="Times New Roman"/>
                <w:b/>
                <w:sz w:val="20"/>
                <w:szCs w:val="20"/>
              </w:rPr>
              <w:t>Option C1</w:t>
            </w:r>
          </w:p>
        </w:tc>
        <w:tc>
          <w:tcPr>
            <w:tcW w:w="3962" w:type="dxa"/>
          </w:tcPr>
          <w:p w:rsidR="009A7590" w:rsidRPr="00AC2EAE" w:rsidRDefault="009A7590" w:rsidP="003552FB">
            <w:pPr>
              <w:snapToGrid w:val="0"/>
              <w:spacing w:after="120"/>
              <w:jc w:val="center"/>
              <w:rPr>
                <w:rFonts w:ascii="Times New Roman" w:hAnsi="Times New Roman" w:cs="Times New Roman"/>
                <w:b/>
                <w:sz w:val="20"/>
                <w:szCs w:val="20"/>
              </w:rPr>
            </w:pPr>
            <w:r w:rsidRPr="00AC2EAE">
              <w:rPr>
                <w:rFonts w:ascii="Times New Roman" w:hAnsi="Times New Roman" w:cs="Times New Roman"/>
                <w:b/>
                <w:sz w:val="20"/>
                <w:szCs w:val="20"/>
              </w:rPr>
              <w:t>Option C2</w:t>
            </w:r>
          </w:p>
        </w:tc>
      </w:tr>
      <w:tr w:rsidR="009A7590" w:rsidRPr="006D6DA0" w:rsidTr="009A7590">
        <w:tc>
          <w:tcPr>
            <w:tcW w:w="0" w:type="auto"/>
          </w:tcPr>
          <w:p w:rsidR="009A7590" w:rsidRPr="00AC2EAE" w:rsidRDefault="009A7590" w:rsidP="00AC2EAE">
            <w:pPr>
              <w:snapToGrid w:val="0"/>
              <w:spacing w:after="120"/>
              <w:jc w:val="center"/>
              <w:rPr>
                <w:rFonts w:ascii="Times New Roman" w:hAnsi="Times New Roman" w:cs="Times New Roman"/>
                <w:b/>
                <w:sz w:val="20"/>
                <w:szCs w:val="20"/>
              </w:rPr>
            </w:pPr>
            <w:r w:rsidRPr="00AC2EAE">
              <w:rPr>
                <w:rFonts w:ascii="Times New Roman" w:hAnsi="Times New Roman" w:cs="Times New Roman"/>
                <w:b/>
                <w:sz w:val="20"/>
                <w:szCs w:val="20"/>
              </w:rPr>
              <w:t>Tariffs</w:t>
            </w:r>
          </w:p>
        </w:tc>
        <w:tc>
          <w:tcPr>
            <w:tcW w:w="3962" w:type="dxa"/>
          </w:tcPr>
          <w:p w:rsidR="009A7590" w:rsidRPr="00E851A2" w:rsidRDefault="009A7590" w:rsidP="003552FB">
            <w:pPr>
              <w:snapToGrid w:val="0"/>
              <w:spacing w:after="120"/>
              <w:jc w:val="both"/>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Full liberalisation by EU </w:t>
            </w:r>
            <w:r w:rsidRPr="00AC2EAE">
              <w:rPr>
                <w:rFonts w:ascii="Times New Roman" w:hAnsi="Times New Roman" w:cs="Times New Roman"/>
                <w:sz w:val="20"/>
                <w:szCs w:val="20"/>
                <w:lang w:val="en-GB"/>
              </w:rPr>
              <w:t>of remaining tariffs in agricultural goods except for sugar, beef, lamb, pig, turkey and poultry, which retain the status quo.</w:t>
            </w:r>
          </w:p>
          <w:p w:rsidR="009A7590" w:rsidRPr="00E851A2" w:rsidRDefault="009A7590" w:rsidP="009A7590">
            <w:pPr>
              <w:snapToGrid w:val="0"/>
              <w:spacing w:after="120"/>
              <w:jc w:val="both"/>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Full liberalisation by </w:t>
            </w:r>
            <w:r w:rsidRPr="00AC2EAE">
              <w:rPr>
                <w:rFonts w:ascii="Times New Roman" w:hAnsi="Times New Roman" w:cs="Times New Roman"/>
                <w:sz w:val="20"/>
                <w:szCs w:val="20"/>
                <w:lang w:val="en-GB"/>
              </w:rPr>
              <w:t>Chile of all remaining tariffs in agricultural goods</w:t>
            </w:r>
            <w:r w:rsidR="00AC2EAE">
              <w:rPr>
                <w:rFonts w:ascii="Times New Roman" w:hAnsi="Times New Roman" w:cs="Times New Roman"/>
                <w:sz w:val="20"/>
                <w:szCs w:val="20"/>
                <w:lang w:val="en-GB"/>
              </w:rPr>
              <w:t>.</w:t>
            </w:r>
          </w:p>
        </w:tc>
        <w:tc>
          <w:tcPr>
            <w:tcW w:w="3962" w:type="dxa"/>
          </w:tcPr>
          <w:p w:rsidR="009A7590" w:rsidRPr="00AC2EAE" w:rsidRDefault="009A7590" w:rsidP="009A7590">
            <w:pPr>
              <w:snapToGrid w:val="0"/>
              <w:spacing w:after="120"/>
              <w:jc w:val="both"/>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Full liberalisation by </w:t>
            </w:r>
            <w:r w:rsidRPr="00AC2EAE">
              <w:rPr>
                <w:rFonts w:ascii="Times New Roman" w:hAnsi="Times New Roman" w:cs="Times New Roman"/>
                <w:sz w:val="20"/>
                <w:szCs w:val="20"/>
                <w:lang w:val="en-GB"/>
              </w:rPr>
              <w:t>both parties of remaining tariffs in agricultural goods.</w:t>
            </w:r>
          </w:p>
          <w:p w:rsidR="009A7590" w:rsidRPr="00E851A2" w:rsidRDefault="009A7590" w:rsidP="009A7590">
            <w:pPr>
              <w:snapToGrid w:val="0"/>
              <w:spacing w:after="120"/>
              <w:jc w:val="both"/>
              <w:rPr>
                <w:rFonts w:ascii="Times New Roman" w:hAnsi="Times New Roman" w:cs="Times New Roman"/>
                <w:sz w:val="20"/>
                <w:szCs w:val="20"/>
                <w:lang w:val="en-GB"/>
              </w:rPr>
            </w:pPr>
          </w:p>
        </w:tc>
      </w:tr>
      <w:tr w:rsidR="009A7590" w:rsidRPr="006D6DA0" w:rsidTr="009A7590">
        <w:tc>
          <w:tcPr>
            <w:tcW w:w="0" w:type="auto"/>
          </w:tcPr>
          <w:p w:rsidR="009A7590" w:rsidRPr="00E851A2" w:rsidRDefault="009A7590" w:rsidP="00AC2EAE">
            <w:pPr>
              <w:snapToGrid w:val="0"/>
              <w:spacing w:after="120"/>
              <w:jc w:val="center"/>
              <w:rPr>
                <w:rFonts w:ascii="Times New Roman" w:hAnsi="Times New Roman" w:cs="Times New Roman"/>
                <w:b/>
                <w:sz w:val="20"/>
                <w:szCs w:val="20"/>
                <w:lang w:val="en-GB"/>
              </w:rPr>
            </w:pPr>
            <w:r w:rsidRPr="00E851A2">
              <w:rPr>
                <w:rFonts w:ascii="Times New Roman" w:hAnsi="Times New Roman" w:cs="Times New Roman"/>
                <w:b/>
                <w:sz w:val="20"/>
                <w:szCs w:val="20"/>
              </w:rPr>
              <w:t>N</w:t>
            </w:r>
            <w:r w:rsidR="005A0FB6" w:rsidRPr="00E851A2">
              <w:rPr>
                <w:rFonts w:ascii="Times New Roman" w:hAnsi="Times New Roman" w:cs="Times New Roman"/>
                <w:b/>
                <w:sz w:val="20"/>
                <w:szCs w:val="20"/>
              </w:rPr>
              <w:t>TBs</w:t>
            </w:r>
            <w:r w:rsidR="005A0FB6" w:rsidRPr="00AC2EAE">
              <w:rPr>
                <w:rFonts w:ascii="Times New Roman" w:hAnsi="Times New Roman" w:cs="Times New Roman"/>
                <w:b/>
                <w:sz w:val="20"/>
                <w:szCs w:val="20"/>
                <w:lang w:val="en-GB"/>
              </w:rPr>
              <w:t xml:space="preserve"> n</w:t>
            </w:r>
            <w:r w:rsidRPr="00E851A2">
              <w:rPr>
                <w:rFonts w:ascii="Times New Roman" w:hAnsi="Times New Roman" w:cs="Times New Roman"/>
                <w:b/>
                <w:sz w:val="20"/>
                <w:szCs w:val="20"/>
              </w:rPr>
              <w:t>on-agriculture goods</w:t>
            </w:r>
          </w:p>
        </w:tc>
        <w:tc>
          <w:tcPr>
            <w:tcW w:w="3962" w:type="dxa"/>
          </w:tcPr>
          <w:p w:rsidR="009A7590" w:rsidRPr="00E851A2" w:rsidRDefault="009A7590" w:rsidP="003552FB">
            <w:pPr>
              <w:snapToGrid w:val="0"/>
              <w:spacing w:after="120"/>
              <w:jc w:val="both"/>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5% reduction rate </w:t>
            </w:r>
            <w:r w:rsidR="005A0FB6" w:rsidRPr="00AC2EAE">
              <w:rPr>
                <w:rFonts w:ascii="Times New Roman" w:hAnsi="Times New Roman" w:cs="Times New Roman"/>
                <w:sz w:val="20"/>
                <w:szCs w:val="20"/>
                <w:lang w:val="en-GB"/>
              </w:rPr>
              <w:t>by</w:t>
            </w:r>
            <w:r w:rsidRPr="00E851A2">
              <w:rPr>
                <w:rFonts w:ascii="Times New Roman" w:hAnsi="Times New Roman" w:cs="Times New Roman"/>
                <w:sz w:val="20"/>
                <w:szCs w:val="20"/>
                <w:lang w:val="en-GB"/>
              </w:rPr>
              <w:t xml:space="preserve"> Chile</w:t>
            </w:r>
          </w:p>
          <w:p w:rsidR="009A7590" w:rsidRPr="00AC2EAE" w:rsidRDefault="009A7590" w:rsidP="005A0FB6">
            <w:pPr>
              <w:snapToGrid w:val="0"/>
              <w:spacing w:after="120"/>
              <w:jc w:val="both"/>
              <w:rPr>
                <w:rFonts w:ascii="Times New Roman" w:hAnsi="Times New Roman" w:cs="Times New Roman"/>
                <w:sz w:val="20"/>
                <w:szCs w:val="20"/>
                <w:lang w:val="en-GB"/>
              </w:rPr>
            </w:pPr>
            <w:r w:rsidRPr="00AC2EAE">
              <w:rPr>
                <w:rFonts w:ascii="Times New Roman" w:hAnsi="Times New Roman" w:cs="Times New Roman"/>
                <w:sz w:val="20"/>
                <w:szCs w:val="20"/>
                <w:lang w:val="en-GB"/>
              </w:rPr>
              <w:t xml:space="preserve">No change </w:t>
            </w:r>
            <w:r w:rsidR="005A0FB6" w:rsidRPr="00AC2EAE">
              <w:rPr>
                <w:rFonts w:ascii="Times New Roman" w:hAnsi="Times New Roman" w:cs="Times New Roman"/>
                <w:sz w:val="20"/>
                <w:szCs w:val="20"/>
                <w:lang w:val="en-GB"/>
              </w:rPr>
              <w:t xml:space="preserve">by </w:t>
            </w:r>
            <w:r w:rsidRPr="00AC2EAE">
              <w:rPr>
                <w:rFonts w:ascii="Times New Roman" w:hAnsi="Times New Roman" w:cs="Times New Roman"/>
                <w:sz w:val="20"/>
                <w:szCs w:val="20"/>
                <w:lang w:val="en-GB"/>
              </w:rPr>
              <w:t>EU</w:t>
            </w:r>
          </w:p>
        </w:tc>
        <w:tc>
          <w:tcPr>
            <w:tcW w:w="3962" w:type="dxa"/>
          </w:tcPr>
          <w:p w:rsidR="009A7590" w:rsidRPr="00AC2EAE" w:rsidRDefault="009A7590" w:rsidP="003552FB">
            <w:pPr>
              <w:snapToGrid w:val="0"/>
              <w:spacing w:after="120"/>
              <w:jc w:val="both"/>
              <w:rPr>
                <w:rFonts w:ascii="Times New Roman" w:hAnsi="Times New Roman" w:cs="Times New Roman"/>
                <w:sz w:val="20"/>
                <w:szCs w:val="20"/>
                <w:lang w:val="en-GB"/>
              </w:rPr>
            </w:pPr>
            <w:r w:rsidRPr="00AC2EAE">
              <w:rPr>
                <w:rFonts w:ascii="Times New Roman" w:hAnsi="Times New Roman" w:cs="Times New Roman"/>
                <w:sz w:val="20"/>
                <w:szCs w:val="20"/>
                <w:lang w:val="en-GB"/>
              </w:rPr>
              <w:t xml:space="preserve">10% reduction rate </w:t>
            </w:r>
            <w:r w:rsidR="005A0FB6" w:rsidRPr="00AC2EAE">
              <w:rPr>
                <w:rFonts w:ascii="Times New Roman" w:hAnsi="Times New Roman" w:cs="Times New Roman"/>
                <w:sz w:val="20"/>
                <w:szCs w:val="20"/>
                <w:lang w:val="en-GB"/>
              </w:rPr>
              <w:t>by</w:t>
            </w:r>
            <w:r w:rsidRPr="00AC2EAE">
              <w:rPr>
                <w:rFonts w:ascii="Times New Roman" w:hAnsi="Times New Roman" w:cs="Times New Roman"/>
                <w:sz w:val="20"/>
                <w:szCs w:val="20"/>
                <w:lang w:val="en-GB"/>
              </w:rPr>
              <w:t xml:space="preserve"> Chile</w:t>
            </w:r>
          </w:p>
          <w:p w:rsidR="009A7590" w:rsidRPr="00AC2EAE" w:rsidRDefault="009A7590" w:rsidP="005A0FB6">
            <w:pPr>
              <w:snapToGrid w:val="0"/>
              <w:spacing w:after="120"/>
              <w:jc w:val="both"/>
              <w:rPr>
                <w:rFonts w:ascii="Times New Roman" w:hAnsi="Times New Roman" w:cs="Times New Roman"/>
                <w:sz w:val="20"/>
                <w:szCs w:val="20"/>
                <w:lang w:val="en-GB"/>
              </w:rPr>
            </w:pPr>
            <w:r w:rsidRPr="00AC2EAE">
              <w:rPr>
                <w:rFonts w:ascii="Times New Roman" w:hAnsi="Times New Roman" w:cs="Times New Roman"/>
                <w:sz w:val="20"/>
                <w:szCs w:val="20"/>
                <w:lang w:val="en-GB"/>
              </w:rPr>
              <w:t xml:space="preserve">No change </w:t>
            </w:r>
            <w:r w:rsidR="005A0FB6" w:rsidRPr="00AC2EAE">
              <w:rPr>
                <w:rFonts w:ascii="Times New Roman" w:hAnsi="Times New Roman" w:cs="Times New Roman"/>
                <w:sz w:val="20"/>
                <w:szCs w:val="20"/>
                <w:lang w:val="en-GB"/>
              </w:rPr>
              <w:t>by</w:t>
            </w:r>
            <w:r w:rsidR="00AC2EAE">
              <w:rPr>
                <w:rFonts w:ascii="Times New Roman" w:hAnsi="Times New Roman" w:cs="Times New Roman"/>
                <w:sz w:val="20"/>
                <w:szCs w:val="20"/>
                <w:lang w:val="en-GB"/>
              </w:rPr>
              <w:t xml:space="preserve"> </w:t>
            </w:r>
            <w:r w:rsidRPr="00AC2EAE">
              <w:rPr>
                <w:rFonts w:ascii="Times New Roman" w:hAnsi="Times New Roman" w:cs="Times New Roman"/>
                <w:sz w:val="20"/>
                <w:szCs w:val="20"/>
                <w:lang w:val="en-GB"/>
              </w:rPr>
              <w:t>EU</w:t>
            </w:r>
          </w:p>
        </w:tc>
      </w:tr>
      <w:tr w:rsidR="009A7590" w:rsidRPr="006D6DA0" w:rsidTr="009A7590">
        <w:tc>
          <w:tcPr>
            <w:tcW w:w="0" w:type="auto"/>
          </w:tcPr>
          <w:p w:rsidR="009A7590" w:rsidRPr="00AC2EAE" w:rsidRDefault="009A7590" w:rsidP="00AC2EAE">
            <w:pPr>
              <w:snapToGrid w:val="0"/>
              <w:spacing w:after="120"/>
              <w:jc w:val="center"/>
              <w:rPr>
                <w:rFonts w:ascii="Times New Roman" w:hAnsi="Times New Roman" w:cs="Times New Roman"/>
                <w:b/>
                <w:sz w:val="20"/>
                <w:szCs w:val="20"/>
              </w:rPr>
            </w:pPr>
            <w:r w:rsidRPr="00AC2EAE">
              <w:rPr>
                <w:rFonts w:ascii="Times New Roman" w:hAnsi="Times New Roman" w:cs="Times New Roman"/>
                <w:b/>
                <w:sz w:val="20"/>
                <w:szCs w:val="20"/>
              </w:rPr>
              <w:t>N</w:t>
            </w:r>
            <w:r w:rsidR="005A0FB6" w:rsidRPr="00AC2EAE">
              <w:rPr>
                <w:rFonts w:ascii="Times New Roman" w:hAnsi="Times New Roman" w:cs="Times New Roman"/>
                <w:b/>
                <w:sz w:val="20"/>
                <w:szCs w:val="20"/>
              </w:rPr>
              <w:t>TBs  services</w:t>
            </w:r>
          </w:p>
        </w:tc>
        <w:tc>
          <w:tcPr>
            <w:tcW w:w="3962" w:type="dxa"/>
          </w:tcPr>
          <w:p w:rsidR="009A7590" w:rsidRPr="00AC2EAE" w:rsidRDefault="005A0FB6" w:rsidP="003552FB">
            <w:pPr>
              <w:snapToGrid w:val="0"/>
              <w:spacing w:after="120"/>
              <w:jc w:val="both"/>
              <w:rPr>
                <w:rFonts w:ascii="Times New Roman" w:hAnsi="Times New Roman" w:cs="Times New Roman"/>
                <w:sz w:val="20"/>
                <w:szCs w:val="20"/>
                <w:lang w:val="en-GB"/>
              </w:rPr>
            </w:pPr>
            <w:r w:rsidRPr="00AC2EAE">
              <w:rPr>
                <w:rFonts w:ascii="Times New Roman" w:hAnsi="Times New Roman" w:cs="Times New Roman"/>
                <w:sz w:val="20"/>
                <w:szCs w:val="20"/>
                <w:lang w:val="en-GB"/>
              </w:rPr>
              <w:t>1% reduction by Chile</w:t>
            </w:r>
          </w:p>
          <w:p w:rsidR="005A0FB6" w:rsidRPr="00E851A2" w:rsidRDefault="005A0FB6" w:rsidP="004A7B8F">
            <w:pPr>
              <w:snapToGrid w:val="0"/>
              <w:spacing w:after="120"/>
              <w:jc w:val="both"/>
              <w:rPr>
                <w:rFonts w:ascii="Times New Roman" w:hAnsi="Times New Roman" w:cs="Times New Roman"/>
                <w:sz w:val="20"/>
                <w:szCs w:val="20"/>
                <w:lang w:val="en-GB"/>
              </w:rPr>
            </w:pPr>
            <w:r w:rsidRPr="00AC2EAE">
              <w:rPr>
                <w:rFonts w:ascii="Times New Roman" w:hAnsi="Times New Roman" w:cs="Times New Roman"/>
                <w:sz w:val="20"/>
                <w:szCs w:val="20"/>
                <w:lang w:val="en-GB"/>
              </w:rPr>
              <w:t xml:space="preserve">No </w:t>
            </w:r>
            <w:r w:rsidR="004A7B8F">
              <w:rPr>
                <w:rFonts w:ascii="Times New Roman" w:hAnsi="Times New Roman" w:cs="Times New Roman"/>
                <w:sz w:val="20"/>
                <w:szCs w:val="20"/>
                <w:lang w:val="en-GB"/>
              </w:rPr>
              <w:t>change</w:t>
            </w:r>
            <w:r w:rsidRPr="00AC2EAE">
              <w:rPr>
                <w:rFonts w:ascii="Times New Roman" w:hAnsi="Times New Roman" w:cs="Times New Roman"/>
                <w:sz w:val="20"/>
                <w:szCs w:val="20"/>
                <w:lang w:val="en-GB"/>
              </w:rPr>
              <w:t xml:space="preserve"> by EU</w:t>
            </w:r>
          </w:p>
        </w:tc>
        <w:tc>
          <w:tcPr>
            <w:tcW w:w="3962" w:type="dxa"/>
          </w:tcPr>
          <w:p w:rsidR="009A7590" w:rsidRPr="00AC2EAE" w:rsidRDefault="005A0FB6" w:rsidP="00E851A2">
            <w:pPr>
              <w:tabs>
                <w:tab w:val="right" w:pos="3746"/>
              </w:tabs>
              <w:snapToGrid w:val="0"/>
              <w:spacing w:after="120"/>
              <w:jc w:val="both"/>
              <w:rPr>
                <w:rFonts w:ascii="Times New Roman" w:hAnsi="Times New Roman" w:cs="Times New Roman"/>
                <w:sz w:val="20"/>
                <w:szCs w:val="20"/>
                <w:lang w:val="en-GB"/>
              </w:rPr>
            </w:pPr>
            <w:r w:rsidRPr="00AC2EAE">
              <w:rPr>
                <w:rFonts w:ascii="Times New Roman" w:hAnsi="Times New Roman" w:cs="Times New Roman"/>
                <w:sz w:val="20"/>
                <w:szCs w:val="20"/>
                <w:lang w:val="en-GB"/>
              </w:rPr>
              <w:t>3% reduction by Chile</w:t>
            </w:r>
            <w:r w:rsidRPr="00AC2EAE">
              <w:rPr>
                <w:rFonts w:ascii="Times New Roman" w:hAnsi="Times New Roman" w:cs="Times New Roman"/>
                <w:sz w:val="20"/>
                <w:szCs w:val="20"/>
                <w:lang w:val="en-GB"/>
              </w:rPr>
              <w:tab/>
            </w:r>
          </w:p>
          <w:p w:rsidR="005A0FB6" w:rsidRPr="00E851A2" w:rsidRDefault="005A0FB6" w:rsidP="00E851A2">
            <w:pPr>
              <w:tabs>
                <w:tab w:val="right" w:pos="3746"/>
              </w:tabs>
              <w:snapToGrid w:val="0"/>
              <w:spacing w:after="120"/>
              <w:jc w:val="both"/>
              <w:rPr>
                <w:rFonts w:ascii="Times New Roman" w:hAnsi="Times New Roman" w:cs="Times New Roman"/>
                <w:sz w:val="20"/>
                <w:szCs w:val="20"/>
                <w:lang w:val="en-GB"/>
              </w:rPr>
            </w:pPr>
            <w:r w:rsidRPr="00AC2EAE">
              <w:rPr>
                <w:rFonts w:ascii="Times New Roman" w:hAnsi="Times New Roman" w:cs="Times New Roman"/>
                <w:sz w:val="20"/>
                <w:szCs w:val="20"/>
                <w:lang w:val="en-GB"/>
              </w:rPr>
              <w:t>1% reduction by EU</w:t>
            </w:r>
          </w:p>
        </w:tc>
      </w:tr>
    </w:tbl>
    <w:p w:rsidR="0046069D" w:rsidRDefault="0046069D" w:rsidP="004454E3">
      <w:pPr>
        <w:snapToGrid w:val="0"/>
        <w:spacing w:after="0" w:line="240" w:lineRule="auto"/>
        <w:jc w:val="both"/>
        <w:rPr>
          <w:rFonts w:ascii="Times New Roman" w:hAnsi="Times New Roman" w:cs="Times New Roman"/>
          <w:sz w:val="24"/>
          <w:szCs w:val="24"/>
        </w:rPr>
      </w:pPr>
    </w:p>
    <w:p w:rsidR="004E2859" w:rsidRDefault="00A57301" w:rsidP="00AC2EAE">
      <w:pPr>
        <w:snapToGrid w:val="0"/>
        <w:spacing w:after="120" w:line="240" w:lineRule="auto"/>
        <w:jc w:val="both"/>
        <w:rPr>
          <w:rFonts w:ascii="Times New Roman" w:hAnsi="Times New Roman" w:cs="Times New Roman"/>
          <w:sz w:val="24"/>
          <w:szCs w:val="24"/>
        </w:rPr>
      </w:pPr>
      <w:r w:rsidRPr="00A57301">
        <w:rPr>
          <w:rFonts w:ascii="Times New Roman" w:hAnsi="Times New Roman" w:cs="Times New Roman"/>
          <w:sz w:val="24"/>
          <w:szCs w:val="24"/>
        </w:rPr>
        <w:t xml:space="preserve">In terms of </w:t>
      </w:r>
      <w:r w:rsidRPr="00A57301">
        <w:rPr>
          <w:rFonts w:ascii="Times New Roman" w:hAnsi="Times New Roman" w:cs="Times New Roman"/>
          <w:b/>
          <w:sz w:val="24"/>
          <w:szCs w:val="24"/>
        </w:rPr>
        <w:t>tariffs</w:t>
      </w:r>
      <w:r w:rsidR="00DA381A">
        <w:rPr>
          <w:rFonts w:ascii="Times New Roman" w:hAnsi="Times New Roman" w:cs="Times New Roman"/>
          <w:sz w:val="24"/>
          <w:szCs w:val="24"/>
        </w:rPr>
        <w:t>,</w:t>
      </w:r>
      <w:r w:rsidRPr="00A57301">
        <w:rPr>
          <w:rFonts w:ascii="Times New Roman" w:hAnsi="Times New Roman" w:cs="Times New Roman"/>
          <w:sz w:val="24"/>
          <w:szCs w:val="24"/>
        </w:rPr>
        <w:t xml:space="preserve"> option C2 includes full elimination </w:t>
      </w:r>
      <w:r w:rsidR="004A7B8F">
        <w:rPr>
          <w:rFonts w:ascii="Times New Roman" w:hAnsi="Times New Roman" w:cs="Times New Roman"/>
          <w:sz w:val="24"/>
          <w:szCs w:val="24"/>
        </w:rPr>
        <w:t>by both P</w:t>
      </w:r>
      <w:r w:rsidR="00DA381A">
        <w:rPr>
          <w:rFonts w:ascii="Times New Roman" w:hAnsi="Times New Roman" w:cs="Times New Roman"/>
          <w:sz w:val="24"/>
          <w:szCs w:val="24"/>
        </w:rPr>
        <w:t xml:space="preserve">arties of remaining tariffs in agricultural goods. Option </w:t>
      </w:r>
      <w:r w:rsidRPr="00A57301">
        <w:rPr>
          <w:rFonts w:ascii="Times New Roman" w:hAnsi="Times New Roman" w:cs="Times New Roman"/>
          <w:sz w:val="24"/>
          <w:szCs w:val="24"/>
        </w:rPr>
        <w:t xml:space="preserve">C1 includes </w:t>
      </w:r>
      <w:r w:rsidR="00DA381A" w:rsidRPr="00A57301">
        <w:rPr>
          <w:rFonts w:ascii="Times New Roman" w:hAnsi="Times New Roman" w:cs="Times New Roman"/>
          <w:sz w:val="24"/>
          <w:szCs w:val="24"/>
        </w:rPr>
        <w:t xml:space="preserve">full elimination </w:t>
      </w:r>
      <w:r w:rsidR="00DA381A">
        <w:rPr>
          <w:rFonts w:ascii="Times New Roman" w:hAnsi="Times New Roman" w:cs="Times New Roman"/>
          <w:sz w:val="24"/>
          <w:szCs w:val="24"/>
        </w:rPr>
        <w:t>by the EU of remaining tariffs in agricultural goods except for sugar, beef, lamb, pig, turkey and poultry, which retain the status quo (tariff rate quotas). Option C1 foresees full elimination by Chile of all remaining tariffs in agricultural goods.</w:t>
      </w:r>
      <w:r w:rsidR="00AC2EAE">
        <w:rPr>
          <w:rFonts w:ascii="Times New Roman" w:hAnsi="Times New Roman" w:cs="Times New Roman"/>
          <w:sz w:val="24"/>
          <w:szCs w:val="24"/>
        </w:rPr>
        <w:t xml:space="preserve"> </w:t>
      </w:r>
      <w:r w:rsidR="0045649E">
        <w:rPr>
          <w:rFonts w:ascii="Times New Roman" w:hAnsi="Times New Roman" w:cs="Times New Roman"/>
          <w:sz w:val="24"/>
          <w:szCs w:val="24"/>
        </w:rPr>
        <w:t xml:space="preserve">In terms of </w:t>
      </w:r>
      <w:r w:rsidR="0045649E" w:rsidRPr="00A57301">
        <w:rPr>
          <w:rFonts w:ascii="Times New Roman" w:hAnsi="Times New Roman" w:cs="Times New Roman"/>
          <w:b/>
          <w:sz w:val="24"/>
          <w:szCs w:val="24"/>
        </w:rPr>
        <w:t>non-tariff barriers (NTBs) for non-agriculture goods</w:t>
      </w:r>
      <w:r w:rsidR="0045649E">
        <w:rPr>
          <w:rFonts w:ascii="Times New Roman" w:hAnsi="Times New Roman" w:cs="Times New Roman"/>
          <w:sz w:val="24"/>
          <w:szCs w:val="24"/>
        </w:rPr>
        <w:t>, o</w:t>
      </w:r>
      <w:r w:rsidRPr="00A57301">
        <w:rPr>
          <w:rFonts w:ascii="Times New Roman" w:hAnsi="Times New Roman" w:cs="Times New Roman"/>
          <w:sz w:val="24"/>
          <w:szCs w:val="24"/>
        </w:rPr>
        <w:t>ption</w:t>
      </w:r>
      <w:r w:rsidR="0012601A">
        <w:rPr>
          <w:rFonts w:ascii="Times New Roman" w:hAnsi="Times New Roman" w:cs="Times New Roman"/>
          <w:sz w:val="24"/>
          <w:szCs w:val="24"/>
        </w:rPr>
        <w:t xml:space="preserve"> C1 includes a 5% reduction rate by Chile </w:t>
      </w:r>
      <w:r w:rsidR="0012601A" w:rsidRPr="00A57301">
        <w:rPr>
          <w:rFonts w:ascii="Times New Roman" w:hAnsi="Times New Roman" w:cs="Times New Roman"/>
          <w:sz w:val="24"/>
          <w:szCs w:val="24"/>
        </w:rPr>
        <w:t>(based on ad-valorem equivalent)</w:t>
      </w:r>
      <w:r w:rsidR="0045649E">
        <w:rPr>
          <w:rFonts w:ascii="Times New Roman" w:hAnsi="Times New Roman" w:cs="Times New Roman"/>
          <w:sz w:val="24"/>
          <w:szCs w:val="24"/>
        </w:rPr>
        <w:t xml:space="preserve">, </w:t>
      </w:r>
      <w:r w:rsidR="0012601A">
        <w:rPr>
          <w:rFonts w:ascii="Times New Roman" w:hAnsi="Times New Roman" w:cs="Times New Roman"/>
          <w:sz w:val="24"/>
          <w:szCs w:val="24"/>
        </w:rPr>
        <w:t xml:space="preserve">whilst Chile's reduction </w:t>
      </w:r>
      <w:r w:rsidR="0045649E">
        <w:rPr>
          <w:rFonts w:ascii="Times New Roman" w:hAnsi="Times New Roman" w:cs="Times New Roman"/>
          <w:sz w:val="24"/>
          <w:szCs w:val="24"/>
        </w:rPr>
        <w:t>under</w:t>
      </w:r>
      <w:r w:rsidR="0012601A">
        <w:rPr>
          <w:rFonts w:ascii="Times New Roman" w:hAnsi="Times New Roman" w:cs="Times New Roman"/>
          <w:sz w:val="24"/>
          <w:szCs w:val="24"/>
        </w:rPr>
        <w:t xml:space="preserve"> option C2</w:t>
      </w:r>
      <w:r w:rsidRPr="00A57301">
        <w:rPr>
          <w:rFonts w:ascii="Times New Roman" w:hAnsi="Times New Roman" w:cs="Times New Roman"/>
          <w:sz w:val="24"/>
          <w:szCs w:val="24"/>
        </w:rPr>
        <w:t xml:space="preserve"> </w:t>
      </w:r>
      <w:r w:rsidR="0012601A">
        <w:rPr>
          <w:rFonts w:ascii="Times New Roman" w:hAnsi="Times New Roman" w:cs="Times New Roman"/>
          <w:sz w:val="24"/>
          <w:szCs w:val="24"/>
        </w:rPr>
        <w:t xml:space="preserve">is </w:t>
      </w:r>
      <w:r w:rsidRPr="00A57301">
        <w:rPr>
          <w:rFonts w:ascii="Times New Roman" w:hAnsi="Times New Roman" w:cs="Times New Roman"/>
          <w:sz w:val="24"/>
          <w:szCs w:val="24"/>
        </w:rPr>
        <w:t>at a 10% rate (based on ad-valorem equivalent)</w:t>
      </w:r>
      <w:r w:rsidR="00DA381A">
        <w:rPr>
          <w:rFonts w:ascii="Times New Roman" w:hAnsi="Times New Roman" w:cs="Times New Roman"/>
          <w:sz w:val="24"/>
          <w:szCs w:val="24"/>
        </w:rPr>
        <w:t xml:space="preserve">. </w:t>
      </w:r>
    </w:p>
    <w:p w:rsidR="00AC2EAE" w:rsidRDefault="00A57301" w:rsidP="00AC2EAE">
      <w:pPr>
        <w:snapToGrid w:val="0"/>
        <w:spacing w:after="120" w:line="240" w:lineRule="auto"/>
        <w:jc w:val="both"/>
        <w:rPr>
          <w:rFonts w:ascii="Times New Roman" w:hAnsi="Times New Roman" w:cs="Times New Roman"/>
          <w:sz w:val="24"/>
          <w:szCs w:val="24"/>
        </w:rPr>
      </w:pPr>
      <w:r w:rsidRPr="00A57301">
        <w:rPr>
          <w:rFonts w:ascii="Times New Roman" w:hAnsi="Times New Roman" w:cs="Times New Roman"/>
          <w:sz w:val="24"/>
          <w:szCs w:val="24"/>
        </w:rPr>
        <w:t xml:space="preserve">Due to lack of reliable datasets the effect of </w:t>
      </w:r>
      <w:r w:rsidR="004A7B8F">
        <w:rPr>
          <w:rFonts w:ascii="Times New Roman" w:hAnsi="Times New Roman" w:cs="Times New Roman"/>
          <w:sz w:val="24"/>
          <w:szCs w:val="24"/>
        </w:rPr>
        <w:t xml:space="preserve">a </w:t>
      </w:r>
      <w:r w:rsidRPr="00A57301">
        <w:rPr>
          <w:rFonts w:ascii="Times New Roman" w:hAnsi="Times New Roman" w:cs="Times New Roman"/>
          <w:sz w:val="24"/>
          <w:szCs w:val="24"/>
        </w:rPr>
        <w:t>reduction of NTBs in the agricultural sector was not modelled</w:t>
      </w:r>
      <w:r w:rsidR="0012601A">
        <w:rPr>
          <w:rFonts w:ascii="Times New Roman" w:hAnsi="Times New Roman" w:cs="Times New Roman"/>
          <w:sz w:val="24"/>
          <w:szCs w:val="24"/>
        </w:rPr>
        <w:t xml:space="preserve">. A qualitative analysis of agricultural NTBs is provided </w:t>
      </w:r>
      <w:r w:rsidR="004A7B8F">
        <w:rPr>
          <w:rFonts w:ascii="Times New Roman" w:hAnsi="Times New Roman" w:cs="Times New Roman"/>
          <w:sz w:val="24"/>
          <w:szCs w:val="24"/>
        </w:rPr>
        <w:t>in</w:t>
      </w:r>
      <w:r w:rsidR="0012601A">
        <w:rPr>
          <w:rFonts w:ascii="Times New Roman" w:hAnsi="Times New Roman" w:cs="Times New Roman"/>
          <w:sz w:val="24"/>
          <w:szCs w:val="24"/>
        </w:rPr>
        <w:t xml:space="preserve"> the external Ecorys/CASE study</w:t>
      </w:r>
      <w:r w:rsidR="003153AA">
        <w:rPr>
          <w:rFonts w:ascii="Times New Roman" w:hAnsi="Times New Roman" w:cs="Times New Roman"/>
          <w:sz w:val="24"/>
          <w:szCs w:val="24"/>
        </w:rPr>
        <w:t xml:space="preserve"> in Annex 5</w:t>
      </w:r>
      <w:r w:rsidR="0012601A">
        <w:rPr>
          <w:rFonts w:ascii="Times New Roman" w:hAnsi="Times New Roman" w:cs="Times New Roman"/>
          <w:sz w:val="24"/>
          <w:szCs w:val="24"/>
        </w:rPr>
        <w:t>.</w:t>
      </w:r>
    </w:p>
    <w:p w:rsidR="0029090C" w:rsidRDefault="00F05393" w:rsidP="00AC2EAE">
      <w:pPr>
        <w:snapToGrid w:val="0"/>
        <w:spacing w:after="0" w:line="240" w:lineRule="auto"/>
        <w:jc w:val="both"/>
        <w:rPr>
          <w:rFonts w:ascii="Times New Roman" w:hAnsi="Times New Roman" w:cs="Times New Roman"/>
          <w:b/>
          <w:caps/>
          <w:sz w:val="24"/>
          <w:szCs w:val="24"/>
          <w:u w:val="single"/>
        </w:rPr>
      </w:pPr>
      <w:r>
        <w:rPr>
          <w:rFonts w:ascii="Times New Roman" w:hAnsi="Times New Roman" w:cs="Times New Roman"/>
          <w:sz w:val="24"/>
          <w:szCs w:val="24"/>
        </w:rPr>
        <w:t xml:space="preserve">As regards </w:t>
      </w:r>
      <w:r w:rsidRPr="0045649E">
        <w:rPr>
          <w:rFonts w:ascii="Times New Roman" w:hAnsi="Times New Roman" w:cs="Times New Roman"/>
          <w:b/>
          <w:sz w:val="24"/>
          <w:szCs w:val="24"/>
        </w:rPr>
        <w:t>NTBs on services</w:t>
      </w:r>
      <w:r>
        <w:rPr>
          <w:rFonts w:ascii="Times New Roman" w:hAnsi="Times New Roman" w:cs="Times New Roman"/>
          <w:sz w:val="24"/>
          <w:szCs w:val="24"/>
        </w:rPr>
        <w:t xml:space="preserve"> (based on existing estimates by the World Bank)</w:t>
      </w:r>
      <w:r w:rsidR="004E2859">
        <w:rPr>
          <w:rStyle w:val="FootnoteReference"/>
          <w:rFonts w:ascii="Times New Roman" w:hAnsi="Times New Roman" w:cs="Times New Roman"/>
          <w:sz w:val="24"/>
          <w:szCs w:val="24"/>
        </w:rPr>
        <w:footnoteReference w:id="23"/>
      </w:r>
      <w:r w:rsidR="004E2859">
        <w:rPr>
          <w:rFonts w:ascii="Times New Roman" w:hAnsi="Times New Roman" w:cs="Times New Roman"/>
          <w:sz w:val="24"/>
          <w:szCs w:val="24"/>
        </w:rPr>
        <w:t>, and</w:t>
      </w:r>
      <w:r w:rsidR="004A7B8F">
        <w:rPr>
          <w:rFonts w:ascii="Times New Roman" w:hAnsi="Times New Roman" w:cs="Times New Roman"/>
          <w:sz w:val="24"/>
          <w:szCs w:val="24"/>
        </w:rPr>
        <w:t xml:space="preserve"> considering that the existing A</w:t>
      </w:r>
      <w:r w:rsidR="004E2859">
        <w:rPr>
          <w:rFonts w:ascii="Times New Roman" w:hAnsi="Times New Roman" w:cs="Times New Roman"/>
          <w:sz w:val="24"/>
          <w:szCs w:val="24"/>
        </w:rPr>
        <w:t>greement has already achieved a significant level of services bindings, option C1 estimates a 1% reduction and option C2 a 3% reduction by Chile. As regards the EU</w:t>
      </w:r>
      <w:r w:rsidR="009337F2">
        <w:rPr>
          <w:rFonts w:ascii="Times New Roman" w:hAnsi="Times New Roman" w:cs="Times New Roman"/>
          <w:sz w:val="24"/>
          <w:szCs w:val="24"/>
        </w:rPr>
        <w:t>,</w:t>
      </w:r>
      <w:r w:rsidR="004E2859">
        <w:rPr>
          <w:rFonts w:ascii="Times New Roman" w:hAnsi="Times New Roman" w:cs="Times New Roman"/>
          <w:sz w:val="24"/>
          <w:szCs w:val="24"/>
        </w:rPr>
        <w:t xml:space="preserve"> option C2 estimates a 1% reduction in NTBs and option C1 no reduction.</w:t>
      </w:r>
      <w:r w:rsidR="004454E3">
        <w:rPr>
          <w:rFonts w:ascii="Times New Roman" w:hAnsi="Times New Roman" w:cs="Times New Roman"/>
          <w:b/>
          <w:caps/>
          <w:sz w:val="24"/>
          <w:szCs w:val="24"/>
          <w:u w:val="single"/>
        </w:rPr>
        <w:br w:type="page"/>
      </w:r>
    </w:p>
    <w:p w:rsidR="00E606E2" w:rsidRPr="000356B4" w:rsidRDefault="00E606E2" w:rsidP="002A28DD">
      <w:pPr>
        <w:pStyle w:val="Heading1"/>
        <w:numPr>
          <w:ilvl w:val="0"/>
          <w:numId w:val="11"/>
        </w:numPr>
        <w:rPr>
          <w:rFonts w:ascii="Times New Roman Bold" w:hAnsi="Times New Roman Bold" w:hint="eastAsia"/>
          <w:caps/>
        </w:rPr>
      </w:pPr>
      <w:bookmarkStart w:id="36" w:name="_Toc473123082"/>
      <w:r w:rsidRPr="000356B4">
        <w:rPr>
          <w:rFonts w:ascii="Times New Roman Bold" w:hAnsi="Times New Roman Bold"/>
          <w:caps/>
        </w:rPr>
        <w:t>What are the impacts of the different policy options and who will be affected?</w:t>
      </w:r>
      <w:bookmarkEnd w:id="36"/>
    </w:p>
    <w:p w:rsidR="0029090C" w:rsidRDefault="0029090C" w:rsidP="00E606E2">
      <w:pPr>
        <w:snapToGrid w:val="0"/>
        <w:spacing w:after="120" w:line="240" w:lineRule="auto"/>
        <w:jc w:val="both"/>
        <w:rPr>
          <w:rFonts w:ascii="Times New Roman" w:hAnsi="Times New Roman" w:cs="Times New Roman"/>
          <w:sz w:val="24"/>
          <w:szCs w:val="24"/>
        </w:rPr>
      </w:pPr>
    </w:p>
    <w:p w:rsidR="00E606E2" w:rsidRPr="00E606E2" w:rsidRDefault="00E606E2" w:rsidP="00E851A2">
      <w:pPr>
        <w:snapToGrid w:val="0"/>
        <w:spacing w:after="240" w:line="240" w:lineRule="auto"/>
        <w:jc w:val="both"/>
        <w:rPr>
          <w:rFonts w:ascii="Times New Roman" w:hAnsi="Times New Roman" w:cs="Times New Roman"/>
          <w:sz w:val="24"/>
          <w:szCs w:val="24"/>
        </w:rPr>
      </w:pPr>
      <w:r w:rsidRPr="00E606E2">
        <w:rPr>
          <w:rFonts w:ascii="Times New Roman" w:hAnsi="Times New Roman" w:cs="Times New Roman"/>
          <w:sz w:val="24"/>
          <w:szCs w:val="24"/>
        </w:rPr>
        <w:t xml:space="preserve">This chapter analyses the impacts of the different policy options outlined in Chapter 4 on </w:t>
      </w:r>
      <w:r w:rsidR="00D323E5">
        <w:rPr>
          <w:rFonts w:ascii="Times New Roman" w:hAnsi="Times New Roman" w:cs="Times New Roman"/>
          <w:sz w:val="24"/>
          <w:szCs w:val="24"/>
        </w:rPr>
        <w:t>d</w:t>
      </w:r>
      <w:r w:rsidRPr="00E606E2">
        <w:rPr>
          <w:rFonts w:ascii="Times New Roman" w:hAnsi="Times New Roman" w:cs="Times New Roman"/>
          <w:sz w:val="24"/>
          <w:szCs w:val="24"/>
        </w:rPr>
        <w:t>ifferent levels. It first exami</w:t>
      </w:r>
      <w:r w:rsidR="00D323E5">
        <w:rPr>
          <w:rFonts w:ascii="Times New Roman" w:hAnsi="Times New Roman" w:cs="Times New Roman"/>
          <w:sz w:val="24"/>
          <w:szCs w:val="24"/>
        </w:rPr>
        <w:t>nes the overall economic impact</w:t>
      </w:r>
      <w:r w:rsidRPr="00E606E2">
        <w:rPr>
          <w:rFonts w:ascii="Times New Roman" w:hAnsi="Times New Roman" w:cs="Times New Roman"/>
          <w:sz w:val="24"/>
          <w:szCs w:val="24"/>
        </w:rPr>
        <w:t xml:space="preserve"> resulting from the different policy options for the enhancement of </w:t>
      </w:r>
      <w:r>
        <w:rPr>
          <w:rFonts w:ascii="Times New Roman" w:hAnsi="Times New Roman" w:cs="Times New Roman"/>
          <w:sz w:val="24"/>
          <w:szCs w:val="24"/>
        </w:rPr>
        <w:t xml:space="preserve">EU-Chile </w:t>
      </w:r>
      <w:r w:rsidRPr="00E606E2">
        <w:rPr>
          <w:rFonts w:ascii="Times New Roman" w:hAnsi="Times New Roman" w:cs="Times New Roman"/>
          <w:sz w:val="24"/>
          <w:szCs w:val="24"/>
        </w:rPr>
        <w:t>bilateral t</w:t>
      </w:r>
      <w:r w:rsidR="00D323E5">
        <w:rPr>
          <w:rFonts w:ascii="Times New Roman" w:hAnsi="Times New Roman" w:cs="Times New Roman"/>
          <w:sz w:val="24"/>
          <w:szCs w:val="24"/>
        </w:rPr>
        <w:t>rade and investment relations. It t</w:t>
      </w:r>
      <w:r w:rsidRPr="00E606E2">
        <w:rPr>
          <w:rFonts w:ascii="Times New Roman" w:hAnsi="Times New Roman" w:cs="Times New Roman"/>
          <w:sz w:val="24"/>
          <w:szCs w:val="24"/>
        </w:rPr>
        <w:t xml:space="preserve">hen looks at impacts on specific sectors, SMEs and Least Developed Countries (LDCs), and </w:t>
      </w:r>
      <w:r w:rsidR="00D323E5">
        <w:rPr>
          <w:rFonts w:ascii="Times New Roman" w:hAnsi="Times New Roman" w:cs="Times New Roman"/>
          <w:sz w:val="24"/>
          <w:szCs w:val="24"/>
        </w:rPr>
        <w:t>assesses</w:t>
      </w:r>
      <w:r w:rsidRPr="00E606E2">
        <w:rPr>
          <w:rFonts w:ascii="Times New Roman" w:hAnsi="Times New Roman" w:cs="Times New Roman"/>
          <w:sz w:val="24"/>
          <w:szCs w:val="24"/>
        </w:rPr>
        <w:t xml:space="preserve"> environmental, social and human rights impacts. The administrative and budgetary impacts are also </w:t>
      </w:r>
      <w:r w:rsidR="00D323E5">
        <w:rPr>
          <w:rFonts w:ascii="Times New Roman" w:hAnsi="Times New Roman" w:cs="Times New Roman"/>
          <w:sz w:val="24"/>
          <w:szCs w:val="24"/>
        </w:rPr>
        <w:t>covered</w:t>
      </w:r>
      <w:r w:rsidRPr="00E606E2">
        <w:rPr>
          <w:rFonts w:ascii="Times New Roman" w:hAnsi="Times New Roman" w:cs="Times New Roman"/>
          <w:sz w:val="24"/>
          <w:szCs w:val="24"/>
        </w:rPr>
        <w:t xml:space="preserve">, as well as the administrative capacity of </w:t>
      </w:r>
      <w:r>
        <w:rPr>
          <w:rFonts w:ascii="Times New Roman" w:hAnsi="Times New Roman" w:cs="Times New Roman"/>
          <w:sz w:val="24"/>
          <w:szCs w:val="24"/>
        </w:rPr>
        <w:t xml:space="preserve">Chile's </w:t>
      </w:r>
      <w:r w:rsidR="00D323E5">
        <w:rPr>
          <w:rFonts w:ascii="Times New Roman" w:hAnsi="Times New Roman" w:cs="Times New Roman"/>
          <w:sz w:val="24"/>
          <w:szCs w:val="24"/>
        </w:rPr>
        <w:t>customs to implement the new A</w:t>
      </w:r>
      <w:r w:rsidRPr="00E606E2">
        <w:rPr>
          <w:rFonts w:ascii="Times New Roman" w:hAnsi="Times New Roman" w:cs="Times New Roman"/>
          <w:sz w:val="24"/>
          <w:szCs w:val="24"/>
        </w:rPr>
        <w:t xml:space="preserve">greement. </w:t>
      </w:r>
    </w:p>
    <w:p w:rsidR="00E606E2" w:rsidRPr="00E606E2" w:rsidRDefault="00E606E2" w:rsidP="00E851A2">
      <w:pPr>
        <w:snapToGrid w:val="0"/>
        <w:spacing w:after="240" w:line="240" w:lineRule="auto"/>
        <w:jc w:val="both"/>
        <w:rPr>
          <w:rFonts w:ascii="Times New Roman" w:hAnsi="Times New Roman" w:cs="Times New Roman"/>
          <w:sz w:val="24"/>
          <w:szCs w:val="24"/>
        </w:rPr>
      </w:pPr>
      <w:r w:rsidRPr="00E606E2">
        <w:rPr>
          <w:rFonts w:ascii="Times New Roman" w:hAnsi="Times New Roman" w:cs="Times New Roman"/>
          <w:sz w:val="24"/>
          <w:szCs w:val="24"/>
        </w:rPr>
        <w:t>The analysis focuses on the impacts for the EU</w:t>
      </w:r>
      <w:r>
        <w:rPr>
          <w:rFonts w:ascii="Times New Roman" w:hAnsi="Times New Roman" w:cs="Times New Roman"/>
          <w:sz w:val="24"/>
          <w:szCs w:val="24"/>
        </w:rPr>
        <w:t xml:space="preserve"> and for Chile</w:t>
      </w:r>
      <w:r w:rsidRPr="00E606E2">
        <w:rPr>
          <w:rFonts w:ascii="Times New Roman" w:hAnsi="Times New Roman" w:cs="Times New Roman"/>
          <w:sz w:val="24"/>
          <w:szCs w:val="24"/>
        </w:rPr>
        <w:t>. It does not present detailed results at EU Member State level</w:t>
      </w:r>
      <w:r>
        <w:rPr>
          <w:rFonts w:ascii="Times New Roman" w:hAnsi="Times New Roman" w:cs="Times New Roman"/>
          <w:sz w:val="24"/>
          <w:szCs w:val="24"/>
        </w:rPr>
        <w:t>,</w:t>
      </w:r>
      <w:r w:rsidRPr="00E606E2">
        <w:rPr>
          <w:rFonts w:ascii="Times New Roman" w:hAnsi="Times New Roman" w:cs="Times New Roman"/>
          <w:sz w:val="24"/>
          <w:szCs w:val="24"/>
        </w:rPr>
        <w:t xml:space="preserve"> which might be misleading for methodological reasons. Firs</w:t>
      </w:r>
      <w:r>
        <w:rPr>
          <w:rFonts w:ascii="Times New Roman" w:hAnsi="Times New Roman" w:cs="Times New Roman"/>
          <w:sz w:val="24"/>
          <w:szCs w:val="24"/>
        </w:rPr>
        <w:t>t</w:t>
      </w:r>
      <w:r w:rsidRPr="00E606E2">
        <w:rPr>
          <w:rFonts w:ascii="Times New Roman" w:hAnsi="Times New Roman" w:cs="Times New Roman"/>
          <w:sz w:val="24"/>
          <w:szCs w:val="24"/>
        </w:rPr>
        <w:t>, an assessment by Member State would be challenging to conduct due to lack of data</w:t>
      </w:r>
      <w:r w:rsidR="00D323E5">
        <w:rPr>
          <w:rFonts w:ascii="Times New Roman" w:hAnsi="Times New Roman" w:cs="Times New Roman"/>
          <w:sz w:val="24"/>
          <w:szCs w:val="24"/>
        </w:rPr>
        <w:t>,</w:t>
      </w:r>
      <w:r w:rsidRPr="00E606E2">
        <w:rPr>
          <w:rFonts w:ascii="Times New Roman" w:hAnsi="Times New Roman" w:cs="Times New Roman"/>
          <w:sz w:val="24"/>
          <w:szCs w:val="24"/>
        </w:rPr>
        <w:t xml:space="preserve"> and would not lead to further insights on the overall benefits of the trade agreement. For example, estimates of the level of non-tariff barriers (NTBs) in goods at Member State level by sector are not available; hence, the impact of reducing sector-specific NTBs would differ across Member States depending on their sector-specific trade exposure and the specific products th</w:t>
      </w:r>
      <w:r w:rsidR="001B5EDC">
        <w:rPr>
          <w:rFonts w:ascii="Times New Roman" w:hAnsi="Times New Roman" w:cs="Times New Roman"/>
          <w:sz w:val="24"/>
          <w:szCs w:val="24"/>
        </w:rPr>
        <w:t>at</w:t>
      </w:r>
      <w:r w:rsidRPr="00E606E2">
        <w:rPr>
          <w:rFonts w:ascii="Times New Roman" w:hAnsi="Times New Roman" w:cs="Times New Roman"/>
          <w:sz w:val="24"/>
          <w:szCs w:val="24"/>
        </w:rPr>
        <w:t xml:space="preserve"> face problems in trading. Secondly, international trade in goods statistics are accurate at EU level. At Member State level trade can be over-estimated or under-estimat</w:t>
      </w:r>
      <w:r w:rsidR="001D5AF8">
        <w:rPr>
          <w:rFonts w:ascii="Times New Roman" w:hAnsi="Times New Roman" w:cs="Times New Roman"/>
          <w:sz w:val="24"/>
          <w:szCs w:val="24"/>
        </w:rPr>
        <w:t xml:space="preserve">ed mainly due to the "Rotterdam </w:t>
      </w:r>
      <w:r w:rsidRPr="00E606E2">
        <w:rPr>
          <w:rFonts w:ascii="Times New Roman" w:hAnsi="Times New Roman" w:cs="Times New Roman"/>
          <w:sz w:val="24"/>
          <w:szCs w:val="24"/>
        </w:rPr>
        <w:t>effect": a Member State receiving a good from a non-EU country is not necessarily the Member State of final destination</w:t>
      </w:r>
      <w:r w:rsidR="0026485A">
        <w:rPr>
          <w:rFonts w:ascii="Times New Roman" w:hAnsi="Times New Roman" w:cs="Times New Roman"/>
          <w:sz w:val="24"/>
          <w:szCs w:val="24"/>
        </w:rPr>
        <w:t>,</w:t>
      </w:r>
      <w:r w:rsidRPr="00E606E2">
        <w:rPr>
          <w:rFonts w:ascii="Times New Roman" w:hAnsi="Times New Roman" w:cs="Times New Roman"/>
          <w:sz w:val="24"/>
          <w:szCs w:val="24"/>
        </w:rPr>
        <w:t xml:space="preserve"> and a Member State sending a good to a non-EU country is not necessarily the Member State of origin of the good. </w:t>
      </w:r>
    </w:p>
    <w:p w:rsidR="00E606E2" w:rsidRPr="00E606E2" w:rsidRDefault="00E606E2" w:rsidP="00E851A2">
      <w:pPr>
        <w:snapToGrid w:val="0"/>
        <w:spacing w:after="240" w:line="240" w:lineRule="auto"/>
        <w:jc w:val="both"/>
        <w:rPr>
          <w:rFonts w:ascii="Times New Roman" w:hAnsi="Times New Roman" w:cs="Times New Roman"/>
          <w:sz w:val="24"/>
          <w:szCs w:val="24"/>
        </w:rPr>
      </w:pPr>
      <w:r w:rsidRPr="00E606E2">
        <w:rPr>
          <w:rFonts w:ascii="Times New Roman" w:hAnsi="Times New Roman" w:cs="Times New Roman"/>
          <w:sz w:val="24"/>
          <w:szCs w:val="24"/>
        </w:rPr>
        <w:t>The analysis in this chapter is based on the economic modelling performed by the Chief Economist Unit of DG TRADE, the study carried out by the external consultant (</w:t>
      </w:r>
      <w:r>
        <w:rPr>
          <w:rFonts w:ascii="Times New Roman" w:hAnsi="Times New Roman" w:cs="Times New Roman"/>
          <w:sz w:val="24"/>
          <w:szCs w:val="24"/>
        </w:rPr>
        <w:t>Ecorys/CASE</w:t>
      </w:r>
      <w:r w:rsidRPr="00E606E2">
        <w:rPr>
          <w:rFonts w:ascii="Times New Roman" w:hAnsi="Times New Roman" w:cs="Times New Roman"/>
          <w:sz w:val="24"/>
          <w:szCs w:val="24"/>
        </w:rPr>
        <w:t xml:space="preserve">), commissioned by </w:t>
      </w:r>
      <w:r>
        <w:rPr>
          <w:rFonts w:ascii="Times New Roman" w:hAnsi="Times New Roman" w:cs="Times New Roman"/>
          <w:sz w:val="24"/>
          <w:szCs w:val="24"/>
        </w:rPr>
        <w:t>DG TRADE</w:t>
      </w:r>
      <w:r w:rsidR="004A7B8F">
        <w:rPr>
          <w:rFonts w:ascii="Times New Roman" w:hAnsi="Times New Roman" w:cs="Times New Roman"/>
          <w:sz w:val="24"/>
          <w:szCs w:val="24"/>
        </w:rPr>
        <w:t xml:space="preserve"> (Annex 5)</w:t>
      </w:r>
      <w:r w:rsidRPr="00E606E2">
        <w:rPr>
          <w:rFonts w:ascii="Times New Roman" w:hAnsi="Times New Roman" w:cs="Times New Roman"/>
          <w:sz w:val="24"/>
          <w:szCs w:val="24"/>
        </w:rPr>
        <w:t xml:space="preserve">, and the assessment and information available to the Commission services, including the stakeholders' input </w:t>
      </w:r>
      <w:r w:rsidR="00D323E5">
        <w:rPr>
          <w:rFonts w:ascii="Times New Roman" w:hAnsi="Times New Roman" w:cs="Times New Roman"/>
          <w:sz w:val="24"/>
          <w:szCs w:val="24"/>
        </w:rPr>
        <w:t>to</w:t>
      </w:r>
      <w:r w:rsidRPr="00E606E2">
        <w:rPr>
          <w:rFonts w:ascii="Times New Roman" w:hAnsi="Times New Roman" w:cs="Times New Roman"/>
          <w:sz w:val="24"/>
          <w:szCs w:val="24"/>
        </w:rPr>
        <w:t xml:space="preserve"> the public consultation.</w:t>
      </w:r>
    </w:p>
    <w:p w:rsidR="007E3394" w:rsidRDefault="00E606E2" w:rsidP="00E606E2">
      <w:pPr>
        <w:autoSpaceDE w:val="0"/>
        <w:autoSpaceDN w:val="0"/>
        <w:adjustRightInd w:val="0"/>
        <w:spacing w:after="120" w:line="240" w:lineRule="auto"/>
        <w:jc w:val="both"/>
        <w:rPr>
          <w:rFonts w:ascii="Times New Roman" w:hAnsi="Times New Roman" w:cs="Times New Roman"/>
          <w:color w:val="000000"/>
          <w:sz w:val="24"/>
          <w:szCs w:val="24"/>
        </w:rPr>
      </w:pPr>
      <w:r w:rsidRPr="00E606E2">
        <w:rPr>
          <w:rFonts w:ascii="Times New Roman" w:hAnsi="Times New Roman" w:cs="Times New Roman"/>
          <w:color w:val="000000"/>
          <w:sz w:val="24"/>
          <w:szCs w:val="24"/>
        </w:rPr>
        <w:t xml:space="preserve">Regarding the impact on sustainable development in all three dimensions (economic, environmental and social) and on human rights, </w:t>
      </w:r>
      <w:r w:rsidR="007E3394">
        <w:rPr>
          <w:rFonts w:ascii="Times New Roman" w:hAnsi="Times New Roman" w:cs="Times New Roman"/>
          <w:color w:val="000000"/>
          <w:sz w:val="24"/>
          <w:szCs w:val="24"/>
        </w:rPr>
        <w:t>the analyses combine quantitative estimates modelled by the Chief Economist Unit in DG TRADE under scenarios C1 (conservative) and C2 (ambitious) – i.a. GDP, sectoral output, consumer price indexes, real wages, welfare impact and CO</w:t>
      </w:r>
      <w:r w:rsidR="007E3394" w:rsidRPr="00A03560">
        <w:rPr>
          <w:rFonts w:ascii="Times New Roman" w:hAnsi="Times New Roman" w:cs="Times New Roman"/>
          <w:color w:val="000000"/>
          <w:sz w:val="24"/>
          <w:szCs w:val="24"/>
          <w:vertAlign w:val="subscript"/>
        </w:rPr>
        <w:t>2</w:t>
      </w:r>
      <w:r w:rsidR="007E3394">
        <w:rPr>
          <w:rFonts w:ascii="Times New Roman" w:hAnsi="Times New Roman" w:cs="Times New Roman"/>
          <w:color w:val="000000"/>
          <w:sz w:val="24"/>
          <w:szCs w:val="24"/>
        </w:rPr>
        <w:t xml:space="preserve"> emissions</w:t>
      </w:r>
      <w:r w:rsidR="0029090C">
        <w:rPr>
          <w:rFonts w:ascii="Times New Roman" w:hAnsi="Times New Roman" w:cs="Times New Roman"/>
          <w:color w:val="000000"/>
          <w:sz w:val="24"/>
          <w:szCs w:val="24"/>
        </w:rPr>
        <w:t xml:space="preserve"> –</w:t>
      </w:r>
      <w:r w:rsidR="007E3394">
        <w:rPr>
          <w:rFonts w:ascii="Times New Roman" w:hAnsi="Times New Roman" w:cs="Times New Roman"/>
          <w:color w:val="000000"/>
          <w:sz w:val="24"/>
          <w:szCs w:val="24"/>
        </w:rPr>
        <w:t xml:space="preserve"> with complementary analyses provided by the external consultant study. In particular, the external study</w:t>
      </w:r>
      <w:r w:rsidR="0029090C">
        <w:rPr>
          <w:rFonts w:ascii="Times New Roman" w:hAnsi="Times New Roman" w:cs="Times New Roman"/>
          <w:color w:val="000000"/>
          <w:sz w:val="24"/>
          <w:szCs w:val="24"/>
        </w:rPr>
        <w:t xml:space="preserve"> assesses the effects of both scenarios on employment (combining quantitative and qualitative methods), on the environment (combining also quantitative and qualitative work), and identifies the key human rights issues and likely impacts, with particular attention paid to impacts on gender under each scenario.</w:t>
      </w:r>
    </w:p>
    <w:p w:rsidR="00E606E2" w:rsidRPr="00E606E2" w:rsidRDefault="00E606E2" w:rsidP="00E606E2">
      <w:pPr>
        <w:snapToGrid w:val="0"/>
        <w:spacing w:after="120" w:line="240" w:lineRule="auto"/>
        <w:jc w:val="both"/>
        <w:rPr>
          <w:rFonts w:ascii="Times New Roman" w:hAnsi="Times New Roman" w:cs="Times New Roman"/>
          <w:sz w:val="24"/>
          <w:szCs w:val="24"/>
        </w:rPr>
      </w:pPr>
    </w:p>
    <w:p w:rsidR="00261E9D" w:rsidRPr="00261E9D" w:rsidRDefault="00261E9D" w:rsidP="00882520">
      <w:pPr>
        <w:pStyle w:val="ListParagraph"/>
        <w:keepNext/>
        <w:keepLines/>
        <w:numPr>
          <w:ilvl w:val="0"/>
          <w:numId w:val="56"/>
        </w:numPr>
        <w:spacing w:after="0" w:line="240" w:lineRule="auto"/>
        <w:contextualSpacing w:val="0"/>
        <w:jc w:val="both"/>
        <w:outlineLvl w:val="1"/>
        <w:rPr>
          <w:rFonts w:ascii="Times New Roman" w:eastAsiaTheme="majorEastAsia" w:hAnsi="Times New Roman" w:cs="Times New Roman"/>
          <w:b/>
          <w:bCs/>
          <w:vanish/>
          <w:sz w:val="24"/>
          <w:szCs w:val="24"/>
          <w:u w:val="single"/>
          <w:lang w:val="en-GB"/>
        </w:rPr>
      </w:pPr>
      <w:bookmarkStart w:id="37" w:name="_Toc467831515"/>
      <w:bookmarkStart w:id="38" w:name="_Toc472961403"/>
      <w:bookmarkStart w:id="39" w:name="_Toc472961452"/>
      <w:bookmarkStart w:id="40" w:name="_Toc473123083"/>
      <w:bookmarkEnd w:id="37"/>
      <w:bookmarkEnd w:id="38"/>
      <w:bookmarkEnd w:id="39"/>
      <w:bookmarkEnd w:id="40"/>
    </w:p>
    <w:p w:rsidR="00E606E2" w:rsidRDefault="00E606E2" w:rsidP="00882520">
      <w:pPr>
        <w:pStyle w:val="Heading2"/>
        <w:numPr>
          <w:ilvl w:val="1"/>
          <w:numId w:val="56"/>
        </w:numPr>
        <w:spacing w:after="240"/>
        <w:ind w:left="788" w:hanging="431"/>
        <w:rPr>
          <w:u w:val="single"/>
        </w:rPr>
      </w:pPr>
      <w:bookmarkStart w:id="41" w:name="_Toc473123084"/>
      <w:r w:rsidRPr="00261E9D">
        <w:rPr>
          <w:u w:val="single"/>
        </w:rPr>
        <w:t>Model and assumptions</w:t>
      </w:r>
      <w:bookmarkEnd w:id="41"/>
      <w:r w:rsidRPr="00261E9D">
        <w:rPr>
          <w:u w:val="single"/>
        </w:rPr>
        <w:t xml:space="preserve"> </w:t>
      </w:r>
    </w:p>
    <w:p w:rsidR="00E606E2" w:rsidRPr="00E606E2" w:rsidRDefault="00D323E5" w:rsidP="00E606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w:t>
      </w:r>
      <w:r w:rsidR="00E606E2" w:rsidRPr="00E606E2">
        <w:rPr>
          <w:rFonts w:ascii="Times New Roman" w:hAnsi="Times New Roman" w:cs="Times New Roman"/>
          <w:sz w:val="24"/>
          <w:szCs w:val="24"/>
        </w:rPr>
        <w:t xml:space="preserve"> quantitative analysis is </w:t>
      </w:r>
      <w:r w:rsidR="0026485A">
        <w:rPr>
          <w:rFonts w:ascii="Times New Roman" w:hAnsi="Times New Roman" w:cs="Times New Roman"/>
          <w:sz w:val="24"/>
          <w:szCs w:val="24"/>
        </w:rPr>
        <w:t xml:space="preserve">based on </w:t>
      </w:r>
      <w:r w:rsidR="00E606E2" w:rsidRPr="00E606E2">
        <w:rPr>
          <w:rFonts w:ascii="Times New Roman" w:hAnsi="Times New Roman" w:cs="Times New Roman"/>
          <w:sz w:val="24"/>
          <w:szCs w:val="24"/>
        </w:rPr>
        <w:t>the economic modelling carried out by the Chief Economist Unit of DG TRADE</w:t>
      </w:r>
      <w:r w:rsidR="0026485A">
        <w:rPr>
          <w:rFonts w:ascii="Times New Roman" w:hAnsi="Times New Roman" w:cs="Times New Roman"/>
          <w:sz w:val="24"/>
          <w:szCs w:val="24"/>
        </w:rPr>
        <w:t xml:space="preserve">, complemented </w:t>
      </w:r>
      <w:r w:rsidR="00E606E2" w:rsidRPr="00E606E2">
        <w:rPr>
          <w:rFonts w:ascii="Times New Roman" w:hAnsi="Times New Roman" w:cs="Times New Roman"/>
          <w:sz w:val="24"/>
          <w:szCs w:val="24"/>
        </w:rPr>
        <w:t>in some areas (e.g. CO</w:t>
      </w:r>
      <w:r w:rsidR="00E606E2" w:rsidRPr="00A03560">
        <w:rPr>
          <w:rFonts w:ascii="Times New Roman" w:hAnsi="Times New Roman" w:cs="Times New Roman"/>
          <w:sz w:val="24"/>
          <w:szCs w:val="24"/>
          <w:vertAlign w:val="subscript"/>
        </w:rPr>
        <w:t>2</w:t>
      </w:r>
      <w:r w:rsidR="00E606E2" w:rsidRPr="00E606E2">
        <w:rPr>
          <w:rFonts w:ascii="Times New Roman" w:hAnsi="Times New Roman" w:cs="Times New Roman"/>
          <w:sz w:val="24"/>
          <w:szCs w:val="24"/>
        </w:rPr>
        <w:t xml:space="preserve"> emission) by the external study. For the simulations made in the quantitative analysis, the global quantitative CGE (Computable General Equilibrium) model GTAP (</w:t>
      </w:r>
      <w:r w:rsidR="00E606E2" w:rsidRPr="00E606E2">
        <w:rPr>
          <w:rFonts w:ascii="Times New Roman" w:hAnsi="Times New Roman" w:cs="Times New Roman"/>
          <w:bCs/>
          <w:sz w:val="24"/>
          <w:szCs w:val="24"/>
        </w:rPr>
        <w:t>Global Trade Analysis Project</w:t>
      </w:r>
      <w:r w:rsidR="00E606E2" w:rsidRPr="00E606E2">
        <w:rPr>
          <w:rFonts w:ascii="Times New Roman" w:hAnsi="Times New Roman" w:cs="Times New Roman"/>
          <w:sz w:val="24"/>
          <w:szCs w:val="24"/>
        </w:rPr>
        <w:t xml:space="preserve">) and its most recent database V9, with a base year of 2011 were used. </w:t>
      </w:r>
    </w:p>
    <w:p w:rsidR="00E606E2" w:rsidRPr="00E606E2" w:rsidRDefault="00E606E2" w:rsidP="00E606E2">
      <w:pPr>
        <w:spacing w:after="120" w:line="240" w:lineRule="auto"/>
        <w:jc w:val="both"/>
        <w:rPr>
          <w:rFonts w:ascii="Times New Roman" w:hAnsi="Times New Roman" w:cs="Times New Roman"/>
          <w:sz w:val="24"/>
          <w:szCs w:val="24"/>
        </w:rPr>
      </w:pPr>
      <w:r w:rsidRPr="00E606E2">
        <w:rPr>
          <w:rFonts w:ascii="Times New Roman" w:hAnsi="Times New Roman" w:cs="Times New Roman"/>
          <w:sz w:val="24"/>
          <w:szCs w:val="24"/>
        </w:rPr>
        <w:t>The description of the analytical model used, including its limitations, can be found in Annex 4. However, main features should be highlighted at this stage, to help the reader understand the results:</w:t>
      </w:r>
    </w:p>
    <w:p w:rsidR="00E606E2" w:rsidRPr="00E606E2" w:rsidRDefault="00E606E2" w:rsidP="002A28DD">
      <w:pPr>
        <w:numPr>
          <w:ilvl w:val="0"/>
          <w:numId w:val="9"/>
        </w:numPr>
        <w:spacing w:after="120" w:line="240" w:lineRule="auto"/>
        <w:jc w:val="both"/>
        <w:rPr>
          <w:rFonts w:ascii="Times New Roman" w:hAnsi="Times New Roman" w:cs="Times New Roman"/>
          <w:sz w:val="24"/>
          <w:szCs w:val="24"/>
        </w:rPr>
      </w:pPr>
      <w:r w:rsidRPr="00E606E2">
        <w:rPr>
          <w:rFonts w:ascii="Times New Roman" w:hAnsi="Times New Roman" w:cs="Times New Roman"/>
          <w:sz w:val="24"/>
          <w:szCs w:val="24"/>
        </w:rPr>
        <w:t>The general model projects trade flows in the longer term</w:t>
      </w:r>
      <w:r w:rsidR="0026485A">
        <w:rPr>
          <w:rFonts w:ascii="Times New Roman" w:hAnsi="Times New Roman" w:cs="Times New Roman"/>
          <w:sz w:val="24"/>
          <w:szCs w:val="24"/>
        </w:rPr>
        <w:t xml:space="preserve"> (2025)</w:t>
      </w:r>
      <w:r w:rsidRPr="00E606E2">
        <w:rPr>
          <w:rFonts w:ascii="Times New Roman" w:hAnsi="Times New Roman" w:cs="Times New Roman"/>
          <w:sz w:val="24"/>
          <w:szCs w:val="24"/>
        </w:rPr>
        <w:t xml:space="preserve">, factors in the measures impacting on trade flows and makes a calculation using a series of assumptions </w:t>
      </w:r>
      <w:r w:rsidR="0026485A">
        <w:rPr>
          <w:rFonts w:ascii="Times New Roman" w:hAnsi="Times New Roman" w:cs="Times New Roman"/>
          <w:sz w:val="24"/>
          <w:szCs w:val="24"/>
        </w:rPr>
        <w:t>on</w:t>
      </w:r>
      <w:r w:rsidRPr="00E606E2">
        <w:rPr>
          <w:rFonts w:ascii="Times New Roman" w:hAnsi="Times New Roman" w:cs="Times New Roman"/>
          <w:sz w:val="24"/>
          <w:szCs w:val="24"/>
        </w:rPr>
        <w:t xml:space="preserve"> the impact of reduced bilateral barriers on trade flow</w:t>
      </w:r>
      <w:r w:rsidR="0026485A">
        <w:rPr>
          <w:rFonts w:ascii="Times New Roman" w:hAnsi="Times New Roman" w:cs="Times New Roman"/>
          <w:sz w:val="24"/>
          <w:szCs w:val="24"/>
        </w:rPr>
        <w:t>s</w:t>
      </w:r>
      <w:r w:rsidRPr="00E606E2">
        <w:rPr>
          <w:rFonts w:ascii="Times New Roman" w:hAnsi="Times New Roman" w:cs="Times New Roman"/>
          <w:sz w:val="24"/>
          <w:szCs w:val="24"/>
        </w:rPr>
        <w:t>. FTAs are made up of market access liberalisation measures covering goods, services and investment, and rule</w:t>
      </w:r>
      <w:r w:rsidR="0026485A">
        <w:rPr>
          <w:rFonts w:ascii="Times New Roman" w:hAnsi="Times New Roman" w:cs="Times New Roman"/>
          <w:sz w:val="24"/>
          <w:szCs w:val="24"/>
        </w:rPr>
        <w:t>-</w:t>
      </w:r>
      <w:r w:rsidRPr="00E606E2">
        <w:rPr>
          <w:rFonts w:ascii="Times New Roman" w:hAnsi="Times New Roman" w:cs="Times New Roman"/>
          <w:sz w:val="24"/>
          <w:szCs w:val="24"/>
        </w:rPr>
        <w:t>based provisions. It is not possible to model rules, such as intellectual property rights</w:t>
      </w:r>
      <w:r w:rsidR="00E23FC0">
        <w:rPr>
          <w:rFonts w:ascii="Times New Roman" w:hAnsi="Times New Roman" w:cs="Times New Roman"/>
          <w:sz w:val="24"/>
          <w:szCs w:val="24"/>
        </w:rPr>
        <w:t>, including</w:t>
      </w:r>
      <w:r w:rsidR="001B5EDC">
        <w:rPr>
          <w:rFonts w:ascii="Times New Roman" w:hAnsi="Times New Roman" w:cs="Times New Roman"/>
          <w:sz w:val="24"/>
          <w:szCs w:val="24"/>
        </w:rPr>
        <w:t xml:space="preserve"> GIs</w:t>
      </w:r>
      <w:r w:rsidRPr="00E606E2">
        <w:rPr>
          <w:rFonts w:ascii="Times New Roman" w:hAnsi="Times New Roman" w:cs="Times New Roman"/>
          <w:sz w:val="24"/>
          <w:szCs w:val="24"/>
        </w:rPr>
        <w:t xml:space="preserve">. While rules included in FTAs would </w:t>
      </w:r>
      <w:r w:rsidR="008F77F5">
        <w:rPr>
          <w:rFonts w:ascii="Times New Roman" w:hAnsi="Times New Roman" w:cs="Times New Roman"/>
          <w:sz w:val="24"/>
          <w:szCs w:val="24"/>
        </w:rPr>
        <w:t>surely</w:t>
      </w:r>
      <w:r w:rsidRPr="00E606E2">
        <w:rPr>
          <w:rFonts w:ascii="Times New Roman" w:hAnsi="Times New Roman" w:cs="Times New Roman"/>
          <w:sz w:val="24"/>
          <w:szCs w:val="24"/>
        </w:rPr>
        <w:t xml:space="preserve"> increase the level of certainty for business and decrease risk for business, it is very difficult to capture those effects through a model. The modelling, therefore, looks at tariff liberalisations that would </w:t>
      </w:r>
      <w:r w:rsidR="0026485A">
        <w:rPr>
          <w:rFonts w:ascii="Times New Roman" w:hAnsi="Times New Roman" w:cs="Times New Roman"/>
          <w:sz w:val="24"/>
          <w:szCs w:val="24"/>
        </w:rPr>
        <w:t>result from</w:t>
      </w:r>
      <w:r w:rsidRPr="00E606E2">
        <w:rPr>
          <w:rFonts w:ascii="Times New Roman" w:hAnsi="Times New Roman" w:cs="Times New Roman"/>
          <w:sz w:val="24"/>
          <w:szCs w:val="24"/>
        </w:rPr>
        <w:t xml:space="preserve"> the FTAs, reductions of NTBs and binding of market openings in services.</w:t>
      </w:r>
    </w:p>
    <w:p w:rsidR="00E606E2" w:rsidRPr="00E606E2" w:rsidRDefault="00E606E2" w:rsidP="002A28DD">
      <w:pPr>
        <w:numPr>
          <w:ilvl w:val="0"/>
          <w:numId w:val="9"/>
        </w:numPr>
        <w:spacing w:after="120" w:line="240" w:lineRule="auto"/>
        <w:jc w:val="both"/>
        <w:rPr>
          <w:rFonts w:ascii="Times New Roman" w:hAnsi="Times New Roman" w:cs="Times New Roman"/>
          <w:sz w:val="24"/>
          <w:szCs w:val="24"/>
        </w:rPr>
      </w:pPr>
      <w:r w:rsidRPr="00E606E2">
        <w:rPr>
          <w:rFonts w:ascii="Times New Roman" w:hAnsi="Times New Roman" w:cs="Times New Roman"/>
          <w:sz w:val="24"/>
          <w:szCs w:val="24"/>
        </w:rPr>
        <w:t xml:space="preserve">To understand output results, it is necessary to consider </w:t>
      </w:r>
      <w:r w:rsidR="0026485A">
        <w:rPr>
          <w:rFonts w:ascii="Times New Roman" w:hAnsi="Times New Roman" w:cs="Times New Roman"/>
          <w:sz w:val="24"/>
          <w:szCs w:val="24"/>
        </w:rPr>
        <w:t xml:space="preserve">that the </w:t>
      </w:r>
      <w:r w:rsidRPr="00E606E2">
        <w:rPr>
          <w:rFonts w:ascii="Times New Roman" w:hAnsi="Times New Roman" w:cs="Times New Roman"/>
          <w:sz w:val="24"/>
          <w:szCs w:val="24"/>
        </w:rPr>
        <w:t>model cannot expand the factors of production (as might be the case in real life)</w:t>
      </w:r>
      <w:r w:rsidR="0026485A">
        <w:rPr>
          <w:rFonts w:ascii="Times New Roman" w:hAnsi="Times New Roman" w:cs="Times New Roman"/>
          <w:sz w:val="24"/>
          <w:szCs w:val="24"/>
        </w:rPr>
        <w:t>,</w:t>
      </w:r>
      <w:r w:rsidRPr="00E606E2">
        <w:rPr>
          <w:rFonts w:ascii="Times New Roman" w:hAnsi="Times New Roman" w:cs="Times New Roman"/>
          <w:sz w:val="24"/>
          <w:szCs w:val="24"/>
        </w:rPr>
        <w:t xml:space="preserve"> but instead pulls them across to the most efficient sector. This partially explains the decline in output in some sectors when production increas</w:t>
      </w:r>
      <w:r w:rsidR="0026485A">
        <w:rPr>
          <w:rFonts w:ascii="Times New Roman" w:hAnsi="Times New Roman" w:cs="Times New Roman"/>
          <w:sz w:val="24"/>
          <w:szCs w:val="24"/>
        </w:rPr>
        <w:t>es</w:t>
      </w:r>
      <w:r w:rsidRPr="00E606E2">
        <w:rPr>
          <w:rFonts w:ascii="Times New Roman" w:hAnsi="Times New Roman" w:cs="Times New Roman"/>
          <w:sz w:val="24"/>
          <w:szCs w:val="24"/>
        </w:rPr>
        <w:t xml:space="preserve"> in other sectors</w:t>
      </w:r>
      <w:r w:rsidR="0026485A">
        <w:rPr>
          <w:rFonts w:ascii="Times New Roman" w:hAnsi="Times New Roman" w:cs="Times New Roman"/>
          <w:sz w:val="24"/>
          <w:szCs w:val="24"/>
        </w:rPr>
        <w:t>.</w:t>
      </w:r>
      <w:r w:rsidRPr="00E606E2">
        <w:rPr>
          <w:rFonts w:ascii="Times New Roman" w:hAnsi="Times New Roman" w:cs="Times New Roman"/>
          <w:sz w:val="24"/>
          <w:szCs w:val="24"/>
        </w:rPr>
        <w:t xml:space="preserve"> </w:t>
      </w:r>
    </w:p>
    <w:p w:rsidR="00E606E2" w:rsidRPr="00E606E2" w:rsidRDefault="00E606E2" w:rsidP="002A28DD">
      <w:pPr>
        <w:numPr>
          <w:ilvl w:val="0"/>
          <w:numId w:val="8"/>
        </w:numPr>
        <w:spacing w:after="120" w:line="240" w:lineRule="auto"/>
        <w:ind w:left="357" w:hanging="357"/>
        <w:jc w:val="both"/>
        <w:rPr>
          <w:rFonts w:ascii="Times New Roman" w:hAnsi="Times New Roman" w:cs="Times New Roman"/>
          <w:sz w:val="24"/>
          <w:szCs w:val="24"/>
        </w:rPr>
      </w:pPr>
      <w:r w:rsidRPr="00E606E2">
        <w:rPr>
          <w:rFonts w:ascii="Times New Roman" w:hAnsi="Times New Roman" w:cs="Times New Roman"/>
          <w:sz w:val="24"/>
          <w:szCs w:val="24"/>
        </w:rPr>
        <w:t>The model works with a so</w:t>
      </w:r>
      <w:r w:rsidR="0026485A">
        <w:rPr>
          <w:rFonts w:ascii="Times New Roman" w:hAnsi="Times New Roman" w:cs="Times New Roman"/>
          <w:sz w:val="24"/>
          <w:szCs w:val="24"/>
        </w:rPr>
        <w:t>-</w:t>
      </w:r>
      <w:r w:rsidRPr="00E606E2">
        <w:rPr>
          <w:rFonts w:ascii="Times New Roman" w:hAnsi="Times New Roman" w:cs="Times New Roman"/>
          <w:sz w:val="24"/>
          <w:szCs w:val="24"/>
        </w:rPr>
        <w:t xml:space="preserve">called ‘fixed employment closure’, meaning that the overall number of jobs is set </w:t>
      </w:r>
      <w:r w:rsidR="001D5AF8">
        <w:rPr>
          <w:rFonts w:ascii="Times New Roman" w:hAnsi="Times New Roman" w:cs="Times New Roman"/>
          <w:sz w:val="24"/>
          <w:szCs w:val="24"/>
        </w:rPr>
        <w:t xml:space="preserve">so as </w:t>
      </w:r>
      <w:r w:rsidRPr="00E606E2">
        <w:rPr>
          <w:rFonts w:ascii="Times New Roman" w:hAnsi="Times New Roman" w:cs="Times New Roman"/>
          <w:sz w:val="24"/>
          <w:szCs w:val="24"/>
        </w:rPr>
        <w:t>not to change, and labour market adjustments take place through wage changes. This approach is commonly used for this type of analyses since there is no established theoretical framework linking the functioning of labour markets to CGE models. However, the fixed employment closure approach provides information on shifts between sectors thus indicating in which sectors employment is likely to increase and d</w:t>
      </w:r>
      <w:r w:rsidR="004A7B8F">
        <w:rPr>
          <w:rFonts w:ascii="Times New Roman" w:hAnsi="Times New Roman" w:cs="Times New Roman"/>
          <w:sz w:val="24"/>
          <w:szCs w:val="24"/>
        </w:rPr>
        <w:t>ecrease as a result of the new A</w:t>
      </w:r>
      <w:r w:rsidRPr="00E606E2">
        <w:rPr>
          <w:rFonts w:ascii="Times New Roman" w:hAnsi="Times New Roman" w:cs="Times New Roman"/>
          <w:sz w:val="24"/>
          <w:szCs w:val="24"/>
        </w:rPr>
        <w:t xml:space="preserve">greement.  </w:t>
      </w:r>
    </w:p>
    <w:p w:rsidR="00E606E2" w:rsidRPr="00E606E2" w:rsidRDefault="00E606E2" w:rsidP="002A28DD">
      <w:pPr>
        <w:numPr>
          <w:ilvl w:val="0"/>
          <w:numId w:val="8"/>
        </w:numPr>
        <w:spacing w:after="120" w:line="240" w:lineRule="auto"/>
        <w:ind w:left="357" w:hanging="357"/>
        <w:jc w:val="both"/>
        <w:rPr>
          <w:rFonts w:ascii="Times New Roman" w:hAnsi="Times New Roman" w:cs="Times New Roman"/>
          <w:sz w:val="24"/>
          <w:szCs w:val="24"/>
        </w:rPr>
      </w:pPr>
      <w:r w:rsidRPr="00E606E2">
        <w:rPr>
          <w:rFonts w:ascii="Times New Roman" w:hAnsi="Times New Roman" w:cs="Times New Roman"/>
          <w:sz w:val="24"/>
          <w:szCs w:val="24"/>
        </w:rPr>
        <w:t xml:space="preserve">The modelling provides figures for the impact of reduction of non-tariff barriers (NTBs) </w:t>
      </w:r>
      <w:r w:rsidR="004A7B8F">
        <w:rPr>
          <w:rFonts w:ascii="Times New Roman" w:hAnsi="Times New Roman" w:cs="Times New Roman"/>
          <w:sz w:val="24"/>
          <w:szCs w:val="24"/>
        </w:rPr>
        <w:t>on</w:t>
      </w:r>
      <w:r w:rsidRPr="00E606E2">
        <w:rPr>
          <w:rFonts w:ascii="Times New Roman" w:hAnsi="Times New Roman" w:cs="Times New Roman"/>
          <w:sz w:val="24"/>
          <w:szCs w:val="24"/>
        </w:rPr>
        <w:t xml:space="preserve"> trade in goods. However, as robust estimates could not be established for reductions of NTBs for trade in agricultural products, a qualitative assessment of agricultural NTBs has been provided in the external study. This would mean that the likely impact of NTB reduction as modelled by the CGE simulation for EU exports is probably underestimated.</w:t>
      </w:r>
    </w:p>
    <w:p w:rsidR="00E606E2" w:rsidRPr="00E606E2" w:rsidRDefault="00E606E2" w:rsidP="002A28DD">
      <w:pPr>
        <w:numPr>
          <w:ilvl w:val="0"/>
          <w:numId w:val="8"/>
        </w:numPr>
        <w:spacing w:after="120" w:line="240" w:lineRule="auto"/>
        <w:ind w:left="357" w:hanging="357"/>
        <w:jc w:val="both"/>
        <w:rPr>
          <w:rFonts w:ascii="Times New Roman" w:hAnsi="Times New Roman" w:cs="Times New Roman"/>
          <w:sz w:val="24"/>
          <w:szCs w:val="24"/>
        </w:rPr>
      </w:pPr>
      <w:r w:rsidRPr="00E606E2">
        <w:rPr>
          <w:rFonts w:ascii="Times New Roman" w:hAnsi="Times New Roman" w:cs="Times New Roman"/>
          <w:sz w:val="24"/>
          <w:szCs w:val="24"/>
        </w:rPr>
        <w:t>For cross-border services, the assessment of likely NTB reduction is more difficult than for goods. This is mainly due to the nature of trade liberalisation</w:t>
      </w:r>
      <w:r w:rsidR="001D5AF8">
        <w:rPr>
          <w:rFonts w:ascii="Times New Roman" w:hAnsi="Times New Roman" w:cs="Times New Roman"/>
          <w:sz w:val="24"/>
          <w:szCs w:val="24"/>
        </w:rPr>
        <w:t xml:space="preserve"> of services</w:t>
      </w:r>
      <w:r w:rsidRPr="00E606E2">
        <w:rPr>
          <w:rFonts w:ascii="Times New Roman" w:hAnsi="Times New Roman" w:cs="Times New Roman"/>
          <w:sz w:val="24"/>
          <w:szCs w:val="24"/>
        </w:rPr>
        <w:t>, which usually takes place through binding, i.e. a commitment by the negotiating partner not to raise the levels of existing barriers, thus removing uncertainty in terms of risks for economic operators. Th</w:t>
      </w:r>
      <w:r w:rsidR="0026485A">
        <w:rPr>
          <w:rFonts w:ascii="Times New Roman" w:hAnsi="Times New Roman" w:cs="Times New Roman"/>
          <w:sz w:val="24"/>
          <w:szCs w:val="24"/>
        </w:rPr>
        <w:t xml:space="preserve">is </w:t>
      </w:r>
      <w:r w:rsidRPr="00E606E2">
        <w:rPr>
          <w:rFonts w:ascii="Times New Roman" w:hAnsi="Times New Roman" w:cs="Times New Roman"/>
          <w:sz w:val="24"/>
          <w:szCs w:val="24"/>
        </w:rPr>
        <w:t xml:space="preserve">impact is difficult to estimate since </w:t>
      </w:r>
      <w:r w:rsidR="0026485A">
        <w:rPr>
          <w:rFonts w:ascii="Times New Roman" w:hAnsi="Times New Roman" w:cs="Times New Roman"/>
          <w:sz w:val="24"/>
          <w:szCs w:val="24"/>
        </w:rPr>
        <w:t>it</w:t>
      </w:r>
      <w:r w:rsidRPr="00E606E2">
        <w:rPr>
          <w:rFonts w:ascii="Times New Roman" w:hAnsi="Times New Roman" w:cs="Times New Roman"/>
          <w:sz w:val="24"/>
          <w:szCs w:val="24"/>
        </w:rPr>
        <w:t xml:space="preserve"> is not a traditional cut in trade barriers. At the same time, it is acknowledged that removing uncertainty through binding has a value. Previous empirical work in this area has found that, on average, binding corresponds to a 3% reduction in trade costs</w:t>
      </w:r>
      <w:r w:rsidR="00AD4440">
        <w:rPr>
          <w:rFonts w:ascii="Times New Roman" w:hAnsi="Times New Roman" w:cs="Times New Roman"/>
          <w:sz w:val="24"/>
          <w:szCs w:val="24"/>
        </w:rPr>
        <w:t xml:space="preserve"> (which is the reduction assumed by the CGE modelling on NTB</w:t>
      </w:r>
      <w:r w:rsidR="009E3EA3">
        <w:rPr>
          <w:rFonts w:ascii="Times New Roman" w:hAnsi="Times New Roman" w:cs="Times New Roman"/>
          <w:sz w:val="24"/>
          <w:szCs w:val="24"/>
        </w:rPr>
        <w:t xml:space="preserve">s applied by Chile on services </w:t>
      </w:r>
      <w:r w:rsidR="00AD4440">
        <w:rPr>
          <w:rFonts w:ascii="Times New Roman" w:hAnsi="Times New Roman" w:cs="Times New Roman"/>
          <w:sz w:val="24"/>
          <w:szCs w:val="24"/>
        </w:rPr>
        <w:t>under the ambitious scenario)</w:t>
      </w:r>
      <w:r w:rsidRPr="00E606E2">
        <w:rPr>
          <w:rFonts w:ascii="Times New Roman" w:hAnsi="Times New Roman" w:cs="Times New Roman"/>
          <w:sz w:val="24"/>
          <w:szCs w:val="24"/>
        </w:rPr>
        <w:t>.</w:t>
      </w:r>
    </w:p>
    <w:p w:rsidR="00E606E2" w:rsidRDefault="00E606E2" w:rsidP="002A28DD">
      <w:pPr>
        <w:numPr>
          <w:ilvl w:val="0"/>
          <w:numId w:val="8"/>
        </w:numPr>
        <w:spacing w:after="120" w:line="240" w:lineRule="auto"/>
        <w:ind w:left="357" w:hanging="357"/>
        <w:jc w:val="both"/>
        <w:rPr>
          <w:rFonts w:ascii="Times New Roman" w:hAnsi="Times New Roman" w:cs="Times New Roman"/>
          <w:sz w:val="24"/>
          <w:szCs w:val="24"/>
        </w:rPr>
      </w:pPr>
      <w:r w:rsidRPr="00E606E2">
        <w:rPr>
          <w:rFonts w:ascii="Times New Roman" w:hAnsi="Times New Roman" w:cs="Times New Roman"/>
          <w:sz w:val="24"/>
          <w:szCs w:val="24"/>
        </w:rPr>
        <w:t xml:space="preserve">The model does not contain data as regards the economic impacts of liberalisation in the areas of public procurement and investment </w:t>
      </w:r>
      <w:r w:rsidR="001D5AF8">
        <w:rPr>
          <w:rFonts w:ascii="Times New Roman" w:hAnsi="Times New Roman" w:cs="Times New Roman"/>
          <w:sz w:val="24"/>
          <w:szCs w:val="24"/>
        </w:rPr>
        <w:t>nor on the</w:t>
      </w:r>
      <w:r w:rsidRPr="00E606E2">
        <w:rPr>
          <w:rFonts w:ascii="Times New Roman" w:hAnsi="Times New Roman" w:cs="Times New Roman"/>
          <w:sz w:val="24"/>
          <w:szCs w:val="24"/>
        </w:rPr>
        <w:t xml:space="preserve"> impact of rules regarding invest</w:t>
      </w:r>
      <w:r w:rsidR="003153AA">
        <w:rPr>
          <w:rFonts w:ascii="Times New Roman" w:hAnsi="Times New Roman" w:cs="Times New Roman"/>
          <w:sz w:val="24"/>
          <w:szCs w:val="24"/>
        </w:rPr>
        <w:t>ment protection, protection of i</w:t>
      </w:r>
      <w:r w:rsidRPr="00E606E2">
        <w:rPr>
          <w:rFonts w:ascii="Times New Roman" w:hAnsi="Times New Roman" w:cs="Times New Roman"/>
          <w:sz w:val="24"/>
          <w:szCs w:val="24"/>
        </w:rPr>
        <w:t xml:space="preserve">ntellectual </w:t>
      </w:r>
      <w:r w:rsidR="003153AA">
        <w:rPr>
          <w:rFonts w:ascii="Times New Roman" w:hAnsi="Times New Roman" w:cs="Times New Roman"/>
          <w:sz w:val="24"/>
          <w:szCs w:val="24"/>
        </w:rPr>
        <w:t>p</w:t>
      </w:r>
      <w:r w:rsidRPr="00E606E2">
        <w:rPr>
          <w:rFonts w:ascii="Times New Roman" w:hAnsi="Times New Roman" w:cs="Times New Roman"/>
          <w:sz w:val="24"/>
          <w:szCs w:val="24"/>
        </w:rPr>
        <w:t xml:space="preserve">roperty </w:t>
      </w:r>
      <w:r w:rsidR="003153AA">
        <w:rPr>
          <w:rFonts w:ascii="Times New Roman" w:hAnsi="Times New Roman" w:cs="Times New Roman"/>
          <w:sz w:val="24"/>
          <w:szCs w:val="24"/>
        </w:rPr>
        <w:t>r</w:t>
      </w:r>
      <w:r w:rsidRPr="00E606E2">
        <w:rPr>
          <w:rFonts w:ascii="Times New Roman" w:hAnsi="Times New Roman" w:cs="Times New Roman"/>
          <w:sz w:val="24"/>
          <w:szCs w:val="24"/>
        </w:rPr>
        <w:t>ights</w:t>
      </w:r>
      <w:r w:rsidR="00E23FC0">
        <w:rPr>
          <w:rFonts w:ascii="Times New Roman" w:hAnsi="Times New Roman" w:cs="Times New Roman"/>
          <w:sz w:val="24"/>
          <w:szCs w:val="24"/>
        </w:rPr>
        <w:t>, including</w:t>
      </w:r>
      <w:r w:rsidRPr="00E606E2">
        <w:rPr>
          <w:rFonts w:ascii="Times New Roman" w:hAnsi="Times New Roman" w:cs="Times New Roman"/>
          <w:sz w:val="24"/>
          <w:szCs w:val="24"/>
        </w:rPr>
        <w:t xml:space="preserve"> GI</w:t>
      </w:r>
      <w:r w:rsidR="003153AA">
        <w:rPr>
          <w:rFonts w:ascii="Times New Roman" w:hAnsi="Times New Roman" w:cs="Times New Roman"/>
          <w:sz w:val="24"/>
          <w:szCs w:val="24"/>
        </w:rPr>
        <w:t>s</w:t>
      </w:r>
      <w:r w:rsidR="00E23FC0">
        <w:rPr>
          <w:rFonts w:ascii="Times New Roman" w:hAnsi="Times New Roman" w:cs="Times New Roman"/>
          <w:sz w:val="24"/>
          <w:szCs w:val="24"/>
        </w:rPr>
        <w:t>,</w:t>
      </w:r>
      <w:r w:rsidRPr="00E606E2">
        <w:rPr>
          <w:rFonts w:ascii="Times New Roman" w:hAnsi="Times New Roman" w:cs="Times New Roman"/>
          <w:sz w:val="24"/>
          <w:szCs w:val="24"/>
        </w:rPr>
        <w:t xml:space="preserve"> given the difficulty in the quantification of these impacts.</w:t>
      </w:r>
    </w:p>
    <w:p w:rsidR="00A65A23" w:rsidRPr="00E606E2" w:rsidRDefault="00A65A23" w:rsidP="00E851A2">
      <w:pPr>
        <w:spacing w:after="120" w:line="240" w:lineRule="auto"/>
        <w:ind w:left="357"/>
        <w:jc w:val="both"/>
        <w:rPr>
          <w:rFonts w:ascii="Times New Roman" w:hAnsi="Times New Roman" w:cs="Times New Roman"/>
          <w:sz w:val="24"/>
          <w:szCs w:val="24"/>
        </w:rPr>
      </w:pPr>
    </w:p>
    <w:p w:rsidR="00A65A23" w:rsidRPr="00E851A2" w:rsidRDefault="00A65A23" w:rsidP="00A65A23">
      <w:pPr>
        <w:spacing w:after="120" w:line="240" w:lineRule="auto"/>
        <w:jc w:val="both"/>
        <w:rPr>
          <w:rFonts w:ascii="Times New Roman" w:hAnsi="Times New Roman" w:cs="Times New Roman"/>
          <w:sz w:val="24"/>
          <w:szCs w:val="24"/>
        </w:rPr>
      </w:pPr>
      <w:r w:rsidRPr="00E851A2">
        <w:rPr>
          <w:rFonts w:ascii="Times New Roman" w:hAnsi="Times New Roman" w:cs="Times New Roman"/>
          <w:sz w:val="24"/>
          <w:szCs w:val="24"/>
        </w:rPr>
        <w:t xml:space="preserve">All </w:t>
      </w:r>
      <w:r w:rsidR="00AC2EAE">
        <w:rPr>
          <w:rFonts w:ascii="Times New Roman" w:hAnsi="Times New Roman" w:cs="Times New Roman"/>
          <w:sz w:val="24"/>
          <w:szCs w:val="24"/>
        </w:rPr>
        <w:t>l</w:t>
      </w:r>
      <w:r w:rsidRPr="00E851A2">
        <w:rPr>
          <w:rFonts w:ascii="Times New Roman" w:hAnsi="Times New Roman" w:cs="Times New Roman"/>
          <w:sz w:val="24"/>
          <w:szCs w:val="24"/>
        </w:rPr>
        <w:t xml:space="preserve">imitations duly considered, the </w:t>
      </w:r>
      <w:r w:rsidRPr="00E851A2">
        <w:rPr>
          <w:rFonts w:ascii="Times New Roman" w:hAnsi="Times New Roman" w:cs="Times New Roman"/>
          <w:b/>
          <w:sz w:val="24"/>
          <w:szCs w:val="24"/>
        </w:rPr>
        <w:t xml:space="preserve">CGE model remains the best </w:t>
      </w:r>
      <w:r w:rsidRPr="002F096D">
        <w:rPr>
          <w:rFonts w:ascii="Times New Roman" w:hAnsi="Times New Roman" w:cs="Times New Roman"/>
          <w:b/>
          <w:sz w:val="24"/>
          <w:szCs w:val="24"/>
        </w:rPr>
        <w:t>tool</w:t>
      </w:r>
      <w:r w:rsidRPr="00E851A2">
        <w:rPr>
          <w:rFonts w:ascii="Times New Roman" w:hAnsi="Times New Roman" w:cs="Times New Roman"/>
          <w:sz w:val="24"/>
          <w:szCs w:val="24"/>
        </w:rPr>
        <w:t xml:space="preserve"> </w:t>
      </w:r>
      <w:r w:rsidRPr="00E851A2">
        <w:rPr>
          <w:rFonts w:ascii="Times New Roman" w:hAnsi="Times New Roman" w:cs="Times New Roman"/>
          <w:b/>
          <w:sz w:val="24"/>
          <w:szCs w:val="24"/>
        </w:rPr>
        <w:t>in the methodological toolbox of economists</w:t>
      </w:r>
      <w:r w:rsidRPr="00E851A2">
        <w:rPr>
          <w:rFonts w:ascii="Times New Roman" w:hAnsi="Times New Roman" w:cs="Times New Roman"/>
          <w:sz w:val="24"/>
          <w:szCs w:val="24"/>
        </w:rPr>
        <w:t xml:space="preserve"> </w:t>
      </w:r>
      <w:r w:rsidRPr="00E851A2">
        <w:rPr>
          <w:rFonts w:ascii="Times New Roman" w:hAnsi="Times New Roman" w:cs="Times New Roman"/>
          <w:b/>
          <w:sz w:val="24"/>
          <w:szCs w:val="24"/>
        </w:rPr>
        <w:t>to quantify</w:t>
      </w:r>
      <w:r w:rsidRPr="00E851A2">
        <w:rPr>
          <w:rFonts w:ascii="Times New Roman" w:hAnsi="Times New Roman" w:cs="Times New Roman"/>
          <w:sz w:val="24"/>
          <w:szCs w:val="24"/>
        </w:rPr>
        <w:t xml:space="preserve"> the impact of trade agreements. In this context, it should be mentioned that administrations around the world, including in EU </w:t>
      </w:r>
      <w:r w:rsidRPr="002F096D">
        <w:rPr>
          <w:rFonts w:ascii="Times New Roman" w:hAnsi="Times New Roman" w:cs="Times New Roman"/>
          <w:sz w:val="24"/>
          <w:szCs w:val="24"/>
        </w:rPr>
        <w:t>M</w:t>
      </w:r>
      <w:r w:rsidRPr="00E851A2">
        <w:rPr>
          <w:rFonts w:ascii="Times New Roman" w:hAnsi="Times New Roman" w:cs="Times New Roman"/>
          <w:sz w:val="24"/>
          <w:szCs w:val="24"/>
        </w:rPr>
        <w:t xml:space="preserve">ember </w:t>
      </w:r>
      <w:r w:rsidRPr="002F096D">
        <w:rPr>
          <w:rFonts w:ascii="Times New Roman" w:hAnsi="Times New Roman" w:cs="Times New Roman"/>
          <w:sz w:val="24"/>
          <w:szCs w:val="24"/>
        </w:rPr>
        <w:t>S</w:t>
      </w:r>
      <w:r w:rsidRPr="00E851A2">
        <w:rPr>
          <w:rFonts w:ascii="Times New Roman" w:hAnsi="Times New Roman" w:cs="Times New Roman"/>
          <w:sz w:val="24"/>
          <w:szCs w:val="24"/>
        </w:rPr>
        <w:t>tates, rely on CGE modelling to analyse the impact of trade policies. The Chief Economist Unit of DG Trade actively engages in exchanges with the research community to stay at the forefront of methodological progress in trade policy analysis. Recently advanced approaches have not been able to offer convincing alternatives.</w:t>
      </w:r>
      <w:r w:rsidR="00F94DE0">
        <w:rPr>
          <w:rFonts w:ascii="Times New Roman" w:hAnsi="Times New Roman" w:cs="Times New Roman"/>
          <w:sz w:val="24"/>
          <w:szCs w:val="24"/>
        </w:rPr>
        <w:t xml:space="preserve"> Essentially, all the limitations of the CGE model identified above are inherent to competing approa</w:t>
      </w:r>
      <w:r w:rsidR="004A7B8F">
        <w:rPr>
          <w:rFonts w:ascii="Times New Roman" w:hAnsi="Times New Roman" w:cs="Times New Roman"/>
          <w:sz w:val="24"/>
          <w:szCs w:val="24"/>
        </w:rPr>
        <w:t>ches</w:t>
      </w:r>
      <w:r w:rsidR="00F94DE0">
        <w:rPr>
          <w:rFonts w:ascii="Times New Roman" w:hAnsi="Times New Roman" w:cs="Times New Roman"/>
          <w:sz w:val="24"/>
          <w:szCs w:val="24"/>
        </w:rPr>
        <w:t xml:space="preserve"> too.</w:t>
      </w:r>
    </w:p>
    <w:p w:rsidR="00A65A23" w:rsidRPr="00E606E2" w:rsidRDefault="00A65A23" w:rsidP="00E606E2">
      <w:pPr>
        <w:spacing w:after="120" w:line="240" w:lineRule="auto"/>
        <w:jc w:val="both"/>
        <w:rPr>
          <w:rFonts w:ascii="Times New Roman" w:hAnsi="Times New Roman" w:cs="Times New Roman"/>
          <w:sz w:val="24"/>
          <w:szCs w:val="24"/>
        </w:rPr>
      </w:pPr>
    </w:p>
    <w:p w:rsidR="00E606E2" w:rsidRDefault="00FA285D" w:rsidP="00882520">
      <w:pPr>
        <w:pStyle w:val="Heading2"/>
        <w:numPr>
          <w:ilvl w:val="1"/>
          <w:numId w:val="56"/>
        </w:numPr>
        <w:spacing w:after="240"/>
        <w:ind w:left="788" w:hanging="431"/>
        <w:rPr>
          <w:u w:val="single"/>
        </w:rPr>
      </w:pPr>
      <w:bookmarkStart w:id="42" w:name="_Toc473123085"/>
      <w:r>
        <w:rPr>
          <w:u w:val="single"/>
        </w:rPr>
        <w:t>Policy option A: No policy change (t</w:t>
      </w:r>
      <w:r w:rsidR="00E606E2" w:rsidRPr="00261E9D">
        <w:rPr>
          <w:u w:val="single"/>
        </w:rPr>
        <w:t>he baseline scenario</w:t>
      </w:r>
      <w:r>
        <w:rPr>
          <w:u w:val="single"/>
        </w:rPr>
        <w:t>)</w:t>
      </w:r>
      <w:bookmarkEnd w:id="42"/>
    </w:p>
    <w:p w:rsidR="00C8568C" w:rsidRDefault="00C8568C" w:rsidP="001D4E24">
      <w:pPr>
        <w:snapToGrid w:val="0"/>
        <w:spacing w:after="240" w:line="240" w:lineRule="auto"/>
        <w:jc w:val="both"/>
        <w:rPr>
          <w:rFonts w:ascii="Times New Roman" w:hAnsi="Times New Roman" w:cs="Times New Roman"/>
          <w:sz w:val="24"/>
          <w:szCs w:val="24"/>
        </w:rPr>
      </w:pPr>
      <w:r w:rsidRPr="00AD3C3B">
        <w:rPr>
          <w:rFonts w:ascii="Times New Roman" w:hAnsi="Times New Roman" w:cs="Times New Roman"/>
          <w:sz w:val="24"/>
          <w:szCs w:val="24"/>
        </w:rPr>
        <w:t xml:space="preserve">Given the results achieved so far under </w:t>
      </w:r>
      <w:r>
        <w:rPr>
          <w:rFonts w:ascii="Times New Roman" w:hAnsi="Times New Roman" w:cs="Times New Roman"/>
          <w:sz w:val="24"/>
          <w:szCs w:val="24"/>
        </w:rPr>
        <w:t xml:space="preserve">the EU-Chile FTA, and </w:t>
      </w:r>
      <w:r w:rsidR="000215EF">
        <w:rPr>
          <w:rFonts w:ascii="Times New Roman" w:hAnsi="Times New Roman" w:cs="Times New Roman"/>
          <w:sz w:val="24"/>
          <w:szCs w:val="24"/>
        </w:rPr>
        <w:t>the</w:t>
      </w:r>
      <w:r>
        <w:rPr>
          <w:rFonts w:ascii="Times New Roman" w:hAnsi="Times New Roman" w:cs="Times New Roman"/>
          <w:sz w:val="24"/>
          <w:szCs w:val="24"/>
        </w:rPr>
        <w:t xml:space="preserve"> scope</w:t>
      </w:r>
      <w:r w:rsidR="001D5AF8">
        <w:rPr>
          <w:rFonts w:ascii="Times New Roman" w:hAnsi="Times New Roman" w:cs="Times New Roman"/>
          <w:sz w:val="24"/>
          <w:szCs w:val="24"/>
        </w:rPr>
        <w:t xml:space="preserve"> of the a</w:t>
      </w:r>
      <w:r w:rsidR="000215EF">
        <w:rPr>
          <w:rFonts w:ascii="Times New Roman" w:hAnsi="Times New Roman" w:cs="Times New Roman"/>
          <w:sz w:val="24"/>
          <w:szCs w:val="24"/>
        </w:rPr>
        <w:t>greement</w:t>
      </w:r>
      <w:r>
        <w:rPr>
          <w:rFonts w:ascii="Times New Roman" w:hAnsi="Times New Roman" w:cs="Times New Roman"/>
          <w:sz w:val="24"/>
          <w:szCs w:val="24"/>
        </w:rPr>
        <w:t>,</w:t>
      </w:r>
      <w:r w:rsidRPr="00AD3C3B">
        <w:rPr>
          <w:rFonts w:ascii="Times New Roman" w:hAnsi="Times New Roman" w:cs="Times New Roman"/>
          <w:sz w:val="24"/>
          <w:szCs w:val="24"/>
        </w:rPr>
        <w:t xml:space="preserve"> it is reasonable to</w:t>
      </w:r>
      <w:r>
        <w:rPr>
          <w:rFonts w:ascii="Times New Roman" w:hAnsi="Times New Roman" w:cs="Times New Roman"/>
          <w:sz w:val="24"/>
          <w:szCs w:val="24"/>
        </w:rPr>
        <w:t xml:space="preserve"> </w:t>
      </w:r>
      <w:r w:rsidRPr="00AD3C3B">
        <w:rPr>
          <w:rFonts w:ascii="Times New Roman" w:hAnsi="Times New Roman" w:cs="Times New Roman"/>
          <w:sz w:val="24"/>
          <w:szCs w:val="24"/>
        </w:rPr>
        <w:t>assume</w:t>
      </w:r>
      <w:r>
        <w:rPr>
          <w:rFonts w:ascii="Times New Roman" w:hAnsi="Times New Roman" w:cs="Times New Roman"/>
          <w:sz w:val="24"/>
          <w:szCs w:val="24"/>
        </w:rPr>
        <w:t xml:space="preserve"> </w:t>
      </w:r>
      <w:r w:rsidRPr="00AD3C3B">
        <w:rPr>
          <w:rFonts w:ascii="Times New Roman" w:hAnsi="Times New Roman" w:cs="Times New Roman"/>
          <w:sz w:val="24"/>
          <w:szCs w:val="24"/>
        </w:rPr>
        <w:t xml:space="preserve">that </w:t>
      </w:r>
      <w:r>
        <w:rPr>
          <w:rFonts w:ascii="Times New Roman" w:hAnsi="Times New Roman" w:cs="Times New Roman"/>
          <w:sz w:val="24"/>
          <w:szCs w:val="24"/>
        </w:rPr>
        <w:t>no further reduction of</w:t>
      </w:r>
      <w:r w:rsidRPr="00AD3C3B">
        <w:rPr>
          <w:rFonts w:ascii="Times New Roman" w:hAnsi="Times New Roman" w:cs="Times New Roman"/>
          <w:sz w:val="24"/>
          <w:szCs w:val="24"/>
        </w:rPr>
        <w:t xml:space="preserve"> regulatory trade costs </w:t>
      </w:r>
      <w:r w:rsidR="000215EF">
        <w:rPr>
          <w:rFonts w:ascii="Times New Roman" w:hAnsi="Times New Roman" w:cs="Times New Roman"/>
          <w:sz w:val="24"/>
          <w:szCs w:val="24"/>
        </w:rPr>
        <w:t>may</w:t>
      </w:r>
      <w:r>
        <w:rPr>
          <w:rFonts w:ascii="Times New Roman" w:hAnsi="Times New Roman" w:cs="Times New Roman"/>
          <w:sz w:val="24"/>
          <w:szCs w:val="24"/>
        </w:rPr>
        <w:t xml:space="preserve"> be expected</w:t>
      </w:r>
      <w:r w:rsidRPr="008D7631">
        <w:rPr>
          <w:rFonts w:ascii="Times New Roman" w:hAnsi="Times New Roman" w:cs="Times New Roman"/>
          <w:sz w:val="24"/>
          <w:szCs w:val="24"/>
        </w:rPr>
        <w:t xml:space="preserve"> </w:t>
      </w:r>
      <w:r w:rsidR="001D5AF8">
        <w:rPr>
          <w:rFonts w:ascii="Times New Roman" w:hAnsi="Times New Roman" w:cs="Times New Roman"/>
          <w:sz w:val="24"/>
          <w:szCs w:val="24"/>
        </w:rPr>
        <w:t>f</w:t>
      </w:r>
      <w:r w:rsidR="004A7B8F">
        <w:rPr>
          <w:rFonts w:ascii="Times New Roman" w:hAnsi="Times New Roman" w:cs="Times New Roman"/>
          <w:sz w:val="24"/>
          <w:szCs w:val="24"/>
        </w:rPr>
        <w:t>rom the operation of the A</w:t>
      </w:r>
      <w:r w:rsidRPr="002D67FE">
        <w:rPr>
          <w:rFonts w:ascii="Times New Roman" w:hAnsi="Times New Roman" w:cs="Times New Roman"/>
          <w:sz w:val="24"/>
          <w:szCs w:val="24"/>
        </w:rPr>
        <w:t>greement</w:t>
      </w:r>
      <w:r>
        <w:rPr>
          <w:rFonts w:ascii="Times New Roman" w:hAnsi="Times New Roman" w:cs="Times New Roman"/>
          <w:sz w:val="24"/>
          <w:szCs w:val="24"/>
        </w:rPr>
        <w:t>,</w:t>
      </w:r>
      <w:r w:rsidRPr="00AD3C3B">
        <w:rPr>
          <w:rFonts w:ascii="Times New Roman" w:hAnsi="Times New Roman" w:cs="Times New Roman"/>
          <w:sz w:val="24"/>
          <w:szCs w:val="24"/>
        </w:rPr>
        <w:t xml:space="preserve"> and </w:t>
      </w:r>
      <w:r>
        <w:rPr>
          <w:rFonts w:ascii="Times New Roman" w:hAnsi="Times New Roman" w:cs="Times New Roman"/>
          <w:sz w:val="24"/>
          <w:szCs w:val="24"/>
        </w:rPr>
        <w:t>that we should not expect</w:t>
      </w:r>
      <w:r w:rsidRPr="00AD3C3B">
        <w:rPr>
          <w:rFonts w:ascii="Times New Roman" w:hAnsi="Times New Roman" w:cs="Times New Roman"/>
          <w:sz w:val="24"/>
          <w:szCs w:val="24"/>
        </w:rPr>
        <w:t xml:space="preserve"> </w:t>
      </w:r>
      <w:r w:rsidR="002F6ED7">
        <w:rPr>
          <w:rFonts w:ascii="Times New Roman" w:hAnsi="Times New Roman" w:cs="Times New Roman"/>
          <w:sz w:val="24"/>
          <w:szCs w:val="24"/>
        </w:rPr>
        <w:t>it</w:t>
      </w:r>
      <w:r w:rsidRPr="002D67FE">
        <w:rPr>
          <w:rFonts w:ascii="Times New Roman" w:hAnsi="Times New Roman" w:cs="Times New Roman"/>
          <w:sz w:val="24"/>
          <w:szCs w:val="24"/>
        </w:rPr>
        <w:t xml:space="preserve"> to foster any </w:t>
      </w:r>
      <w:r w:rsidRPr="00AD3C3B">
        <w:rPr>
          <w:rFonts w:ascii="Times New Roman" w:hAnsi="Times New Roman" w:cs="Times New Roman"/>
          <w:sz w:val="24"/>
          <w:szCs w:val="24"/>
        </w:rPr>
        <w:t xml:space="preserve">substantial </w:t>
      </w:r>
      <w:r>
        <w:rPr>
          <w:rFonts w:ascii="Times New Roman" w:hAnsi="Times New Roman" w:cs="Times New Roman"/>
          <w:sz w:val="24"/>
          <w:szCs w:val="24"/>
        </w:rPr>
        <w:t xml:space="preserve">further </w:t>
      </w:r>
      <w:r w:rsidRPr="00AD3C3B">
        <w:rPr>
          <w:rFonts w:ascii="Times New Roman" w:hAnsi="Times New Roman" w:cs="Times New Roman"/>
          <w:sz w:val="24"/>
          <w:szCs w:val="24"/>
        </w:rPr>
        <w:t>growth of bilateral</w:t>
      </w:r>
      <w:r>
        <w:rPr>
          <w:rFonts w:ascii="Times New Roman" w:hAnsi="Times New Roman" w:cs="Times New Roman"/>
          <w:sz w:val="24"/>
          <w:szCs w:val="24"/>
        </w:rPr>
        <w:t xml:space="preserve"> </w:t>
      </w:r>
      <w:r w:rsidRPr="00AD3C3B">
        <w:rPr>
          <w:rFonts w:ascii="Times New Roman" w:hAnsi="Times New Roman" w:cs="Times New Roman"/>
          <w:sz w:val="24"/>
          <w:szCs w:val="24"/>
        </w:rPr>
        <w:t xml:space="preserve">trade and investment volumes. Thus, no significant </w:t>
      </w:r>
      <w:r w:rsidR="000215EF">
        <w:rPr>
          <w:rFonts w:ascii="Times New Roman" w:hAnsi="Times New Roman" w:cs="Times New Roman"/>
          <w:sz w:val="24"/>
          <w:szCs w:val="24"/>
        </w:rPr>
        <w:t>additional</w:t>
      </w:r>
      <w:r>
        <w:rPr>
          <w:rFonts w:ascii="Times New Roman" w:hAnsi="Times New Roman" w:cs="Times New Roman"/>
          <w:sz w:val="24"/>
          <w:szCs w:val="24"/>
        </w:rPr>
        <w:t xml:space="preserve"> </w:t>
      </w:r>
      <w:r w:rsidRPr="00AD3C3B">
        <w:rPr>
          <w:rFonts w:ascii="Times New Roman" w:hAnsi="Times New Roman" w:cs="Times New Roman"/>
          <w:sz w:val="24"/>
          <w:szCs w:val="24"/>
        </w:rPr>
        <w:t xml:space="preserve">gains </w:t>
      </w:r>
      <w:r>
        <w:rPr>
          <w:rFonts w:ascii="Times New Roman" w:hAnsi="Times New Roman" w:cs="Times New Roman"/>
          <w:sz w:val="24"/>
          <w:szCs w:val="24"/>
        </w:rPr>
        <w:t xml:space="preserve">in overall welfare attributed to the EU-Chile FTA </w:t>
      </w:r>
      <w:r w:rsidR="000215EF">
        <w:rPr>
          <w:rFonts w:ascii="Times New Roman" w:hAnsi="Times New Roman" w:cs="Times New Roman"/>
          <w:sz w:val="24"/>
          <w:szCs w:val="24"/>
        </w:rPr>
        <w:t xml:space="preserve">may </w:t>
      </w:r>
      <w:r w:rsidRPr="00AD3C3B">
        <w:rPr>
          <w:rFonts w:ascii="Times New Roman" w:hAnsi="Times New Roman" w:cs="Times New Roman"/>
          <w:sz w:val="24"/>
          <w:szCs w:val="24"/>
        </w:rPr>
        <w:t>be expected</w:t>
      </w:r>
      <w:r>
        <w:rPr>
          <w:rFonts w:ascii="Times New Roman" w:hAnsi="Times New Roman" w:cs="Times New Roman"/>
          <w:sz w:val="24"/>
          <w:szCs w:val="24"/>
        </w:rPr>
        <w:t xml:space="preserve"> </w:t>
      </w:r>
      <w:r w:rsidRPr="00AD3C3B">
        <w:rPr>
          <w:rFonts w:ascii="Times New Roman" w:hAnsi="Times New Roman" w:cs="Times New Roman"/>
          <w:sz w:val="24"/>
          <w:szCs w:val="24"/>
        </w:rPr>
        <w:t xml:space="preserve">in the EU or </w:t>
      </w:r>
      <w:r w:rsidR="000215EF">
        <w:rPr>
          <w:rFonts w:ascii="Times New Roman" w:hAnsi="Times New Roman" w:cs="Times New Roman"/>
          <w:sz w:val="24"/>
          <w:szCs w:val="24"/>
        </w:rPr>
        <w:t xml:space="preserve">in </w:t>
      </w:r>
      <w:r>
        <w:rPr>
          <w:rFonts w:ascii="Times New Roman" w:hAnsi="Times New Roman" w:cs="Times New Roman"/>
          <w:sz w:val="24"/>
          <w:szCs w:val="24"/>
        </w:rPr>
        <w:t>Chile</w:t>
      </w:r>
      <w:r w:rsidRPr="00AD3C3B">
        <w:rPr>
          <w:rFonts w:ascii="Times New Roman" w:hAnsi="Times New Roman" w:cs="Times New Roman"/>
          <w:sz w:val="24"/>
          <w:szCs w:val="24"/>
        </w:rPr>
        <w:t xml:space="preserve"> in the short to medium term.</w:t>
      </w:r>
      <w:r w:rsidRPr="008D7631">
        <w:rPr>
          <w:rFonts w:ascii="Times New Roman" w:hAnsi="Times New Roman" w:cs="Times New Roman"/>
          <w:sz w:val="24"/>
          <w:szCs w:val="24"/>
        </w:rPr>
        <w:t xml:space="preserve"> </w:t>
      </w:r>
      <w:r w:rsidR="000215EF">
        <w:rPr>
          <w:rFonts w:ascii="Times New Roman" w:hAnsi="Times New Roman" w:cs="Times New Roman"/>
          <w:sz w:val="24"/>
          <w:szCs w:val="24"/>
        </w:rPr>
        <w:t>The only possible c</w:t>
      </w:r>
      <w:r w:rsidRPr="002D67FE">
        <w:rPr>
          <w:rFonts w:ascii="Times New Roman" w:hAnsi="Times New Roman" w:cs="Times New Roman"/>
          <w:sz w:val="24"/>
          <w:szCs w:val="24"/>
        </w:rPr>
        <w:t>hanges in EU-</w:t>
      </w:r>
      <w:r>
        <w:rPr>
          <w:rFonts w:ascii="Times New Roman" w:hAnsi="Times New Roman" w:cs="Times New Roman"/>
          <w:sz w:val="24"/>
          <w:szCs w:val="24"/>
        </w:rPr>
        <w:t>Chile</w:t>
      </w:r>
      <w:r w:rsidRPr="002D67FE">
        <w:rPr>
          <w:rFonts w:ascii="Times New Roman" w:hAnsi="Times New Roman" w:cs="Times New Roman"/>
          <w:sz w:val="24"/>
          <w:szCs w:val="24"/>
        </w:rPr>
        <w:t xml:space="preserve"> trade and investment relations would be those </w:t>
      </w:r>
      <w:r w:rsidR="000215EF">
        <w:rPr>
          <w:rFonts w:ascii="Times New Roman" w:hAnsi="Times New Roman" w:cs="Times New Roman"/>
          <w:sz w:val="24"/>
          <w:szCs w:val="24"/>
        </w:rPr>
        <w:t xml:space="preserve">resulting from </w:t>
      </w:r>
      <w:r w:rsidRPr="002D67FE">
        <w:rPr>
          <w:rFonts w:ascii="Times New Roman" w:hAnsi="Times New Roman" w:cs="Times New Roman"/>
          <w:sz w:val="24"/>
          <w:szCs w:val="24"/>
        </w:rPr>
        <w:t>changes in the two economies</w:t>
      </w:r>
      <w:r w:rsidR="008D7631">
        <w:rPr>
          <w:rFonts w:ascii="Times New Roman" w:hAnsi="Times New Roman" w:cs="Times New Roman"/>
          <w:sz w:val="24"/>
          <w:szCs w:val="24"/>
        </w:rPr>
        <w:t xml:space="preserve">, </w:t>
      </w:r>
      <w:r w:rsidR="001B5EDC">
        <w:rPr>
          <w:rFonts w:ascii="Times New Roman" w:hAnsi="Times New Roman" w:cs="Times New Roman"/>
          <w:sz w:val="24"/>
          <w:szCs w:val="24"/>
        </w:rPr>
        <w:t xml:space="preserve">bilateral trade relations with third countries, </w:t>
      </w:r>
      <w:r w:rsidR="008D7631">
        <w:rPr>
          <w:rFonts w:ascii="Times New Roman" w:hAnsi="Times New Roman" w:cs="Times New Roman"/>
          <w:sz w:val="24"/>
          <w:szCs w:val="24"/>
        </w:rPr>
        <w:t>the multilateral trading system</w:t>
      </w:r>
      <w:r w:rsidRPr="002D67FE">
        <w:rPr>
          <w:rFonts w:ascii="Times New Roman" w:hAnsi="Times New Roman" w:cs="Times New Roman"/>
          <w:sz w:val="24"/>
          <w:szCs w:val="24"/>
        </w:rPr>
        <w:t xml:space="preserve"> and the world economy at large.</w:t>
      </w:r>
    </w:p>
    <w:p w:rsidR="00E606E2" w:rsidRDefault="00E606E2" w:rsidP="001D4E24">
      <w:pPr>
        <w:snapToGrid w:val="0"/>
        <w:spacing w:after="240" w:line="240" w:lineRule="auto"/>
        <w:jc w:val="both"/>
        <w:rPr>
          <w:rFonts w:ascii="Times New Roman" w:hAnsi="Times New Roman" w:cs="Times New Roman"/>
          <w:sz w:val="24"/>
          <w:szCs w:val="24"/>
        </w:rPr>
      </w:pPr>
      <w:r w:rsidRPr="00E606E2">
        <w:rPr>
          <w:rFonts w:ascii="Times New Roman" w:hAnsi="Times New Roman" w:cs="Times New Roman"/>
          <w:sz w:val="24"/>
          <w:szCs w:val="24"/>
        </w:rPr>
        <w:t xml:space="preserve">The status quo would also </w:t>
      </w:r>
      <w:r w:rsidR="008D7631">
        <w:rPr>
          <w:rFonts w:ascii="Times New Roman" w:hAnsi="Times New Roman" w:cs="Times New Roman"/>
          <w:sz w:val="24"/>
          <w:szCs w:val="24"/>
        </w:rPr>
        <w:t xml:space="preserve">imply </w:t>
      </w:r>
      <w:r w:rsidRPr="00E606E2">
        <w:rPr>
          <w:rFonts w:ascii="Times New Roman" w:hAnsi="Times New Roman" w:cs="Times New Roman"/>
          <w:sz w:val="24"/>
          <w:szCs w:val="24"/>
        </w:rPr>
        <w:t xml:space="preserve">that important policy areas, such </w:t>
      </w:r>
      <w:r w:rsidR="008D7631">
        <w:rPr>
          <w:rFonts w:ascii="Times New Roman" w:hAnsi="Times New Roman" w:cs="Times New Roman"/>
          <w:sz w:val="24"/>
          <w:szCs w:val="24"/>
        </w:rPr>
        <w:t xml:space="preserve">as investment protection, </w:t>
      </w:r>
      <w:r w:rsidRPr="00E606E2">
        <w:rPr>
          <w:rFonts w:ascii="Times New Roman" w:hAnsi="Times New Roman" w:cs="Times New Roman"/>
          <w:sz w:val="24"/>
          <w:szCs w:val="24"/>
        </w:rPr>
        <w:t>trade and sustainable development, digital trade and SMEs would not be addressed.</w:t>
      </w:r>
    </w:p>
    <w:p w:rsidR="00E264E6" w:rsidRDefault="00E606E2" w:rsidP="00E606E2">
      <w:pPr>
        <w:snapToGrid w:val="0"/>
        <w:spacing w:after="120" w:line="240" w:lineRule="auto"/>
        <w:jc w:val="both"/>
        <w:rPr>
          <w:rFonts w:ascii="Times New Roman" w:hAnsi="Times New Roman" w:cs="Times New Roman"/>
          <w:sz w:val="24"/>
          <w:szCs w:val="24"/>
        </w:rPr>
      </w:pPr>
      <w:r w:rsidRPr="00E606E2">
        <w:rPr>
          <w:rFonts w:ascii="Times New Roman" w:hAnsi="Times New Roman" w:cs="Times New Roman"/>
          <w:sz w:val="24"/>
          <w:szCs w:val="24"/>
        </w:rPr>
        <w:t>Overall</w:t>
      </w:r>
      <w:r w:rsidR="00D323E5">
        <w:rPr>
          <w:rFonts w:ascii="Times New Roman" w:hAnsi="Times New Roman" w:cs="Times New Roman"/>
          <w:sz w:val="24"/>
          <w:szCs w:val="24"/>
        </w:rPr>
        <w:t>,</w:t>
      </w:r>
      <w:r w:rsidRPr="00E606E2">
        <w:rPr>
          <w:rFonts w:ascii="Times New Roman" w:hAnsi="Times New Roman" w:cs="Times New Roman"/>
          <w:sz w:val="24"/>
          <w:szCs w:val="24"/>
        </w:rPr>
        <w:t xml:space="preserve"> the status quo would mean </w:t>
      </w:r>
      <w:r w:rsidR="008D7631">
        <w:rPr>
          <w:rFonts w:ascii="Times New Roman" w:hAnsi="Times New Roman" w:cs="Times New Roman"/>
          <w:sz w:val="24"/>
          <w:szCs w:val="24"/>
        </w:rPr>
        <w:t xml:space="preserve">a </w:t>
      </w:r>
      <w:r w:rsidRPr="00E606E2">
        <w:rPr>
          <w:rFonts w:ascii="Times New Roman" w:hAnsi="Times New Roman" w:cs="Times New Roman"/>
          <w:sz w:val="24"/>
          <w:szCs w:val="24"/>
        </w:rPr>
        <w:t>comparatively deteriorating environment for E</w:t>
      </w:r>
      <w:r w:rsidR="008D7631">
        <w:rPr>
          <w:rFonts w:ascii="Times New Roman" w:hAnsi="Times New Roman" w:cs="Times New Roman"/>
          <w:sz w:val="24"/>
          <w:szCs w:val="24"/>
        </w:rPr>
        <w:t>U</w:t>
      </w:r>
      <w:r w:rsidR="000215EF">
        <w:rPr>
          <w:rFonts w:ascii="Times New Roman" w:hAnsi="Times New Roman" w:cs="Times New Roman"/>
          <w:sz w:val="24"/>
          <w:szCs w:val="24"/>
        </w:rPr>
        <w:t xml:space="preserve"> exports and investment</w:t>
      </w:r>
      <w:r w:rsidRPr="00E606E2">
        <w:rPr>
          <w:rFonts w:ascii="Times New Roman" w:hAnsi="Times New Roman" w:cs="Times New Roman"/>
          <w:sz w:val="24"/>
          <w:szCs w:val="24"/>
        </w:rPr>
        <w:t xml:space="preserve"> relative to third countries</w:t>
      </w:r>
      <w:r w:rsidR="008D7631">
        <w:rPr>
          <w:rFonts w:ascii="Times New Roman" w:hAnsi="Times New Roman" w:cs="Times New Roman"/>
          <w:sz w:val="24"/>
          <w:szCs w:val="24"/>
        </w:rPr>
        <w:t xml:space="preserve"> with which Chile has concluded more recent ambitious FTAs</w:t>
      </w:r>
      <w:r w:rsidR="008F77F5">
        <w:rPr>
          <w:rFonts w:ascii="Times New Roman" w:hAnsi="Times New Roman" w:cs="Times New Roman"/>
          <w:sz w:val="24"/>
          <w:szCs w:val="24"/>
        </w:rPr>
        <w:t>.</w:t>
      </w:r>
      <w:r w:rsidRPr="00E606E2">
        <w:rPr>
          <w:rFonts w:ascii="Times New Roman" w:hAnsi="Times New Roman" w:cs="Times New Roman"/>
          <w:sz w:val="24"/>
          <w:szCs w:val="24"/>
        </w:rPr>
        <w:t xml:space="preserve"> </w:t>
      </w:r>
    </w:p>
    <w:p w:rsidR="00195315" w:rsidRPr="00195315" w:rsidRDefault="00195315" w:rsidP="00195315">
      <w:pPr>
        <w:snapToGrid w:val="0"/>
        <w:spacing w:after="120" w:line="240" w:lineRule="auto"/>
        <w:jc w:val="both"/>
        <w:rPr>
          <w:rFonts w:ascii="Times New Roman" w:hAnsi="Times New Roman" w:cs="Times New Roman"/>
          <w:sz w:val="24"/>
          <w:szCs w:val="24"/>
        </w:rPr>
      </w:pPr>
      <w:r w:rsidRPr="00195315">
        <w:rPr>
          <w:rFonts w:ascii="Times New Roman" w:hAnsi="Times New Roman" w:cs="Times New Roman"/>
          <w:sz w:val="24"/>
          <w:szCs w:val="24"/>
        </w:rPr>
        <w:t xml:space="preserve">The economic modelling tool, within its limits, projects </w:t>
      </w:r>
      <w:r w:rsidR="004A7B8F">
        <w:rPr>
          <w:rFonts w:ascii="Times New Roman" w:hAnsi="Times New Roman" w:cs="Times New Roman"/>
          <w:sz w:val="24"/>
          <w:szCs w:val="24"/>
        </w:rPr>
        <w:t>this baseline scenario to the s</w:t>
      </w:r>
      <w:r w:rsidRPr="00195315">
        <w:rPr>
          <w:rFonts w:ascii="Times New Roman" w:hAnsi="Times New Roman" w:cs="Times New Roman"/>
          <w:sz w:val="24"/>
          <w:szCs w:val="24"/>
        </w:rPr>
        <w:t>imulation horizon by using projections e.g. with respect to GDP growth</w:t>
      </w:r>
      <w:r w:rsidRPr="00195315">
        <w:rPr>
          <w:rFonts w:ascii="Times New Roman" w:hAnsi="Times New Roman" w:cs="Times New Roman"/>
          <w:sz w:val="24"/>
          <w:szCs w:val="24"/>
          <w:vertAlign w:val="superscript"/>
        </w:rPr>
        <w:footnoteReference w:id="24"/>
      </w:r>
      <w:r w:rsidRPr="00195315">
        <w:rPr>
          <w:rFonts w:ascii="Times New Roman" w:hAnsi="Times New Roman" w:cs="Times New Roman"/>
          <w:sz w:val="24"/>
          <w:szCs w:val="24"/>
        </w:rPr>
        <w:t>. This baseline scenario is compared with the policy scenarios options C1 and C2 that are based on the same long-term projections and include the parameters of the policy choices as defined in the respective scenarios. So, for example, the EU export as projected by the model in the long term in option A is compared to the relative change under options C1 and C2 in the equivalent projection horizon. The figures for gains in trade provided for option C2 can, thus also be interpreted as an estimate of untapped trade potential.</w:t>
      </w:r>
    </w:p>
    <w:p w:rsidR="00611D04" w:rsidRDefault="00611D04" w:rsidP="00611D04">
      <w:pPr>
        <w:snapToGrid w:val="0"/>
        <w:spacing w:after="120" w:line="240" w:lineRule="auto"/>
        <w:jc w:val="both"/>
        <w:rPr>
          <w:rFonts w:ascii="Times New Roman" w:hAnsi="Times New Roman" w:cs="Times New Roman"/>
          <w:sz w:val="24"/>
          <w:szCs w:val="24"/>
        </w:rPr>
      </w:pPr>
    </w:p>
    <w:p w:rsidR="00E606E2" w:rsidRPr="00261E9D" w:rsidRDefault="00611D04" w:rsidP="00882520">
      <w:pPr>
        <w:pStyle w:val="Heading2"/>
        <w:numPr>
          <w:ilvl w:val="1"/>
          <w:numId w:val="56"/>
        </w:numPr>
        <w:rPr>
          <w:u w:val="single"/>
        </w:rPr>
      </w:pPr>
      <w:bookmarkStart w:id="43" w:name="_Toc473123086"/>
      <w:r w:rsidRPr="00261E9D">
        <w:rPr>
          <w:u w:val="single"/>
        </w:rPr>
        <w:t>Policy Option C: C</w:t>
      </w:r>
      <w:r w:rsidR="00E606E2" w:rsidRPr="00261E9D">
        <w:rPr>
          <w:u w:val="single"/>
        </w:rPr>
        <w:t xml:space="preserve">omprehensive </w:t>
      </w:r>
      <w:r w:rsidRPr="00261E9D">
        <w:rPr>
          <w:u w:val="single"/>
        </w:rPr>
        <w:t xml:space="preserve">modernisation of the EU-Chile </w:t>
      </w:r>
      <w:r w:rsidR="00E606E2" w:rsidRPr="00261E9D">
        <w:rPr>
          <w:u w:val="single"/>
        </w:rPr>
        <w:t>FTAs</w:t>
      </w:r>
      <w:bookmarkEnd w:id="43"/>
      <w:r w:rsidR="00E606E2" w:rsidRPr="00261E9D">
        <w:rPr>
          <w:u w:val="single"/>
        </w:rPr>
        <w:t xml:space="preserve"> </w:t>
      </w:r>
    </w:p>
    <w:p w:rsidR="00E264E6" w:rsidRDefault="00E264E6" w:rsidP="00FD3C27">
      <w:pPr>
        <w:snapToGrid w:val="0"/>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impact of policy option C on key indicators, described below, illustrates the expected change relative to option A (no policy change) with a similar long-term projection. </w:t>
      </w:r>
    </w:p>
    <w:p w:rsidR="001E27A1" w:rsidRPr="00E851A2" w:rsidRDefault="001E27A1" w:rsidP="00FD3C27">
      <w:pPr>
        <w:snapToGrid w:val="0"/>
        <w:spacing w:before="240" w:after="120" w:line="240" w:lineRule="auto"/>
        <w:jc w:val="both"/>
        <w:rPr>
          <w:rFonts w:ascii="Times New Roman" w:hAnsi="Times New Roman" w:cs="Times New Roman"/>
          <w:sz w:val="24"/>
          <w:szCs w:val="24"/>
        </w:rPr>
      </w:pPr>
    </w:p>
    <w:p w:rsidR="00E606E2" w:rsidRPr="00EF7091" w:rsidRDefault="00E606E2" w:rsidP="00FD3C27">
      <w:pPr>
        <w:snapToGrid w:val="0"/>
        <w:spacing w:before="240" w:after="120" w:line="240" w:lineRule="auto"/>
        <w:jc w:val="both"/>
        <w:rPr>
          <w:rFonts w:ascii="Times New Roman" w:hAnsi="Times New Roman" w:cs="Times New Roman"/>
          <w:b/>
          <w:i/>
          <w:sz w:val="24"/>
          <w:szCs w:val="24"/>
        </w:rPr>
      </w:pPr>
      <w:r w:rsidRPr="00EF7091">
        <w:rPr>
          <w:rFonts w:ascii="Times New Roman" w:hAnsi="Times New Roman" w:cs="Times New Roman"/>
          <w:b/>
          <w:i/>
          <w:sz w:val="24"/>
          <w:szCs w:val="24"/>
        </w:rPr>
        <w:t>GDP</w:t>
      </w:r>
      <w:r w:rsidR="00816E53" w:rsidRPr="00EF7091">
        <w:rPr>
          <w:rFonts w:ascii="Times New Roman" w:hAnsi="Times New Roman" w:cs="Times New Roman"/>
          <w:b/>
          <w:i/>
          <w:sz w:val="24"/>
          <w:szCs w:val="24"/>
        </w:rPr>
        <w:t xml:space="preserve"> and bilateral </w:t>
      </w:r>
      <w:r w:rsidRPr="00EF7091">
        <w:rPr>
          <w:rFonts w:ascii="Times New Roman" w:hAnsi="Times New Roman" w:cs="Times New Roman"/>
          <w:b/>
          <w:i/>
          <w:sz w:val="24"/>
          <w:szCs w:val="24"/>
        </w:rPr>
        <w:t xml:space="preserve">trade </w:t>
      </w:r>
    </w:p>
    <w:p w:rsidR="001D4457" w:rsidRDefault="00E606E2" w:rsidP="001D4E24">
      <w:pPr>
        <w:snapToGrid w:val="0"/>
        <w:spacing w:after="240" w:line="240" w:lineRule="auto"/>
        <w:jc w:val="both"/>
        <w:rPr>
          <w:rFonts w:ascii="Times New Roman" w:hAnsi="Times New Roman" w:cs="Times New Roman"/>
          <w:sz w:val="24"/>
          <w:szCs w:val="24"/>
        </w:rPr>
      </w:pPr>
      <w:r w:rsidRPr="00E606E2">
        <w:rPr>
          <w:rFonts w:ascii="Times New Roman" w:hAnsi="Times New Roman" w:cs="Times New Roman"/>
          <w:sz w:val="24"/>
          <w:szCs w:val="24"/>
        </w:rPr>
        <w:t xml:space="preserve">In the long run, the </w:t>
      </w:r>
      <w:r w:rsidR="009F4749">
        <w:rPr>
          <w:rFonts w:ascii="Times New Roman" w:hAnsi="Times New Roman" w:cs="Times New Roman"/>
          <w:sz w:val="24"/>
          <w:szCs w:val="24"/>
        </w:rPr>
        <w:t xml:space="preserve">modernisation of the </w:t>
      </w:r>
      <w:r w:rsidRPr="00E606E2">
        <w:rPr>
          <w:rFonts w:ascii="Times New Roman" w:hAnsi="Times New Roman" w:cs="Times New Roman"/>
          <w:sz w:val="24"/>
          <w:szCs w:val="24"/>
        </w:rPr>
        <w:t>EU-</w:t>
      </w:r>
      <w:r w:rsidR="001D4457">
        <w:rPr>
          <w:rFonts w:ascii="Times New Roman" w:hAnsi="Times New Roman" w:cs="Times New Roman"/>
          <w:sz w:val="24"/>
          <w:szCs w:val="24"/>
        </w:rPr>
        <w:t xml:space="preserve">Chile </w:t>
      </w:r>
      <w:r w:rsidRPr="00E606E2">
        <w:rPr>
          <w:rFonts w:ascii="Times New Roman" w:hAnsi="Times New Roman" w:cs="Times New Roman"/>
          <w:sz w:val="24"/>
          <w:szCs w:val="24"/>
        </w:rPr>
        <w:t xml:space="preserve">FTA </w:t>
      </w:r>
      <w:r w:rsidR="001D4457">
        <w:rPr>
          <w:rFonts w:ascii="Times New Roman" w:hAnsi="Times New Roman" w:cs="Times New Roman"/>
          <w:sz w:val="24"/>
          <w:szCs w:val="24"/>
        </w:rPr>
        <w:t>is</w:t>
      </w:r>
      <w:r w:rsidRPr="00E606E2">
        <w:rPr>
          <w:rFonts w:ascii="Times New Roman" w:hAnsi="Times New Roman" w:cs="Times New Roman"/>
          <w:sz w:val="24"/>
          <w:szCs w:val="24"/>
        </w:rPr>
        <w:t xml:space="preserve"> estimated to have a positive impact on real GDP. </w:t>
      </w:r>
      <w:r w:rsidR="001D4457">
        <w:rPr>
          <w:rFonts w:ascii="Times New Roman" w:hAnsi="Times New Roman" w:cs="Times New Roman"/>
          <w:sz w:val="24"/>
          <w:szCs w:val="24"/>
        </w:rPr>
        <w:t xml:space="preserve">Chile </w:t>
      </w:r>
      <w:r w:rsidR="00647368">
        <w:rPr>
          <w:rFonts w:ascii="Times New Roman" w:hAnsi="Times New Roman" w:cs="Times New Roman"/>
          <w:sz w:val="24"/>
          <w:szCs w:val="24"/>
        </w:rPr>
        <w:t>would</w:t>
      </w:r>
      <w:r w:rsidRPr="00E606E2">
        <w:rPr>
          <w:rFonts w:ascii="Times New Roman" w:hAnsi="Times New Roman" w:cs="Times New Roman"/>
          <w:sz w:val="24"/>
          <w:szCs w:val="24"/>
        </w:rPr>
        <w:t xml:space="preserve"> see a positive change in real GDP of 0.</w:t>
      </w:r>
      <w:r w:rsidR="001D4457">
        <w:rPr>
          <w:rFonts w:ascii="Times New Roman" w:hAnsi="Times New Roman" w:cs="Times New Roman"/>
          <w:sz w:val="24"/>
          <w:szCs w:val="24"/>
        </w:rPr>
        <w:t>0</w:t>
      </w:r>
      <w:r w:rsidR="00263847">
        <w:rPr>
          <w:rFonts w:ascii="Times New Roman" w:hAnsi="Times New Roman" w:cs="Times New Roman"/>
          <w:sz w:val="24"/>
          <w:szCs w:val="24"/>
        </w:rPr>
        <w:t>90</w:t>
      </w:r>
      <w:r w:rsidRPr="00E606E2">
        <w:rPr>
          <w:rFonts w:ascii="Times New Roman" w:hAnsi="Times New Roman" w:cs="Times New Roman"/>
          <w:sz w:val="24"/>
          <w:szCs w:val="24"/>
        </w:rPr>
        <w:t>% in the conservative scenario and of 0.</w:t>
      </w:r>
      <w:r w:rsidR="001D4457">
        <w:rPr>
          <w:rFonts w:ascii="Times New Roman" w:hAnsi="Times New Roman" w:cs="Times New Roman"/>
          <w:sz w:val="24"/>
          <w:szCs w:val="24"/>
        </w:rPr>
        <w:t>1</w:t>
      </w:r>
      <w:r w:rsidR="00263847">
        <w:rPr>
          <w:rFonts w:ascii="Times New Roman" w:hAnsi="Times New Roman" w:cs="Times New Roman"/>
          <w:sz w:val="24"/>
          <w:szCs w:val="24"/>
        </w:rPr>
        <w:t>75</w:t>
      </w:r>
      <w:r w:rsidRPr="00E606E2">
        <w:rPr>
          <w:rFonts w:ascii="Times New Roman" w:hAnsi="Times New Roman" w:cs="Times New Roman"/>
          <w:sz w:val="24"/>
          <w:szCs w:val="24"/>
        </w:rPr>
        <w:t xml:space="preserve">% in the </w:t>
      </w:r>
      <w:r w:rsidR="000477D1">
        <w:rPr>
          <w:rFonts w:ascii="Times New Roman" w:hAnsi="Times New Roman" w:cs="Times New Roman"/>
          <w:sz w:val="24"/>
          <w:szCs w:val="24"/>
        </w:rPr>
        <w:t>ambitious</w:t>
      </w:r>
      <w:r w:rsidRPr="00E606E2">
        <w:rPr>
          <w:rFonts w:ascii="Times New Roman" w:hAnsi="Times New Roman" w:cs="Times New Roman"/>
          <w:sz w:val="24"/>
          <w:szCs w:val="24"/>
        </w:rPr>
        <w:t xml:space="preserve"> </w:t>
      </w:r>
      <w:r w:rsidR="00647368">
        <w:rPr>
          <w:rFonts w:ascii="Times New Roman" w:hAnsi="Times New Roman" w:cs="Times New Roman"/>
          <w:sz w:val="24"/>
          <w:szCs w:val="24"/>
        </w:rPr>
        <w:t>one</w:t>
      </w:r>
      <w:r w:rsidRPr="00E606E2">
        <w:rPr>
          <w:rFonts w:ascii="Times New Roman" w:hAnsi="Times New Roman" w:cs="Times New Roman"/>
          <w:sz w:val="24"/>
          <w:szCs w:val="24"/>
        </w:rPr>
        <w:t>.</w:t>
      </w:r>
      <w:r w:rsidR="00647368">
        <w:rPr>
          <w:rFonts w:ascii="Times New Roman" w:hAnsi="Times New Roman" w:cs="Times New Roman"/>
          <w:sz w:val="24"/>
          <w:szCs w:val="24"/>
        </w:rPr>
        <w:t xml:space="preserve"> As expected, the impact on EU real GDP would be almost negligible, but in a positive direction: a 0.001% increase in the conservative scenario and a 0.002% in the ambitious one. </w:t>
      </w:r>
      <w:r w:rsidRPr="00E606E2">
        <w:rPr>
          <w:rFonts w:ascii="Times New Roman" w:hAnsi="Times New Roman" w:cs="Times New Roman"/>
          <w:sz w:val="24"/>
          <w:szCs w:val="24"/>
        </w:rPr>
        <w:t xml:space="preserve"> In absolute value</w:t>
      </w:r>
      <w:r w:rsidR="001D4457">
        <w:rPr>
          <w:rFonts w:ascii="Times New Roman" w:hAnsi="Times New Roman" w:cs="Times New Roman"/>
          <w:sz w:val="24"/>
          <w:szCs w:val="24"/>
        </w:rPr>
        <w:t xml:space="preserve">s, </w:t>
      </w:r>
      <w:r w:rsidRPr="00E606E2">
        <w:rPr>
          <w:rFonts w:ascii="Times New Roman" w:hAnsi="Times New Roman" w:cs="Times New Roman"/>
          <w:sz w:val="24"/>
          <w:szCs w:val="24"/>
        </w:rPr>
        <w:t xml:space="preserve">the gains </w:t>
      </w:r>
      <w:r w:rsidR="001D4457">
        <w:rPr>
          <w:rFonts w:ascii="Times New Roman" w:hAnsi="Times New Roman" w:cs="Times New Roman"/>
          <w:sz w:val="24"/>
          <w:szCs w:val="24"/>
        </w:rPr>
        <w:t xml:space="preserve">in </w:t>
      </w:r>
      <w:r w:rsidR="00B1212C">
        <w:rPr>
          <w:rFonts w:ascii="Times New Roman" w:hAnsi="Times New Roman" w:cs="Times New Roman"/>
          <w:sz w:val="24"/>
          <w:szCs w:val="24"/>
        </w:rPr>
        <w:t xml:space="preserve">real </w:t>
      </w:r>
      <w:r w:rsidR="001D4457">
        <w:rPr>
          <w:rFonts w:ascii="Times New Roman" w:hAnsi="Times New Roman" w:cs="Times New Roman"/>
          <w:sz w:val="24"/>
          <w:szCs w:val="24"/>
        </w:rPr>
        <w:t xml:space="preserve">GDP in </w:t>
      </w:r>
      <w:r w:rsidR="00CA60A9">
        <w:rPr>
          <w:rFonts w:ascii="Times New Roman" w:hAnsi="Times New Roman" w:cs="Times New Roman"/>
          <w:sz w:val="24"/>
          <w:szCs w:val="24"/>
        </w:rPr>
        <w:t>the long run f</w:t>
      </w:r>
      <w:r w:rsidR="001D4457">
        <w:rPr>
          <w:rFonts w:ascii="Times New Roman" w:hAnsi="Times New Roman" w:cs="Times New Roman"/>
          <w:sz w:val="24"/>
          <w:szCs w:val="24"/>
        </w:rPr>
        <w:t xml:space="preserve">or the EU would be </w:t>
      </w:r>
      <w:r w:rsidR="00AD4440">
        <w:rPr>
          <w:rFonts w:ascii="Times New Roman" w:hAnsi="Times New Roman" w:cs="Times New Roman"/>
          <w:sz w:val="24"/>
          <w:szCs w:val="24"/>
        </w:rPr>
        <w:t>€</w:t>
      </w:r>
      <w:r w:rsidR="002B1035">
        <w:rPr>
          <w:rFonts w:ascii="Times New Roman" w:hAnsi="Times New Roman" w:cs="Times New Roman"/>
          <w:sz w:val="24"/>
          <w:szCs w:val="24"/>
        </w:rPr>
        <w:t xml:space="preserve"> 196</w:t>
      </w:r>
      <w:r w:rsidR="001D4457">
        <w:rPr>
          <w:rFonts w:ascii="Times New Roman" w:hAnsi="Times New Roman" w:cs="Times New Roman"/>
          <w:sz w:val="24"/>
          <w:szCs w:val="24"/>
        </w:rPr>
        <w:t xml:space="preserve"> million </w:t>
      </w:r>
      <w:r w:rsidR="00CA60A9">
        <w:rPr>
          <w:rFonts w:ascii="Times New Roman" w:hAnsi="Times New Roman" w:cs="Times New Roman"/>
          <w:sz w:val="24"/>
          <w:szCs w:val="24"/>
        </w:rPr>
        <w:t xml:space="preserve">in the conservative scenario </w:t>
      </w:r>
      <w:r w:rsidR="001D4457">
        <w:rPr>
          <w:rFonts w:ascii="Times New Roman" w:hAnsi="Times New Roman" w:cs="Times New Roman"/>
          <w:sz w:val="24"/>
          <w:szCs w:val="24"/>
        </w:rPr>
        <w:t xml:space="preserve">and </w:t>
      </w:r>
      <w:r w:rsidR="00AD4440">
        <w:rPr>
          <w:rFonts w:ascii="Times New Roman" w:hAnsi="Times New Roman" w:cs="Times New Roman"/>
          <w:sz w:val="24"/>
          <w:szCs w:val="24"/>
        </w:rPr>
        <w:t>€</w:t>
      </w:r>
      <w:r w:rsidR="001D4457">
        <w:rPr>
          <w:rFonts w:ascii="Times New Roman" w:hAnsi="Times New Roman" w:cs="Times New Roman"/>
          <w:sz w:val="24"/>
          <w:szCs w:val="24"/>
        </w:rPr>
        <w:t xml:space="preserve"> </w:t>
      </w:r>
      <w:r w:rsidR="002B1035">
        <w:rPr>
          <w:rFonts w:ascii="Times New Roman" w:hAnsi="Times New Roman" w:cs="Times New Roman"/>
          <w:sz w:val="24"/>
          <w:szCs w:val="24"/>
        </w:rPr>
        <w:t>391</w:t>
      </w:r>
      <w:r w:rsidR="001D4457">
        <w:rPr>
          <w:rFonts w:ascii="Times New Roman" w:hAnsi="Times New Roman" w:cs="Times New Roman"/>
          <w:sz w:val="24"/>
          <w:szCs w:val="24"/>
        </w:rPr>
        <w:t xml:space="preserve"> million </w:t>
      </w:r>
      <w:r w:rsidR="00CA60A9">
        <w:rPr>
          <w:rFonts w:ascii="Times New Roman" w:hAnsi="Times New Roman" w:cs="Times New Roman"/>
          <w:sz w:val="24"/>
          <w:szCs w:val="24"/>
        </w:rPr>
        <w:t xml:space="preserve">in the </w:t>
      </w:r>
      <w:r w:rsidR="001D4457">
        <w:rPr>
          <w:rFonts w:ascii="Times New Roman" w:hAnsi="Times New Roman" w:cs="Times New Roman"/>
          <w:sz w:val="24"/>
          <w:szCs w:val="24"/>
        </w:rPr>
        <w:t xml:space="preserve">ambitious </w:t>
      </w:r>
      <w:r w:rsidR="00CA60A9">
        <w:rPr>
          <w:rFonts w:ascii="Times New Roman" w:hAnsi="Times New Roman" w:cs="Times New Roman"/>
          <w:sz w:val="24"/>
          <w:szCs w:val="24"/>
        </w:rPr>
        <w:t>one</w:t>
      </w:r>
      <w:r w:rsidR="001D4457">
        <w:rPr>
          <w:rFonts w:ascii="Times New Roman" w:hAnsi="Times New Roman" w:cs="Times New Roman"/>
          <w:sz w:val="24"/>
          <w:szCs w:val="24"/>
        </w:rPr>
        <w:t xml:space="preserve">. Chile would accrue </w:t>
      </w:r>
      <w:r w:rsidR="00B7436C">
        <w:rPr>
          <w:rFonts w:ascii="Times New Roman" w:hAnsi="Times New Roman" w:cs="Times New Roman"/>
          <w:sz w:val="24"/>
          <w:szCs w:val="24"/>
        </w:rPr>
        <w:t xml:space="preserve">real </w:t>
      </w:r>
      <w:r w:rsidR="001D4457">
        <w:rPr>
          <w:rFonts w:ascii="Times New Roman" w:hAnsi="Times New Roman" w:cs="Times New Roman"/>
          <w:sz w:val="24"/>
          <w:szCs w:val="24"/>
        </w:rPr>
        <w:t xml:space="preserve">GDP gains </w:t>
      </w:r>
      <w:r w:rsidR="00B7436C">
        <w:rPr>
          <w:rFonts w:ascii="Times New Roman" w:hAnsi="Times New Roman" w:cs="Times New Roman"/>
          <w:sz w:val="24"/>
          <w:szCs w:val="24"/>
        </w:rPr>
        <w:t>of</w:t>
      </w:r>
      <w:r w:rsidR="001D4457">
        <w:rPr>
          <w:rFonts w:ascii="Times New Roman" w:hAnsi="Times New Roman" w:cs="Times New Roman"/>
          <w:sz w:val="24"/>
          <w:szCs w:val="24"/>
        </w:rPr>
        <w:t xml:space="preserve"> </w:t>
      </w:r>
      <w:r w:rsidR="00AD4440">
        <w:rPr>
          <w:rFonts w:ascii="Times New Roman" w:hAnsi="Times New Roman" w:cs="Times New Roman"/>
          <w:sz w:val="24"/>
          <w:szCs w:val="24"/>
        </w:rPr>
        <w:t>€</w:t>
      </w:r>
      <w:r w:rsidR="009A3089">
        <w:rPr>
          <w:rFonts w:ascii="Times New Roman" w:hAnsi="Times New Roman" w:cs="Times New Roman"/>
          <w:sz w:val="24"/>
          <w:szCs w:val="24"/>
        </w:rPr>
        <w:t xml:space="preserve"> </w:t>
      </w:r>
      <w:r w:rsidR="002B1035">
        <w:rPr>
          <w:rFonts w:ascii="Times New Roman" w:hAnsi="Times New Roman" w:cs="Times New Roman"/>
          <w:sz w:val="24"/>
          <w:szCs w:val="24"/>
        </w:rPr>
        <w:t>304</w:t>
      </w:r>
      <w:r w:rsidR="001D4457">
        <w:rPr>
          <w:rFonts w:ascii="Times New Roman" w:hAnsi="Times New Roman" w:cs="Times New Roman"/>
          <w:sz w:val="24"/>
          <w:szCs w:val="24"/>
        </w:rPr>
        <w:t xml:space="preserve"> million and </w:t>
      </w:r>
      <w:r w:rsidR="00AD4440">
        <w:rPr>
          <w:rFonts w:ascii="Times New Roman" w:hAnsi="Times New Roman" w:cs="Times New Roman"/>
          <w:sz w:val="24"/>
          <w:szCs w:val="24"/>
        </w:rPr>
        <w:t>€</w:t>
      </w:r>
      <w:r w:rsidR="009A3089">
        <w:rPr>
          <w:rFonts w:ascii="Times New Roman" w:hAnsi="Times New Roman" w:cs="Times New Roman"/>
          <w:sz w:val="24"/>
          <w:szCs w:val="24"/>
        </w:rPr>
        <w:t xml:space="preserve"> </w:t>
      </w:r>
      <w:r w:rsidR="002B1035">
        <w:rPr>
          <w:rFonts w:ascii="Times New Roman" w:hAnsi="Times New Roman" w:cs="Times New Roman"/>
          <w:sz w:val="24"/>
          <w:szCs w:val="24"/>
        </w:rPr>
        <w:t>592</w:t>
      </w:r>
      <w:r w:rsidR="001D4457">
        <w:rPr>
          <w:rFonts w:ascii="Times New Roman" w:hAnsi="Times New Roman" w:cs="Times New Roman"/>
          <w:sz w:val="24"/>
          <w:szCs w:val="24"/>
        </w:rPr>
        <w:t xml:space="preserve"> million</w:t>
      </w:r>
      <w:r w:rsidR="009A3089">
        <w:rPr>
          <w:rFonts w:ascii="Times New Roman" w:hAnsi="Times New Roman" w:cs="Times New Roman"/>
          <w:sz w:val="24"/>
          <w:szCs w:val="24"/>
        </w:rPr>
        <w:t xml:space="preserve"> under the respective scenarios.</w:t>
      </w:r>
      <w:r w:rsidR="001D4457">
        <w:rPr>
          <w:rFonts w:ascii="Times New Roman" w:hAnsi="Times New Roman" w:cs="Times New Roman"/>
          <w:sz w:val="24"/>
          <w:szCs w:val="24"/>
        </w:rPr>
        <w:t xml:space="preserve"> </w:t>
      </w:r>
    </w:p>
    <w:p w:rsidR="006F2A79" w:rsidRDefault="00E606E2" w:rsidP="001D4E24">
      <w:pPr>
        <w:snapToGrid w:val="0"/>
        <w:spacing w:after="240" w:line="240" w:lineRule="auto"/>
        <w:jc w:val="both"/>
        <w:rPr>
          <w:rFonts w:ascii="Times New Roman" w:hAnsi="Times New Roman" w:cs="Times New Roman"/>
          <w:sz w:val="24"/>
          <w:szCs w:val="24"/>
        </w:rPr>
      </w:pPr>
      <w:r w:rsidRPr="00E606E2">
        <w:rPr>
          <w:rFonts w:ascii="Times New Roman" w:hAnsi="Times New Roman" w:cs="Times New Roman"/>
          <w:sz w:val="24"/>
          <w:szCs w:val="24"/>
        </w:rPr>
        <w:t xml:space="preserve">Bilaterally, </w:t>
      </w:r>
      <w:r w:rsidR="00B1212C">
        <w:rPr>
          <w:rFonts w:ascii="Times New Roman" w:hAnsi="Times New Roman" w:cs="Times New Roman"/>
          <w:sz w:val="24"/>
          <w:szCs w:val="24"/>
        </w:rPr>
        <w:t xml:space="preserve">EU exports to Chile </w:t>
      </w:r>
      <w:r w:rsidR="008F77F5">
        <w:rPr>
          <w:rFonts w:ascii="Times New Roman" w:hAnsi="Times New Roman" w:cs="Times New Roman"/>
          <w:sz w:val="24"/>
          <w:szCs w:val="24"/>
        </w:rPr>
        <w:t xml:space="preserve">would </w:t>
      </w:r>
      <w:r w:rsidR="00B1212C">
        <w:rPr>
          <w:rFonts w:ascii="Times New Roman" w:hAnsi="Times New Roman" w:cs="Times New Roman"/>
          <w:sz w:val="24"/>
          <w:szCs w:val="24"/>
        </w:rPr>
        <w:t xml:space="preserve">increase more than EU imports from Chile. EU exports grow at </w:t>
      </w:r>
      <w:r w:rsidR="00263847">
        <w:rPr>
          <w:rFonts w:ascii="Times New Roman" w:hAnsi="Times New Roman" w:cs="Times New Roman"/>
          <w:sz w:val="24"/>
          <w:szCs w:val="24"/>
        </w:rPr>
        <w:t>9.91</w:t>
      </w:r>
      <w:r w:rsidR="00B1212C">
        <w:rPr>
          <w:rFonts w:ascii="Times New Roman" w:hAnsi="Times New Roman" w:cs="Times New Roman"/>
          <w:sz w:val="24"/>
          <w:szCs w:val="24"/>
        </w:rPr>
        <w:t>% and 21</w:t>
      </w:r>
      <w:r w:rsidR="00263847">
        <w:rPr>
          <w:rFonts w:ascii="Times New Roman" w:hAnsi="Times New Roman" w:cs="Times New Roman"/>
          <w:sz w:val="24"/>
          <w:szCs w:val="24"/>
        </w:rPr>
        <w:t>.46</w:t>
      </w:r>
      <w:r w:rsidR="00B1212C">
        <w:rPr>
          <w:rFonts w:ascii="Times New Roman" w:hAnsi="Times New Roman" w:cs="Times New Roman"/>
          <w:sz w:val="24"/>
          <w:szCs w:val="24"/>
        </w:rPr>
        <w:t xml:space="preserve">% respectively, in the conservative and </w:t>
      </w:r>
      <w:r w:rsidR="00046D21">
        <w:rPr>
          <w:rFonts w:ascii="Times New Roman" w:hAnsi="Times New Roman" w:cs="Times New Roman"/>
          <w:sz w:val="24"/>
          <w:szCs w:val="24"/>
        </w:rPr>
        <w:t>ambitious</w:t>
      </w:r>
      <w:r w:rsidR="00B1212C">
        <w:rPr>
          <w:rFonts w:ascii="Times New Roman" w:hAnsi="Times New Roman" w:cs="Times New Roman"/>
          <w:sz w:val="24"/>
          <w:szCs w:val="24"/>
        </w:rPr>
        <w:t xml:space="preserve"> scenarios. Chile's exports to the EU, on the other hand, </w:t>
      </w:r>
      <w:r w:rsidR="008F77F5">
        <w:rPr>
          <w:rFonts w:ascii="Times New Roman" w:hAnsi="Times New Roman" w:cs="Times New Roman"/>
          <w:sz w:val="24"/>
          <w:szCs w:val="24"/>
        </w:rPr>
        <w:t xml:space="preserve">would </w:t>
      </w:r>
      <w:r w:rsidR="00263847">
        <w:rPr>
          <w:rFonts w:ascii="Times New Roman" w:hAnsi="Times New Roman" w:cs="Times New Roman"/>
          <w:sz w:val="24"/>
          <w:szCs w:val="24"/>
        </w:rPr>
        <w:t>increase just 0.72%</w:t>
      </w:r>
      <w:r w:rsidR="00B1212C">
        <w:rPr>
          <w:rFonts w:ascii="Times New Roman" w:hAnsi="Times New Roman" w:cs="Times New Roman"/>
          <w:sz w:val="24"/>
          <w:szCs w:val="24"/>
        </w:rPr>
        <w:t xml:space="preserve"> in the conservative scenario, and 1</w:t>
      </w:r>
      <w:r w:rsidR="00263847">
        <w:rPr>
          <w:rFonts w:ascii="Times New Roman" w:hAnsi="Times New Roman" w:cs="Times New Roman"/>
          <w:sz w:val="24"/>
          <w:szCs w:val="24"/>
        </w:rPr>
        <w:t>.60</w:t>
      </w:r>
      <w:r w:rsidR="00B1212C">
        <w:rPr>
          <w:rFonts w:ascii="Times New Roman" w:hAnsi="Times New Roman" w:cs="Times New Roman"/>
          <w:sz w:val="24"/>
          <w:szCs w:val="24"/>
        </w:rPr>
        <w:t xml:space="preserve">% in the ambitious scenario. </w:t>
      </w:r>
    </w:p>
    <w:p w:rsidR="006F2A79" w:rsidRPr="00E97BBF" w:rsidRDefault="006F2A79" w:rsidP="006F2A79">
      <w:pPr>
        <w:snapToGrid w:val="0"/>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Because of the dynamic baseline described above, th</w:t>
      </w:r>
      <w:r w:rsidR="00606C6C">
        <w:rPr>
          <w:rFonts w:ascii="Times New Roman" w:hAnsi="Times New Roman" w:cs="Times New Roman"/>
          <w:sz w:val="24"/>
          <w:szCs w:val="24"/>
        </w:rPr>
        <w:t>e</w:t>
      </w:r>
      <w:r>
        <w:rPr>
          <w:rFonts w:ascii="Times New Roman" w:hAnsi="Times New Roman" w:cs="Times New Roman"/>
          <w:sz w:val="24"/>
          <w:szCs w:val="24"/>
        </w:rPr>
        <w:t xml:space="preserve"> expected increase in bilateral trade under policy options C1 and C2 </w:t>
      </w:r>
      <w:r w:rsidR="000F76F0">
        <w:rPr>
          <w:rFonts w:ascii="Times New Roman" w:hAnsi="Times New Roman" w:cs="Times New Roman"/>
          <w:sz w:val="24"/>
          <w:szCs w:val="24"/>
        </w:rPr>
        <w:t>can be considered an</w:t>
      </w:r>
      <w:r>
        <w:rPr>
          <w:rFonts w:ascii="Times New Roman" w:hAnsi="Times New Roman" w:cs="Times New Roman"/>
          <w:sz w:val="24"/>
          <w:szCs w:val="24"/>
        </w:rPr>
        <w:t xml:space="preserve"> </w:t>
      </w:r>
      <w:r w:rsidRPr="00E851A2">
        <w:rPr>
          <w:rFonts w:ascii="Times New Roman" w:hAnsi="Times New Roman" w:cs="Times New Roman"/>
          <w:b/>
          <w:sz w:val="24"/>
          <w:szCs w:val="24"/>
        </w:rPr>
        <w:t>estimate</w:t>
      </w:r>
      <w:r w:rsidR="000F76F0">
        <w:rPr>
          <w:rFonts w:ascii="Times New Roman" w:hAnsi="Times New Roman" w:cs="Times New Roman"/>
          <w:b/>
          <w:sz w:val="24"/>
          <w:szCs w:val="24"/>
        </w:rPr>
        <w:t xml:space="preserve"> of the </w:t>
      </w:r>
      <w:r w:rsidRPr="00E851A2">
        <w:rPr>
          <w:rFonts w:ascii="Times New Roman" w:hAnsi="Times New Roman" w:cs="Times New Roman"/>
          <w:b/>
          <w:sz w:val="24"/>
          <w:szCs w:val="24"/>
        </w:rPr>
        <w:t>untapped trade potential</w:t>
      </w:r>
      <w:r>
        <w:rPr>
          <w:rFonts w:ascii="Times New Roman" w:hAnsi="Times New Roman" w:cs="Times New Roman"/>
          <w:sz w:val="24"/>
          <w:szCs w:val="24"/>
        </w:rPr>
        <w:t xml:space="preserve">. </w:t>
      </w:r>
      <w:r w:rsidR="002B5D86">
        <w:rPr>
          <w:rFonts w:ascii="Times New Roman" w:hAnsi="Times New Roman" w:cs="Times New Roman"/>
          <w:sz w:val="24"/>
          <w:szCs w:val="24"/>
        </w:rPr>
        <w:t xml:space="preserve">Table 3 in Annex 4 </w:t>
      </w:r>
      <w:r w:rsidR="00B1413F">
        <w:rPr>
          <w:rFonts w:ascii="Times New Roman" w:hAnsi="Times New Roman" w:cs="Times New Roman"/>
          <w:sz w:val="24"/>
          <w:szCs w:val="24"/>
        </w:rPr>
        <w:t>(</w:t>
      </w:r>
      <w:r w:rsidR="00EF7091">
        <w:rPr>
          <w:rFonts w:ascii="Times New Roman" w:hAnsi="Times New Roman" w:cs="Times New Roman"/>
          <w:sz w:val="24"/>
          <w:szCs w:val="24"/>
        </w:rPr>
        <w:t>'E</w:t>
      </w:r>
      <w:r w:rsidR="002B5D86">
        <w:rPr>
          <w:rFonts w:ascii="Times New Roman" w:hAnsi="Times New Roman" w:cs="Times New Roman"/>
          <w:sz w:val="24"/>
          <w:szCs w:val="24"/>
        </w:rPr>
        <w:t>xpected increase in EU exports of goods and services by sector under policy options C1 and C2</w:t>
      </w:r>
      <w:r w:rsidR="00EF7091">
        <w:rPr>
          <w:rFonts w:ascii="Times New Roman" w:hAnsi="Times New Roman" w:cs="Times New Roman"/>
          <w:sz w:val="24"/>
          <w:szCs w:val="24"/>
        </w:rPr>
        <w:t>'</w:t>
      </w:r>
      <w:r w:rsidR="00B1413F">
        <w:rPr>
          <w:rFonts w:ascii="Times New Roman" w:hAnsi="Times New Roman" w:cs="Times New Roman"/>
          <w:sz w:val="24"/>
          <w:szCs w:val="24"/>
        </w:rPr>
        <w:t>)</w:t>
      </w:r>
      <w:r w:rsidR="002B5D86">
        <w:rPr>
          <w:rFonts w:ascii="Times New Roman" w:hAnsi="Times New Roman" w:cs="Times New Roman"/>
          <w:sz w:val="24"/>
          <w:szCs w:val="24"/>
        </w:rPr>
        <w:t xml:space="preserve"> outlines the estimated untapped potential in the different goods and services sectors. Quantitative estimates on investment and public procurement are not available due to lack of </w:t>
      </w:r>
      <w:r w:rsidR="00B32324">
        <w:rPr>
          <w:rFonts w:ascii="Times New Roman" w:hAnsi="Times New Roman" w:cs="Times New Roman"/>
          <w:sz w:val="24"/>
          <w:szCs w:val="24"/>
        </w:rPr>
        <w:t xml:space="preserve">sufficiently </w:t>
      </w:r>
      <w:r w:rsidR="002B5D86">
        <w:rPr>
          <w:rFonts w:ascii="Times New Roman" w:hAnsi="Times New Roman" w:cs="Times New Roman"/>
          <w:sz w:val="24"/>
          <w:szCs w:val="24"/>
        </w:rPr>
        <w:t xml:space="preserve">robust methodologies. However, the qualitative analyses </w:t>
      </w:r>
      <w:r w:rsidR="00B1413F">
        <w:rPr>
          <w:rFonts w:ascii="Times New Roman" w:hAnsi="Times New Roman" w:cs="Times New Roman"/>
          <w:sz w:val="24"/>
          <w:szCs w:val="24"/>
        </w:rPr>
        <w:t xml:space="preserve">included in the external study (Annex 5), and the </w:t>
      </w:r>
      <w:r w:rsidR="002B5D86">
        <w:rPr>
          <w:rFonts w:ascii="Times New Roman" w:hAnsi="Times New Roman" w:cs="Times New Roman"/>
          <w:sz w:val="24"/>
          <w:szCs w:val="24"/>
        </w:rPr>
        <w:t xml:space="preserve">concrete barriers set out </w:t>
      </w:r>
      <w:r w:rsidR="00B1413F">
        <w:rPr>
          <w:rFonts w:ascii="Times New Roman" w:hAnsi="Times New Roman" w:cs="Times New Roman"/>
          <w:sz w:val="24"/>
          <w:szCs w:val="24"/>
        </w:rPr>
        <w:t xml:space="preserve">in section 1.2 provide a good approximation to the untapped potential in these areas.  </w:t>
      </w:r>
      <w:r w:rsidR="002B5D86">
        <w:rPr>
          <w:rFonts w:ascii="Times New Roman" w:hAnsi="Times New Roman" w:cs="Times New Roman"/>
          <w:sz w:val="24"/>
          <w:szCs w:val="24"/>
        </w:rPr>
        <w:t xml:space="preserve">  </w:t>
      </w:r>
    </w:p>
    <w:p w:rsidR="00F938F4" w:rsidRDefault="006F2A79" w:rsidP="00E851A2">
      <w:pPr>
        <w:snapToGrid w:val="0"/>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212C">
        <w:rPr>
          <w:rFonts w:ascii="Times New Roman" w:hAnsi="Times New Roman" w:cs="Times New Roman"/>
          <w:sz w:val="24"/>
          <w:szCs w:val="24"/>
        </w:rPr>
        <w:t>unusually small increase in EU imports from Chile may be partly explained by the assumption that NTB reductions are asymmetric (only Chile reduces NTBs</w:t>
      </w:r>
      <w:r w:rsidR="00263847" w:rsidRPr="00263847">
        <w:rPr>
          <w:rFonts w:ascii="Times New Roman" w:hAnsi="Times New Roman" w:cs="Times New Roman"/>
          <w:sz w:val="24"/>
          <w:szCs w:val="24"/>
        </w:rPr>
        <w:t xml:space="preserve"> </w:t>
      </w:r>
      <w:r w:rsidR="00263847">
        <w:rPr>
          <w:rFonts w:ascii="Times New Roman" w:hAnsi="Times New Roman" w:cs="Times New Roman"/>
          <w:sz w:val="24"/>
          <w:szCs w:val="24"/>
        </w:rPr>
        <w:t>on non-agricultural goods</w:t>
      </w:r>
      <w:r w:rsidR="00B1212C">
        <w:rPr>
          <w:rFonts w:ascii="Times New Roman" w:hAnsi="Times New Roman" w:cs="Times New Roman"/>
          <w:sz w:val="24"/>
          <w:szCs w:val="24"/>
        </w:rPr>
        <w:t xml:space="preserve">). In the longer run, however, one could also consider a reduction in </w:t>
      </w:r>
      <w:r w:rsidR="001D5AF8">
        <w:rPr>
          <w:rFonts w:ascii="Times New Roman" w:hAnsi="Times New Roman" w:cs="Times New Roman"/>
          <w:sz w:val="24"/>
          <w:szCs w:val="24"/>
        </w:rPr>
        <w:t xml:space="preserve">the </w:t>
      </w:r>
      <w:r w:rsidR="00B1212C">
        <w:rPr>
          <w:rFonts w:ascii="Times New Roman" w:hAnsi="Times New Roman" w:cs="Times New Roman"/>
          <w:sz w:val="24"/>
          <w:szCs w:val="24"/>
        </w:rPr>
        <w:t xml:space="preserve">EU NTBs faced by Chilean importers, if they start adopting EU standards and technical specifications. </w:t>
      </w:r>
    </w:p>
    <w:p w:rsidR="00F938F4" w:rsidRDefault="00F938F4" w:rsidP="001D4E24">
      <w:pPr>
        <w:snapToGri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It should also be </w:t>
      </w:r>
      <w:r w:rsidR="008C0C93">
        <w:rPr>
          <w:rFonts w:ascii="Times New Roman" w:hAnsi="Times New Roman" w:cs="Times New Roman"/>
          <w:sz w:val="24"/>
          <w:szCs w:val="24"/>
        </w:rPr>
        <w:t>noted</w:t>
      </w:r>
      <w:r>
        <w:rPr>
          <w:rFonts w:ascii="Times New Roman" w:hAnsi="Times New Roman" w:cs="Times New Roman"/>
          <w:sz w:val="24"/>
          <w:szCs w:val="24"/>
        </w:rPr>
        <w:t xml:space="preserve"> that Chile's total exports (as opposed to bilateral exports) increase by 0.</w:t>
      </w:r>
      <w:r w:rsidR="00263847">
        <w:rPr>
          <w:rFonts w:ascii="Times New Roman" w:hAnsi="Times New Roman" w:cs="Times New Roman"/>
          <w:sz w:val="24"/>
          <w:szCs w:val="24"/>
        </w:rPr>
        <w:t>15</w:t>
      </w:r>
      <w:r>
        <w:rPr>
          <w:rFonts w:ascii="Times New Roman" w:hAnsi="Times New Roman" w:cs="Times New Roman"/>
          <w:sz w:val="24"/>
          <w:szCs w:val="24"/>
        </w:rPr>
        <w:t>% in the conservative scenario and by 0.</w:t>
      </w:r>
      <w:r w:rsidR="00263847">
        <w:rPr>
          <w:rFonts w:ascii="Times New Roman" w:hAnsi="Times New Roman" w:cs="Times New Roman"/>
          <w:sz w:val="24"/>
          <w:szCs w:val="24"/>
        </w:rPr>
        <w:t>21</w:t>
      </w:r>
      <w:r>
        <w:rPr>
          <w:rFonts w:ascii="Times New Roman" w:hAnsi="Times New Roman" w:cs="Times New Roman"/>
          <w:sz w:val="24"/>
          <w:szCs w:val="24"/>
        </w:rPr>
        <w:t xml:space="preserve">% in the </w:t>
      </w:r>
      <w:r w:rsidR="00046D21">
        <w:rPr>
          <w:rFonts w:ascii="Times New Roman" w:hAnsi="Times New Roman" w:cs="Times New Roman"/>
          <w:sz w:val="24"/>
          <w:szCs w:val="24"/>
        </w:rPr>
        <w:t>ambitious</w:t>
      </w:r>
      <w:r>
        <w:rPr>
          <w:rFonts w:ascii="Times New Roman" w:hAnsi="Times New Roman" w:cs="Times New Roman"/>
          <w:sz w:val="24"/>
          <w:szCs w:val="24"/>
        </w:rPr>
        <w:t xml:space="preserve"> scenario, whereas EU total exports increase by merely 0.01% and 0.02% respectively, which is to</w:t>
      </w:r>
      <w:r w:rsidR="001D5AF8">
        <w:rPr>
          <w:rFonts w:ascii="Times New Roman" w:hAnsi="Times New Roman" w:cs="Times New Roman"/>
          <w:sz w:val="24"/>
          <w:szCs w:val="24"/>
        </w:rPr>
        <w:t xml:space="preserve"> be expected given the difference</w:t>
      </w:r>
      <w:r>
        <w:rPr>
          <w:rFonts w:ascii="Times New Roman" w:hAnsi="Times New Roman" w:cs="Times New Roman"/>
          <w:sz w:val="24"/>
          <w:szCs w:val="24"/>
        </w:rPr>
        <w:t xml:space="preserve"> in size between the </w:t>
      </w:r>
      <w:r w:rsidR="001D5AF8">
        <w:rPr>
          <w:rFonts w:ascii="Times New Roman" w:hAnsi="Times New Roman" w:cs="Times New Roman"/>
          <w:sz w:val="24"/>
          <w:szCs w:val="24"/>
        </w:rPr>
        <w:t xml:space="preserve">economies of the </w:t>
      </w:r>
      <w:r>
        <w:rPr>
          <w:rFonts w:ascii="Times New Roman" w:hAnsi="Times New Roman" w:cs="Times New Roman"/>
          <w:sz w:val="24"/>
          <w:szCs w:val="24"/>
        </w:rPr>
        <w:t>EU and Chile.</w:t>
      </w:r>
    </w:p>
    <w:p w:rsidR="00E606E2" w:rsidRPr="00816E53" w:rsidRDefault="00816E53" w:rsidP="001D4E24">
      <w:pPr>
        <w:keepNext/>
        <w:spacing w:before="240" w:after="0" w:line="240" w:lineRule="auto"/>
        <w:jc w:val="both"/>
        <w:rPr>
          <w:rFonts w:ascii="Times New Roman" w:eastAsia="Times New Roman" w:hAnsi="Times New Roman" w:cs="Times New Roman"/>
          <w:b/>
          <w:bCs/>
          <w:color w:val="000000"/>
          <w:lang w:eastAsia="en-GB"/>
        </w:rPr>
      </w:pPr>
      <w:r w:rsidRPr="00816E53">
        <w:rPr>
          <w:rFonts w:ascii="Times New Roman" w:eastAsia="Times New Roman" w:hAnsi="Times New Roman" w:cs="Times New Roman"/>
          <w:b/>
          <w:lang w:eastAsia="en-CA"/>
        </w:rPr>
        <w:t xml:space="preserve">Table - </w:t>
      </w:r>
      <w:r>
        <w:rPr>
          <w:rFonts w:ascii="Times New Roman" w:eastAsia="Times New Roman" w:hAnsi="Times New Roman" w:cs="Times New Roman"/>
          <w:b/>
          <w:lang w:eastAsia="en-CA"/>
        </w:rPr>
        <w:t>Estimated</w:t>
      </w:r>
      <w:r w:rsidR="00E606E2" w:rsidRPr="00816E53">
        <w:rPr>
          <w:rFonts w:ascii="Times New Roman" w:eastAsia="Times New Roman" w:hAnsi="Times New Roman" w:cs="Times New Roman"/>
          <w:b/>
          <w:lang w:eastAsia="en-CA"/>
        </w:rPr>
        <w:t xml:space="preserve"> impact </w:t>
      </w:r>
      <w:r w:rsidR="001D4457" w:rsidRPr="00816E53">
        <w:rPr>
          <w:rFonts w:ascii="Times New Roman" w:eastAsia="Times New Roman" w:hAnsi="Times New Roman" w:cs="Times New Roman"/>
          <w:b/>
          <w:lang w:eastAsia="en-CA"/>
        </w:rPr>
        <w:t>on</w:t>
      </w:r>
      <w:r w:rsidR="00E606E2" w:rsidRPr="00816E53">
        <w:rPr>
          <w:rFonts w:ascii="Times New Roman" w:eastAsia="Times New Roman" w:hAnsi="Times New Roman" w:cs="Times New Roman"/>
          <w:b/>
          <w:lang w:eastAsia="en-CA"/>
        </w:rPr>
        <w:t xml:space="preserve"> </w:t>
      </w:r>
      <w:r w:rsidR="00E606E2" w:rsidRPr="00816E53">
        <w:rPr>
          <w:rFonts w:ascii="Times New Roman" w:eastAsia="Times New Roman" w:hAnsi="Times New Roman" w:cs="Times New Roman"/>
          <w:b/>
          <w:bCs/>
          <w:color w:val="000000"/>
          <w:lang w:eastAsia="en-GB"/>
        </w:rPr>
        <w:t>GDP</w:t>
      </w:r>
      <w:r w:rsidRPr="00816E53">
        <w:rPr>
          <w:rFonts w:ascii="Times New Roman" w:eastAsia="Times New Roman" w:hAnsi="Times New Roman" w:cs="Times New Roman"/>
          <w:b/>
          <w:bCs/>
          <w:color w:val="000000"/>
          <w:lang w:eastAsia="en-GB"/>
        </w:rPr>
        <w:t xml:space="preserve"> and </w:t>
      </w:r>
      <w:r w:rsidR="00E606E2" w:rsidRPr="00816E53">
        <w:rPr>
          <w:rFonts w:ascii="Times New Roman" w:eastAsia="Times New Roman" w:hAnsi="Times New Roman" w:cs="Times New Roman"/>
          <w:b/>
          <w:bCs/>
          <w:color w:val="000000"/>
          <w:lang w:eastAsia="en-GB"/>
        </w:rPr>
        <w:t xml:space="preserve">bilateral exports </w:t>
      </w:r>
      <w:r w:rsidR="001D4457" w:rsidRPr="00816E53">
        <w:rPr>
          <w:rFonts w:ascii="Times New Roman" w:eastAsia="Times New Roman" w:hAnsi="Times New Roman" w:cs="Times New Roman"/>
          <w:b/>
          <w:bCs/>
          <w:color w:val="000000"/>
          <w:lang w:eastAsia="en-GB"/>
        </w:rPr>
        <w:t>(</w:t>
      </w:r>
      <w:r w:rsidR="009E3EA3">
        <w:rPr>
          <w:rFonts w:ascii="Times New Roman" w:eastAsia="Times New Roman" w:hAnsi="Times New Roman" w:cs="Times New Roman"/>
          <w:b/>
          <w:bCs/>
          <w:color w:val="000000"/>
          <w:lang w:eastAsia="en-GB"/>
        </w:rPr>
        <w:t>long term</w:t>
      </w:r>
      <w:r w:rsidR="001D4457" w:rsidRPr="00816E53">
        <w:rPr>
          <w:rFonts w:ascii="Times New Roman" w:eastAsia="Times New Roman" w:hAnsi="Times New Roman" w:cs="Times New Roman"/>
          <w:b/>
          <w:bCs/>
          <w:color w:val="000000"/>
          <w:lang w:eastAsia="en-GB"/>
        </w:rPr>
        <w:t>)</w:t>
      </w:r>
    </w:p>
    <w:p w:rsidR="00E606E2" w:rsidRPr="00816E53" w:rsidRDefault="00E606E2" w:rsidP="00E606E2">
      <w:pPr>
        <w:keepNext/>
        <w:spacing w:after="0" w:line="240" w:lineRule="auto"/>
        <w:jc w:val="both"/>
        <w:rPr>
          <w:rFonts w:ascii="Times New Roman" w:eastAsia="Times New Roman" w:hAnsi="Times New Roman" w:cs="Times New Roman"/>
        </w:rPr>
      </w:pPr>
    </w:p>
    <w:tbl>
      <w:tblPr>
        <w:tblW w:w="4185" w:type="pct"/>
        <w:tblInd w:w="108" w:type="dxa"/>
        <w:tblLook w:val="04A0" w:firstRow="1" w:lastRow="0" w:firstColumn="1" w:lastColumn="0" w:noHBand="0" w:noVBand="1"/>
      </w:tblPr>
      <w:tblGrid>
        <w:gridCol w:w="2552"/>
        <w:gridCol w:w="3080"/>
        <w:gridCol w:w="757"/>
        <w:gridCol w:w="1385"/>
      </w:tblGrid>
      <w:tr w:rsidR="00AD31B6" w:rsidRPr="00816E53" w:rsidTr="00816E53">
        <w:trPr>
          <w:trHeight w:val="305"/>
        </w:trPr>
        <w:tc>
          <w:tcPr>
            <w:tcW w:w="1641" w:type="pct"/>
            <w:tcBorders>
              <w:top w:val="single" w:sz="4" w:space="0" w:color="auto"/>
              <w:left w:val="single" w:sz="4" w:space="0" w:color="auto"/>
              <w:bottom w:val="nil"/>
              <w:right w:val="nil"/>
            </w:tcBorders>
            <w:hideMark/>
          </w:tcPr>
          <w:p w:rsidR="00AD31B6" w:rsidRPr="00816E53" w:rsidRDefault="00AD31B6" w:rsidP="00E606E2">
            <w:pPr>
              <w:autoSpaceDE w:val="0"/>
              <w:autoSpaceDN w:val="0"/>
              <w:adjustRightInd w:val="0"/>
              <w:spacing w:before="40" w:after="40" w:line="240" w:lineRule="auto"/>
              <w:rPr>
                <w:rFonts w:ascii="Times New Roman" w:eastAsia="Times New Roman" w:hAnsi="Times New Roman" w:cs="Times New Roman"/>
                <w:b/>
                <w:color w:val="000000"/>
                <w:lang w:eastAsia="en-GB"/>
              </w:rPr>
            </w:pPr>
            <w:r w:rsidRPr="00816E53">
              <w:rPr>
                <w:rFonts w:ascii="Times New Roman" w:eastAsia="Times New Roman" w:hAnsi="Times New Roman" w:cs="Times New Roman"/>
                <w:b/>
                <w:color w:val="000000"/>
                <w:lang w:eastAsia="en-GB"/>
              </w:rPr>
              <w:t>Variable</w:t>
            </w:r>
          </w:p>
        </w:tc>
        <w:tc>
          <w:tcPr>
            <w:tcW w:w="1981" w:type="pct"/>
            <w:tcBorders>
              <w:top w:val="single" w:sz="4" w:space="0" w:color="auto"/>
              <w:left w:val="nil"/>
              <w:bottom w:val="single" w:sz="6" w:space="0" w:color="auto"/>
              <w:right w:val="nil"/>
            </w:tcBorders>
            <w:hideMark/>
          </w:tcPr>
          <w:p w:rsidR="00AD31B6" w:rsidRPr="00816E53" w:rsidRDefault="00AD31B6" w:rsidP="00E606E2">
            <w:pPr>
              <w:autoSpaceDE w:val="0"/>
              <w:autoSpaceDN w:val="0"/>
              <w:adjustRightInd w:val="0"/>
              <w:spacing w:before="40" w:after="40" w:line="240" w:lineRule="auto"/>
              <w:rPr>
                <w:rFonts w:ascii="Times New Roman" w:eastAsia="Times New Roman" w:hAnsi="Times New Roman" w:cs="Times New Roman"/>
                <w:color w:val="000000"/>
                <w:lang w:eastAsia="en-GB"/>
              </w:rPr>
            </w:pPr>
            <w:r w:rsidRPr="00816E53">
              <w:rPr>
                <w:rFonts w:ascii="Times New Roman" w:eastAsia="Times New Roman" w:hAnsi="Times New Roman" w:cs="Times New Roman"/>
                <w:b/>
                <w:color w:val="000000"/>
                <w:lang w:eastAsia="en-GB"/>
              </w:rPr>
              <w:t>Scenario</w:t>
            </w:r>
          </w:p>
        </w:tc>
        <w:tc>
          <w:tcPr>
            <w:tcW w:w="487" w:type="pct"/>
            <w:tcBorders>
              <w:top w:val="single" w:sz="4" w:space="0" w:color="auto"/>
              <w:left w:val="nil"/>
              <w:bottom w:val="single" w:sz="6" w:space="0" w:color="auto"/>
              <w:right w:val="nil"/>
            </w:tcBorders>
            <w:hideMark/>
          </w:tcPr>
          <w:p w:rsidR="00AD31B6" w:rsidRPr="00816E53" w:rsidRDefault="00AD31B6" w:rsidP="00E606E2">
            <w:pPr>
              <w:autoSpaceDE w:val="0"/>
              <w:autoSpaceDN w:val="0"/>
              <w:adjustRightInd w:val="0"/>
              <w:spacing w:before="40" w:after="40" w:line="240" w:lineRule="auto"/>
              <w:jc w:val="center"/>
              <w:rPr>
                <w:rFonts w:ascii="Times New Roman" w:eastAsia="Times New Roman" w:hAnsi="Times New Roman" w:cs="Times New Roman"/>
                <w:b/>
                <w:bCs/>
                <w:color w:val="000000"/>
                <w:lang w:eastAsia="en-GB"/>
              </w:rPr>
            </w:pPr>
            <w:r w:rsidRPr="00816E53">
              <w:rPr>
                <w:rFonts w:ascii="Times New Roman" w:eastAsia="Times New Roman" w:hAnsi="Times New Roman" w:cs="Times New Roman"/>
                <w:b/>
                <w:bCs/>
                <w:color w:val="000000"/>
                <w:lang w:eastAsia="en-GB"/>
              </w:rPr>
              <w:t>EU</w:t>
            </w:r>
          </w:p>
        </w:tc>
        <w:tc>
          <w:tcPr>
            <w:tcW w:w="891" w:type="pct"/>
            <w:tcBorders>
              <w:top w:val="single" w:sz="4" w:space="0" w:color="auto"/>
              <w:left w:val="nil"/>
              <w:bottom w:val="single" w:sz="6" w:space="0" w:color="auto"/>
              <w:right w:val="single" w:sz="4" w:space="0" w:color="auto"/>
            </w:tcBorders>
            <w:hideMark/>
          </w:tcPr>
          <w:p w:rsidR="00AD31B6" w:rsidRPr="00816E53" w:rsidRDefault="00AD31B6" w:rsidP="00AD31B6">
            <w:pPr>
              <w:autoSpaceDE w:val="0"/>
              <w:autoSpaceDN w:val="0"/>
              <w:adjustRightInd w:val="0"/>
              <w:spacing w:before="40" w:after="40" w:line="240" w:lineRule="auto"/>
              <w:ind w:left="73" w:hanging="73"/>
              <w:jc w:val="center"/>
              <w:rPr>
                <w:rFonts w:ascii="Times New Roman" w:eastAsia="Times New Roman" w:hAnsi="Times New Roman" w:cs="Times New Roman"/>
                <w:b/>
                <w:bCs/>
                <w:color w:val="000000"/>
                <w:lang w:eastAsia="en-GB"/>
              </w:rPr>
            </w:pPr>
            <w:r w:rsidRPr="00816E53">
              <w:rPr>
                <w:rFonts w:ascii="Times New Roman" w:eastAsia="Times New Roman" w:hAnsi="Times New Roman" w:cs="Times New Roman"/>
                <w:b/>
                <w:bCs/>
                <w:color w:val="000000"/>
                <w:lang w:eastAsia="en-GB"/>
              </w:rPr>
              <w:t>Chile</w:t>
            </w:r>
          </w:p>
        </w:tc>
      </w:tr>
      <w:tr w:rsidR="00CA60A9" w:rsidRPr="00816E53" w:rsidTr="00FB752F">
        <w:trPr>
          <w:trHeight w:val="290"/>
        </w:trPr>
        <w:tc>
          <w:tcPr>
            <w:tcW w:w="1641" w:type="pct"/>
            <w:vMerge w:val="restart"/>
            <w:tcBorders>
              <w:top w:val="single" w:sz="6" w:space="0" w:color="auto"/>
              <w:left w:val="single" w:sz="4" w:space="0" w:color="auto"/>
              <w:bottom w:val="nil"/>
              <w:right w:val="nil"/>
            </w:tcBorders>
            <w:vAlign w:val="center"/>
            <w:hideMark/>
          </w:tcPr>
          <w:p w:rsidR="00CA60A9" w:rsidRPr="00816E53" w:rsidRDefault="00CA60A9" w:rsidP="00FB752F">
            <w:pPr>
              <w:autoSpaceDE w:val="0"/>
              <w:autoSpaceDN w:val="0"/>
              <w:adjustRightInd w:val="0"/>
              <w:spacing w:before="40" w:after="40" w:line="240" w:lineRule="auto"/>
              <w:rPr>
                <w:rFonts w:ascii="Times New Roman" w:eastAsia="Times New Roman" w:hAnsi="Times New Roman" w:cs="Times New Roman"/>
                <w:b/>
                <w:color w:val="000000"/>
                <w:lang w:eastAsia="en-GB"/>
              </w:rPr>
            </w:pPr>
            <w:r w:rsidRPr="00816E53">
              <w:rPr>
                <w:rFonts w:ascii="Times New Roman" w:eastAsia="Times New Roman" w:hAnsi="Times New Roman" w:cs="Times New Roman"/>
                <w:b/>
                <w:color w:val="000000"/>
                <w:lang w:eastAsia="en-GB"/>
              </w:rPr>
              <w:t xml:space="preserve">Real GDP </w:t>
            </w:r>
            <w:r w:rsidRPr="00816E53">
              <w:rPr>
                <w:rFonts w:ascii="Times New Roman" w:eastAsia="Times New Roman" w:hAnsi="Times New Roman" w:cs="Times New Roman"/>
                <w:b/>
                <w:color w:val="000000"/>
                <w:lang w:eastAsia="en-GB"/>
              </w:rPr>
              <w:br/>
            </w:r>
            <w:r w:rsidRPr="00816E53">
              <w:rPr>
                <w:rFonts w:ascii="Times New Roman" w:eastAsia="Times New Roman" w:hAnsi="Times New Roman" w:cs="Times New Roman"/>
                <w:color w:val="000000"/>
                <w:lang w:eastAsia="en-GB"/>
              </w:rPr>
              <w:t>(% change)</w:t>
            </w:r>
          </w:p>
        </w:tc>
        <w:tc>
          <w:tcPr>
            <w:tcW w:w="1981" w:type="pct"/>
            <w:tcBorders>
              <w:top w:val="single" w:sz="6" w:space="0" w:color="auto"/>
              <w:left w:val="nil"/>
              <w:bottom w:val="nil"/>
              <w:right w:val="nil"/>
            </w:tcBorders>
            <w:hideMark/>
          </w:tcPr>
          <w:p w:rsidR="00CA60A9" w:rsidRPr="00816E53" w:rsidRDefault="00CA60A9" w:rsidP="00FB752F">
            <w:pPr>
              <w:autoSpaceDE w:val="0"/>
              <w:autoSpaceDN w:val="0"/>
              <w:adjustRightInd w:val="0"/>
              <w:spacing w:before="40" w:after="40" w:line="240" w:lineRule="auto"/>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Conservative</w:t>
            </w:r>
          </w:p>
        </w:tc>
        <w:tc>
          <w:tcPr>
            <w:tcW w:w="487" w:type="pct"/>
            <w:tcBorders>
              <w:top w:val="single" w:sz="6" w:space="0" w:color="auto"/>
              <w:left w:val="nil"/>
              <w:bottom w:val="nil"/>
              <w:right w:val="nil"/>
            </w:tcBorders>
            <w:hideMark/>
          </w:tcPr>
          <w:p w:rsidR="00CA60A9" w:rsidRPr="00816E53" w:rsidRDefault="00CA60A9" w:rsidP="00FB752F">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0.001</w:t>
            </w:r>
          </w:p>
        </w:tc>
        <w:tc>
          <w:tcPr>
            <w:tcW w:w="891" w:type="pct"/>
            <w:tcBorders>
              <w:top w:val="single" w:sz="6" w:space="0" w:color="auto"/>
              <w:left w:val="nil"/>
              <w:bottom w:val="nil"/>
              <w:right w:val="single" w:sz="4" w:space="0" w:color="auto"/>
            </w:tcBorders>
            <w:hideMark/>
          </w:tcPr>
          <w:p w:rsidR="00CA60A9" w:rsidRPr="00816E53" w:rsidRDefault="00CA60A9" w:rsidP="00FB752F">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0.0</w:t>
            </w:r>
            <w:r>
              <w:rPr>
                <w:rFonts w:ascii="Times New Roman" w:eastAsia="Times New Roman" w:hAnsi="Times New Roman" w:cs="Times New Roman"/>
                <w:color w:val="000000"/>
                <w:lang w:eastAsia="en-GB"/>
              </w:rPr>
              <w:t>90</w:t>
            </w:r>
          </w:p>
        </w:tc>
      </w:tr>
      <w:tr w:rsidR="00CA60A9" w:rsidRPr="00816E53" w:rsidTr="00FB752F">
        <w:trPr>
          <w:trHeight w:val="226"/>
        </w:trPr>
        <w:tc>
          <w:tcPr>
            <w:tcW w:w="1641" w:type="pct"/>
            <w:vMerge/>
            <w:tcBorders>
              <w:top w:val="single" w:sz="6" w:space="0" w:color="auto"/>
              <w:left w:val="single" w:sz="4" w:space="0" w:color="auto"/>
              <w:bottom w:val="nil"/>
              <w:right w:val="nil"/>
            </w:tcBorders>
            <w:vAlign w:val="center"/>
            <w:hideMark/>
          </w:tcPr>
          <w:p w:rsidR="00CA60A9" w:rsidRPr="00816E53" w:rsidRDefault="00CA60A9" w:rsidP="00FB752F">
            <w:pPr>
              <w:spacing w:after="0" w:line="240" w:lineRule="auto"/>
              <w:rPr>
                <w:rFonts w:ascii="Times New Roman" w:eastAsia="Times New Roman" w:hAnsi="Times New Roman" w:cs="Times New Roman"/>
                <w:b/>
                <w:color w:val="000000"/>
                <w:lang w:eastAsia="en-GB"/>
              </w:rPr>
            </w:pPr>
          </w:p>
        </w:tc>
        <w:tc>
          <w:tcPr>
            <w:tcW w:w="1981" w:type="pct"/>
            <w:tcBorders>
              <w:top w:val="nil"/>
              <w:left w:val="nil"/>
              <w:bottom w:val="single" w:sz="6" w:space="0" w:color="auto"/>
              <w:right w:val="nil"/>
            </w:tcBorders>
            <w:hideMark/>
          </w:tcPr>
          <w:p w:rsidR="00CA60A9" w:rsidRPr="00816E53" w:rsidRDefault="00CA60A9" w:rsidP="00FB752F">
            <w:pPr>
              <w:autoSpaceDE w:val="0"/>
              <w:autoSpaceDN w:val="0"/>
              <w:adjustRightInd w:val="0"/>
              <w:spacing w:before="40" w:after="40" w:line="240" w:lineRule="auto"/>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Ambitious</w:t>
            </w:r>
          </w:p>
        </w:tc>
        <w:tc>
          <w:tcPr>
            <w:tcW w:w="487" w:type="pct"/>
            <w:tcBorders>
              <w:top w:val="nil"/>
              <w:left w:val="nil"/>
              <w:bottom w:val="single" w:sz="6" w:space="0" w:color="auto"/>
              <w:right w:val="nil"/>
            </w:tcBorders>
            <w:hideMark/>
          </w:tcPr>
          <w:p w:rsidR="00CA60A9" w:rsidRPr="00816E53" w:rsidRDefault="00CA60A9" w:rsidP="00FB752F">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0.002</w:t>
            </w:r>
          </w:p>
        </w:tc>
        <w:tc>
          <w:tcPr>
            <w:tcW w:w="891" w:type="pct"/>
            <w:tcBorders>
              <w:top w:val="nil"/>
              <w:left w:val="nil"/>
              <w:bottom w:val="single" w:sz="6" w:space="0" w:color="auto"/>
              <w:right w:val="single" w:sz="4" w:space="0" w:color="auto"/>
            </w:tcBorders>
            <w:hideMark/>
          </w:tcPr>
          <w:p w:rsidR="00CA60A9" w:rsidRPr="00816E53" w:rsidRDefault="00CA60A9" w:rsidP="00FB752F">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0.1</w:t>
            </w:r>
            <w:r>
              <w:rPr>
                <w:rFonts w:ascii="Times New Roman" w:eastAsia="Times New Roman" w:hAnsi="Times New Roman" w:cs="Times New Roman"/>
                <w:color w:val="000000"/>
                <w:lang w:eastAsia="en-GB"/>
              </w:rPr>
              <w:t>75</w:t>
            </w:r>
          </w:p>
        </w:tc>
      </w:tr>
      <w:tr w:rsidR="00AD31B6" w:rsidRPr="00816E53" w:rsidTr="00816E53">
        <w:trPr>
          <w:trHeight w:val="290"/>
        </w:trPr>
        <w:tc>
          <w:tcPr>
            <w:tcW w:w="1641" w:type="pct"/>
            <w:vMerge w:val="restart"/>
            <w:tcBorders>
              <w:top w:val="single" w:sz="6" w:space="0" w:color="auto"/>
              <w:left w:val="single" w:sz="4" w:space="0" w:color="auto"/>
              <w:bottom w:val="nil"/>
              <w:right w:val="nil"/>
            </w:tcBorders>
            <w:vAlign w:val="center"/>
            <w:hideMark/>
          </w:tcPr>
          <w:p w:rsidR="00AD31B6" w:rsidRPr="00816E53" w:rsidRDefault="00AD31B6" w:rsidP="00E606E2">
            <w:pPr>
              <w:autoSpaceDE w:val="0"/>
              <w:autoSpaceDN w:val="0"/>
              <w:adjustRightInd w:val="0"/>
              <w:spacing w:before="40" w:after="40" w:line="240" w:lineRule="auto"/>
              <w:rPr>
                <w:rFonts w:ascii="Times New Roman" w:eastAsia="Times New Roman" w:hAnsi="Times New Roman" w:cs="Times New Roman"/>
                <w:b/>
                <w:color w:val="000000"/>
                <w:lang w:eastAsia="en-GB"/>
              </w:rPr>
            </w:pPr>
            <w:r w:rsidRPr="00816E53">
              <w:rPr>
                <w:rFonts w:ascii="Times New Roman" w:eastAsia="Times New Roman" w:hAnsi="Times New Roman" w:cs="Times New Roman"/>
                <w:b/>
                <w:color w:val="000000"/>
                <w:lang w:eastAsia="en-GB"/>
              </w:rPr>
              <w:t xml:space="preserve">GDP </w:t>
            </w:r>
            <w:r w:rsidR="00CA60A9">
              <w:rPr>
                <w:rFonts w:ascii="Times New Roman" w:eastAsia="Times New Roman" w:hAnsi="Times New Roman" w:cs="Times New Roman"/>
                <w:b/>
                <w:color w:val="000000"/>
                <w:lang w:eastAsia="en-GB"/>
              </w:rPr>
              <w:t>gain</w:t>
            </w:r>
            <w:r w:rsidRPr="00816E53">
              <w:rPr>
                <w:rFonts w:ascii="Times New Roman" w:eastAsia="Times New Roman" w:hAnsi="Times New Roman" w:cs="Times New Roman"/>
                <w:b/>
                <w:color w:val="000000"/>
                <w:lang w:eastAsia="en-GB"/>
              </w:rPr>
              <w:br/>
            </w:r>
            <w:r w:rsidR="00CA60A9">
              <w:rPr>
                <w:rFonts w:ascii="Times New Roman" w:eastAsia="Times New Roman" w:hAnsi="Times New Roman" w:cs="Times New Roman"/>
                <w:color w:val="000000"/>
                <w:lang w:eastAsia="en-GB"/>
              </w:rPr>
              <w:t>(€ million*</w:t>
            </w:r>
            <w:r w:rsidRPr="00816E53">
              <w:rPr>
                <w:rFonts w:ascii="Times New Roman" w:eastAsia="Times New Roman" w:hAnsi="Times New Roman" w:cs="Times New Roman"/>
                <w:color w:val="000000"/>
                <w:lang w:eastAsia="en-GB"/>
              </w:rPr>
              <w:t>)</w:t>
            </w:r>
          </w:p>
        </w:tc>
        <w:tc>
          <w:tcPr>
            <w:tcW w:w="1981" w:type="pct"/>
            <w:tcBorders>
              <w:top w:val="single" w:sz="6" w:space="0" w:color="auto"/>
              <w:left w:val="nil"/>
              <w:bottom w:val="nil"/>
              <w:right w:val="nil"/>
            </w:tcBorders>
            <w:hideMark/>
          </w:tcPr>
          <w:p w:rsidR="00AD31B6" w:rsidRPr="00816E53" w:rsidRDefault="00AD31B6" w:rsidP="00A4737C">
            <w:pPr>
              <w:autoSpaceDE w:val="0"/>
              <w:autoSpaceDN w:val="0"/>
              <w:adjustRightInd w:val="0"/>
              <w:spacing w:before="40" w:after="40" w:line="240" w:lineRule="auto"/>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Conservative</w:t>
            </w:r>
          </w:p>
        </w:tc>
        <w:tc>
          <w:tcPr>
            <w:tcW w:w="487" w:type="pct"/>
            <w:tcBorders>
              <w:top w:val="single" w:sz="6" w:space="0" w:color="auto"/>
              <w:left w:val="nil"/>
              <w:bottom w:val="nil"/>
              <w:right w:val="nil"/>
            </w:tcBorders>
            <w:hideMark/>
          </w:tcPr>
          <w:p w:rsidR="00AD31B6" w:rsidRPr="00816E53" w:rsidRDefault="00CA60A9" w:rsidP="00E606E2">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196</w:t>
            </w:r>
          </w:p>
        </w:tc>
        <w:tc>
          <w:tcPr>
            <w:tcW w:w="891" w:type="pct"/>
            <w:tcBorders>
              <w:top w:val="single" w:sz="6" w:space="0" w:color="auto"/>
              <w:left w:val="nil"/>
              <w:bottom w:val="nil"/>
              <w:right w:val="single" w:sz="4" w:space="0" w:color="auto"/>
            </w:tcBorders>
            <w:hideMark/>
          </w:tcPr>
          <w:p w:rsidR="00AD31B6" w:rsidRPr="00816E53" w:rsidRDefault="00CA60A9" w:rsidP="00C076DD">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304</w:t>
            </w:r>
          </w:p>
        </w:tc>
      </w:tr>
      <w:tr w:rsidR="00AD31B6" w:rsidRPr="00816E53" w:rsidTr="00816E53">
        <w:trPr>
          <w:trHeight w:val="226"/>
        </w:trPr>
        <w:tc>
          <w:tcPr>
            <w:tcW w:w="1641" w:type="pct"/>
            <w:vMerge/>
            <w:tcBorders>
              <w:top w:val="single" w:sz="6" w:space="0" w:color="auto"/>
              <w:left w:val="single" w:sz="4" w:space="0" w:color="auto"/>
              <w:bottom w:val="nil"/>
              <w:right w:val="nil"/>
            </w:tcBorders>
            <w:vAlign w:val="center"/>
            <w:hideMark/>
          </w:tcPr>
          <w:p w:rsidR="00AD31B6" w:rsidRPr="00816E53" w:rsidRDefault="00AD31B6" w:rsidP="00E606E2">
            <w:pPr>
              <w:spacing w:after="0" w:line="240" w:lineRule="auto"/>
              <w:rPr>
                <w:rFonts w:ascii="Times New Roman" w:eastAsia="Times New Roman" w:hAnsi="Times New Roman" w:cs="Times New Roman"/>
                <w:b/>
                <w:color w:val="000000"/>
                <w:lang w:eastAsia="en-GB"/>
              </w:rPr>
            </w:pPr>
          </w:p>
        </w:tc>
        <w:tc>
          <w:tcPr>
            <w:tcW w:w="1981" w:type="pct"/>
            <w:tcBorders>
              <w:top w:val="nil"/>
              <w:left w:val="nil"/>
              <w:bottom w:val="single" w:sz="6" w:space="0" w:color="auto"/>
              <w:right w:val="nil"/>
            </w:tcBorders>
            <w:hideMark/>
          </w:tcPr>
          <w:p w:rsidR="00AD31B6" w:rsidRPr="00816E53" w:rsidRDefault="000E3CB2" w:rsidP="00A4737C">
            <w:pPr>
              <w:autoSpaceDE w:val="0"/>
              <w:autoSpaceDN w:val="0"/>
              <w:adjustRightInd w:val="0"/>
              <w:spacing w:before="40" w:after="40" w:line="240" w:lineRule="auto"/>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Ambitious</w:t>
            </w:r>
          </w:p>
        </w:tc>
        <w:tc>
          <w:tcPr>
            <w:tcW w:w="487" w:type="pct"/>
            <w:tcBorders>
              <w:top w:val="nil"/>
              <w:left w:val="nil"/>
              <w:bottom w:val="single" w:sz="6" w:space="0" w:color="auto"/>
              <w:right w:val="nil"/>
            </w:tcBorders>
            <w:hideMark/>
          </w:tcPr>
          <w:p w:rsidR="00AD31B6" w:rsidRPr="00816E53" w:rsidRDefault="00CA60A9" w:rsidP="00E606E2">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391</w:t>
            </w:r>
          </w:p>
        </w:tc>
        <w:tc>
          <w:tcPr>
            <w:tcW w:w="891" w:type="pct"/>
            <w:tcBorders>
              <w:top w:val="nil"/>
              <w:left w:val="nil"/>
              <w:bottom w:val="single" w:sz="6" w:space="0" w:color="auto"/>
              <w:right w:val="single" w:sz="4" w:space="0" w:color="auto"/>
            </w:tcBorders>
            <w:hideMark/>
          </w:tcPr>
          <w:p w:rsidR="00AD31B6" w:rsidRPr="00816E53" w:rsidRDefault="00CA60A9" w:rsidP="00C076DD">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592</w:t>
            </w:r>
          </w:p>
        </w:tc>
      </w:tr>
      <w:tr w:rsidR="00AD31B6" w:rsidRPr="00816E53" w:rsidTr="00816E53">
        <w:trPr>
          <w:trHeight w:val="290"/>
        </w:trPr>
        <w:tc>
          <w:tcPr>
            <w:tcW w:w="1641" w:type="pct"/>
            <w:vMerge w:val="restart"/>
            <w:tcBorders>
              <w:top w:val="single" w:sz="6" w:space="0" w:color="auto"/>
              <w:left w:val="single" w:sz="4" w:space="0" w:color="auto"/>
              <w:bottom w:val="single" w:sz="6" w:space="0" w:color="auto"/>
              <w:right w:val="nil"/>
            </w:tcBorders>
            <w:vAlign w:val="center"/>
            <w:hideMark/>
          </w:tcPr>
          <w:p w:rsidR="00AD31B6" w:rsidRPr="00816E53" w:rsidRDefault="001D4457" w:rsidP="001D4457">
            <w:pPr>
              <w:autoSpaceDE w:val="0"/>
              <w:autoSpaceDN w:val="0"/>
              <w:adjustRightInd w:val="0"/>
              <w:spacing w:before="40" w:after="40" w:line="240" w:lineRule="auto"/>
              <w:rPr>
                <w:rFonts w:ascii="Times New Roman" w:eastAsia="Times New Roman" w:hAnsi="Times New Roman" w:cs="Times New Roman"/>
                <w:b/>
                <w:color w:val="000000"/>
                <w:lang w:val="fr-BE" w:eastAsia="en-GB"/>
              </w:rPr>
            </w:pPr>
            <w:r w:rsidRPr="00816E53">
              <w:rPr>
                <w:rFonts w:ascii="Times New Roman" w:eastAsia="Times New Roman" w:hAnsi="Times New Roman" w:cs="Times New Roman"/>
                <w:b/>
                <w:color w:val="000000"/>
                <w:lang w:val="fr-BE" w:eastAsia="en-GB"/>
              </w:rPr>
              <w:t xml:space="preserve">EU-Chile bilateral exports </w:t>
            </w:r>
            <w:r w:rsidRPr="00816E53">
              <w:rPr>
                <w:rFonts w:ascii="Times New Roman" w:eastAsia="Times New Roman" w:hAnsi="Times New Roman" w:cs="Times New Roman"/>
                <w:color w:val="000000"/>
                <w:lang w:val="fr-BE" w:eastAsia="en-GB"/>
              </w:rPr>
              <w:t>(% change)</w:t>
            </w:r>
            <w:r w:rsidR="00AD31B6" w:rsidRPr="00816E53">
              <w:rPr>
                <w:rFonts w:ascii="Times New Roman" w:eastAsia="Times New Roman" w:hAnsi="Times New Roman" w:cs="Times New Roman"/>
                <w:b/>
                <w:color w:val="000000"/>
                <w:lang w:val="fr-BE" w:eastAsia="en-GB"/>
              </w:rPr>
              <w:t xml:space="preserve"> </w:t>
            </w:r>
          </w:p>
        </w:tc>
        <w:tc>
          <w:tcPr>
            <w:tcW w:w="1981" w:type="pct"/>
            <w:tcBorders>
              <w:top w:val="single" w:sz="6" w:space="0" w:color="auto"/>
              <w:left w:val="nil"/>
              <w:bottom w:val="nil"/>
              <w:right w:val="nil"/>
            </w:tcBorders>
            <w:hideMark/>
          </w:tcPr>
          <w:p w:rsidR="00AD31B6" w:rsidRPr="00816E53" w:rsidRDefault="00AD31B6" w:rsidP="00A4737C">
            <w:pPr>
              <w:autoSpaceDE w:val="0"/>
              <w:autoSpaceDN w:val="0"/>
              <w:adjustRightInd w:val="0"/>
              <w:spacing w:before="40" w:after="40" w:line="240" w:lineRule="auto"/>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Conservative</w:t>
            </w:r>
          </w:p>
        </w:tc>
        <w:tc>
          <w:tcPr>
            <w:tcW w:w="487" w:type="pct"/>
            <w:tcBorders>
              <w:top w:val="single" w:sz="6" w:space="0" w:color="auto"/>
              <w:left w:val="nil"/>
              <w:bottom w:val="nil"/>
              <w:right w:val="nil"/>
            </w:tcBorders>
          </w:tcPr>
          <w:p w:rsidR="00AD31B6" w:rsidRPr="00816E53" w:rsidRDefault="00C076DD" w:rsidP="00E606E2">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9.91</w:t>
            </w:r>
          </w:p>
        </w:tc>
        <w:tc>
          <w:tcPr>
            <w:tcW w:w="891" w:type="pct"/>
            <w:tcBorders>
              <w:top w:val="single" w:sz="6" w:space="0" w:color="auto"/>
              <w:left w:val="nil"/>
              <w:bottom w:val="nil"/>
              <w:right w:val="single" w:sz="4" w:space="0" w:color="auto"/>
            </w:tcBorders>
          </w:tcPr>
          <w:p w:rsidR="00AD31B6" w:rsidRPr="00816E53" w:rsidRDefault="001D4457" w:rsidP="00C076DD">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0.</w:t>
            </w:r>
            <w:r w:rsidR="00C076DD">
              <w:rPr>
                <w:rFonts w:ascii="Times New Roman" w:eastAsia="Times New Roman" w:hAnsi="Times New Roman" w:cs="Times New Roman"/>
                <w:color w:val="000000"/>
                <w:lang w:eastAsia="en-GB"/>
              </w:rPr>
              <w:t>72</w:t>
            </w:r>
          </w:p>
        </w:tc>
      </w:tr>
      <w:tr w:rsidR="00AD31B6" w:rsidRPr="00816E53" w:rsidTr="00816E53">
        <w:trPr>
          <w:trHeight w:val="106"/>
        </w:trPr>
        <w:tc>
          <w:tcPr>
            <w:tcW w:w="1641" w:type="pct"/>
            <w:vMerge/>
            <w:tcBorders>
              <w:top w:val="single" w:sz="6" w:space="0" w:color="auto"/>
              <w:left w:val="single" w:sz="4" w:space="0" w:color="auto"/>
              <w:bottom w:val="single" w:sz="6" w:space="0" w:color="auto"/>
              <w:right w:val="nil"/>
            </w:tcBorders>
            <w:vAlign w:val="center"/>
            <w:hideMark/>
          </w:tcPr>
          <w:p w:rsidR="00AD31B6" w:rsidRPr="00816E53" w:rsidRDefault="00AD31B6" w:rsidP="00E606E2">
            <w:pPr>
              <w:spacing w:after="0" w:line="240" w:lineRule="auto"/>
              <w:rPr>
                <w:rFonts w:ascii="Times New Roman" w:eastAsia="Times New Roman" w:hAnsi="Times New Roman" w:cs="Times New Roman"/>
                <w:b/>
                <w:color w:val="000000"/>
                <w:lang w:eastAsia="en-GB"/>
              </w:rPr>
            </w:pPr>
          </w:p>
        </w:tc>
        <w:tc>
          <w:tcPr>
            <w:tcW w:w="1981" w:type="pct"/>
            <w:tcBorders>
              <w:top w:val="nil"/>
              <w:left w:val="nil"/>
              <w:bottom w:val="single" w:sz="6" w:space="0" w:color="auto"/>
              <w:right w:val="nil"/>
            </w:tcBorders>
            <w:hideMark/>
          </w:tcPr>
          <w:p w:rsidR="00AD31B6" w:rsidRPr="00816E53" w:rsidRDefault="000E3CB2" w:rsidP="00A4737C">
            <w:pPr>
              <w:autoSpaceDE w:val="0"/>
              <w:autoSpaceDN w:val="0"/>
              <w:adjustRightInd w:val="0"/>
              <w:spacing w:before="40" w:after="40" w:line="240" w:lineRule="auto"/>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Ambitious</w:t>
            </w:r>
          </w:p>
        </w:tc>
        <w:tc>
          <w:tcPr>
            <w:tcW w:w="487" w:type="pct"/>
            <w:tcBorders>
              <w:top w:val="nil"/>
              <w:left w:val="nil"/>
              <w:bottom w:val="single" w:sz="6" w:space="0" w:color="auto"/>
              <w:right w:val="nil"/>
            </w:tcBorders>
          </w:tcPr>
          <w:p w:rsidR="00AD31B6" w:rsidRPr="00816E53" w:rsidRDefault="00D22F99" w:rsidP="00C076DD">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21.</w:t>
            </w:r>
            <w:r w:rsidR="00C076DD">
              <w:rPr>
                <w:rFonts w:ascii="Times New Roman" w:eastAsia="Times New Roman" w:hAnsi="Times New Roman" w:cs="Times New Roman"/>
                <w:color w:val="000000"/>
                <w:lang w:eastAsia="en-GB"/>
              </w:rPr>
              <w:t>46</w:t>
            </w:r>
          </w:p>
        </w:tc>
        <w:tc>
          <w:tcPr>
            <w:tcW w:w="891" w:type="pct"/>
            <w:tcBorders>
              <w:top w:val="nil"/>
              <w:left w:val="nil"/>
              <w:bottom w:val="single" w:sz="6" w:space="0" w:color="auto"/>
              <w:right w:val="single" w:sz="4" w:space="0" w:color="auto"/>
            </w:tcBorders>
          </w:tcPr>
          <w:p w:rsidR="00AD31B6" w:rsidRPr="00816E53" w:rsidRDefault="00D22F99" w:rsidP="00E606E2">
            <w:pPr>
              <w:autoSpaceDE w:val="0"/>
              <w:autoSpaceDN w:val="0"/>
              <w:adjustRightInd w:val="0"/>
              <w:spacing w:before="40" w:after="40" w:line="240" w:lineRule="auto"/>
              <w:jc w:val="center"/>
              <w:rPr>
                <w:rFonts w:ascii="Times New Roman" w:eastAsia="Times New Roman" w:hAnsi="Times New Roman" w:cs="Times New Roman"/>
                <w:color w:val="000000"/>
                <w:lang w:eastAsia="en-GB"/>
              </w:rPr>
            </w:pPr>
            <w:r w:rsidRPr="00816E53">
              <w:rPr>
                <w:rFonts w:ascii="Times New Roman" w:eastAsia="Times New Roman" w:hAnsi="Times New Roman" w:cs="Times New Roman"/>
                <w:color w:val="000000"/>
                <w:lang w:eastAsia="en-GB"/>
              </w:rPr>
              <w:t>1.</w:t>
            </w:r>
            <w:r w:rsidR="00C076DD">
              <w:rPr>
                <w:rFonts w:ascii="Times New Roman" w:eastAsia="Times New Roman" w:hAnsi="Times New Roman" w:cs="Times New Roman"/>
                <w:color w:val="000000"/>
                <w:lang w:eastAsia="en-GB"/>
              </w:rPr>
              <w:t>6</w:t>
            </w:r>
            <w:r w:rsidRPr="00816E53">
              <w:rPr>
                <w:rFonts w:ascii="Times New Roman" w:eastAsia="Times New Roman" w:hAnsi="Times New Roman" w:cs="Times New Roman"/>
                <w:color w:val="000000"/>
                <w:lang w:eastAsia="en-GB"/>
              </w:rPr>
              <w:t>0</w:t>
            </w:r>
          </w:p>
        </w:tc>
      </w:tr>
    </w:tbl>
    <w:p w:rsidR="00E606E2" w:rsidRPr="00CA60A9" w:rsidRDefault="00CA60A9" w:rsidP="00E606E2">
      <w:pPr>
        <w:snapToGrid w:val="0"/>
        <w:spacing w:after="120" w:line="240" w:lineRule="auto"/>
        <w:jc w:val="both"/>
        <w:rPr>
          <w:rFonts w:ascii="Times New Roman" w:hAnsi="Times New Roman" w:cs="Times New Roman"/>
          <w:sz w:val="18"/>
          <w:szCs w:val="18"/>
        </w:rPr>
      </w:pPr>
      <w:r w:rsidRPr="00CA60A9">
        <w:rPr>
          <w:rFonts w:ascii="Times New Roman" w:hAnsi="Times New Roman" w:cs="Times New Roman"/>
          <w:sz w:val="18"/>
          <w:szCs w:val="18"/>
        </w:rPr>
        <w:t>*US</w:t>
      </w:r>
      <w:r>
        <w:rPr>
          <w:rFonts w:ascii="Times New Roman" w:hAnsi="Times New Roman" w:cs="Times New Roman"/>
          <w:sz w:val="18"/>
          <w:szCs w:val="18"/>
        </w:rPr>
        <w:t>D</w:t>
      </w:r>
      <w:r w:rsidRPr="00CA60A9">
        <w:rPr>
          <w:rFonts w:ascii="Times New Roman" w:hAnsi="Times New Roman" w:cs="Times New Roman"/>
          <w:sz w:val="18"/>
          <w:szCs w:val="18"/>
        </w:rPr>
        <w:t xml:space="preserve"> converted </w:t>
      </w:r>
      <w:r>
        <w:rPr>
          <w:rFonts w:ascii="Times New Roman" w:hAnsi="Times New Roman" w:cs="Times New Roman"/>
          <w:sz w:val="18"/>
          <w:szCs w:val="18"/>
        </w:rPr>
        <w:t xml:space="preserve">to EUR </w:t>
      </w:r>
      <w:r w:rsidRPr="00CA60A9">
        <w:rPr>
          <w:rFonts w:ascii="Times New Roman" w:hAnsi="Times New Roman" w:cs="Times New Roman"/>
          <w:sz w:val="18"/>
          <w:szCs w:val="18"/>
        </w:rPr>
        <w:t>at 1</w:t>
      </w:r>
      <w:r>
        <w:rPr>
          <w:rFonts w:ascii="Times New Roman" w:hAnsi="Times New Roman" w:cs="Times New Roman"/>
          <w:sz w:val="18"/>
          <w:szCs w:val="18"/>
        </w:rPr>
        <w:t>EUR</w:t>
      </w:r>
      <w:r w:rsidRPr="00CA60A9">
        <w:rPr>
          <w:rFonts w:ascii="Times New Roman" w:hAnsi="Times New Roman" w:cs="Times New Roman"/>
          <w:sz w:val="18"/>
          <w:szCs w:val="18"/>
        </w:rPr>
        <w:t>=1.1095</w:t>
      </w:r>
      <w:r>
        <w:rPr>
          <w:rFonts w:ascii="Times New Roman" w:hAnsi="Times New Roman" w:cs="Times New Roman"/>
          <w:sz w:val="18"/>
          <w:szCs w:val="18"/>
        </w:rPr>
        <w:t xml:space="preserve"> USD</w:t>
      </w:r>
    </w:p>
    <w:p w:rsidR="00DF7B7F" w:rsidRPr="00816E53" w:rsidRDefault="00DF7B7F" w:rsidP="00E606E2">
      <w:pPr>
        <w:snapToGrid w:val="0"/>
        <w:spacing w:after="120" w:line="240" w:lineRule="auto"/>
        <w:jc w:val="both"/>
        <w:rPr>
          <w:rFonts w:ascii="Times New Roman" w:hAnsi="Times New Roman" w:cs="Times New Roman"/>
        </w:rPr>
      </w:pPr>
    </w:p>
    <w:p w:rsidR="00E606E2" w:rsidRPr="00261E9D" w:rsidRDefault="00E606E2" w:rsidP="00882520">
      <w:pPr>
        <w:pStyle w:val="Heading2"/>
        <w:numPr>
          <w:ilvl w:val="1"/>
          <w:numId w:val="56"/>
        </w:numPr>
        <w:spacing w:after="240"/>
        <w:ind w:left="788" w:hanging="431"/>
        <w:rPr>
          <w:u w:val="single"/>
        </w:rPr>
      </w:pPr>
      <w:bookmarkStart w:id="44" w:name="_Toc473123087"/>
      <w:r w:rsidRPr="00261E9D">
        <w:rPr>
          <w:u w:val="single"/>
        </w:rPr>
        <w:t>Impact on sectoral competitiveness</w:t>
      </w:r>
      <w:bookmarkEnd w:id="44"/>
    </w:p>
    <w:p w:rsidR="00F938F4" w:rsidRDefault="00E606E2" w:rsidP="001D4E24">
      <w:pPr>
        <w:snapToGrid w:val="0"/>
        <w:spacing w:after="240" w:line="240" w:lineRule="auto"/>
        <w:jc w:val="both"/>
        <w:rPr>
          <w:rFonts w:ascii="Times New Roman" w:hAnsi="Times New Roman" w:cs="Times New Roman"/>
          <w:sz w:val="24"/>
          <w:szCs w:val="24"/>
        </w:rPr>
      </w:pPr>
      <w:r w:rsidRPr="00E606E2">
        <w:rPr>
          <w:rFonts w:ascii="Times New Roman" w:hAnsi="Times New Roman" w:cs="Times New Roman"/>
          <w:sz w:val="24"/>
          <w:szCs w:val="24"/>
        </w:rPr>
        <w:t xml:space="preserve">The CGE modelling </w:t>
      </w:r>
      <w:r w:rsidR="00DF146B">
        <w:rPr>
          <w:rFonts w:ascii="Times New Roman" w:hAnsi="Times New Roman" w:cs="Times New Roman"/>
          <w:sz w:val="24"/>
          <w:szCs w:val="24"/>
        </w:rPr>
        <w:t>estimates</w:t>
      </w:r>
      <w:r w:rsidRPr="00E606E2">
        <w:rPr>
          <w:rFonts w:ascii="Times New Roman" w:hAnsi="Times New Roman" w:cs="Times New Roman"/>
          <w:sz w:val="24"/>
          <w:szCs w:val="24"/>
        </w:rPr>
        <w:t xml:space="preserve"> growth of </w:t>
      </w:r>
      <w:r w:rsidR="009D6A3D">
        <w:rPr>
          <w:rFonts w:ascii="Times New Roman" w:hAnsi="Times New Roman" w:cs="Times New Roman"/>
          <w:sz w:val="24"/>
          <w:szCs w:val="24"/>
        </w:rPr>
        <w:t xml:space="preserve">EU </w:t>
      </w:r>
      <w:r w:rsidRPr="00E606E2">
        <w:rPr>
          <w:rFonts w:ascii="Times New Roman" w:hAnsi="Times New Roman" w:cs="Times New Roman"/>
          <w:sz w:val="24"/>
          <w:szCs w:val="24"/>
        </w:rPr>
        <w:t xml:space="preserve">exports </w:t>
      </w:r>
      <w:r w:rsidR="009D6A3D">
        <w:rPr>
          <w:rFonts w:ascii="Times New Roman" w:hAnsi="Times New Roman" w:cs="Times New Roman"/>
          <w:sz w:val="24"/>
          <w:szCs w:val="24"/>
        </w:rPr>
        <w:t xml:space="preserve">to Chile </w:t>
      </w:r>
      <w:r w:rsidRPr="00E606E2">
        <w:rPr>
          <w:rFonts w:ascii="Times New Roman" w:hAnsi="Times New Roman" w:cs="Times New Roman"/>
          <w:sz w:val="24"/>
          <w:szCs w:val="24"/>
        </w:rPr>
        <w:t>for all 31 sectors</w:t>
      </w:r>
      <w:r w:rsidR="009D6A3D">
        <w:rPr>
          <w:rFonts w:ascii="Times New Roman" w:hAnsi="Times New Roman" w:cs="Times New Roman"/>
          <w:sz w:val="24"/>
          <w:szCs w:val="24"/>
        </w:rPr>
        <w:t xml:space="preserve"> </w:t>
      </w:r>
      <w:r w:rsidR="008C0C93">
        <w:rPr>
          <w:rFonts w:ascii="Times New Roman" w:hAnsi="Times New Roman" w:cs="Times New Roman"/>
          <w:sz w:val="24"/>
          <w:szCs w:val="24"/>
        </w:rPr>
        <w:t xml:space="preserve">of the CGE modelling </w:t>
      </w:r>
      <w:r w:rsidR="009D6A3D">
        <w:rPr>
          <w:rFonts w:ascii="Times New Roman" w:hAnsi="Times New Roman" w:cs="Times New Roman"/>
          <w:sz w:val="24"/>
          <w:szCs w:val="24"/>
        </w:rPr>
        <w:t>under both scenarios</w:t>
      </w:r>
      <w:r w:rsidRPr="00E606E2">
        <w:rPr>
          <w:rFonts w:ascii="Times New Roman" w:hAnsi="Times New Roman" w:cs="Times New Roman"/>
          <w:sz w:val="24"/>
          <w:szCs w:val="24"/>
        </w:rPr>
        <w:t>.</w:t>
      </w:r>
      <w:r w:rsidR="009D6A3D">
        <w:rPr>
          <w:rFonts w:ascii="Times New Roman" w:hAnsi="Times New Roman" w:cs="Times New Roman"/>
          <w:sz w:val="24"/>
          <w:szCs w:val="24"/>
        </w:rPr>
        <w:t xml:space="preserve"> The impact on Chile's exports per sector is more mixed, with a considerable variation in the export behaviour across sectors. Some sectors increase their exports significantly (</w:t>
      </w:r>
      <w:r w:rsidR="00F938F4">
        <w:rPr>
          <w:rFonts w:ascii="Times New Roman" w:hAnsi="Times New Roman" w:cs="Times New Roman"/>
          <w:sz w:val="24"/>
          <w:szCs w:val="24"/>
        </w:rPr>
        <w:t xml:space="preserve">e.g. </w:t>
      </w:r>
      <w:r w:rsidR="009D6A3D">
        <w:rPr>
          <w:rFonts w:ascii="Times New Roman" w:hAnsi="Times New Roman" w:cs="Times New Roman"/>
          <w:sz w:val="24"/>
          <w:szCs w:val="24"/>
        </w:rPr>
        <w:t xml:space="preserve">cereal, fruits, </w:t>
      </w:r>
      <w:r w:rsidR="000E357F">
        <w:rPr>
          <w:rFonts w:ascii="Times New Roman" w:hAnsi="Times New Roman" w:cs="Times New Roman"/>
          <w:sz w:val="24"/>
          <w:szCs w:val="24"/>
        </w:rPr>
        <w:t xml:space="preserve">vegetables, </w:t>
      </w:r>
      <w:r w:rsidR="009D6A3D">
        <w:rPr>
          <w:rFonts w:ascii="Times New Roman" w:hAnsi="Times New Roman" w:cs="Times New Roman"/>
          <w:sz w:val="24"/>
          <w:szCs w:val="24"/>
        </w:rPr>
        <w:t>rice, dairy, fishing, other food, beverages), but this is largely cancelled out in the final average by other sectors that contract</w:t>
      </w:r>
      <w:r w:rsidR="00DB3451">
        <w:rPr>
          <w:rFonts w:ascii="Times New Roman" w:hAnsi="Times New Roman" w:cs="Times New Roman"/>
          <w:sz w:val="24"/>
          <w:szCs w:val="24"/>
        </w:rPr>
        <w:t xml:space="preserve">. </w:t>
      </w:r>
      <w:r w:rsidRPr="00E606E2">
        <w:rPr>
          <w:rFonts w:ascii="Times New Roman" w:hAnsi="Times New Roman" w:cs="Times New Roman"/>
          <w:sz w:val="24"/>
          <w:szCs w:val="24"/>
        </w:rPr>
        <w:t xml:space="preserve"> </w:t>
      </w:r>
      <w:r w:rsidR="00DB3451">
        <w:rPr>
          <w:rFonts w:ascii="Times New Roman" w:hAnsi="Times New Roman" w:cs="Times New Roman"/>
          <w:sz w:val="24"/>
          <w:szCs w:val="24"/>
        </w:rPr>
        <w:t xml:space="preserve">It should be noted, however, that the fact that a sector is seen to reduce its exports does not necessarily mean that bilateral trade barriers pose a problem. </w:t>
      </w:r>
      <w:r w:rsidR="00DF146B">
        <w:rPr>
          <w:rFonts w:ascii="Times New Roman" w:hAnsi="Times New Roman" w:cs="Times New Roman"/>
          <w:sz w:val="24"/>
          <w:szCs w:val="24"/>
        </w:rPr>
        <w:t xml:space="preserve">This is </w:t>
      </w:r>
      <w:r w:rsidR="00DB3451">
        <w:rPr>
          <w:rFonts w:ascii="Times New Roman" w:hAnsi="Times New Roman" w:cs="Times New Roman"/>
          <w:sz w:val="24"/>
          <w:szCs w:val="24"/>
        </w:rPr>
        <w:t xml:space="preserve">frequently </w:t>
      </w:r>
      <w:r w:rsidR="00F938F4">
        <w:rPr>
          <w:rFonts w:ascii="Times New Roman" w:hAnsi="Times New Roman" w:cs="Times New Roman"/>
          <w:sz w:val="24"/>
          <w:szCs w:val="24"/>
        </w:rPr>
        <w:t xml:space="preserve">observed as a consequence of stronger liberalisation in certain sectors, which grow at the expense of drawing resources </w:t>
      </w:r>
      <w:r w:rsidR="00DF146B">
        <w:rPr>
          <w:rFonts w:ascii="Times New Roman" w:hAnsi="Times New Roman" w:cs="Times New Roman"/>
          <w:sz w:val="24"/>
          <w:szCs w:val="24"/>
        </w:rPr>
        <w:t xml:space="preserve">(labour, capital) </w:t>
      </w:r>
      <w:r w:rsidR="00F938F4">
        <w:rPr>
          <w:rFonts w:ascii="Times New Roman" w:hAnsi="Times New Roman" w:cs="Times New Roman"/>
          <w:sz w:val="24"/>
          <w:szCs w:val="24"/>
        </w:rPr>
        <w:t>from other sectors of the economy.</w:t>
      </w:r>
    </w:p>
    <w:p w:rsidR="000E357F" w:rsidRPr="000E357F" w:rsidRDefault="00771D15" w:rsidP="001D4E24">
      <w:pPr>
        <w:snapToGri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One </w:t>
      </w:r>
      <w:r w:rsidRPr="00FC4AEB">
        <w:rPr>
          <w:rFonts w:ascii="Times New Roman" w:hAnsi="Times New Roman" w:cs="Times New Roman"/>
          <w:i/>
          <w:sz w:val="24"/>
          <w:szCs w:val="24"/>
        </w:rPr>
        <w:t>prima fac</w:t>
      </w:r>
      <w:r w:rsidR="001D5AF8">
        <w:rPr>
          <w:rFonts w:ascii="Times New Roman" w:hAnsi="Times New Roman" w:cs="Times New Roman"/>
          <w:i/>
          <w:sz w:val="24"/>
          <w:szCs w:val="24"/>
        </w:rPr>
        <w:t>i</w:t>
      </w:r>
      <w:r w:rsidRPr="00FC4AEB">
        <w:rPr>
          <w:rFonts w:ascii="Times New Roman" w:hAnsi="Times New Roman" w:cs="Times New Roman"/>
          <w:i/>
          <w:sz w:val="24"/>
          <w:szCs w:val="24"/>
        </w:rPr>
        <w:t>e</w:t>
      </w:r>
      <w:r>
        <w:rPr>
          <w:rFonts w:ascii="Times New Roman" w:hAnsi="Times New Roman" w:cs="Times New Roman"/>
          <w:sz w:val="24"/>
          <w:szCs w:val="24"/>
        </w:rPr>
        <w:t xml:space="preserve"> counterintuitive result across </w:t>
      </w:r>
      <w:r w:rsidR="00FC4AEB">
        <w:rPr>
          <w:rFonts w:ascii="Times New Roman" w:hAnsi="Times New Roman" w:cs="Times New Roman"/>
          <w:sz w:val="24"/>
          <w:szCs w:val="24"/>
        </w:rPr>
        <w:t xml:space="preserve">Chilean </w:t>
      </w:r>
      <w:r>
        <w:rPr>
          <w:rFonts w:ascii="Times New Roman" w:hAnsi="Times New Roman" w:cs="Times New Roman"/>
          <w:sz w:val="24"/>
          <w:szCs w:val="24"/>
        </w:rPr>
        <w:t>sectors is the expected reduction in exports of ruminant meat (</w:t>
      </w:r>
      <w:r w:rsidR="00FC4AEB">
        <w:rPr>
          <w:rFonts w:ascii="Times New Roman" w:hAnsi="Times New Roman" w:cs="Times New Roman"/>
          <w:sz w:val="24"/>
          <w:szCs w:val="24"/>
        </w:rPr>
        <w:t xml:space="preserve">beef lamb) and other meat products (pig, turkey, poultry) as a result of further liberalisation. </w:t>
      </w:r>
      <w:r w:rsidR="000E357F">
        <w:rPr>
          <w:rFonts w:ascii="Times New Roman" w:hAnsi="Times New Roman" w:cs="Times New Roman"/>
          <w:sz w:val="24"/>
          <w:szCs w:val="24"/>
        </w:rPr>
        <w:t>This is explained by the fact that none of the</w:t>
      </w:r>
      <w:r w:rsidR="00622935">
        <w:rPr>
          <w:rFonts w:ascii="Times New Roman" w:hAnsi="Times New Roman" w:cs="Times New Roman"/>
          <w:sz w:val="24"/>
          <w:szCs w:val="24"/>
        </w:rPr>
        <w:t xml:space="preserve"> current</w:t>
      </w:r>
      <w:r w:rsidR="000E357F">
        <w:rPr>
          <w:rFonts w:ascii="Times New Roman" w:hAnsi="Times New Roman" w:cs="Times New Roman"/>
          <w:sz w:val="24"/>
          <w:szCs w:val="24"/>
        </w:rPr>
        <w:t xml:space="preserve"> tariff-rate quotas on meat granted by the EU in the context of the EU-Chile FTA is used fully. As a result, the model considered a 0% baseline import duty, which is why we do not observe a positive effect after liberalisation. On the contrary, the</w:t>
      </w:r>
      <w:r w:rsidR="000E357F" w:rsidRPr="000E357F">
        <w:rPr>
          <w:rFonts w:ascii="Times New Roman" w:hAnsi="Times New Roman" w:cs="Times New Roman"/>
          <w:sz w:val="24"/>
          <w:szCs w:val="24"/>
        </w:rPr>
        <w:t>re is a slight decrease in Chile's meat exports. This would be the result of a re-allocation of resources between sectors, i.e. other sectors growing at the expense of the meat sector.</w:t>
      </w:r>
    </w:p>
    <w:p w:rsidR="000E357F" w:rsidRDefault="00E606E2" w:rsidP="001D4E24">
      <w:pPr>
        <w:snapToGrid w:val="0"/>
        <w:spacing w:after="240" w:line="240" w:lineRule="auto"/>
        <w:jc w:val="both"/>
        <w:rPr>
          <w:rFonts w:ascii="Times New Roman" w:hAnsi="Times New Roman" w:cs="Times New Roman"/>
          <w:sz w:val="24"/>
          <w:szCs w:val="24"/>
        </w:rPr>
      </w:pPr>
      <w:r w:rsidRPr="00E606E2">
        <w:rPr>
          <w:rFonts w:ascii="Times New Roman" w:hAnsi="Times New Roman" w:cs="Times New Roman"/>
          <w:sz w:val="24"/>
          <w:szCs w:val="24"/>
        </w:rPr>
        <w:t xml:space="preserve">In terms of relative change of </w:t>
      </w:r>
      <w:r w:rsidRPr="008C1232">
        <w:rPr>
          <w:rFonts w:ascii="Times New Roman" w:hAnsi="Times New Roman" w:cs="Times New Roman"/>
          <w:sz w:val="24"/>
          <w:szCs w:val="24"/>
        </w:rPr>
        <w:t>sectoral output</w:t>
      </w:r>
      <w:r w:rsidR="000E357F">
        <w:rPr>
          <w:rFonts w:ascii="Times New Roman" w:hAnsi="Times New Roman" w:cs="Times New Roman"/>
          <w:sz w:val="24"/>
          <w:szCs w:val="24"/>
        </w:rPr>
        <w:t xml:space="preserve"> in the long term, the impact on the EU is</w:t>
      </w:r>
      <w:r w:rsidR="00DF146B">
        <w:rPr>
          <w:rFonts w:ascii="Times New Roman" w:hAnsi="Times New Roman" w:cs="Times New Roman"/>
          <w:sz w:val="24"/>
          <w:szCs w:val="24"/>
        </w:rPr>
        <w:t>,</w:t>
      </w:r>
      <w:r w:rsidR="000E357F">
        <w:rPr>
          <w:rFonts w:ascii="Times New Roman" w:hAnsi="Times New Roman" w:cs="Times New Roman"/>
          <w:sz w:val="24"/>
          <w:szCs w:val="24"/>
        </w:rPr>
        <w:t xml:space="preserve"> </w:t>
      </w:r>
      <w:r w:rsidR="00DF146B">
        <w:rPr>
          <w:rFonts w:ascii="Times New Roman" w:hAnsi="Times New Roman" w:cs="Times New Roman"/>
          <w:sz w:val="24"/>
          <w:szCs w:val="24"/>
        </w:rPr>
        <w:t xml:space="preserve">as expected, </w:t>
      </w:r>
      <w:r w:rsidR="000E357F">
        <w:rPr>
          <w:rFonts w:ascii="Times New Roman" w:hAnsi="Times New Roman" w:cs="Times New Roman"/>
          <w:sz w:val="24"/>
          <w:szCs w:val="24"/>
        </w:rPr>
        <w:t xml:space="preserve">negligible, given the difference in size between the EU and Chile. </w:t>
      </w:r>
      <w:r w:rsidR="008C1232">
        <w:rPr>
          <w:rFonts w:ascii="Times New Roman" w:hAnsi="Times New Roman" w:cs="Times New Roman"/>
          <w:sz w:val="24"/>
          <w:szCs w:val="24"/>
        </w:rPr>
        <w:t>The impact on sectoral output in Chile is mixed, with fruit and vegetables, beverages, dairy, non-metal products and utility sectors growing at the expense of others</w:t>
      </w:r>
      <w:r w:rsidR="00DF146B">
        <w:rPr>
          <w:rFonts w:ascii="Times New Roman" w:hAnsi="Times New Roman" w:cs="Times New Roman"/>
          <w:sz w:val="24"/>
          <w:szCs w:val="24"/>
        </w:rPr>
        <w:t xml:space="preserve"> (</w:t>
      </w:r>
      <w:r w:rsidR="00E5754D">
        <w:rPr>
          <w:rFonts w:ascii="Times New Roman" w:hAnsi="Times New Roman" w:cs="Times New Roman"/>
          <w:sz w:val="24"/>
          <w:szCs w:val="24"/>
        </w:rPr>
        <w:t xml:space="preserve">e.g. machinery, motor </w:t>
      </w:r>
      <w:r w:rsidR="00285202">
        <w:rPr>
          <w:rFonts w:ascii="Times New Roman" w:hAnsi="Times New Roman" w:cs="Times New Roman"/>
          <w:sz w:val="24"/>
          <w:szCs w:val="24"/>
        </w:rPr>
        <w:t xml:space="preserve">vehicles and transport </w:t>
      </w:r>
      <w:r w:rsidR="00702EF7">
        <w:rPr>
          <w:rFonts w:ascii="Times New Roman" w:hAnsi="Times New Roman" w:cs="Times New Roman"/>
          <w:sz w:val="24"/>
          <w:szCs w:val="24"/>
        </w:rPr>
        <w:t xml:space="preserve">equipment, coal, </w:t>
      </w:r>
      <w:r w:rsidR="00E5754D">
        <w:rPr>
          <w:rFonts w:ascii="Times New Roman" w:hAnsi="Times New Roman" w:cs="Times New Roman"/>
          <w:sz w:val="24"/>
          <w:szCs w:val="24"/>
        </w:rPr>
        <w:t xml:space="preserve">fibers and crop). It </w:t>
      </w:r>
      <w:r w:rsidR="000218B8">
        <w:rPr>
          <w:rFonts w:ascii="Times New Roman" w:hAnsi="Times New Roman" w:cs="Times New Roman"/>
          <w:sz w:val="24"/>
          <w:szCs w:val="24"/>
        </w:rPr>
        <w:t xml:space="preserve">should be underlined that </w:t>
      </w:r>
      <w:r w:rsidR="00702EF7">
        <w:rPr>
          <w:rFonts w:ascii="Times New Roman" w:hAnsi="Times New Roman" w:cs="Times New Roman"/>
          <w:sz w:val="24"/>
          <w:szCs w:val="24"/>
        </w:rPr>
        <w:t>these expected sectoral changes</w:t>
      </w:r>
      <w:r w:rsidR="000218B8">
        <w:rPr>
          <w:rFonts w:ascii="Times New Roman" w:hAnsi="Times New Roman" w:cs="Times New Roman"/>
          <w:sz w:val="24"/>
          <w:szCs w:val="24"/>
        </w:rPr>
        <w:t xml:space="preserve"> are </w:t>
      </w:r>
      <w:r w:rsidR="00586AE6">
        <w:rPr>
          <w:rFonts w:ascii="Times New Roman" w:hAnsi="Times New Roman" w:cs="Times New Roman"/>
          <w:sz w:val="24"/>
          <w:szCs w:val="24"/>
        </w:rPr>
        <w:t xml:space="preserve">expressed in </w:t>
      </w:r>
      <w:r w:rsidR="000218B8">
        <w:rPr>
          <w:rFonts w:ascii="Times New Roman" w:hAnsi="Times New Roman" w:cs="Times New Roman"/>
          <w:sz w:val="24"/>
          <w:szCs w:val="24"/>
        </w:rPr>
        <w:t>percentage, and the impact in absolute terms</w:t>
      </w:r>
      <w:r w:rsidR="00586AE6">
        <w:rPr>
          <w:rFonts w:ascii="Times New Roman" w:hAnsi="Times New Roman" w:cs="Times New Roman"/>
          <w:sz w:val="24"/>
          <w:szCs w:val="24"/>
        </w:rPr>
        <w:t xml:space="preserve"> may differ</w:t>
      </w:r>
      <w:r w:rsidR="000218B8">
        <w:rPr>
          <w:rFonts w:ascii="Times New Roman" w:hAnsi="Times New Roman" w:cs="Times New Roman"/>
          <w:sz w:val="24"/>
          <w:szCs w:val="24"/>
        </w:rPr>
        <w:t xml:space="preserve">. For instance, the CGE modelling </w:t>
      </w:r>
      <w:r w:rsidR="00586AE6">
        <w:rPr>
          <w:rFonts w:ascii="Times New Roman" w:hAnsi="Times New Roman" w:cs="Times New Roman"/>
          <w:sz w:val="24"/>
          <w:szCs w:val="24"/>
        </w:rPr>
        <w:t xml:space="preserve">foresees </w:t>
      </w:r>
      <w:r w:rsidR="000218B8">
        <w:rPr>
          <w:rFonts w:ascii="Times New Roman" w:hAnsi="Times New Roman" w:cs="Times New Roman"/>
          <w:sz w:val="24"/>
          <w:szCs w:val="24"/>
        </w:rPr>
        <w:t>a reduction of</w:t>
      </w:r>
      <w:r w:rsidR="00586AE6">
        <w:rPr>
          <w:rFonts w:ascii="Times New Roman" w:hAnsi="Times New Roman" w:cs="Times New Roman"/>
          <w:sz w:val="24"/>
          <w:szCs w:val="24"/>
        </w:rPr>
        <w:t xml:space="preserve"> motor </w:t>
      </w:r>
      <w:r w:rsidR="00285202">
        <w:rPr>
          <w:rFonts w:ascii="Times New Roman" w:hAnsi="Times New Roman" w:cs="Times New Roman"/>
          <w:sz w:val="24"/>
          <w:szCs w:val="24"/>
        </w:rPr>
        <w:t xml:space="preserve">vehicles and transport </w:t>
      </w:r>
      <w:r w:rsidR="00586AE6">
        <w:rPr>
          <w:rFonts w:ascii="Times New Roman" w:hAnsi="Times New Roman" w:cs="Times New Roman"/>
          <w:sz w:val="24"/>
          <w:szCs w:val="24"/>
        </w:rPr>
        <w:t>equipment</w:t>
      </w:r>
      <w:r w:rsidR="00630149">
        <w:rPr>
          <w:rFonts w:ascii="Times New Roman" w:hAnsi="Times New Roman" w:cs="Times New Roman"/>
          <w:sz w:val="24"/>
          <w:szCs w:val="24"/>
        </w:rPr>
        <w:t xml:space="preserve"> output</w:t>
      </w:r>
      <w:r w:rsidR="00586AE6">
        <w:rPr>
          <w:rFonts w:ascii="Times New Roman" w:hAnsi="Times New Roman" w:cs="Times New Roman"/>
          <w:sz w:val="24"/>
          <w:szCs w:val="24"/>
        </w:rPr>
        <w:t xml:space="preserve"> in Chile around 1%. However, in absolute terms the impact would be almost negligible, as Chile has no vehicle production and no significant component production.</w:t>
      </w:r>
      <w:r w:rsidR="000218B8">
        <w:rPr>
          <w:rFonts w:ascii="Times New Roman" w:hAnsi="Times New Roman" w:cs="Times New Roman"/>
          <w:sz w:val="24"/>
          <w:szCs w:val="24"/>
        </w:rPr>
        <w:t xml:space="preserve"> </w:t>
      </w:r>
    </w:p>
    <w:p w:rsidR="0065140A" w:rsidRDefault="0065140A" w:rsidP="001D4E24">
      <w:pPr>
        <w:snapToGri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It is worth noting that</w:t>
      </w:r>
      <w:r w:rsidR="00DF7B7F">
        <w:rPr>
          <w:rFonts w:ascii="Times New Roman" w:hAnsi="Times New Roman" w:cs="Times New Roman"/>
          <w:sz w:val="24"/>
          <w:szCs w:val="24"/>
        </w:rPr>
        <w:t>,</w:t>
      </w:r>
      <w:r>
        <w:rPr>
          <w:rFonts w:ascii="Times New Roman" w:hAnsi="Times New Roman" w:cs="Times New Roman"/>
          <w:sz w:val="24"/>
          <w:szCs w:val="24"/>
        </w:rPr>
        <w:t xml:space="preserve"> in the services sector</w:t>
      </w:r>
      <w:r w:rsidR="00DF7B7F">
        <w:rPr>
          <w:rFonts w:ascii="Times New Roman" w:hAnsi="Times New Roman" w:cs="Times New Roman"/>
          <w:sz w:val="24"/>
          <w:szCs w:val="24"/>
        </w:rPr>
        <w:t>,</w:t>
      </w:r>
      <w:r>
        <w:rPr>
          <w:rFonts w:ascii="Times New Roman" w:hAnsi="Times New Roman" w:cs="Times New Roman"/>
          <w:sz w:val="24"/>
          <w:szCs w:val="24"/>
        </w:rPr>
        <w:t xml:space="preserve"> the modernised Agreement is expected to have a positive impact on all the services sub-sectors considered in the CGE modelling, both in the EU and in Chile, although the impact on the EU is almost negligible.</w:t>
      </w:r>
    </w:p>
    <w:p w:rsidR="0065140A" w:rsidRDefault="0065140A" w:rsidP="001D4E24">
      <w:pPr>
        <w:snapToGri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 details on the impact of the modernised Agreement on sectoral output and on sectoral exports is presented in Annex 4. </w:t>
      </w:r>
    </w:p>
    <w:p w:rsidR="008C1232" w:rsidRPr="00A07149" w:rsidRDefault="008C1232" w:rsidP="007D0463">
      <w:pPr>
        <w:snapToGrid w:val="0"/>
        <w:spacing w:after="120" w:line="240" w:lineRule="auto"/>
        <w:jc w:val="both"/>
        <w:rPr>
          <w:rFonts w:ascii="Times New Roman" w:hAnsi="Times New Roman" w:cs="Times New Roman"/>
          <w:b/>
          <w:sz w:val="10"/>
          <w:szCs w:val="10"/>
        </w:rPr>
      </w:pPr>
    </w:p>
    <w:p w:rsidR="00E606E2" w:rsidRDefault="00E606E2" w:rsidP="00882520">
      <w:pPr>
        <w:pStyle w:val="Heading2"/>
        <w:numPr>
          <w:ilvl w:val="1"/>
          <w:numId w:val="56"/>
        </w:numPr>
        <w:spacing w:after="240"/>
        <w:ind w:left="788" w:hanging="431"/>
        <w:rPr>
          <w:u w:val="single"/>
        </w:rPr>
      </w:pPr>
      <w:bookmarkStart w:id="45" w:name="_Toc473123088"/>
      <w:r w:rsidRPr="00261E9D">
        <w:rPr>
          <w:u w:val="single"/>
        </w:rPr>
        <w:t>Impact on SMEs</w:t>
      </w:r>
      <w:bookmarkEnd w:id="45"/>
    </w:p>
    <w:p w:rsidR="00B05D7B" w:rsidRDefault="003A59F4" w:rsidP="00B05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general terms </w:t>
      </w:r>
      <w:r w:rsidR="00B05D7B">
        <w:rPr>
          <w:rFonts w:ascii="Times New Roman" w:hAnsi="Times New Roman" w:cs="Times New Roman"/>
          <w:sz w:val="24"/>
          <w:szCs w:val="24"/>
        </w:rPr>
        <w:t>SMEs should gain from the modernisation of the EU-</w:t>
      </w:r>
      <w:r w:rsidR="00052519">
        <w:rPr>
          <w:rFonts w:ascii="Times New Roman" w:hAnsi="Times New Roman" w:cs="Times New Roman"/>
          <w:sz w:val="24"/>
          <w:szCs w:val="24"/>
        </w:rPr>
        <w:t xml:space="preserve">Chile </w:t>
      </w:r>
      <w:r w:rsidR="00B05D7B">
        <w:rPr>
          <w:rFonts w:ascii="Times New Roman" w:hAnsi="Times New Roman" w:cs="Times New Roman"/>
          <w:sz w:val="24"/>
          <w:szCs w:val="24"/>
        </w:rPr>
        <w:t>FTA on a number of levels: NTB</w:t>
      </w:r>
      <w:r w:rsidR="00B05D7B" w:rsidRPr="00784E07">
        <w:rPr>
          <w:rFonts w:ascii="Times New Roman" w:hAnsi="Times New Roman" w:cs="Times New Roman"/>
          <w:sz w:val="24"/>
          <w:szCs w:val="24"/>
        </w:rPr>
        <w:t xml:space="preserve"> cost reduction, </w:t>
      </w:r>
      <w:r w:rsidR="00B05D7B">
        <w:rPr>
          <w:rFonts w:ascii="Times New Roman" w:hAnsi="Times New Roman" w:cs="Times New Roman"/>
          <w:sz w:val="24"/>
          <w:szCs w:val="24"/>
        </w:rPr>
        <w:t xml:space="preserve">simpler rules of origin, </w:t>
      </w:r>
      <w:r w:rsidR="00B05D7B" w:rsidRPr="00784E07">
        <w:rPr>
          <w:rFonts w:ascii="Times New Roman" w:hAnsi="Times New Roman" w:cs="Times New Roman"/>
          <w:sz w:val="24"/>
          <w:szCs w:val="24"/>
        </w:rPr>
        <w:t>increased regulatory coop</w:t>
      </w:r>
      <w:r w:rsidR="00B05D7B">
        <w:rPr>
          <w:rFonts w:ascii="Times New Roman" w:hAnsi="Times New Roman" w:cs="Times New Roman"/>
          <w:sz w:val="24"/>
          <w:szCs w:val="24"/>
        </w:rPr>
        <w:t xml:space="preserve">eration between the EU and </w:t>
      </w:r>
      <w:r w:rsidR="009346C0">
        <w:rPr>
          <w:rFonts w:ascii="Times New Roman" w:hAnsi="Times New Roman" w:cs="Times New Roman"/>
          <w:sz w:val="24"/>
          <w:szCs w:val="24"/>
        </w:rPr>
        <w:t>Chile</w:t>
      </w:r>
      <w:r w:rsidR="00B05D7B" w:rsidRPr="00784E07">
        <w:rPr>
          <w:rFonts w:ascii="Times New Roman" w:hAnsi="Times New Roman" w:cs="Times New Roman"/>
          <w:sz w:val="24"/>
          <w:szCs w:val="24"/>
        </w:rPr>
        <w:t xml:space="preserve"> as well as further convergence towards international standards</w:t>
      </w:r>
      <w:r w:rsidR="00B05D7B">
        <w:rPr>
          <w:rFonts w:ascii="Times New Roman" w:hAnsi="Times New Roman" w:cs="Times New Roman"/>
          <w:sz w:val="24"/>
          <w:szCs w:val="24"/>
        </w:rPr>
        <w:t>.</w:t>
      </w:r>
      <w:r w:rsidR="00B05D7B" w:rsidRPr="00B05D7B">
        <w:rPr>
          <w:rFonts w:ascii="Times New Roman" w:hAnsi="Times New Roman" w:cs="Times New Roman"/>
          <w:sz w:val="24"/>
          <w:szCs w:val="24"/>
        </w:rPr>
        <w:t xml:space="preserve"> </w:t>
      </w:r>
      <w:r w:rsidR="00B05D7B">
        <w:rPr>
          <w:rFonts w:ascii="Times New Roman" w:hAnsi="Times New Roman" w:cs="Times New Roman"/>
          <w:sz w:val="24"/>
          <w:szCs w:val="24"/>
        </w:rPr>
        <w:t>A</w:t>
      </w:r>
      <w:r w:rsidR="00B05D7B" w:rsidRPr="004960A3">
        <w:rPr>
          <w:rFonts w:ascii="Times New Roman" w:hAnsi="Times New Roman" w:cs="Times New Roman"/>
          <w:sz w:val="24"/>
          <w:szCs w:val="24"/>
        </w:rPr>
        <w:t xml:space="preserve"> modernised FTA would </w:t>
      </w:r>
      <w:r w:rsidR="00B05D7B">
        <w:rPr>
          <w:rFonts w:ascii="Times New Roman" w:hAnsi="Times New Roman" w:cs="Times New Roman"/>
          <w:sz w:val="24"/>
          <w:szCs w:val="24"/>
        </w:rPr>
        <w:t>also create</w:t>
      </w:r>
      <w:r w:rsidR="00B05D7B" w:rsidRPr="004960A3">
        <w:rPr>
          <w:rFonts w:ascii="Times New Roman" w:hAnsi="Times New Roman" w:cs="Times New Roman"/>
          <w:sz w:val="24"/>
          <w:szCs w:val="24"/>
        </w:rPr>
        <w:t xml:space="preserve"> an opportunity to str</w:t>
      </w:r>
      <w:r w:rsidR="00B05D7B">
        <w:rPr>
          <w:rFonts w:ascii="Times New Roman" w:hAnsi="Times New Roman" w:cs="Times New Roman"/>
          <w:sz w:val="24"/>
          <w:szCs w:val="24"/>
        </w:rPr>
        <w:t>engthen existing cooperation</w:t>
      </w:r>
      <w:r w:rsidR="00B05D7B" w:rsidRPr="004960A3">
        <w:rPr>
          <w:rFonts w:ascii="Times New Roman" w:hAnsi="Times New Roman" w:cs="Times New Roman"/>
          <w:sz w:val="24"/>
          <w:szCs w:val="24"/>
        </w:rPr>
        <w:t xml:space="preserve"> </w:t>
      </w:r>
      <w:r w:rsidR="00B05D7B">
        <w:rPr>
          <w:rFonts w:ascii="Times New Roman" w:hAnsi="Times New Roman" w:cs="Times New Roman"/>
          <w:sz w:val="24"/>
          <w:szCs w:val="24"/>
        </w:rPr>
        <w:t xml:space="preserve">to help SMEs to increase their exports.  </w:t>
      </w:r>
    </w:p>
    <w:p w:rsidR="00B05D7B" w:rsidRPr="007A7863" w:rsidRDefault="00B05D7B" w:rsidP="00B05D7B">
      <w:pPr>
        <w:spacing w:after="0" w:line="240" w:lineRule="auto"/>
        <w:jc w:val="both"/>
        <w:rPr>
          <w:rFonts w:ascii="Times New Roman" w:hAnsi="Times New Roman" w:cs="Times New Roman"/>
          <w:sz w:val="24"/>
          <w:szCs w:val="24"/>
        </w:rPr>
      </w:pPr>
    </w:p>
    <w:p w:rsidR="00052519" w:rsidRDefault="00052519" w:rsidP="00E606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However, the</w:t>
      </w:r>
      <w:r w:rsidR="008C1232">
        <w:rPr>
          <w:rFonts w:ascii="Times New Roman" w:hAnsi="Times New Roman" w:cs="Times New Roman"/>
          <w:sz w:val="24"/>
          <w:szCs w:val="24"/>
        </w:rPr>
        <w:t xml:space="preserve"> small size of Chile's economy compared to the EU</w:t>
      </w:r>
      <w:r>
        <w:rPr>
          <w:rFonts w:ascii="Times New Roman" w:hAnsi="Times New Roman" w:cs="Times New Roman"/>
          <w:sz w:val="24"/>
          <w:szCs w:val="24"/>
        </w:rPr>
        <w:t xml:space="preserve"> means that </w:t>
      </w:r>
      <w:r w:rsidR="008C1232">
        <w:rPr>
          <w:rFonts w:ascii="Times New Roman" w:hAnsi="Times New Roman" w:cs="Times New Roman"/>
          <w:sz w:val="24"/>
          <w:szCs w:val="24"/>
        </w:rPr>
        <w:t xml:space="preserve">the impact </w:t>
      </w:r>
      <w:r>
        <w:rPr>
          <w:rFonts w:ascii="Times New Roman" w:hAnsi="Times New Roman" w:cs="Times New Roman"/>
          <w:sz w:val="24"/>
          <w:szCs w:val="24"/>
        </w:rPr>
        <w:t xml:space="preserve">of a modernised EU-Chile FTA </w:t>
      </w:r>
      <w:r w:rsidR="008C1232">
        <w:rPr>
          <w:rFonts w:ascii="Times New Roman" w:hAnsi="Times New Roman" w:cs="Times New Roman"/>
          <w:sz w:val="24"/>
          <w:szCs w:val="24"/>
        </w:rPr>
        <w:t xml:space="preserve">on </w:t>
      </w:r>
      <w:r w:rsidR="000644C4">
        <w:rPr>
          <w:rFonts w:ascii="Times New Roman" w:hAnsi="Times New Roman" w:cs="Times New Roman"/>
          <w:sz w:val="24"/>
          <w:szCs w:val="24"/>
        </w:rPr>
        <w:t xml:space="preserve">all </w:t>
      </w:r>
      <w:r w:rsidR="008C1232">
        <w:rPr>
          <w:rFonts w:ascii="Times New Roman" w:hAnsi="Times New Roman" w:cs="Times New Roman"/>
          <w:sz w:val="24"/>
          <w:szCs w:val="24"/>
        </w:rPr>
        <w:t xml:space="preserve">EU SMEs, even under the </w:t>
      </w:r>
      <w:r w:rsidR="000E3CB2">
        <w:rPr>
          <w:rFonts w:ascii="Times New Roman" w:hAnsi="Times New Roman" w:cs="Times New Roman"/>
          <w:sz w:val="24"/>
          <w:szCs w:val="24"/>
        </w:rPr>
        <w:t>ambitious</w:t>
      </w:r>
      <w:r w:rsidR="008C1232">
        <w:rPr>
          <w:rFonts w:ascii="Times New Roman" w:hAnsi="Times New Roman" w:cs="Times New Roman"/>
          <w:sz w:val="24"/>
          <w:szCs w:val="24"/>
        </w:rPr>
        <w:t xml:space="preserve"> scenario</w:t>
      </w:r>
      <w:r>
        <w:rPr>
          <w:rFonts w:ascii="Times New Roman" w:hAnsi="Times New Roman" w:cs="Times New Roman"/>
          <w:sz w:val="24"/>
          <w:szCs w:val="24"/>
        </w:rPr>
        <w:t>,</w:t>
      </w:r>
      <w:r w:rsidR="008C1232">
        <w:rPr>
          <w:rFonts w:ascii="Times New Roman" w:hAnsi="Times New Roman" w:cs="Times New Roman"/>
          <w:sz w:val="24"/>
          <w:szCs w:val="24"/>
        </w:rPr>
        <w:t xml:space="preserve"> would be </w:t>
      </w:r>
      <w:r w:rsidR="00BB2AC6">
        <w:rPr>
          <w:rFonts w:ascii="Times New Roman" w:hAnsi="Times New Roman" w:cs="Times New Roman"/>
          <w:sz w:val="24"/>
          <w:szCs w:val="24"/>
        </w:rPr>
        <w:t xml:space="preserve">generally </w:t>
      </w:r>
      <w:r w:rsidR="008C1232">
        <w:rPr>
          <w:rFonts w:ascii="Times New Roman" w:hAnsi="Times New Roman" w:cs="Times New Roman"/>
          <w:sz w:val="24"/>
          <w:szCs w:val="24"/>
        </w:rPr>
        <w:t>negligible.</w:t>
      </w:r>
      <w:r>
        <w:rPr>
          <w:rFonts w:ascii="Times New Roman" w:hAnsi="Times New Roman" w:cs="Times New Roman"/>
          <w:sz w:val="24"/>
          <w:szCs w:val="24"/>
        </w:rPr>
        <w:t xml:space="preserve"> </w:t>
      </w:r>
      <w:r w:rsidR="000644C4">
        <w:rPr>
          <w:rFonts w:ascii="Times New Roman" w:hAnsi="Times New Roman" w:cs="Times New Roman"/>
          <w:sz w:val="24"/>
          <w:szCs w:val="24"/>
        </w:rPr>
        <w:t>Nevertheless, EU SMEs would benefit from the overall export growth of an ambitious trade liberalisation (21.46% in 2025), in particular in sectors where tariffs and NTBs will be eliminated.</w:t>
      </w:r>
    </w:p>
    <w:p w:rsidR="003A59F4" w:rsidRDefault="0069154D" w:rsidP="00E606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 the case of Chile, on the other hand, the impact of the modernisation could have noticeable effects on SME</w:t>
      </w:r>
      <w:r w:rsidR="009346C0">
        <w:rPr>
          <w:rFonts w:ascii="Times New Roman" w:hAnsi="Times New Roman" w:cs="Times New Roman"/>
          <w:sz w:val="24"/>
          <w:szCs w:val="24"/>
        </w:rPr>
        <w:t>s</w:t>
      </w:r>
      <w:r>
        <w:rPr>
          <w:rFonts w:ascii="Times New Roman" w:hAnsi="Times New Roman" w:cs="Times New Roman"/>
          <w:sz w:val="24"/>
          <w:szCs w:val="24"/>
        </w:rPr>
        <w:t xml:space="preserve">. </w:t>
      </w:r>
      <w:r w:rsidR="00BB2AC6">
        <w:rPr>
          <w:rFonts w:ascii="Times New Roman" w:hAnsi="Times New Roman" w:cs="Times New Roman"/>
          <w:sz w:val="24"/>
          <w:szCs w:val="24"/>
        </w:rPr>
        <w:t xml:space="preserve">Considering the importance of SMEs for overall employment, it is important to identify in which sectors of the Chilean economy SMEs </w:t>
      </w:r>
      <w:r w:rsidR="009F4749">
        <w:rPr>
          <w:rFonts w:ascii="Times New Roman" w:hAnsi="Times New Roman" w:cs="Times New Roman"/>
          <w:sz w:val="24"/>
          <w:szCs w:val="24"/>
        </w:rPr>
        <w:t xml:space="preserve">are </w:t>
      </w:r>
      <w:r w:rsidR="00BB2AC6">
        <w:rPr>
          <w:rFonts w:ascii="Times New Roman" w:hAnsi="Times New Roman" w:cs="Times New Roman"/>
          <w:sz w:val="24"/>
          <w:szCs w:val="24"/>
        </w:rPr>
        <w:t xml:space="preserve">predominant, and to match this data with the CGE estimates on the </w:t>
      </w:r>
      <w:r w:rsidR="003A59F4">
        <w:rPr>
          <w:rFonts w:ascii="Times New Roman" w:hAnsi="Times New Roman" w:cs="Times New Roman"/>
          <w:sz w:val="24"/>
          <w:szCs w:val="24"/>
        </w:rPr>
        <w:t xml:space="preserve">impact of a modernisation of the EU-Chile </w:t>
      </w:r>
      <w:r w:rsidR="00622935">
        <w:rPr>
          <w:rFonts w:ascii="Times New Roman" w:hAnsi="Times New Roman" w:cs="Times New Roman"/>
          <w:sz w:val="24"/>
          <w:szCs w:val="24"/>
        </w:rPr>
        <w:t>A</w:t>
      </w:r>
      <w:r w:rsidR="003A59F4">
        <w:rPr>
          <w:rFonts w:ascii="Times New Roman" w:hAnsi="Times New Roman" w:cs="Times New Roman"/>
          <w:sz w:val="24"/>
          <w:szCs w:val="24"/>
        </w:rPr>
        <w:t>greement on these sectors.</w:t>
      </w:r>
    </w:p>
    <w:p w:rsidR="0069154D" w:rsidRDefault="0069154D" w:rsidP="00E606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SMEs in the Chilean economy </w:t>
      </w:r>
      <w:r w:rsidR="009346C0">
        <w:rPr>
          <w:rFonts w:ascii="Times New Roman" w:hAnsi="Times New Roman" w:cs="Times New Roman"/>
          <w:sz w:val="24"/>
          <w:szCs w:val="24"/>
        </w:rPr>
        <w:t>are</w:t>
      </w:r>
      <w:r>
        <w:rPr>
          <w:rFonts w:ascii="Times New Roman" w:hAnsi="Times New Roman" w:cs="Times New Roman"/>
          <w:sz w:val="24"/>
          <w:szCs w:val="24"/>
        </w:rPr>
        <w:t xml:space="preserve"> particularly concentrated </w:t>
      </w:r>
      <w:r w:rsidR="009F4749">
        <w:rPr>
          <w:rFonts w:ascii="Times New Roman" w:hAnsi="Times New Roman" w:cs="Times New Roman"/>
          <w:sz w:val="24"/>
          <w:szCs w:val="24"/>
        </w:rPr>
        <w:t>i</w:t>
      </w:r>
      <w:r>
        <w:rPr>
          <w:rFonts w:ascii="Times New Roman" w:hAnsi="Times New Roman" w:cs="Times New Roman"/>
          <w:sz w:val="24"/>
          <w:szCs w:val="24"/>
        </w:rPr>
        <w:t>n three sectors</w:t>
      </w:r>
      <w:r w:rsidR="009346C0">
        <w:rPr>
          <w:rFonts w:ascii="Times New Roman" w:hAnsi="Times New Roman" w:cs="Times New Roman"/>
          <w:sz w:val="24"/>
          <w:szCs w:val="24"/>
        </w:rPr>
        <w:t>, which</w:t>
      </w:r>
      <w:r>
        <w:rPr>
          <w:rFonts w:ascii="Times New Roman" w:hAnsi="Times New Roman" w:cs="Times New Roman"/>
          <w:sz w:val="24"/>
          <w:szCs w:val="24"/>
        </w:rPr>
        <w:t xml:space="preserve"> account for 60% of the total</w:t>
      </w:r>
      <w:r w:rsidR="003672A3" w:rsidRPr="0086437E">
        <w:rPr>
          <w:rFonts w:ascii="Times New Roman" w:hAnsi="Times New Roman" w:cs="Times New Roman"/>
          <w:sz w:val="24"/>
          <w:szCs w:val="24"/>
        </w:rPr>
        <w:t xml:space="preserve">: </w:t>
      </w:r>
      <w:r w:rsidRPr="0086437E">
        <w:rPr>
          <w:rFonts w:ascii="Times New Roman" w:hAnsi="Times New Roman" w:cs="Times New Roman"/>
          <w:sz w:val="24"/>
          <w:szCs w:val="24"/>
        </w:rPr>
        <w:t xml:space="preserve">recreational </w:t>
      </w:r>
      <w:r w:rsidR="009346C0">
        <w:rPr>
          <w:rFonts w:ascii="Times New Roman" w:hAnsi="Times New Roman" w:cs="Times New Roman"/>
          <w:sz w:val="24"/>
          <w:szCs w:val="24"/>
        </w:rPr>
        <w:t>&amp;</w:t>
      </w:r>
      <w:r w:rsidRPr="0086437E">
        <w:rPr>
          <w:rFonts w:ascii="Times New Roman" w:hAnsi="Times New Roman" w:cs="Times New Roman"/>
          <w:sz w:val="24"/>
          <w:szCs w:val="24"/>
        </w:rPr>
        <w:t xml:space="preserve"> other services, communication </w:t>
      </w:r>
      <w:r w:rsidR="009346C0">
        <w:rPr>
          <w:rFonts w:ascii="Times New Roman" w:hAnsi="Times New Roman" w:cs="Times New Roman"/>
          <w:sz w:val="24"/>
          <w:szCs w:val="24"/>
        </w:rPr>
        <w:t>&amp;</w:t>
      </w:r>
      <w:r w:rsidRPr="0086437E">
        <w:rPr>
          <w:rFonts w:ascii="Times New Roman" w:hAnsi="Times New Roman" w:cs="Times New Roman"/>
          <w:sz w:val="24"/>
          <w:szCs w:val="24"/>
        </w:rPr>
        <w:t xml:space="preserve"> business sectors</w:t>
      </w:r>
      <w:r w:rsidR="009346C0">
        <w:rPr>
          <w:rFonts w:ascii="Times New Roman" w:hAnsi="Times New Roman" w:cs="Times New Roman"/>
          <w:sz w:val="24"/>
          <w:szCs w:val="24"/>
        </w:rPr>
        <w:t>,</w:t>
      </w:r>
      <w:r w:rsidRPr="0086437E">
        <w:rPr>
          <w:rFonts w:ascii="Times New Roman" w:hAnsi="Times New Roman" w:cs="Times New Roman"/>
          <w:sz w:val="24"/>
          <w:szCs w:val="24"/>
        </w:rPr>
        <w:t xml:space="preserve"> and construction. In terms of employment, in 2014 the recreational and other services sector alone absorbed almost 50% of the total SME workforce. Communication and business</w:t>
      </w:r>
      <w:r w:rsidR="00BE7E2B" w:rsidRPr="0086437E">
        <w:rPr>
          <w:rFonts w:ascii="Times New Roman" w:hAnsi="Times New Roman" w:cs="Times New Roman"/>
          <w:sz w:val="24"/>
          <w:szCs w:val="24"/>
        </w:rPr>
        <w:t xml:space="preserve"> </w:t>
      </w:r>
      <w:r w:rsidRPr="0086437E">
        <w:rPr>
          <w:rFonts w:ascii="Times New Roman" w:hAnsi="Times New Roman" w:cs="Times New Roman"/>
          <w:sz w:val="24"/>
          <w:szCs w:val="24"/>
        </w:rPr>
        <w:t>services, transport and construction absorbed</w:t>
      </w:r>
      <w:r>
        <w:rPr>
          <w:rFonts w:ascii="Times New Roman" w:hAnsi="Times New Roman" w:cs="Times New Roman"/>
          <w:sz w:val="24"/>
          <w:szCs w:val="24"/>
        </w:rPr>
        <w:t xml:space="preserve"> a further 29% of the SME wor</w:t>
      </w:r>
      <w:r w:rsidR="00D54096">
        <w:rPr>
          <w:rFonts w:ascii="Times New Roman" w:hAnsi="Times New Roman" w:cs="Times New Roman"/>
          <w:sz w:val="24"/>
          <w:szCs w:val="24"/>
        </w:rPr>
        <w:t>k</w:t>
      </w:r>
      <w:r>
        <w:rPr>
          <w:rFonts w:ascii="Times New Roman" w:hAnsi="Times New Roman" w:cs="Times New Roman"/>
          <w:sz w:val="24"/>
          <w:szCs w:val="24"/>
        </w:rPr>
        <w:t xml:space="preserve">force. </w:t>
      </w:r>
    </w:p>
    <w:p w:rsidR="0086437E" w:rsidRDefault="00BE7E2B" w:rsidP="00E606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52519">
        <w:rPr>
          <w:rFonts w:ascii="Times New Roman" w:hAnsi="Times New Roman" w:cs="Times New Roman"/>
          <w:sz w:val="24"/>
          <w:szCs w:val="24"/>
        </w:rPr>
        <w:t xml:space="preserve">31 sectors of the </w:t>
      </w:r>
      <w:r>
        <w:rPr>
          <w:rFonts w:ascii="Times New Roman" w:hAnsi="Times New Roman" w:cs="Times New Roman"/>
          <w:sz w:val="24"/>
          <w:szCs w:val="24"/>
        </w:rPr>
        <w:t xml:space="preserve">CGE modelling </w:t>
      </w:r>
      <w:r w:rsidR="00052519">
        <w:rPr>
          <w:rFonts w:ascii="Times New Roman" w:hAnsi="Times New Roman" w:cs="Times New Roman"/>
          <w:sz w:val="24"/>
          <w:szCs w:val="24"/>
        </w:rPr>
        <w:t xml:space="preserve">cover </w:t>
      </w:r>
      <w:r>
        <w:rPr>
          <w:rFonts w:ascii="Times New Roman" w:hAnsi="Times New Roman" w:cs="Times New Roman"/>
          <w:sz w:val="24"/>
          <w:szCs w:val="24"/>
        </w:rPr>
        <w:t>other services</w:t>
      </w:r>
      <w:r w:rsidR="00052519">
        <w:rPr>
          <w:rFonts w:ascii="Times New Roman" w:hAnsi="Times New Roman" w:cs="Times New Roman"/>
          <w:sz w:val="24"/>
          <w:szCs w:val="24"/>
        </w:rPr>
        <w:t xml:space="preserve"> (including recreation)</w:t>
      </w:r>
      <w:r>
        <w:rPr>
          <w:rFonts w:ascii="Times New Roman" w:hAnsi="Times New Roman" w:cs="Times New Roman"/>
          <w:sz w:val="24"/>
          <w:szCs w:val="24"/>
        </w:rPr>
        <w:t>, communication</w:t>
      </w:r>
      <w:r w:rsidR="009346C0">
        <w:rPr>
          <w:rFonts w:ascii="Times New Roman" w:hAnsi="Times New Roman" w:cs="Times New Roman"/>
          <w:sz w:val="24"/>
          <w:szCs w:val="24"/>
        </w:rPr>
        <w:t xml:space="preserve"> and</w:t>
      </w:r>
      <w:r>
        <w:rPr>
          <w:rFonts w:ascii="Times New Roman" w:hAnsi="Times New Roman" w:cs="Times New Roman"/>
          <w:sz w:val="24"/>
          <w:szCs w:val="24"/>
        </w:rPr>
        <w:t xml:space="preserve"> transport</w:t>
      </w:r>
      <w:r w:rsidR="003672A3">
        <w:rPr>
          <w:rFonts w:ascii="Times New Roman" w:hAnsi="Times New Roman" w:cs="Times New Roman"/>
          <w:sz w:val="24"/>
          <w:szCs w:val="24"/>
        </w:rPr>
        <w:t>. In terms of sectoral output</w:t>
      </w:r>
      <w:r w:rsidR="009F4749">
        <w:rPr>
          <w:rFonts w:ascii="Times New Roman" w:hAnsi="Times New Roman" w:cs="Times New Roman"/>
          <w:sz w:val="24"/>
          <w:szCs w:val="24"/>
        </w:rPr>
        <w:t>,</w:t>
      </w:r>
      <w:r w:rsidR="003672A3">
        <w:rPr>
          <w:rFonts w:ascii="Times New Roman" w:hAnsi="Times New Roman" w:cs="Times New Roman"/>
          <w:sz w:val="24"/>
          <w:szCs w:val="24"/>
        </w:rPr>
        <w:t xml:space="preserve"> the CGE modelling estimates </w:t>
      </w:r>
      <w:r w:rsidR="009346C0">
        <w:rPr>
          <w:rFonts w:ascii="Times New Roman" w:hAnsi="Times New Roman" w:cs="Times New Roman"/>
          <w:sz w:val="24"/>
          <w:szCs w:val="24"/>
        </w:rPr>
        <w:t>a</w:t>
      </w:r>
      <w:r w:rsidR="003672A3">
        <w:rPr>
          <w:rFonts w:ascii="Times New Roman" w:hAnsi="Times New Roman" w:cs="Times New Roman"/>
          <w:sz w:val="24"/>
          <w:szCs w:val="24"/>
        </w:rPr>
        <w:t xml:space="preserve"> 0.</w:t>
      </w:r>
      <w:r w:rsidR="009346C0">
        <w:rPr>
          <w:rFonts w:ascii="Times New Roman" w:hAnsi="Times New Roman" w:cs="Times New Roman"/>
          <w:sz w:val="24"/>
          <w:szCs w:val="24"/>
        </w:rPr>
        <w:t>36</w:t>
      </w:r>
      <w:r w:rsidR="003672A3">
        <w:rPr>
          <w:rFonts w:ascii="Times New Roman" w:hAnsi="Times New Roman" w:cs="Times New Roman"/>
          <w:sz w:val="24"/>
          <w:szCs w:val="24"/>
        </w:rPr>
        <w:t>%</w:t>
      </w:r>
      <w:r w:rsidR="009346C0">
        <w:rPr>
          <w:rFonts w:ascii="Times New Roman" w:hAnsi="Times New Roman" w:cs="Times New Roman"/>
          <w:sz w:val="24"/>
          <w:szCs w:val="24"/>
        </w:rPr>
        <w:t xml:space="preserve"> increase</w:t>
      </w:r>
      <w:r w:rsidR="003672A3">
        <w:rPr>
          <w:rFonts w:ascii="Times New Roman" w:hAnsi="Times New Roman" w:cs="Times New Roman"/>
          <w:sz w:val="24"/>
          <w:szCs w:val="24"/>
        </w:rPr>
        <w:t xml:space="preserve"> in the other services sector in Chile </w:t>
      </w:r>
      <w:r w:rsidR="009346C0">
        <w:rPr>
          <w:rFonts w:ascii="Times New Roman" w:hAnsi="Times New Roman" w:cs="Times New Roman"/>
          <w:sz w:val="24"/>
          <w:szCs w:val="24"/>
        </w:rPr>
        <w:t>in a conservative scenario and a 0.52% increase in an ambitious one</w:t>
      </w:r>
      <w:r w:rsidR="003672A3">
        <w:rPr>
          <w:rFonts w:ascii="Times New Roman" w:hAnsi="Times New Roman" w:cs="Times New Roman"/>
          <w:sz w:val="24"/>
          <w:szCs w:val="24"/>
        </w:rPr>
        <w:t>. As regards the communication sector</w:t>
      </w:r>
      <w:r w:rsidR="009F4749">
        <w:rPr>
          <w:rFonts w:ascii="Times New Roman" w:hAnsi="Times New Roman" w:cs="Times New Roman"/>
          <w:sz w:val="24"/>
          <w:szCs w:val="24"/>
        </w:rPr>
        <w:t>,</w:t>
      </w:r>
      <w:r w:rsidR="003672A3">
        <w:rPr>
          <w:rFonts w:ascii="Times New Roman" w:hAnsi="Times New Roman" w:cs="Times New Roman"/>
          <w:sz w:val="24"/>
          <w:szCs w:val="24"/>
        </w:rPr>
        <w:t xml:space="preserve"> it estimates </w:t>
      </w:r>
      <w:r w:rsidR="009346C0">
        <w:rPr>
          <w:rFonts w:ascii="Times New Roman" w:hAnsi="Times New Roman" w:cs="Times New Roman"/>
          <w:sz w:val="24"/>
          <w:szCs w:val="24"/>
        </w:rPr>
        <w:t xml:space="preserve">a 0.28% increase in a </w:t>
      </w:r>
      <w:r w:rsidR="003672A3">
        <w:rPr>
          <w:rFonts w:ascii="Times New Roman" w:hAnsi="Times New Roman" w:cs="Times New Roman"/>
          <w:sz w:val="24"/>
          <w:szCs w:val="24"/>
        </w:rPr>
        <w:t>conservative scenario</w:t>
      </w:r>
      <w:r w:rsidR="009346C0">
        <w:rPr>
          <w:rFonts w:ascii="Times New Roman" w:hAnsi="Times New Roman" w:cs="Times New Roman"/>
          <w:sz w:val="24"/>
          <w:szCs w:val="24"/>
        </w:rPr>
        <w:t xml:space="preserve"> and a 0.40</w:t>
      </w:r>
      <w:r w:rsidR="003672A3">
        <w:rPr>
          <w:rFonts w:ascii="Times New Roman" w:hAnsi="Times New Roman" w:cs="Times New Roman"/>
          <w:sz w:val="24"/>
          <w:szCs w:val="24"/>
        </w:rPr>
        <w:t xml:space="preserve">% output increase </w:t>
      </w:r>
      <w:r w:rsidR="009346C0">
        <w:rPr>
          <w:rFonts w:ascii="Times New Roman" w:hAnsi="Times New Roman" w:cs="Times New Roman"/>
          <w:sz w:val="24"/>
          <w:szCs w:val="24"/>
        </w:rPr>
        <w:t xml:space="preserve">in </w:t>
      </w:r>
      <w:r w:rsidR="003672A3">
        <w:rPr>
          <w:rFonts w:ascii="Times New Roman" w:hAnsi="Times New Roman" w:cs="Times New Roman"/>
          <w:sz w:val="24"/>
          <w:szCs w:val="24"/>
        </w:rPr>
        <w:t xml:space="preserve">an </w:t>
      </w:r>
      <w:r w:rsidR="000E3CB2">
        <w:rPr>
          <w:rFonts w:ascii="Times New Roman" w:hAnsi="Times New Roman" w:cs="Times New Roman"/>
          <w:sz w:val="24"/>
          <w:szCs w:val="24"/>
        </w:rPr>
        <w:t>ambitious</w:t>
      </w:r>
      <w:r w:rsidR="003672A3">
        <w:rPr>
          <w:rFonts w:ascii="Times New Roman" w:hAnsi="Times New Roman" w:cs="Times New Roman"/>
          <w:sz w:val="24"/>
          <w:szCs w:val="24"/>
        </w:rPr>
        <w:t xml:space="preserve"> </w:t>
      </w:r>
      <w:r w:rsidR="009346C0">
        <w:rPr>
          <w:rFonts w:ascii="Times New Roman" w:hAnsi="Times New Roman" w:cs="Times New Roman"/>
          <w:sz w:val="24"/>
          <w:szCs w:val="24"/>
        </w:rPr>
        <w:t>one</w:t>
      </w:r>
      <w:r w:rsidR="003672A3">
        <w:rPr>
          <w:rFonts w:ascii="Times New Roman" w:hAnsi="Times New Roman" w:cs="Times New Roman"/>
          <w:sz w:val="24"/>
          <w:szCs w:val="24"/>
        </w:rPr>
        <w:t>. Finally, regarding transport</w:t>
      </w:r>
      <w:r w:rsidR="009F4749">
        <w:rPr>
          <w:rFonts w:ascii="Times New Roman" w:hAnsi="Times New Roman" w:cs="Times New Roman"/>
          <w:sz w:val="24"/>
          <w:szCs w:val="24"/>
        </w:rPr>
        <w:t>,</w:t>
      </w:r>
      <w:r w:rsidR="003672A3">
        <w:rPr>
          <w:rFonts w:ascii="Times New Roman" w:hAnsi="Times New Roman" w:cs="Times New Roman"/>
          <w:sz w:val="24"/>
          <w:szCs w:val="24"/>
        </w:rPr>
        <w:t xml:space="preserve"> it estimates a 0.</w:t>
      </w:r>
      <w:r w:rsidR="009346C0">
        <w:rPr>
          <w:rFonts w:ascii="Times New Roman" w:hAnsi="Times New Roman" w:cs="Times New Roman"/>
          <w:sz w:val="24"/>
          <w:szCs w:val="24"/>
        </w:rPr>
        <w:t>07</w:t>
      </w:r>
      <w:r w:rsidR="003672A3">
        <w:rPr>
          <w:rFonts w:ascii="Times New Roman" w:hAnsi="Times New Roman" w:cs="Times New Roman"/>
          <w:sz w:val="24"/>
          <w:szCs w:val="24"/>
        </w:rPr>
        <w:t xml:space="preserve">% output </w:t>
      </w:r>
      <w:r w:rsidR="009346C0">
        <w:rPr>
          <w:rFonts w:ascii="Times New Roman" w:hAnsi="Times New Roman" w:cs="Times New Roman"/>
          <w:sz w:val="24"/>
          <w:szCs w:val="24"/>
        </w:rPr>
        <w:t>increase</w:t>
      </w:r>
      <w:r w:rsidR="003672A3">
        <w:rPr>
          <w:rFonts w:ascii="Times New Roman" w:hAnsi="Times New Roman" w:cs="Times New Roman"/>
          <w:sz w:val="24"/>
          <w:szCs w:val="24"/>
        </w:rPr>
        <w:t xml:space="preserve"> in the conservative scenario and a 0.1</w:t>
      </w:r>
      <w:r w:rsidR="009346C0">
        <w:rPr>
          <w:rFonts w:ascii="Times New Roman" w:hAnsi="Times New Roman" w:cs="Times New Roman"/>
          <w:sz w:val="24"/>
          <w:szCs w:val="24"/>
        </w:rPr>
        <w:t>1</w:t>
      </w:r>
      <w:r w:rsidR="003672A3">
        <w:rPr>
          <w:rFonts w:ascii="Times New Roman" w:hAnsi="Times New Roman" w:cs="Times New Roman"/>
          <w:sz w:val="24"/>
          <w:szCs w:val="24"/>
        </w:rPr>
        <w:t xml:space="preserve">% output increase in the </w:t>
      </w:r>
      <w:r w:rsidR="000E3CB2">
        <w:rPr>
          <w:rFonts w:ascii="Times New Roman" w:hAnsi="Times New Roman" w:cs="Times New Roman"/>
          <w:sz w:val="24"/>
          <w:szCs w:val="24"/>
        </w:rPr>
        <w:t>ambitious</w:t>
      </w:r>
      <w:r w:rsidR="003672A3">
        <w:rPr>
          <w:rFonts w:ascii="Times New Roman" w:hAnsi="Times New Roman" w:cs="Times New Roman"/>
          <w:sz w:val="24"/>
          <w:szCs w:val="24"/>
        </w:rPr>
        <w:t xml:space="preserve"> scenario. </w:t>
      </w:r>
    </w:p>
    <w:p w:rsidR="000C09F3" w:rsidRDefault="003672A3" w:rsidP="009F33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the CGE model does not cover all of the sectors </w:t>
      </w:r>
      <w:r w:rsidR="009A1E3F">
        <w:rPr>
          <w:rFonts w:ascii="Times New Roman" w:hAnsi="Times New Roman" w:cs="Times New Roman"/>
          <w:sz w:val="24"/>
          <w:szCs w:val="24"/>
        </w:rPr>
        <w:t xml:space="preserve">that </w:t>
      </w:r>
      <w:r w:rsidR="00AD4440">
        <w:rPr>
          <w:rFonts w:ascii="Times New Roman" w:hAnsi="Times New Roman" w:cs="Times New Roman"/>
          <w:sz w:val="24"/>
          <w:szCs w:val="24"/>
        </w:rPr>
        <w:t>absorb the majority of SMEs</w:t>
      </w:r>
      <w:r w:rsidR="009A1E3F">
        <w:rPr>
          <w:rFonts w:ascii="Times New Roman" w:hAnsi="Times New Roman" w:cs="Times New Roman"/>
          <w:sz w:val="24"/>
          <w:szCs w:val="24"/>
        </w:rPr>
        <w:t xml:space="preserve"> in Chile </w:t>
      </w:r>
      <w:r>
        <w:rPr>
          <w:rFonts w:ascii="Times New Roman" w:hAnsi="Times New Roman" w:cs="Times New Roman"/>
          <w:sz w:val="24"/>
          <w:szCs w:val="24"/>
        </w:rPr>
        <w:t xml:space="preserve">mentioned </w:t>
      </w:r>
      <w:r w:rsidR="009A1E3F">
        <w:rPr>
          <w:rFonts w:ascii="Times New Roman" w:hAnsi="Times New Roman" w:cs="Times New Roman"/>
          <w:sz w:val="24"/>
          <w:szCs w:val="24"/>
        </w:rPr>
        <w:t>above</w:t>
      </w:r>
      <w:r>
        <w:rPr>
          <w:rFonts w:ascii="Times New Roman" w:hAnsi="Times New Roman" w:cs="Times New Roman"/>
          <w:sz w:val="24"/>
          <w:szCs w:val="24"/>
        </w:rPr>
        <w:t>, the data on other services</w:t>
      </w:r>
      <w:r w:rsidR="00A4737C">
        <w:rPr>
          <w:rFonts w:ascii="Times New Roman" w:hAnsi="Times New Roman" w:cs="Times New Roman"/>
          <w:sz w:val="24"/>
          <w:szCs w:val="24"/>
        </w:rPr>
        <w:t xml:space="preserve"> (which includes recreation), on</w:t>
      </w:r>
      <w:r>
        <w:rPr>
          <w:rFonts w:ascii="Times New Roman" w:hAnsi="Times New Roman" w:cs="Times New Roman"/>
          <w:sz w:val="24"/>
          <w:szCs w:val="24"/>
        </w:rPr>
        <w:t xml:space="preserve"> communication and </w:t>
      </w:r>
      <w:r w:rsidR="00A4737C">
        <w:rPr>
          <w:rFonts w:ascii="Times New Roman" w:hAnsi="Times New Roman" w:cs="Times New Roman"/>
          <w:sz w:val="24"/>
          <w:szCs w:val="24"/>
        </w:rPr>
        <w:t xml:space="preserve">on </w:t>
      </w:r>
      <w:r>
        <w:rPr>
          <w:rFonts w:ascii="Times New Roman" w:hAnsi="Times New Roman" w:cs="Times New Roman"/>
          <w:sz w:val="24"/>
          <w:szCs w:val="24"/>
        </w:rPr>
        <w:t>transport provides a good approximation</w:t>
      </w:r>
      <w:r w:rsidR="001D5AF8">
        <w:rPr>
          <w:rFonts w:ascii="Times New Roman" w:hAnsi="Times New Roman" w:cs="Times New Roman"/>
          <w:sz w:val="24"/>
          <w:szCs w:val="24"/>
        </w:rPr>
        <w:t>;</w:t>
      </w:r>
      <w:r>
        <w:rPr>
          <w:rFonts w:ascii="Times New Roman" w:hAnsi="Times New Roman" w:cs="Times New Roman"/>
          <w:sz w:val="24"/>
          <w:szCs w:val="24"/>
        </w:rPr>
        <w:t xml:space="preserve"> and appear to indicate that a modernised </w:t>
      </w:r>
      <w:r w:rsidR="008C0C93">
        <w:rPr>
          <w:rFonts w:ascii="Times New Roman" w:hAnsi="Times New Roman" w:cs="Times New Roman"/>
          <w:sz w:val="24"/>
          <w:szCs w:val="24"/>
        </w:rPr>
        <w:t>A</w:t>
      </w:r>
      <w:r>
        <w:rPr>
          <w:rFonts w:ascii="Times New Roman" w:hAnsi="Times New Roman" w:cs="Times New Roman"/>
          <w:sz w:val="24"/>
          <w:szCs w:val="24"/>
        </w:rPr>
        <w:t xml:space="preserve">greement with increased liberalisation would likely have overall a positive impact on a majority of SMEs in Chile. </w:t>
      </w:r>
    </w:p>
    <w:p w:rsidR="00BE7E2B" w:rsidRDefault="000C09F3" w:rsidP="009F33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conclusion is consistent with the results of the public consultation, with many </w:t>
      </w:r>
      <w:r w:rsidR="00494D84">
        <w:rPr>
          <w:rFonts w:ascii="Times New Roman" w:hAnsi="Times New Roman" w:cs="Times New Roman"/>
          <w:sz w:val="24"/>
          <w:szCs w:val="24"/>
        </w:rPr>
        <w:t>respondents</w:t>
      </w:r>
      <w:r w:rsidR="00494D84">
        <w:rPr>
          <w:rStyle w:val="FootnoteReference"/>
          <w:rFonts w:ascii="Times New Roman" w:hAnsi="Times New Roman" w:cs="Times New Roman"/>
          <w:sz w:val="24"/>
          <w:szCs w:val="24"/>
        </w:rPr>
        <w:footnoteReference w:id="25"/>
      </w:r>
      <w:r w:rsidR="00494D84">
        <w:rPr>
          <w:rFonts w:ascii="Times New Roman" w:hAnsi="Times New Roman" w:cs="Times New Roman"/>
          <w:sz w:val="24"/>
          <w:szCs w:val="24"/>
        </w:rPr>
        <w:t xml:space="preserve"> </w:t>
      </w:r>
      <w:r>
        <w:rPr>
          <w:rFonts w:ascii="Times New Roman" w:hAnsi="Times New Roman" w:cs="Times New Roman"/>
          <w:sz w:val="24"/>
          <w:szCs w:val="24"/>
        </w:rPr>
        <w:t xml:space="preserve"> highlighting the pos</w:t>
      </w:r>
      <w:r w:rsidR="001D5AF8">
        <w:rPr>
          <w:rFonts w:ascii="Times New Roman" w:hAnsi="Times New Roman" w:cs="Times New Roman"/>
          <w:sz w:val="24"/>
          <w:szCs w:val="24"/>
        </w:rPr>
        <w:t>itive impact that a modernised a</w:t>
      </w:r>
      <w:r>
        <w:rPr>
          <w:rFonts w:ascii="Times New Roman" w:hAnsi="Times New Roman" w:cs="Times New Roman"/>
          <w:sz w:val="24"/>
          <w:szCs w:val="24"/>
        </w:rPr>
        <w:t>greement would likely have on SMEs.</w:t>
      </w:r>
      <w:r w:rsidR="003672A3">
        <w:rPr>
          <w:rFonts w:ascii="Times New Roman" w:hAnsi="Times New Roman" w:cs="Times New Roman"/>
          <w:sz w:val="24"/>
          <w:szCs w:val="24"/>
        </w:rPr>
        <w:t xml:space="preserve"> </w:t>
      </w:r>
    </w:p>
    <w:p w:rsidR="004454E3" w:rsidRPr="00A07149" w:rsidRDefault="004454E3" w:rsidP="009F33CC">
      <w:pPr>
        <w:spacing w:after="240" w:line="240" w:lineRule="auto"/>
        <w:jc w:val="both"/>
        <w:rPr>
          <w:rFonts w:ascii="Times New Roman" w:hAnsi="Times New Roman" w:cs="Times New Roman"/>
          <w:sz w:val="10"/>
          <w:szCs w:val="10"/>
        </w:rPr>
      </w:pPr>
    </w:p>
    <w:p w:rsidR="00E606E2" w:rsidRPr="00261E9D" w:rsidRDefault="003153AA" w:rsidP="00882520">
      <w:pPr>
        <w:pStyle w:val="Heading2"/>
        <w:numPr>
          <w:ilvl w:val="1"/>
          <w:numId w:val="56"/>
        </w:numPr>
        <w:spacing w:before="240" w:after="240"/>
        <w:ind w:left="788" w:hanging="431"/>
        <w:rPr>
          <w:u w:val="single"/>
        </w:rPr>
      </w:pPr>
      <w:bookmarkStart w:id="46" w:name="_Toc473123089"/>
      <w:r>
        <w:rPr>
          <w:u w:val="single"/>
        </w:rPr>
        <w:t>Impact on third c</w:t>
      </w:r>
      <w:r w:rsidR="00E606E2" w:rsidRPr="00261E9D">
        <w:rPr>
          <w:u w:val="single"/>
        </w:rPr>
        <w:t>ountries, in particular Least Developed Countries (LDCs)</w:t>
      </w:r>
      <w:bookmarkEnd w:id="46"/>
    </w:p>
    <w:p w:rsidR="00152F16" w:rsidRDefault="00152F16" w:rsidP="009F33CC">
      <w:pPr>
        <w:snapToGri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Third countries are generally impacted to a negligible degree, with some countries </w:t>
      </w:r>
      <w:r w:rsidR="001D5AF8">
        <w:rPr>
          <w:rFonts w:ascii="Times New Roman" w:hAnsi="Times New Roman" w:cs="Times New Roman"/>
          <w:sz w:val="24"/>
          <w:szCs w:val="24"/>
        </w:rPr>
        <w:t>enjoying</w:t>
      </w:r>
      <w:r>
        <w:rPr>
          <w:rFonts w:ascii="Times New Roman" w:hAnsi="Times New Roman" w:cs="Times New Roman"/>
          <w:sz w:val="24"/>
          <w:szCs w:val="24"/>
        </w:rPr>
        <w:t xml:space="preserve"> a marginal positive impact (Turkey, Colombia, Japan, EU neighbours) and others </w:t>
      </w:r>
      <w:r w:rsidR="001D5AF8">
        <w:rPr>
          <w:rFonts w:ascii="Times New Roman" w:hAnsi="Times New Roman" w:cs="Times New Roman"/>
          <w:sz w:val="24"/>
          <w:szCs w:val="24"/>
        </w:rPr>
        <w:t xml:space="preserve">suffering </w:t>
      </w:r>
      <w:r>
        <w:rPr>
          <w:rFonts w:ascii="Times New Roman" w:hAnsi="Times New Roman" w:cs="Times New Roman"/>
          <w:sz w:val="24"/>
          <w:szCs w:val="24"/>
        </w:rPr>
        <w:t xml:space="preserve">a marginal negative impact (including US, Canada and most Latin American countries). Results of the CGE modelling are presented in the table below. Least Developed Countries are not at all affected in a conservative scenario, </w:t>
      </w:r>
      <w:r w:rsidR="000D18F8">
        <w:rPr>
          <w:rFonts w:ascii="Times New Roman" w:hAnsi="Times New Roman" w:cs="Times New Roman"/>
          <w:sz w:val="24"/>
          <w:szCs w:val="24"/>
        </w:rPr>
        <w:t xml:space="preserve">while under the </w:t>
      </w:r>
      <w:r>
        <w:rPr>
          <w:rFonts w:ascii="Times New Roman" w:hAnsi="Times New Roman" w:cs="Times New Roman"/>
          <w:sz w:val="24"/>
          <w:szCs w:val="24"/>
        </w:rPr>
        <w:t xml:space="preserve">ambitious scenario </w:t>
      </w:r>
      <w:r w:rsidR="000D18F8">
        <w:rPr>
          <w:rFonts w:ascii="Times New Roman" w:hAnsi="Times New Roman" w:cs="Times New Roman"/>
          <w:sz w:val="24"/>
          <w:szCs w:val="24"/>
        </w:rPr>
        <w:t>there would be a negligible impact (albeit in a positive direction)</w:t>
      </w:r>
      <w:r>
        <w:rPr>
          <w:rFonts w:ascii="Times New Roman" w:hAnsi="Times New Roman" w:cs="Times New Roman"/>
          <w:sz w:val="24"/>
          <w:szCs w:val="24"/>
        </w:rPr>
        <w:t>.</w:t>
      </w:r>
    </w:p>
    <w:p w:rsidR="001D4E24" w:rsidRDefault="001D4E24" w:rsidP="009F33CC">
      <w:pPr>
        <w:snapToGrid w:val="0"/>
        <w:spacing w:after="240" w:line="240" w:lineRule="auto"/>
        <w:jc w:val="both"/>
        <w:rPr>
          <w:rFonts w:ascii="Times New Roman" w:hAnsi="Times New Roman" w:cs="Times New Roman"/>
          <w:sz w:val="24"/>
          <w:szCs w:val="24"/>
        </w:rPr>
      </w:pPr>
    </w:p>
    <w:tbl>
      <w:tblPr>
        <w:tblpPr w:leftFromText="180" w:rightFromText="180" w:vertAnchor="text" w:tblpY="1"/>
        <w:tblOverlap w:val="never"/>
        <w:tblW w:w="4836" w:type="dxa"/>
        <w:tblInd w:w="2160" w:type="dxa"/>
        <w:tblLook w:val="04A0" w:firstRow="1" w:lastRow="0" w:firstColumn="1" w:lastColumn="0" w:noHBand="0" w:noVBand="1"/>
      </w:tblPr>
      <w:tblGrid>
        <w:gridCol w:w="2494"/>
        <w:gridCol w:w="1311"/>
        <w:gridCol w:w="1031"/>
      </w:tblGrid>
      <w:tr w:rsidR="00A4737C" w:rsidRPr="00A4737C" w:rsidTr="005924E2">
        <w:trPr>
          <w:trHeight w:val="300"/>
        </w:trPr>
        <w:tc>
          <w:tcPr>
            <w:tcW w:w="4836" w:type="dxa"/>
            <w:gridSpan w:val="3"/>
            <w:tcBorders>
              <w:top w:val="nil"/>
              <w:left w:val="nil"/>
              <w:bottom w:val="single" w:sz="4" w:space="0" w:color="auto"/>
              <w:right w:val="nil"/>
            </w:tcBorders>
            <w:shd w:val="clear" w:color="auto" w:fill="auto"/>
            <w:noWrap/>
            <w:vAlign w:val="bottom"/>
            <w:hideMark/>
          </w:tcPr>
          <w:p w:rsidR="00A4737C" w:rsidRPr="009E3EA3" w:rsidRDefault="00A4737C" w:rsidP="009E3EA3">
            <w:pPr>
              <w:spacing w:after="0" w:line="240" w:lineRule="auto"/>
              <w:jc w:val="center"/>
              <w:rPr>
                <w:rFonts w:ascii="Times New Roman" w:eastAsia="Times New Roman" w:hAnsi="Times New Roman" w:cs="Times New Roman"/>
                <w:b/>
                <w:bCs/>
                <w:color w:val="000000"/>
                <w:sz w:val="20"/>
                <w:szCs w:val="20"/>
                <w:lang w:eastAsia="en-GB"/>
              </w:rPr>
            </w:pPr>
            <w:r w:rsidRPr="009E3EA3">
              <w:rPr>
                <w:rFonts w:ascii="Times New Roman" w:eastAsia="Times New Roman" w:hAnsi="Times New Roman" w:cs="Times New Roman"/>
                <w:b/>
                <w:bCs/>
                <w:color w:val="000000"/>
                <w:sz w:val="20"/>
                <w:szCs w:val="20"/>
                <w:lang w:eastAsia="en-GB"/>
              </w:rPr>
              <w:t xml:space="preserve">Table - Change in exports  (% change, </w:t>
            </w:r>
            <w:r w:rsidR="009E3EA3" w:rsidRPr="009E3EA3">
              <w:rPr>
                <w:rFonts w:ascii="Times New Roman" w:eastAsia="Times New Roman" w:hAnsi="Times New Roman" w:cs="Times New Roman"/>
                <w:b/>
                <w:bCs/>
                <w:color w:val="000000"/>
                <w:sz w:val="20"/>
                <w:szCs w:val="20"/>
                <w:lang w:eastAsia="en-GB"/>
              </w:rPr>
              <w:t>long term</w:t>
            </w:r>
            <w:r w:rsidRPr="009E3EA3">
              <w:rPr>
                <w:rFonts w:ascii="Times New Roman" w:eastAsia="Times New Roman" w:hAnsi="Times New Roman" w:cs="Times New Roman"/>
                <w:b/>
                <w:bCs/>
                <w:color w:val="000000"/>
                <w:sz w:val="20"/>
                <w:szCs w:val="20"/>
                <w:lang w:eastAsia="en-GB"/>
              </w:rPr>
              <w:t>)</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Conservative</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Ambitious</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EU28</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0,01</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0,022</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Chile</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0,145</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0,21</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Turkey</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0,08</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0,083</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USA</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-0,003</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-0,005</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China</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-0,001</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Canada</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-0,002</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-0,003</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Mexico</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-0,004</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-0,008</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Mercosur</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-0,005</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-0,01</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Colombia</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0,017</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0,049</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Peru</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-0,006</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-0,014</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Central America</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-0,002</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-0,005</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Latin America</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-0,005</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-0,009</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EFTA</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-0,001</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b/>
                <w:color w:val="002060"/>
                <w:sz w:val="18"/>
                <w:szCs w:val="18"/>
                <w:lang w:eastAsia="en-GB"/>
              </w:rPr>
            </w:pPr>
            <w:r w:rsidRPr="00A4737C">
              <w:rPr>
                <w:rFonts w:ascii="Times New Roman" w:eastAsia="Times New Roman" w:hAnsi="Times New Roman" w:cs="Times New Roman"/>
                <w:b/>
                <w:color w:val="002060"/>
                <w:sz w:val="18"/>
                <w:szCs w:val="18"/>
                <w:lang w:eastAsia="en-GB"/>
              </w:rPr>
              <w:t>LDC</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b/>
                <w:color w:val="002060"/>
                <w:sz w:val="18"/>
                <w:szCs w:val="18"/>
                <w:lang w:eastAsia="en-GB"/>
              </w:rPr>
            </w:pPr>
            <w:r w:rsidRPr="00A4737C">
              <w:rPr>
                <w:rFonts w:ascii="Times New Roman" w:eastAsia="Times New Roman" w:hAnsi="Times New Roman" w:cs="Times New Roman"/>
                <w:b/>
                <w:color w:val="002060"/>
                <w:sz w:val="18"/>
                <w:szCs w:val="18"/>
                <w:lang w:eastAsia="en-GB"/>
              </w:rPr>
              <w:t>0</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b/>
                <w:color w:val="002060"/>
                <w:sz w:val="18"/>
                <w:szCs w:val="18"/>
                <w:lang w:eastAsia="en-GB"/>
              </w:rPr>
            </w:pPr>
            <w:r w:rsidRPr="00A4737C">
              <w:rPr>
                <w:rFonts w:ascii="Times New Roman" w:eastAsia="Times New Roman" w:hAnsi="Times New Roman" w:cs="Times New Roman"/>
                <w:b/>
                <w:color w:val="002060"/>
                <w:sz w:val="18"/>
                <w:szCs w:val="18"/>
                <w:lang w:eastAsia="en-GB"/>
              </w:rPr>
              <w:t>0,001</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PVS</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Australia &amp; New Zealand</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-0,002</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-0,002</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Japan</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0,001</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0,003</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Korea</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-0,001</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-0,001</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Singapore</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-0,001</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w:t>
            </w:r>
          </w:p>
        </w:tc>
      </w:tr>
      <w:tr w:rsidR="00A4737C" w:rsidRPr="00A4737C" w:rsidTr="005924E2">
        <w:trPr>
          <w:trHeight w:val="300"/>
        </w:trPr>
        <w:tc>
          <w:tcPr>
            <w:tcW w:w="2494"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Rest of TPP</w:t>
            </w:r>
          </w:p>
        </w:tc>
        <w:tc>
          <w:tcPr>
            <w:tcW w:w="131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-0,002</w:t>
            </w:r>
          </w:p>
        </w:tc>
        <w:tc>
          <w:tcPr>
            <w:tcW w:w="1031" w:type="dxa"/>
            <w:tcBorders>
              <w:top w:val="nil"/>
              <w:left w:val="nil"/>
              <w:bottom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-0,003</w:t>
            </w:r>
          </w:p>
        </w:tc>
      </w:tr>
      <w:tr w:rsidR="00A4737C" w:rsidRPr="00A4737C" w:rsidTr="005924E2">
        <w:trPr>
          <w:trHeight w:val="300"/>
        </w:trPr>
        <w:tc>
          <w:tcPr>
            <w:tcW w:w="2494" w:type="dxa"/>
            <w:tcBorders>
              <w:top w:val="nil"/>
              <w:left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EU neighbours</w:t>
            </w:r>
          </w:p>
        </w:tc>
        <w:tc>
          <w:tcPr>
            <w:tcW w:w="1311" w:type="dxa"/>
            <w:tcBorders>
              <w:top w:val="nil"/>
              <w:left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0,001</w:t>
            </w:r>
          </w:p>
        </w:tc>
        <w:tc>
          <w:tcPr>
            <w:tcW w:w="1031" w:type="dxa"/>
            <w:tcBorders>
              <w:top w:val="nil"/>
              <w:left w:val="nil"/>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0,003</w:t>
            </w:r>
          </w:p>
        </w:tc>
      </w:tr>
      <w:tr w:rsidR="00A4737C" w:rsidRPr="00A4737C" w:rsidTr="005924E2">
        <w:trPr>
          <w:trHeight w:val="300"/>
        </w:trPr>
        <w:tc>
          <w:tcPr>
            <w:tcW w:w="2494" w:type="dxa"/>
            <w:tcBorders>
              <w:top w:val="nil"/>
              <w:left w:val="nil"/>
              <w:bottom w:val="single" w:sz="4" w:space="0" w:color="auto"/>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Rest of the Wor</w:t>
            </w:r>
            <w:r>
              <w:rPr>
                <w:rFonts w:ascii="Times New Roman" w:eastAsia="Times New Roman" w:hAnsi="Times New Roman" w:cs="Times New Roman"/>
                <w:color w:val="000000"/>
                <w:sz w:val="18"/>
                <w:szCs w:val="18"/>
                <w:lang w:eastAsia="en-GB"/>
              </w:rPr>
              <w:t>l</w:t>
            </w:r>
            <w:r w:rsidRPr="00A4737C">
              <w:rPr>
                <w:rFonts w:ascii="Times New Roman" w:eastAsia="Times New Roman" w:hAnsi="Times New Roman" w:cs="Times New Roman"/>
                <w:color w:val="000000"/>
                <w:sz w:val="18"/>
                <w:szCs w:val="18"/>
                <w:lang w:eastAsia="en-GB"/>
              </w:rPr>
              <w:t>d</w:t>
            </w:r>
          </w:p>
        </w:tc>
        <w:tc>
          <w:tcPr>
            <w:tcW w:w="1311" w:type="dxa"/>
            <w:tcBorders>
              <w:top w:val="nil"/>
              <w:left w:val="nil"/>
              <w:bottom w:val="single" w:sz="4" w:space="0" w:color="auto"/>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w:t>
            </w:r>
          </w:p>
        </w:tc>
        <w:tc>
          <w:tcPr>
            <w:tcW w:w="1031" w:type="dxa"/>
            <w:tcBorders>
              <w:top w:val="nil"/>
              <w:left w:val="nil"/>
              <w:bottom w:val="single" w:sz="4" w:space="0" w:color="auto"/>
              <w:right w:val="nil"/>
            </w:tcBorders>
            <w:shd w:val="clear" w:color="auto" w:fill="auto"/>
            <w:noWrap/>
            <w:vAlign w:val="bottom"/>
            <w:hideMark/>
          </w:tcPr>
          <w:p w:rsidR="00A4737C" w:rsidRPr="00A4737C" w:rsidRDefault="00A4737C" w:rsidP="00A4737C">
            <w:pPr>
              <w:spacing w:after="0" w:line="240" w:lineRule="auto"/>
              <w:jc w:val="center"/>
              <w:rPr>
                <w:rFonts w:ascii="Times New Roman" w:eastAsia="Times New Roman" w:hAnsi="Times New Roman" w:cs="Times New Roman"/>
                <w:color w:val="000000"/>
                <w:sz w:val="18"/>
                <w:szCs w:val="18"/>
                <w:lang w:eastAsia="en-GB"/>
              </w:rPr>
            </w:pPr>
            <w:r w:rsidRPr="00A4737C">
              <w:rPr>
                <w:rFonts w:ascii="Times New Roman" w:eastAsia="Times New Roman" w:hAnsi="Times New Roman" w:cs="Times New Roman"/>
                <w:color w:val="000000"/>
                <w:sz w:val="18"/>
                <w:szCs w:val="18"/>
                <w:lang w:eastAsia="en-GB"/>
              </w:rPr>
              <w:t>0,002</w:t>
            </w:r>
          </w:p>
        </w:tc>
      </w:tr>
    </w:tbl>
    <w:p w:rsidR="00621AE0" w:rsidRDefault="00A4737C" w:rsidP="00E606E2">
      <w:pPr>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E606E2" w:rsidRDefault="00261E9D" w:rsidP="00B7436C">
      <w:pPr>
        <w:pStyle w:val="Heading2"/>
        <w:numPr>
          <w:ilvl w:val="1"/>
          <w:numId w:val="56"/>
        </w:numPr>
        <w:spacing w:before="240" w:after="240"/>
        <w:ind w:left="788" w:hanging="431"/>
        <w:rPr>
          <w:u w:val="single"/>
        </w:rPr>
      </w:pPr>
      <w:r w:rsidRPr="00261E9D">
        <w:rPr>
          <w:u w:val="single"/>
        </w:rPr>
        <w:t xml:space="preserve"> </w:t>
      </w:r>
      <w:bookmarkStart w:id="47" w:name="_Toc473123090"/>
      <w:r w:rsidR="00E606E2" w:rsidRPr="00261E9D">
        <w:rPr>
          <w:u w:val="single"/>
        </w:rPr>
        <w:t>Environmental impact</w:t>
      </w:r>
      <w:bookmarkEnd w:id="47"/>
    </w:p>
    <w:p w:rsidR="00D3282E" w:rsidRDefault="00E606E2" w:rsidP="00E606E2">
      <w:pPr>
        <w:autoSpaceDE w:val="0"/>
        <w:autoSpaceDN w:val="0"/>
        <w:adjustRightInd w:val="0"/>
        <w:spacing w:after="120" w:line="240" w:lineRule="auto"/>
        <w:jc w:val="both"/>
        <w:rPr>
          <w:rFonts w:ascii="Times New Roman" w:hAnsi="Times New Roman" w:cs="Times New Roman"/>
          <w:color w:val="000000"/>
          <w:sz w:val="24"/>
          <w:szCs w:val="24"/>
        </w:rPr>
      </w:pPr>
      <w:r w:rsidRPr="00E606E2">
        <w:rPr>
          <w:rFonts w:ascii="Times New Roman" w:hAnsi="Times New Roman" w:cs="Times New Roman"/>
          <w:color w:val="000000"/>
          <w:sz w:val="24"/>
          <w:szCs w:val="24"/>
        </w:rPr>
        <w:t>The external</w:t>
      </w:r>
      <w:r w:rsidR="002B03C9">
        <w:rPr>
          <w:rFonts w:ascii="Times New Roman" w:hAnsi="Times New Roman" w:cs="Times New Roman"/>
          <w:color w:val="000000"/>
          <w:sz w:val="24"/>
          <w:szCs w:val="24"/>
        </w:rPr>
        <w:t xml:space="preserve"> study (Ecorys/CASE</w:t>
      </w:r>
      <w:r w:rsidR="002528F0">
        <w:rPr>
          <w:rFonts w:ascii="Times New Roman" w:hAnsi="Times New Roman" w:cs="Times New Roman"/>
          <w:color w:val="000000"/>
          <w:sz w:val="24"/>
          <w:szCs w:val="24"/>
        </w:rPr>
        <w:t>, 2017</w:t>
      </w:r>
      <w:r w:rsidR="002B03C9">
        <w:rPr>
          <w:rFonts w:ascii="Times New Roman" w:hAnsi="Times New Roman" w:cs="Times New Roman"/>
          <w:color w:val="000000"/>
          <w:sz w:val="24"/>
          <w:szCs w:val="24"/>
        </w:rPr>
        <w:t xml:space="preserve">) </w:t>
      </w:r>
      <w:r w:rsidR="002528F0">
        <w:rPr>
          <w:rFonts w:ascii="Times New Roman" w:hAnsi="Times New Roman" w:cs="Times New Roman"/>
          <w:color w:val="000000"/>
          <w:sz w:val="24"/>
          <w:szCs w:val="24"/>
        </w:rPr>
        <w:t>has screened the potential environmental impact of a modernised agreement on all environmental impacts included in the EU Better Regulation Toolbox</w:t>
      </w:r>
      <w:r w:rsidR="002528F0">
        <w:rPr>
          <w:rStyle w:val="FootnoteReference"/>
          <w:rFonts w:ascii="Times New Roman" w:hAnsi="Times New Roman" w:cs="Times New Roman"/>
          <w:color w:val="000000"/>
          <w:sz w:val="24"/>
          <w:szCs w:val="24"/>
        </w:rPr>
        <w:footnoteReference w:id="26"/>
      </w:r>
      <w:r w:rsidR="002528F0">
        <w:rPr>
          <w:rFonts w:ascii="Times New Roman" w:hAnsi="Times New Roman" w:cs="Times New Roman"/>
          <w:color w:val="000000"/>
          <w:sz w:val="24"/>
          <w:szCs w:val="24"/>
        </w:rPr>
        <w:t xml:space="preserve">. </w:t>
      </w:r>
      <w:r w:rsidR="00D3282E">
        <w:rPr>
          <w:rFonts w:ascii="Times New Roman" w:hAnsi="Times New Roman" w:cs="Times New Roman"/>
          <w:color w:val="000000"/>
          <w:sz w:val="24"/>
          <w:szCs w:val="24"/>
        </w:rPr>
        <w:t xml:space="preserve">The study concludes that the environmental effects </w:t>
      </w:r>
      <w:r w:rsidR="005150A6">
        <w:rPr>
          <w:rFonts w:ascii="Times New Roman" w:hAnsi="Times New Roman" w:cs="Times New Roman"/>
          <w:color w:val="000000"/>
          <w:sz w:val="24"/>
          <w:szCs w:val="24"/>
        </w:rPr>
        <w:t>of both the conservative and the ambitious scenarios are likely to be limited in Chile</w:t>
      </w:r>
      <w:r w:rsidR="0059548B">
        <w:rPr>
          <w:rFonts w:ascii="Times New Roman" w:hAnsi="Times New Roman" w:cs="Times New Roman"/>
          <w:color w:val="000000"/>
          <w:sz w:val="24"/>
          <w:szCs w:val="24"/>
        </w:rPr>
        <w:t>,</w:t>
      </w:r>
      <w:r w:rsidR="005150A6">
        <w:rPr>
          <w:rFonts w:ascii="Times New Roman" w:hAnsi="Times New Roman" w:cs="Times New Roman"/>
          <w:color w:val="000000"/>
          <w:sz w:val="24"/>
          <w:szCs w:val="24"/>
        </w:rPr>
        <w:t xml:space="preserve"> and almost negligible in the EU. Without mitigating measures, CO</w:t>
      </w:r>
      <w:r w:rsidR="005150A6" w:rsidRPr="00A03560">
        <w:rPr>
          <w:rFonts w:ascii="Times New Roman" w:hAnsi="Times New Roman" w:cs="Times New Roman"/>
          <w:color w:val="000000"/>
          <w:sz w:val="24"/>
          <w:szCs w:val="24"/>
          <w:vertAlign w:val="subscript"/>
        </w:rPr>
        <w:t>2</w:t>
      </w:r>
      <w:r w:rsidR="005150A6">
        <w:rPr>
          <w:rFonts w:ascii="Times New Roman" w:hAnsi="Times New Roman" w:cs="Times New Roman"/>
          <w:color w:val="000000"/>
          <w:sz w:val="24"/>
          <w:szCs w:val="24"/>
        </w:rPr>
        <w:t xml:space="preserve"> emissions are likely to increase slightly in both regions because of the scale and technique effects, and by the projected increase in transportation. Other environmental issues that may require attention </w:t>
      </w:r>
      <w:r w:rsidR="0059548B">
        <w:rPr>
          <w:rFonts w:ascii="Times New Roman" w:hAnsi="Times New Roman" w:cs="Times New Roman"/>
          <w:color w:val="000000"/>
          <w:sz w:val="24"/>
          <w:szCs w:val="24"/>
        </w:rPr>
        <w:t xml:space="preserve">due to the expected increase in agricultural activities in Chile are </w:t>
      </w:r>
      <w:r w:rsidR="005150A6">
        <w:rPr>
          <w:rFonts w:ascii="Times New Roman" w:hAnsi="Times New Roman" w:cs="Times New Roman"/>
          <w:color w:val="000000"/>
          <w:sz w:val="24"/>
          <w:szCs w:val="24"/>
        </w:rPr>
        <w:t>water (</w:t>
      </w:r>
      <w:r w:rsidR="0059548B">
        <w:rPr>
          <w:rFonts w:ascii="Times New Roman" w:hAnsi="Times New Roman" w:cs="Times New Roman"/>
          <w:color w:val="000000"/>
          <w:sz w:val="24"/>
          <w:szCs w:val="24"/>
        </w:rPr>
        <w:t xml:space="preserve">due to higher </w:t>
      </w:r>
      <w:r w:rsidR="005150A6">
        <w:rPr>
          <w:rFonts w:ascii="Times New Roman" w:hAnsi="Times New Roman" w:cs="Times New Roman"/>
          <w:color w:val="000000"/>
          <w:sz w:val="24"/>
          <w:szCs w:val="24"/>
        </w:rPr>
        <w:t xml:space="preserve">water requirements), increase in some of the drivers of biodiversity loss in Chile (linked to agricultural activities and associated use of land, water, fertilisers and pesticides), </w:t>
      </w:r>
      <w:r w:rsidR="0059548B">
        <w:rPr>
          <w:rFonts w:ascii="Times New Roman" w:hAnsi="Times New Roman" w:cs="Times New Roman"/>
          <w:color w:val="000000"/>
          <w:sz w:val="24"/>
          <w:szCs w:val="24"/>
        </w:rPr>
        <w:t>and land use. Increase in agricultural output may add pressure to the ongoing land conversion in central and northern Chile.</w:t>
      </w:r>
      <w:r w:rsidR="005150A6">
        <w:rPr>
          <w:rFonts w:ascii="Times New Roman" w:hAnsi="Times New Roman" w:cs="Times New Roman"/>
          <w:color w:val="000000"/>
          <w:sz w:val="24"/>
          <w:szCs w:val="24"/>
        </w:rPr>
        <w:t xml:space="preserve"> </w:t>
      </w:r>
      <w:r w:rsidR="0059548B">
        <w:rPr>
          <w:rFonts w:ascii="Times New Roman" w:hAnsi="Times New Roman" w:cs="Times New Roman"/>
          <w:color w:val="000000"/>
          <w:sz w:val="24"/>
          <w:szCs w:val="24"/>
        </w:rPr>
        <w:t xml:space="preserve">Further trade liberalisation is likely to improve animal welfare by increasing attention in Chile to the welfare of animals in the meat and dairy sub-sectors. </w:t>
      </w:r>
      <w:r w:rsidR="005150A6">
        <w:rPr>
          <w:rFonts w:ascii="Times New Roman" w:hAnsi="Times New Roman" w:cs="Times New Roman"/>
          <w:color w:val="000000"/>
          <w:sz w:val="24"/>
          <w:szCs w:val="24"/>
        </w:rPr>
        <w:t xml:space="preserve"> </w:t>
      </w:r>
    </w:p>
    <w:p w:rsidR="006E0609" w:rsidRDefault="00D71E45" w:rsidP="001D4E2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Many</w:t>
      </w:r>
      <w:r w:rsidR="000C09F3" w:rsidRPr="000C09F3">
        <w:rPr>
          <w:rFonts w:ascii="Times New Roman" w:hAnsi="Times New Roman" w:cs="Times New Roman"/>
          <w:color w:val="000000"/>
          <w:sz w:val="24"/>
          <w:szCs w:val="24"/>
        </w:rPr>
        <w:t xml:space="preserve"> of the respondents in the public consultation </w:t>
      </w:r>
      <w:r w:rsidR="003B3EBB">
        <w:rPr>
          <w:rFonts w:ascii="Times New Roman" w:hAnsi="Times New Roman" w:cs="Times New Roman"/>
          <w:color w:val="000000"/>
          <w:sz w:val="24"/>
          <w:szCs w:val="24"/>
        </w:rPr>
        <w:t xml:space="preserve">who expressed an opinion tend to consider that a modernised </w:t>
      </w:r>
      <w:r w:rsidR="004A7B8F">
        <w:rPr>
          <w:rFonts w:ascii="Times New Roman" w:hAnsi="Times New Roman" w:cs="Times New Roman"/>
          <w:color w:val="000000"/>
          <w:sz w:val="24"/>
          <w:szCs w:val="24"/>
        </w:rPr>
        <w:t>A</w:t>
      </w:r>
      <w:r w:rsidR="003B3EBB">
        <w:rPr>
          <w:rFonts w:ascii="Times New Roman" w:hAnsi="Times New Roman" w:cs="Times New Roman"/>
          <w:color w:val="000000"/>
          <w:sz w:val="24"/>
          <w:szCs w:val="24"/>
        </w:rPr>
        <w:t>greement would have a positive impact on environmental concerns overall</w:t>
      </w:r>
      <w:r w:rsidR="00C77F33">
        <w:rPr>
          <w:rFonts w:ascii="Times New Roman" w:hAnsi="Times New Roman" w:cs="Times New Roman"/>
          <w:color w:val="000000"/>
          <w:sz w:val="24"/>
          <w:szCs w:val="24"/>
        </w:rPr>
        <w:t>,</w:t>
      </w:r>
      <w:r w:rsidR="003B3EBB">
        <w:rPr>
          <w:rFonts w:ascii="Times New Roman" w:hAnsi="Times New Roman" w:cs="Times New Roman"/>
          <w:color w:val="000000"/>
          <w:sz w:val="24"/>
          <w:szCs w:val="24"/>
        </w:rPr>
        <w:t xml:space="preserve"> and in particular on air pollution, waste, energy use and mix, biodiversity and the greening of the economy.</w:t>
      </w:r>
      <w:r w:rsidR="000C09F3" w:rsidRPr="000C09F3">
        <w:rPr>
          <w:rFonts w:ascii="Times New Roman" w:hAnsi="Times New Roman" w:cs="Times New Roman"/>
          <w:color w:val="000000"/>
          <w:sz w:val="24"/>
          <w:szCs w:val="24"/>
        </w:rPr>
        <w:t xml:space="preserve"> </w:t>
      </w:r>
    </w:p>
    <w:p w:rsidR="0018694C" w:rsidRPr="0018694C" w:rsidRDefault="0018694C" w:rsidP="0018694C">
      <w:pPr>
        <w:autoSpaceDE w:val="0"/>
        <w:autoSpaceDN w:val="0"/>
        <w:adjustRightInd w:val="0"/>
        <w:spacing w:after="120" w:line="240" w:lineRule="auto"/>
        <w:jc w:val="both"/>
        <w:rPr>
          <w:rFonts w:ascii="Times New Roman" w:hAnsi="Times New Roman" w:cs="Times New Roman"/>
          <w:color w:val="000000"/>
          <w:sz w:val="24"/>
          <w:szCs w:val="24"/>
        </w:rPr>
      </w:pPr>
      <w:r w:rsidRPr="0018694C">
        <w:rPr>
          <w:rFonts w:ascii="Times New Roman" w:hAnsi="Times New Roman" w:cs="Times New Roman"/>
          <w:color w:val="000000"/>
          <w:sz w:val="24"/>
          <w:szCs w:val="24"/>
        </w:rPr>
        <w:t xml:space="preserve">As noted in section 4.3, Trade and Sustainable Development chapters in recent EU FTAs include provisions on environmental protection and the fight against climate change. Provisions foresee engagement with partner countries based on enhanced dialogue, transparency and civil society involvement. Provisions also allow for independent and impartial review. Such engagement would help to raise awareness of the policy objectives, to draw more attention to ratification of the relevant conventions and to enhance the quality of their implementation.  </w:t>
      </w:r>
    </w:p>
    <w:p w:rsidR="001D4E24" w:rsidRDefault="001D4E24" w:rsidP="001D4E24">
      <w:pPr>
        <w:autoSpaceDE w:val="0"/>
        <w:autoSpaceDN w:val="0"/>
        <w:adjustRightInd w:val="0"/>
        <w:spacing w:after="120" w:line="240" w:lineRule="auto"/>
        <w:jc w:val="both"/>
      </w:pPr>
    </w:p>
    <w:p w:rsidR="00E606E2" w:rsidRPr="00261E9D" w:rsidRDefault="00E606E2" w:rsidP="00882520">
      <w:pPr>
        <w:pStyle w:val="Heading2"/>
        <w:numPr>
          <w:ilvl w:val="1"/>
          <w:numId w:val="56"/>
        </w:numPr>
        <w:rPr>
          <w:u w:val="single"/>
        </w:rPr>
      </w:pPr>
      <w:bookmarkStart w:id="48" w:name="_Toc473123091"/>
      <w:r w:rsidRPr="00261E9D">
        <w:rPr>
          <w:u w:val="single"/>
        </w:rPr>
        <w:t>Social impact</w:t>
      </w:r>
      <w:bookmarkEnd w:id="48"/>
    </w:p>
    <w:p w:rsidR="00E606E2" w:rsidRPr="00E308AB" w:rsidRDefault="00E16507" w:rsidP="00261E9D">
      <w:pPr>
        <w:snapToGrid w:val="0"/>
        <w:spacing w:before="240" w:after="12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5.8</w:t>
      </w:r>
      <w:r w:rsidR="00E308AB" w:rsidRPr="00E308AB">
        <w:rPr>
          <w:rFonts w:ascii="Times New Roman" w:hAnsi="Times New Roman" w:cs="Times New Roman"/>
          <w:b/>
          <w:sz w:val="24"/>
          <w:szCs w:val="24"/>
        </w:rPr>
        <w:t>.1.</w:t>
      </w:r>
      <w:r w:rsidR="00E308AB" w:rsidRPr="00E308AB">
        <w:rPr>
          <w:rFonts w:ascii="Times New Roman" w:hAnsi="Times New Roman" w:cs="Times New Roman"/>
          <w:b/>
          <w:sz w:val="24"/>
          <w:szCs w:val="24"/>
        </w:rPr>
        <w:tab/>
      </w:r>
      <w:r w:rsidR="000A4037">
        <w:rPr>
          <w:rFonts w:ascii="Times New Roman" w:hAnsi="Times New Roman" w:cs="Times New Roman"/>
          <w:b/>
          <w:sz w:val="24"/>
          <w:szCs w:val="24"/>
        </w:rPr>
        <w:t>I</w:t>
      </w:r>
      <w:r w:rsidR="00E308AB" w:rsidRPr="00E308AB">
        <w:rPr>
          <w:rFonts w:ascii="Times New Roman" w:hAnsi="Times New Roman" w:cs="Times New Roman"/>
          <w:b/>
          <w:sz w:val="24"/>
          <w:szCs w:val="24"/>
        </w:rPr>
        <w:t>mpact on real wages and welfare</w:t>
      </w:r>
    </w:p>
    <w:p w:rsidR="00816E53" w:rsidRPr="00AC505A" w:rsidRDefault="00816E53" w:rsidP="00DE08E1">
      <w:pPr>
        <w:tabs>
          <w:tab w:val="left" w:pos="1503"/>
        </w:tabs>
        <w:snapToGrid w:val="0"/>
        <w:spacing w:before="240" w:after="120" w:line="240" w:lineRule="auto"/>
        <w:jc w:val="both"/>
        <w:rPr>
          <w:rFonts w:ascii="Times New Roman" w:hAnsi="Times New Roman" w:cs="Times New Roman"/>
          <w:b/>
          <w:i/>
          <w:sz w:val="24"/>
          <w:szCs w:val="24"/>
        </w:rPr>
      </w:pPr>
      <w:r w:rsidRPr="00AC505A">
        <w:rPr>
          <w:rFonts w:ascii="Times New Roman" w:hAnsi="Times New Roman" w:cs="Times New Roman"/>
          <w:b/>
          <w:i/>
          <w:sz w:val="24"/>
          <w:szCs w:val="24"/>
        </w:rPr>
        <w:t>Real wages</w:t>
      </w:r>
    </w:p>
    <w:p w:rsidR="00E2385D" w:rsidRPr="00E606E2" w:rsidRDefault="00DE08E1" w:rsidP="00E2385D">
      <w:pPr>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According to the CGE modelling, r</w:t>
      </w:r>
      <w:r w:rsidR="00E2385D" w:rsidRPr="00E2385D">
        <w:rPr>
          <w:rFonts w:ascii="Times New Roman" w:hAnsi="Times New Roman" w:cs="Times New Roman"/>
          <w:sz w:val="24"/>
          <w:szCs w:val="24"/>
        </w:rPr>
        <w:t>eal wages would increase for both trade partners under the two scenarios, although the impact in the EU is, once again, almost negligible. In the case of Chile, in the conservative scenario real wages would increase around 0.</w:t>
      </w:r>
      <w:r w:rsidR="00B82874">
        <w:rPr>
          <w:rFonts w:ascii="Times New Roman" w:hAnsi="Times New Roman" w:cs="Times New Roman"/>
          <w:sz w:val="24"/>
          <w:szCs w:val="24"/>
        </w:rPr>
        <w:t>346</w:t>
      </w:r>
      <w:r w:rsidR="00E2385D" w:rsidRPr="00E2385D">
        <w:rPr>
          <w:rFonts w:ascii="Times New Roman" w:hAnsi="Times New Roman" w:cs="Times New Roman"/>
          <w:sz w:val="24"/>
          <w:szCs w:val="24"/>
        </w:rPr>
        <w:t>% for unskilled and 0.</w:t>
      </w:r>
      <w:r w:rsidR="00B82874">
        <w:rPr>
          <w:rFonts w:ascii="Times New Roman" w:hAnsi="Times New Roman" w:cs="Times New Roman"/>
          <w:sz w:val="24"/>
          <w:szCs w:val="24"/>
        </w:rPr>
        <w:t>191</w:t>
      </w:r>
      <w:r w:rsidR="00E2385D" w:rsidRPr="00E2385D">
        <w:rPr>
          <w:rFonts w:ascii="Times New Roman" w:hAnsi="Times New Roman" w:cs="Times New Roman"/>
          <w:sz w:val="24"/>
          <w:szCs w:val="24"/>
        </w:rPr>
        <w:t>% for skilled labour. In the ambitious scenario real wages of unskilled labour and skilled labour would increase by around 0.</w:t>
      </w:r>
      <w:r w:rsidR="00B82874">
        <w:rPr>
          <w:rFonts w:ascii="Times New Roman" w:hAnsi="Times New Roman" w:cs="Times New Roman"/>
          <w:sz w:val="24"/>
          <w:szCs w:val="24"/>
        </w:rPr>
        <w:t>610</w:t>
      </w:r>
      <w:r w:rsidR="00E2385D" w:rsidRPr="00E2385D">
        <w:rPr>
          <w:rFonts w:ascii="Times New Roman" w:hAnsi="Times New Roman" w:cs="Times New Roman"/>
          <w:sz w:val="24"/>
          <w:szCs w:val="24"/>
        </w:rPr>
        <w:t>% and 0.</w:t>
      </w:r>
      <w:r w:rsidR="00B82874">
        <w:rPr>
          <w:rFonts w:ascii="Times New Roman" w:hAnsi="Times New Roman" w:cs="Times New Roman"/>
          <w:sz w:val="24"/>
          <w:szCs w:val="24"/>
        </w:rPr>
        <w:t>370</w:t>
      </w:r>
      <w:r w:rsidR="00E2385D" w:rsidRPr="00E2385D">
        <w:rPr>
          <w:rFonts w:ascii="Times New Roman" w:hAnsi="Times New Roman" w:cs="Times New Roman"/>
          <w:sz w:val="24"/>
          <w:szCs w:val="24"/>
        </w:rPr>
        <w:t>% respectively.</w:t>
      </w:r>
    </w:p>
    <w:p w:rsidR="006E0609" w:rsidRPr="006E0609" w:rsidRDefault="00816E53" w:rsidP="000A4037">
      <w:pPr>
        <w:autoSpaceDE w:val="0"/>
        <w:autoSpaceDN w:val="0"/>
        <w:adjustRightInd w:val="0"/>
        <w:spacing w:before="240" w:after="120" w:line="240" w:lineRule="auto"/>
        <w:ind w:firstLine="720"/>
        <w:jc w:val="both"/>
        <w:rPr>
          <w:rFonts w:ascii="Times New Roman" w:hAnsi="Times New Roman" w:cs="Times New Roman"/>
          <w:b/>
          <w:color w:val="000000"/>
        </w:rPr>
      </w:pPr>
      <w:r>
        <w:rPr>
          <w:rFonts w:ascii="Times New Roman" w:hAnsi="Times New Roman" w:cs="Times New Roman"/>
          <w:b/>
          <w:color w:val="000000"/>
        </w:rPr>
        <w:t>Table – Estimated c</w:t>
      </w:r>
      <w:r w:rsidR="006E0609" w:rsidRPr="006E0609">
        <w:rPr>
          <w:rFonts w:ascii="Times New Roman" w:hAnsi="Times New Roman" w:cs="Times New Roman"/>
          <w:b/>
          <w:color w:val="000000"/>
        </w:rPr>
        <w:t>hange in real wages (</w:t>
      </w:r>
      <w:r w:rsidR="009E3EA3">
        <w:rPr>
          <w:rFonts w:ascii="Times New Roman" w:hAnsi="Times New Roman" w:cs="Times New Roman"/>
          <w:b/>
          <w:color w:val="000000"/>
        </w:rPr>
        <w:t>long term</w:t>
      </w:r>
      <w:r w:rsidR="006E0609" w:rsidRPr="006E0609">
        <w:rPr>
          <w:rFonts w:ascii="Times New Roman" w:hAnsi="Times New Roman" w:cs="Times New Roman"/>
          <w:b/>
          <w:color w:val="000000"/>
        </w:rPr>
        <w:t>, %</w:t>
      </w:r>
      <w:r w:rsidR="004E1A93">
        <w:rPr>
          <w:rFonts w:ascii="Times New Roman" w:hAnsi="Times New Roman" w:cs="Times New Roman"/>
          <w:b/>
          <w:color w:val="000000"/>
        </w:rPr>
        <w:t xml:space="preserve"> </w:t>
      </w:r>
      <w:r w:rsidR="006E0609" w:rsidRPr="006E0609">
        <w:rPr>
          <w:rFonts w:ascii="Times New Roman" w:hAnsi="Times New Roman" w:cs="Times New Roman"/>
          <w:b/>
          <w:color w:val="000000"/>
        </w:rPr>
        <w:t>change)</w:t>
      </w:r>
    </w:p>
    <w:tbl>
      <w:tblPr>
        <w:tblW w:w="8095" w:type="dxa"/>
        <w:tblInd w:w="93" w:type="dxa"/>
        <w:tblLook w:val="04A0" w:firstRow="1" w:lastRow="0" w:firstColumn="1" w:lastColumn="0" w:noHBand="0" w:noVBand="1"/>
      </w:tblPr>
      <w:tblGrid>
        <w:gridCol w:w="1280"/>
        <w:gridCol w:w="1540"/>
        <w:gridCol w:w="1540"/>
        <w:gridCol w:w="333"/>
        <w:gridCol w:w="1429"/>
        <w:gridCol w:w="1973"/>
      </w:tblGrid>
      <w:tr w:rsidR="006E0609" w:rsidRPr="006E0609" w:rsidTr="00F03508">
        <w:trPr>
          <w:trHeight w:val="289"/>
        </w:trPr>
        <w:tc>
          <w:tcPr>
            <w:tcW w:w="1280" w:type="dxa"/>
            <w:tcBorders>
              <w:top w:val="nil"/>
              <w:left w:val="nil"/>
              <w:bottom w:val="nil"/>
              <w:right w:val="nil"/>
            </w:tcBorders>
            <w:shd w:val="clear" w:color="auto" w:fill="auto"/>
            <w:vAlign w:val="center"/>
            <w:hideMark/>
          </w:tcPr>
          <w:p w:rsidR="006E0609" w:rsidRPr="006E0609" w:rsidRDefault="006E0609" w:rsidP="006E0609">
            <w:pPr>
              <w:spacing w:after="0" w:line="240" w:lineRule="auto"/>
              <w:jc w:val="center"/>
              <w:rPr>
                <w:rFonts w:ascii="Calibri" w:eastAsia="Times New Roman" w:hAnsi="Calibri" w:cs="Calibri"/>
                <w:b/>
                <w:bCs/>
                <w:color w:val="000000"/>
                <w:lang w:eastAsia="en-GB"/>
              </w:rPr>
            </w:pPr>
          </w:p>
        </w:tc>
        <w:tc>
          <w:tcPr>
            <w:tcW w:w="3080" w:type="dxa"/>
            <w:gridSpan w:val="2"/>
            <w:tcBorders>
              <w:top w:val="single" w:sz="4" w:space="0" w:color="auto"/>
              <w:left w:val="nil"/>
              <w:bottom w:val="single" w:sz="4" w:space="0" w:color="auto"/>
              <w:right w:val="nil"/>
            </w:tcBorders>
            <w:shd w:val="clear" w:color="auto" w:fill="auto"/>
            <w:vAlign w:val="center"/>
            <w:hideMark/>
          </w:tcPr>
          <w:p w:rsidR="006E0609" w:rsidRPr="006E0609" w:rsidRDefault="006E0609" w:rsidP="006E0609">
            <w:pPr>
              <w:spacing w:after="0" w:line="240" w:lineRule="auto"/>
              <w:jc w:val="center"/>
              <w:rPr>
                <w:rFonts w:ascii="Calibri" w:eastAsia="Times New Roman" w:hAnsi="Calibri" w:cs="Calibri"/>
                <w:b/>
                <w:bCs/>
                <w:color w:val="000000"/>
                <w:lang w:eastAsia="en-GB"/>
              </w:rPr>
            </w:pPr>
            <w:r w:rsidRPr="006E0609">
              <w:rPr>
                <w:rFonts w:ascii="Calibri" w:eastAsia="Times New Roman" w:hAnsi="Calibri" w:cs="Calibri"/>
                <w:b/>
                <w:bCs/>
                <w:color w:val="000000"/>
                <w:lang w:eastAsia="en-GB"/>
              </w:rPr>
              <w:t>Conservative</w:t>
            </w:r>
          </w:p>
        </w:tc>
        <w:tc>
          <w:tcPr>
            <w:tcW w:w="333" w:type="dxa"/>
            <w:tcBorders>
              <w:top w:val="nil"/>
              <w:left w:val="nil"/>
              <w:bottom w:val="nil"/>
              <w:right w:val="nil"/>
            </w:tcBorders>
            <w:shd w:val="clear" w:color="auto" w:fill="auto"/>
            <w:noWrap/>
            <w:vAlign w:val="bottom"/>
            <w:hideMark/>
          </w:tcPr>
          <w:p w:rsidR="006E0609" w:rsidRPr="006E0609" w:rsidRDefault="006E0609" w:rsidP="006E0609">
            <w:pPr>
              <w:spacing w:after="0" w:line="240" w:lineRule="auto"/>
              <w:rPr>
                <w:rFonts w:ascii="Calibri" w:eastAsia="Times New Roman" w:hAnsi="Calibri" w:cs="Calibri"/>
                <w:color w:val="000000"/>
                <w:lang w:eastAsia="en-GB"/>
              </w:rPr>
            </w:pPr>
          </w:p>
        </w:tc>
        <w:tc>
          <w:tcPr>
            <w:tcW w:w="3402" w:type="dxa"/>
            <w:gridSpan w:val="2"/>
            <w:tcBorders>
              <w:top w:val="single" w:sz="4" w:space="0" w:color="auto"/>
              <w:left w:val="nil"/>
              <w:bottom w:val="single" w:sz="4" w:space="0" w:color="auto"/>
              <w:right w:val="nil"/>
            </w:tcBorders>
            <w:shd w:val="clear" w:color="auto" w:fill="auto"/>
            <w:vAlign w:val="center"/>
            <w:hideMark/>
          </w:tcPr>
          <w:p w:rsidR="006E0609" w:rsidRPr="006E0609" w:rsidRDefault="006E0609" w:rsidP="006E0609">
            <w:pPr>
              <w:spacing w:after="0" w:line="240" w:lineRule="auto"/>
              <w:jc w:val="center"/>
              <w:rPr>
                <w:rFonts w:ascii="Calibri" w:eastAsia="Times New Roman" w:hAnsi="Calibri" w:cs="Calibri"/>
                <w:b/>
                <w:bCs/>
                <w:color w:val="000000"/>
                <w:lang w:eastAsia="en-GB"/>
              </w:rPr>
            </w:pPr>
            <w:r w:rsidRPr="006E0609">
              <w:rPr>
                <w:rFonts w:ascii="Calibri" w:eastAsia="Times New Roman" w:hAnsi="Calibri" w:cs="Calibri"/>
                <w:b/>
                <w:bCs/>
                <w:color w:val="000000"/>
                <w:lang w:eastAsia="en-GB"/>
              </w:rPr>
              <w:t>Ambitious</w:t>
            </w:r>
          </w:p>
        </w:tc>
      </w:tr>
      <w:tr w:rsidR="006E0609" w:rsidRPr="006E0609" w:rsidTr="00F03508">
        <w:trPr>
          <w:trHeight w:val="289"/>
        </w:trPr>
        <w:tc>
          <w:tcPr>
            <w:tcW w:w="1280" w:type="dxa"/>
            <w:tcBorders>
              <w:top w:val="nil"/>
              <w:left w:val="nil"/>
              <w:bottom w:val="nil"/>
              <w:right w:val="nil"/>
            </w:tcBorders>
            <w:shd w:val="clear" w:color="auto" w:fill="auto"/>
            <w:vAlign w:val="center"/>
            <w:hideMark/>
          </w:tcPr>
          <w:p w:rsidR="006E0609" w:rsidRPr="006E0609" w:rsidRDefault="006E0609" w:rsidP="006E0609">
            <w:pPr>
              <w:spacing w:after="0" w:line="240" w:lineRule="auto"/>
              <w:jc w:val="center"/>
              <w:rPr>
                <w:rFonts w:ascii="Calibri" w:eastAsia="Times New Roman" w:hAnsi="Calibri" w:cs="Calibri"/>
                <w:b/>
                <w:bCs/>
                <w:color w:val="000000"/>
                <w:lang w:eastAsia="en-GB"/>
              </w:rPr>
            </w:pPr>
          </w:p>
        </w:tc>
        <w:tc>
          <w:tcPr>
            <w:tcW w:w="1540" w:type="dxa"/>
            <w:tcBorders>
              <w:top w:val="nil"/>
              <w:left w:val="nil"/>
              <w:bottom w:val="single" w:sz="4" w:space="0" w:color="auto"/>
              <w:right w:val="nil"/>
            </w:tcBorders>
            <w:shd w:val="clear" w:color="auto" w:fill="auto"/>
            <w:vAlign w:val="center"/>
            <w:hideMark/>
          </w:tcPr>
          <w:p w:rsidR="006E0609" w:rsidRPr="006E0609" w:rsidRDefault="006E0609" w:rsidP="006E0609">
            <w:pPr>
              <w:spacing w:after="0" w:line="240" w:lineRule="auto"/>
              <w:jc w:val="center"/>
              <w:rPr>
                <w:rFonts w:ascii="Calibri" w:eastAsia="Times New Roman" w:hAnsi="Calibri" w:cs="Calibri"/>
                <w:b/>
                <w:bCs/>
                <w:color w:val="000000"/>
                <w:lang w:eastAsia="en-GB"/>
              </w:rPr>
            </w:pPr>
            <w:r w:rsidRPr="006E0609">
              <w:rPr>
                <w:rFonts w:ascii="Calibri" w:eastAsia="Times New Roman" w:hAnsi="Calibri" w:cs="Calibri"/>
                <w:b/>
                <w:bCs/>
                <w:color w:val="000000"/>
                <w:lang w:eastAsia="en-GB"/>
              </w:rPr>
              <w:t>Unskilled</w:t>
            </w:r>
          </w:p>
        </w:tc>
        <w:tc>
          <w:tcPr>
            <w:tcW w:w="1540" w:type="dxa"/>
            <w:tcBorders>
              <w:top w:val="nil"/>
              <w:left w:val="nil"/>
              <w:bottom w:val="single" w:sz="4" w:space="0" w:color="auto"/>
              <w:right w:val="nil"/>
            </w:tcBorders>
            <w:shd w:val="clear" w:color="auto" w:fill="auto"/>
            <w:vAlign w:val="center"/>
            <w:hideMark/>
          </w:tcPr>
          <w:p w:rsidR="006E0609" w:rsidRPr="006E0609" w:rsidRDefault="006E0609" w:rsidP="006E0609">
            <w:pPr>
              <w:spacing w:after="0" w:line="240" w:lineRule="auto"/>
              <w:jc w:val="center"/>
              <w:rPr>
                <w:rFonts w:ascii="Calibri" w:eastAsia="Times New Roman" w:hAnsi="Calibri" w:cs="Calibri"/>
                <w:b/>
                <w:bCs/>
                <w:color w:val="000000"/>
                <w:lang w:eastAsia="en-GB"/>
              </w:rPr>
            </w:pPr>
            <w:r w:rsidRPr="006E0609">
              <w:rPr>
                <w:rFonts w:ascii="Calibri" w:eastAsia="Times New Roman" w:hAnsi="Calibri" w:cs="Calibri"/>
                <w:b/>
                <w:bCs/>
                <w:color w:val="000000"/>
                <w:lang w:eastAsia="en-GB"/>
              </w:rPr>
              <w:t>Skilled</w:t>
            </w:r>
          </w:p>
        </w:tc>
        <w:tc>
          <w:tcPr>
            <w:tcW w:w="333" w:type="dxa"/>
            <w:tcBorders>
              <w:top w:val="nil"/>
              <w:left w:val="nil"/>
              <w:bottom w:val="nil"/>
              <w:right w:val="nil"/>
            </w:tcBorders>
            <w:shd w:val="clear" w:color="auto" w:fill="auto"/>
            <w:noWrap/>
            <w:vAlign w:val="bottom"/>
            <w:hideMark/>
          </w:tcPr>
          <w:p w:rsidR="006E0609" w:rsidRPr="006E0609" w:rsidRDefault="006E0609" w:rsidP="006E0609">
            <w:pPr>
              <w:spacing w:after="0" w:line="240" w:lineRule="auto"/>
              <w:rPr>
                <w:rFonts w:ascii="Calibri" w:eastAsia="Times New Roman" w:hAnsi="Calibri" w:cs="Calibri"/>
                <w:color w:val="000000"/>
                <w:lang w:eastAsia="en-GB"/>
              </w:rPr>
            </w:pPr>
          </w:p>
        </w:tc>
        <w:tc>
          <w:tcPr>
            <w:tcW w:w="1429" w:type="dxa"/>
            <w:tcBorders>
              <w:top w:val="nil"/>
              <w:left w:val="nil"/>
              <w:bottom w:val="single" w:sz="4" w:space="0" w:color="auto"/>
              <w:right w:val="nil"/>
            </w:tcBorders>
            <w:shd w:val="clear" w:color="auto" w:fill="auto"/>
            <w:vAlign w:val="center"/>
            <w:hideMark/>
          </w:tcPr>
          <w:p w:rsidR="006E0609" w:rsidRPr="006E0609" w:rsidRDefault="006E0609" w:rsidP="00F03508">
            <w:pPr>
              <w:spacing w:after="0" w:line="240" w:lineRule="auto"/>
              <w:jc w:val="center"/>
              <w:rPr>
                <w:rFonts w:ascii="Calibri" w:eastAsia="Times New Roman" w:hAnsi="Calibri" w:cs="Calibri"/>
                <w:b/>
                <w:bCs/>
                <w:color w:val="000000"/>
                <w:lang w:eastAsia="en-GB"/>
              </w:rPr>
            </w:pPr>
            <w:r w:rsidRPr="006E0609">
              <w:rPr>
                <w:rFonts w:ascii="Calibri" w:eastAsia="Times New Roman" w:hAnsi="Calibri" w:cs="Calibri"/>
                <w:b/>
                <w:bCs/>
                <w:color w:val="000000"/>
                <w:lang w:eastAsia="en-GB"/>
              </w:rPr>
              <w:t>Unskilled</w:t>
            </w:r>
          </w:p>
        </w:tc>
        <w:tc>
          <w:tcPr>
            <w:tcW w:w="1973" w:type="dxa"/>
            <w:tcBorders>
              <w:top w:val="nil"/>
              <w:left w:val="nil"/>
              <w:bottom w:val="single" w:sz="4" w:space="0" w:color="auto"/>
              <w:right w:val="nil"/>
            </w:tcBorders>
            <w:shd w:val="clear" w:color="auto" w:fill="auto"/>
            <w:vAlign w:val="center"/>
            <w:hideMark/>
          </w:tcPr>
          <w:p w:rsidR="006E0609" w:rsidRPr="006E0609" w:rsidRDefault="006E0609" w:rsidP="00F03508">
            <w:pPr>
              <w:spacing w:after="0" w:line="240" w:lineRule="auto"/>
              <w:jc w:val="center"/>
              <w:rPr>
                <w:rFonts w:ascii="Calibri" w:eastAsia="Times New Roman" w:hAnsi="Calibri" w:cs="Calibri"/>
                <w:b/>
                <w:bCs/>
                <w:color w:val="000000"/>
                <w:lang w:eastAsia="en-GB"/>
              </w:rPr>
            </w:pPr>
            <w:r w:rsidRPr="006E0609">
              <w:rPr>
                <w:rFonts w:ascii="Calibri" w:eastAsia="Times New Roman" w:hAnsi="Calibri" w:cs="Calibri"/>
                <w:b/>
                <w:bCs/>
                <w:color w:val="000000"/>
                <w:lang w:eastAsia="en-GB"/>
              </w:rPr>
              <w:t>Skilled</w:t>
            </w:r>
          </w:p>
        </w:tc>
      </w:tr>
      <w:tr w:rsidR="006E0609" w:rsidRPr="006E0609" w:rsidTr="00F03508">
        <w:trPr>
          <w:trHeight w:val="289"/>
        </w:trPr>
        <w:tc>
          <w:tcPr>
            <w:tcW w:w="1280" w:type="dxa"/>
            <w:tcBorders>
              <w:top w:val="nil"/>
              <w:left w:val="nil"/>
              <w:bottom w:val="nil"/>
              <w:right w:val="nil"/>
            </w:tcBorders>
            <w:shd w:val="clear" w:color="auto" w:fill="auto"/>
            <w:noWrap/>
            <w:vAlign w:val="bottom"/>
            <w:hideMark/>
          </w:tcPr>
          <w:p w:rsidR="006E0609" w:rsidRPr="00F03508" w:rsidRDefault="00816E53" w:rsidP="006E060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6E0609" w:rsidRPr="00F03508">
              <w:rPr>
                <w:rFonts w:ascii="Times New Roman" w:eastAsia="Times New Roman" w:hAnsi="Times New Roman" w:cs="Times New Roman"/>
                <w:color w:val="000000"/>
                <w:lang w:eastAsia="en-GB"/>
              </w:rPr>
              <w:t>EU</w:t>
            </w:r>
          </w:p>
        </w:tc>
        <w:tc>
          <w:tcPr>
            <w:tcW w:w="1540" w:type="dxa"/>
            <w:tcBorders>
              <w:top w:val="nil"/>
              <w:left w:val="nil"/>
              <w:right w:val="nil"/>
            </w:tcBorders>
            <w:shd w:val="clear" w:color="000000" w:fill="D6DCE4"/>
            <w:noWrap/>
            <w:vAlign w:val="bottom"/>
            <w:hideMark/>
          </w:tcPr>
          <w:p w:rsidR="006E0609" w:rsidRPr="00F03508" w:rsidRDefault="006E0609" w:rsidP="00F03508">
            <w:pPr>
              <w:spacing w:after="0" w:line="240" w:lineRule="auto"/>
              <w:jc w:val="center"/>
              <w:rPr>
                <w:rFonts w:ascii="Times New Roman" w:eastAsia="Times New Roman" w:hAnsi="Times New Roman" w:cs="Times New Roman"/>
                <w:color w:val="000000"/>
                <w:lang w:eastAsia="en-GB"/>
              </w:rPr>
            </w:pPr>
            <w:r w:rsidRPr="00F03508">
              <w:rPr>
                <w:rFonts w:ascii="Times New Roman" w:eastAsia="Times New Roman" w:hAnsi="Times New Roman" w:cs="Times New Roman"/>
                <w:color w:val="000000"/>
                <w:lang w:eastAsia="en-GB"/>
              </w:rPr>
              <w:t>0,003</w:t>
            </w:r>
          </w:p>
        </w:tc>
        <w:tc>
          <w:tcPr>
            <w:tcW w:w="1540" w:type="dxa"/>
            <w:tcBorders>
              <w:top w:val="nil"/>
              <w:left w:val="nil"/>
              <w:right w:val="nil"/>
            </w:tcBorders>
            <w:shd w:val="clear" w:color="000000" w:fill="D6DCE4"/>
            <w:noWrap/>
            <w:vAlign w:val="bottom"/>
            <w:hideMark/>
          </w:tcPr>
          <w:p w:rsidR="006E0609" w:rsidRPr="00F03508" w:rsidRDefault="006E0609" w:rsidP="00F03508">
            <w:pPr>
              <w:spacing w:after="0" w:line="240" w:lineRule="auto"/>
              <w:jc w:val="center"/>
              <w:rPr>
                <w:rFonts w:ascii="Times New Roman" w:eastAsia="Times New Roman" w:hAnsi="Times New Roman" w:cs="Times New Roman"/>
                <w:color w:val="000000"/>
                <w:lang w:eastAsia="en-GB"/>
              </w:rPr>
            </w:pPr>
            <w:r w:rsidRPr="00F03508">
              <w:rPr>
                <w:rFonts w:ascii="Times New Roman" w:eastAsia="Times New Roman" w:hAnsi="Times New Roman" w:cs="Times New Roman"/>
                <w:color w:val="000000"/>
                <w:lang w:eastAsia="en-GB"/>
              </w:rPr>
              <w:t>0,003</w:t>
            </w:r>
          </w:p>
        </w:tc>
        <w:tc>
          <w:tcPr>
            <w:tcW w:w="333" w:type="dxa"/>
            <w:tcBorders>
              <w:top w:val="nil"/>
              <w:left w:val="nil"/>
              <w:right w:val="nil"/>
            </w:tcBorders>
            <w:shd w:val="clear" w:color="auto" w:fill="auto"/>
            <w:noWrap/>
            <w:vAlign w:val="bottom"/>
            <w:hideMark/>
          </w:tcPr>
          <w:p w:rsidR="006E0609" w:rsidRPr="00F03508" w:rsidRDefault="006E0609" w:rsidP="006E0609">
            <w:pPr>
              <w:spacing w:after="0" w:line="240" w:lineRule="auto"/>
              <w:rPr>
                <w:rFonts w:ascii="Times New Roman" w:eastAsia="Times New Roman" w:hAnsi="Times New Roman" w:cs="Times New Roman"/>
                <w:color w:val="000000"/>
                <w:lang w:eastAsia="en-GB"/>
              </w:rPr>
            </w:pPr>
          </w:p>
        </w:tc>
        <w:tc>
          <w:tcPr>
            <w:tcW w:w="1429" w:type="dxa"/>
            <w:tcBorders>
              <w:top w:val="nil"/>
              <w:left w:val="nil"/>
              <w:right w:val="nil"/>
            </w:tcBorders>
            <w:shd w:val="clear" w:color="000000" w:fill="D6DCE4"/>
            <w:noWrap/>
            <w:vAlign w:val="bottom"/>
            <w:hideMark/>
          </w:tcPr>
          <w:p w:rsidR="006E0609" w:rsidRPr="00F03508" w:rsidRDefault="006E0609" w:rsidP="00F03508">
            <w:pPr>
              <w:spacing w:after="0" w:line="240" w:lineRule="auto"/>
              <w:jc w:val="center"/>
              <w:rPr>
                <w:rFonts w:ascii="Times New Roman" w:eastAsia="Times New Roman" w:hAnsi="Times New Roman" w:cs="Times New Roman"/>
                <w:color w:val="000000"/>
                <w:lang w:eastAsia="en-GB"/>
              </w:rPr>
            </w:pPr>
            <w:r w:rsidRPr="00F03508">
              <w:rPr>
                <w:rFonts w:ascii="Times New Roman" w:eastAsia="Times New Roman" w:hAnsi="Times New Roman" w:cs="Times New Roman"/>
                <w:color w:val="000000"/>
                <w:lang w:eastAsia="en-GB"/>
              </w:rPr>
              <w:t>0,006</w:t>
            </w:r>
          </w:p>
        </w:tc>
        <w:tc>
          <w:tcPr>
            <w:tcW w:w="1973" w:type="dxa"/>
            <w:tcBorders>
              <w:top w:val="nil"/>
              <w:left w:val="nil"/>
              <w:right w:val="nil"/>
            </w:tcBorders>
            <w:shd w:val="clear" w:color="000000" w:fill="D6DCE4"/>
            <w:noWrap/>
            <w:vAlign w:val="bottom"/>
            <w:hideMark/>
          </w:tcPr>
          <w:p w:rsidR="006E0609" w:rsidRPr="00F03508" w:rsidRDefault="006E0609" w:rsidP="00F03508">
            <w:pPr>
              <w:spacing w:after="0" w:line="240" w:lineRule="auto"/>
              <w:jc w:val="center"/>
              <w:rPr>
                <w:rFonts w:ascii="Times New Roman" w:eastAsia="Times New Roman" w:hAnsi="Times New Roman" w:cs="Times New Roman"/>
                <w:color w:val="000000"/>
                <w:lang w:eastAsia="en-GB"/>
              </w:rPr>
            </w:pPr>
            <w:r w:rsidRPr="00F03508">
              <w:rPr>
                <w:rFonts w:ascii="Times New Roman" w:eastAsia="Times New Roman" w:hAnsi="Times New Roman" w:cs="Times New Roman"/>
                <w:color w:val="000000"/>
                <w:lang w:eastAsia="en-GB"/>
              </w:rPr>
              <w:t>0,006</w:t>
            </w:r>
          </w:p>
        </w:tc>
      </w:tr>
      <w:tr w:rsidR="006E0609" w:rsidRPr="006E0609" w:rsidTr="00F03508">
        <w:trPr>
          <w:trHeight w:val="289"/>
        </w:trPr>
        <w:tc>
          <w:tcPr>
            <w:tcW w:w="1280" w:type="dxa"/>
            <w:tcBorders>
              <w:top w:val="nil"/>
              <w:left w:val="nil"/>
              <w:bottom w:val="nil"/>
              <w:right w:val="nil"/>
            </w:tcBorders>
            <w:shd w:val="clear" w:color="auto" w:fill="auto"/>
            <w:noWrap/>
            <w:vAlign w:val="bottom"/>
            <w:hideMark/>
          </w:tcPr>
          <w:p w:rsidR="006E0609" w:rsidRPr="00F03508" w:rsidRDefault="00816E53" w:rsidP="006E060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6E0609" w:rsidRPr="00F03508">
              <w:rPr>
                <w:rFonts w:ascii="Times New Roman" w:eastAsia="Times New Roman" w:hAnsi="Times New Roman" w:cs="Times New Roman"/>
                <w:color w:val="000000"/>
                <w:lang w:eastAsia="en-GB"/>
              </w:rPr>
              <w:t>Chile</w:t>
            </w:r>
          </w:p>
        </w:tc>
        <w:tc>
          <w:tcPr>
            <w:tcW w:w="1540" w:type="dxa"/>
            <w:tcBorders>
              <w:top w:val="nil"/>
              <w:left w:val="nil"/>
              <w:bottom w:val="single" w:sz="4" w:space="0" w:color="auto"/>
              <w:right w:val="nil"/>
            </w:tcBorders>
            <w:shd w:val="clear" w:color="000000" w:fill="D6DCE4"/>
            <w:noWrap/>
            <w:vAlign w:val="bottom"/>
            <w:hideMark/>
          </w:tcPr>
          <w:p w:rsidR="006E0609" w:rsidRPr="00F03508" w:rsidRDefault="006E0609" w:rsidP="00B82874">
            <w:pPr>
              <w:spacing w:after="0" w:line="240" w:lineRule="auto"/>
              <w:jc w:val="center"/>
              <w:rPr>
                <w:rFonts w:ascii="Times New Roman" w:eastAsia="Times New Roman" w:hAnsi="Times New Roman" w:cs="Times New Roman"/>
                <w:color w:val="000000"/>
                <w:lang w:eastAsia="en-GB"/>
              </w:rPr>
            </w:pPr>
            <w:r w:rsidRPr="00F03508">
              <w:rPr>
                <w:rFonts w:ascii="Times New Roman" w:eastAsia="Times New Roman" w:hAnsi="Times New Roman" w:cs="Times New Roman"/>
                <w:color w:val="000000"/>
                <w:lang w:eastAsia="en-GB"/>
              </w:rPr>
              <w:t>0,</w:t>
            </w:r>
            <w:r w:rsidR="00B82874">
              <w:rPr>
                <w:rFonts w:ascii="Times New Roman" w:eastAsia="Times New Roman" w:hAnsi="Times New Roman" w:cs="Times New Roman"/>
                <w:color w:val="000000"/>
                <w:lang w:eastAsia="en-GB"/>
              </w:rPr>
              <w:t>346</w:t>
            </w:r>
          </w:p>
        </w:tc>
        <w:tc>
          <w:tcPr>
            <w:tcW w:w="1540" w:type="dxa"/>
            <w:tcBorders>
              <w:top w:val="nil"/>
              <w:left w:val="nil"/>
              <w:bottom w:val="single" w:sz="4" w:space="0" w:color="auto"/>
              <w:right w:val="nil"/>
            </w:tcBorders>
            <w:shd w:val="clear" w:color="000000" w:fill="D6DCE4"/>
            <w:noWrap/>
            <w:vAlign w:val="bottom"/>
            <w:hideMark/>
          </w:tcPr>
          <w:p w:rsidR="006E0609" w:rsidRPr="00F03508" w:rsidRDefault="006E0609" w:rsidP="00B82874">
            <w:pPr>
              <w:spacing w:after="0" w:line="240" w:lineRule="auto"/>
              <w:jc w:val="center"/>
              <w:rPr>
                <w:rFonts w:ascii="Times New Roman" w:eastAsia="Times New Roman" w:hAnsi="Times New Roman" w:cs="Times New Roman"/>
                <w:color w:val="000000"/>
                <w:lang w:eastAsia="en-GB"/>
              </w:rPr>
            </w:pPr>
            <w:r w:rsidRPr="00F03508">
              <w:rPr>
                <w:rFonts w:ascii="Times New Roman" w:eastAsia="Times New Roman" w:hAnsi="Times New Roman" w:cs="Times New Roman"/>
                <w:color w:val="000000"/>
                <w:lang w:eastAsia="en-GB"/>
              </w:rPr>
              <w:t>0,</w:t>
            </w:r>
            <w:r w:rsidR="00B82874">
              <w:rPr>
                <w:rFonts w:ascii="Times New Roman" w:eastAsia="Times New Roman" w:hAnsi="Times New Roman" w:cs="Times New Roman"/>
                <w:color w:val="000000"/>
                <w:lang w:eastAsia="en-GB"/>
              </w:rPr>
              <w:t>191</w:t>
            </w:r>
          </w:p>
        </w:tc>
        <w:tc>
          <w:tcPr>
            <w:tcW w:w="333" w:type="dxa"/>
            <w:tcBorders>
              <w:top w:val="nil"/>
              <w:left w:val="nil"/>
              <w:bottom w:val="single" w:sz="4" w:space="0" w:color="auto"/>
              <w:right w:val="nil"/>
            </w:tcBorders>
            <w:shd w:val="clear" w:color="auto" w:fill="auto"/>
            <w:noWrap/>
            <w:vAlign w:val="bottom"/>
            <w:hideMark/>
          </w:tcPr>
          <w:p w:rsidR="006E0609" w:rsidRPr="00F03508" w:rsidRDefault="006E0609" w:rsidP="006E0609">
            <w:pPr>
              <w:spacing w:after="0" w:line="240" w:lineRule="auto"/>
              <w:rPr>
                <w:rFonts w:ascii="Times New Roman" w:eastAsia="Times New Roman" w:hAnsi="Times New Roman" w:cs="Times New Roman"/>
                <w:color w:val="000000"/>
                <w:lang w:eastAsia="en-GB"/>
              </w:rPr>
            </w:pPr>
          </w:p>
        </w:tc>
        <w:tc>
          <w:tcPr>
            <w:tcW w:w="1429" w:type="dxa"/>
            <w:tcBorders>
              <w:top w:val="nil"/>
              <w:left w:val="nil"/>
              <w:bottom w:val="single" w:sz="4" w:space="0" w:color="auto"/>
              <w:right w:val="nil"/>
            </w:tcBorders>
            <w:shd w:val="clear" w:color="000000" w:fill="D6DCE4"/>
            <w:noWrap/>
            <w:vAlign w:val="bottom"/>
            <w:hideMark/>
          </w:tcPr>
          <w:p w:rsidR="006E0609" w:rsidRPr="00F03508" w:rsidRDefault="006E0609" w:rsidP="00B82874">
            <w:pPr>
              <w:spacing w:after="0" w:line="240" w:lineRule="auto"/>
              <w:jc w:val="center"/>
              <w:rPr>
                <w:rFonts w:ascii="Times New Roman" w:eastAsia="Times New Roman" w:hAnsi="Times New Roman" w:cs="Times New Roman"/>
                <w:color w:val="000000"/>
                <w:lang w:eastAsia="en-GB"/>
              </w:rPr>
            </w:pPr>
            <w:r w:rsidRPr="00F03508">
              <w:rPr>
                <w:rFonts w:ascii="Times New Roman" w:eastAsia="Times New Roman" w:hAnsi="Times New Roman" w:cs="Times New Roman"/>
                <w:color w:val="000000"/>
                <w:lang w:eastAsia="en-GB"/>
              </w:rPr>
              <w:t>0,</w:t>
            </w:r>
            <w:r w:rsidR="00B82874">
              <w:rPr>
                <w:rFonts w:ascii="Times New Roman" w:eastAsia="Times New Roman" w:hAnsi="Times New Roman" w:cs="Times New Roman"/>
                <w:color w:val="000000"/>
                <w:lang w:eastAsia="en-GB"/>
              </w:rPr>
              <w:t>610</w:t>
            </w:r>
          </w:p>
        </w:tc>
        <w:tc>
          <w:tcPr>
            <w:tcW w:w="1973" w:type="dxa"/>
            <w:tcBorders>
              <w:top w:val="nil"/>
              <w:left w:val="nil"/>
              <w:bottom w:val="single" w:sz="4" w:space="0" w:color="auto"/>
              <w:right w:val="nil"/>
            </w:tcBorders>
            <w:shd w:val="clear" w:color="000000" w:fill="D6DCE4"/>
            <w:noWrap/>
            <w:vAlign w:val="bottom"/>
            <w:hideMark/>
          </w:tcPr>
          <w:p w:rsidR="006E0609" w:rsidRPr="00F03508" w:rsidRDefault="006E0609" w:rsidP="00B82874">
            <w:pPr>
              <w:spacing w:after="0" w:line="240" w:lineRule="auto"/>
              <w:jc w:val="center"/>
              <w:rPr>
                <w:rFonts w:ascii="Times New Roman" w:eastAsia="Times New Roman" w:hAnsi="Times New Roman" w:cs="Times New Roman"/>
                <w:color w:val="000000"/>
                <w:lang w:eastAsia="en-GB"/>
              </w:rPr>
            </w:pPr>
            <w:r w:rsidRPr="00F03508">
              <w:rPr>
                <w:rFonts w:ascii="Times New Roman" w:eastAsia="Times New Roman" w:hAnsi="Times New Roman" w:cs="Times New Roman"/>
                <w:color w:val="000000"/>
                <w:lang w:eastAsia="en-GB"/>
              </w:rPr>
              <w:t>0,</w:t>
            </w:r>
            <w:r w:rsidR="00B82874">
              <w:rPr>
                <w:rFonts w:ascii="Times New Roman" w:eastAsia="Times New Roman" w:hAnsi="Times New Roman" w:cs="Times New Roman"/>
                <w:color w:val="000000"/>
                <w:lang w:eastAsia="en-GB"/>
              </w:rPr>
              <w:t>370</w:t>
            </w:r>
          </w:p>
        </w:tc>
      </w:tr>
    </w:tbl>
    <w:p w:rsidR="006E0609" w:rsidRDefault="006E0609" w:rsidP="006E0609">
      <w:pPr>
        <w:autoSpaceDE w:val="0"/>
        <w:autoSpaceDN w:val="0"/>
        <w:adjustRightInd w:val="0"/>
        <w:spacing w:after="120" w:line="240" w:lineRule="auto"/>
        <w:jc w:val="both"/>
        <w:rPr>
          <w:rFonts w:ascii="Times New Roman" w:hAnsi="Times New Roman" w:cs="Times New Roman"/>
          <w:i/>
          <w:color w:val="000000"/>
          <w:sz w:val="24"/>
          <w:szCs w:val="24"/>
        </w:rPr>
      </w:pPr>
    </w:p>
    <w:p w:rsidR="00816E53" w:rsidRPr="00AC505A" w:rsidRDefault="00816E53" w:rsidP="00261E9D">
      <w:pPr>
        <w:autoSpaceDE w:val="0"/>
        <w:autoSpaceDN w:val="0"/>
        <w:adjustRightInd w:val="0"/>
        <w:spacing w:before="120" w:after="120" w:line="240" w:lineRule="auto"/>
        <w:jc w:val="both"/>
        <w:rPr>
          <w:rFonts w:ascii="Times New Roman" w:hAnsi="Times New Roman" w:cs="Times New Roman"/>
          <w:b/>
          <w:i/>
          <w:color w:val="000000"/>
          <w:sz w:val="24"/>
          <w:szCs w:val="24"/>
        </w:rPr>
      </w:pPr>
      <w:r w:rsidRPr="00AC505A">
        <w:rPr>
          <w:rFonts w:ascii="Times New Roman" w:hAnsi="Times New Roman" w:cs="Times New Roman"/>
          <w:b/>
          <w:i/>
          <w:color w:val="000000"/>
          <w:sz w:val="24"/>
          <w:szCs w:val="24"/>
        </w:rPr>
        <w:t>Welfare</w:t>
      </w:r>
    </w:p>
    <w:p w:rsidR="00816E53" w:rsidRPr="00E606E2" w:rsidRDefault="00816E53" w:rsidP="00816E53">
      <w:pPr>
        <w:snapToGrid w:val="0"/>
        <w:spacing w:after="120" w:line="240" w:lineRule="auto"/>
        <w:jc w:val="both"/>
        <w:rPr>
          <w:rFonts w:ascii="Times New Roman" w:hAnsi="Times New Roman" w:cs="Times New Roman"/>
          <w:sz w:val="24"/>
          <w:szCs w:val="24"/>
        </w:rPr>
      </w:pPr>
      <w:r w:rsidRPr="00E606E2">
        <w:rPr>
          <w:rFonts w:ascii="Times New Roman" w:hAnsi="Times New Roman" w:cs="Times New Roman"/>
          <w:sz w:val="24"/>
          <w:szCs w:val="24"/>
        </w:rPr>
        <w:t xml:space="preserve">In terms of welfare (an economic indicator that compares the change in consumer utility), the impact on </w:t>
      </w:r>
      <w:r>
        <w:rPr>
          <w:rFonts w:ascii="Times New Roman" w:hAnsi="Times New Roman" w:cs="Times New Roman"/>
          <w:sz w:val="24"/>
          <w:szCs w:val="24"/>
        </w:rPr>
        <w:t xml:space="preserve">the </w:t>
      </w:r>
      <w:r w:rsidRPr="00E606E2">
        <w:rPr>
          <w:rFonts w:ascii="Times New Roman" w:hAnsi="Times New Roman" w:cs="Times New Roman"/>
          <w:sz w:val="24"/>
          <w:szCs w:val="24"/>
        </w:rPr>
        <w:t>EU</w:t>
      </w:r>
      <w:r>
        <w:rPr>
          <w:rFonts w:ascii="Times New Roman" w:hAnsi="Times New Roman" w:cs="Times New Roman"/>
          <w:sz w:val="24"/>
          <w:szCs w:val="24"/>
        </w:rPr>
        <w:t xml:space="preserve"> and on Chile </w:t>
      </w:r>
      <w:r w:rsidRPr="00E606E2">
        <w:rPr>
          <w:rFonts w:ascii="Times New Roman" w:hAnsi="Times New Roman" w:cs="Times New Roman"/>
          <w:sz w:val="24"/>
          <w:szCs w:val="24"/>
        </w:rPr>
        <w:t xml:space="preserve">is </w:t>
      </w:r>
      <w:r w:rsidR="00222FA5">
        <w:rPr>
          <w:rFonts w:ascii="Times New Roman" w:hAnsi="Times New Roman" w:cs="Times New Roman"/>
          <w:sz w:val="24"/>
          <w:szCs w:val="24"/>
        </w:rPr>
        <w:t xml:space="preserve">expected to be </w:t>
      </w:r>
      <w:r w:rsidRPr="00E606E2">
        <w:rPr>
          <w:rFonts w:ascii="Times New Roman" w:hAnsi="Times New Roman" w:cs="Times New Roman"/>
          <w:sz w:val="24"/>
          <w:szCs w:val="24"/>
        </w:rPr>
        <w:t>positive</w:t>
      </w:r>
      <w:r w:rsidRPr="00D22F99">
        <w:rPr>
          <w:rFonts w:ascii="Times New Roman" w:hAnsi="Times New Roman" w:cs="Times New Roman"/>
          <w:sz w:val="24"/>
          <w:szCs w:val="24"/>
        </w:rPr>
        <w:t xml:space="preserve">. In absolute values, the EU gains vary between </w:t>
      </w:r>
      <w:r>
        <w:rPr>
          <w:rFonts w:ascii="Times New Roman" w:hAnsi="Times New Roman" w:cs="Times New Roman"/>
          <w:sz w:val="24"/>
          <w:szCs w:val="24"/>
        </w:rPr>
        <w:t>€ 2</w:t>
      </w:r>
      <w:r w:rsidR="00A07149">
        <w:rPr>
          <w:rFonts w:ascii="Times New Roman" w:hAnsi="Times New Roman" w:cs="Times New Roman"/>
          <w:sz w:val="24"/>
          <w:szCs w:val="24"/>
        </w:rPr>
        <w:t>69</w:t>
      </w:r>
      <w:r w:rsidRPr="00D22F99">
        <w:rPr>
          <w:rFonts w:ascii="Times New Roman" w:hAnsi="Times New Roman" w:cs="Times New Roman"/>
          <w:sz w:val="24"/>
          <w:szCs w:val="24"/>
        </w:rPr>
        <w:t xml:space="preserve"> million (conservative) and </w:t>
      </w:r>
      <w:r>
        <w:rPr>
          <w:rFonts w:ascii="Times New Roman" w:hAnsi="Times New Roman" w:cs="Times New Roman"/>
          <w:sz w:val="24"/>
          <w:szCs w:val="24"/>
        </w:rPr>
        <w:t>€ 7</w:t>
      </w:r>
      <w:r w:rsidR="009B7D15">
        <w:rPr>
          <w:rFonts w:ascii="Times New Roman" w:hAnsi="Times New Roman" w:cs="Times New Roman"/>
          <w:sz w:val="24"/>
          <w:szCs w:val="24"/>
        </w:rPr>
        <w:t>1</w:t>
      </w:r>
      <w:r w:rsidR="00A07149">
        <w:rPr>
          <w:rFonts w:ascii="Times New Roman" w:hAnsi="Times New Roman" w:cs="Times New Roman"/>
          <w:sz w:val="24"/>
          <w:szCs w:val="24"/>
        </w:rPr>
        <w:t>2</w:t>
      </w:r>
      <w:r>
        <w:rPr>
          <w:rFonts w:ascii="Times New Roman" w:hAnsi="Times New Roman" w:cs="Times New Roman"/>
          <w:sz w:val="24"/>
          <w:szCs w:val="24"/>
        </w:rPr>
        <w:t xml:space="preserve"> </w:t>
      </w:r>
      <w:r w:rsidRPr="00D22F99">
        <w:rPr>
          <w:rFonts w:ascii="Times New Roman" w:hAnsi="Times New Roman" w:cs="Times New Roman"/>
          <w:sz w:val="24"/>
          <w:szCs w:val="24"/>
        </w:rPr>
        <w:t>million (</w:t>
      </w:r>
      <w:r>
        <w:rPr>
          <w:rFonts w:ascii="Times New Roman" w:hAnsi="Times New Roman" w:cs="Times New Roman"/>
          <w:sz w:val="24"/>
          <w:szCs w:val="24"/>
        </w:rPr>
        <w:t>ambitious</w:t>
      </w:r>
      <w:r w:rsidRPr="00D22F99">
        <w:rPr>
          <w:rFonts w:ascii="Times New Roman" w:hAnsi="Times New Roman" w:cs="Times New Roman"/>
          <w:sz w:val="24"/>
          <w:szCs w:val="24"/>
        </w:rPr>
        <w:t>) in 20</w:t>
      </w:r>
      <w:r>
        <w:rPr>
          <w:rFonts w:ascii="Times New Roman" w:hAnsi="Times New Roman" w:cs="Times New Roman"/>
          <w:sz w:val="24"/>
          <w:szCs w:val="24"/>
        </w:rPr>
        <w:t>25</w:t>
      </w:r>
      <w:r w:rsidRPr="00D22F99">
        <w:rPr>
          <w:rFonts w:ascii="Times New Roman" w:hAnsi="Times New Roman" w:cs="Times New Roman"/>
          <w:sz w:val="24"/>
          <w:szCs w:val="24"/>
        </w:rPr>
        <w:t xml:space="preserve">. Chile's welfare gains would be </w:t>
      </w:r>
      <w:r>
        <w:rPr>
          <w:rFonts w:ascii="Times New Roman" w:hAnsi="Times New Roman" w:cs="Times New Roman"/>
          <w:sz w:val="24"/>
          <w:szCs w:val="24"/>
        </w:rPr>
        <w:t xml:space="preserve">€ </w:t>
      </w:r>
      <w:r w:rsidR="009B7D15">
        <w:rPr>
          <w:rFonts w:ascii="Times New Roman" w:hAnsi="Times New Roman" w:cs="Times New Roman"/>
          <w:sz w:val="24"/>
          <w:szCs w:val="24"/>
        </w:rPr>
        <w:t>3</w:t>
      </w:r>
      <w:r w:rsidR="00A07149">
        <w:rPr>
          <w:rFonts w:ascii="Times New Roman" w:hAnsi="Times New Roman" w:cs="Times New Roman"/>
          <w:sz w:val="24"/>
          <w:szCs w:val="24"/>
        </w:rPr>
        <w:t>69</w:t>
      </w:r>
      <w:r w:rsidRPr="00D22F99">
        <w:rPr>
          <w:rFonts w:ascii="Times New Roman" w:hAnsi="Times New Roman" w:cs="Times New Roman"/>
          <w:sz w:val="24"/>
          <w:szCs w:val="24"/>
        </w:rPr>
        <w:t xml:space="preserve"> million in the conservative and </w:t>
      </w:r>
      <w:r>
        <w:rPr>
          <w:rFonts w:ascii="Times New Roman" w:hAnsi="Times New Roman" w:cs="Times New Roman"/>
          <w:sz w:val="24"/>
          <w:szCs w:val="24"/>
        </w:rPr>
        <w:t xml:space="preserve">€ </w:t>
      </w:r>
      <w:r w:rsidR="009B7D15">
        <w:rPr>
          <w:rFonts w:ascii="Times New Roman" w:hAnsi="Times New Roman" w:cs="Times New Roman"/>
          <w:sz w:val="24"/>
          <w:szCs w:val="24"/>
        </w:rPr>
        <w:t>5</w:t>
      </w:r>
      <w:r w:rsidR="00A07149">
        <w:rPr>
          <w:rFonts w:ascii="Times New Roman" w:hAnsi="Times New Roman" w:cs="Times New Roman"/>
          <w:sz w:val="24"/>
          <w:szCs w:val="24"/>
        </w:rPr>
        <w:t>29</w:t>
      </w:r>
      <w:r w:rsidRPr="00D22F99">
        <w:rPr>
          <w:rFonts w:ascii="Times New Roman" w:hAnsi="Times New Roman" w:cs="Times New Roman"/>
          <w:sz w:val="24"/>
          <w:szCs w:val="24"/>
        </w:rPr>
        <w:t xml:space="preserve"> million in the </w:t>
      </w:r>
      <w:r>
        <w:rPr>
          <w:rFonts w:ascii="Times New Roman" w:hAnsi="Times New Roman" w:cs="Times New Roman"/>
          <w:sz w:val="24"/>
          <w:szCs w:val="24"/>
        </w:rPr>
        <w:t>ambitious</w:t>
      </w:r>
      <w:r w:rsidRPr="00D22F99">
        <w:rPr>
          <w:rFonts w:ascii="Times New Roman" w:hAnsi="Times New Roman" w:cs="Times New Roman"/>
          <w:sz w:val="24"/>
          <w:szCs w:val="24"/>
        </w:rPr>
        <w:t xml:space="preserve"> scenario.</w:t>
      </w:r>
      <w:r w:rsidRPr="00E606E2">
        <w:rPr>
          <w:rFonts w:ascii="Times New Roman" w:hAnsi="Times New Roman" w:cs="Times New Roman"/>
          <w:sz w:val="24"/>
          <w:szCs w:val="24"/>
        </w:rPr>
        <w:t xml:space="preserve"> </w:t>
      </w:r>
    </w:p>
    <w:p w:rsidR="00816E53" w:rsidRPr="00816E53" w:rsidRDefault="00816E53" w:rsidP="000A4037">
      <w:pPr>
        <w:autoSpaceDE w:val="0"/>
        <w:autoSpaceDN w:val="0"/>
        <w:adjustRightInd w:val="0"/>
        <w:spacing w:before="240" w:after="120" w:line="240" w:lineRule="auto"/>
        <w:ind w:firstLine="720"/>
        <w:jc w:val="both"/>
        <w:rPr>
          <w:rFonts w:ascii="Times New Roman" w:hAnsi="Times New Roman" w:cs="Times New Roman"/>
          <w:b/>
          <w:color w:val="000000"/>
        </w:rPr>
      </w:pPr>
      <w:r w:rsidRPr="00816E53">
        <w:rPr>
          <w:rFonts w:ascii="Times New Roman" w:hAnsi="Times New Roman" w:cs="Times New Roman"/>
          <w:b/>
          <w:color w:val="000000"/>
        </w:rPr>
        <w:t xml:space="preserve">Table – </w:t>
      </w:r>
      <w:r>
        <w:rPr>
          <w:rFonts w:ascii="Times New Roman" w:hAnsi="Times New Roman" w:cs="Times New Roman"/>
          <w:b/>
          <w:color w:val="000000"/>
        </w:rPr>
        <w:t>Estimated w</w:t>
      </w:r>
      <w:r w:rsidR="009E3EA3">
        <w:rPr>
          <w:rFonts w:ascii="Times New Roman" w:hAnsi="Times New Roman" w:cs="Times New Roman"/>
          <w:b/>
          <w:color w:val="000000"/>
        </w:rPr>
        <w:t>elfare gains in the long term</w:t>
      </w:r>
      <w:r w:rsidRPr="00816E53">
        <w:rPr>
          <w:rFonts w:ascii="Times New Roman" w:hAnsi="Times New Roman" w:cs="Times New Roman"/>
          <w:b/>
          <w:color w:val="000000"/>
        </w:rPr>
        <w:t xml:space="preserve"> (€ million)</w:t>
      </w:r>
      <w:r w:rsidR="009B7D15">
        <w:rPr>
          <w:rFonts w:ascii="Times New Roman" w:hAnsi="Times New Roman" w:cs="Times New Roman"/>
          <w:b/>
          <w:color w:val="000000"/>
        </w:rPr>
        <w:t xml:space="preserve"> </w:t>
      </w:r>
      <w:r w:rsidR="009B7D15" w:rsidRPr="009B7D15">
        <w:rPr>
          <w:rFonts w:ascii="Times New Roman" w:hAnsi="Times New Roman" w:cs="Times New Roman"/>
          <w:color w:val="000000"/>
          <w:vertAlign w:val="superscript"/>
        </w:rPr>
        <w:t>(*)</w:t>
      </w:r>
    </w:p>
    <w:tbl>
      <w:tblPr>
        <w:tblW w:w="7513" w:type="dxa"/>
        <w:tblInd w:w="675" w:type="dxa"/>
        <w:tblLook w:val="04A0" w:firstRow="1" w:lastRow="0" w:firstColumn="1" w:lastColumn="0" w:noHBand="0" w:noVBand="1"/>
      </w:tblPr>
      <w:tblGrid>
        <w:gridCol w:w="709"/>
        <w:gridCol w:w="2876"/>
        <w:gridCol w:w="236"/>
        <w:gridCol w:w="3692"/>
      </w:tblGrid>
      <w:tr w:rsidR="00816E53" w:rsidRPr="00816E53" w:rsidTr="000A4037">
        <w:trPr>
          <w:trHeight w:val="289"/>
        </w:trPr>
        <w:tc>
          <w:tcPr>
            <w:tcW w:w="709" w:type="dxa"/>
            <w:tcBorders>
              <w:top w:val="nil"/>
              <w:left w:val="nil"/>
              <w:bottom w:val="nil"/>
              <w:right w:val="nil"/>
            </w:tcBorders>
            <w:shd w:val="clear" w:color="auto" w:fill="auto"/>
            <w:vAlign w:val="center"/>
            <w:hideMark/>
          </w:tcPr>
          <w:p w:rsidR="00816E53" w:rsidRPr="00816E53" w:rsidRDefault="00816E53" w:rsidP="00816E53">
            <w:pPr>
              <w:spacing w:after="0" w:line="240" w:lineRule="auto"/>
              <w:jc w:val="center"/>
              <w:rPr>
                <w:rFonts w:ascii="Calibri" w:eastAsia="Times New Roman" w:hAnsi="Calibri" w:cs="Calibri"/>
                <w:b/>
                <w:bCs/>
                <w:color w:val="000000"/>
                <w:lang w:eastAsia="en-GB"/>
              </w:rPr>
            </w:pPr>
          </w:p>
        </w:tc>
        <w:tc>
          <w:tcPr>
            <w:tcW w:w="2876" w:type="dxa"/>
            <w:tcBorders>
              <w:top w:val="single" w:sz="4" w:space="0" w:color="auto"/>
              <w:left w:val="nil"/>
              <w:bottom w:val="single" w:sz="4" w:space="0" w:color="auto"/>
              <w:right w:val="nil"/>
            </w:tcBorders>
            <w:shd w:val="clear" w:color="auto" w:fill="auto"/>
            <w:vAlign w:val="center"/>
            <w:hideMark/>
          </w:tcPr>
          <w:p w:rsidR="00816E53" w:rsidRPr="00816E53" w:rsidRDefault="00816E53" w:rsidP="00816E53">
            <w:pPr>
              <w:spacing w:after="0" w:line="240" w:lineRule="auto"/>
              <w:jc w:val="center"/>
              <w:rPr>
                <w:rFonts w:ascii="Calibri" w:eastAsia="Times New Roman" w:hAnsi="Calibri" w:cs="Calibri"/>
                <w:b/>
                <w:bCs/>
                <w:color w:val="000000"/>
                <w:lang w:eastAsia="en-GB"/>
              </w:rPr>
            </w:pPr>
            <w:r w:rsidRPr="00816E53">
              <w:rPr>
                <w:rFonts w:ascii="Calibri" w:eastAsia="Times New Roman" w:hAnsi="Calibri" w:cs="Calibri"/>
                <w:b/>
                <w:bCs/>
                <w:color w:val="000000"/>
                <w:lang w:eastAsia="en-GB"/>
              </w:rPr>
              <w:t>Conservative</w:t>
            </w:r>
          </w:p>
        </w:tc>
        <w:tc>
          <w:tcPr>
            <w:tcW w:w="236" w:type="dxa"/>
            <w:tcBorders>
              <w:top w:val="nil"/>
              <w:left w:val="nil"/>
              <w:bottom w:val="nil"/>
              <w:right w:val="nil"/>
            </w:tcBorders>
            <w:shd w:val="clear" w:color="auto" w:fill="auto"/>
            <w:noWrap/>
            <w:vAlign w:val="bottom"/>
            <w:hideMark/>
          </w:tcPr>
          <w:p w:rsidR="00816E53" w:rsidRPr="00816E53" w:rsidRDefault="00816E53" w:rsidP="00816E53">
            <w:pPr>
              <w:spacing w:after="0" w:line="240" w:lineRule="auto"/>
              <w:rPr>
                <w:rFonts w:ascii="Calibri" w:eastAsia="Times New Roman" w:hAnsi="Calibri" w:cs="Calibri"/>
                <w:color w:val="000000"/>
                <w:lang w:eastAsia="en-GB"/>
              </w:rPr>
            </w:pPr>
          </w:p>
        </w:tc>
        <w:tc>
          <w:tcPr>
            <w:tcW w:w="3692" w:type="dxa"/>
            <w:tcBorders>
              <w:top w:val="single" w:sz="4" w:space="0" w:color="auto"/>
              <w:left w:val="nil"/>
              <w:bottom w:val="single" w:sz="4" w:space="0" w:color="auto"/>
              <w:right w:val="nil"/>
            </w:tcBorders>
            <w:shd w:val="clear" w:color="auto" w:fill="auto"/>
            <w:vAlign w:val="center"/>
            <w:hideMark/>
          </w:tcPr>
          <w:p w:rsidR="00816E53" w:rsidRPr="00816E53" w:rsidRDefault="00816E53" w:rsidP="00816E53">
            <w:pPr>
              <w:spacing w:after="0" w:line="240" w:lineRule="auto"/>
              <w:jc w:val="center"/>
              <w:rPr>
                <w:rFonts w:ascii="Calibri" w:eastAsia="Times New Roman" w:hAnsi="Calibri" w:cs="Calibri"/>
                <w:b/>
                <w:bCs/>
                <w:color w:val="000000"/>
                <w:lang w:eastAsia="en-GB"/>
              </w:rPr>
            </w:pPr>
            <w:r w:rsidRPr="00816E53">
              <w:rPr>
                <w:rFonts w:ascii="Calibri" w:eastAsia="Times New Roman" w:hAnsi="Calibri" w:cs="Calibri"/>
                <w:b/>
                <w:bCs/>
                <w:color w:val="000000"/>
                <w:lang w:eastAsia="en-GB"/>
              </w:rPr>
              <w:t>Ambitious</w:t>
            </w:r>
          </w:p>
        </w:tc>
      </w:tr>
      <w:tr w:rsidR="00816E53" w:rsidRPr="00816E53" w:rsidTr="000A4037">
        <w:trPr>
          <w:trHeight w:val="289"/>
        </w:trPr>
        <w:tc>
          <w:tcPr>
            <w:tcW w:w="709" w:type="dxa"/>
            <w:tcBorders>
              <w:top w:val="nil"/>
              <w:left w:val="nil"/>
              <w:bottom w:val="nil"/>
              <w:right w:val="nil"/>
            </w:tcBorders>
            <w:shd w:val="clear" w:color="auto" w:fill="auto"/>
            <w:noWrap/>
            <w:vAlign w:val="bottom"/>
            <w:hideMark/>
          </w:tcPr>
          <w:p w:rsidR="00816E53" w:rsidRPr="00816E53" w:rsidRDefault="00816E53" w:rsidP="00816E53">
            <w:pPr>
              <w:spacing w:after="0" w:line="240" w:lineRule="auto"/>
              <w:rPr>
                <w:rFonts w:ascii="Calibri" w:eastAsia="Times New Roman" w:hAnsi="Calibri" w:cs="Calibri"/>
                <w:color w:val="000000"/>
                <w:lang w:eastAsia="en-GB"/>
              </w:rPr>
            </w:pPr>
            <w:r w:rsidRPr="00816E53">
              <w:rPr>
                <w:rFonts w:ascii="Calibri" w:eastAsia="Times New Roman" w:hAnsi="Calibri" w:cs="Calibri"/>
                <w:color w:val="000000"/>
                <w:lang w:eastAsia="en-GB"/>
              </w:rPr>
              <w:t>EU</w:t>
            </w:r>
          </w:p>
        </w:tc>
        <w:tc>
          <w:tcPr>
            <w:tcW w:w="2876" w:type="dxa"/>
            <w:tcBorders>
              <w:top w:val="nil"/>
              <w:left w:val="nil"/>
              <w:right w:val="nil"/>
            </w:tcBorders>
            <w:shd w:val="clear" w:color="000000" w:fill="D6DCE4"/>
            <w:noWrap/>
            <w:vAlign w:val="bottom"/>
            <w:hideMark/>
          </w:tcPr>
          <w:p w:rsidR="00816E53" w:rsidRPr="00816E53" w:rsidRDefault="00816E53" w:rsidP="009B7D15">
            <w:pPr>
              <w:spacing w:after="0" w:line="240" w:lineRule="auto"/>
              <w:jc w:val="center"/>
              <w:rPr>
                <w:rFonts w:ascii="Calibri" w:eastAsia="Times New Roman" w:hAnsi="Calibri" w:cs="Calibri"/>
                <w:color w:val="000000"/>
                <w:lang w:eastAsia="en-GB"/>
              </w:rPr>
            </w:pPr>
            <w:r w:rsidRPr="00816E53">
              <w:rPr>
                <w:rFonts w:ascii="Calibri" w:eastAsia="Times New Roman" w:hAnsi="Calibri" w:cs="Calibri"/>
                <w:color w:val="000000"/>
                <w:lang w:eastAsia="en-GB"/>
              </w:rPr>
              <w:t>2</w:t>
            </w:r>
            <w:r w:rsidR="00B940CE">
              <w:rPr>
                <w:rFonts w:ascii="Calibri" w:eastAsia="Times New Roman" w:hAnsi="Calibri" w:cs="Calibri"/>
                <w:color w:val="000000"/>
                <w:lang w:eastAsia="en-GB"/>
              </w:rPr>
              <w:t>69</w:t>
            </w:r>
          </w:p>
        </w:tc>
        <w:tc>
          <w:tcPr>
            <w:tcW w:w="236" w:type="dxa"/>
            <w:tcBorders>
              <w:top w:val="nil"/>
              <w:left w:val="nil"/>
              <w:right w:val="nil"/>
            </w:tcBorders>
            <w:shd w:val="clear" w:color="auto" w:fill="auto"/>
            <w:noWrap/>
            <w:vAlign w:val="bottom"/>
            <w:hideMark/>
          </w:tcPr>
          <w:p w:rsidR="00816E53" w:rsidRPr="00816E53" w:rsidRDefault="00816E53" w:rsidP="000A4037">
            <w:pPr>
              <w:spacing w:after="0" w:line="240" w:lineRule="auto"/>
              <w:jc w:val="center"/>
              <w:rPr>
                <w:rFonts w:ascii="Calibri" w:eastAsia="Times New Roman" w:hAnsi="Calibri" w:cs="Calibri"/>
                <w:color w:val="000000"/>
                <w:lang w:eastAsia="en-GB"/>
              </w:rPr>
            </w:pPr>
          </w:p>
        </w:tc>
        <w:tc>
          <w:tcPr>
            <w:tcW w:w="3692" w:type="dxa"/>
            <w:tcBorders>
              <w:top w:val="nil"/>
              <w:left w:val="nil"/>
              <w:right w:val="nil"/>
            </w:tcBorders>
            <w:shd w:val="clear" w:color="000000" w:fill="D6DCE4"/>
            <w:noWrap/>
            <w:vAlign w:val="bottom"/>
            <w:hideMark/>
          </w:tcPr>
          <w:p w:rsidR="00816E53" w:rsidRPr="00816E53" w:rsidRDefault="00816E53" w:rsidP="009B7D15">
            <w:pPr>
              <w:spacing w:after="0" w:line="240" w:lineRule="auto"/>
              <w:jc w:val="center"/>
              <w:rPr>
                <w:rFonts w:ascii="Calibri" w:eastAsia="Times New Roman" w:hAnsi="Calibri" w:cs="Calibri"/>
                <w:color w:val="000000"/>
                <w:lang w:eastAsia="en-GB"/>
              </w:rPr>
            </w:pPr>
            <w:r w:rsidRPr="00816E53">
              <w:rPr>
                <w:rFonts w:ascii="Calibri" w:eastAsia="Times New Roman" w:hAnsi="Calibri" w:cs="Calibri"/>
                <w:color w:val="000000"/>
                <w:lang w:eastAsia="en-GB"/>
              </w:rPr>
              <w:t>7</w:t>
            </w:r>
            <w:r w:rsidR="00B940CE">
              <w:rPr>
                <w:rFonts w:ascii="Calibri" w:eastAsia="Times New Roman" w:hAnsi="Calibri" w:cs="Calibri"/>
                <w:color w:val="000000"/>
                <w:lang w:eastAsia="en-GB"/>
              </w:rPr>
              <w:t>12</w:t>
            </w:r>
          </w:p>
        </w:tc>
      </w:tr>
      <w:tr w:rsidR="00816E53" w:rsidRPr="00816E53" w:rsidTr="000A4037">
        <w:trPr>
          <w:trHeight w:val="289"/>
        </w:trPr>
        <w:tc>
          <w:tcPr>
            <w:tcW w:w="709" w:type="dxa"/>
            <w:tcBorders>
              <w:top w:val="nil"/>
              <w:left w:val="nil"/>
              <w:bottom w:val="nil"/>
              <w:right w:val="nil"/>
            </w:tcBorders>
            <w:shd w:val="clear" w:color="auto" w:fill="auto"/>
            <w:noWrap/>
            <w:vAlign w:val="bottom"/>
            <w:hideMark/>
          </w:tcPr>
          <w:p w:rsidR="00816E53" w:rsidRPr="00816E53" w:rsidRDefault="00816E53" w:rsidP="00816E53">
            <w:pPr>
              <w:spacing w:after="0" w:line="240" w:lineRule="auto"/>
              <w:rPr>
                <w:rFonts w:ascii="Calibri" w:eastAsia="Times New Roman" w:hAnsi="Calibri" w:cs="Calibri"/>
                <w:color w:val="000000"/>
                <w:lang w:eastAsia="en-GB"/>
              </w:rPr>
            </w:pPr>
            <w:r w:rsidRPr="00816E53">
              <w:rPr>
                <w:rFonts w:ascii="Calibri" w:eastAsia="Times New Roman" w:hAnsi="Calibri" w:cs="Calibri"/>
                <w:color w:val="000000"/>
                <w:lang w:eastAsia="en-GB"/>
              </w:rPr>
              <w:t>Chile</w:t>
            </w:r>
          </w:p>
        </w:tc>
        <w:tc>
          <w:tcPr>
            <w:tcW w:w="2876" w:type="dxa"/>
            <w:tcBorders>
              <w:top w:val="nil"/>
              <w:left w:val="nil"/>
              <w:bottom w:val="single" w:sz="4" w:space="0" w:color="auto"/>
              <w:right w:val="nil"/>
            </w:tcBorders>
            <w:shd w:val="clear" w:color="000000" w:fill="D6DCE4"/>
            <w:noWrap/>
            <w:vAlign w:val="bottom"/>
            <w:hideMark/>
          </w:tcPr>
          <w:p w:rsidR="00816E53" w:rsidRPr="00816E53" w:rsidRDefault="00B940CE" w:rsidP="000A403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369</w:t>
            </w:r>
          </w:p>
        </w:tc>
        <w:tc>
          <w:tcPr>
            <w:tcW w:w="236" w:type="dxa"/>
            <w:tcBorders>
              <w:top w:val="nil"/>
              <w:left w:val="nil"/>
              <w:bottom w:val="single" w:sz="4" w:space="0" w:color="auto"/>
              <w:right w:val="nil"/>
            </w:tcBorders>
            <w:shd w:val="clear" w:color="auto" w:fill="auto"/>
            <w:noWrap/>
            <w:vAlign w:val="bottom"/>
            <w:hideMark/>
          </w:tcPr>
          <w:p w:rsidR="00816E53" w:rsidRPr="00816E53" w:rsidRDefault="00816E53" w:rsidP="000A4037">
            <w:pPr>
              <w:spacing w:after="0" w:line="240" w:lineRule="auto"/>
              <w:jc w:val="center"/>
              <w:rPr>
                <w:rFonts w:ascii="Calibri" w:eastAsia="Times New Roman" w:hAnsi="Calibri" w:cs="Calibri"/>
                <w:color w:val="000000"/>
                <w:lang w:eastAsia="en-GB"/>
              </w:rPr>
            </w:pPr>
          </w:p>
        </w:tc>
        <w:tc>
          <w:tcPr>
            <w:tcW w:w="3692" w:type="dxa"/>
            <w:tcBorders>
              <w:top w:val="nil"/>
              <w:left w:val="nil"/>
              <w:bottom w:val="single" w:sz="4" w:space="0" w:color="auto"/>
              <w:right w:val="nil"/>
            </w:tcBorders>
            <w:shd w:val="clear" w:color="000000" w:fill="D6DCE4"/>
            <w:noWrap/>
            <w:vAlign w:val="bottom"/>
            <w:hideMark/>
          </w:tcPr>
          <w:p w:rsidR="00816E53" w:rsidRPr="00816E53" w:rsidRDefault="00B940CE" w:rsidP="000A403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529</w:t>
            </w:r>
          </w:p>
        </w:tc>
      </w:tr>
    </w:tbl>
    <w:p w:rsidR="00816E53" w:rsidRPr="009B7D15" w:rsidRDefault="009B7D15" w:rsidP="009B7D15">
      <w:pPr>
        <w:autoSpaceDE w:val="0"/>
        <w:autoSpaceDN w:val="0"/>
        <w:adjustRightInd w:val="0"/>
        <w:spacing w:before="120" w:after="120" w:line="240" w:lineRule="auto"/>
        <w:ind w:left="720" w:firstLine="720"/>
        <w:jc w:val="both"/>
        <w:rPr>
          <w:rFonts w:ascii="Times New Roman" w:hAnsi="Times New Roman" w:cs="Times New Roman"/>
          <w:color w:val="000000"/>
          <w:sz w:val="18"/>
          <w:szCs w:val="18"/>
        </w:rPr>
      </w:pPr>
      <w:r w:rsidRPr="009B7D15">
        <w:rPr>
          <w:rFonts w:ascii="Times New Roman" w:hAnsi="Times New Roman" w:cs="Times New Roman"/>
          <w:color w:val="000000"/>
          <w:vertAlign w:val="superscript"/>
        </w:rPr>
        <w:t>(*)</w:t>
      </w:r>
      <w:r>
        <w:rPr>
          <w:rFonts w:ascii="Times New Roman" w:hAnsi="Times New Roman" w:cs="Times New Roman"/>
          <w:color w:val="000000"/>
          <w:vertAlign w:val="superscript"/>
        </w:rPr>
        <w:t xml:space="preserve"> </w:t>
      </w:r>
      <w:r w:rsidRPr="009B7D15">
        <w:rPr>
          <w:rFonts w:ascii="Times New Roman" w:hAnsi="Times New Roman" w:cs="Times New Roman"/>
          <w:color w:val="000000"/>
          <w:sz w:val="18"/>
          <w:szCs w:val="18"/>
        </w:rPr>
        <w:t>USD converted to Euro at 1</w:t>
      </w:r>
      <w:r w:rsidR="00A03560">
        <w:rPr>
          <w:rFonts w:ascii="Times New Roman" w:hAnsi="Times New Roman" w:cs="Times New Roman"/>
          <w:color w:val="000000"/>
          <w:sz w:val="18"/>
          <w:szCs w:val="18"/>
        </w:rPr>
        <w:t xml:space="preserve"> EUR</w:t>
      </w:r>
      <w:r w:rsidRPr="009B7D15">
        <w:rPr>
          <w:rFonts w:ascii="Times New Roman" w:hAnsi="Times New Roman" w:cs="Times New Roman"/>
          <w:color w:val="000000"/>
          <w:sz w:val="18"/>
          <w:szCs w:val="18"/>
        </w:rPr>
        <w:t>=1.1</w:t>
      </w:r>
      <w:r w:rsidR="00B940CE">
        <w:rPr>
          <w:rFonts w:ascii="Times New Roman" w:hAnsi="Times New Roman" w:cs="Times New Roman"/>
          <w:color w:val="000000"/>
          <w:sz w:val="18"/>
          <w:szCs w:val="18"/>
        </w:rPr>
        <w:t>095</w:t>
      </w:r>
      <w:r w:rsidRPr="009B7D15">
        <w:rPr>
          <w:rFonts w:ascii="Times New Roman" w:hAnsi="Times New Roman" w:cs="Times New Roman"/>
          <w:color w:val="000000"/>
          <w:sz w:val="18"/>
          <w:szCs w:val="18"/>
        </w:rPr>
        <w:t xml:space="preserve"> </w:t>
      </w:r>
      <w:r w:rsidR="00A03560">
        <w:rPr>
          <w:rFonts w:ascii="Times New Roman" w:hAnsi="Times New Roman" w:cs="Times New Roman"/>
          <w:color w:val="000000"/>
          <w:sz w:val="18"/>
          <w:szCs w:val="18"/>
        </w:rPr>
        <w:t>USD</w:t>
      </w:r>
      <w:r w:rsidRPr="009B7D15">
        <w:rPr>
          <w:rFonts w:ascii="Times New Roman" w:hAnsi="Times New Roman" w:cs="Times New Roman"/>
          <w:color w:val="000000"/>
          <w:sz w:val="18"/>
          <w:szCs w:val="18"/>
        </w:rPr>
        <w:t>.</w:t>
      </w:r>
    </w:p>
    <w:p w:rsidR="005D2FCE" w:rsidRDefault="005D2FCE" w:rsidP="000A4037">
      <w:pPr>
        <w:snapToGrid w:val="0"/>
        <w:spacing w:before="240" w:after="120" w:line="240" w:lineRule="auto"/>
        <w:jc w:val="both"/>
        <w:rPr>
          <w:rFonts w:ascii="Times New Roman" w:hAnsi="Times New Roman" w:cs="Times New Roman"/>
          <w:b/>
          <w:sz w:val="24"/>
          <w:szCs w:val="24"/>
        </w:rPr>
      </w:pPr>
    </w:p>
    <w:p w:rsidR="000A4037" w:rsidRPr="000A4037" w:rsidRDefault="005B03ED" w:rsidP="00261E9D">
      <w:pPr>
        <w:snapToGrid w:val="0"/>
        <w:spacing w:before="240" w:after="12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5.</w:t>
      </w:r>
      <w:r w:rsidR="00E16507">
        <w:rPr>
          <w:rFonts w:ascii="Times New Roman" w:hAnsi="Times New Roman" w:cs="Times New Roman"/>
          <w:b/>
          <w:sz w:val="24"/>
          <w:szCs w:val="24"/>
        </w:rPr>
        <w:t>8</w:t>
      </w:r>
      <w:r w:rsidR="00FD3C27">
        <w:rPr>
          <w:rFonts w:ascii="Times New Roman" w:hAnsi="Times New Roman" w:cs="Times New Roman"/>
          <w:b/>
          <w:sz w:val="24"/>
          <w:szCs w:val="24"/>
        </w:rPr>
        <w:t>.2.</w:t>
      </w:r>
      <w:r w:rsidR="00FD3C27">
        <w:rPr>
          <w:rFonts w:ascii="Times New Roman" w:hAnsi="Times New Roman" w:cs="Times New Roman"/>
          <w:b/>
          <w:sz w:val="24"/>
          <w:szCs w:val="24"/>
        </w:rPr>
        <w:tab/>
      </w:r>
      <w:r w:rsidR="000A4037">
        <w:rPr>
          <w:rFonts w:ascii="Times New Roman" w:hAnsi="Times New Roman" w:cs="Times New Roman"/>
          <w:b/>
          <w:sz w:val="24"/>
          <w:szCs w:val="24"/>
        </w:rPr>
        <w:t>I</w:t>
      </w:r>
      <w:r w:rsidR="000A4037" w:rsidRPr="000A4037">
        <w:rPr>
          <w:rFonts w:ascii="Times New Roman" w:hAnsi="Times New Roman" w:cs="Times New Roman"/>
          <w:b/>
          <w:sz w:val="24"/>
          <w:szCs w:val="24"/>
        </w:rPr>
        <w:t xml:space="preserve">mpact on </w:t>
      </w:r>
      <w:r w:rsidR="007C272A">
        <w:rPr>
          <w:rFonts w:ascii="Times New Roman" w:hAnsi="Times New Roman" w:cs="Times New Roman"/>
          <w:b/>
          <w:sz w:val="24"/>
          <w:szCs w:val="24"/>
        </w:rPr>
        <w:t>e</w:t>
      </w:r>
      <w:r w:rsidR="00EE2F3B">
        <w:rPr>
          <w:rFonts w:ascii="Times New Roman" w:hAnsi="Times New Roman" w:cs="Times New Roman"/>
          <w:b/>
          <w:sz w:val="24"/>
          <w:szCs w:val="24"/>
        </w:rPr>
        <w:t>mployment</w:t>
      </w:r>
    </w:p>
    <w:p w:rsidR="00871055" w:rsidRPr="00AC505A" w:rsidRDefault="00871055" w:rsidP="00261E9D">
      <w:pPr>
        <w:autoSpaceDE w:val="0"/>
        <w:autoSpaceDN w:val="0"/>
        <w:adjustRightInd w:val="0"/>
        <w:spacing w:before="240" w:after="120" w:line="240" w:lineRule="auto"/>
        <w:jc w:val="both"/>
        <w:rPr>
          <w:rFonts w:ascii="Times New Roman" w:hAnsi="Times New Roman" w:cs="Times New Roman"/>
          <w:b/>
          <w:i/>
          <w:color w:val="000000"/>
          <w:sz w:val="24"/>
          <w:szCs w:val="24"/>
        </w:rPr>
      </w:pPr>
      <w:r w:rsidRPr="00AC505A">
        <w:rPr>
          <w:rFonts w:ascii="Times New Roman" w:hAnsi="Times New Roman" w:cs="Times New Roman"/>
          <w:b/>
          <w:i/>
          <w:color w:val="000000"/>
          <w:sz w:val="24"/>
          <w:szCs w:val="24"/>
        </w:rPr>
        <w:t>Sectoral employment</w:t>
      </w:r>
    </w:p>
    <w:p w:rsidR="00BD1479" w:rsidRDefault="00CC40B4" w:rsidP="00D97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CGE modelling estimated impact on sectoral output </w:t>
      </w:r>
      <w:r w:rsidR="009A1E3F">
        <w:rPr>
          <w:rFonts w:ascii="Times New Roman" w:hAnsi="Times New Roman" w:cs="Times New Roman"/>
          <w:sz w:val="24"/>
          <w:szCs w:val="24"/>
        </w:rPr>
        <w:t xml:space="preserve">in Chile </w:t>
      </w:r>
      <w:r>
        <w:rPr>
          <w:rFonts w:ascii="Times New Roman" w:hAnsi="Times New Roman" w:cs="Times New Roman"/>
          <w:sz w:val="24"/>
          <w:szCs w:val="24"/>
        </w:rPr>
        <w:t xml:space="preserve">is mixed. Some key sectors, notably fruit and vegetables, beverages, dairy, non-metal products and utilities are expected to grow at the expense of others.  </w:t>
      </w:r>
      <w:r w:rsidR="00D975D8">
        <w:rPr>
          <w:rFonts w:ascii="Times New Roman" w:hAnsi="Times New Roman" w:cs="Times New Roman"/>
          <w:sz w:val="24"/>
          <w:szCs w:val="24"/>
        </w:rPr>
        <w:t>S</w:t>
      </w:r>
      <w:r>
        <w:rPr>
          <w:rFonts w:ascii="Times New Roman" w:hAnsi="Times New Roman" w:cs="Times New Roman"/>
          <w:sz w:val="24"/>
          <w:szCs w:val="24"/>
        </w:rPr>
        <w:t>ectors expected to contract include machinery, motor vehicles, metal products, gas, fib</w:t>
      </w:r>
      <w:r w:rsidR="00EE6859">
        <w:rPr>
          <w:rFonts w:ascii="Times New Roman" w:hAnsi="Times New Roman" w:cs="Times New Roman"/>
          <w:sz w:val="24"/>
          <w:szCs w:val="24"/>
        </w:rPr>
        <w:t>r</w:t>
      </w:r>
      <w:r>
        <w:rPr>
          <w:rFonts w:ascii="Times New Roman" w:hAnsi="Times New Roman" w:cs="Times New Roman"/>
          <w:sz w:val="24"/>
          <w:szCs w:val="24"/>
        </w:rPr>
        <w:t>es and crops and meat.</w:t>
      </w:r>
      <w:r w:rsidR="00D975D8">
        <w:rPr>
          <w:rFonts w:ascii="Times New Roman" w:hAnsi="Times New Roman" w:cs="Times New Roman"/>
          <w:sz w:val="24"/>
          <w:szCs w:val="24"/>
        </w:rPr>
        <w:t xml:space="preserve"> </w:t>
      </w:r>
    </w:p>
    <w:p w:rsidR="00BD1479" w:rsidRDefault="00BD1479" w:rsidP="00D975D8">
      <w:pPr>
        <w:spacing w:after="0" w:line="240" w:lineRule="auto"/>
        <w:jc w:val="both"/>
        <w:rPr>
          <w:rFonts w:ascii="Times New Roman" w:hAnsi="Times New Roman" w:cs="Times New Roman"/>
          <w:sz w:val="24"/>
          <w:szCs w:val="24"/>
        </w:rPr>
      </w:pPr>
    </w:p>
    <w:p w:rsidR="00D134B8" w:rsidRDefault="00D975D8" w:rsidP="002A28DD">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As a result of</w:t>
      </w:r>
      <w:r w:rsidRPr="000E357F">
        <w:rPr>
          <w:rFonts w:ascii="Times New Roman" w:hAnsi="Times New Roman" w:cs="Times New Roman"/>
          <w:sz w:val="24"/>
          <w:szCs w:val="24"/>
        </w:rPr>
        <w:t xml:space="preserve"> re-allocation of resources between sectors</w:t>
      </w:r>
      <w:r>
        <w:rPr>
          <w:rFonts w:ascii="Times New Roman" w:hAnsi="Times New Roman" w:cs="Times New Roman"/>
          <w:sz w:val="24"/>
          <w:szCs w:val="24"/>
        </w:rPr>
        <w:t xml:space="preserve"> we </w:t>
      </w:r>
      <w:r w:rsidR="00BD1479">
        <w:rPr>
          <w:rFonts w:ascii="Times New Roman" w:hAnsi="Times New Roman" w:cs="Times New Roman"/>
          <w:sz w:val="24"/>
          <w:szCs w:val="24"/>
        </w:rPr>
        <w:t xml:space="preserve">may </w:t>
      </w:r>
      <w:r>
        <w:rPr>
          <w:rFonts w:ascii="Times New Roman" w:hAnsi="Times New Roman" w:cs="Times New Roman"/>
          <w:sz w:val="24"/>
          <w:szCs w:val="24"/>
        </w:rPr>
        <w:t>expect labour (and capital) shifts from contracting to growing sectors</w:t>
      </w:r>
      <w:r w:rsidRPr="00D975D8">
        <w:rPr>
          <w:rFonts w:ascii="Times New Roman" w:hAnsi="Times New Roman" w:cs="Times New Roman"/>
          <w:sz w:val="24"/>
          <w:szCs w:val="24"/>
        </w:rPr>
        <w:t xml:space="preserve"> </w:t>
      </w:r>
      <w:r>
        <w:rPr>
          <w:rFonts w:ascii="Times New Roman" w:hAnsi="Times New Roman" w:cs="Times New Roman"/>
          <w:sz w:val="24"/>
          <w:szCs w:val="24"/>
        </w:rPr>
        <w:t xml:space="preserve">(e.g. the </w:t>
      </w:r>
      <w:r w:rsidRPr="000E357F">
        <w:rPr>
          <w:rFonts w:ascii="Times New Roman" w:hAnsi="Times New Roman" w:cs="Times New Roman"/>
          <w:sz w:val="24"/>
          <w:szCs w:val="24"/>
        </w:rPr>
        <w:t>fruit &amp; vegetables</w:t>
      </w:r>
      <w:r>
        <w:rPr>
          <w:rFonts w:ascii="Times New Roman" w:hAnsi="Times New Roman" w:cs="Times New Roman"/>
          <w:sz w:val="24"/>
          <w:szCs w:val="24"/>
        </w:rPr>
        <w:t xml:space="preserve"> sector</w:t>
      </w:r>
      <w:r w:rsidRPr="000E357F">
        <w:rPr>
          <w:rFonts w:ascii="Times New Roman" w:hAnsi="Times New Roman" w:cs="Times New Roman"/>
          <w:sz w:val="24"/>
          <w:szCs w:val="24"/>
        </w:rPr>
        <w:t xml:space="preserve"> growing at the expense of the meat sector</w:t>
      </w:r>
      <w:r>
        <w:rPr>
          <w:rFonts w:ascii="Times New Roman" w:hAnsi="Times New Roman" w:cs="Times New Roman"/>
          <w:sz w:val="24"/>
          <w:szCs w:val="24"/>
        </w:rPr>
        <w:t>).</w:t>
      </w:r>
      <w:r w:rsidR="00BD1479">
        <w:rPr>
          <w:rFonts w:ascii="Times New Roman" w:hAnsi="Times New Roman" w:cs="Times New Roman"/>
          <w:sz w:val="24"/>
          <w:szCs w:val="24"/>
        </w:rPr>
        <w:t xml:space="preserve"> </w:t>
      </w:r>
      <w:r w:rsidR="00BD1479" w:rsidRPr="002A28DD">
        <w:rPr>
          <w:rFonts w:ascii="Times New Roman" w:hAnsi="Times New Roman" w:cs="Times New Roman"/>
          <w:color w:val="000000"/>
          <w:sz w:val="24"/>
          <w:szCs w:val="24"/>
        </w:rPr>
        <w:t xml:space="preserve">This is confirmed by the </w:t>
      </w:r>
      <w:r w:rsidR="00BD1479">
        <w:rPr>
          <w:rFonts w:ascii="Times New Roman" w:hAnsi="Times New Roman" w:cs="Times New Roman"/>
          <w:color w:val="000000"/>
          <w:sz w:val="24"/>
          <w:szCs w:val="24"/>
        </w:rPr>
        <w:t xml:space="preserve">CGE </w:t>
      </w:r>
      <w:r w:rsidR="00BD1479" w:rsidRPr="002A28DD">
        <w:rPr>
          <w:rFonts w:ascii="Times New Roman" w:hAnsi="Times New Roman" w:cs="Times New Roman"/>
          <w:color w:val="000000"/>
          <w:sz w:val="24"/>
          <w:szCs w:val="24"/>
        </w:rPr>
        <w:t xml:space="preserve">simulations results on sectoral labour demand. Increase in labour demand in the EU </w:t>
      </w:r>
      <w:r w:rsidR="00222FA5">
        <w:rPr>
          <w:rFonts w:ascii="Times New Roman" w:hAnsi="Times New Roman" w:cs="Times New Roman"/>
          <w:color w:val="000000"/>
          <w:sz w:val="24"/>
          <w:szCs w:val="24"/>
        </w:rPr>
        <w:t>would be</w:t>
      </w:r>
      <w:r w:rsidR="00BD1479" w:rsidRPr="002A28DD">
        <w:rPr>
          <w:rFonts w:ascii="Times New Roman" w:hAnsi="Times New Roman" w:cs="Times New Roman"/>
          <w:color w:val="000000"/>
          <w:sz w:val="24"/>
          <w:szCs w:val="24"/>
        </w:rPr>
        <w:t xml:space="preserve"> lower than 0.1% in every sub-sector in both scenarios, except for the oil sub-sector in the ambitious scenario, where a 0.16% increase in labour demand</w:t>
      </w:r>
      <w:r w:rsidR="00853F12">
        <w:rPr>
          <w:rFonts w:ascii="Times New Roman" w:hAnsi="Times New Roman" w:cs="Times New Roman"/>
          <w:color w:val="000000"/>
          <w:sz w:val="24"/>
          <w:szCs w:val="24"/>
        </w:rPr>
        <w:t xml:space="preserve"> is expected</w:t>
      </w:r>
      <w:r w:rsidR="00BD1479" w:rsidRPr="002A28DD">
        <w:rPr>
          <w:rFonts w:ascii="Times New Roman" w:hAnsi="Times New Roman" w:cs="Times New Roman"/>
          <w:color w:val="000000"/>
          <w:sz w:val="24"/>
          <w:szCs w:val="24"/>
        </w:rPr>
        <w:t xml:space="preserve">. </w:t>
      </w:r>
      <w:r w:rsidR="00D134B8">
        <w:rPr>
          <w:rFonts w:ascii="Times New Roman" w:hAnsi="Times New Roman" w:cs="Times New Roman"/>
          <w:color w:val="000000"/>
          <w:sz w:val="24"/>
          <w:szCs w:val="24"/>
        </w:rPr>
        <w:t xml:space="preserve">Table 5.1 in the external study (Annex 5), </w:t>
      </w:r>
      <w:r w:rsidR="00CF662B">
        <w:rPr>
          <w:rFonts w:ascii="Times New Roman" w:hAnsi="Times New Roman" w:cs="Times New Roman"/>
          <w:color w:val="000000"/>
          <w:sz w:val="24"/>
          <w:szCs w:val="24"/>
        </w:rPr>
        <w:t>provides further details on the expected changes in labour demand in the EU by sub-sector category, showing that the impact on labour demand in the EU would be largely negligible for all sub-sectors.</w:t>
      </w:r>
    </w:p>
    <w:p w:rsidR="00D134B8" w:rsidRDefault="00D134B8" w:rsidP="002A28DD">
      <w:pPr>
        <w:spacing w:after="0" w:line="240" w:lineRule="auto"/>
        <w:jc w:val="both"/>
        <w:rPr>
          <w:rFonts w:ascii="Times New Roman" w:hAnsi="Times New Roman" w:cs="Times New Roman"/>
          <w:color w:val="000000"/>
          <w:sz w:val="24"/>
          <w:szCs w:val="24"/>
        </w:rPr>
      </w:pPr>
    </w:p>
    <w:p w:rsidR="009B7D15" w:rsidRPr="002A28DD" w:rsidRDefault="00BD1479" w:rsidP="002A28DD">
      <w:pPr>
        <w:spacing w:after="0" w:line="240" w:lineRule="auto"/>
        <w:jc w:val="both"/>
        <w:rPr>
          <w:rFonts w:ascii="Times New Roman" w:hAnsi="Times New Roman" w:cs="Times New Roman"/>
          <w:color w:val="000000"/>
          <w:sz w:val="24"/>
          <w:szCs w:val="24"/>
        </w:rPr>
      </w:pPr>
      <w:r w:rsidRPr="002A28DD">
        <w:rPr>
          <w:rFonts w:ascii="Times New Roman" w:hAnsi="Times New Roman" w:cs="Times New Roman"/>
          <w:color w:val="000000"/>
          <w:sz w:val="24"/>
          <w:szCs w:val="24"/>
        </w:rPr>
        <w:t xml:space="preserve">In the case of Chile, variations in labour demands </w:t>
      </w:r>
      <w:r w:rsidR="00853F12">
        <w:rPr>
          <w:rFonts w:ascii="Times New Roman" w:hAnsi="Times New Roman" w:cs="Times New Roman"/>
          <w:color w:val="000000"/>
          <w:sz w:val="24"/>
          <w:szCs w:val="24"/>
        </w:rPr>
        <w:t>would be</w:t>
      </w:r>
      <w:r w:rsidRPr="002A28DD">
        <w:rPr>
          <w:rFonts w:ascii="Times New Roman" w:hAnsi="Times New Roman" w:cs="Times New Roman"/>
          <w:color w:val="000000"/>
          <w:sz w:val="24"/>
          <w:szCs w:val="24"/>
        </w:rPr>
        <w:t xml:space="preserve"> more significant, especially in the dairy sub-sector, where labour demand </w:t>
      </w:r>
      <w:r w:rsidR="00853F12">
        <w:rPr>
          <w:rFonts w:ascii="Times New Roman" w:hAnsi="Times New Roman" w:cs="Times New Roman"/>
          <w:color w:val="000000"/>
          <w:sz w:val="24"/>
          <w:szCs w:val="24"/>
        </w:rPr>
        <w:t xml:space="preserve">would </w:t>
      </w:r>
      <w:r w:rsidRPr="002A28DD">
        <w:rPr>
          <w:rFonts w:ascii="Times New Roman" w:hAnsi="Times New Roman" w:cs="Times New Roman"/>
          <w:color w:val="000000"/>
          <w:sz w:val="24"/>
          <w:szCs w:val="24"/>
        </w:rPr>
        <w:t xml:space="preserve">increase by almost 5% for both unskilled and skilled workers in both scenarios, in the oilseeds, vegetable oils and fats sub-sector by around 2%, and in the vegetables, fruits and nuts sub-sector by around 1.5%. Such increases in labour demand come partially at the expense of the meat, cereals, and the plant and animal </w:t>
      </w:r>
      <w:r w:rsidR="00BC2840" w:rsidRPr="002A28DD">
        <w:rPr>
          <w:rFonts w:ascii="Times New Roman" w:hAnsi="Times New Roman" w:cs="Times New Roman"/>
          <w:color w:val="000000"/>
          <w:sz w:val="24"/>
          <w:szCs w:val="24"/>
        </w:rPr>
        <w:t>fibres</w:t>
      </w:r>
      <w:r w:rsidRPr="002A28DD">
        <w:rPr>
          <w:rFonts w:ascii="Times New Roman" w:hAnsi="Times New Roman" w:cs="Times New Roman"/>
          <w:color w:val="000000"/>
          <w:sz w:val="24"/>
          <w:szCs w:val="24"/>
        </w:rPr>
        <w:t xml:space="preserve"> and other crops sub-sector. However, a net positive labour demand effect in the agricultural and food sub-sector of around 1% for both unskilled workers and skilled workers</w:t>
      </w:r>
      <w:r w:rsidR="00853F12">
        <w:rPr>
          <w:rFonts w:ascii="Times New Roman" w:hAnsi="Times New Roman" w:cs="Times New Roman"/>
          <w:color w:val="000000"/>
          <w:sz w:val="24"/>
          <w:szCs w:val="24"/>
        </w:rPr>
        <w:t xml:space="preserve"> is expected</w:t>
      </w:r>
      <w:r w:rsidRPr="002A28DD">
        <w:rPr>
          <w:rFonts w:ascii="Times New Roman" w:hAnsi="Times New Roman" w:cs="Times New Roman"/>
          <w:color w:val="000000"/>
          <w:sz w:val="24"/>
          <w:szCs w:val="24"/>
        </w:rPr>
        <w:t xml:space="preserve">. </w:t>
      </w:r>
    </w:p>
    <w:p w:rsidR="00E16507" w:rsidRDefault="003B3EBB" w:rsidP="00D975D8">
      <w:pPr>
        <w:autoSpaceDE w:val="0"/>
        <w:autoSpaceDN w:val="0"/>
        <w:adjustRightInd w:val="0"/>
        <w:spacing w:before="240" w:after="120" w:line="240" w:lineRule="auto"/>
        <w:jc w:val="both"/>
        <w:rPr>
          <w:rFonts w:ascii="Times New Roman" w:hAnsi="Times New Roman" w:cs="Times New Roman"/>
          <w:color w:val="000000"/>
          <w:sz w:val="24"/>
          <w:szCs w:val="24"/>
        </w:rPr>
      </w:pPr>
      <w:r w:rsidRPr="003B3EBB">
        <w:rPr>
          <w:rFonts w:ascii="Times New Roman" w:hAnsi="Times New Roman" w:cs="Times New Roman"/>
          <w:color w:val="000000"/>
          <w:sz w:val="24"/>
          <w:szCs w:val="24"/>
        </w:rPr>
        <w:t xml:space="preserve">The public consultation </w:t>
      </w:r>
      <w:r>
        <w:rPr>
          <w:rFonts w:ascii="Times New Roman" w:hAnsi="Times New Roman" w:cs="Times New Roman"/>
          <w:color w:val="000000"/>
          <w:sz w:val="24"/>
          <w:szCs w:val="24"/>
        </w:rPr>
        <w:t>yields positive conclusions on the likely social impact of a modernised Agreement. Of those respondents who expressed an opinion</w:t>
      </w:r>
      <w:r w:rsidR="00D71E45">
        <w:rPr>
          <w:rFonts w:ascii="Times New Roman" w:hAnsi="Times New Roman" w:cs="Times New Roman"/>
          <w:color w:val="000000"/>
          <w:sz w:val="24"/>
          <w:szCs w:val="24"/>
        </w:rPr>
        <w:t xml:space="preserve">, many </w:t>
      </w:r>
      <w:r>
        <w:rPr>
          <w:rFonts w:ascii="Times New Roman" w:hAnsi="Times New Roman" w:cs="Times New Roman"/>
          <w:color w:val="000000"/>
          <w:sz w:val="24"/>
          <w:szCs w:val="24"/>
        </w:rPr>
        <w:t xml:space="preserve">consider that the modernisation would increase employment, improve the quality of jobs, and raise wages and household incomes. </w:t>
      </w:r>
      <w:r w:rsidRPr="003B3EBB">
        <w:rPr>
          <w:rFonts w:ascii="Times New Roman" w:hAnsi="Times New Roman" w:cs="Times New Roman"/>
          <w:color w:val="000000"/>
          <w:sz w:val="24"/>
          <w:szCs w:val="24"/>
        </w:rPr>
        <w:t xml:space="preserve"> </w:t>
      </w:r>
    </w:p>
    <w:p w:rsidR="00AC2EAE" w:rsidRDefault="00AC2EAE" w:rsidP="00D975D8">
      <w:pPr>
        <w:autoSpaceDE w:val="0"/>
        <w:autoSpaceDN w:val="0"/>
        <w:adjustRightInd w:val="0"/>
        <w:spacing w:before="240" w:after="120" w:line="240" w:lineRule="auto"/>
        <w:jc w:val="both"/>
        <w:rPr>
          <w:rFonts w:ascii="Times New Roman" w:hAnsi="Times New Roman" w:cs="Times New Roman"/>
          <w:color w:val="000000"/>
          <w:sz w:val="24"/>
          <w:szCs w:val="24"/>
        </w:rPr>
      </w:pPr>
    </w:p>
    <w:p w:rsidR="001E27A1" w:rsidRDefault="001E27A1" w:rsidP="00D975D8">
      <w:pPr>
        <w:autoSpaceDE w:val="0"/>
        <w:autoSpaceDN w:val="0"/>
        <w:adjustRightInd w:val="0"/>
        <w:spacing w:before="240" w:after="120" w:line="240" w:lineRule="auto"/>
        <w:jc w:val="both"/>
        <w:rPr>
          <w:rFonts w:ascii="Times New Roman" w:hAnsi="Times New Roman" w:cs="Times New Roman"/>
          <w:color w:val="000000"/>
          <w:sz w:val="24"/>
          <w:szCs w:val="24"/>
        </w:rPr>
      </w:pPr>
    </w:p>
    <w:p w:rsidR="001E27A1" w:rsidRDefault="001E27A1" w:rsidP="00D975D8">
      <w:pPr>
        <w:autoSpaceDE w:val="0"/>
        <w:autoSpaceDN w:val="0"/>
        <w:adjustRightInd w:val="0"/>
        <w:spacing w:before="240" w:after="120" w:line="240" w:lineRule="auto"/>
        <w:jc w:val="both"/>
        <w:rPr>
          <w:rFonts w:ascii="Times New Roman" w:hAnsi="Times New Roman" w:cs="Times New Roman"/>
          <w:color w:val="000000"/>
          <w:sz w:val="24"/>
          <w:szCs w:val="24"/>
        </w:rPr>
      </w:pPr>
    </w:p>
    <w:p w:rsidR="001E27A1" w:rsidRDefault="001E27A1" w:rsidP="00D975D8">
      <w:pPr>
        <w:autoSpaceDE w:val="0"/>
        <w:autoSpaceDN w:val="0"/>
        <w:adjustRightInd w:val="0"/>
        <w:spacing w:before="240" w:after="120" w:line="240" w:lineRule="auto"/>
        <w:jc w:val="both"/>
        <w:rPr>
          <w:rFonts w:ascii="Times New Roman" w:hAnsi="Times New Roman" w:cs="Times New Roman"/>
          <w:color w:val="000000"/>
          <w:sz w:val="24"/>
          <w:szCs w:val="24"/>
        </w:rPr>
      </w:pPr>
    </w:p>
    <w:p w:rsidR="00E16507" w:rsidRPr="000A4037" w:rsidRDefault="00E16507" w:rsidP="00E16507">
      <w:pPr>
        <w:snapToGrid w:val="0"/>
        <w:spacing w:before="240" w:after="12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5.8.3.</w:t>
      </w:r>
      <w:r>
        <w:rPr>
          <w:rFonts w:ascii="Times New Roman" w:hAnsi="Times New Roman" w:cs="Times New Roman"/>
          <w:b/>
          <w:sz w:val="24"/>
          <w:szCs w:val="24"/>
        </w:rPr>
        <w:tab/>
        <w:t>I</w:t>
      </w:r>
      <w:r w:rsidRPr="000A4037">
        <w:rPr>
          <w:rFonts w:ascii="Times New Roman" w:hAnsi="Times New Roman" w:cs="Times New Roman"/>
          <w:b/>
          <w:sz w:val="24"/>
          <w:szCs w:val="24"/>
        </w:rPr>
        <w:t xml:space="preserve">mpact on </w:t>
      </w:r>
      <w:r>
        <w:rPr>
          <w:rFonts w:ascii="Times New Roman" w:hAnsi="Times New Roman" w:cs="Times New Roman"/>
          <w:b/>
          <w:sz w:val="24"/>
          <w:szCs w:val="24"/>
        </w:rPr>
        <w:t>labour standards</w:t>
      </w:r>
    </w:p>
    <w:p w:rsidR="00E16507" w:rsidRDefault="00E16507" w:rsidP="00E16507">
      <w:pPr>
        <w:autoSpaceDE w:val="0"/>
        <w:autoSpaceDN w:val="0"/>
        <w:adjustRightInd w:val="0"/>
        <w:spacing w:after="120" w:line="240" w:lineRule="auto"/>
        <w:jc w:val="both"/>
        <w:rPr>
          <w:rFonts w:ascii="Times New Roman" w:hAnsi="Times New Roman" w:cs="Times New Roman"/>
          <w:i/>
          <w:color w:val="000000"/>
          <w:sz w:val="24"/>
          <w:szCs w:val="24"/>
          <w:u w:val="single"/>
        </w:rPr>
      </w:pPr>
      <w:bookmarkStart w:id="49" w:name="annex_1_tekst"/>
      <w:bookmarkStart w:id="50" w:name="_Toc465427788"/>
      <w:bookmarkStart w:id="51" w:name="_Toc465171511"/>
      <w:bookmarkStart w:id="52" w:name="_Toc462658340"/>
      <w:bookmarkStart w:id="53" w:name="_Toc460958665"/>
      <w:bookmarkStart w:id="54" w:name="_Toc460886339"/>
    </w:p>
    <w:p w:rsidR="00E16507" w:rsidRPr="00345DF3" w:rsidRDefault="00E16507" w:rsidP="00E16507">
      <w:pPr>
        <w:autoSpaceDE w:val="0"/>
        <w:autoSpaceDN w:val="0"/>
        <w:adjustRightInd w:val="0"/>
        <w:spacing w:after="120" w:line="240" w:lineRule="auto"/>
        <w:jc w:val="both"/>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O</w:t>
      </w:r>
      <w:r w:rsidRPr="00345DF3">
        <w:rPr>
          <w:rFonts w:ascii="Times New Roman" w:hAnsi="Times New Roman" w:cs="Times New Roman"/>
          <w:i/>
          <w:color w:val="000000"/>
          <w:sz w:val="24"/>
          <w:szCs w:val="24"/>
          <w:u w:val="single"/>
        </w:rPr>
        <w:t xml:space="preserve">verview of </w:t>
      </w:r>
      <w:r>
        <w:rPr>
          <w:rFonts w:ascii="Times New Roman" w:hAnsi="Times New Roman" w:cs="Times New Roman"/>
          <w:i/>
          <w:color w:val="000000"/>
          <w:sz w:val="24"/>
          <w:szCs w:val="24"/>
          <w:u w:val="single"/>
        </w:rPr>
        <w:t xml:space="preserve">the </w:t>
      </w:r>
      <w:r w:rsidR="0083164D">
        <w:rPr>
          <w:rFonts w:ascii="Times New Roman" w:hAnsi="Times New Roman" w:cs="Times New Roman"/>
          <w:i/>
          <w:color w:val="000000"/>
          <w:sz w:val="24"/>
          <w:szCs w:val="24"/>
          <w:u w:val="single"/>
        </w:rPr>
        <w:t xml:space="preserve">core </w:t>
      </w:r>
      <w:r w:rsidRPr="00345DF3">
        <w:rPr>
          <w:rFonts w:ascii="Times New Roman" w:hAnsi="Times New Roman" w:cs="Times New Roman"/>
          <w:i/>
          <w:color w:val="000000"/>
          <w:sz w:val="24"/>
          <w:szCs w:val="24"/>
          <w:u w:val="single"/>
        </w:rPr>
        <w:t>labour standards situation in Chile</w:t>
      </w:r>
    </w:p>
    <w:p w:rsidR="00E16507" w:rsidRPr="001F7433" w:rsidRDefault="00E16507" w:rsidP="00E16507">
      <w:pPr>
        <w:spacing w:after="0" w:line="240" w:lineRule="auto"/>
        <w:jc w:val="both"/>
        <w:rPr>
          <w:rFonts w:ascii="Times New Roman" w:eastAsia="Calibri" w:hAnsi="Times New Roman" w:cs="Times New Roman"/>
          <w:sz w:val="10"/>
          <w:szCs w:val="10"/>
        </w:rPr>
      </w:pPr>
    </w:p>
    <w:p w:rsidR="00E16507" w:rsidRDefault="00E16507" w:rsidP="00E165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Chile has ratified all eight </w:t>
      </w:r>
      <w:r w:rsidRPr="0089111E">
        <w:rPr>
          <w:rFonts w:ascii="Times New Roman" w:eastAsia="Calibri" w:hAnsi="Times New Roman" w:cs="Times New Roman"/>
          <w:sz w:val="24"/>
          <w:szCs w:val="24"/>
        </w:rPr>
        <w:t xml:space="preserve">core conventions that make up the ILO’s 1998 Declaration on Fundamental Principles and Rights at Work, but still faces issues in consistently implementing their directives in domestic labour law and practices. A review of cases filed against Chile at the ILO’s Commission on Freedom of Association and Committee of Experts on the Application of Conventions and Recommendations </w:t>
      </w:r>
      <w:r>
        <w:rPr>
          <w:rFonts w:ascii="Times New Roman" w:eastAsia="Calibri" w:hAnsi="Times New Roman" w:cs="Times New Roman"/>
          <w:sz w:val="24"/>
          <w:szCs w:val="24"/>
        </w:rPr>
        <w:t xml:space="preserve">(CEACR) </w:t>
      </w:r>
      <w:r w:rsidRPr="0089111E">
        <w:rPr>
          <w:rFonts w:ascii="Times New Roman" w:eastAsia="Calibri" w:hAnsi="Times New Roman" w:cs="Times New Roman"/>
          <w:sz w:val="24"/>
          <w:szCs w:val="24"/>
        </w:rPr>
        <w:t xml:space="preserve">panels shows that freedom of association is often breached in Chile, including through union motivated dismissals, interference in the right to strike, and non-compliance with collective bargaining agreements. Discrimination against women at the workplace is also widespread, and in some cases backed by law. </w:t>
      </w:r>
      <w:bookmarkEnd w:id="49"/>
      <w:bookmarkEnd w:id="50"/>
      <w:bookmarkEnd w:id="51"/>
      <w:bookmarkEnd w:id="52"/>
      <w:bookmarkEnd w:id="53"/>
      <w:bookmarkEnd w:id="54"/>
    </w:p>
    <w:p w:rsidR="00E16507" w:rsidRPr="00F9065E" w:rsidRDefault="00E16507" w:rsidP="00E16507">
      <w:pPr>
        <w:spacing w:after="0" w:line="240" w:lineRule="auto"/>
        <w:jc w:val="both"/>
        <w:rPr>
          <w:rFonts w:ascii="Times New Roman" w:eastAsia="Calibri" w:hAnsi="Times New Roman" w:cs="Times New Roman"/>
          <w:sz w:val="8"/>
          <w:szCs w:val="8"/>
        </w:rPr>
      </w:pPr>
    </w:p>
    <w:p w:rsidR="00E16507" w:rsidRPr="004327EB" w:rsidRDefault="00E16507" w:rsidP="00E16507">
      <w:pPr>
        <w:pStyle w:val="ListParagraph"/>
        <w:autoSpaceDE w:val="0"/>
        <w:autoSpaceDN w:val="0"/>
        <w:adjustRightInd w:val="0"/>
        <w:spacing w:before="120" w:after="120" w:line="240" w:lineRule="auto"/>
        <w:ind w:left="360"/>
        <w:jc w:val="both"/>
        <w:rPr>
          <w:rFonts w:ascii="Times New Roman" w:hAnsi="Times New Roman" w:cs="Times New Roman"/>
          <w:color w:val="000000"/>
          <w:sz w:val="24"/>
          <w:szCs w:val="24"/>
          <w:lang w:val="en-GB"/>
        </w:rPr>
      </w:pPr>
    </w:p>
    <w:p w:rsidR="00E16507" w:rsidRPr="00E16507" w:rsidRDefault="00E16507" w:rsidP="00E16507">
      <w:pPr>
        <w:autoSpaceDE w:val="0"/>
        <w:autoSpaceDN w:val="0"/>
        <w:adjustRightInd w:val="0"/>
        <w:spacing w:after="240" w:line="240" w:lineRule="auto"/>
        <w:jc w:val="both"/>
        <w:rPr>
          <w:rFonts w:ascii="Times New Roman" w:hAnsi="Times New Roman" w:cs="Times New Roman"/>
          <w:i/>
          <w:color w:val="000000"/>
          <w:sz w:val="24"/>
          <w:szCs w:val="24"/>
          <w:u w:val="single"/>
        </w:rPr>
      </w:pPr>
      <w:r w:rsidRPr="00E16507">
        <w:rPr>
          <w:rFonts w:ascii="Times New Roman" w:hAnsi="Times New Roman" w:cs="Times New Roman"/>
          <w:i/>
          <w:color w:val="000000"/>
          <w:sz w:val="24"/>
          <w:szCs w:val="24"/>
          <w:u w:val="single"/>
        </w:rPr>
        <w:t>Impact of the modernisation on labour standards</w:t>
      </w:r>
    </w:p>
    <w:p w:rsidR="0018694C" w:rsidRPr="0018694C" w:rsidRDefault="0018694C" w:rsidP="0018694C">
      <w:pPr>
        <w:snapToGrid w:val="0"/>
        <w:spacing w:after="0" w:line="240" w:lineRule="auto"/>
        <w:jc w:val="both"/>
        <w:rPr>
          <w:rFonts w:ascii="Times New Roman" w:hAnsi="Times New Roman" w:cs="Times New Roman"/>
          <w:sz w:val="24"/>
          <w:szCs w:val="24"/>
        </w:rPr>
      </w:pPr>
      <w:r w:rsidRPr="0018694C">
        <w:rPr>
          <w:rFonts w:ascii="Times New Roman" w:hAnsi="Times New Roman" w:cs="Times New Roman"/>
          <w:sz w:val="24"/>
          <w:szCs w:val="24"/>
        </w:rPr>
        <w:t xml:space="preserve">Trade and Sustainable Development chapters in recent EU FTAs (described in sections 4.3 and 5.7) include commitments to adhere to core ILO standards and conventions and to their effective implementation in law and in practice, as well as the pursuance of high levels of labour protection, and the effective enforcement of and non-derogation from domestic laws in these areas, in order to prevent a ‘race to the bottom’. They also include specific provisions encouraging trade practices and schemes that support and promote sustainable development, such as Corporate Social Responsibility. </w:t>
      </w:r>
    </w:p>
    <w:p w:rsidR="00BC3194" w:rsidRDefault="00BC3194" w:rsidP="00AC2EAE">
      <w:pPr>
        <w:spacing w:after="0" w:line="240" w:lineRule="auto"/>
        <w:jc w:val="both"/>
        <w:rPr>
          <w:rFonts w:ascii="Times New Roman" w:hAnsi="Times New Roman" w:cs="Times New Roman"/>
          <w:sz w:val="24"/>
          <w:szCs w:val="24"/>
        </w:rPr>
      </w:pPr>
    </w:p>
    <w:p w:rsidR="00E16507" w:rsidRPr="00E16507" w:rsidRDefault="00EB5297" w:rsidP="00AC2E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6363F">
        <w:rPr>
          <w:rFonts w:ascii="Times New Roman" w:hAnsi="Times New Roman" w:cs="Times New Roman"/>
          <w:sz w:val="24"/>
          <w:szCs w:val="24"/>
        </w:rPr>
        <w:t>he internationally recognised ILO c</w:t>
      </w:r>
      <w:r w:rsidR="00E16507" w:rsidRPr="00E16507">
        <w:rPr>
          <w:rFonts w:ascii="Times New Roman" w:hAnsi="Times New Roman" w:cs="Times New Roman"/>
          <w:sz w:val="24"/>
          <w:szCs w:val="24"/>
        </w:rPr>
        <w:t>ore labour standards related to freedom of association and</w:t>
      </w:r>
      <w:r w:rsidR="00D6363F">
        <w:rPr>
          <w:rFonts w:ascii="Times New Roman" w:hAnsi="Times New Roman" w:cs="Times New Roman"/>
          <w:sz w:val="24"/>
          <w:szCs w:val="24"/>
        </w:rPr>
        <w:t xml:space="preserve"> the effective re</w:t>
      </w:r>
      <w:r w:rsidR="00DE12F5">
        <w:rPr>
          <w:rFonts w:ascii="Times New Roman" w:hAnsi="Times New Roman" w:cs="Times New Roman"/>
          <w:sz w:val="24"/>
          <w:szCs w:val="24"/>
        </w:rPr>
        <w:t>c</w:t>
      </w:r>
      <w:r w:rsidR="00D6363F">
        <w:rPr>
          <w:rFonts w:ascii="Times New Roman" w:hAnsi="Times New Roman" w:cs="Times New Roman"/>
          <w:sz w:val="24"/>
          <w:szCs w:val="24"/>
        </w:rPr>
        <w:t>ognition of the right to</w:t>
      </w:r>
      <w:r w:rsidR="00E16507" w:rsidRPr="00E16507">
        <w:rPr>
          <w:rFonts w:ascii="Times New Roman" w:hAnsi="Times New Roman" w:cs="Times New Roman"/>
          <w:sz w:val="24"/>
          <w:szCs w:val="24"/>
        </w:rPr>
        <w:t xml:space="preserve"> collective bargaining, the </w:t>
      </w:r>
      <w:r w:rsidR="00D6363F">
        <w:rPr>
          <w:rFonts w:ascii="Times New Roman" w:hAnsi="Times New Roman" w:cs="Times New Roman"/>
          <w:sz w:val="24"/>
          <w:szCs w:val="24"/>
        </w:rPr>
        <w:t xml:space="preserve">effective </w:t>
      </w:r>
      <w:r w:rsidR="00E16507" w:rsidRPr="00E16507">
        <w:rPr>
          <w:rFonts w:ascii="Times New Roman" w:hAnsi="Times New Roman" w:cs="Times New Roman"/>
          <w:sz w:val="24"/>
          <w:szCs w:val="24"/>
        </w:rPr>
        <w:t>abolition of child labour</w:t>
      </w:r>
      <w:r w:rsidR="00D6363F">
        <w:rPr>
          <w:rFonts w:ascii="Times New Roman" w:hAnsi="Times New Roman" w:cs="Times New Roman"/>
          <w:sz w:val="24"/>
          <w:szCs w:val="24"/>
        </w:rPr>
        <w:t xml:space="preserve">, the elimination of all forms of </w:t>
      </w:r>
      <w:r w:rsidR="00E16507" w:rsidRPr="00E16507">
        <w:rPr>
          <w:rFonts w:ascii="Times New Roman" w:hAnsi="Times New Roman" w:cs="Times New Roman"/>
          <w:sz w:val="24"/>
          <w:szCs w:val="24"/>
        </w:rPr>
        <w:t>forced</w:t>
      </w:r>
      <w:r w:rsidR="00D6363F">
        <w:rPr>
          <w:rFonts w:ascii="Times New Roman" w:hAnsi="Times New Roman" w:cs="Times New Roman"/>
          <w:sz w:val="24"/>
          <w:szCs w:val="24"/>
        </w:rPr>
        <w:t xml:space="preserve"> or compulsory</w:t>
      </w:r>
      <w:r w:rsidR="00E16507" w:rsidRPr="00E16507">
        <w:rPr>
          <w:rFonts w:ascii="Times New Roman" w:hAnsi="Times New Roman" w:cs="Times New Roman"/>
          <w:sz w:val="24"/>
          <w:szCs w:val="24"/>
        </w:rPr>
        <w:t xml:space="preserve"> labour as well as the elimination of discrimination in </w:t>
      </w:r>
      <w:r w:rsidR="00D6363F">
        <w:rPr>
          <w:rFonts w:ascii="Times New Roman" w:hAnsi="Times New Roman" w:cs="Times New Roman"/>
          <w:sz w:val="24"/>
          <w:szCs w:val="24"/>
        </w:rPr>
        <w:t>respect of employment and occupation</w:t>
      </w:r>
      <w:r w:rsidR="00E16507" w:rsidRPr="00E16507">
        <w:rPr>
          <w:rFonts w:ascii="Times New Roman" w:hAnsi="Times New Roman" w:cs="Times New Roman"/>
          <w:sz w:val="24"/>
          <w:szCs w:val="24"/>
        </w:rPr>
        <w:t xml:space="preserve"> </w:t>
      </w:r>
      <w:r w:rsidR="00BC3194">
        <w:rPr>
          <w:rFonts w:ascii="Times New Roman" w:hAnsi="Times New Roman" w:cs="Times New Roman"/>
          <w:sz w:val="24"/>
          <w:szCs w:val="24"/>
        </w:rPr>
        <w:t>w</w:t>
      </w:r>
      <w:r w:rsidR="00E16507" w:rsidRPr="00E16507">
        <w:rPr>
          <w:rFonts w:ascii="Times New Roman" w:hAnsi="Times New Roman" w:cs="Times New Roman"/>
          <w:sz w:val="24"/>
          <w:szCs w:val="24"/>
        </w:rPr>
        <w:t xml:space="preserve">ould </w:t>
      </w:r>
      <w:r w:rsidR="00BC3194">
        <w:rPr>
          <w:rFonts w:ascii="Times New Roman" w:hAnsi="Times New Roman" w:cs="Times New Roman"/>
          <w:sz w:val="24"/>
          <w:szCs w:val="24"/>
        </w:rPr>
        <w:t xml:space="preserve">therefore </w:t>
      </w:r>
      <w:r w:rsidR="00E16507" w:rsidRPr="00E16507">
        <w:rPr>
          <w:rFonts w:ascii="Times New Roman" w:hAnsi="Times New Roman" w:cs="Times New Roman"/>
          <w:sz w:val="24"/>
          <w:szCs w:val="24"/>
        </w:rPr>
        <w:t>potentially be impacted positive</w:t>
      </w:r>
      <w:r w:rsidR="004A7B8F">
        <w:rPr>
          <w:rFonts w:ascii="Times New Roman" w:hAnsi="Times New Roman" w:cs="Times New Roman"/>
          <w:sz w:val="24"/>
          <w:szCs w:val="24"/>
        </w:rPr>
        <w:t>ly by a revised FTA, since the Parties would be bound by the A</w:t>
      </w:r>
      <w:r w:rsidR="00E16507" w:rsidRPr="00E16507">
        <w:rPr>
          <w:rFonts w:ascii="Times New Roman" w:hAnsi="Times New Roman" w:cs="Times New Roman"/>
          <w:sz w:val="24"/>
          <w:szCs w:val="24"/>
        </w:rPr>
        <w:t>greement to effectively implement and uphold core labour standards</w:t>
      </w:r>
      <w:r w:rsidR="007A691D">
        <w:rPr>
          <w:rFonts w:ascii="Times New Roman" w:hAnsi="Times New Roman" w:cs="Times New Roman"/>
          <w:sz w:val="24"/>
          <w:szCs w:val="24"/>
        </w:rPr>
        <w:t>.</w:t>
      </w:r>
      <w:r w:rsidR="00E16507" w:rsidRPr="00E16507">
        <w:rPr>
          <w:rFonts w:ascii="Times New Roman" w:hAnsi="Times New Roman" w:cs="Times New Roman"/>
          <w:sz w:val="24"/>
          <w:szCs w:val="24"/>
        </w:rPr>
        <w:t xml:space="preserve"> </w:t>
      </w:r>
    </w:p>
    <w:p w:rsidR="007A691D" w:rsidRDefault="007A691D" w:rsidP="00E16507">
      <w:pPr>
        <w:spacing w:after="0" w:line="240" w:lineRule="auto"/>
        <w:jc w:val="both"/>
        <w:rPr>
          <w:rFonts w:ascii="Times New Roman" w:hAnsi="Times New Roman" w:cs="Times New Roman"/>
          <w:sz w:val="24"/>
          <w:szCs w:val="24"/>
        </w:rPr>
      </w:pPr>
    </w:p>
    <w:p w:rsidR="00D52F6E" w:rsidRPr="00D52F6E" w:rsidRDefault="00E16507" w:rsidP="00015230">
      <w:pPr>
        <w:spacing w:after="0" w:line="240" w:lineRule="auto"/>
        <w:jc w:val="both"/>
        <w:rPr>
          <w:rFonts w:ascii="Times New Roman" w:hAnsi="Times New Roman" w:cs="Times New Roman"/>
          <w:sz w:val="24"/>
          <w:szCs w:val="24"/>
        </w:rPr>
      </w:pPr>
      <w:r w:rsidRPr="00E16507">
        <w:rPr>
          <w:rFonts w:ascii="Times New Roman" w:hAnsi="Times New Roman" w:cs="Times New Roman"/>
          <w:sz w:val="24"/>
          <w:szCs w:val="24"/>
        </w:rPr>
        <w:t xml:space="preserve">The labour provisions in the Trade and Sustainable Development chapter of a modernised </w:t>
      </w:r>
      <w:r w:rsidR="007A691D">
        <w:rPr>
          <w:rFonts w:ascii="Times New Roman" w:hAnsi="Times New Roman" w:cs="Times New Roman"/>
          <w:sz w:val="24"/>
          <w:szCs w:val="24"/>
        </w:rPr>
        <w:t xml:space="preserve">EU-Chile </w:t>
      </w:r>
      <w:r w:rsidRPr="00E16507">
        <w:rPr>
          <w:rFonts w:ascii="Times New Roman" w:hAnsi="Times New Roman" w:cs="Times New Roman"/>
          <w:sz w:val="24"/>
          <w:szCs w:val="24"/>
        </w:rPr>
        <w:t>FT</w:t>
      </w:r>
      <w:r w:rsidR="004A7B8F">
        <w:rPr>
          <w:rFonts w:ascii="Times New Roman" w:hAnsi="Times New Roman" w:cs="Times New Roman"/>
          <w:sz w:val="24"/>
          <w:szCs w:val="24"/>
        </w:rPr>
        <w:t>A would also consider how both P</w:t>
      </w:r>
      <w:r w:rsidRPr="00E16507">
        <w:rPr>
          <w:rFonts w:ascii="Times New Roman" w:hAnsi="Times New Roman" w:cs="Times New Roman"/>
          <w:sz w:val="24"/>
          <w:szCs w:val="24"/>
        </w:rPr>
        <w:t xml:space="preserve">arties can further cooperate in promoting the ILO Decent Work Agenda </w:t>
      </w:r>
      <w:r w:rsidR="007A691D">
        <w:rPr>
          <w:rFonts w:ascii="Times New Roman" w:hAnsi="Times New Roman" w:cs="Times New Roman"/>
          <w:sz w:val="24"/>
          <w:szCs w:val="24"/>
        </w:rPr>
        <w:t xml:space="preserve">as provided by the ILO Declaration on Social Justice for a Fair Globalization of 2008 </w:t>
      </w:r>
      <w:r w:rsidRPr="00E16507">
        <w:rPr>
          <w:rFonts w:ascii="Times New Roman" w:hAnsi="Times New Roman" w:cs="Times New Roman"/>
          <w:sz w:val="24"/>
          <w:szCs w:val="24"/>
        </w:rPr>
        <w:t xml:space="preserve">and its four pillars on promoting jobs, guaranteeing rights at work, extending social protection and promoting social dialogue. </w:t>
      </w:r>
      <w:r w:rsidR="00E23FC0">
        <w:rPr>
          <w:rFonts w:ascii="Times New Roman" w:hAnsi="Times New Roman"/>
          <w:sz w:val="24"/>
          <w:szCs w:val="24"/>
        </w:rPr>
        <w:t>Particular attention sh</w:t>
      </w:r>
      <w:r w:rsidR="00D52F6E">
        <w:rPr>
          <w:rFonts w:ascii="Times New Roman" w:hAnsi="Times New Roman"/>
          <w:sz w:val="24"/>
          <w:szCs w:val="24"/>
        </w:rPr>
        <w:t xml:space="preserve">ould be paid to developing and enhancing </w:t>
      </w:r>
      <w:r w:rsidR="00D52F6E" w:rsidRPr="00D52F6E">
        <w:rPr>
          <w:rFonts w:ascii="Times New Roman" w:hAnsi="Times New Roman" w:cs="Times New Roman"/>
          <w:sz w:val="24"/>
          <w:szCs w:val="24"/>
        </w:rPr>
        <w:t xml:space="preserve">measures </w:t>
      </w:r>
      <w:r w:rsidR="00D52F6E" w:rsidRPr="00015230">
        <w:rPr>
          <w:rFonts w:ascii="Times New Roman" w:hAnsi="Times New Roman" w:cs="Times New Roman"/>
          <w:sz w:val="24"/>
          <w:szCs w:val="24"/>
        </w:rPr>
        <w:t>for occupational safety and health and for working conditions and living wages,</w:t>
      </w:r>
      <w:r w:rsidR="00D52F6E" w:rsidRPr="00D52F6E">
        <w:rPr>
          <w:rFonts w:ascii="Times New Roman" w:hAnsi="Times New Roman" w:cs="Times New Roman"/>
          <w:sz w:val="24"/>
          <w:szCs w:val="24"/>
        </w:rPr>
        <w:t xml:space="preserve"> </w:t>
      </w:r>
      <w:r w:rsidR="00D52F6E" w:rsidRPr="00015230">
        <w:rPr>
          <w:rFonts w:ascii="Times New Roman" w:hAnsi="Times New Roman" w:cs="Times New Roman"/>
          <w:sz w:val="24"/>
          <w:szCs w:val="24"/>
        </w:rPr>
        <w:t>as expressed in the 2008 ILO Declaration on Social Justice for a fair Globalisation and in r</w:t>
      </w:r>
      <w:r w:rsidR="00D52F6E" w:rsidRPr="00D52F6E">
        <w:rPr>
          <w:rFonts w:ascii="Times New Roman" w:hAnsi="Times New Roman" w:cs="Times New Roman"/>
          <w:sz w:val="24"/>
          <w:szCs w:val="24"/>
        </w:rPr>
        <w:t xml:space="preserve">elated ILO Conventions </w:t>
      </w:r>
      <w:r w:rsidR="00D52F6E" w:rsidRPr="00015230">
        <w:rPr>
          <w:rFonts w:ascii="Times New Roman" w:hAnsi="Times New Roman" w:cs="Times New Roman"/>
          <w:sz w:val="24"/>
          <w:szCs w:val="24"/>
        </w:rPr>
        <w:t xml:space="preserve">as well as </w:t>
      </w:r>
      <w:r w:rsidR="00D52F6E" w:rsidRPr="00D52F6E">
        <w:rPr>
          <w:rFonts w:ascii="Times New Roman" w:hAnsi="Times New Roman" w:cs="Times New Roman"/>
          <w:sz w:val="24"/>
          <w:szCs w:val="24"/>
        </w:rPr>
        <w:t xml:space="preserve">other international commitments.  </w:t>
      </w:r>
      <w:r w:rsidR="000831FD">
        <w:rPr>
          <w:rFonts w:ascii="Times New Roman" w:hAnsi="Times New Roman" w:cs="Times New Roman"/>
          <w:sz w:val="24"/>
          <w:szCs w:val="24"/>
        </w:rPr>
        <w:t>Particular attention should also be paid to labour inspections through effective implementation of relevant ILO standards.</w:t>
      </w:r>
    </w:p>
    <w:p w:rsidR="00D52F6E" w:rsidRDefault="00D52F6E" w:rsidP="00E16507">
      <w:pPr>
        <w:spacing w:after="0" w:line="240" w:lineRule="auto"/>
        <w:jc w:val="both"/>
        <w:rPr>
          <w:rFonts w:ascii="Times New Roman" w:hAnsi="Times New Roman" w:cs="Times New Roman"/>
          <w:sz w:val="24"/>
          <w:szCs w:val="24"/>
        </w:rPr>
      </w:pPr>
    </w:p>
    <w:p w:rsidR="001E27A1" w:rsidRDefault="001E27A1" w:rsidP="00E16507">
      <w:pPr>
        <w:spacing w:after="0" w:line="240" w:lineRule="auto"/>
        <w:jc w:val="both"/>
        <w:rPr>
          <w:rFonts w:ascii="Times New Roman" w:hAnsi="Times New Roman" w:cs="Times New Roman"/>
          <w:sz w:val="24"/>
          <w:szCs w:val="24"/>
        </w:rPr>
      </w:pPr>
    </w:p>
    <w:p w:rsidR="001E27A1" w:rsidRDefault="001E27A1" w:rsidP="00E16507">
      <w:pPr>
        <w:spacing w:after="0" w:line="240" w:lineRule="auto"/>
        <w:jc w:val="both"/>
        <w:rPr>
          <w:rFonts w:ascii="Times New Roman" w:hAnsi="Times New Roman" w:cs="Times New Roman"/>
          <w:sz w:val="24"/>
          <w:szCs w:val="24"/>
        </w:rPr>
      </w:pPr>
    </w:p>
    <w:p w:rsidR="001D4E24" w:rsidRDefault="001D4E24" w:rsidP="00E308AB">
      <w:pPr>
        <w:spacing w:after="0" w:line="240" w:lineRule="auto"/>
        <w:jc w:val="both"/>
        <w:rPr>
          <w:rFonts w:ascii="Times New Roman" w:hAnsi="Times New Roman" w:cs="Times New Roman"/>
          <w:sz w:val="24"/>
          <w:szCs w:val="24"/>
        </w:rPr>
      </w:pPr>
    </w:p>
    <w:p w:rsidR="00E606E2" w:rsidRPr="00261E9D" w:rsidRDefault="005B03ED" w:rsidP="00882520">
      <w:pPr>
        <w:pStyle w:val="Heading2"/>
        <w:numPr>
          <w:ilvl w:val="1"/>
          <w:numId w:val="56"/>
        </w:numPr>
        <w:rPr>
          <w:u w:val="single"/>
        </w:rPr>
      </w:pPr>
      <w:bookmarkStart w:id="55" w:name="_Toc473123092"/>
      <w:r w:rsidRPr="00261E9D">
        <w:rPr>
          <w:u w:val="single"/>
        </w:rPr>
        <w:t>Impact on c</w:t>
      </w:r>
      <w:r w:rsidR="00E606E2" w:rsidRPr="00261E9D">
        <w:rPr>
          <w:u w:val="single"/>
        </w:rPr>
        <w:t>onsumers</w:t>
      </w:r>
      <w:bookmarkEnd w:id="55"/>
    </w:p>
    <w:p w:rsidR="00261E9D" w:rsidRDefault="00261E9D" w:rsidP="00E606E2">
      <w:pPr>
        <w:autoSpaceDE w:val="0"/>
        <w:autoSpaceDN w:val="0"/>
        <w:adjustRightInd w:val="0"/>
        <w:spacing w:after="120" w:line="240" w:lineRule="auto"/>
        <w:jc w:val="both"/>
        <w:rPr>
          <w:rFonts w:ascii="Times New Roman" w:hAnsi="Times New Roman" w:cs="Times New Roman"/>
          <w:color w:val="000000"/>
          <w:sz w:val="24"/>
          <w:szCs w:val="24"/>
        </w:rPr>
      </w:pPr>
    </w:p>
    <w:p w:rsidR="00E606E2" w:rsidRPr="00E606E2" w:rsidRDefault="005D2FCE" w:rsidP="00E606E2">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potential enhancement</w:t>
      </w:r>
      <w:r w:rsidR="00E606E2" w:rsidRPr="00E606E2">
        <w:rPr>
          <w:rFonts w:ascii="Times New Roman" w:hAnsi="Times New Roman" w:cs="Times New Roman"/>
          <w:color w:val="000000"/>
          <w:sz w:val="24"/>
          <w:szCs w:val="24"/>
        </w:rPr>
        <w:t xml:space="preserve"> of trade and investment relations </w:t>
      </w:r>
      <w:r>
        <w:rPr>
          <w:rFonts w:ascii="Times New Roman" w:hAnsi="Times New Roman" w:cs="Times New Roman"/>
          <w:color w:val="000000"/>
          <w:sz w:val="24"/>
          <w:szCs w:val="24"/>
        </w:rPr>
        <w:t xml:space="preserve">with Chile </w:t>
      </w:r>
      <w:r w:rsidR="00E606E2" w:rsidRPr="00E606E2">
        <w:rPr>
          <w:rFonts w:ascii="Times New Roman" w:hAnsi="Times New Roman" w:cs="Times New Roman"/>
          <w:color w:val="000000"/>
          <w:sz w:val="24"/>
          <w:szCs w:val="24"/>
        </w:rPr>
        <w:t xml:space="preserve">may impact on consumers in various ways, including in terms of expenditure, prices, and choice. </w:t>
      </w:r>
    </w:p>
    <w:p w:rsidR="00DE08E1" w:rsidRPr="00F03508" w:rsidRDefault="00DE08E1" w:rsidP="00DE08E1">
      <w:pPr>
        <w:snapToGrid w:val="0"/>
        <w:spacing w:after="120" w:line="240" w:lineRule="auto"/>
        <w:jc w:val="both"/>
        <w:rPr>
          <w:rFonts w:ascii="Times New Roman" w:hAnsi="Times New Roman" w:cs="Times New Roman"/>
          <w:sz w:val="24"/>
          <w:szCs w:val="24"/>
        </w:rPr>
      </w:pPr>
      <w:r w:rsidRPr="00F03508">
        <w:rPr>
          <w:rFonts w:ascii="Times New Roman" w:hAnsi="Times New Roman" w:cs="Times New Roman"/>
          <w:sz w:val="24"/>
          <w:szCs w:val="24"/>
        </w:rPr>
        <w:t>The CGE modelling estimates that by 2025 a modernised EU-Chile FTA would increase the consumer price index in Chile by 0.</w:t>
      </w:r>
      <w:r w:rsidR="00EF6E86">
        <w:rPr>
          <w:rFonts w:ascii="Times New Roman" w:hAnsi="Times New Roman" w:cs="Times New Roman"/>
          <w:sz w:val="24"/>
          <w:szCs w:val="24"/>
        </w:rPr>
        <w:t>20</w:t>
      </w:r>
      <w:r w:rsidRPr="00F03508">
        <w:rPr>
          <w:rFonts w:ascii="Times New Roman" w:hAnsi="Times New Roman" w:cs="Times New Roman"/>
          <w:sz w:val="24"/>
          <w:szCs w:val="24"/>
        </w:rPr>
        <w:t>% in the conservative and 0.</w:t>
      </w:r>
      <w:r w:rsidR="00EF6E86">
        <w:rPr>
          <w:rFonts w:ascii="Times New Roman" w:hAnsi="Times New Roman" w:cs="Times New Roman"/>
          <w:sz w:val="24"/>
          <w:szCs w:val="24"/>
        </w:rPr>
        <w:t>23</w:t>
      </w:r>
      <w:r w:rsidRPr="00F03508">
        <w:rPr>
          <w:rFonts w:ascii="Times New Roman" w:hAnsi="Times New Roman" w:cs="Times New Roman"/>
          <w:sz w:val="24"/>
          <w:szCs w:val="24"/>
        </w:rPr>
        <w:t xml:space="preserve">% in the ambitious scenario. As expected, given the </w:t>
      </w:r>
      <w:r w:rsidR="00EE6859">
        <w:rPr>
          <w:rFonts w:ascii="Times New Roman" w:hAnsi="Times New Roman" w:cs="Times New Roman"/>
          <w:sz w:val="24"/>
          <w:szCs w:val="24"/>
        </w:rPr>
        <w:t>considerable</w:t>
      </w:r>
      <w:r w:rsidRPr="00F03508">
        <w:rPr>
          <w:rFonts w:ascii="Times New Roman" w:hAnsi="Times New Roman" w:cs="Times New Roman"/>
          <w:sz w:val="24"/>
          <w:szCs w:val="24"/>
        </w:rPr>
        <w:t xml:space="preserve"> difference in size the impact in the EU would be negligible in a conservative scenario and a mere 0.01% in an ambitious scenario.</w:t>
      </w:r>
      <w:r w:rsidR="00596DC5">
        <w:rPr>
          <w:rFonts w:ascii="Times New Roman" w:hAnsi="Times New Roman" w:cs="Times New Roman"/>
          <w:sz w:val="24"/>
          <w:szCs w:val="24"/>
        </w:rPr>
        <w:t xml:space="preserve"> It should be noted</w:t>
      </w:r>
      <w:r w:rsidR="0064131F">
        <w:rPr>
          <w:rFonts w:ascii="Times New Roman" w:hAnsi="Times New Roman" w:cs="Times New Roman"/>
          <w:sz w:val="24"/>
          <w:szCs w:val="24"/>
        </w:rPr>
        <w:t xml:space="preserve"> however </w:t>
      </w:r>
      <w:r w:rsidR="00596DC5">
        <w:rPr>
          <w:rFonts w:ascii="Times New Roman" w:hAnsi="Times New Roman" w:cs="Times New Roman"/>
          <w:sz w:val="24"/>
          <w:szCs w:val="24"/>
        </w:rPr>
        <w:t>that</w:t>
      </w:r>
      <w:r w:rsidR="0064131F">
        <w:rPr>
          <w:rFonts w:ascii="Times New Roman" w:hAnsi="Times New Roman" w:cs="Times New Roman"/>
          <w:sz w:val="24"/>
          <w:szCs w:val="24"/>
        </w:rPr>
        <w:t xml:space="preserve"> </w:t>
      </w:r>
      <w:r w:rsidR="00426959">
        <w:rPr>
          <w:rFonts w:ascii="Times New Roman" w:hAnsi="Times New Roman" w:cs="Times New Roman"/>
          <w:sz w:val="24"/>
          <w:szCs w:val="24"/>
        </w:rPr>
        <w:t>(</w:t>
      </w:r>
      <w:r w:rsidR="0064131F">
        <w:rPr>
          <w:rFonts w:ascii="Times New Roman" w:hAnsi="Times New Roman" w:cs="Times New Roman"/>
          <w:sz w:val="24"/>
          <w:szCs w:val="24"/>
        </w:rPr>
        <w:t>as explained in more detail in section 5.1 and in Annex 4</w:t>
      </w:r>
      <w:r w:rsidR="00426959">
        <w:rPr>
          <w:rFonts w:ascii="Times New Roman" w:hAnsi="Times New Roman" w:cs="Times New Roman"/>
          <w:sz w:val="24"/>
          <w:szCs w:val="24"/>
        </w:rPr>
        <w:t>)</w:t>
      </w:r>
      <w:r w:rsidR="0064131F">
        <w:rPr>
          <w:rFonts w:ascii="Times New Roman" w:hAnsi="Times New Roman" w:cs="Times New Roman"/>
          <w:sz w:val="24"/>
          <w:szCs w:val="24"/>
        </w:rPr>
        <w:t>, one of the limitations of the CGE modelling is a fixed employment closure, with labour market adjustments therefore taking place through wage changes. Th</w:t>
      </w:r>
      <w:r w:rsidR="00D375EE">
        <w:rPr>
          <w:rFonts w:ascii="Times New Roman" w:hAnsi="Times New Roman" w:cs="Times New Roman"/>
          <w:sz w:val="24"/>
          <w:szCs w:val="24"/>
        </w:rPr>
        <w:t>i</w:t>
      </w:r>
      <w:r w:rsidR="0064131F">
        <w:rPr>
          <w:rFonts w:ascii="Times New Roman" w:hAnsi="Times New Roman" w:cs="Times New Roman"/>
          <w:sz w:val="24"/>
          <w:szCs w:val="24"/>
        </w:rPr>
        <w:t>s means that an increase in wages automatically translates into higher consumer prices. Th</w:t>
      </w:r>
      <w:r w:rsidR="00426959">
        <w:rPr>
          <w:rFonts w:ascii="Times New Roman" w:hAnsi="Times New Roman" w:cs="Times New Roman"/>
          <w:sz w:val="24"/>
          <w:szCs w:val="24"/>
        </w:rPr>
        <w:t>us, the CGE modelling results on consumer prices should be taken with caution</w:t>
      </w:r>
      <w:r w:rsidR="00491977">
        <w:rPr>
          <w:rFonts w:ascii="Times New Roman" w:hAnsi="Times New Roman" w:cs="Times New Roman"/>
          <w:sz w:val="24"/>
          <w:szCs w:val="24"/>
        </w:rPr>
        <w:t xml:space="preserve">, as </w:t>
      </w:r>
      <w:r w:rsidR="00335627">
        <w:rPr>
          <w:rFonts w:ascii="Times New Roman" w:hAnsi="Times New Roman" w:cs="Times New Roman"/>
          <w:sz w:val="24"/>
          <w:szCs w:val="24"/>
        </w:rPr>
        <w:t xml:space="preserve">they </w:t>
      </w:r>
      <w:r w:rsidR="00491977">
        <w:rPr>
          <w:rFonts w:ascii="Times New Roman" w:hAnsi="Times New Roman" w:cs="Times New Roman"/>
          <w:sz w:val="24"/>
          <w:szCs w:val="24"/>
        </w:rPr>
        <w:t>may overestimate the increase in prices</w:t>
      </w:r>
      <w:r w:rsidR="00335627">
        <w:rPr>
          <w:rFonts w:ascii="Times New Roman" w:hAnsi="Times New Roman" w:cs="Times New Roman"/>
          <w:sz w:val="24"/>
          <w:szCs w:val="24"/>
        </w:rPr>
        <w:t>.</w:t>
      </w:r>
      <w:r w:rsidR="0064131F">
        <w:rPr>
          <w:rFonts w:ascii="Times New Roman" w:hAnsi="Times New Roman" w:cs="Times New Roman"/>
          <w:sz w:val="24"/>
          <w:szCs w:val="24"/>
        </w:rPr>
        <w:t xml:space="preserve">    </w:t>
      </w:r>
    </w:p>
    <w:p w:rsidR="00DE08E1" w:rsidRPr="006E0609" w:rsidRDefault="00DE08E1" w:rsidP="00DE08E1">
      <w:pPr>
        <w:autoSpaceDE w:val="0"/>
        <w:autoSpaceDN w:val="0"/>
        <w:adjustRightInd w:val="0"/>
        <w:spacing w:before="240" w:after="120" w:line="240" w:lineRule="auto"/>
        <w:ind w:firstLine="720"/>
        <w:rPr>
          <w:rFonts w:ascii="Times New Roman" w:hAnsi="Times New Roman" w:cs="Times New Roman"/>
          <w:b/>
          <w:bCs/>
          <w:color w:val="000000"/>
        </w:rPr>
      </w:pPr>
      <w:r>
        <w:rPr>
          <w:rFonts w:ascii="Times New Roman" w:hAnsi="Times New Roman" w:cs="Times New Roman"/>
          <w:b/>
          <w:bCs/>
          <w:color w:val="000000"/>
        </w:rPr>
        <w:t>Table – Estimated c</w:t>
      </w:r>
      <w:r w:rsidRPr="006E0609">
        <w:rPr>
          <w:rFonts w:ascii="Times New Roman" w:hAnsi="Times New Roman" w:cs="Times New Roman"/>
          <w:b/>
          <w:bCs/>
          <w:color w:val="000000"/>
        </w:rPr>
        <w:t>hange in Consumer Price Index (</w:t>
      </w:r>
      <w:r w:rsidR="009E3EA3">
        <w:rPr>
          <w:rFonts w:ascii="Times New Roman" w:hAnsi="Times New Roman" w:cs="Times New Roman"/>
          <w:b/>
          <w:bCs/>
          <w:color w:val="000000"/>
        </w:rPr>
        <w:t>long-term</w:t>
      </w:r>
      <w:r w:rsidRPr="006E0609">
        <w:rPr>
          <w:rFonts w:ascii="Times New Roman" w:hAnsi="Times New Roman" w:cs="Times New Roman"/>
          <w:b/>
          <w:bCs/>
          <w:color w:val="000000"/>
        </w:rPr>
        <w:t>, % change)</w:t>
      </w:r>
    </w:p>
    <w:tbl>
      <w:tblPr>
        <w:tblW w:w="8076" w:type="dxa"/>
        <w:tblInd w:w="93" w:type="dxa"/>
        <w:tblLook w:val="04A0" w:firstRow="1" w:lastRow="0" w:firstColumn="1" w:lastColumn="0" w:noHBand="0" w:noVBand="1"/>
      </w:tblPr>
      <w:tblGrid>
        <w:gridCol w:w="1716"/>
        <w:gridCol w:w="3101"/>
        <w:gridCol w:w="425"/>
        <w:gridCol w:w="2834"/>
      </w:tblGrid>
      <w:tr w:rsidR="00DE08E1" w:rsidRPr="006E0609" w:rsidTr="00747476">
        <w:trPr>
          <w:trHeight w:val="289"/>
        </w:trPr>
        <w:tc>
          <w:tcPr>
            <w:tcW w:w="1716" w:type="dxa"/>
            <w:shd w:val="clear" w:color="auto" w:fill="auto"/>
            <w:vAlign w:val="center"/>
            <w:hideMark/>
          </w:tcPr>
          <w:p w:rsidR="00DE08E1" w:rsidRPr="006E0609" w:rsidRDefault="00DE08E1" w:rsidP="00747476">
            <w:pPr>
              <w:autoSpaceDE w:val="0"/>
              <w:autoSpaceDN w:val="0"/>
              <w:adjustRightInd w:val="0"/>
              <w:spacing w:after="120" w:line="240" w:lineRule="auto"/>
              <w:rPr>
                <w:rFonts w:ascii="Times New Roman" w:hAnsi="Times New Roman" w:cs="Times New Roman"/>
                <w:color w:val="000000"/>
              </w:rPr>
            </w:pPr>
          </w:p>
        </w:tc>
        <w:tc>
          <w:tcPr>
            <w:tcW w:w="3101" w:type="dxa"/>
            <w:tcBorders>
              <w:top w:val="single" w:sz="4" w:space="0" w:color="auto"/>
              <w:left w:val="nil"/>
              <w:bottom w:val="single" w:sz="4" w:space="0" w:color="auto"/>
              <w:right w:val="nil"/>
            </w:tcBorders>
            <w:shd w:val="clear" w:color="auto" w:fill="auto"/>
            <w:vAlign w:val="center"/>
            <w:hideMark/>
          </w:tcPr>
          <w:p w:rsidR="00DE08E1" w:rsidRPr="006E0609" w:rsidRDefault="00DE08E1" w:rsidP="00747476">
            <w:pPr>
              <w:autoSpaceDE w:val="0"/>
              <w:autoSpaceDN w:val="0"/>
              <w:adjustRightInd w:val="0"/>
              <w:spacing w:after="120" w:line="240" w:lineRule="auto"/>
              <w:jc w:val="center"/>
              <w:rPr>
                <w:rFonts w:ascii="Times New Roman" w:hAnsi="Times New Roman" w:cs="Times New Roman"/>
                <w:b/>
                <w:bCs/>
                <w:color w:val="000000"/>
              </w:rPr>
            </w:pPr>
            <w:r w:rsidRPr="006E0609">
              <w:rPr>
                <w:rFonts w:ascii="Times New Roman" w:hAnsi="Times New Roman" w:cs="Times New Roman"/>
                <w:b/>
                <w:bCs/>
                <w:color w:val="000000"/>
              </w:rPr>
              <w:t>Conservative</w:t>
            </w:r>
          </w:p>
        </w:tc>
        <w:tc>
          <w:tcPr>
            <w:tcW w:w="425" w:type="dxa"/>
            <w:tcBorders>
              <w:top w:val="single" w:sz="4" w:space="0" w:color="auto"/>
            </w:tcBorders>
            <w:shd w:val="clear" w:color="auto" w:fill="auto"/>
            <w:noWrap/>
            <w:vAlign w:val="bottom"/>
            <w:hideMark/>
          </w:tcPr>
          <w:p w:rsidR="00DE08E1" w:rsidRPr="006E0609" w:rsidRDefault="00DE08E1" w:rsidP="00747476">
            <w:pPr>
              <w:autoSpaceDE w:val="0"/>
              <w:autoSpaceDN w:val="0"/>
              <w:adjustRightInd w:val="0"/>
              <w:spacing w:after="120" w:line="240" w:lineRule="auto"/>
              <w:jc w:val="center"/>
              <w:rPr>
                <w:rFonts w:ascii="Times New Roman" w:hAnsi="Times New Roman" w:cs="Times New Roman"/>
                <w:color w:val="000000"/>
              </w:rPr>
            </w:pPr>
          </w:p>
        </w:tc>
        <w:tc>
          <w:tcPr>
            <w:tcW w:w="2834" w:type="dxa"/>
            <w:tcBorders>
              <w:top w:val="single" w:sz="4" w:space="0" w:color="auto"/>
              <w:left w:val="nil"/>
              <w:bottom w:val="single" w:sz="4" w:space="0" w:color="auto"/>
              <w:right w:val="nil"/>
            </w:tcBorders>
            <w:shd w:val="clear" w:color="auto" w:fill="auto"/>
            <w:vAlign w:val="center"/>
            <w:hideMark/>
          </w:tcPr>
          <w:p w:rsidR="00DE08E1" w:rsidRPr="006E0609" w:rsidRDefault="00DE08E1" w:rsidP="00747476">
            <w:pPr>
              <w:autoSpaceDE w:val="0"/>
              <w:autoSpaceDN w:val="0"/>
              <w:adjustRightInd w:val="0"/>
              <w:spacing w:after="120" w:line="240" w:lineRule="auto"/>
              <w:jc w:val="center"/>
              <w:rPr>
                <w:rFonts w:ascii="Times New Roman" w:hAnsi="Times New Roman" w:cs="Times New Roman"/>
                <w:b/>
                <w:bCs/>
                <w:color w:val="000000"/>
              </w:rPr>
            </w:pPr>
            <w:r w:rsidRPr="006E0609">
              <w:rPr>
                <w:rFonts w:ascii="Times New Roman" w:hAnsi="Times New Roman" w:cs="Times New Roman"/>
                <w:b/>
                <w:bCs/>
                <w:color w:val="000000"/>
              </w:rPr>
              <w:t>Ambitious</w:t>
            </w:r>
          </w:p>
        </w:tc>
      </w:tr>
      <w:tr w:rsidR="00DE08E1" w:rsidRPr="006E0609" w:rsidTr="00747476">
        <w:trPr>
          <w:trHeight w:val="289"/>
        </w:trPr>
        <w:tc>
          <w:tcPr>
            <w:tcW w:w="1716" w:type="dxa"/>
            <w:shd w:val="clear" w:color="auto" w:fill="auto"/>
            <w:vAlign w:val="center"/>
            <w:hideMark/>
          </w:tcPr>
          <w:p w:rsidR="00DE08E1" w:rsidRPr="00F03508" w:rsidRDefault="00DE08E1" w:rsidP="00747476">
            <w:pPr>
              <w:autoSpaceDE w:val="0"/>
              <w:autoSpaceDN w:val="0"/>
              <w:adjustRightInd w:val="0"/>
              <w:spacing w:after="120" w:line="240" w:lineRule="auto"/>
              <w:rPr>
                <w:rFonts w:ascii="Times New Roman" w:hAnsi="Times New Roman" w:cs="Times New Roman"/>
                <w:color w:val="000000"/>
              </w:rPr>
            </w:pPr>
            <w:r>
              <w:rPr>
                <w:rFonts w:ascii="Times New Roman" w:hAnsi="Times New Roman" w:cs="Times New Roman"/>
                <w:color w:val="000000"/>
              </w:rPr>
              <w:t xml:space="preserve">            </w:t>
            </w:r>
            <w:r w:rsidRPr="00F03508">
              <w:rPr>
                <w:rFonts w:ascii="Times New Roman" w:hAnsi="Times New Roman" w:cs="Times New Roman"/>
                <w:color w:val="000000"/>
              </w:rPr>
              <w:t>EU</w:t>
            </w:r>
          </w:p>
        </w:tc>
        <w:tc>
          <w:tcPr>
            <w:tcW w:w="3101" w:type="dxa"/>
            <w:tcBorders>
              <w:top w:val="nil"/>
              <w:left w:val="nil"/>
              <w:right w:val="nil"/>
            </w:tcBorders>
            <w:shd w:val="clear" w:color="000000" w:fill="D6DCE4"/>
            <w:vAlign w:val="center"/>
            <w:hideMark/>
          </w:tcPr>
          <w:p w:rsidR="00DE08E1" w:rsidRPr="00F03508" w:rsidRDefault="00DE08E1" w:rsidP="00747476">
            <w:pPr>
              <w:autoSpaceDE w:val="0"/>
              <w:autoSpaceDN w:val="0"/>
              <w:adjustRightInd w:val="0"/>
              <w:spacing w:after="120" w:line="240" w:lineRule="auto"/>
              <w:jc w:val="center"/>
              <w:rPr>
                <w:rFonts w:ascii="Times New Roman" w:hAnsi="Times New Roman" w:cs="Times New Roman"/>
                <w:bCs/>
                <w:color w:val="000000"/>
              </w:rPr>
            </w:pPr>
            <w:r w:rsidRPr="00F03508">
              <w:rPr>
                <w:rFonts w:ascii="Times New Roman" w:hAnsi="Times New Roman" w:cs="Times New Roman"/>
                <w:bCs/>
                <w:color w:val="000000"/>
              </w:rPr>
              <w:t>0,00</w:t>
            </w:r>
          </w:p>
        </w:tc>
        <w:tc>
          <w:tcPr>
            <w:tcW w:w="425" w:type="dxa"/>
            <w:shd w:val="clear" w:color="auto" w:fill="auto"/>
            <w:noWrap/>
            <w:vAlign w:val="bottom"/>
            <w:hideMark/>
          </w:tcPr>
          <w:p w:rsidR="00DE08E1" w:rsidRPr="00F03508" w:rsidRDefault="00DE08E1" w:rsidP="00747476">
            <w:pPr>
              <w:autoSpaceDE w:val="0"/>
              <w:autoSpaceDN w:val="0"/>
              <w:adjustRightInd w:val="0"/>
              <w:spacing w:after="120" w:line="240" w:lineRule="auto"/>
              <w:jc w:val="center"/>
              <w:rPr>
                <w:rFonts w:ascii="Times New Roman" w:hAnsi="Times New Roman" w:cs="Times New Roman"/>
                <w:color w:val="000000"/>
              </w:rPr>
            </w:pPr>
          </w:p>
        </w:tc>
        <w:tc>
          <w:tcPr>
            <w:tcW w:w="2834" w:type="dxa"/>
            <w:tcBorders>
              <w:top w:val="nil"/>
              <w:left w:val="nil"/>
              <w:right w:val="nil"/>
            </w:tcBorders>
            <w:shd w:val="clear" w:color="000000" w:fill="D6DCE4"/>
            <w:vAlign w:val="center"/>
            <w:hideMark/>
          </w:tcPr>
          <w:p w:rsidR="00DE08E1" w:rsidRPr="00F03508" w:rsidRDefault="00DE08E1" w:rsidP="00747476">
            <w:pPr>
              <w:autoSpaceDE w:val="0"/>
              <w:autoSpaceDN w:val="0"/>
              <w:adjustRightInd w:val="0"/>
              <w:spacing w:after="120" w:line="240" w:lineRule="auto"/>
              <w:jc w:val="center"/>
              <w:rPr>
                <w:rFonts w:ascii="Times New Roman" w:hAnsi="Times New Roman" w:cs="Times New Roman"/>
                <w:bCs/>
                <w:color w:val="000000"/>
              </w:rPr>
            </w:pPr>
            <w:r w:rsidRPr="00F03508">
              <w:rPr>
                <w:rFonts w:ascii="Times New Roman" w:hAnsi="Times New Roman" w:cs="Times New Roman"/>
                <w:bCs/>
                <w:color w:val="000000"/>
              </w:rPr>
              <w:t>0,01</w:t>
            </w:r>
          </w:p>
        </w:tc>
      </w:tr>
      <w:tr w:rsidR="00DE08E1" w:rsidRPr="006E0609" w:rsidTr="00747476">
        <w:trPr>
          <w:trHeight w:val="289"/>
        </w:trPr>
        <w:tc>
          <w:tcPr>
            <w:tcW w:w="1716" w:type="dxa"/>
            <w:shd w:val="clear" w:color="auto" w:fill="auto"/>
            <w:vAlign w:val="center"/>
            <w:hideMark/>
          </w:tcPr>
          <w:p w:rsidR="00DE08E1" w:rsidRPr="00F03508" w:rsidRDefault="00DE08E1" w:rsidP="00747476">
            <w:pPr>
              <w:autoSpaceDE w:val="0"/>
              <w:autoSpaceDN w:val="0"/>
              <w:adjustRightInd w:val="0"/>
              <w:spacing w:after="120" w:line="240" w:lineRule="auto"/>
              <w:rPr>
                <w:rFonts w:ascii="Times New Roman" w:hAnsi="Times New Roman" w:cs="Times New Roman"/>
                <w:color w:val="000000"/>
              </w:rPr>
            </w:pPr>
            <w:r>
              <w:rPr>
                <w:rFonts w:ascii="Times New Roman" w:hAnsi="Times New Roman" w:cs="Times New Roman"/>
                <w:color w:val="000000"/>
              </w:rPr>
              <w:t xml:space="preserve">            </w:t>
            </w:r>
            <w:r w:rsidRPr="00F03508">
              <w:rPr>
                <w:rFonts w:ascii="Times New Roman" w:hAnsi="Times New Roman" w:cs="Times New Roman"/>
                <w:color w:val="000000"/>
              </w:rPr>
              <w:t>Chile</w:t>
            </w:r>
          </w:p>
        </w:tc>
        <w:tc>
          <w:tcPr>
            <w:tcW w:w="3101" w:type="dxa"/>
            <w:tcBorders>
              <w:left w:val="nil"/>
              <w:bottom w:val="single" w:sz="4" w:space="0" w:color="auto"/>
              <w:right w:val="nil"/>
            </w:tcBorders>
            <w:shd w:val="clear" w:color="000000" w:fill="D6DCE4"/>
            <w:vAlign w:val="center"/>
            <w:hideMark/>
          </w:tcPr>
          <w:p w:rsidR="00DE08E1" w:rsidRPr="00F03508" w:rsidRDefault="00EF6E86" w:rsidP="00747476">
            <w:pPr>
              <w:autoSpaceDE w:val="0"/>
              <w:autoSpaceDN w:val="0"/>
              <w:adjustRightInd w:val="0"/>
              <w:spacing w:after="120" w:line="240" w:lineRule="auto"/>
              <w:jc w:val="center"/>
              <w:rPr>
                <w:rFonts w:ascii="Times New Roman" w:hAnsi="Times New Roman" w:cs="Times New Roman"/>
                <w:bCs/>
                <w:color w:val="000000"/>
              </w:rPr>
            </w:pPr>
            <w:r>
              <w:rPr>
                <w:rFonts w:ascii="Times New Roman" w:hAnsi="Times New Roman" w:cs="Times New Roman"/>
                <w:bCs/>
                <w:color w:val="000000"/>
              </w:rPr>
              <w:t>0,20</w:t>
            </w:r>
          </w:p>
        </w:tc>
        <w:tc>
          <w:tcPr>
            <w:tcW w:w="425" w:type="dxa"/>
            <w:shd w:val="clear" w:color="auto" w:fill="auto"/>
            <w:noWrap/>
            <w:vAlign w:val="bottom"/>
            <w:hideMark/>
          </w:tcPr>
          <w:p w:rsidR="00DE08E1" w:rsidRPr="00F03508" w:rsidRDefault="00DE08E1" w:rsidP="00747476">
            <w:pPr>
              <w:autoSpaceDE w:val="0"/>
              <w:autoSpaceDN w:val="0"/>
              <w:adjustRightInd w:val="0"/>
              <w:spacing w:after="120" w:line="240" w:lineRule="auto"/>
              <w:jc w:val="center"/>
              <w:rPr>
                <w:rFonts w:ascii="Times New Roman" w:hAnsi="Times New Roman" w:cs="Times New Roman"/>
                <w:color w:val="000000"/>
              </w:rPr>
            </w:pPr>
          </w:p>
        </w:tc>
        <w:tc>
          <w:tcPr>
            <w:tcW w:w="2834" w:type="dxa"/>
            <w:tcBorders>
              <w:left w:val="nil"/>
              <w:bottom w:val="single" w:sz="4" w:space="0" w:color="auto"/>
              <w:right w:val="nil"/>
            </w:tcBorders>
            <w:shd w:val="clear" w:color="000000" w:fill="D6DCE4"/>
            <w:vAlign w:val="center"/>
            <w:hideMark/>
          </w:tcPr>
          <w:p w:rsidR="00DE08E1" w:rsidRPr="00F03508" w:rsidRDefault="00EF6E86" w:rsidP="00747476">
            <w:pPr>
              <w:autoSpaceDE w:val="0"/>
              <w:autoSpaceDN w:val="0"/>
              <w:adjustRightInd w:val="0"/>
              <w:spacing w:after="120" w:line="240" w:lineRule="auto"/>
              <w:jc w:val="center"/>
              <w:rPr>
                <w:rFonts w:ascii="Times New Roman" w:hAnsi="Times New Roman" w:cs="Times New Roman"/>
                <w:bCs/>
                <w:color w:val="000000"/>
              </w:rPr>
            </w:pPr>
            <w:r>
              <w:rPr>
                <w:rFonts w:ascii="Times New Roman" w:hAnsi="Times New Roman" w:cs="Times New Roman"/>
                <w:bCs/>
                <w:color w:val="000000"/>
              </w:rPr>
              <w:t>0,23</w:t>
            </w:r>
          </w:p>
        </w:tc>
      </w:tr>
    </w:tbl>
    <w:p w:rsidR="00DE08E1" w:rsidRDefault="00DE08E1" w:rsidP="00E606E2">
      <w:pPr>
        <w:spacing w:after="240" w:line="240" w:lineRule="auto"/>
        <w:jc w:val="both"/>
        <w:rPr>
          <w:rFonts w:ascii="Times New Roman" w:eastAsia="Times New Roman" w:hAnsi="Times New Roman" w:cs="Times New Roman"/>
          <w:sz w:val="24"/>
          <w:szCs w:val="20"/>
        </w:rPr>
      </w:pPr>
    </w:p>
    <w:p w:rsidR="00E606E2" w:rsidRDefault="00912CF1" w:rsidP="00EE2F3B">
      <w:pPr>
        <w:spacing w:after="24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0"/>
        </w:rPr>
        <w:t>As explained in sub-section 5.8.1, i</w:t>
      </w:r>
      <w:r w:rsidRPr="00E606E2">
        <w:rPr>
          <w:rFonts w:ascii="Times New Roman" w:hAnsi="Times New Roman" w:cs="Times New Roman"/>
          <w:sz w:val="24"/>
          <w:szCs w:val="24"/>
        </w:rPr>
        <w:t xml:space="preserve">n terms of welfare (an economic indicator that compares the change in consumer utility), the impact on </w:t>
      </w:r>
      <w:r>
        <w:rPr>
          <w:rFonts w:ascii="Times New Roman" w:hAnsi="Times New Roman" w:cs="Times New Roman"/>
          <w:sz w:val="24"/>
          <w:szCs w:val="24"/>
        </w:rPr>
        <w:t xml:space="preserve">the </w:t>
      </w:r>
      <w:r w:rsidRPr="00E606E2">
        <w:rPr>
          <w:rFonts w:ascii="Times New Roman" w:hAnsi="Times New Roman" w:cs="Times New Roman"/>
          <w:sz w:val="24"/>
          <w:szCs w:val="24"/>
        </w:rPr>
        <w:t>EU</w:t>
      </w:r>
      <w:r>
        <w:rPr>
          <w:rFonts w:ascii="Times New Roman" w:hAnsi="Times New Roman" w:cs="Times New Roman"/>
          <w:sz w:val="24"/>
          <w:szCs w:val="24"/>
        </w:rPr>
        <w:t xml:space="preserve"> and on Chile would be </w:t>
      </w:r>
      <w:r w:rsidRPr="00E606E2">
        <w:rPr>
          <w:rFonts w:ascii="Times New Roman" w:hAnsi="Times New Roman" w:cs="Times New Roman"/>
          <w:sz w:val="24"/>
          <w:szCs w:val="24"/>
        </w:rPr>
        <w:t>positive</w:t>
      </w:r>
      <w:r w:rsidRPr="00D22F99">
        <w:rPr>
          <w:rFonts w:ascii="Times New Roman" w:hAnsi="Times New Roman" w:cs="Times New Roman"/>
          <w:sz w:val="24"/>
          <w:szCs w:val="24"/>
        </w:rPr>
        <w:t xml:space="preserve">. In absolute values, the EU gains </w:t>
      </w:r>
      <w:r>
        <w:rPr>
          <w:rFonts w:ascii="Times New Roman" w:hAnsi="Times New Roman" w:cs="Times New Roman"/>
          <w:sz w:val="24"/>
          <w:szCs w:val="24"/>
        </w:rPr>
        <w:t xml:space="preserve">would </w:t>
      </w:r>
      <w:r w:rsidRPr="00D22F99">
        <w:rPr>
          <w:rFonts w:ascii="Times New Roman" w:hAnsi="Times New Roman" w:cs="Times New Roman"/>
          <w:sz w:val="24"/>
          <w:szCs w:val="24"/>
        </w:rPr>
        <w:t xml:space="preserve">vary between </w:t>
      </w:r>
      <w:r>
        <w:rPr>
          <w:rFonts w:ascii="Times New Roman" w:hAnsi="Times New Roman" w:cs="Times New Roman"/>
          <w:sz w:val="24"/>
          <w:szCs w:val="24"/>
        </w:rPr>
        <w:t>€ 2</w:t>
      </w:r>
      <w:r w:rsidR="00B7436C">
        <w:rPr>
          <w:rFonts w:ascii="Times New Roman" w:hAnsi="Times New Roman" w:cs="Times New Roman"/>
          <w:sz w:val="24"/>
          <w:szCs w:val="24"/>
        </w:rPr>
        <w:t>69</w:t>
      </w:r>
      <w:r w:rsidRPr="00D22F99">
        <w:rPr>
          <w:rFonts w:ascii="Times New Roman" w:hAnsi="Times New Roman" w:cs="Times New Roman"/>
          <w:sz w:val="24"/>
          <w:szCs w:val="24"/>
        </w:rPr>
        <w:t xml:space="preserve"> million (conservative) and </w:t>
      </w:r>
      <w:r>
        <w:rPr>
          <w:rFonts w:ascii="Times New Roman" w:hAnsi="Times New Roman" w:cs="Times New Roman"/>
          <w:sz w:val="24"/>
          <w:szCs w:val="24"/>
        </w:rPr>
        <w:t>€ 7</w:t>
      </w:r>
      <w:r w:rsidR="00EF6E86">
        <w:rPr>
          <w:rFonts w:ascii="Times New Roman" w:hAnsi="Times New Roman" w:cs="Times New Roman"/>
          <w:sz w:val="24"/>
          <w:szCs w:val="24"/>
        </w:rPr>
        <w:t>1</w:t>
      </w:r>
      <w:r w:rsidR="00B7436C">
        <w:rPr>
          <w:rFonts w:ascii="Times New Roman" w:hAnsi="Times New Roman" w:cs="Times New Roman"/>
          <w:sz w:val="24"/>
          <w:szCs w:val="24"/>
        </w:rPr>
        <w:t>2</w:t>
      </w:r>
      <w:r>
        <w:rPr>
          <w:rFonts w:ascii="Times New Roman" w:hAnsi="Times New Roman" w:cs="Times New Roman"/>
          <w:sz w:val="24"/>
          <w:szCs w:val="24"/>
        </w:rPr>
        <w:t xml:space="preserve"> </w:t>
      </w:r>
      <w:r w:rsidRPr="00D22F99">
        <w:rPr>
          <w:rFonts w:ascii="Times New Roman" w:hAnsi="Times New Roman" w:cs="Times New Roman"/>
          <w:sz w:val="24"/>
          <w:szCs w:val="24"/>
        </w:rPr>
        <w:t>million (</w:t>
      </w:r>
      <w:r>
        <w:rPr>
          <w:rFonts w:ascii="Times New Roman" w:hAnsi="Times New Roman" w:cs="Times New Roman"/>
          <w:sz w:val="24"/>
          <w:szCs w:val="24"/>
        </w:rPr>
        <w:t>ambitious</w:t>
      </w:r>
      <w:r w:rsidRPr="00D22F99">
        <w:rPr>
          <w:rFonts w:ascii="Times New Roman" w:hAnsi="Times New Roman" w:cs="Times New Roman"/>
          <w:sz w:val="24"/>
          <w:szCs w:val="24"/>
        </w:rPr>
        <w:t>) in 20</w:t>
      </w:r>
      <w:r>
        <w:rPr>
          <w:rFonts w:ascii="Times New Roman" w:hAnsi="Times New Roman" w:cs="Times New Roman"/>
          <w:sz w:val="24"/>
          <w:szCs w:val="24"/>
        </w:rPr>
        <w:t xml:space="preserve">25, whilst </w:t>
      </w:r>
      <w:r w:rsidRPr="00D22F99">
        <w:rPr>
          <w:rFonts w:ascii="Times New Roman" w:hAnsi="Times New Roman" w:cs="Times New Roman"/>
          <w:sz w:val="24"/>
          <w:szCs w:val="24"/>
        </w:rPr>
        <w:t xml:space="preserve">Chile's welfare gains would be </w:t>
      </w:r>
      <w:r>
        <w:rPr>
          <w:rFonts w:ascii="Times New Roman" w:hAnsi="Times New Roman" w:cs="Times New Roman"/>
          <w:sz w:val="24"/>
          <w:szCs w:val="24"/>
        </w:rPr>
        <w:t xml:space="preserve">€ </w:t>
      </w:r>
      <w:r w:rsidR="00EF6E86">
        <w:rPr>
          <w:rFonts w:ascii="Times New Roman" w:hAnsi="Times New Roman" w:cs="Times New Roman"/>
          <w:sz w:val="24"/>
          <w:szCs w:val="24"/>
        </w:rPr>
        <w:t>3</w:t>
      </w:r>
      <w:r w:rsidR="00B7436C">
        <w:rPr>
          <w:rFonts w:ascii="Times New Roman" w:hAnsi="Times New Roman" w:cs="Times New Roman"/>
          <w:sz w:val="24"/>
          <w:szCs w:val="24"/>
        </w:rPr>
        <w:t>39</w:t>
      </w:r>
      <w:r w:rsidRPr="00D22F99">
        <w:rPr>
          <w:rFonts w:ascii="Times New Roman" w:hAnsi="Times New Roman" w:cs="Times New Roman"/>
          <w:sz w:val="24"/>
          <w:szCs w:val="24"/>
        </w:rPr>
        <w:t xml:space="preserve"> million in the conservative and </w:t>
      </w:r>
      <w:r w:rsidR="00EF6E86">
        <w:rPr>
          <w:rFonts w:ascii="Times New Roman" w:hAnsi="Times New Roman" w:cs="Times New Roman"/>
          <w:sz w:val="24"/>
          <w:szCs w:val="24"/>
        </w:rPr>
        <w:t>€ 5</w:t>
      </w:r>
      <w:r w:rsidR="00B7436C">
        <w:rPr>
          <w:rFonts w:ascii="Times New Roman" w:hAnsi="Times New Roman" w:cs="Times New Roman"/>
          <w:sz w:val="24"/>
          <w:szCs w:val="24"/>
        </w:rPr>
        <w:t>29</w:t>
      </w:r>
      <w:r w:rsidRPr="00D22F99">
        <w:rPr>
          <w:rFonts w:ascii="Times New Roman" w:hAnsi="Times New Roman" w:cs="Times New Roman"/>
          <w:sz w:val="24"/>
          <w:szCs w:val="24"/>
        </w:rPr>
        <w:t xml:space="preserve"> million in the </w:t>
      </w:r>
      <w:r>
        <w:rPr>
          <w:rFonts w:ascii="Times New Roman" w:hAnsi="Times New Roman" w:cs="Times New Roman"/>
          <w:sz w:val="24"/>
          <w:szCs w:val="24"/>
        </w:rPr>
        <w:t>ambitious</w:t>
      </w:r>
      <w:r w:rsidRPr="00D22F99">
        <w:rPr>
          <w:rFonts w:ascii="Times New Roman" w:hAnsi="Times New Roman" w:cs="Times New Roman"/>
          <w:sz w:val="24"/>
          <w:szCs w:val="24"/>
        </w:rPr>
        <w:t xml:space="preserve"> scenario.</w:t>
      </w:r>
      <w:r w:rsidR="00EE2F3B">
        <w:rPr>
          <w:rFonts w:ascii="Times New Roman" w:hAnsi="Times New Roman" w:cs="Times New Roman"/>
          <w:sz w:val="24"/>
          <w:szCs w:val="24"/>
        </w:rPr>
        <w:t xml:space="preserve"> </w:t>
      </w:r>
      <w:r>
        <w:rPr>
          <w:rFonts w:ascii="Times New Roman" w:hAnsi="Times New Roman" w:cs="Times New Roman"/>
          <w:color w:val="000000"/>
          <w:sz w:val="24"/>
          <w:szCs w:val="24"/>
        </w:rPr>
        <w:t>Moreover, e</w:t>
      </w:r>
      <w:r w:rsidR="00E606E2" w:rsidRPr="00E606E2">
        <w:rPr>
          <w:rFonts w:ascii="Times New Roman" w:hAnsi="Times New Roman" w:cs="Times New Roman"/>
          <w:color w:val="000000"/>
          <w:sz w:val="24"/>
          <w:szCs w:val="24"/>
        </w:rPr>
        <w:t xml:space="preserve">xpanding trade will provide </w:t>
      </w:r>
      <w:r w:rsidR="00E03E2E">
        <w:rPr>
          <w:rFonts w:ascii="Times New Roman" w:hAnsi="Times New Roman" w:cs="Times New Roman"/>
          <w:color w:val="000000"/>
          <w:sz w:val="24"/>
          <w:szCs w:val="24"/>
        </w:rPr>
        <w:t xml:space="preserve">a wider </w:t>
      </w:r>
      <w:r w:rsidR="00E606E2" w:rsidRPr="00E606E2">
        <w:rPr>
          <w:rFonts w:ascii="Times New Roman" w:hAnsi="Times New Roman" w:cs="Times New Roman"/>
          <w:color w:val="000000"/>
          <w:sz w:val="24"/>
          <w:szCs w:val="24"/>
        </w:rPr>
        <w:t>choice for consumer</w:t>
      </w:r>
      <w:r w:rsidR="00E03E2E">
        <w:rPr>
          <w:rFonts w:ascii="Times New Roman" w:hAnsi="Times New Roman" w:cs="Times New Roman"/>
          <w:color w:val="000000"/>
          <w:sz w:val="24"/>
          <w:szCs w:val="24"/>
        </w:rPr>
        <w:t>s</w:t>
      </w:r>
      <w:r w:rsidR="00E606E2" w:rsidRPr="00E606E2">
        <w:rPr>
          <w:rFonts w:ascii="Times New Roman" w:hAnsi="Times New Roman" w:cs="Times New Roman"/>
          <w:color w:val="000000"/>
          <w:sz w:val="24"/>
          <w:szCs w:val="24"/>
        </w:rPr>
        <w:t xml:space="preserve"> in the EU</w:t>
      </w:r>
      <w:r>
        <w:rPr>
          <w:rFonts w:ascii="Times New Roman" w:hAnsi="Times New Roman" w:cs="Times New Roman"/>
          <w:color w:val="000000"/>
          <w:sz w:val="24"/>
          <w:szCs w:val="24"/>
        </w:rPr>
        <w:t xml:space="preserve"> and </w:t>
      </w:r>
      <w:r w:rsidR="00E03E2E">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Chile</w:t>
      </w:r>
      <w:r w:rsidR="00E606E2" w:rsidRPr="00E606E2">
        <w:rPr>
          <w:rFonts w:ascii="Times New Roman" w:hAnsi="Times New Roman" w:cs="Times New Roman"/>
          <w:color w:val="000000"/>
          <w:sz w:val="24"/>
          <w:szCs w:val="24"/>
        </w:rPr>
        <w:t xml:space="preserve">. </w:t>
      </w:r>
    </w:p>
    <w:p w:rsidR="00EE2F3B" w:rsidRPr="00EE2F3B" w:rsidRDefault="00EE2F3B" w:rsidP="00EE2F3B">
      <w:pPr>
        <w:spacing w:after="24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2017 ex-ante study (Annex 5) </w:t>
      </w:r>
      <w:r w:rsidR="0089111E">
        <w:rPr>
          <w:rFonts w:ascii="Times New Roman" w:hAnsi="Times New Roman" w:cs="Times New Roman"/>
          <w:color w:val="000000"/>
          <w:sz w:val="24"/>
          <w:szCs w:val="24"/>
        </w:rPr>
        <w:t xml:space="preserve">concludes that consumer welfare is expected to increase. </w:t>
      </w:r>
      <w:r w:rsidR="009B44D0">
        <w:rPr>
          <w:rFonts w:ascii="Times New Roman" w:hAnsi="Times New Roman" w:cs="Times New Roman"/>
          <w:color w:val="000000"/>
          <w:sz w:val="24"/>
          <w:szCs w:val="24"/>
        </w:rPr>
        <w:t>Although i</w:t>
      </w:r>
      <w:r w:rsidR="009A1E3F">
        <w:rPr>
          <w:rFonts w:ascii="Times New Roman" w:hAnsi="Times New Roman" w:cs="Times New Roman"/>
          <w:color w:val="000000"/>
          <w:sz w:val="24"/>
          <w:szCs w:val="24"/>
        </w:rPr>
        <w:t>n Chile the relative increase in consumer prices for goods typically purchased by low-income earners could</w:t>
      </w:r>
      <w:r w:rsidR="009B44D0">
        <w:rPr>
          <w:rFonts w:ascii="Times New Roman" w:hAnsi="Times New Roman" w:cs="Times New Roman"/>
          <w:color w:val="000000"/>
          <w:sz w:val="24"/>
          <w:szCs w:val="24"/>
        </w:rPr>
        <w:t>,</w:t>
      </w:r>
      <w:r w:rsidR="009A1E3F">
        <w:rPr>
          <w:rFonts w:ascii="Times New Roman" w:hAnsi="Times New Roman" w:cs="Times New Roman"/>
          <w:color w:val="000000"/>
          <w:sz w:val="24"/>
          <w:szCs w:val="24"/>
        </w:rPr>
        <w:t xml:space="preserve"> </w:t>
      </w:r>
      <w:r w:rsidR="009B44D0">
        <w:rPr>
          <w:rFonts w:ascii="Times New Roman" w:hAnsi="Times New Roman" w:cs="Times New Roman"/>
          <w:color w:val="000000"/>
          <w:sz w:val="24"/>
          <w:szCs w:val="24"/>
        </w:rPr>
        <w:t xml:space="preserve">at first sight, </w:t>
      </w:r>
      <w:r w:rsidR="009A1E3F">
        <w:rPr>
          <w:rFonts w:ascii="Times New Roman" w:hAnsi="Times New Roman" w:cs="Times New Roman"/>
          <w:color w:val="000000"/>
          <w:sz w:val="24"/>
          <w:szCs w:val="24"/>
        </w:rPr>
        <w:t>possibly impact income inequality</w:t>
      </w:r>
      <w:r w:rsidR="009B44D0">
        <w:rPr>
          <w:rFonts w:ascii="Times New Roman" w:hAnsi="Times New Roman" w:cs="Times New Roman"/>
          <w:color w:val="000000"/>
          <w:sz w:val="24"/>
          <w:szCs w:val="24"/>
        </w:rPr>
        <w:t xml:space="preserve">, this does not appear to be the case, as the purchasing power of low skilled workers (who may be safely assumed to be more than proportionately represented among low-income earners) increases at a higher rate than the overall consumer price index. </w:t>
      </w:r>
    </w:p>
    <w:p w:rsidR="00BC3194" w:rsidRPr="00E851A2" w:rsidRDefault="00BC3194" w:rsidP="00BC3194">
      <w:pPr>
        <w:spacing w:after="240" w:line="240" w:lineRule="auto"/>
        <w:jc w:val="both"/>
        <w:rPr>
          <w:rFonts w:ascii="Times New Roman" w:hAnsi="Times New Roman" w:cs="Times New Roman"/>
          <w:color w:val="000000"/>
          <w:sz w:val="24"/>
          <w:szCs w:val="24"/>
        </w:rPr>
      </w:pPr>
      <w:r w:rsidRPr="00BC3194">
        <w:rPr>
          <w:rFonts w:ascii="Times New Roman" w:hAnsi="Times New Roman" w:cs="Times New Roman"/>
          <w:color w:val="000000"/>
          <w:sz w:val="24"/>
          <w:szCs w:val="24"/>
        </w:rPr>
        <w:t xml:space="preserve">EU policy not </w:t>
      </w:r>
      <w:r w:rsidR="00AC2EAE">
        <w:rPr>
          <w:rFonts w:ascii="Times New Roman" w:hAnsi="Times New Roman" w:cs="Times New Roman"/>
          <w:color w:val="000000"/>
          <w:sz w:val="24"/>
          <w:szCs w:val="24"/>
        </w:rPr>
        <w:t xml:space="preserve">to </w:t>
      </w:r>
      <w:r w:rsidRPr="00BC3194">
        <w:rPr>
          <w:rFonts w:ascii="Times New Roman" w:hAnsi="Times New Roman" w:cs="Times New Roman"/>
          <w:color w:val="000000"/>
          <w:sz w:val="24"/>
          <w:szCs w:val="24"/>
        </w:rPr>
        <w:t xml:space="preserve">lower standards for safety, environment and </w:t>
      </w:r>
      <w:r w:rsidR="00AC2EAE">
        <w:rPr>
          <w:rFonts w:ascii="Times New Roman" w:hAnsi="Times New Roman" w:cs="Times New Roman"/>
          <w:color w:val="000000"/>
          <w:sz w:val="24"/>
          <w:szCs w:val="24"/>
        </w:rPr>
        <w:t xml:space="preserve">other considerations </w:t>
      </w:r>
      <w:r w:rsidRPr="00BC3194">
        <w:rPr>
          <w:rFonts w:ascii="Times New Roman" w:hAnsi="Times New Roman" w:cs="Times New Roman"/>
          <w:color w:val="000000"/>
          <w:sz w:val="24"/>
          <w:szCs w:val="24"/>
        </w:rPr>
        <w:t>will also ensure that the current level of protection is upheld. Therefore the FTA</w:t>
      </w:r>
      <w:r w:rsidR="007339BE">
        <w:rPr>
          <w:rFonts w:ascii="Times New Roman" w:hAnsi="Times New Roman" w:cs="Times New Roman"/>
          <w:color w:val="000000"/>
          <w:sz w:val="24"/>
          <w:szCs w:val="24"/>
        </w:rPr>
        <w:t xml:space="preserve"> is</w:t>
      </w:r>
      <w:r w:rsidRPr="00BC3194">
        <w:rPr>
          <w:rFonts w:ascii="Times New Roman" w:hAnsi="Times New Roman" w:cs="Times New Roman"/>
          <w:color w:val="000000"/>
          <w:sz w:val="24"/>
          <w:szCs w:val="24"/>
        </w:rPr>
        <w:t xml:space="preserve"> not expected to have any immediate impact in this area. However, the intended improvements to regulatory cooperation could result in higher protection in these areas in the future.</w:t>
      </w:r>
      <w:r>
        <w:rPr>
          <w:rFonts w:ascii="Times New Roman" w:hAnsi="Times New Roman" w:cs="Times New Roman"/>
          <w:color w:val="000000"/>
          <w:sz w:val="24"/>
          <w:szCs w:val="24"/>
        </w:rPr>
        <w:t xml:space="preserve"> </w:t>
      </w:r>
      <w:r w:rsidRPr="00E851A2">
        <w:rPr>
          <w:rFonts w:ascii="Times New Roman" w:hAnsi="Times New Roman" w:cs="Times New Roman"/>
          <w:color w:val="000000"/>
          <w:sz w:val="24"/>
          <w:szCs w:val="24"/>
        </w:rPr>
        <w:t>Expanding trade would provide more choices for consumers in the EU and in Chile. Consumers could also benefit indirectly from cooperation on consumer protection.</w:t>
      </w:r>
    </w:p>
    <w:p w:rsidR="00494D84" w:rsidRDefault="003B3EBB" w:rsidP="00494D84">
      <w:pPr>
        <w:spacing w:after="24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outcome of the public consultation is consistent with these results. </w:t>
      </w:r>
      <w:r w:rsidR="00494D84" w:rsidRPr="00494D84">
        <w:rPr>
          <w:rFonts w:ascii="Times New Roman" w:eastAsia="Times New Roman" w:hAnsi="Times New Roman" w:cs="Times New Roman"/>
          <w:sz w:val="24"/>
          <w:szCs w:val="20"/>
        </w:rPr>
        <w:t xml:space="preserve"> </w:t>
      </w:r>
      <w:r w:rsidR="00494D84">
        <w:rPr>
          <w:rFonts w:ascii="Times New Roman" w:eastAsia="Times New Roman" w:hAnsi="Times New Roman" w:cs="Times New Roman"/>
          <w:sz w:val="24"/>
          <w:szCs w:val="20"/>
        </w:rPr>
        <w:t>Of the 3</w:t>
      </w:r>
      <w:r w:rsidR="005C23C5">
        <w:rPr>
          <w:rFonts w:ascii="Times New Roman" w:eastAsia="Times New Roman" w:hAnsi="Times New Roman" w:cs="Times New Roman"/>
          <w:sz w:val="24"/>
          <w:szCs w:val="20"/>
        </w:rPr>
        <w:t>2</w:t>
      </w:r>
      <w:r w:rsidR="00494D84">
        <w:rPr>
          <w:rFonts w:ascii="Times New Roman" w:eastAsia="Times New Roman" w:hAnsi="Times New Roman" w:cs="Times New Roman"/>
          <w:sz w:val="24"/>
          <w:szCs w:val="20"/>
        </w:rPr>
        <w:t xml:space="preserve"> responses received, a third of respondents expect a positive impact on EU consumers, whilst half expect a positive effect on Chilean consumers</w:t>
      </w:r>
      <w:r w:rsidR="00494D84">
        <w:rPr>
          <w:rStyle w:val="FootnoteReference"/>
          <w:rFonts w:ascii="Times New Roman" w:eastAsia="Times New Roman" w:hAnsi="Times New Roman" w:cs="Times New Roman"/>
          <w:sz w:val="24"/>
          <w:szCs w:val="20"/>
        </w:rPr>
        <w:footnoteReference w:id="27"/>
      </w:r>
      <w:r w:rsidR="00494D84">
        <w:rPr>
          <w:rFonts w:ascii="Times New Roman" w:eastAsia="Times New Roman" w:hAnsi="Times New Roman" w:cs="Times New Roman"/>
          <w:sz w:val="24"/>
          <w:szCs w:val="20"/>
        </w:rPr>
        <w:t>.</w:t>
      </w:r>
    </w:p>
    <w:p w:rsidR="009B4F5C" w:rsidRPr="00E16507" w:rsidRDefault="009B4F5C" w:rsidP="00E606E2">
      <w:pPr>
        <w:spacing w:after="240" w:line="240" w:lineRule="auto"/>
        <w:jc w:val="both"/>
        <w:rPr>
          <w:rFonts w:ascii="Times New Roman" w:eastAsia="Times New Roman" w:hAnsi="Times New Roman" w:cs="Times New Roman"/>
          <w:sz w:val="10"/>
          <w:szCs w:val="10"/>
        </w:rPr>
      </w:pPr>
    </w:p>
    <w:p w:rsidR="00E606E2" w:rsidRPr="00E16507" w:rsidRDefault="009D2596" w:rsidP="00882520">
      <w:pPr>
        <w:pStyle w:val="Heading2"/>
        <w:numPr>
          <w:ilvl w:val="1"/>
          <w:numId w:val="56"/>
        </w:numPr>
        <w:rPr>
          <w:u w:val="single"/>
        </w:rPr>
      </w:pPr>
      <w:bookmarkStart w:id="56" w:name="_Toc473123093"/>
      <w:r w:rsidRPr="00E16507">
        <w:rPr>
          <w:u w:val="single"/>
        </w:rPr>
        <w:t>I</w:t>
      </w:r>
      <w:r w:rsidR="00E606E2" w:rsidRPr="00E16507">
        <w:rPr>
          <w:u w:val="single"/>
        </w:rPr>
        <w:t>mpact on human rights</w:t>
      </w:r>
      <w:bookmarkEnd w:id="56"/>
    </w:p>
    <w:p w:rsidR="00261E9D" w:rsidRPr="00261E9D" w:rsidRDefault="00261E9D" w:rsidP="00261E9D"/>
    <w:p w:rsidR="00B4449B" w:rsidRDefault="00B4449B" w:rsidP="00B4449B">
      <w:pPr>
        <w:spacing w:after="0" w:line="240" w:lineRule="auto"/>
        <w:jc w:val="both"/>
        <w:rPr>
          <w:rFonts w:ascii="Times New Roman" w:eastAsia="Calibri" w:hAnsi="Times New Roman" w:cs="Times New Roman"/>
          <w:sz w:val="24"/>
          <w:szCs w:val="24"/>
        </w:rPr>
      </w:pPr>
      <w:r w:rsidRPr="000670AC">
        <w:rPr>
          <w:rFonts w:ascii="Times New Roman" w:eastAsia="Calibri" w:hAnsi="Times New Roman" w:cs="Times New Roman"/>
          <w:sz w:val="24"/>
          <w:szCs w:val="24"/>
        </w:rPr>
        <w:t>The modernisation of the EU-</w:t>
      </w:r>
      <w:r>
        <w:rPr>
          <w:rFonts w:ascii="Times New Roman" w:eastAsia="Calibri" w:hAnsi="Times New Roman" w:cs="Times New Roman"/>
          <w:sz w:val="24"/>
          <w:szCs w:val="24"/>
        </w:rPr>
        <w:t xml:space="preserve">Chile </w:t>
      </w:r>
      <w:r w:rsidRPr="000670AC">
        <w:rPr>
          <w:rFonts w:ascii="Times New Roman" w:eastAsia="Calibri" w:hAnsi="Times New Roman" w:cs="Times New Roman"/>
          <w:sz w:val="24"/>
          <w:szCs w:val="24"/>
        </w:rPr>
        <w:t xml:space="preserve">FTA would be part of the modernisation of the </w:t>
      </w:r>
      <w:r>
        <w:rPr>
          <w:rFonts w:ascii="Times New Roman" w:eastAsia="Calibri" w:hAnsi="Times New Roman" w:cs="Times New Roman"/>
          <w:sz w:val="24"/>
          <w:szCs w:val="24"/>
        </w:rPr>
        <w:t>Association</w:t>
      </w:r>
      <w:r w:rsidRPr="000670AC">
        <w:rPr>
          <w:rFonts w:ascii="Times New Roman" w:eastAsia="Calibri" w:hAnsi="Times New Roman" w:cs="Times New Roman"/>
          <w:sz w:val="24"/>
          <w:szCs w:val="24"/>
        </w:rPr>
        <w:t xml:space="preserve"> Agreement as a whole. </w:t>
      </w:r>
      <w:r w:rsidR="00580B73">
        <w:rPr>
          <w:rFonts w:ascii="Times New Roman" w:eastAsia="Calibri" w:hAnsi="Times New Roman" w:cs="Times New Roman"/>
          <w:sz w:val="24"/>
          <w:szCs w:val="24"/>
        </w:rPr>
        <w:t>B</w:t>
      </w:r>
      <w:r w:rsidRPr="000670AC">
        <w:rPr>
          <w:rFonts w:ascii="Times New Roman" w:eastAsia="Calibri" w:hAnsi="Times New Roman" w:cs="Times New Roman"/>
          <w:sz w:val="24"/>
          <w:szCs w:val="24"/>
        </w:rPr>
        <w:t xml:space="preserve">oth sides </w:t>
      </w:r>
      <w:r>
        <w:rPr>
          <w:rFonts w:ascii="Times New Roman" w:eastAsia="Calibri" w:hAnsi="Times New Roman" w:cs="Times New Roman"/>
          <w:sz w:val="24"/>
          <w:szCs w:val="24"/>
        </w:rPr>
        <w:t>have expressed their</w:t>
      </w:r>
      <w:r w:rsidRPr="000670AC">
        <w:rPr>
          <w:rFonts w:ascii="Times New Roman" w:eastAsia="Calibri" w:hAnsi="Times New Roman" w:cs="Times New Roman"/>
          <w:sz w:val="24"/>
          <w:szCs w:val="24"/>
        </w:rPr>
        <w:t xml:space="preserve"> commitment </w:t>
      </w:r>
      <w:r>
        <w:rPr>
          <w:rFonts w:ascii="Times New Roman" w:eastAsia="Calibri" w:hAnsi="Times New Roman" w:cs="Times New Roman"/>
          <w:sz w:val="24"/>
          <w:szCs w:val="24"/>
        </w:rPr>
        <w:t xml:space="preserve">in </w:t>
      </w:r>
      <w:r w:rsidRPr="000670AC">
        <w:rPr>
          <w:rFonts w:ascii="Times New Roman" w:eastAsia="Calibri" w:hAnsi="Times New Roman" w:cs="Times New Roman"/>
          <w:sz w:val="24"/>
          <w:szCs w:val="24"/>
        </w:rPr>
        <w:t xml:space="preserve">the scoping process to </w:t>
      </w:r>
      <w:r>
        <w:rPr>
          <w:rFonts w:ascii="Times New Roman" w:eastAsia="Calibri" w:hAnsi="Times New Roman" w:cs="Times New Roman"/>
          <w:sz w:val="24"/>
          <w:szCs w:val="24"/>
        </w:rPr>
        <w:t xml:space="preserve">the </w:t>
      </w:r>
      <w:r w:rsidRPr="000670AC">
        <w:rPr>
          <w:rFonts w:ascii="Times New Roman" w:eastAsia="Calibri" w:hAnsi="Times New Roman" w:cs="Times New Roman"/>
          <w:sz w:val="24"/>
          <w:szCs w:val="24"/>
        </w:rPr>
        <w:t xml:space="preserve">respect </w:t>
      </w:r>
      <w:r>
        <w:rPr>
          <w:rFonts w:ascii="Times New Roman" w:eastAsia="Calibri" w:hAnsi="Times New Roman" w:cs="Times New Roman"/>
          <w:sz w:val="24"/>
          <w:szCs w:val="24"/>
        </w:rPr>
        <w:t xml:space="preserve">of </w:t>
      </w:r>
      <w:r w:rsidRPr="000670AC">
        <w:rPr>
          <w:rFonts w:ascii="Times New Roman" w:eastAsia="Calibri" w:hAnsi="Times New Roman" w:cs="Times New Roman"/>
          <w:sz w:val="24"/>
          <w:szCs w:val="24"/>
        </w:rPr>
        <w:t xml:space="preserve">human rights and fundamental freedoms. The </w:t>
      </w:r>
      <w:r w:rsidR="00853F12">
        <w:rPr>
          <w:rFonts w:ascii="Times New Roman" w:eastAsia="Calibri" w:hAnsi="Times New Roman" w:cs="Times New Roman"/>
          <w:sz w:val="24"/>
          <w:szCs w:val="24"/>
        </w:rPr>
        <w:t xml:space="preserve">outcome of the preparatory work on the modernisation of the </w:t>
      </w:r>
      <w:r w:rsidRPr="000670AC">
        <w:rPr>
          <w:rFonts w:ascii="Times New Roman" w:eastAsia="Calibri" w:hAnsi="Times New Roman" w:cs="Times New Roman"/>
          <w:sz w:val="24"/>
          <w:szCs w:val="24"/>
        </w:rPr>
        <w:t xml:space="preserve">political </w:t>
      </w:r>
      <w:r w:rsidR="008F37F0">
        <w:rPr>
          <w:rFonts w:ascii="Times New Roman" w:eastAsia="Calibri" w:hAnsi="Times New Roman" w:cs="Times New Roman"/>
          <w:sz w:val="24"/>
          <w:szCs w:val="24"/>
        </w:rPr>
        <w:t xml:space="preserve">chapter </w:t>
      </w:r>
      <w:r w:rsidR="00853F12">
        <w:rPr>
          <w:rFonts w:ascii="Times New Roman" w:eastAsia="Calibri" w:hAnsi="Times New Roman" w:cs="Times New Roman"/>
          <w:sz w:val="24"/>
          <w:szCs w:val="24"/>
        </w:rPr>
        <w:t>indicate</w:t>
      </w:r>
      <w:r w:rsidR="004A7B8F">
        <w:rPr>
          <w:rFonts w:ascii="Times New Roman" w:eastAsia="Calibri" w:hAnsi="Times New Roman" w:cs="Times New Roman"/>
          <w:sz w:val="24"/>
          <w:szCs w:val="24"/>
        </w:rPr>
        <w:t>s that the P</w:t>
      </w:r>
      <w:r w:rsidR="00853F12">
        <w:rPr>
          <w:rFonts w:ascii="Times New Roman" w:eastAsia="Calibri" w:hAnsi="Times New Roman" w:cs="Times New Roman"/>
          <w:sz w:val="24"/>
          <w:szCs w:val="24"/>
        </w:rPr>
        <w:t>arties will base the new Agreement on values of human rights, democracy, rule of law and good governance</w:t>
      </w:r>
      <w:r w:rsidRPr="000670AC">
        <w:rPr>
          <w:rFonts w:ascii="Times New Roman" w:eastAsia="Calibri" w:hAnsi="Times New Roman" w:cs="Times New Roman"/>
          <w:sz w:val="24"/>
          <w:szCs w:val="24"/>
        </w:rPr>
        <w:t>. It also indicates that the existing dialogue on human rights</w:t>
      </w:r>
      <w:r w:rsidR="00622935">
        <w:rPr>
          <w:rFonts w:ascii="Times New Roman" w:eastAsia="Calibri" w:hAnsi="Times New Roman" w:cs="Times New Roman"/>
          <w:sz w:val="24"/>
          <w:szCs w:val="24"/>
        </w:rPr>
        <w:t xml:space="preserve"> (outside the FTA pillar)</w:t>
      </w:r>
      <w:r w:rsidRPr="000670AC">
        <w:rPr>
          <w:rFonts w:ascii="Times New Roman" w:eastAsia="Calibri" w:hAnsi="Times New Roman" w:cs="Times New Roman"/>
          <w:sz w:val="24"/>
          <w:szCs w:val="24"/>
        </w:rPr>
        <w:t xml:space="preserve"> should be maintained. </w:t>
      </w:r>
    </w:p>
    <w:p w:rsidR="0089111E" w:rsidRPr="000670AC" w:rsidRDefault="0089111E" w:rsidP="00B4449B">
      <w:pPr>
        <w:spacing w:after="0" w:line="240" w:lineRule="auto"/>
        <w:jc w:val="both"/>
        <w:rPr>
          <w:rFonts w:ascii="Times New Roman" w:eastAsia="Calibri" w:hAnsi="Times New Roman" w:cs="Times New Roman"/>
          <w:sz w:val="24"/>
          <w:szCs w:val="24"/>
        </w:rPr>
      </w:pPr>
    </w:p>
    <w:p w:rsidR="00B4449B" w:rsidRPr="000670AC" w:rsidRDefault="00B4449B" w:rsidP="00B4449B">
      <w:pPr>
        <w:spacing w:after="0" w:line="240" w:lineRule="auto"/>
        <w:jc w:val="both"/>
        <w:rPr>
          <w:rFonts w:ascii="Times New Roman" w:eastAsia="Calibri" w:hAnsi="Times New Roman" w:cs="Times New Roman"/>
          <w:sz w:val="24"/>
          <w:szCs w:val="24"/>
        </w:rPr>
      </w:pPr>
      <w:r w:rsidRPr="000670AC">
        <w:rPr>
          <w:rFonts w:ascii="Times New Roman" w:eastAsia="Calibri" w:hAnsi="Times New Roman" w:cs="Times New Roman"/>
          <w:sz w:val="24"/>
          <w:szCs w:val="24"/>
        </w:rPr>
        <w:t xml:space="preserve">Both the EU and </w:t>
      </w:r>
      <w:r>
        <w:rPr>
          <w:rFonts w:ascii="Times New Roman" w:eastAsia="Calibri" w:hAnsi="Times New Roman" w:cs="Times New Roman"/>
          <w:sz w:val="24"/>
          <w:szCs w:val="24"/>
        </w:rPr>
        <w:t>Chile</w:t>
      </w:r>
      <w:r w:rsidRPr="000670AC">
        <w:rPr>
          <w:rFonts w:ascii="Times New Roman" w:eastAsia="Calibri" w:hAnsi="Times New Roman" w:cs="Times New Roman"/>
          <w:sz w:val="24"/>
          <w:szCs w:val="24"/>
        </w:rPr>
        <w:t xml:space="preserve"> are committed to high standards of protection for human rights (as proclaimed in the main UN conventions on human rights, the Charter of Fundamental Rights of the European Union, the European Convention on Human Rights, or the America</w:t>
      </w:r>
      <w:r w:rsidR="00774EB2">
        <w:rPr>
          <w:rFonts w:ascii="Times New Roman" w:eastAsia="Calibri" w:hAnsi="Times New Roman" w:cs="Times New Roman"/>
          <w:sz w:val="24"/>
          <w:szCs w:val="24"/>
        </w:rPr>
        <w:t>n Convention on Human Rights); a</w:t>
      </w:r>
      <w:r w:rsidRPr="000670AC">
        <w:rPr>
          <w:rFonts w:ascii="Times New Roman" w:eastAsia="Calibri" w:hAnsi="Times New Roman" w:cs="Times New Roman"/>
          <w:sz w:val="24"/>
          <w:szCs w:val="24"/>
        </w:rPr>
        <w:t xml:space="preserve">nd both </w:t>
      </w:r>
      <w:r>
        <w:rPr>
          <w:rFonts w:ascii="Times New Roman" w:eastAsia="Calibri" w:hAnsi="Times New Roman" w:cs="Times New Roman"/>
          <w:sz w:val="24"/>
          <w:szCs w:val="24"/>
        </w:rPr>
        <w:t xml:space="preserve">Chile </w:t>
      </w:r>
      <w:r w:rsidRPr="000670AC">
        <w:rPr>
          <w:rFonts w:ascii="Times New Roman" w:eastAsia="Calibri" w:hAnsi="Times New Roman" w:cs="Times New Roman"/>
          <w:sz w:val="24"/>
          <w:szCs w:val="24"/>
        </w:rPr>
        <w:t>and EU Member States are signatories to all the main international conventions.</w:t>
      </w:r>
    </w:p>
    <w:p w:rsidR="00B4449B" w:rsidRPr="000670AC" w:rsidRDefault="00B4449B" w:rsidP="00B4449B">
      <w:pPr>
        <w:spacing w:after="0" w:line="240" w:lineRule="auto"/>
        <w:jc w:val="both"/>
        <w:rPr>
          <w:rFonts w:ascii="Times New Roman" w:eastAsia="Calibri" w:hAnsi="Times New Roman" w:cs="Times New Roman"/>
          <w:sz w:val="24"/>
          <w:szCs w:val="24"/>
        </w:rPr>
      </w:pPr>
    </w:p>
    <w:p w:rsidR="00B4449B" w:rsidRPr="000670AC" w:rsidRDefault="00B4449B" w:rsidP="00B4449B">
      <w:pPr>
        <w:autoSpaceDE w:val="0"/>
        <w:autoSpaceDN w:val="0"/>
        <w:adjustRightInd w:val="0"/>
        <w:spacing w:after="0" w:line="240" w:lineRule="auto"/>
        <w:jc w:val="both"/>
        <w:rPr>
          <w:rFonts w:ascii="Times New Roman" w:eastAsia="Calibri" w:hAnsi="Times New Roman" w:cs="Times New Roman"/>
          <w:color w:val="000000"/>
          <w:sz w:val="24"/>
          <w:szCs w:val="24"/>
          <w:lang w:val="en"/>
        </w:rPr>
      </w:pPr>
      <w:r w:rsidRPr="000670AC">
        <w:rPr>
          <w:rFonts w:ascii="Times New Roman" w:eastAsia="Calibri" w:hAnsi="Times New Roman" w:cs="Times New Roman"/>
          <w:color w:val="000000"/>
          <w:sz w:val="24"/>
          <w:szCs w:val="24"/>
        </w:rPr>
        <w:t xml:space="preserve">The EU and </w:t>
      </w:r>
      <w:r>
        <w:rPr>
          <w:rFonts w:ascii="Times New Roman" w:eastAsia="Calibri" w:hAnsi="Times New Roman" w:cs="Times New Roman"/>
          <w:color w:val="000000"/>
          <w:sz w:val="24"/>
          <w:szCs w:val="24"/>
        </w:rPr>
        <w:t xml:space="preserve">Chile </w:t>
      </w:r>
      <w:r w:rsidRPr="000670AC">
        <w:rPr>
          <w:rFonts w:ascii="Times New Roman" w:eastAsia="Calibri" w:hAnsi="Times New Roman" w:cs="Times New Roman"/>
          <w:color w:val="000000"/>
          <w:sz w:val="24"/>
          <w:szCs w:val="24"/>
        </w:rPr>
        <w:t xml:space="preserve">conduct a regular Human Rights </w:t>
      </w:r>
      <w:r>
        <w:rPr>
          <w:rFonts w:ascii="Times New Roman" w:eastAsia="Calibri" w:hAnsi="Times New Roman" w:cs="Times New Roman"/>
          <w:color w:val="000000"/>
          <w:sz w:val="24"/>
          <w:szCs w:val="24"/>
        </w:rPr>
        <w:t>D</w:t>
      </w:r>
      <w:r w:rsidRPr="000670AC">
        <w:rPr>
          <w:rFonts w:ascii="Times New Roman" w:eastAsia="Calibri" w:hAnsi="Times New Roman" w:cs="Times New Roman"/>
          <w:color w:val="000000"/>
          <w:sz w:val="24"/>
          <w:szCs w:val="24"/>
        </w:rPr>
        <w:t xml:space="preserve">ialogue where major issues of concern for human rights are discussed, in particular gender and violence against women, </w:t>
      </w:r>
      <w:r>
        <w:rPr>
          <w:rFonts w:ascii="Times New Roman" w:eastAsia="Calibri" w:hAnsi="Times New Roman" w:cs="Times New Roman"/>
          <w:color w:val="000000"/>
          <w:sz w:val="24"/>
          <w:szCs w:val="24"/>
        </w:rPr>
        <w:t>children’s rights</w:t>
      </w:r>
      <w:r w:rsidR="00B82A57">
        <w:rPr>
          <w:rFonts w:ascii="Times New Roman" w:eastAsia="Calibri" w:hAnsi="Times New Roman" w:cs="Times New Roman"/>
          <w:color w:val="000000"/>
          <w:sz w:val="24"/>
          <w:szCs w:val="24"/>
        </w:rPr>
        <w:t xml:space="preserve"> and</w:t>
      </w:r>
      <w:r>
        <w:rPr>
          <w:rFonts w:ascii="Times New Roman" w:eastAsia="Calibri" w:hAnsi="Times New Roman" w:cs="Times New Roman"/>
          <w:color w:val="000000"/>
          <w:sz w:val="24"/>
          <w:szCs w:val="24"/>
        </w:rPr>
        <w:t xml:space="preserve"> </w:t>
      </w:r>
      <w:r w:rsidRPr="000670AC">
        <w:rPr>
          <w:rFonts w:ascii="Times New Roman" w:eastAsia="Calibri" w:hAnsi="Times New Roman" w:cs="Times New Roman"/>
          <w:color w:val="000000"/>
          <w:sz w:val="24"/>
          <w:szCs w:val="24"/>
        </w:rPr>
        <w:t>rights of vulnerable groups (including indigenous p</w:t>
      </w:r>
      <w:r>
        <w:rPr>
          <w:rFonts w:ascii="Times New Roman" w:eastAsia="Calibri" w:hAnsi="Times New Roman" w:cs="Times New Roman"/>
          <w:color w:val="000000"/>
          <w:sz w:val="24"/>
          <w:szCs w:val="24"/>
        </w:rPr>
        <w:t>eoples</w:t>
      </w:r>
      <w:r w:rsidRPr="000670AC">
        <w:rPr>
          <w:rFonts w:ascii="Times New Roman" w:eastAsia="Calibri" w:hAnsi="Times New Roman" w:cs="Times New Roman"/>
          <w:color w:val="000000"/>
          <w:sz w:val="24"/>
          <w:szCs w:val="24"/>
        </w:rPr>
        <w:t xml:space="preserve"> and </w:t>
      </w:r>
      <w:r w:rsidR="00B82A57">
        <w:rPr>
          <w:rFonts w:ascii="Times New Roman" w:eastAsia="Calibri" w:hAnsi="Times New Roman" w:cs="Times New Roman"/>
          <w:color w:val="000000"/>
          <w:sz w:val="24"/>
          <w:szCs w:val="24"/>
        </w:rPr>
        <w:t>LGBTI</w:t>
      </w:r>
      <w:r w:rsidRPr="000670AC">
        <w:rPr>
          <w:rFonts w:ascii="Times New Roman" w:eastAsia="Calibri" w:hAnsi="Times New Roman" w:cs="Times New Roman"/>
          <w:color w:val="000000"/>
          <w:sz w:val="24"/>
          <w:szCs w:val="24"/>
        </w:rPr>
        <w:t>)</w:t>
      </w:r>
      <w:r w:rsidR="00AD78CC">
        <w:rPr>
          <w:rFonts w:ascii="Times New Roman" w:eastAsia="Calibri" w:hAnsi="Times New Roman" w:cs="Times New Roman"/>
          <w:color w:val="000000"/>
          <w:sz w:val="24"/>
          <w:szCs w:val="24"/>
        </w:rPr>
        <w:t>.</w:t>
      </w:r>
      <w:r w:rsidR="00B82A57">
        <w:rPr>
          <w:rFonts w:ascii="Times New Roman" w:eastAsia="Calibri" w:hAnsi="Times New Roman" w:cs="Times New Roman"/>
          <w:color w:val="000000"/>
          <w:sz w:val="24"/>
          <w:szCs w:val="24"/>
        </w:rPr>
        <w:t xml:space="preserve"> The EU and Chile also cooperate </w:t>
      </w:r>
      <w:r w:rsidR="005D28EE">
        <w:rPr>
          <w:rFonts w:ascii="Times New Roman" w:eastAsia="Calibri" w:hAnsi="Times New Roman" w:cs="Times New Roman"/>
          <w:color w:val="000000"/>
          <w:sz w:val="24"/>
          <w:szCs w:val="24"/>
        </w:rPr>
        <w:t xml:space="preserve">fully </w:t>
      </w:r>
      <w:r w:rsidR="00B82A57">
        <w:rPr>
          <w:rFonts w:ascii="Times New Roman" w:eastAsia="Calibri" w:hAnsi="Times New Roman" w:cs="Times New Roman"/>
          <w:color w:val="000000"/>
          <w:sz w:val="24"/>
          <w:szCs w:val="24"/>
        </w:rPr>
        <w:t>in multilateral fora on protection of human rights.</w:t>
      </w:r>
      <w:r w:rsidRPr="000670AC">
        <w:rPr>
          <w:rFonts w:ascii="Times New Roman" w:eastAsia="Calibri" w:hAnsi="Times New Roman" w:cs="Times New Roman"/>
          <w:color w:val="000000"/>
          <w:sz w:val="24"/>
          <w:szCs w:val="24"/>
          <w:lang w:val="en"/>
        </w:rPr>
        <w:t xml:space="preserve"> </w:t>
      </w:r>
    </w:p>
    <w:p w:rsidR="00B4449B" w:rsidRPr="000670AC" w:rsidRDefault="00B4449B" w:rsidP="00B4449B">
      <w:pPr>
        <w:autoSpaceDE w:val="0"/>
        <w:autoSpaceDN w:val="0"/>
        <w:adjustRightInd w:val="0"/>
        <w:spacing w:after="0" w:line="240" w:lineRule="auto"/>
        <w:rPr>
          <w:rFonts w:ascii="Times New Roman" w:eastAsia="Calibri" w:hAnsi="Times New Roman" w:cs="Times New Roman"/>
          <w:color w:val="000000"/>
          <w:sz w:val="24"/>
          <w:szCs w:val="24"/>
        </w:rPr>
      </w:pPr>
    </w:p>
    <w:p w:rsidR="00774EB2" w:rsidRPr="000670AC" w:rsidRDefault="00774EB2" w:rsidP="00774EB2">
      <w:pPr>
        <w:spacing w:after="0" w:line="240" w:lineRule="auto"/>
        <w:jc w:val="both"/>
        <w:rPr>
          <w:rFonts w:ascii="Times New Roman" w:eastAsia="Calibri" w:hAnsi="Times New Roman" w:cs="Times New Roman"/>
          <w:sz w:val="24"/>
          <w:szCs w:val="24"/>
        </w:rPr>
      </w:pPr>
      <w:r w:rsidRPr="000670AC">
        <w:rPr>
          <w:rFonts w:ascii="Times New Roman" w:eastAsia="Calibri" w:hAnsi="Times New Roman" w:cs="Times New Roman"/>
          <w:sz w:val="24"/>
          <w:szCs w:val="24"/>
        </w:rPr>
        <w:t xml:space="preserve">The </w:t>
      </w:r>
      <w:r w:rsidRPr="0076139F">
        <w:rPr>
          <w:rFonts w:ascii="Times New Roman" w:eastAsia="Calibri" w:hAnsi="Times New Roman" w:cs="Times New Roman"/>
          <w:sz w:val="24"/>
          <w:szCs w:val="24"/>
        </w:rPr>
        <w:t>establishment in the political chapter of respect f</w:t>
      </w:r>
      <w:r w:rsidR="008F37F0">
        <w:rPr>
          <w:rFonts w:ascii="Times New Roman" w:eastAsia="Calibri" w:hAnsi="Times New Roman" w:cs="Times New Roman"/>
          <w:sz w:val="24"/>
          <w:szCs w:val="24"/>
        </w:rPr>
        <w:t>or</w:t>
      </w:r>
      <w:r w:rsidRPr="0076139F">
        <w:rPr>
          <w:rFonts w:ascii="Times New Roman" w:eastAsia="Calibri" w:hAnsi="Times New Roman" w:cs="Times New Roman"/>
          <w:sz w:val="24"/>
          <w:szCs w:val="24"/>
        </w:rPr>
        <w:t xml:space="preserve"> human rights as an essential element of the </w:t>
      </w:r>
      <w:r w:rsidR="005D28EE">
        <w:rPr>
          <w:rFonts w:ascii="Times New Roman" w:eastAsia="Calibri" w:hAnsi="Times New Roman" w:cs="Times New Roman"/>
          <w:sz w:val="24"/>
          <w:szCs w:val="24"/>
        </w:rPr>
        <w:t>new</w:t>
      </w:r>
      <w:r w:rsidRPr="0076139F">
        <w:rPr>
          <w:rFonts w:ascii="Times New Roman" w:eastAsia="Calibri" w:hAnsi="Times New Roman" w:cs="Times New Roman"/>
          <w:sz w:val="24"/>
          <w:szCs w:val="24"/>
        </w:rPr>
        <w:t xml:space="preserve"> </w:t>
      </w:r>
      <w:r w:rsidR="005D28EE">
        <w:rPr>
          <w:rFonts w:ascii="Times New Roman" w:eastAsia="Calibri" w:hAnsi="Times New Roman" w:cs="Times New Roman"/>
          <w:sz w:val="24"/>
          <w:szCs w:val="24"/>
        </w:rPr>
        <w:t>A</w:t>
      </w:r>
      <w:r w:rsidRPr="0076139F">
        <w:rPr>
          <w:rFonts w:ascii="Times New Roman" w:eastAsia="Calibri" w:hAnsi="Times New Roman" w:cs="Times New Roman"/>
          <w:sz w:val="24"/>
          <w:szCs w:val="24"/>
        </w:rPr>
        <w:t xml:space="preserve">greement </w:t>
      </w:r>
      <w:r w:rsidRPr="000670AC">
        <w:rPr>
          <w:rFonts w:ascii="Times New Roman" w:eastAsia="Calibri" w:hAnsi="Times New Roman" w:cs="Times New Roman"/>
          <w:sz w:val="24"/>
          <w:szCs w:val="24"/>
        </w:rPr>
        <w:t xml:space="preserve">is </w:t>
      </w:r>
      <w:r>
        <w:rPr>
          <w:rFonts w:ascii="Times New Roman" w:eastAsia="Calibri" w:hAnsi="Times New Roman" w:cs="Times New Roman"/>
          <w:sz w:val="24"/>
          <w:szCs w:val="24"/>
        </w:rPr>
        <w:t xml:space="preserve">a key </w:t>
      </w:r>
      <w:r w:rsidR="00B82A57">
        <w:rPr>
          <w:rFonts w:ascii="Times New Roman" w:eastAsia="Calibri" w:hAnsi="Times New Roman" w:cs="Times New Roman"/>
          <w:sz w:val="24"/>
          <w:szCs w:val="24"/>
        </w:rPr>
        <w:t>feature</w:t>
      </w:r>
      <w:r>
        <w:rPr>
          <w:rFonts w:ascii="Times New Roman" w:eastAsia="Calibri" w:hAnsi="Times New Roman" w:cs="Times New Roman"/>
          <w:sz w:val="24"/>
          <w:szCs w:val="24"/>
        </w:rPr>
        <w:t xml:space="preserve"> for </w:t>
      </w:r>
      <w:r w:rsidRPr="000670AC">
        <w:rPr>
          <w:rFonts w:ascii="Times New Roman" w:eastAsia="Calibri" w:hAnsi="Times New Roman" w:cs="Times New Roman"/>
          <w:sz w:val="24"/>
          <w:szCs w:val="24"/>
        </w:rPr>
        <w:t>ensur</w:t>
      </w:r>
      <w:r>
        <w:rPr>
          <w:rFonts w:ascii="Times New Roman" w:eastAsia="Calibri" w:hAnsi="Times New Roman" w:cs="Times New Roman"/>
          <w:sz w:val="24"/>
          <w:szCs w:val="24"/>
        </w:rPr>
        <w:t>ing</w:t>
      </w:r>
      <w:r w:rsidRPr="000670AC">
        <w:rPr>
          <w:rFonts w:ascii="Times New Roman" w:eastAsia="Calibri" w:hAnsi="Times New Roman" w:cs="Times New Roman"/>
          <w:sz w:val="24"/>
          <w:szCs w:val="24"/>
        </w:rPr>
        <w:t xml:space="preserve"> proper compliance </w:t>
      </w:r>
      <w:r>
        <w:rPr>
          <w:rFonts w:ascii="Times New Roman" w:eastAsia="Calibri" w:hAnsi="Times New Roman" w:cs="Times New Roman"/>
          <w:sz w:val="24"/>
          <w:szCs w:val="24"/>
        </w:rPr>
        <w:t>with</w:t>
      </w:r>
      <w:r w:rsidRPr="000670AC">
        <w:rPr>
          <w:rFonts w:ascii="Times New Roman" w:eastAsia="Calibri" w:hAnsi="Times New Roman" w:cs="Times New Roman"/>
          <w:sz w:val="24"/>
          <w:szCs w:val="24"/>
        </w:rPr>
        <w:t xml:space="preserve"> human rights </w:t>
      </w:r>
      <w:r>
        <w:rPr>
          <w:rFonts w:ascii="Times New Roman" w:eastAsia="Calibri" w:hAnsi="Times New Roman" w:cs="Times New Roman"/>
          <w:sz w:val="24"/>
          <w:szCs w:val="24"/>
        </w:rPr>
        <w:t>under</w:t>
      </w:r>
      <w:r w:rsidR="00A62344">
        <w:rPr>
          <w:rFonts w:ascii="Times New Roman" w:eastAsia="Calibri" w:hAnsi="Times New Roman" w:cs="Times New Roman"/>
          <w:sz w:val="24"/>
          <w:szCs w:val="24"/>
        </w:rPr>
        <w:t xml:space="preserve"> the future </w:t>
      </w:r>
      <w:r w:rsidR="008F37F0">
        <w:rPr>
          <w:rFonts w:ascii="Times New Roman" w:eastAsia="Calibri" w:hAnsi="Times New Roman" w:cs="Times New Roman"/>
          <w:sz w:val="24"/>
          <w:szCs w:val="24"/>
        </w:rPr>
        <w:t>a</w:t>
      </w:r>
      <w:r w:rsidRPr="000670AC">
        <w:rPr>
          <w:rFonts w:ascii="Times New Roman" w:eastAsia="Calibri" w:hAnsi="Times New Roman" w:cs="Times New Roman"/>
          <w:sz w:val="24"/>
          <w:szCs w:val="24"/>
        </w:rPr>
        <w:t>greement.</w:t>
      </w:r>
    </w:p>
    <w:p w:rsidR="00774EB2" w:rsidRDefault="00774EB2" w:rsidP="00B4449B">
      <w:pPr>
        <w:spacing w:after="0" w:line="240" w:lineRule="auto"/>
        <w:jc w:val="both"/>
        <w:rPr>
          <w:rFonts w:ascii="Times New Roman" w:eastAsia="Calibri" w:hAnsi="Times New Roman" w:cs="Times New Roman"/>
          <w:sz w:val="24"/>
          <w:szCs w:val="24"/>
        </w:rPr>
      </w:pPr>
    </w:p>
    <w:p w:rsidR="00B4449B" w:rsidRPr="000670AC" w:rsidRDefault="00B4449B" w:rsidP="00B4449B">
      <w:pPr>
        <w:spacing w:after="0" w:line="240" w:lineRule="auto"/>
        <w:jc w:val="both"/>
        <w:rPr>
          <w:rFonts w:ascii="Times New Roman" w:eastAsia="Calibri" w:hAnsi="Times New Roman" w:cs="Times New Roman"/>
          <w:sz w:val="24"/>
          <w:szCs w:val="24"/>
        </w:rPr>
      </w:pPr>
      <w:r w:rsidRPr="008973A3">
        <w:rPr>
          <w:rFonts w:ascii="Times New Roman" w:eastAsia="Calibri" w:hAnsi="Times New Roman" w:cs="Times New Roman"/>
          <w:sz w:val="24"/>
          <w:szCs w:val="24"/>
        </w:rPr>
        <w:t>Notwithstanding the fact that human rights will be addressed</w:t>
      </w:r>
      <w:r w:rsidR="00B70AEB">
        <w:rPr>
          <w:rFonts w:ascii="Times New Roman" w:eastAsia="Calibri" w:hAnsi="Times New Roman" w:cs="Times New Roman"/>
          <w:sz w:val="24"/>
          <w:szCs w:val="24"/>
        </w:rPr>
        <w:t xml:space="preserve"> more generally </w:t>
      </w:r>
      <w:r w:rsidRPr="008973A3">
        <w:rPr>
          <w:rFonts w:ascii="Times New Roman" w:eastAsia="Calibri" w:hAnsi="Times New Roman" w:cs="Times New Roman"/>
          <w:sz w:val="24"/>
          <w:szCs w:val="24"/>
        </w:rPr>
        <w:t xml:space="preserve">in the political </w:t>
      </w:r>
      <w:r w:rsidR="00B82A57">
        <w:rPr>
          <w:rFonts w:ascii="Times New Roman" w:eastAsia="Calibri" w:hAnsi="Times New Roman" w:cs="Times New Roman"/>
          <w:sz w:val="24"/>
          <w:szCs w:val="24"/>
        </w:rPr>
        <w:t xml:space="preserve">and cooperation </w:t>
      </w:r>
      <w:r w:rsidR="008F37F0">
        <w:rPr>
          <w:rFonts w:ascii="Times New Roman" w:eastAsia="Calibri" w:hAnsi="Times New Roman" w:cs="Times New Roman"/>
          <w:sz w:val="24"/>
          <w:szCs w:val="24"/>
        </w:rPr>
        <w:t>part of the a</w:t>
      </w:r>
      <w:r w:rsidRPr="008973A3">
        <w:rPr>
          <w:rFonts w:ascii="Times New Roman" w:eastAsia="Calibri" w:hAnsi="Times New Roman" w:cs="Times New Roman"/>
          <w:sz w:val="24"/>
          <w:szCs w:val="24"/>
        </w:rPr>
        <w:t xml:space="preserve">greement, </w:t>
      </w:r>
      <w:r w:rsidR="00772FBD" w:rsidRPr="00E851A2">
        <w:rPr>
          <w:rFonts w:ascii="Times New Roman" w:eastAsia="Calibri" w:hAnsi="Times New Roman" w:cs="Times New Roman"/>
          <w:b/>
          <w:sz w:val="24"/>
          <w:szCs w:val="24"/>
        </w:rPr>
        <w:t xml:space="preserve">the Trade and Sustainable Development chapter of the </w:t>
      </w:r>
      <w:r w:rsidR="004A7B8F">
        <w:rPr>
          <w:rFonts w:ascii="Times New Roman" w:eastAsia="Calibri" w:hAnsi="Times New Roman" w:cs="Times New Roman"/>
          <w:b/>
          <w:sz w:val="24"/>
          <w:szCs w:val="24"/>
        </w:rPr>
        <w:t xml:space="preserve">trade pillar of the </w:t>
      </w:r>
      <w:r w:rsidR="00772FBD" w:rsidRPr="00E851A2">
        <w:rPr>
          <w:rFonts w:ascii="Times New Roman" w:eastAsia="Calibri" w:hAnsi="Times New Roman" w:cs="Times New Roman"/>
          <w:b/>
          <w:sz w:val="24"/>
          <w:szCs w:val="24"/>
        </w:rPr>
        <w:t xml:space="preserve">modernised </w:t>
      </w:r>
      <w:r w:rsidR="004A7B8F">
        <w:rPr>
          <w:rFonts w:ascii="Times New Roman" w:eastAsia="Calibri" w:hAnsi="Times New Roman" w:cs="Times New Roman"/>
          <w:b/>
          <w:sz w:val="24"/>
          <w:szCs w:val="24"/>
        </w:rPr>
        <w:t>A</w:t>
      </w:r>
      <w:r w:rsidR="00772FBD" w:rsidRPr="00E851A2">
        <w:rPr>
          <w:rFonts w:ascii="Times New Roman" w:eastAsia="Calibri" w:hAnsi="Times New Roman" w:cs="Times New Roman"/>
          <w:b/>
          <w:sz w:val="24"/>
          <w:szCs w:val="24"/>
        </w:rPr>
        <w:t xml:space="preserve">greement would include </w:t>
      </w:r>
      <w:r w:rsidRPr="00E851A2">
        <w:rPr>
          <w:rFonts w:ascii="Times New Roman" w:eastAsia="Calibri" w:hAnsi="Times New Roman" w:cs="Times New Roman"/>
          <w:b/>
          <w:sz w:val="24"/>
          <w:szCs w:val="24"/>
        </w:rPr>
        <w:t>core labour rights</w:t>
      </w:r>
      <w:r w:rsidR="00772FBD">
        <w:rPr>
          <w:rFonts w:ascii="Times New Roman" w:eastAsia="Calibri" w:hAnsi="Times New Roman" w:cs="Times New Roman"/>
          <w:b/>
          <w:sz w:val="24"/>
          <w:szCs w:val="24"/>
        </w:rPr>
        <w:t xml:space="preserve"> </w:t>
      </w:r>
      <w:r w:rsidR="00772FBD" w:rsidRPr="00E851A2">
        <w:rPr>
          <w:rFonts w:ascii="Times New Roman" w:eastAsia="Calibri" w:hAnsi="Times New Roman" w:cs="Times New Roman"/>
          <w:sz w:val="24"/>
          <w:szCs w:val="24"/>
        </w:rPr>
        <w:t xml:space="preserve">(see </w:t>
      </w:r>
      <w:r w:rsidR="00B70AEB" w:rsidRPr="00E851A2">
        <w:rPr>
          <w:rFonts w:ascii="Times New Roman" w:eastAsia="Calibri" w:hAnsi="Times New Roman" w:cs="Times New Roman"/>
          <w:sz w:val="24"/>
          <w:szCs w:val="24"/>
        </w:rPr>
        <w:t>section 5.8.3)</w:t>
      </w:r>
      <w:r w:rsidR="00772FBD" w:rsidRPr="00B70AEB">
        <w:rPr>
          <w:rFonts w:ascii="Times New Roman" w:eastAsia="Calibri" w:hAnsi="Times New Roman" w:cs="Times New Roman"/>
          <w:sz w:val="24"/>
          <w:szCs w:val="24"/>
        </w:rPr>
        <w:t xml:space="preserve">, </w:t>
      </w:r>
      <w:r w:rsidR="00B70AEB">
        <w:rPr>
          <w:rFonts w:ascii="Times New Roman" w:eastAsia="Calibri" w:hAnsi="Times New Roman" w:cs="Times New Roman"/>
          <w:sz w:val="24"/>
          <w:szCs w:val="24"/>
        </w:rPr>
        <w:t xml:space="preserve">as this is </w:t>
      </w:r>
      <w:r>
        <w:rPr>
          <w:rFonts w:ascii="Times New Roman" w:eastAsia="Calibri" w:hAnsi="Times New Roman" w:cs="Times New Roman"/>
          <w:sz w:val="24"/>
          <w:szCs w:val="24"/>
        </w:rPr>
        <w:t xml:space="preserve">a subset of human rights </w:t>
      </w:r>
      <w:r w:rsidRPr="000670AC">
        <w:rPr>
          <w:rFonts w:ascii="Times New Roman" w:eastAsia="Calibri" w:hAnsi="Times New Roman" w:cs="Times New Roman"/>
          <w:sz w:val="24"/>
          <w:szCs w:val="24"/>
        </w:rPr>
        <w:t>that may be affected by a moderni</w:t>
      </w:r>
      <w:r>
        <w:rPr>
          <w:rFonts w:ascii="Times New Roman" w:eastAsia="Calibri" w:hAnsi="Times New Roman" w:cs="Times New Roman"/>
          <w:sz w:val="24"/>
          <w:szCs w:val="24"/>
        </w:rPr>
        <w:t>s</w:t>
      </w:r>
      <w:r w:rsidRPr="000670AC">
        <w:rPr>
          <w:rFonts w:ascii="Times New Roman" w:eastAsia="Calibri" w:hAnsi="Times New Roman" w:cs="Times New Roman"/>
          <w:sz w:val="24"/>
          <w:szCs w:val="24"/>
        </w:rPr>
        <w:t>ed trade and investment framework.</w:t>
      </w:r>
    </w:p>
    <w:p w:rsidR="00B4449B" w:rsidRPr="000670AC" w:rsidRDefault="00B4449B" w:rsidP="00B4449B">
      <w:pPr>
        <w:spacing w:after="0" w:line="240" w:lineRule="auto"/>
        <w:jc w:val="both"/>
        <w:rPr>
          <w:rFonts w:ascii="Times New Roman" w:eastAsia="Calibri" w:hAnsi="Times New Roman" w:cs="Times New Roman"/>
          <w:sz w:val="24"/>
          <w:szCs w:val="24"/>
        </w:rPr>
      </w:pPr>
    </w:p>
    <w:p w:rsidR="00774EB2" w:rsidRDefault="00B4449B" w:rsidP="00B4449B">
      <w:pPr>
        <w:spacing w:after="0" w:line="240" w:lineRule="auto"/>
        <w:jc w:val="both"/>
        <w:rPr>
          <w:rFonts w:ascii="Times New Roman" w:eastAsia="Calibri" w:hAnsi="Times New Roman" w:cs="Times New Roman"/>
          <w:sz w:val="24"/>
          <w:szCs w:val="24"/>
        </w:rPr>
      </w:pPr>
      <w:r w:rsidRPr="000670AC">
        <w:rPr>
          <w:rFonts w:ascii="Times New Roman" w:eastAsia="Calibri" w:hAnsi="Times New Roman" w:cs="Times New Roman"/>
          <w:sz w:val="24"/>
          <w:szCs w:val="24"/>
        </w:rPr>
        <w:t xml:space="preserve">As highlighted in the </w:t>
      </w:r>
      <w:r w:rsidRPr="008F37F0">
        <w:rPr>
          <w:rFonts w:ascii="Times New Roman" w:eastAsia="Calibri" w:hAnsi="Times New Roman" w:cs="Times New Roman"/>
          <w:i/>
          <w:sz w:val="24"/>
          <w:szCs w:val="24"/>
        </w:rPr>
        <w:t>Guidelines on the analysis of human rights impacts in impact assessments for trade-related policy initiatives</w:t>
      </w:r>
      <w:r w:rsidRPr="000670AC">
        <w:rPr>
          <w:rFonts w:ascii="Times New Roman" w:eastAsia="Calibri" w:hAnsi="Times New Roman" w:cs="Times New Roman"/>
          <w:sz w:val="24"/>
          <w:szCs w:val="24"/>
        </w:rPr>
        <w:t xml:space="preserve">, </w:t>
      </w:r>
      <w:r w:rsidRPr="00D20602">
        <w:rPr>
          <w:rFonts w:ascii="Times New Roman" w:eastAsia="Calibri" w:hAnsi="Times New Roman" w:cs="Times New Roman"/>
          <w:sz w:val="24"/>
          <w:szCs w:val="24"/>
        </w:rPr>
        <w:t xml:space="preserve">impact </w:t>
      </w:r>
      <w:r w:rsidRPr="004E2360">
        <w:rPr>
          <w:rFonts w:ascii="Times New Roman" w:eastAsia="Calibri" w:hAnsi="Times New Roman" w:cs="Times New Roman"/>
          <w:sz w:val="24"/>
          <w:szCs w:val="24"/>
        </w:rPr>
        <w:t>assessment</w:t>
      </w:r>
      <w:r w:rsidR="00A62344">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0670AC">
        <w:rPr>
          <w:rFonts w:ascii="Times New Roman" w:eastAsia="Calibri" w:hAnsi="Times New Roman" w:cs="Times New Roman"/>
          <w:sz w:val="24"/>
          <w:szCs w:val="24"/>
        </w:rPr>
        <w:t>should focus on the potential impacts of the different trade policy options under consideration</w:t>
      </w:r>
      <w:r w:rsidRPr="00D20602">
        <w:rPr>
          <w:rFonts w:ascii="Times New Roman" w:eastAsia="Calibri" w:hAnsi="Times New Roman" w:cs="Times New Roman"/>
          <w:sz w:val="24"/>
          <w:szCs w:val="24"/>
        </w:rPr>
        <w:t xml:space="preserve">. </w:t>
      </w:r>
      <w:r w:rsidR="00774EB2">
        <w:rPr>
          <w:rFonts w:ascii="Times New Roman" w:eastAsia="Calibri" w:hAnsi="Times New Roman" w:cs="Times New Roman"/>
          <w:sz w:val="24"/>
          <w:szCs w:val="24"/>
        </w:rPr>
        <w:t>The external study (Ecorys/CASE, 2017) has identified the s</w:t>
      </w:r>
      <w:r w:rsidRPr="00D20602">
        <w:rPr>
          <w:rFonts w:ascii="Times New Roman" w:eastAsia="Calibri" w:hAnsi="Times New Roman" w:cs="Times New Roman"/>
          <w:sz w:val="24"/>
          <w:szCs w:val="24"/>
        </w:rPr>
        <w:t>pecific human rights likely to be affected by modernisation of the FTA</w:t>
      </w:r>
      <w:r w:rsidR="00774EB2">
        <w:rPr>
          <w:rFonts w:ascii="Times New Roman" w:eastAsia="Calibri" w:hAnsi="Times New Roman" w:cs="Times New Roman"/>
          <w:sz w:val="24"/>
          <w:szCs w:val="24"/>
        </w:rPr>
        <w:t xml:space="preserve"> </w:t>
      </w:r>
      <w:r w:rsidRPr="00D20602">
        <w:rPr>
          <w:rFonts w:ascii="Times New Roman" w:eastAsia="Calibri" w:hAnsi="Times New Roman" w:cs="Times New Roman"/>
          <w:sz w:val="24"/>
          <w:szCs w:val="24"/>
        </w:rPr>
        <w:t xml:space="preserve">and </w:t>
      </w:r>
      <w:r w:rsidR="00774EB2">
        <w:rPr>
          <w:rFonts w:ascii="Times New Roman" w:eastAsia="Calibri" w:hAnsi="Times New Roman" w:cs="Times New Roman"/>
          <w:sz w:val="24"/>
          <w:szCs w:val="24"/>
        </w:rPr>
        <w:t xml:space="preserve">has analysed </w:t>
      </w:r>
      <w:r w:rsidRPr="00D20602">
        <w:rPr>
          <w:rFonts w:ascii="Times New Roman" w:eastAsia="Calibri" w:hAnsi="Times New Roman" w:cs="Times New Roman"/>
          <w:sz w:val="24"/>
          <w:szCs w:val="24"/>
        </w:rPr>
        <w:t>the potential impact upon them of the particular trade measures under consideration</w:t>
      </w:r>
      <w:r w:rsidR="00774EB2">
        <w:rPr>
          <w:rFonts w:ascii="Times New Roman" w:eastAsia="Calibri" w:hAnsi="Times New Roman" w:cs="Times New Roman"/>
          <w:sz w:val="24"/>
          <w:szCs w:val="24"/>
        </w:rPr>
        <w:t>. The main findings are presented below.</w:t>
      </w:r>
    </w:p>
    <w:p w:rsidR="00774EB2" w:rsidRDefault="00774EB2" w:rsidP="00B4449B">
      <w:pPr>
        <w:spacing w:after="0" w:line="240" w:lineRule="auto"/>
        <w:jc w:val="both"/>
        <w:rPr>
          <w:rFonts w:ascii="Times New Roman" w:eastAsia="Calibri" w:hAnsi="Times New Roman" w:cs="Times New Roman"/>
          <w:sz w:val="24"/>
          <w:szCs w:val="24"/>
        </w:rPr>
      </w:pPr>
    </w:p>
    <w:p w:rsidR="00B4449B" w:rsidRPr="000670AC" w:rsidRDefault="00B4449B" w:rsidP="00B4449B">
      <w:pPr>
        <w:spacing w:after="0" w:line="240" w:lineRule="auto"/>
        <w:jc w:val="both"/>
        <w:rPr>
          <w:rFonts w:ascii="Times New Roman" w:eastAsia="Calibri" w:hAnsi="Times New Roman" w:cs="Times New Roman"/>
          <w:sz w:val="24"/>
          <w:szCs w:val="24"/>
        </w:rPr>
      </w:pPr>
      <w:r w:rsidRPr="00D20602">
        <w:rPr>
          <w:rFonts w:ascii="Times New Roman" w:eastAsia="Calibri" w:hAnsi="Times New Roman" w:cs="Times New Roman"/>
          <w:sz w:val="24"/>
          <w:szCs w:val="24"/>
        </w:rPr>
        <w:t>In addition, the forthcoming sustainability impact assessment (SIA) will provide a more detailed analysis and assessment</w:t>
      </w:r>
      <w:r w:rsidRPr="000670AC">
        <w:rPr>
          <w:rFonts w:ascii="Times New Roman" w:eastAsia="Calibri" w:hAnsi="Times New Roman" w:cs="Times New Roman"/>
          <w:sz w:val="24"/>
          <w:szCs w:val="24"/>
        </w:rPr>
        <w:t xml:space="preserve">, taking into account </w:t>
      </w:r>
      <w:r w:rsidR="003A22B9">
        <w:rPr>
          <w:rFonts w:ascii="Times New Roman" w:eastAsia="Calibri" w:hAnsi="Times New Roman" w:cs="Times New Roman"/>
          <w:sz w:val="24"/>
          <w:szCs w:val="24"/>
        </w:rPr>
        <w:t>a</w:t>
      </w:r>
      <w:r w:rsidRPr="000670AC">
        <w:rPr>
          <w:rFonts w:ascii="Times New Roman" w:eastAsia="Calibri" w:hAnsi="Times New Roman" w:cs="Times New Roman"/>
          <w:sz w:val="24"/>
          <w:szCs w:val="24"/>
        </w:rPr>
        <w:t xml:space="preserve"> more extensive consultation of stakeholders in this context and possible recommendations as to maximisin</w:t>
      </w:r>
      <w:r w:rsidR="00A62344">
        <w:rPr>
          <w:rFonts w:ascii="Times New Roman" w:eastAsia="Calibri" w:hAnsi="Times New Roman" w:cs="Times New Roman"/>
          <w:sz w:val="24"/>
          <w:szCs w:val="24"/>
        </w:rPr>
        <w:t>g the benefits of the proposed A</w:t>
      </w:r>
      <w:r w:rsidRPr="000670AC">
        <w:rPr>
          <w:rFonts w:ascii="Times New Roman" w:eastAsia="Calibri" w:hAnsi="Times New Roman" w:cs="Times New Roman"/>
          <w:sz w:val="24"/>
          <w:szCs w:val="24"/>
        </w:rPr>
        <w:t>greement and minimi</w:t>
      </w:r>
      <w:r w:rsidR="00EE6859">
        <w:rPr>
          <w:rFonts w:ascii="Times New Roman" w:eastAsia="Calibri" w:hAnsi="Times New Roman" w:cs="Times New Roman"/>
          <w:sz w:val="24"/>
          <w:szCs w:val="24"/>
        </w:rPr>
        <w:t>s</w:t>
      </w:r>
      <w:r w:rsidRPr="000670AC">
        <w:rPr>
          <w:rFonts w:ascii="Times New Roman" w:eastAsia="Calibri" w:hAnsi="Times New Roman" w:cs="Times New Roman"/>
          <w:sz w:val="24"/>
          <w:szCs w:val="24"/>
        </w:rPr>
        <w:t xml:space="preserve">ing potential negative effects. </w:t>
      </w:r>
    </w:p>
    <w:p w:rsidR="00E16507" w:rsidRDefault="0089111E" w:rsidP="00E16507">
      <w:pPr>
        <w:jc w:val="both"/>
      </w:pPr>
      <w:r>
        <w:t xml:space="preserve">  </w:t>
      </w:r>
      <w:r w:rsidR="007339BE">
        <w:t xml:space="preserve">            </w:t>
      </w:r>
      <w:r>
        <w:t xml:space="preserve">                                                                                                                                                                                                    </w:t>
      </w:r>
    </w:p>
    <w:p w:rsidR="00E16507" w:rsidRPr="00345DF3" w:rsidRDefault="00E16507" w:rsidP="00E16507">
      <w:pPr>
        <w:autoSpaceDE w:val="0"/>
        <w:autoSpaceDN w:val="0"/>
        <w:adjustRightInd w:val="0"/>
        <w:spacing w:after="120" w:line="240" w:lineRule="auto"/>
        <w:jc w:val="both"/>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O</w:t>
      </w:r>
      <w:r w:rsidRPr="00345DF3">
        <w:rPr>
          <w:rFonts w:ascii="Times New Roman" w:hAnsi="Times New Roman" w:cs="Times New Roman"/>
          <w:i/>
          <w:color w:val="000000"/>
          <w:sz w:val="24"/>
          <w:szCs w:val="24"/>
          <w:u w:val="single"/>
        </w:rPr>
        <w:t xml:space="preserve">verview of </w:t>
      </w:r>
      <w:r>
        <w:rPr>
          <w:rFonts w:ascii="Times New Roman" w:hAnsi="Times New Roman" w:cs="Times New Roman"/>
          <w:i/>
          <w:color w:val="000000"/>
          <w:sz w:val="24"/>
          <w:szCs w:val="24"/>
          <w:u w:val="single"/>
        </w:rPr>
        <w:t>human rights</w:t>
      </w:r>
      <w:r w:rsidRPr="00345DF3">
        <w:rPr>
          <w:rFonts w:ascii="Times New Roman" w:hAnsi="Times New Roman" w:cs="Times New Roman"/>
          <w:i/>
          <w:color w:val="000000"/>
          <w:sz w:val="24"/>
          <w:szCs w:val="24"/>
          <w:u w:val="single"/>
        </w:rPr>
        <w:t xml:space="preserve"> situation in Chile</w:t>
      </w:r>
    </w:p>
    <w:p w:rsidR="00E16507" w:rsidRPr="001F7433" w:rsidRDefault="00E16507" w:rsidP="00E16507">
      <w:pPr>
        <w:spacing w:after="0" w:line="240" w:lineRule="auto"/>
        <w:jc w:val="both"/>
        <w:rPr>
          <w:rFonts w:ascii="Times New Roman" w:eastAsia="Calibri" w:hAnsi="Times New Roman" w:cs="Times New Roman"/>
          <w:sz w:val="10"/>
          <w:szCs w:val="10"/>
        </w:rPr>
      </w:pPr>
    </w:p>
    <w:p w:rsidR="00E16507" w:rsidRPr="0089111E" w:rsidRDefault="00E16507" w:rsidP="00E16507">
      <w:pPr>
        <w:spacing w:after="0" w:line="240" w:lineRule="auto"/>
        <w:jc w:val="both"/>
        <w:rPr>
          <w:rFonts w:ascii="Times New Roman" w:eastAsia="Calibri" w:hAnsi="Times New Roman" w:cs="Times New Roman"/>
          <w:sz w:val="24"/>
          <w:szCs w:val="24"/>
        </w:rPr>
      </w:pPr>
      <w:r w:rsidRPr="0089111E">
        <w:rPr>
          <w:rFonts w:ascii="Times New Roman" w:eastAsia="Calibri" w:hAnsi="Times New Roman" w:cs="Times New Roman"/>
          <w:sz w:val="24"/>
          <w:szCs w:val="24"/>
        </w:rPr>
        <w:t xml:space="preserve">Chile has signed and ratified sixteen of eighteen international human rights treaties of the United Nations (UN). Chile participated in the Universal Periodic Review by the Human Rights Council of the UN in 2009, during which a report assessing the human rights challenges Chile was facing at that time was filed. A second Universal Periodic Review in 2014 further detailed the administrative reforms and changes that were implemented </w:t>
      </w:r>
      <w:r>
        <w:rPr>
          <w:rFonts w:ascii="Times New Roman" w:eastAsia="Calibri" w:hAnsi="Times New Roman" w:cs="Times New Roman"/>
          <w:sz w:val="24"/>
          <w:szCs w:val="24"/>
        </w:rPr>
        <w:t>by</w:t>
      </w:r>
      <w:r w:rsidRPr="0089111E">
        <w:rPr>
          <w:rFonts w:ascii="Times New Roman" w:eastAsia="Calibri" w:hAnsi="Times New Roman" w:cs="Times New Roman"/>
          <w:sz w:val="24"/>
          <w:szCs w:val="24"/>
        </w:rPr>
        <w:t xml:space="preserve"> Chile in response. A number o</w:t>
      </w:r>
      <w:r>
        <w:rPr>
          <w:rFonts w:ascii="Times New Roman" w:eastAsia="Calibri" w:hAnsi="Times New Roman" w:cs="Times New Roman"/>
          <w:sz w:val="24"/>
          <w:szCs w:val="24"/>
        </w:rPr>
        <w:t>f</w:t>
      </w:r>
      <w:r w:rsidRPr="0089111E">
        <w:rPr>
          <w:rFonts w:ascii="Times New Roman" w:eastAsia="Calibri" w:hAnsi="Times New Roman" w:cs="Times New Roman"/>
          <w:sz w:val="24"/>
          <w:szCs w:val="24"/>
        </w:rPr>
        <w:t xml:space="preserve"> human rights issues were mentioned: past use of torture, extrajudicial killing</w:t>
      </w:r>
      <w:r>
        <w:rPr>
          <w:rFonts w:ascii="Times New Roman" w:eastAsia="Calibri" w:hAnsi="Times New Roman" w:cs="Times New Roman"/>
          <w:sz w:val="24"/>
          <w:szCs w:val="24"/>
        </w:rPr>
        <w:t>s</w:t>
      </w:r>
      <w:r w:rsidRPr="0089111E">
        <w:rPr>
          <w:rFonts w:ascii="Times New Roman" w:eastAsia="Calibri" w:hAnsi="Times New Roman" w:cs="Times New Roman"/>
          <w:sz w:val="24"/>
          <w:szCs w:val="24"/>
        </w:rPr>
        <w:t xml:space="preserve"> and enforced disappearances; police conduct, and repression of the right to assembly; discrimination against women; the recognition of rights of indigenous populations; and discrimination against sexual minorities. </w:t>
      </w:r>
    </w:p>
    <w:p w:rsidR="00E16507" w:rsidRDefault="00E16507" w:rsidP="00E16507">
      <w:pPr>
        <w:spacing w:after="0" w:line="240" w:lineRule="auto"/>
        <w:jc w:val="both"/>
        <w:rPr>
          <w:rFonts w:ascii="Times New Roman" w:eastAsia="Calibri" w:hAnsi="Times New Roman" w:cs="Times New Roman"/>
          <w:sz w:val="24"/>
          <w:szCs w:val="24"/>
        </w:rPr>
      </w:pPr>
    </w:p>
    <w:p w:rsidR="00E16507" w:rsidRDefault="00E16507" w:rsidP="00E16507">
      <w:pPr>
        <w:spacing w:after="0" w:line="240" w:lineRule="auto"/>
        <w:jc w:val="both"/>
        <w:rPr>
          <w:rFonts w:ascii="Times New Roman" w:eastAsia="Calibri" w:hAnsi="Times New Roman" w:cs="Times New Roman"/>
          <w:sz w:val="24"/>
          <w:szCs w:val="24"/>
        </w:rPr>
      </w:pPr>
      <w:r w:rsidRPr="0089111E">
        <w:rPr>
          <w:rFonts w:ascii="Times New Roman" w:eastAsia="Calibri" w:hAnsi="Times New Roman" w:cs="Times New Roman"/>
          <w:sz w:val="24"/>
          <w:szCs w:val="24"/>
        </w:rPr>
        <w:t xml:space="preserve">Both Universal </w:t>
      </w:r>
      <w:r w:rsidR="00C23329">
        <w:rPr>
          <w:rFonts w:ascii="Times New Roman" w:eastAsia="Calibri" w:hAnsi="Times New Roman" w:cs="Times New Roman"/>
          <w:sz w:val="24"/>
          <w:szCs w:val="24"/>
        </w:rPr>
        <w:t xml:space="preserve">Periodic </w:t>
      </w:r>
      <w:r w:rsidRPr="0089111E">
        <w:rPr>
          <w:rFonts w:ascii="Times New Roman" w:eastAsia="Calibri" w:hAnsi="Times New Roman" w:cs="Times New Roman"/>
          <w:sz w:val="24"/>
          <w:szCs w:val="24"/>
        </w:rPr>
        <w:t xml:space="preserve">Reviews praised Chile for the work the government continues to do on addressing the human rights violations of past governments, while at the same time they recognized areas where the use of force by police should be addressed. </w:t>
      </w:r>
    </w:p>
    <w:p w:rsidR="00E16507" w:rsidRPr="0089111E" w:rsidRDefault="00E16507" w:rsidP="00E16507">
      <w:pPr>
        <w:spacing w:after="0" w:line="240" w:lineRule="auto"/>
        <w:jc w:val="both"/>
        <w:rPr>
          <w:rFonts w:ascii="Times New Roman" w:eastAsia="Calibri" w:hAnsi="Times New Roman" w:cs="Times New Roman"/>
          <w:sz w:val="24"/>
          <w:szCs w:val="24"/>
        </w:rPr>
      </w:pPr>
    </w:p>
    <w:p w:rsidR="00E16507" w:rsidRPr="0089111E" w:rsidRDefault="00E16507" w:rsidP="00E16507">
      <w:pPr>
        <w:spacing w:after="0" w:line="240" w:lineRule="auto"/>
        <w:jc w:val="both"/>
        <w:rPr>
          <w:rFonts w:ascii="Times New Roman" w:eastAsia="Calibri" w:hAnsi="Times New Roman" w:cs="Times New Roman"/>
          <w:sz w:val="24"/>
          <w:szCs w:val="24"/>
        </w:rPr>
      </w:pPr>
      <w:r w:rsidRPr="0089111E">
        <w:rPr>
          <w:rFonts w:ascii="Times New Roman" w:eastAsia="Calibri" w:hAnsi="Times New Roman" w:cs="Times New Roman"/>
          <w:sz w:val="24"/>
          <w:szCs w:val="24"/>
        </w:rPr>
        <w:t xml:space="preserve">The rights of women, sexual minorities and indigenous peoples are still not fully secure, often due to stigma, institutionalized discrimination, and legislative bottlenecks to resolve them, although Chile was praised for its 2012 Anti-Discrimination law. </w:t>
      </w:r>
    </w:p>
    <w:p w:rsidR="001E27A1" w:rsidRDefault="001E27A1" w:rsidP="00E16507">
      <w:pPr>
        <w:jc w:val="both"/>
        <w:rPr>
          <w:rFonts w:ascii="Times New Roman" w:eastAsia="Calibri" w:hAnsi="Times New Roman" w:cs="Times New Roman"/>
          <w:i/>
          <w:sz w:val="24"/>
          <w:szCs w:val="24"/>
          <w:u w:val="single"/>
        </w:rPr>
      </w:pPr>
    </w:p>
    <w:p w:rsidR="00F9065E" w:rsidRPr="00E16507" w:rsidRDefault="00F9065E" w:rsidP="00E16507">
      <w:pPr>
        <w:jc w:val="both"/>
      </w:pPr>
      <w:r w:rsidRPr="004D1037">
        <w:rPr>
          <w:rFonts w:ascii="Times New Roman" w:eastAsia="Calibri" w:hAnsi="Times New Roman" w:cs="Times New Roman"/>
          <w:i/>
          <w:sz w:val="24"/>
          <w:szCs w:val="24"/>
          <w:u w:val="single"/>
        </w:rPr>
        <w:t>Impact of the modernisation on human rights</w:t>
      </w:r>
    </w:p>
    <w:p w:rsidR="00F9065E" w:rsidRPr="0089111E" w:rsidRDefault="00F9065E" w:rsidP="00F9065E">
      <w:pPr>
        <w:spacing w:after="0" w:line="240" w:lineRule="auto"/>
        <w:jc w:val="both"/>
        <w:rPr>
          <w:rFonts w:ascii="Times New Roman" w:eastAsia="Calibri" w:hAnsi="Times New Roman" w:cs="Times New Roman"/>
          <w:sz w:val="24"/>
          <w:szCs w:val="24"/>
        </w:rPr>
      </w:pPr>
      <w:r w:rsidRPr="0089111E">
        <w:rPr>
          <w:rFonts w:ascii="Times New Roman" w:eastAsia="Calibri" w:hAnsi="Times New Roman" w:cs="Times New Roman"/>
          <w:sz w:val="24"/>
          <w:szCs w:val="24"/>
        </w:rPr>
        <w:t xml:space="preserve">Among the current human rights issues in Chile - use of force by police, gender discrimination, the rights and recognition of indigenous peoples, and the rights of sexual minorities - all but two are essentially questions of domestic legislation. Both gender discrimination and the rights and recognition of indigenous peoples are two areas where the intensification of trade and investment with the EU through a modernised Association Agreement could </w:t>
      </w:r>
      <w:r w:rsidR="005C431B">
        <w:rPr>
          <w:rFonts w:ascii="Times New Roman" w:eastAsia="Calibri" w:hAnsi="Times New Roman" w:cs="Times New Roman"/>
          <w:sz w:val="24"/>
          <w:szCs w:val="24"/>
        </w:rPr>
        <w:t xml:space="preserve">influence </w:t>
      </w:r>
      <w:r w:rsidRPr="0089111E">
        <w:rPr>
          <w:rFonts w:ascii="Times New Roman" w:eastAsia="Calibri" w:hAnsi="Times New Roman" w:cs="Times New Roman"/>
          <w:sz w:val="24"/>
          <w:szCs w:val="24"/>
        </w:rPr>
        <w:t xml:space="preserve">the human rights panorama, at least at the margins. </w:t>
      </w:r>
    </w:p>
    <w:p w:rsidR="00F9065E" w:rsidRDefault="00F9065E" w:rsidP="00F9065E">
      <w:pPr>
        <w:spacing w:after="0" w:line="240" w:lineRule="auto"/>
        <w:jc w:val="both"/>
        <w:rPr>
          <w:rFonts w:ascii="Times New Roman" w:eastAsia="Calibri" w:hAnsi="Times New Roman" w:cs="Times New Roman"/>
          <w:sz w:val="24"/>
          <w:szCs w:val="24"/>
        </w:rPr>
      </w:pPr>
    </w:p>
    <w:p w:rsidR="00F9065E" w:rsidRPr="0089111E" w:rsidRDefault="00F9065E" w:rsidP="00F9065E">
      <w:pPr>
        <w:spacing w:after="0" w:line="240" w:lineRule="auto"/>
        <w:jc w:val="both"/>
        <w:rPr>
          <w:rFonts w:ascii="Times New Roman" w:eastAsia="Calibri" w:hAnsi="Times New Roman" w:cs="Times New Roman"/>
          <w:sz w:val="24"/>
          <w:szCs w:val="24"/>
        </w:rPr>
      </w:pPr>
      <w:r w:rsidRPr="0089111E">
        <w:rPr>
          <w:rFonts w:ascii="Times New Roman" w:eastAsia="Calibri" w:hAnsi="Times New Roman" w:cs="Times New Roman"/>
          <w:sz w:val="24"/>
          <w:szCs w:val="24"/>
        </w:rPr>
        <w:t xml:space="preserve">Specifically in relation to </w:t>
      </w:r>
      <w:r w:rsidRPr="0012411E">
        <w:rPr>
          <w:rFonts w:ascii="Times New Roman" w:eastAsia="Calibri" w:hAnsi="Times New Roman" w:cs="Times New Roman"/>
          <w:b/>
          <w:sz w:val="24"/>
          <w:szCs w:val="24"/>
        </w:rPr>
        <w:t>gender discrimination</w:t>
      </w:r>
      <w:r w:rsidRPr="0089111E">
        <w:rPr>
          <w:rFonts w:ascii="Times New Roman" w:eastAsia="Calibri" w:hAnsi="Times New Roman" w:cs="Times New Roman"/>
          <w:sz w:val="24"/>
          <w:szCs w:val="24"/>
        </w:rPr>
        <w:t>, the issue at hand is twofold: the equal participation of women in the work force, and significant gap in equality of opportunity between men and women for permanent employment. Women’s seasonal and temporary employment is largely centred in the fruit export sub-sector, a major so</w:t>
      </w:r>
      <w:r w:rsidR="007A3DCE">
        <w:rPr>
          <w:rFonts w:ascii="Times New Roman" w:eastAsia="Calibri" w:hAnsi="Times New Roman" w:cs="Times New Roman"/>
          <w:sz w:val="24"/>
          <w:szCs w:val="24"/>
        </w:rPr>
        <w:t xml:space="preserve">urce of EU imports from Chile. </w:t>
      </w:r>
      <w:r w:rsidRPr="0089111E">
        <w:rPr>
          <w:rFonts w:ascii="Times New Roman" w:eastAsia="Calibri" w:hAnsi="Times New Roman" w:cs="Times New Roman"/>
          <w:sz w:val="24"/>
          <w:szCs w:val="24"/>
        </w:rPr>
        <w:t xml:space="preserve">Intensification of trade </w:t>
      </w:r>
      <w:r w:rsidR="005C431B">
        <w:rPr>
          <w:rFonts w:ascii="Times New Roman" w:eastAsia="Calibri" w:hAnsi="Times New Roman" w:cs="Times New Roman"/>
          <w:sz w:val="24"/>
          <w:szCs w:val="24"/>
        </w:rPr>
        <w:t xml:space="preserve">in this sector could increase employment for women, but as such work is largely unskilled or temporary it would </w:t>
      </w:r>
      <w:r w:rsidR="007A3DCE">
        <w:rPr>
          <w:rFonts w:ascii="Times New Roman" w:eastAsia="Calibri" w:hAnsi="Times New Roman" w:cs="Times New Roman"/>
          <w:sz w:val="24"/>
          <w:szCs w:val="24"/>
        </w:rPr>
        <w:t>not impact</w:t>
      </w:r>
      <w:r w:rsidR="005C431B">
        <w:rPr>
          <w:rFonts w:ascii="Times New Roman" w:eastAsia="Calibri" w:hAnsi="Times New Roman" w:cs="Times New Roman"/>
          <w:sz w:val="24"/>
          <w:szCs w:val="24"/>
        </w:rPr>
        <w:t xml:space="preserve"> the gender gap in pay</w:t>
      </w:r>
      <w:r w:rsidR="0089580E">
        <w:rPr>
          <w:rFonts w:ascii="Times New Roman" w:eastAsia="Calibri" w:hAnsi="Times New Roman" w:cs="Times New Roman"/>
          <w:sz w:val="24"/>
          <w:szCs w:val="24"/>
        </w:rPr>
        <w:t xml:space="preserve">, nor would it address the imbalance in opportunities for permanent </w:t>
      </w:r>
      <w:r w:rsidR="005C431B">
        <w:rPr>
          <w:rFonts w:ascii="Times New Roman" w:eastAsia="Calibri" w:hAnsi="Times New Roman" w:cs="Times New Roman"/>
          <w:sz w:val="24"/>
          <w:szCs w:val="24"/>
        </w:rPr>
        <w:t xml:space="preserve">employment </w:t>
      </w:r>
      <w:r w:rsidR="0089580E">
        <w:rPr>
          <w:rFonts w:ascii="Times New Roman" w:eastAsia="Calibri" w:hAnsi="Times New Roman" w:cs="Times New Roman"/>
          <w:sz w:val="24"/>
          <w:szCs w:val="24"/>
        </w:rPr>
        <w:t>for women</w:t>
      </w:r>
      <w:r w:rsidR="005C431B">
        <w:rPr>
          <w:rFonts w:ascii="Times New Roman" w:eastAsia="Calibri" w:hAnsi="Times New Roman" w:cs="Times New Roman"/>
          <w:sz w:val="24"/>
          <w:szCs w:val="24"/>
        </w:rPr>
        <w:t xml:space="preserve">. </w:t>
      </w:r>
      <w:r w:rsidRPr="0089111E">
        <w:rPr>
          <w:rFonts w:ascii="Times New Roman" w:eastAsia="Calibri" w:hAnsi="Times New Roman" w:cs="Times New Roman"/>
          <w:sz w:val="24"/>
          <w:szCs w:val="24"/>
        </w:rPr>
        <w:t xml:space="preserve"> </w:t>
      </w:r>
    </w:p>
    <w:p w:rsidR="00F9065E" w:rsidRDefault="00F9065E" w:rsidP="00F9065E">
      <w:pPr>
        <w:spacing w:after="0" w:line="240" w:lineRule="auto"/>
        <w:jc w:val="both"/>
        <w:rPr>
          <w:rFonts w:ascii="Times New Roman" w:eastAsia="Calibri" w:hAnsi="Times New Roman" w:cs="Times New Roman"/>
          <w:sz w:val="24"/>
          <w:szCs w:val="24"/>
        </w:rPr>
      </w:pPr>
    </w:p>
    <w:p w:rsidR="00F9065E" w:rsidRPr="0089111E" w:rsidRDefault="00F9065E" w:rsidP="00F9065E">
      <w:pPr>
        <w:spacing w:after="0" w:line="240" w:lineRule="auto"/>
        <w:jc w:val="both"/>
        <w:rPr>
          <w:rFonts w:ascii="Times New Roman" w:eastAsia="Calibri" w:hAnsi="Times New Roman" w:cs="Times New Roman"/>
          <w:sz w:val="24"/>
          <w:szCs w:val="24"/>
        </w:rPr>
      </w:pPr>
      <w:r w:rsidRPr="0089111E">
        <w:rPr>
          <w:rFonts w:ascii="Times New Roman" w:eastAsia="Calibri" w:hAnsi="Times New Roman" w:cs="Times New Roman"/>
          <w:sz w:val="24"/>
          <w:szCs w:val="24"/>
        </w:rPr>
        <w:t xml:space="preserve">As for the </w:t>
      </w:r>
      <w:r w:rsidRPr="0012411E">
        <w:rPr>
          <w:rFonts w:ascii="Times New Roman" w:eastAsia="Calibri" w:hAnsi="Times New Roman" w:cs="Times New Roman"/>
          <w:b/>
          <w:sz w:val="24"/>
          <w:szCs w:val="24"/>
        </w:rPr>
        <w:t>rights of indigenous peoples</w:t>
      </w:r>
      <w:r w:rsidRPr="0089111E">
        <w:rPr>
          <w:rFonts w:ascii="Times New Roman" w:eastAsia="Calibri" w:hAnsi="Times New Roman" w:cs="Times New Roman"/>
          <w:sz w:val="24"/>
          <w:szCs w:val="24"/>
        </w:rPr>
        <w:t xml:space="preserve">, </w:t>
      </w:r>
      <w:r w:rsidR="00A051C3">
        <w:rPr>
          <w:rFonts w:ascii="Times New Roman" w:eastAsia="Calibri" w:hAnsi="Times New Roman" w:cs="Times New Roman"/>
          <w:sz w:val="24"/>
          <w:szCs w:val="24"/>
        </w:rPr>
        <w:t xml:space="preserve">although </w:t>
      </w:r>
      <w:r w:rsidRPr="0089111E">
        <w:rPr>
          <w:rFonts w:ascii="Times New Roman" w:eastAsia="Calibri" w:hAnsi="Times New Roman" w:cs="Times New Roman"/>
          <w:sz w:val="24"/>
          <w:szCs w:val="24"/>
        </w:rPr>
        <w:t>increased investment in mining could heighten land conflicts at the core of indigenous rights claims</w:t>
      </w:r>
      <w:r w:rsidR="007A3DCE">
        <w:rPr>
          <w:rFonts w:ascii="Times New Roman" w:eastAsia="Calibri" w:hAnsi="Times New Roman" w:cs="Times New Roman"/>
          <w:sz w:val="24"/>
          <w:szCs w:val="24"/>
        </w:rPr>
        <w:t xml:space="preserve"> – </w:t>
      </w:r>
      <w:r w:rsidRPr="0089111E">
        <w:rPr>
          <w:rFonts w:ascii="Times New Roman" w:eastAsia="Calibri" w:hAnsi="Times New Roman" w:cs="Times New Roman"/>
          <w:sz w:val="24"/>
          <w:szCs w:val="24"/>
        </w:rPr>
        <w:t>in part because mining interests are in geographic region</w:t>
      </w:r>
      <w:r w:rsidR="008F540D">
        <w:rPr>
          <w:rFonts w:ascii="Times New Roman" w:eastAsia="Calibri" w:hAnsi="Times New Roman" w:cs="Times New Roman"/>
          <w:sz w:val="24"/>
          <w:szCs w:val="24"/>
        </w:rPr>
        <w:t>s</w:t>
      </w:r>
      <w:r w:rsidRPr="0089111E">
        <w:rPr>
          <w:rFonts w:ascii="Times New Roman" w:eastAsia="Calibri" w:hAnsi="Times New Roman" w:cs="Times New Roman"/>
          <w:sz w:val="24"/>
          <w:szCs w:val="24"/>
        </w:rPr>
        <w:t xml:space="preserve"> </w:t>
      </w:r>
      <w:r w:rsidR="008F540D">
        <w:rPr>
          <w:rFonts w:ascii="Times New Roman" w:eastAsia="Calibri" w:hAnsi="Times New Roman" w:cs="Times New Roman"/>
          <w:sz w:val="24"/>
          <w:szCs w:val="24"/>
        </w:rPr>
        <w:t>covered by</w:t>
      </w:r>
      <w:r w:rsidRPr="0089111E">
        <w:rPr>
          <w:rFonts w:ascii="Times New Roman" w:eastAsia="Calibri" w:hAnsi="Times New Roman" w:cs="Times New Roman"/>
          <w:sz w:val="24"/>
          <w:szCs w:val="24"/>
        </w:rPr>
        <w:t xml:space="preserve"> such claims</w:t>
      </w:r>
      <w:r w:rsidR="007A3DCE">
        <w:rPr>
          <w:rFonts w:ascii="Times New Roman" w:eastAsia="Calibri" w:hAnsi="Times New Roman" w:cs="Times New Roman"/>
          <w:sz w:val="24"/>
          <w:szCs w:val="24"/>
        </w:rPr>
        <w:t xml:space="preserve"> – </w:t>
      </w:r>
      <w:r w:rsidR="00A051C3">
        <w:rPr>
          <w:rFonts w:ascii="Times New Roman" w:eastAsia="Calibri" w:hAnsi="Times New Roman" w:cs="Times New Roman"/>
          <w:sz w:val="24"/>
          <w:szCs w:val="24"/>
        </w:rPr>
        <w:t xml:space="preserve">mining has been so far a marginal source of conflict. </w:t>
      </w:r>
      <w:r w:rsidR="005C431B">
        <w:rPr>
          <w:rFonts w:ascii="Times New Roman" w:eastAsia="Calibri" w:hAnsi="Times New Roman" w:cs="Times New Roman"/>
          <w:sz w:val="24"/>
          <w:szCs w:val="24"/>
        </w:rPr>
        <w:t xml:space="preserve"> </w:t>
      </w:r>
      <w:r w:rsidR="00A051C3">
        <w:rPr>
          <w:rFonts w:ascii="Times New Roman" w:eastAsia="Calibri" w:hAnsi="Times New Roman" w:cs="Times New Roman"/>
          <w:sz w:val="24"/>
          <w:szCs w:val="24"/>
        </w:rPr>
        <w:t xml:space="preserve">Moreover, the </w:t>
      </w:r>
      <w:r w:rsidR="005C431B">
        <w:rPr>
          <w:rFonts w:ascii="Times New Roman" w:eastAsia="Calibri" w:hAnsi="Times New Roman" w:cs="Times New Roman"/>
          <w:sz w:val="24"/>
          <w:szCs w:val="24"/>
        </w:rPr>
        <w:t xml:space="preserve">modernised Agreement is expected to </w:t>
      </w:r>
      <w:r w:rsidR="00A051C3">
        <w:rPr>
          <w:rFonts w:ascii="Times New Roman" w:eastAsia="Calibri" w:hAnsi="Times New Roman" w:cs="Times New Roman"/>
          <w:sz w:val="24"/>
          <w:szCs w:val="24"/>
        </w:rPr>
        <w:t xml:space="preserve">result in </w:t>
      </w:r>
      <w:r w:rsidR="005C431B">
        <w:rPr>
          <w:rFonts w:ascii="Times New Roman" w:eastAsia="Calibri" w:hAnsi="Times New Roman" w:cs="Times New Roman"/>
          <w:sz w:val="24"/>
          <w:szCs w:val="24"/>
        </w:rPr>
        <w:t xml:space="preserve">very modest changes in </w:t>
      </w:r>
      <w:r w:rsidR="00A051C3">
        <w:rPr>
          <w:rFonts w:ascii="Times New Roman" w:eastAsia="Calibri" w:hAnsi="Times New Roman" w:cs="Times New Roman"/>
          <w:sz w:val="24"/>
          <w:szCs w:val="24"/>
        </w:rPr>
        <w:t xml:space="preserve">mining activities in Chile </w:t>
      </w:r>
      <w:r w:rsidR="005C431B">
        <w:rPr>
          <w:rFonts w:ascii="Times New Roman" w:eastAsia="Calibri" w:hAnsi="Times New Roman" w:cs="Times New Roman"/>
          <w:sz w:val="24"/>
          <w:szCs w:val="24"/>
        </w:rPr>
        <w:t>(</w:t>
      </w:r>
      <w:r w:rsidR="00A051C3">
        <w:rPr>
          <w:rFonts w:ascii="Times New Roman" w:eastAsia="Calibri" w:hAnsi="Times New Roman" w:cs="Times New Roman"/>
          <w:sz w:val="24"/>
          <w:szCs w:val="24"/>
        </w:rPr>
        <w:t xml:space="preserve">well </w:t>
      </w:r>
      <w:r w:rsidR="005C431B">
        <w:rPr>
          <w:rFonts w:ascii="Times New Roman" w:eastAsia="Calibri" w:hAnsi="Times New Roman" w:cs="Times New Roman"/>
          <w:sz w:val="24"/>
          <w:szCs w:val="24"/>
        </w:rPr>
        <w:t>below 1%), which is not surprising, as the</w:t>
      </w:r>
      <w:r w:rsidR="00A051C3">
        <w:rPr>
          <w:rFonts w:ascii="Times New Roman" w:eastAsia="Calibri" w:hAnsi="Times New Roman" w:cs="Times New Roman"/>
          <w:sz w:val="24"/>
          <w:szCs w:val="24"/>
        </w:rPr>
        <w:t xml:space="preserve">se products </w:t>
      </w:r>
      <w:r w:rsidR="005C431B">
        <w:rPr>
          <w:rFonts w:ascii="Times New Roman" w:eastAsia="Calibri" w:hAnsi="Times New Roman" w:cs="Times New Roman"/>
          <w:sz w:val="24"/>
          <w:szCs w:val="24"/>
        </w:rPr>
        <w:t xml:space="preserve">are already free of tariff, and investors </w:t>
      </w:r>
      <w:r w:rsidR="00A051C3">
        <w:rPr>
          <w:rFonts w:ascii="Times New Roman" w:eastAsia="Calibri" w:hAnsi="Times New Roman" w:cs="Times New Roman"/>
          <w:sz w:val="24"/>
          <w:szCs w:val="24"/>
        </w:rPr>
        <w:t xml:space="preserve">are </w:t>
      </w:r>
      <w:r w:rsidR="005C431B">
        <w:rPr>
          <w:rFonts w:ascii="Times New Roman" w:eastAsia="Calibri" w:hAnsi="Times New Roman" w:cs="Times New Roman"/>
          <w:sz w:val="24"/>
          <w:szCs w:val="24"/>
        </w:rPr>
        <w:t>largely covered by BITs.</w:t>
      </w:r>
      <w:r w:rsidR="00A051C3">
        <w:rPr>
          <w:rFonts w:ascii="Times New Roman" w:eastAsia="Calibri" w:hAnsi="Times New Roman" w:cs="Times New Roman"/>
          <w:sz w:val="24"/>
          <w:szCs w:val="24"/>
        </w:rPr>
        <w:t xml:space="preserve"> Thus, the effect on indigenous peoples is expected to be negligible.</w:t>
      </w:r>
    </w:p>
    <w:p w:rsidR="009C78B2" w:rsidRDefault="009C78B2" w:rsidP="00F9065E">
      <w:pPr>
        <w:spacing w:after="0" w:line="240" w:lineRule="auto"/>
        <w:jc w:val="both"/>
        <w:rPr>
          <w:rFonts w:ascii="Times New Roman" w:eastAsia="Calibri" w:hAnsi="Times New Roman" w:cs="Times New Roman"/>
          <w:sz w:val="24"/>
          <w:szCs w:val="24"/>
        </w:rPr>
      </w:pPr>
    </w:p>
    <w:p w:rsidR="00F9065E" w:rsidRDefault="009C78B2" w:rsidP="00F906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context of the broader social or sustainable development commitments in trade agreements, which also include corporate social responsibility (CRS), the modernised Agreement could also foment the contribution of private businesses in promoting and furthering labour rights, complementary to the role of the states.</w:t>
      </w:r>
    </w:p>
    <w:p w:rsidR="009C78B2" w:rsidRPr="0089111E" w:rsidRDefault="009C78B2" w:rsidP="00F9065E">
      <w:pPr>
        <w:spacing w:after="0" w:line="240" w:lineRule="auto"/>
        <w:jc w:val="both"/>
        <w:rPr>
          <w:rFonts w:ascii="Times New Roman" w:eastAsia="Calibri" w:hAnsi="Times New Roman" w:cs="Times New Roman"/>
          <w:sz w:val="24"/>
          <w:szCs w:val="24"/>
        </w:rPr>
      </w:pPr>
    </w:p>
    <w:p w:rsidR="001F7433" w:rsidRDefault="00F9065E" w:rsidP="00F9065E">
      <w:pPr>
        <w:spacing w:after="0" w:line="240" w:lineRule="auto"/>
        <w:jc w:val="both"/>
        <w:rPr>
          <w:rFonts w:ascii="Times New Roman" w:eastAsia="Calibri" w:hAnsi="Times New Roman" w:cs="Times New Roman"/>
          <w:sz w:val="24"/>
          <w:szCs w:val="24"/>
        </w:rPr>
      </w:pPr>
      <w:r w:rsidRPr="0089111E">
        <w:rPr>
          <w:rFonts w:ascii="Times New Roman" w:eastAsia="Calibri" w:hAnsi="Times New Roman" w:cs="Times New Roman"/>
          <w:sz w:val="24"/>
          <w:szCs w:val="24"/>
        </w:rPr>
        <w:t xml:space="preserve">Generally speaking, participants in the public consultations considered that the reduction of trade and investment barriers between the EU and Chile would have no significant impact on human rights, with some suggesting that this was due to the already highly developed social and human rights standards in both the EU and Chile. </w:t>
      </w:r>
      <w:r w:rsidR="002105D5">
        <w:rPr>
          <w:rFonts w:ascii="Times New Roman" w:eastAsia="Calibri" w:hAnsi="Times New Roman" w:cs="Times New Roman"/>
          <w:sz w:val="24"/>
          <w:szCs w:val="24"/>
        </w:rPr>
        <w:t>R</w:t>
      </w:r>
      <w:r w:rsidRPr="0089111E">
        <w:rPr>
          <w:rFonts w:ascii="Times New Roman" w:eastAsia="Calibri" w:hAnsi="Times New Roman" w:cs="Times New Roman"/>
          <w:sz w:val="24"/>
          <w:szCs w:val="24"/>
        </w:rPr>
        <w:t xml:space="preserve">espondents considered </w:t>
      </w:r>
      <w:r w:rsidR="002105D5">
        <w:rPr>
          <w:rFonts w:ascii="Times New Roman" w:eastAsia="Calibri" w:hAnsi="Times New Roman" w:cs="Times New Roman"/>
          <w:sz w:val="24"/>
          <w:szCs w:val="24"/>
        </w:rPr>
        <w:t xml:space="preserve">in particular </w:t>
      </w:r>
      <w:r w:rsidRPr="0089111E">
        <w:rPr>
          <w:rFonts w:ascii="Times New Roman" w:eastAsia="Calibri" w:hAnsi="Times New Roman" w:cs="Times New Roman"/>
          <w:sz w:val="24"/>
          <w:szCs w:val="24"/>
        </w:rPr>
        <w:t xml:space="preserve">that the availability and the affordability of essential goods and services would be positively impacted. </w:t>
      </w:r>
    </w:p>
    <w:p w:rsidR="001F7433" w:rsidRDefault="001F7433" w:rsidP="00F9065E">
      <w:pPr>
        <w:spacing w:after="0" w:line="240" w:lineRule="auto"/>
        <w:jc w:val="both"/>
        <w:rPr>
          <w:rFonts w:ascii="Times New Roman" w:eastAsia="Calibri" w:hAnsi="Times New Roman" w:cs="Times New Roman"/>
          <w:sz w:val="24"/>
          <w:szCs w:val="24"/>
        </w:rPr>
      </w:pPr>
    </w:p>
    <w:p w:rsidR="004D1037" w:rsidRPr="00F9065E" w:rsidRDefault="004D1037" w:rsidP="0089111E">
      <w:pPr>
        <w:spacing w:after="0" w:line="240" w:lineRule="auto"/>
        <w:jc w:val="both"/>
        <w:rPr>
          <w:rFonts w:ascii="Times New Roman" w:eastAsia="Calibri" w:hAnsi="Times New Roman" w:cs="Times New Roman"/>
          <w:i/>
          <w:sz w:val="24"/>
          <w:szCs w:val="24"/>
          <w:u w:val="single"/>
        </w:rPr>
      </w:pPr>
      <w:r w:rsidRPr="00F9065E">
        <w:rPr>
          <w:rFonts w:ascii="Times New Roman" w:eastAsia="Calibri" w:hAnsi="Times New Roman" w:cs="Times New Roman"/>
          <w:i/>
          <w:sz w:val="24"/>
          <w:szCs w:val="24"/>
          <w:u w:val="single"/>
        </w:rPr>
        <w:t>Summary of potential impacts</w:t>
      </w:r>
    </w:p>
    <w:p w:rsidR="00D70F56" w:rsidRDefault="00D70F56" w:rsidP="00E606E2">
      <w:pPr>
        <w:autoSpaceDE w:val="0"/>
        <w:autoSpaceDN w:val="0"/>
        <w:adjustRightInd w:val="0"/>
        <w:spacing w:after="120" w:line="240" w:lineRule="auto"/>
        <w:jc w:val="both"/>
        <w:rPr>
          <w:rFonts w:ascii="Times New Roman" w:hAnsi="Times New Roman" w:cs="Times New Roman"/>
          <w:bCs/>
          <w:color w:val="000000"/>
          <w:sz w:val="24"/>
          <w:szCs w:val="24"/>
          <w:u w:val="single"/>
        </w:rPr>
      </w:pPr>
    </w:p>
    <w:p w:rsidR="00361BD0" w:rsidRDefault="00360022" w:rsidP="006E1F70">
      <w:pPr>
        <w:autoSpaceDE w:val="0"/>
        <w:autoSpaceDN w:val="0"/>
        <w:adjustRightInd w:val="0"/>
        <w:spacing w:after="0" w:line="240" w:lineRule="auto"/>
        <w:jc w:val="both"/>
        <w:rPr>
          <w:rFonts w:ascii="Times New Roman" w:hAnsi="Times New Roman" w:cs="Times New Roman"/>
          <w:bCs/>
          <w:color w:val="000000"/>
          <w:sz w:val="24"/>
          <w:szCs w:val="24"/>
        </w:rPr>
      </w:pPr>
      <w:r w:rsidRPr="00361BD0">
        <w:rPr>
          <w:rFonts w:ascii="Times New Roman" w:hAnsi="Times New Roman" w:cs="Times New Roman"/>
          <w:bCs/>
          <w:color w:val="000000"/>
          <w:sz w:val="24"/>
          <w:szCs w:val="24"/>
        </w:rPr>
        <w:t xml:space="preserve">The table below summarises the potential impact on human rights. The </w:t>
      </w:r>
      <w:r w:rsidR="00B32324" w:rsidRPr="00361BD0">
        <w:rPr>
          <w:rFonts w:ascii="Times New Roman" w:hAnsi="Times New Roman" w:cs="Times New Roman"/>
          <w:bCs/>
          <w:color w:val="000000"/>
          <w:sz w:val="24"/>
          <w:szCs w:val="24"/>
        </w:rPr>
        <w:t>possible</w:t>
      </w:r>
      <w:r w:rsidRPr="00361BD0">
        <w:rPr>
          <w:rFonts w:ascii="Times New Roman" w:hAnsi="Times New Roman" w:cs="Times New Roman"/>
          <w:bCs/>
          <w:color w:val="000000"/>
          <w:sz w:val="24"/>
          <w:szCs w:val="24"/>
        </w:rPr>
        <w:t xml:space="preserve"> impact on the right to an adequate standard of living and </w:t>
      </w:r>
      <w:r w:rsidR="00B32324" w:rsidRPr="00361BD0">
        <w:rPr>
          <w:rFonts w:ascii="Times New Roman" w:hAnsi="Times New Roman" w:cs="Times New Roman"/>
          <w:bCs/>
          <w:color w:val="000000"/>
          <w:sz w:val="24"/>
          <w:szCs w:val="24"/>
        </w:rPr>
        <w:t xml:space="preserve">on </w:t>
      </w:r>
      <w:r w:rsidRPr="00361BD0">
        <w:rPr>
          <w:rFonts w:ascii="Times New Roman" w:hAnsi="Times New Roman" w:cs="Times New Roman"/>
          <w:bCs/>
          <w:color w:val="000000"/>
          <w:sz w:val="24"/>
          <w:szCs w:val="24"/>
        </w:rPr>
        <w:t xml:space="preserve">the right to work are based on the CGE modelling results on GDP, welfare, real </w:t>
      </w:r>
      <w:r w:rsidR="0005557F" w:rsidRPr="00361BD0">
        <w:rPr>
          <w:rFonts w:ascii="Times New Roman" w:hAnsi="Times New Roman" w:cs="Times New Roman"/>
          <w:bCs/>
          <w:color w:val="000000"/>
          <w:sz w:val="24"/>
          <w:szCs w:val="24"/>
        </w:rPr>
        <w:t xml:space="preserve">wages and employment. The </w:t>
      </w:r>
      <w:r w:rsidR="00B32324" w:rsidRPr="00361BD0">
        <w:rPr>
          <w:rFonts w:ascii="Times New Roman" w:hAnsi="Times New Roman" w:cs="Times New Roman"/>
          <w:bCs/>
          <w:color w:val="000000"/>
          <w:sz w:val="24"/>
          <w:szCs w:val="24"/>
        </w:rPr>
        <w:t>possible</w:t>
      </w:r>
      <w:r w:rsidR="0005557F" w:rsidRPr="00361BD0">
        <w:rPr>
          <w:rFonts w:ascii="Times New Roman" w:hAnsi="Times New Roman" w:cs="Times New Roman"/>
          <w:bCs/>
          <w:color w:val="000000"/>
          <w:sz w:val="24"/>
          <w:szCs w:val="24"/>
        </w:rPr>
        <w:t xml:space="preserve"> impact on work-related rights and child labour draws from the detailed </w:t>
      </w:r>
      <w:r w:rsidR="008A7FE6" w:rsidRPr="00361BD0">
        <w:rPr>
          <w:rFonts w:ascii="Times New Roman" w:hAnsi="Times New Roman" w:cs="Times New Roman"/>
          <w:bCs/>
          <w:color w:val="000000"/>
          <w:sz w:val="24"/>
          <w:szCs w:val="24"/>
        </w:rPr>
        <w:t xml:space="preserve">impact </w:t>
      </w:r>
      <w:r w:rsidR="0005557F" w:rsidRPr="00361BD0">
        <w:rPr>
          <w:rFonts w:ascii="Times New Roman" w:hAnsi="Times New Roman" w:cs="Times New Roman"/>
          <w:bCs/>
          <w:color w:val="000000"/>
          <w:sz w:val="24"/>
          <w:szCs w:val="24"/>
        </w:rPr>
        <w:t xml:space="preserve">analysis on labour standards included in the external study (Annex 5) and summarised in section 5.8.3. The </w:t>
      </w:r>
      <w:r w:rsidR="00B32324" w:rsidRPr="00361BD0">
        <w:rPr>
          <w:rFonts w:ascii="Times New Roman" w:hAnsi="Times New Roman" w:cs="Times New Roman"/>
          <w:bCs/>
          <w:color w:val="000000"/>
          <w:sz w:val="24"/>
          <w:szCs w:val="24"/>
        </w:rPr>
        <w:t xml:space="preserve">possible </w:t>
      </w:r>
      <w:r w:rsidR="0005557F" w:rsidRPr="00361BD0">
        <w:rPr>
          <w:rFonts w:ascii="Times New Roman" w:hAnsi="Times New Roman" w:cs="Times New Roman"/>
          <w:bCs/>
          <w:color w:val="000000"/>
          <w:sz w:val="24"/>
          <w:szCs w:val="24"/>
        </w:rPr>
        <w:t xml:space="preserve">impact on the right to a clean environment is based on the environmental impact analysis carried out in the external study and summarised in section 5.7. Finally, the negligible expected impact on the rights of indigenous peoples and </w:t>
      </w:r>
      <w:r w:rsidR="0094776C" w:rsidRPr="00361BD0">
        <w:rPr>
          <w:rFonts w:ascii="Times New Roman" w:hAnsi="Times New Roman" w:cs="Times New Roman"/>
          <w:bCs/>
          <w:color w:val="000000"/>
          <w:sz w:val="24"/>
          <w:szCs w:val="24"/>
        </w:rPr>
        <w:t xml:space="preserve">on </w:t>
      </w:r>
      <w:r w:rsidR="0005557F" w:rsidRPr="00361BD0">
        <w:rPr>
          <w:rFonts w:ascii="Times New Roman" w:hAnsi="Times New Roman" w:cs="Times New Roman"/>
          <w:bCs/>
          <w:color w:val="000000"/>
          <w:sz w:val="24"/>
          <w:szCs w:val="24"/>
        </w:rPr>
        <w:t xml:space="preserve">gender equality is also based on the analysis carried out in the external study. </w:t>
      </w:r>
    </w:p>
    <w:p w:rsidR="006E1F70" w:rsidRDefault="006E1F70" w:rsidP="006E1F70">
      <w:pPr>
        <w:autoSpaceDE w:val="0"/>
        <w:autoSpaceDN w:val="0"/>
        <w:adjustRightInd w:val="0"/>
        <w:spacing w:after="0" w:line="240" w:lineRule="auto"/>
        <w:jc w:val="both"/>
        <w:rPr>
          <w:rFonts w:ascii="Times New Roman" w:hAnsi="Times New Roman" w:cs="Times New Roman"/>
          <w:bCs/>
          <w:color w:val="000000"/>
          <w:sz w:val="24"/>
          <w:szCs w:val="24"/>
        </w:rPr>
      </w:pPr>
    </w:p>
    <w:p w:rsidR="00D73520" w:rsidRDefault="0005557F" w:rsidP="006E1F70">
      <w:pPr>
        <w:autoSpaceDE w:val="0"/>
        <w:autoSpaceDN w:val="0"/>
        <w:adjustRightInd w:val="0"/>
        <w:spacing w:after="0" w:line="240" w:lineRule="auto"/>
        <w:jc w:val="both"/>
        <w:rPr>
          <w:rFonts w:ascii="Times New Roman" w:hAnsi="Times New Roman" w:cs="Times New Roman"/>
          <w:bCs/>
          <w:color w:val="000000"/>
          <w:sz w:val="24"/>
          <w:szCs w:val="24"/>
        </w:rPr>
      </w:pPr>
      <w:r w:rsidRPr="00361BD0">
        <w:rPr>
          <w:rFonts w:ascii="Times New Roman" w:hAnsi="Times New Roman" w:cs="Times New Roman"/>
          <w:bCs/>
          <w:color w:val="000000"/>
          <w:sz w:val="24"/>
          <w:szCs w:val="24"/>
        </w:rPr>
        <w:t xml:space="preserve">Nevertheless, it is important to underline that this analysis does not consider the possible positive impact of the Trade and Sustainable chapter and the potential trade and gender provisions of a modernised Agreement. </w:t>
      </w:r>
      <w:r w:rsidR="00D73520" w:rsidRPr="00D73520">
        <w:rPr>
          <w:rFonts w:ascii="Times New Roman" w:hAnsi="Times New Roman" w:cs="Times New Roman"/>
          <w:bCs/>
          <w:color w:val="000000"/>
          <w:sz w:val="24"/>
          <w:szCs w:val="24"/>
        </w:rPr>
        <w:t>The dialogue and activities, based on the commitments in the chapter, together with involvement of civil society, will provide the means to address relevant trade-related issues covered by the chapter, as well as to develop a positive agenda. Experience with similar chapters in other agreements suggests that a useful role can be played by international organisations such as ILO in relation to relevant multilateral agreements and conventions.</w:t>
      </w:r>
      <w:r w:rsidR="00D73520">
        <w:rPr>
          <w:rFonts w:ascii="Times New Roman" w:hAnsi="Times New Roman" w:cs="Times New Roman"/>
          <w:bCs/>
          <w:color w:val="000000"/>
          <w:sz w:val="24"/>
          <w:szCs w:val="24"/>
        </w:rPr>
        <w:t xml:space="preserve"> </w:t>
      </w:r>
    </w:p>
    <w:p w:rsidR="00360022" w:rsidRDefault="00360022" w:rsidP="00E606E2">
      <w:pPr>
        <w:autoSpaceDE w:val="0"/>
        <w:autoSpaceDN w:val="0"/>
        <w:adjustRightInd w:val="0"/>
        <w:spacing w:after="120" w:line="240" w:lineRule="auto"/>
        <w:jc w:val="both"/>
        <w:rPr>
          <w:rFonts w:ascii="Times New Roman" w:hAnsi="Times New Roman" w:cs="Times New Roman"/>
          <w:bCs/>
          <w:color w:val="000000"/>
          <w:sz w:val="24"/>
          <w:szCs w:val="24"/>
          <w:u w:val="single"/>
        </w:rPr>
      </w:pPr>
    </w:p>
    <w:p w:rsidR="00361BD0" w:rsidRDefault="00361BD0">
      <w:r>
        <w:br w:type="page"/>
      </w:r>
    </w:p>
    <w:tbl>
      <w:tblPr>
        <w:tblStyle w:val="DocumentTable1"/>
        <w:tblW w:w="3892" w:type="pct"/>
        <w:tblInd w:w="1101" w:type="dxa"/>
        <w:tblLook w:val="04A0" w:firstRow="1" w:lastRow="0" w:firstColumn="1" w:lastColumn="0" w:noHBand="0" w:noVBand="1"/>
      </w:tblPr>
      <w:tblGrid>
        <w:gridCol w:w="3066"/>
        <w:gridCol w:w="1472"/>
        <w:gridCol w:w="2692"/>
      </w:tblGrid>
      <w:tr w:rsidR="00DE1C19" w:rsidRPr="00F70FEF" w:rsidTr="009671C8">
        <w:tc>
          <w:tcPr>
            <w:tcW w:w="2120" w:type="pct"/>
          </w:tcPr>
          <w:p w:rsidR="00DE1C19" w:rsidRPr="009671C8" w:rsidRDefault="00DE1C19" w:rsidP="009671C8">
            <w:pPr>
              <w:rPr>
                <w:rFonts w:ascii="Times New Roman" w:hAnsi="Times New Roman" w:cs="Times New Roman"/>
                <w:b/>
                <w:sz w:val="20"/>
                <w:szCs w:val="20"/>
              </w:rPr>
            </w:pPr>
            <w:r w:rsidRPr="009671C8">
              <w:rPr>
                <w:rFonts w:ascii="Times New Roman" w:hAnsi="Times New Roman" w:cs="Times New Roman"/>
                <w:b/>
                <w:sz w:val="20"/>
                <w:szCs w:val="20"/>
              </w:rPr>
              <w:t>Particular rights</w:t>
            </w:r>
          </w:p>
          <w:p w:rsidR="00DE1C19" w:rsidRPr="009671C8" w:rsidRDefault="00DE1C19" w:rsidP="009671C8">
            <w:pPr>
              <w:rPr>
                <w:rFonts w:ascii="Times New Roman" w:hAnsi="Times New Roman" w:cs="Times New Roman"/>
                <w:b/>
                <w:sz w:val="20"/>
                <w:szCs w:val="20"/>
              </w:rPr>
            </w:pPr>
          </w:p>
        </w:tc>
        <w:tc>
          <w:tcPr>
            <w:tcW w:w="1018" w:type="pct"/>
          </w:tcPr>
          <w:p w:rsidR="00DE1C19" w:rsidRPr="009671C8" w:rsidRDefault="00DE1C19" w:rsidP="009671C8">
            <w:pPr>
              <w:rPr>
                <w:rFonts w:ascii="Times New Roman" w:hAnsi="Times New Roman" w:cs="Times New Roman"/>
                <w:b/>
                <w:sz w:val="20"/>
                <w:szCs w:val="20"/>
              </w:rPr>
            </w:pPr>
          </w:p>
        </w:tc>
        <w:tc>
          <w:tcPr>
            <w:tcW w:w="1862" w:type="pct"/>
          </w:tcPr>
          <w:p w:rsidR="00DE1C19" w:rsidRPr="009671C8" w:rsidRDefault="00DE1C19" w:rsidP="009671C8">
            <w:pPr>
              <w:rPr>
                <w:rFonts w:ascii="Times New Roman" w:hAnsi="Times New Roman" w:cs="Times New Roman"/>
                <w:b/>
                <w:sz w:val="20"/>
                <w:szCs w:val="20"/>
              </w:rPr>
            </w:pPr>
            <w:r w:rsidRPr="009671C8">
              <w:rPr>
                <w:rFonts w:ascii="Times New Roman" w:hAnsi="Times New Roman" w:cs="Times New Roman"/>
                <w:b/>
                <w:sz w:val="20"/>
                <w:szCs w:val="20"/>
              </w:rPr>
              <w:t>Options C1 and C2</w:t>
            </w:r>
          </w:p>
        </w:tc>
      </w:tr>
      <w:tr w:rsidR="00DE1C19" w:rsidRPr="00F70FEF" w:rsidTr="009671C8">
        <w:tc>
          <w:tcPr>
            <w:tcW w:w="2120" w:type="pct"/>
            <w:vMerge w:val="restart"/>
          </w:tcPr>
          <w:p w:rsidR="00DE1C19" w:rsidRPr="009671C8" w:rsidRDefault="00DE1C19" w:rsidP="009671C8">
            <w:pPr>
              <w:rPr>
                <w:rFonts w:ascii="Times New Roman" w:hAnsi="Times New Roman" w:cs="Times New Roman"/>
                <w:b/>
                <w:sz w:val="20"/>
                <w:szCs w:val="20"/>
              </w:rPr>
            </w:pPr>
            <w:r w:rsidRPr="009671C8">
              <w:rPr>
                <w:rFonts w:ascii="Times New Roman" w:eastAsia="Calibri" w:hAnsi="Times New Roman" w:cs="Times New Roman"/>
                <w:sz w:val="20"/>
                <w:szCs w:val="20"/>
              </w:rPr>
              <w:t xml:space="preserve">Right to </w:t>
            </w:r>
            <w:r w:rsidR="00683659" w:rsidRPr="009671C8">
              <w:rPr>
                <w:rFonts w:ascii="Times New Roman" w:eastAsia="Calibri" w:hAnsi="Times New Roman" w:cs="Times New Roman"/>
                <w:sz w:val="20"/>
                <w:szCs w:val="20"/>
              </w:rPr>
              <w:t>an adequate standard of living</w:t>
            </w:r>
          </w:p>
        </w:tc>
        <w:tc>
          <w:tcPr>
            <w:tcW w:w="1018"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EU</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Direct effect: 0</w:t>
            </w:r>
          </w:p>
          <w:p w:rsidR="00DE1C19" w:rsidRPr="009671C8" w:rsidRDefault="00DE1C19" w:rsidP="009671C8">
            <w:pPr>
              <w:rPr>
                <w:rFonts w:ascii="Times New Roman" w:hAnsi="Times New Roman" w:cs="Times New Roman"/>
                <w:b/>
                <w:sz w:val="20"/>
                <w:szCs w:val="20"/>
              </w:rPr>
            </w:pPr>
            <w:r w:rsidRPr="009671C8">
              <w:rPr>
                <w:rFonts w:ascii="Times New Roman" w:hAnsi="Times New Roman" w:cs="Times New Roman"/>
                <w:sz w:val="20"/>
                <w:szCs w:val="20"/>
              </w:rPr>
              <w:t xml:space="preserve">Indirect effect: </w:t>
            </w:r>
            <w:r w:rsidR="00683659" w:rsidRPr="009671C8">
              <w:rPr>
                <w:rFonts w:ascii="Times New Roman" w:hAnsi="Times New Roman" w:cs="Times New Roman"/>
                <w:sz w:val="20"/>
                <w:szCs w:val="20"/>
              </w:rPr>
              <w:t>0</w:t>
            </w:r>
            <w:r w:rsidR="00FA285D">
              <w:rPr>
                <w:rFonts w:ascii="Times New Roman" w:hAnsi="Times New Roman" w:cs="Times New Roman"/>
                <w:sz w:val="20"/>
                <w:szCs w:val="20"/>
              </w:rPr>
              <w:t>/+</w:t>
            </w:r>
          </w:p>
        </w:tc>
      </w:tr>
      <w:tr w:rsidR="00DE1C19" w:rsidRPr="00F70FEF" w:rsidTr="009671C8">
        <w:trPr>
          <w:trHeight w:val="310"/>
        </w:trPr>
        <w:tc>
          <w:tcPr>
            <w:tcW w:w="2120" w:type="pct"/>
            <w:vMerge/>
          </w:tcPr>
          <w:p w:rsidR="00DE1C19" w:rsidRPr="009671C8" w:rsidRDefault="00DE1C19" w:rsidP="009671C8">
            <w:pPr>
              <w:rPr>
                <w:rFonts w:ascii="Times New Roman" w:hAnsi="Times New Roman" w:cs="Times New Roman"/>
                <w:b/>
                <w:sz w:val="20"/>
                <w:szCs w:val="20"/>
              </w:rPr>
            </w:pPr>
          </w:p>
        </w:tc>
        <w:tc>
          <w:tcPr>
            <w:tcW w:w="1018" w:type="pct"/>
          </w:tcPr>
          <w:p w:rsidR="00DE1C19" w:rsidRPr="009671C8" w:rsidRDefault="00683659" w:rsidP="009671C8">
            <w:pPr>
              <w:rPr>
                <w:rFonts w:ascii="Times New Roman" w:hAnsi="Times New Roman" w:cs="Times New Roman"/>
                <w:sz w:val="20"/>
                <w:szCs w:val="20"/>
              </w:rPr>
            </w:pPr>
            <w:r w:rsidRPr="009671C8">
              <w:rPr>
                <w:rFonts w:ascii="Times New Roman" w:hAnsi="Times New Roman" w:cs="Times New Roman"/>
                <w:sz w:val="20"/>
                <w:szCs w:val="20"/>
              </w:rPr>
              <w:t>Chile</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Direct effect: +</w:t>
            </w:r>
          </w:p>
          <w:p w:rsidR="00DE1C19" w:rsidRPr="009671C8" w:rsidRDefault="00DE1C19" w:rsidP="009671C8">
            <w:pPr>
              <w:rPr>
                <w:rFonts w:ascii="Times New Roman" w:hAnsi="Times New Roman" w:cs="Times New Roman"/>
                <w:b/>
                <w:sz w:val="20"/>
                <w:szCs w:val="20"/>
              </w:rPr>
            </w:pPr>
            <w:r w:rsidRPr="009671C8">
              <w:rPr>
                <w:rFonts w:ascii="Times New Roman" w:hAnsi="Times New Roman" w:cs="Times New Roman"/>
                <w:sz w:val="20"/>
                <w:szCs w:val="20"/>
              </w:rPr>
              <w:t>Indirect effect: +</w:t>
            </w:r>
          </w:p>
        </w:tc>
      </w:tr>
      <w:tr w:rsidR="00DE1C19" w:rsidRPr="00F70FEF" w:rsidTr="009671C8">
        <w:tc>
          <w:tcPr>
            <w:tcW w:w="2120" w:type="pct"/>
            <w:vMerge w:val="restart"/>
          </w:tcPr>
          <w:p w:rsidR="00DE1C19" w:rsidRPr="00D47EE2" w:rsidRDefault="00683659" w:rsidP="009671C8">
            <w:pPr>
              <w:rPr>
                <w:rFonts w:ascii="Times New Roman" w:hAnsi="Times New Roman" w:cs="Times New Roman"/>
                <w:b/>
                <w:sz w:val="20"/>
                <w:szCs w:val="20"/>
                <w:vertAlign w:val="superscript"/>
              </w:rPr>
            </w:pPr>
            <w:r w:rsidRPr="009671C8">
              <w:rPr>
                <w:rFonts w:ascii="Times New Roman" w:eastAsia="Calibri" w:hAnsi="Times New Roman" w:cs="Times New Roman"/>
                <w:sz w:val="20"/>
                <w:szCs w:val="20"/>
              </w:rPr>
              <w:t>Right to work</w:t>
            </w:r>
          </w:p>
          <w:p w:rsidR="00DE1C19" w:rsidRPr="009671C8" w:rsidRDefault="00DE1C19" w:rsidP="009671C8">
            <w:pPr>
              <w:rPr>
                <w:rFonts w:ascii="Times New Roman" w:hAnsi="Times New Roman" w:cs="Times New Roman"/>
                <w:b/>
                <w:sz w:val="20"/>
                <w:szCs w:val="20"/>
              </w:rPr>
            </w:pPr>
          </w:p>
        </w:tc>
        <w:tc>
          <w:tcPr>
            <w:tcW w:w="1018"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EU</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Direct effect: 0</w:t>
            </w:r>
          </w:p>
          <w:p w:rsidR="00DE1C19" w:rsidRPr="009671C8" w:rsidRDefault="00DE1C19" w:rsidP="00FA1185">
            <w:pPr>
              <w:rPr>
                <w:rFonts w:ascii="Times New Roman" w:hAnsi="Times New Roman" w:cs="Times New Roman"/>
                <w:b/>
                <w:sz w:val="20"/>
                <w:szCs w:val="20"/>
              </w:rPr>
            </w:pPr>
            <w:r w:rsidRPr="009671C8">
              <w:rPr>
                <w:rFonts w:ascii="Times New Roman" w:hAnsi="Times New Roman" w:cs="Times New Roman"/>
                <w:sz w:val="20"/>
                <w:szCs w:val="20"/>
              </w:rPr>
              <w:t xml:space="preserve">Indirect effect: </w:t>
            </w:r>
            <w:r w:rsidR="00683659" w:rsidRPr="009671C8">
              <w:rPr>
                <w:rFonts w:ascii="Times New Roman" w:hAnsi="Times New Roman" w:cs="Times New Roman"/>
                <w:sz w:val="20"/>
                <w:szCs w:val="20"/>
              </w:rPr>
              <w:t>0</w:t>
            </w:r>
            <w:r w:rsidR="00FA285D">
              <w:rPr>
                <w:rFonts w:ascii="Times New Roman" w:hAnsi="Times New Roman" w:cs="Times New Roman"/>
                <w:sz w:val="20"/>
                <w:szCs w:val="20"/>
              </w:rPr>
              <w:t>/+</w:t>
            </w:r>
          </w:p>
        </w:tc>
      </w:tr>
      <w:tr w:rsidR="00DE1C19" w:rsidRPr="00F70FEF" w:rsidTr="009671C8">
        <w:trPr>
          <w:trHeight w:val="449"/>
        </w:trPr>
        <w:tc>
          <w:tcPr>
            <w:tcW w:w="2120" w:type="pct"/>
            <w:vMerge/>
          </w:tcPr>
          <w:p w:rsidR="00DE1C19" w:rsidRPr="009671C8" w:rsidRDefault="00DE1C19" w:rsidP="009671C8">
            <w:pPr>
              <w:rPr>
                <w:rFonts w:ascii="Times New Roman" w:hAnsi="Times New Roman" w:cs="Times New Roman"/>
                <w:b/>
                <w:sz w:val="20"/>
                <w:szCs w:val="20"/>
              </w:rPr>
            </w:pPr>
          </w:p>
        </w:tc>
        <w:tc>
          <w:tcPr>
            <w:tcW w:w="1018" w:type="pct"/>
          </w:tcPr>
          <w:p w:rsidR="00DE1C19" w:rsidRPr="009671C8" w:rsidRDefault="00683659" w:rsidP="009671C8">
            <w:pPr>
              <w:rPr>
                <w:rFonts w:ascii="Times New Roman" w:hAnsi="Times New Roman" w:cs="Times New Roman"/>
                <w:sz w:val="20"/>
                <w:szCs w:val="20"/>
              </w:rPr>
            </w:pPr>
            <w:r w:rsidRPr="009671C8">
              <w:rPr>
                <w:rFonts w:ascii="Times New Roman" w:hAnsi="Times New Roman" w:cs="Times New Roman"/>
                <w:sz w:val="20"/>
                <w:szCs w:val="20"/>
              </w:rPr>
              <w:t>Chile</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Direct effect: +</w:t>
            </w:r>
          </w:p>
          <w:p w:rsidR="00DE1C19" w:rsidRPr="009671C8" w:rsidRDefault="00DE1C19" w:rsidP="009671C8">
            <w:pPr>
              <w:rPr>
                <w:rFonts w:ascii="Times New Roman" w:hAnsi="Times New Roman" w:cs="Times New Roman"/>
                <w:b/>
                <w:sz w:val="20"/>
                <w:szCs w:val="20"/>
              </w:rPr>
            </w:pPr>
            <w:r w:rsidRPr="009671C8">
              <w:rPr>
                <w:rFonts w:ascii="Times New Roman" w:hAnsi="Times New Roman" w:cs="Times New Roman"/>
                <w:sz w:val="20"/>
                <w:szCs w:val="20"/>
              </w:rPr>
              <w:t>Indirect effect: +</w:t>
            </w:r>
          </w:p>
        </w:tc>
      </w:tr>
      <w:tr w:rsidR="00DE1C19" w:rsidRPr="00F70FEF" w:rsidTr="009671C8">
        <w:tc>
          <w:tcPr>
            <w:tcW w:w="2120" w:type="pct"/>
            <w:vMerge w:val="restart"/>
          </w:tcPr>
          <w:p w:rsidR="00DE1C19" w:rsidRPr="009671C8" w:rsidRDefault="00683659" w:rsidP="009671C8">
            <w:pPr>
              <w:rPr>
                <w:rFonts w:ascii="Times New Roman" w:hAnsi="Times New Roman" w:cs="Times New Roman"/>
                <w:sz w:val="20"/>
                <w:szCs w:val="20"/>
              </w:rPr>
            </w:pPr>
            <w:r w:rsidRPr="009671C8">
              <w:rPr>
                <w:rFonts w:ascii="Times New Roman" w:eastAsia="Calibri" w:hAnsi="Times New Roman" w:cs="Times New Roman"/>
                <w:sz w:val="20"/>
                <w:szCs w:val="20"/>
              </w:rPr>
              <w:t>Work-related rights and child labour</w:t>
            </w:r>
          </w:p>
          <w:p w:rsidR="00DE1C19" w:rsidRPr="009671C8" w:rsidRDefault="00DE1C19" w:rsidP="009671C8">
            <w:pPr>
              <w:rPr>
                <w:rFonts w:ascii="Times New Roman" w:hAnsi="Times New Roman" w:cs="Times New Roman"/>
                <w:sz w:val="20"/>
                <w:szCs w:val="20"/>
              </w:rPr>
            </w:pPr>
          </w:p>
        </w:tc>
        <w:tc>
          <w:tcPr>
            <w:tcW w:w="1018"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EU</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 xml:space="preserve">Direct effect: </w:t>
            </w:r>
            <w:r w:rsidR="00683659" w:rsidRPr="009671C8">
              <w:rPr>
                <w:rFonts w:ascii="Times New Roman" w:hAnsi="Times New Roman" w:cs="Times New Roman"/>
                <w:sz w:val="20"/>
                <w:szCs w:val="20"/>
              </w:rPr>
              <w:t>0</w:t>
            </w:r>
          </w:p>
          <w:p w:rsidR="00DE1C19" w:rsidRPr="009671C8" w:rsidRDefault="00DE1C19" w:rsidP="009671C8">
            <w:pPr>
              <w:rPr>
                <w:rFonts w:ascii="Times New Roman" w:hAnsi="Times New Roman" w:cs="Times New Roman"/>
                <w:b/>
                <w:sz w:val="20"/>
                <w:szCs w:val="20"/>
              </w:rPr>
            </w:pPr>
            <w:r w:rsidRPr="009671C8">
              <w:rPr>
                <w:rFonts w:ascii="Times New Roman" w:hAnsi="Times New Roman" w:cs="Times New Roman"/>
                <w:sz w:val="20"/>
                <w:szCs w:val="20"/>
              </w:rPr>
              <w:t xml:space="preserve">Indirect effect: </w:t>
            </w:r>
            <w:r w:rsidR="00683659" w:rsidRPr="009671C8">
              <w:rPr>
                <w:rFonts w:ascii="Times New Roman" w:hAnsi="Times New Roman" w:cs="Times New Roman"/>
                <w:sz w:val="20"/>
                <w:szCs w:val="20"/>
              </w:rPr>
              <w:t>0</w:t>
            </w:r>
          </w:p>
        </w:tc>
      </w:tr>
      <w:tr w:rsidR="00DE1C19" w:rsidRPr="00F70FEF" w:rsidTr="009671C8">
        <w:trPr>
          <w:trHeight w:val="482"/>
        </w:trPr>
        <w:tc>
          <w:tcPr>
            <w:tcW w:w="2120" w:type="pct"/>
            <w:vMerge/>
          </w:tcPr>
          <w:p w:rsidR="00DE1C19" w:rsidRPr="009671C8" w:rsidRDefault="00DE1C19" w:rsidP="009671C8">
            <w:pPr>
              <w:rPr>
                <w:rFonts w:ascii="Times New Roman" w:hAnsi="Times New Roman" w:cs="Times New Roman"/>
                <w:sz w:val="20"/>
                <w:szCs w:val="20"/>
              </w:rPr>
            </w:pPr>
          </w:p>
        </w:tc>
        <w:tc>
          <w:tcPr>
            <w:tcW w:w="1018" w:type="pct"/>
          </w:tcPr>
          <w:p w:rsidR="00DE1C19" w:rsidRPr="009671C8" w:rsidRDefault="00683659" w:rsidP="009671C8">
            <w:pPr>
              <w:rPr>
                <w:rFonts w:ascii="Times New Roman" w:hAnsi="Times New Roman" w:cs="Times New Roman"/>
                <w:sz w:val="20"/>
                <w:szCs w:val="20"/>
              </w:rPr>
            </w:pPr>
            <w:r w:rsidRPr="009671C8">
              <w:rPr>
                <w:rFonts w:ascii="Times New Roman" w:hAnsi="Times New Roman" w:cs="Times New Roman"/>
                <w:sz w:val="20"/>
                <w:szCs w:val="20"/>
              </w:rPr>
              <w:t>Chile</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Direct effect: +</w:t>
            </w:r>
          </w:p>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Indirect effect: +</w:t>
            </w:r>
          </w:p>
        </w:tc>
      </w:tr>
      <w:tr w:rsidR="00DE1C19" w:rsidRPr="00F70FEF" w:rsidTr="009671C8">
        <w:tc>
          <w:tcPr>
            <w:tcW w:w="2120" w:type="pct"/>
            <w:vMerge w:val="restart"/>
          </w:tcPr>
          <w:p w:rsidR="00DE1C19" w:rsidRPr="009671C8" w:rsidRDefault="00683659" w:rsidP="009671C8">
            <w:pPr>
              <w:rPr>
                <w:rFonts w:ascii="Times New Roman" w:hAnsi="Times New Roman" w:cs="Times New Roman"/>
                <w:sz w:val="20"/>
                <w:szCs w:val="20"/>
              </w:rPr>
            </w:pPr>
            <w:r w:rsidRPr="009671C8">
              <w:rPr>
                <w:rFonts w:ascii="Times New Roman" w:eastAsia="Calibri" w:hAnsi="Times New Roman" w:cs="Times New Roman"/>
                <w:sz w:val="20"/>
                <w:szCs w:val="20"/>
              </w:rPr>
              <w:t>Right to a clean environment</w:t>
            </w:r>
          </w:p>
        </w:tc>
        <w:tc>
          <w:tcPr>
            <w:tcW w:w="1018"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EU</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Direct effect: 0</w:t>
            </w:r>
          </w:p>
          <w:p w:rsidR="00DE1C19" w:rsidRPr="009671C8" w:rsidRDefault="00DE1C19" w:rsidP="009671C8">
            <w:pPr>
              <w:rPr>
                <w:rFonts w:ascii="Times New Roman" w:hAnsi="Times New Roman" w:cs="Times New Roman"/>
                <w:b/>
                <w:sz w:val="20"/>
                <w:szCs w:val="20"/>
              </w:rPr>
            </w:pPr>
            <w:r w:rsidRPr="009671C8">
              <w:rPr>
                <w:rFonts w:ascii="Times New Roman" w:hAnsi="Times New Roman" w:cs="Times New Roman"/>
                <w:sz w:val="20"/>
                <w:szCs w:val="20"/>
              </w:rPr>
              <w:t xml:space="preserve">Indirect effect: </w:t>
            </w:r>
            <w:r w:rsidR="00683659" w:rsidRPr="009671C8">
              <w:rPr>
                <w:rFonts w:ascii="Times New Roman" w:hAnsi="Times New Roman" w:cs="Times New Roman"/>
                <w:sz w:val="20"/>
                <w:szCs w:val="20"/>
              </w:rPr>
              <w:t>0</w:t>
            </w:r>
          </w:p>
        </w:tc>
      </w:tr>
      <w:tr w:rsidR="00DE1C19" w:rsidRPr="00F70FEF" w:rsidTr="009671C8">
        <w:trPr>
          <w:trHeight w:val="500"/>
        </w:trPr>
        <w:tc>
          <w:tcPr>
            <w:tcW w:w="2120" w:type="pct"/>
            <w:vMerge/>
          </w:tcPr>
          <w:p w:rsidR="00DE1C19" w:rsidRPr="009671C8" w:rsidRDefault="00DE1C19" w:rsidP="009671C8">
            <w:pPr>
              <w:rPr>
                <w:rFonts w:ascii="Times New Roman" w:hAnsi="Times New Roman" w:cs="Times New Roman"/>
                <w:sz w:val="20"/>
                <w:szCs w:val="20"/>
              </w:rPr>
            </w:pPr>
          </w:p>
        </w:tc>
        <w:tc>
          <w:tcPr>
            <w:tcW w:w="1018" w:type="pct"/>
          </w:tcPr>
          <w:p w:rsidR="00DE1C19" w:rsidRPr="009671C8" w:rsidRDefault="00683659" w:rsidP="009671C8">
            <w:pPr>
              <w:rPr>
                <w:rFonts w:ascii="Times New Roman" w:hAnsi="Times New Roman" w:cs="Times New Roman"/>
                <w:sz w:val="20"/>
                <w:szCs w:val="20"/>
              </w:rPr>
            </w:pPr>
            <w:r w:rsidRPr="009671C8">
              <w:rPr>
                <w:rFonts w:ascii="Times New Roman" w:hAnsi="Times New Roman" w:cs="Times New Roman"/>
                <w:sz w:val="20"/>
                <w:szCs w:val="20"/>
              </w:rPr>
              <w:t>Chile</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 xml:space="preserve">Direct effect: </w:t>
            </w:r>
            <w:r w:rsidR="00012BCE">
              <w:rPr>
                <w:rFonts w:ascii="Times New Roman" w:hAnsi="Times New Roman" w:cs="Times New Roman"/>
                <w:sz w:val="20"/>
                <w:szCs w:val="20"/>
              </w:rPr>
              <w:t>-/0</w:t>
            </w:r>
          </w:p>
          <w:p w:rsidR="00DE1C19" w:rsidRPr="009671C8" w:rsidRDefault="00DE1C19" w:rsidP="00027FD4">
            <w:pPr>
              <w:rPr>
                <w:rFonts w:ascii="Times New Roman" w:hAnsi="Times New Roman" w:cs="Times New Roman"/>
                <w:sz w:val="20"/>
                <w:szCs w:val="20"/>
              </w:rPr>
            </w:pPr>
            <w:r w:rsidRPr="009671C8">
              <w:rPr>
                <w:rFonts w:ascii="Times New Roman" w:hAnsi="Times New Roman" w:cs="Times New Roman"/>
                <w:sz w:val="20"/>
                <w:szCs w:val="20"/>
              </w:rPr>
              <w:t xml:space="preserve">Indirect effect: </w:t>
            </w:r>
            <w:r w:rsidR="00012BCE">
              <w:rPr>
                <w:rFonts w:ascii="Times New Roman" w:hAnsi="Times New Roman" w:cs="Times New Roman"/>
                <w:sz w:val="20"/>
                <w:szCs w:val="20"/>
              </w:rPr>
              <w:t>-/0</w:t>
            </w:r>
          </w:p>
        </w:tc>
      </w:tr>
      <w:tr w:rsidR="00DE1C19" w:rsidRPr="00F70FEF" w:rsidTr="009671C8">
        <w:tc>
          <w:tcPr>
            <w:tcW w:w="2120" w:type="pct"/>
            <w:vMerge w:val="restart"/>
          </w:tcPr>
          <w:p w:rsidR="00DE1C19" w:rsidRPr="009671C8" w:rsidRDefault="00DE1C19" w:rsidP="009671C8">
            <w:pPr>
              <w:rPr>
                <w:rFonts w:ascii="Times New Roman" w:hAnsi="Times New Roman" w:cs="Times New Roman"/>
                <w:sz w:val="20"/>
                <w:szCs w:val="20"/>
              </w:rPr>
            </w:pPr>
            <w:r w:rsidRPr="009671C8">
              <w:rPr>
                <w:rFonts w:ascii="Times New Roman" w:eastAsia="Calibri" w:hAnsi="Times New Roman" w:cs="Times New Roman"/>
                <w:sz w:val="20"/>
                <w:szCs w:val="20"/>
              </w:rPr>
              <w:t>Rights of indigenous peoples</w:t>
            </w:r>
          </w:p>
          <w:p w:rsidR="00DE1C19" w:rsidRPr="009671C8" w:rsidRDefault="00DE1C19" w:rsidP="009671C8">
            <w:pPr>
              <w:rPr>
                <w:rFonts w:ascii="Times New Roman" w:hAnsi="Times New Roman" w:cs="Times New Roman"/>
                <w:sz w:val="20"/>
                <w:szCs w:val="20"/>
              </w:rPr>
            </w:pPr>
          </w:p>
        </w:tc>
        <w:tc>
          <w:tcPr>
            <w:tcW w:w="1018"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EU</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Direct effect: 0</w:t>
            </w:r>
          </w:p>
          <w:p w:rsidR="00DE1C19" w:rsidRPr="009671C8" w:rsidRDefault="00DE1C19" w:rsidP="009671C8">
            <w:pPr>
              <w:rPr>
                <w:rFonts w:ascii="Times New Roman" w:hAnsi="Times New Roman" w:cs="Times New Roman"/>
                <w:b/>
                <w:sz w:val="20"/>
                <w:szCs w:val="20"/>
              </w:rPr>
            </w:pPr>
            <w:r w:rsidRPr="009671C8">
              <w:rPr>
                <w:rFonts w:ascii="Times New Roman" w:hAnsi="Times New Roman" w:cs="Times New Roman"/>
                <w:sz w:val="20"/>
                <w:szCs w:val="20"/>
              </w:rPr>
              <w:t>Indirect effect: 0</w:t>
            </w:r>
          </w:p>
        </w:tc>
      </w:tr>
      <w:tr w:rsidR="00683659" w:rsidRPr="00F70FEF" w:rsidTr="009671C8">
        <w:trPr>
          <w:trHeight w:val="532"/>
        </w:trPr>
        <w:tc>
          <w:tcPr>
            <w:tcW w:w="2120" w:type="pct"/>
            <w:vMerge/>
          </w:tcPr>
          <w:p w:rsidR="00683659" w:rsidRPr="009671C8" w:rsidRDefault="00683659" w:rsidP="009671C8">
            <w:pPr>
              <w:rPr>
                <w:rFonts w:ascii="Times New Roman" w:hAnsi="Times New Roman" w:cs="Times New Roman"/>
                <w:sz w:val="20"/>
                <w:szCs w:val="20"/>
              </w:rPr>
            </w:pPr>
          </w:p>
        </w:tc>
        <w:tc>
          <w:tcPr>
            <w:tcW w:w="1018" w:type="pct"/>
          </w:tcPr>
          <w:p w:rsidR="00683659" w:rsidRPr="009671C8" w:rsidRDefault="00683659" w:rsidP="009671C8">
            <w:pPr>
              <w:rPr>
                <w:rFonts w:ascii="Times New Roman" w:hAnsi="Times New Roman" w:cs="Times New Roman"/>
                <w:sz w:val="20"/>
                <w:szCs w:val="20"/>
              </w:rPr>
            </w:pPr>
            <w:r w:rsidRPr="009671C8">
              <w:rPr>
                <w:rFonts w:ascii="Times New Roman" w:hAnsi="Times New Roman" w:cs="Times New Roman"/>
                <w:sz w:val="20"/>
                <w:szCs w:val="20"/>
              </w:rPr>
              <w:t>Chile</w:t>
            </w:r>
          </w:p>
        </w:tc>
        <w:tc>
          <w:tcPr>
            <w:tcW w:w="1862" w:type="pct"/>
          </w:tcPr>
          <w:p w:rsidR="00683659" w:rsidRPr="009671C8" w:rsidRDefault="00683659" w:rsidP="009671C8">
            <w:pPr>
              <w:rPr>
                <w:rFonts w:ascii="Times New Roman" w:hAnsi="Times New Roman" w:cs="Times New Roman"/>
                <w:sz w:val="20"/>
                <w:szCs w:val="20"/>
              </w:rPr>
            </w:pPr>
            <w:r w:rsidRPr="009671C8">
              <w:rPr>
                <w:rFonts w:ascii="Times New Roman" w:hAnsi="Times New Roman" w:cs="Times New Roman"/>
                <w:sz w:val="20"/>
                <w:szCs w:val="20"/>
              </w:rPr>
              <w:t xml:space="preserve">Direct effect: </w:t>
            </w:r>
            <w:r w:rsidR="00027FD4">
              <w:rPr>
                <w:rFonts w:ascii="Times New Roman" w:hAnsi="Times New Roman" w:cs="Times New Roman"/>
                <w:sz w:val="20"/>
                <w:szCs w:val="20"/>
              </w:rPr>
              <w:t>0</w:t>
            </w:r>
          </w:p>
          <w:p w:rsidR="00683659" w:rsidRPr="009671C8" w:rsidRDefault="00683659" w:rsidP="00027FD4">
            <w:pPr>
              <w:rPr>
                <w:rFonts w:ascii="Times New Roman" w:hAnsi="Times New Roman" w:cs="Times New Roman"/>
                <w:sz w:val="20"/>
                <w:szCs w:val="20"/>
              </w:rPr>
            </w:pPr>
            <w:r w:rsidRPr="009671C8">
              <w:rPr>
                <w:rFonts w:ascii="Times New Roman" w:hAnsi="Times New Roman" w:cs="Times New Roman"/>
                <w:sz w:val="20"/>
                <w:szCs w:val="20"/>
              </w:rPr>
              <w:t xml:space="preserve">Indirect effect: </w:t>
            </w:r>
            <w:r w:rsidR="00027FD4">
              <w:rPr>
                <w:rFonts w:ascii="Times New Roman" w:hAnsi="Times New Roman" w:cs="Times New Roman"/>
                <w:sz w:val="20"/>
                <w:szCs w:val="20"/>
              </w:rPr>
              <w:t>0</w:t>
            </w:r>
          </w:p>
        </w:tc>
      </w:tr>
      <w:tr w:rsidR="00DE1C19" w:rsidRPr="00F70FEF" w:rsidTr="009671C8">
        <w:tc>
          <w:tcPr>
            <w:tcW w:w="2120" w:type="pct"/>
            <w:vMerge w:val="restart"/>
          </w:tcPr>
          <w:p w:rsidR="00DE1C19" w:rsidRPr="009671C8" w:rsidRDefault="00683659" w:rsidP="009671C8">
            <w:pPr>
              <w:rPr>
                <w:rFonts w:ascii="Times New Roman" w:hAnsi="Times New Roman" w:cs="Times New Roman"/>
                <w:sz w:val="20"/>
                <w:szCs w:val="20"/>
              </w:rPr>
            </w:pPr>
            <w:r w:rsidRPr="009671C8">
              <w:rPr>
                <w:rFonts w:ascii="Times New Roman" w:eastAsia="Calibri" w:hAnsi="Times New Roman" w:cs="Times New Roman"/>
                <w:sz w:val="20"/>
                <w:szCs w:val="20"/>
              </w:rPr>
              <w:t>Gender equality</w:t>
            </w:r>
          </w:p>
          <w:p w:rsidR="00DE1C19" w:rsidRPr="009671C8" w:rsidRDefault="00DE1C19" w:rsidP="009671C8">
            <w:pPr>
              <w:rPr>
                <w:rFonts w:ascii="Times New Roman" w:hAnsi="Times New Roman" w:cs="Times New Roman"/>
                <w:sz w:val="20"/>
                <w:szCs w:val="20"/>
              </w:rPr>
            </w:pPr>
          </w:p>
        </w:tc>
        <w:tc>
          <w:tcPr>
            <w:tcW w:w="1018"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EU</w:t>
            </w:r>
          </w:p>
        </w:tc>
        <w:tc>
          <w:tcPr>
            <w:tcW w:w="1862" w:type="pct"/>
          </w:tcPr>
          <w:p w:rsidR="00DE1C19" w:rsidRPr="009671C8" w:rsidRDefault="00DE1C19" w:rsidP="009671C8">
            <w:pPr>
              <w:rPr>
                <w:rFonts w:ascii="Times New Roman" w:hAnsi="Times New Roman" w:cs="Times New Roman"/>
                <w:sz w:val="20"/>
                <w:szCs w:val="20"/>
              </w:rPr>
            </w:pPr>
            <w:r w:rsidRPr="009671C8">
              <w:rPr>
                <w:rFonts w:ascii="Times New Roman" w:hAnsi="Times New Roman" w:cs="Times New Roman"/>
                <w:sz w:val="20"/>
                <w:szCs w:val="20"/>
              </w:rPr>
              <w:t xml:space="preserve">Direct effect: </w:t>
            </w:r>
            <w:r w:rsidR="00683659" w:rsidRPr="009671C8">
              <w:rPr>
                <w:rFonts w:ascii="Times New Roman" w:hAnsi="Times New Roman" w:cs="Times New Roman"/>
                <w:sz w:val="20"/>
                <w:szCs w:val="20"/>
              </w:rPr>
              <w:t>0</w:t>
            </w:r>
          </w:p>
          <w:p w:rsidR="00DE1C19" w:rsidRPr="009671C8" w:rsidRDefault="00DE1C19" w:rsidP="009671C8">
            <w:pPr>
              <w:rPr>
                <w:rFonts w:ascii="Times New Roman" w:hAnsi="Times New Roman" w:cs="Times New Roman"/>
                <w:b/>
                <w:sz w:val="20"/>
                <w:szCs w:val="20"/>
              </w:rPr>
            </w:pPr>
            <w:r w:rsidRPr="009671C8">
              <w:rPr>
                <w:rFonts w:ascii="Times New Roman" w:hAnsi="Times New Roman" w:cs="Times New Roman"/>
                <w:sz w:val="20"/>
                <w:szCs w:val="20"/>
              </w:rPr>
              <w:t xml:space="preserve">Indirect effect: </w:t>
            </w:r>
            <w:r w:rsidR="00683659" w:rsidRPr="009671C8">
              <w:rPr>
                <w:rFonts w:ascii="Times New Roman" w:hAnsi="Times New Roman" w:cs="Times New Roman"/>
                <w:sz w:val="20"/>
                <w:szCs w:val="20"/>
              </w:rPr>
              <w:t>0</w:t>
            </w:r>
          </w:p>
        </w:tc>
      </w:tr>
      <w:tr w:rsidR="00683659" w:rsidRPr="00F70FEF" w:rsidTr="009671C8">
        <w:trPr>
          <w:trHeight w:val="407"/>
        </w:trPr>
        <w:tc>
          <w:tcPr>
            <w:tcW w:w="2120" w:type="pct"/>
            <w:vMerge/>
          </w:tcPr>
          <w:p w:rsidR="00683659" w:rsidRPr="009671C8" w:rsidRDefault="00683659" w:rsidP="009671C8">
            <w:pPr>
              <w:rPr>
                <w:rFonts w:ascii="Times New Roman" w:hAnsi="Times New Roman" w:cs="Times New Roman"/>
                <w:sz w:val="20"/>
                <w:szCs w:val="20"/>
              </w:rPr>
            </w:pPr>
          </w:p>
        </w:tc>
        <w:tc>
          <w:tcPr>
            <w:tcW w:w="1018" w:type="pct"/>
          </w:tcPr>
          <w:p w:rsidR="00683659" w:rsidRPr="009671C8" w:rsidRDefault="00683659" w:rsidP="009671C8">
            <w:pPr>
              <w:rPr>
                <w:rFonts w:ascii="Times New Roman" w:hAnsi="Times New Roman" w:cs="Times New Roman"/>
                <w:sz w:val="20"/>
                <w:szCs w:val="20"/>
              </w:rPr>
            </w:pPr>
            <w:r w:rsidRPr="009671C8">
              <w:rPr>
                <w:rFonts w:ascii="Times New Roman" w:hAnsi="Times New Roman" w:cs="Times New Roman"/>
                <w:sz w:val="20"/>
                <w:szCs w:val="20"/>
              </w:rPr>
              <w:t>Chile</w:t>
            </w:r>
          </w:p>
        </w:tc>
        <w:tc>
          <w:tcPr>
            <w:tcW w:w="1862" w:type="pct"/>
          </w:tcPr>
          <w:p w:rsidR="00683659" w:rsidRPr="009671C8" w:rsidRDefault="00683659" w:rsidP="009671C8">
            <w:pPr>
              <w:rPr>
                <w:rFonts w:ascii="Times New Roman" w:hAnsi="Times New Roman" w:cs="Times New Roman"/>
                <w:sz w:val="20"/>
                <w:szCs w:val="20"/>
              </w:rPr>
            </w:pPr>
            <w:r w:rsidRPr="009671C8">
              <w:rPr>
                <w:rFonts w:ascii="Times New Roman" w:hAnsi="Times New Roman" w:cs="Times New Roman"/>
                <w:sz w:val="20"/>
                <w:szCs w:val="20"/>
              </w:rPr>
              <w:t xml:space="preserve">Direct effect: </w:t>
            </w:r>
            <w:r w:rsidR="00027FD4">
              <w:rPr>
                <w:rFonts w:ascii="Times New Roman" w:hAnsi="Times New Roman" w:cs="Times New Roman"/>
                <w:sz w:val="20"/>
                <w:szCs w:val="20"/>
              </w:rPr>
              <w:t>0</w:t>
            </w:r>
          </w:p>
          <w:p w:rsidR="00683659" w:rsidRPr="009671C8" w:rsidRDefault="00683659" w:rsidP="00027FD4">
            <w:pPr>
              <w:rPr>
                <w:rFonts w:ascii="Times New Roman" w:hAnsi="Times New Roman" w:cs="Times New Roman"/>
                <w:sz w:val="20"/>
                <w:szCs w:val="20"/>
              </w:rPr>
            </w:pPr>
            <w:r w:rsidRPr="009671C8">
              <w:rPr>
                <w:rFonts w:ascii="Times New Roman" w:hAnsi="Times New Roman" w:cs="Times New Roman"/>
                <w:sz w:val="20"/>
                <w:szCs w:val="20"/>
              </w:rPr>
              <w:t xml:space="preserve">Indirect effect: </w:t>
            </w:r>
            <w:r w:rsidR="00012BCE">
              <w:rPr>
                <w:rFonts w:ascii="Times New Roman" w:hAnsi="Times New Roman" w:cs="Times New Roman"/>
                <w:sz w:val="20"/>
                <w:szCs w:val="20"/>
              </w:rPr>
              <w:t>0</w:t>
            </w:r>
          </w:p>
        </w:tc>
      </w:tr>
    </w:tbl>
    <w:p w:rsidR="00E16507" w:rsidRPr="00361BD0" w:rsidRDefault="00E16507" w:rsidP="00D47EE2">
      <w:pPr>
        <w:spacing w:after="0" w:line="240" w:lineRule="auto"/>
        <w:ind w:left="720" w:firstLine="720"/>
        <w:rPr>
          <w:rFonts w:ascii="Times New Roman" w:eastAsia="Calibri" w:hAnsi="Times New Roman" w:cs="Times New Roman"/>
          <w:sz w:val="18"/>
          <w:szCs w:val="18"/>
          <w:u w:val="single"/>
        </w:rPr>
      </w:pPr>
    </w:p>
    <w:p w:rsidR="00E16507" w:rsidRPr="00361BD0" w:rsidRDefault="00E16507" w:rsidP="00D47EE2">
      <w:pPr>
        <w:spacing w:after="0" w:line="240" w:lineRule="auto"/>
        <w:ind w:left="720" w:firstLine="720"/>
        <w:rPr>
          <w:rFonts w:ascii="Times New Roman" w:eastAsia="Calibri" w:hAnsi="Times New Roman" w:cs="Times New Roman"/>
          <w:sz w:val="18"/>
          <w:szCs w:val="18"/>
          <w:u w:val="single"/>
        </w:rPr>
      </w:pPr>
    </w:p>
    <w:p w:rsidR="00E23FC0" w:rsidRPr="00D47EE2" w:rsidRDefault="00D47EE2" w:rsidP="00D47EE2">
      <w:pPr>
        <w:spacing w:after="0" w:line="240" w:lineRule="auto"/>
        <w:ind w:left="720" w:firstLine="720"/>
        <w:rPr>
          <w:rFonts w:ascii="Times New Roman" w:eastAsia="Calibri" w:hAnsi="Times New Roman" w:cs="Times New Roman"/>
          <w:sz w:val="18"/>
          <w:szCs w:val="18"/>
        </w:rPr>
      </w:pPr>
      <w:r w:rsidRPr="00D47EE2">
        <w:rPr>
          <w:rFonts w:ascii="Times New Roman" w:eastAsia="Calibri" w:hAnsi="Times New Roman" w:cs="Times New Roman"/>
          <w:sz w:val="18"/>
          <w:szCs w:val="18"/>
        </w:rPr>
        <w:t xml:space="preserve">  </w:t>
      </w:r>
    </w:p>
    <w:p w:rsidR="00E606E2" w:rsidRPr="00261E9D" w:rsidRDefault="00E606E2" w:rsidP="00882520">
      <w:pPr>
        <w:pStyle w:val="Heading2"/>
        <w:numPr>
          <w:ilvl w:val="1"/>
          <w:numId w:val="56"/>
        </w:numPr>
        <w:rPr>
          <w:u w:val="single"/>
        </w:rPr>
      </w:pPr>
      <w:bookmarkStart w:id="57" w:name="_Toc473123094"/>
      <w:r w:rsidRPr="00261E9D">
        <w:rPr>
          <w:u w:val="single"/>
        </w:rPr>
        <w:t>Governance impact</w:t>
      </w:r>
      <w:bookmarkEnd w:id="57"/>
    </w:p>
    <w:p w:rsidR="00302A40" w:rsidRDefault="00302A40" w:rsidP="00E606E2">
      <w:pPr>
        <w:autoSpaceDE w:val="0"/>
        <w:autoSpaceDN w:val="0"/>
        <w:adjustRightInd w:val="0"/>
        <w:spacing w:after="120" w:line="240" w:lineRule="auto"/>
        <w:jc w:val="both"/>
        <w:rPr>
          <w:rFonts w:ascii="Times New Roman" w:hAnsi="Times New Roman" w:cs="Times New Roman"/>
          <w:color w:val="000000"/>
          <w:sz w:val="24"/>
          <w:szCs w:val="24"/>
        </w:rPr>
      </w:pPr>
    </w:p>
    <w:p w:rsidR="00E606E2" w:rsidRPr="00E606E2" w:rsidRDefault="000E36CB" w:rsidP="00E606E2">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trade pillar of the existing EU-Chile Association Agreement </w:t>
      </w:r>
      <w:r w:rsidR="00E606E2" w:rsidRPr="00E606E2">
        <w:rPr>
          <w:rFonts w:ascii="Times New Roman" w:hAnsi="Times New Roman" w:cs="Times New Roman"/>
          <w:color w:val="000000"/>
          <w:sz w:val="24"/>
          <w:szCs w:val="24"/>
        </w:rPr>
        <w:t>include</w:t>
      </w:r>
      <w:r>
        <w:rPr>
          <w:rFonts w:ascii="Times New Roman" w:hAnsi="Times New Roman" w:cs="Times New Roman"/>
          <w:color w:val="000000"/>
          <w:sz w:val="24"/>
          <w:szCs w:val="24"/>
        </w:rPr>
        <w:t>s</w:t>
      </w:r>
      <w:r w:rsidR="00E606E2" w:rsidRPr="00E606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some </w:t>
      </w:r>
      <w:r w:rsidR="006757BE">
        <w:rPr>
          <w:rFonts w:ascii="Times New Roman" w:hAnsi="Times New Roman" w:cs="Times New Roman"/>
          <w:color w:val="000000"/>
          <w:sz w:val="24"/>
          <w:szCs w:val="24"/>
        </w:rPr>
        <w:t xml:space="preserve">very </w:t>
      </w:r>
      <w:r>
        <w:rPr>
          <w:rFonts w:ascii="Times New Roman" w:hAnsi="Times New Roman" w:cs="Times New Roman"/>
          <w:color w:val="000000"/>
          <w:sz w:val="24"/>
          <w:szCs w:val="24"/>
        </w:rPr>
        <w:t xml:space="preserve">basic </w:t>
      </w:r>
      <w:r w:rsidR="00E606E2" w:rsidRPr="00E606E2">
        <w:rPr>
          <w:rFonts w:ascii="Times New Roman" w:hAnsi="Times New Roman" w:cs="Times New Roman"/>
          <w:color w:val="000000"/>
          <w:sz w:val="24"/>
          <w:szCs w:val="24"/>
        </w:rPr>
        <w:t xml:space="preserve">provisions on </w:t>
      </w:r>
      <w:r>
        <w:rPr>
          <w:rFonts w:ascii="Times New Roman" w:hAnsi="Times New Roman" w:cs="Times New Roman"/>
          <w:color w:val="000000"/>
          <w:sz w:val="24"/>
          <w:szCs w:val="24"/>
        </w:rPr>
        <w:t>transparency</w:t>
      </w:r>
      <w:r w:rsidR="00093D6E">
        <w:rPr>
          <w:rFonts w:ascii="Times New Roman" w:hAnsi="Times New Roman" w:cs="Times New Roman"/>
          <w:color w:val="000000"/>
          <w:sz w:val="24"/>
          <w:szCs w:val="24"/>
        </w:rPr>
        <w:t xml:space="preserve"> and provisions on anti-corruption, </w:t>
      </w:r>
      <w:r>
        <w:rPr>
          <w:rFonts w:ascii="Times New Roman" w:hAnsi="Times New Roman" w:cs="Times New Roman"/>
          <w:color w:val="000000"/>
          <w:sz w:val="24"/>
          <w:szCs w:val="24"/>
        </w:rPr>
        <w:t>but does not include provisions on anti-fraud.</w:t>
      </w:r>
      <w:r w:rsidR="00E606E2" w:rsidRPr="00E606E2">
        <w:rPr>
          <w:rFonts w:ascii="Times New Roman" w:hAnsi="Times New Roman" w:cs="Times New Roman"/>
          <w:color w:val="000000"/>
          <w:sz w:val="24"/>
          <w:szCs w:val="24"/>
        </w:rPr>
        <w:t xml:space="preserve"> </w:t>
      </w:r>
    </w:p>
    <w:p w:rsidR="00E606E2" w:rsidRPr="00E606E2" w:rsidRDefault="00EE0664" w:rsidP="00E606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modernised EU-Chile FTA</w:t>
      </w:r>
      <w:r w:rsidR="00E606E2" w:rsidRPr="00E606E2">
        <w:rPr>
          <w:rFonts w:ascii="Times New Roman" w:hAnsi="Times New Roman" w:cs="Times New Roman"/>
          <w:sz w:val="24"/>
          <w:szCs w:val="24"/>
        </w:rPr>
        <w:t xml:space="preserve"> would include transparency rules that would ensure </w:t>
      </w:r>
      <w:r w:rsidR="00107E37">
        <w:rPr>
          <w:rFonts w:ascii="Times New Roman" w:hAnsi="Times New Roman" w:cs="Times New Roman"/>
          <w:sz w:val="24"/>
          <w:szCs w:val="24"/>
        </w:rPr>
        <w:t xml:space="preserve">proper </w:t>
      </w:r>
      <w:r w:rsidR="00E606E2" w:rsidRPr="00E606E2">
        <w:rPr>
          <w:rFonts w:ascii="Times New Roman" w:hAnsi="Times New Roman" w:cs="Times New Roman"/>
          <w:sz w:val="24"/>
          <w:szCs w:val="24"/>
        </w:rPr>
        <w:t>involvement and consultation of stakeholders</w:t>
      </w:r>
      <w:r w:rsidR="006757BE">
        <w:rPr>
          <w:rFonts w:ascii="Times New Roman" w:hAnsi="Times New Roman" w:cs="Times New Roman"/>
          <w:sz w:val="24"/>
          <w:szCs w:val="24"/>
        </w:rPr>
        <w:t xml:space="preserve">, and </w:t>
      </w:r>
      <w:r w:rsidR="00E606E2" w:rsidRPr="00E606E2">
        <w:rPr>
          <w:rFonts w:ascii="Times New Roman" w:hAnsi="Times New Roman" w:cs="Times New Roman"/>
          <w:sz w:val="24"/>
          <w:szCs w:val="24"/>
        </w:rPr>
        <w:t>publication of rules and measures impacting trade and investment.</w:t>
      </w:r>
      <w:r w:rsidR="00E606E2" w:rsidRPr="00E606E2">
        <w:rPr>
          <w:rFonts w:ascii="Times New Roman" w:eastAsia="Calibri" w:hAnsi="Times New Roman" w:cs="Times New Roman"/>
          <w:sz w:val="24"/>
          <w:szCs w:val="24"/>
        </w:rPr>
        <w:t xml:space="preserve"> Enhanced rules for public procurement would prescribe transparency, fairness, legal predictability and judicial review and would thus have a positive impact. </w:t>
      </w:r>
      <w:r w:rsidR="00E606E2" w:rsidRPr="00E606E2">
        <w:rPr>
          <w:rFonts w:ascii="Times New Roman" w:hAnsi="Times New Roman" w:cs="Times New Roman"/>
          <w:sz w:val="24"/>
          <w:szCs w:val="24"/>
        </w:rPr>
        <w:t xml:space="preserve">In line with the longstanding EU policy on trade agreements, a dedicated set of commitments under a specific Trade and Sustainable Development chapter of the </w:t>
      </w:r>
      <w:r>
        <w:rPr>
          <w:rFonts w:ascii="Times New Roman" w:hAnsi="Times New Roman" w:cs="Times New Roman"/>
          <w:sz w:val="24"/>
          <w:szCs w:val="24"/>
        </w:rPr>
        <w:t>modernised EU-Chile FTA</w:t>
      </w:r>
      <w:r w:rsidR="00E606E2" w:rsidRPr="00E606E2">
        <w:rPr>
          <w:rFonts w:ascii="Times New Roman" w:hAnsi="Times New Roman" w:cs="Times New Roman"/>
          <w:sz w:val="24"/>
          <w:szCs w:val="24"/>
        </w:rPr>
        <w:t xml:space="preserve"> would ensure the necessary promotion of environmental and labour standards.</w:t>
      </w:r>
      <w:r w:rsidR="00E606E2" w:rsidRPr="00E606E2">
        <w:t xml:space="preserve"> </w:t>
      </w:r>
      <w:r w:rsidR="00E606E2" w:rsidRPr="00E606E2">
        <w:rPr>
          <w:rFonts w:ascii="Times New Roman" w:hAnsi="Times New Roman" w:cs="Times New Roman"/>
          <w:sz w:val="24"/>
          <w:szCs w:val="24"/>
        </w:rPr>
        <w:t>Anti-fraud provisions are included in comprehensive FTAs negotiated</w:t>
      </w:r>
      <w:r w:rsidR="006757BE">
        <w:rPr>
          <w:rFonts w:ascii="Times New Roman" w:hAnsi="Times New Roman" w:cs="Times New Roman"/>
          <w:sz w:val="24"/>
          <w:szCs w:val="24"/>
        </w:rPr>
        <w:t xml:space="preserve"> recently </w:t>
      </w:r>
      <w:r w:rsidR="00E606E2" w:rsidRPr="00E606E2">
        <w:rPr>
          <w:rFonts w:ascii="Times New Roman" w:hAnsi="Times New Roman" w:cs="Times New Roman"/>
          <w:sz w:val="24"/>
          <w:szCs w:val="24"/>
        </w:rPr>
        <w:t>by the EU</w:t>
      </w:r>
      <w:r w:rsidR="006757BE">
        <w:rPr>
          <w:rFonts w:ascii="Times New Roman" w:hAnsi="Times New Roman" w:cs="Times New Roman"/>
          <w:sz w:val="24"/>
          <w:szCs w:val="24"/>
        </w:rPr>
        <w:t>,</w:t>
      </w:r>
      <w:r w:rsidR="00E606E2" w:rsidRPr="00E606E2">
        <w:rPr>
          <w:rFonts w:ascii="Times New Roman" w:hAnsi="Times New Roman" w:cs="Times New Roman"/>
          <w:sz w:val="24"/>
          <w:szCs w:val="24"/>
        </w:rPr>
        <w:t xml:space="preserve"> and would be the case for</w:t>
      </w:r>
      <w:r w:rsidR="000E36CB">
        <w:rPr>
          <w:rFonts w:ascii="Times New Roman" w:hAnsi="Times New Roman" w:cs="Times New Roman"/>
          <w:sz w:val="24"/>
          <w:szCs w:val="24"/>
        </w:rPr>
        <w:t xml:space="preserve"> the modernised EU-Chile FTA</w:t>
      </w:r>
      <w:r w:rsidR="00E606E2" w:rsidRPr="00E606E2">
        <w:rPr>
          <w:rFonts w:ascii="Times New Roman" w:hAnsi="Times New Roman" w:cs="Times New Roman"/>
          <w:sz w:val="24"/>
          <w:szCs w:val="24"/>
        </w:rPr>
        <w:t xml:space="preserve"> as well.</w:t>
      </w:r>
    </w:p>
    <w:p w:rsidR="00E606E2" w:rsidRPr="00E606E2" w:rsidRDefault="00E606E2" w:rsidP="00E606E2">
      <w:pPr>
        <w:autoSpaceDE w:val="0"/>
        <w:autoSpaceDN w:val="0"/>
        <w:adjustRightInd w:val="0"/>
        <w:spacing w:after="120" w:line="240" w:lineRule="auto"/>
        <w:rPr>
          <w:rFonts w:ascii="Times New Roman" w:hAnsi="Times New Roman" w:cs="Times New Roman"/>
          <w:color w:val="000000"/>
          <w:sz w:val="24"/>
          <w:szCs w:val="24"/>
        </w:rPr>
      </w:pPr>
    </w:p>
    <w:p w:rsidR="00E606E2" w:rsidRPr="00261E9D" w:rsidRDefault="00E606E2" w:rsidP="00882520">
      <w:pPr>
        <w:pStyle w:val="Heading2"/>
        <w:numPr>
          <w:ilvl w:val="1"/>
          <w:numId w:val="56"/>
        </w:numPr>
        <w:rPr>
          <w:u w:val="single"/>
        </w:rPr>
      </w:pPr>
      <w:bookmarkStart w:id="58" w:name="_Toc473123095"/>
      <w:r w:rsidRPr="00261E9D">
        <w:rPr>
          <w:u w:val="single"/>
        </w:rPr>
        <w:t>Administrative impact</w:t>
      </w:r>
      <w:bookmarkEnd w:id="58"/>
    </w:p>
    <w:p w:rsidR="00302A40" w:rsidRDefault="00302A40" w:rsidP="004341F1">
      <w:pPr>
        <w:spacing w:after="0" w:line="240" w:lineRule="auto"/>
        <w:jc w:val="both"/>
        <w:rPr>
          <w:rFonts w:ascii="Times New Roman" w:hAnsi="Times New Roman" w:cs="Times New Roman"/>
          <w:sz w:val="24"/>
          <w:szCs w:val="24"/>
        </w:rPr>
      </w:pPr>
    </w:p>
    <w:p w:rsidR="004341F1" w:rsidRDefault="004341F1" w:rsidP="004341F1">
      <w:pPr>
        <w:spacing w:after="0" w:line="240" w:lineRule="auto"/>
        <w:jc w:val="both"/>
        <w:rPr>
          <w:rFonts w:ascii="Times New Roman" w:hAnsi="Times New Roman" w:cs="Times New Roman"/>
          <w:sz w:val="24"/>
          <w:szCs w:val="24"/>
        </w:rPr>
      </w:pPr>
      <w:r w:rsidRPr="00BB12DD">
        <w:rPr>
          <w:rFonts w:ascii="Times New Roman" w:hAnsi="Times New Roman" w:cs="Times New Roman"/>
          <w:sz w:val="24"/>
          <w:szCs w:val="24"/>
        </w:rPr>
        <w:t xml:space="preserve">Administrative </w:t>
      </w:r>
      <w:r w:rsidR="002B1035">
        <w:rPr>
          <w:rFonts w:ascii="Times New Roman" w:hAnsi="Times New Roman" w:cs="Times New Roman"/>
          <w:sz w:val="24"/>
          <w:szCs w:val="24"/>
        </w:rPr>
        <w:t>impact</w:t>
      </w:r>
      <w:r w:rsidRPr="00BB12DD">
        <w:rPr>
          <w:rFonts w:ascii="Times New Roman" w:hAnsi="Times New Roman" w:cs="Times New Roman"/>
          <w:sz w:val="24"/>
          <w:szCs w:val="24"/>
        </w:rPr>
        <w:t xml:space="preserve"> can be defined as the costs incurred by </w:t>
      </w:r>
      <w:r w:rsidR="002B1035">
        <w:rPr>
          <w:rFonts w:ascii="Times New Roman" w:hAnsi="Times New Roman" w:cs="Times New Roman"/>
          <w:sz w:val="24"/>
          <w:szCs w:val="24"/>
        </w:rPr>
        <w:t>economic operators</w:t>
      </w:r>
      <w:r w:rsidRPr="00BB12DD">
        <w:rPr>
          <w:rFonts w:ascii="Times New Roman" w:hAnsi="Times New Roman" w:cs="Times New Roman"/>
          <w:sz w:val="24"/>
          <w:szCs w:val="24"/>
        </w:rPr>
        <w:t xml:space="preserve"> and public authorities in meeting legal obligations</w:t>
      </w:r>
      <w:r w:rsidR="002B1035">
        <w:rPr>
          <w:rFonts w:ascii="Times New Roman" w:hAnsi="Times New Roman" w:cs="Times New Roman"/>
          <w:sz w:val="24"/>
          <w:szCs w:val="24"/>
        </w:rPr>
        <w:t xml:space="preserve"> stemming from a new framework for trade and investment relations with Chile. For example, these could be obligations </w:t>
      </w:r>
      <w:r w:rsidRPr="00BB12DD">
        <w:rPr>
          <w:rFonts w:ascii="Times New Roman" w:hAnsi="Times New Roman" w:cs="Times New Roman"/>
          <w:sz w:val="24"/>
          <w:szCs w:val="24"/>
        </w:rPr>
        <w:t>to provide information on their action or production, either to public authorities or to private parties</w:t>
      </w:r>
      <w:r w:rsidR="002B1035">
        <w:rPr>
          <w:rFonts w:ascii="Times New Roman" w:hAnsi="Times New Roman" w:cs="Times New Roman"/>
          <w:sz w:val="24"/>
          <w:szCs w:val="24"/>
        </w:rPr>
        <w:t>, register and enforce certain obligations and rights, carry out cooperation activities etc</w:t>
      </w:r>
      <w:r w:rsidRPr="00BB12DD">
        <w:rPr>
          <w:rFonts w:ascii="Times New Roman" w:hAnsi="Times New Roman" w:cs="Times New Roman"/>
          <w:sz w:val="24"/>
          <w:szCs w:val="24"/>
        </w:rPr>
        <w:t>.</w:t>
      </w:r>
    </w:p>
    <w:p w:rsidR="004341F1" w:rsidRPr="00BB12DD" w:rsidRDefault="004341F1" w:rsidP="004341F1">
      <w:pPr>
        <w:spacing w:after="0" w:line="240" w:lineRule="auto"/>
        <w:jc w:val="both"/>
        <w:rPr>
          <w:rFonts w:ascii="Times New Roman" w:hAnsi="Times New Roman" w:cs="Times New Roman"/>
          <w:sz w:val="24"/>
          <w:szCs w:val="24"/>
        </w:rPr>
      </w:pPr>
    </w:p>
    <w:p w:rsidR="00667798" w:rsidRDefault="00C31A8E" w:rsidP="00434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details of implementation and associated administrative cost would depend on the negotiated provisions. </w:t>
      </w:r>
      <w:r w:rsidR="004341F1" w:rsidRPr="00BB12DD">
        <w:rPr>
          <w:rFonts w:ascii="Times New Roman" w:hAnsi="Times New Roman" w:cs="Times New Roman"/>
          <w:sz w:val="24"/>
          <w:szCs w:val="24"/>
        </w:rPr>
        <w:t xml:space="preserve">The administrative </w:t>
      </w:r>
      <w:r w:rsidR="002B1035">
        <w:rPr>
          <w:rFonts w:ascii="Times New Roman" w:hAnsi="Times New Roman" w:cs="Times New Roman"/>
          <w:sz w:val="24"/>
          <w:szCs w:val="24"/>
        </w:rPr>
        <w:t>impact of the two sub-options C1 and C2 can be assumed to be of similar magnitude, with a somewhat more important impact under option C2 due to more intense cooperation of regulatory bodies as</w:t>
      </w:r>
      <w:r w:rsidR="00667798">
        <w:rPr>
          <w:rFonts w:ascii="Times New Roman" w:hAnsi="Times New Roman" w:cs="Times New Roman"/>
          <w:sz w:val="24"/>
          <w:szCs w:val="24"/>
        </w:rPr>
        <w:t xml:space="preserve"> </w:t>
      </w:r>
      <w:r w:rsidR="002B1035">
        <w:rPr>
          <w:rFonts w:ascii="Times New Roman" w:hAnsi="Times New Roman" w:cs="Times New Roman"/>
          <w:sz w:val="24"/>
          <w:szCs w:val="24"/>
        </w:rPr>
        <w:t xml:space="preserve">more changes to NTBs are foreseen. </w:t>
      </w:r>
      <w:r w:rsidR="004341F1">
        <w:rPr>
          <w:rFonts w:ascii="Times New Roman" w:hAnsi="Times New Roman" w:cs="Times New Roman"/>
          <w:sz w:val="24"/>
          <w:szCs w:val="24"/>
        </w:rPr>
        <w:t xml:space="preserve"> </w:t>
      </w:r>
    </w:p>
    <w:p w:rsidR="00667798" w:rsidRDefault="00667798" w:rsidP="004341F1">
      <w:pPr>
        <w:spacing w:after="0" w:line="240" w:lineRule="auto"/>
        <w:jc w:val="both"/>
        <w:rPr>
          <w:rFonts w:ascii="Times New Roman" w:hAnsi="Times New Roman" w:cs="Times New Roman"/>
          <w:sz w:val="24"/>
          <w:szCs w:val="24"/>
        </w:rPr>
      </w:pPr>
    </w:p>
    <w:p w:rsidR="00D511A9" w:rsidRDefault="00D511A9" w:rsidP="00434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w:t>
      </w:r>
      <w:r w:rsidR="004341F1" w:rsidRPr="00BB12DD">
        <w:rPr>
          <w:rFonts w:ascii="Times New Roman" w:hAnsi="Times New Roman" w:cs="Times New Roman"/>
          <w:sz w:val="24"/>
          <w:szCs w:val="24"/>
        </w:rPr>
        <w:t xml:space="preserve">the </w:t>
      </w:r>
      <w:r w:rsidR="004341F1">
        <w:rPr>
          <w:rFonts w:ascii="Times New Roman" w:hAnsi="Times New Roman" w:cs="Times New Roman"/>
          <w:sz w:val="24"/>
          <w:szCs w:val="24"/>
        </w:rPr>
        <w:t>modernisation of the EU-Chile</w:t>
      </w:r>
      <w:r w:rsidR="004341F1" w:rsidRPr="00BB12DD">
        <w:rPr>
          <w:rFonts w:ascii="Times New Roman" w:hAnsi="Times New Roman" w:cs="Times New Roman"/>
          <w:sz w:val="24"/>
          <w:szCs w:val="24"/>
        </w:rPr>
        <w:t xml:space="preserve"> FTA </w:t>
      </w:r>
      <w:r w:rsidR="004341F1">
        <w:rPr>
          <w:rFonts w:ascii="Times New Roman" w:hAnsi="Times New Roman" w:cs="Times New Roman"/>
          <w:sz w:val="24"/>
          <w:szCs w:val="24"/>
        </w:rPr>
        <w:t>may</w:t>
      </w:r>
      <w:r w:rsidR="004341F1" w:rsidRPr="00BB12DD">
        <w:rPr>
          <w:rFonts w:ascii="Times New Roman" w:hAnsi="Times New Roman" w:cs="Times New Roman"/>
          <w:sz w:val="24"/>
          <w:szCs w:val="24"/>
        </w:rPr>
        <w:t xml:space="preserve"> require </w:t>
      </w:r>
      <w:r w:rsidR="004341F1">
        <w:rPr>
          <w:rFonts w:ascii="Times New Roman" w:hAnsi="Times New Roman" w:cs="Times New Roman"/>
          <w:sz w:val="24"/>
          <w:szCs w:val="24"/>
        </w:rPr>
        <w:t>improved</w:t>
      </w:r>
      <w:r w:rsidR="004341F1" w:rsidRPr="00BB12DD">
        <w:rPr>
          <w:rFonts w:ascii="Times New Roman" w:hAnsi="Times New Roman" w:cs="Times New Roman"/>
          <w:sz w:val="24"/>
          <w:szCs w:val="24"/>
        </w:rPr>
        <w:t xml:space="preserve"> administrative and legislative procedures </w:t>
      </w:r>
      <w:r w:rsidR="004341F1">
        <w:rPr>
          <w:rFonts w:ascii="Times New Roman" w:hAnsi="Times New Roman" w:cs="Times New Roman"/>
          <w:sz w:val="24"/>
          <w:szCs w:val="24"/>
        </w:rPr>
        <w:t>to implement</w:t>
      </w:r>
      <w:r w:rsidR="004341F1" w:rsidRPr="00BB12DD">
        <w:rPr>
          <w:rFonts w:ascii="Times New Roman" w:hAnsi="Times New Roman" w:cs="Times New Roman"/>
          <w:sz w:val="24"/>
          <w:szCs w:val="24"/>
        </w:rPr>
        <w:t xml:space="preserve"> the </w:t>
      </w:r>
      <w:r w:rsidR="004341F1">
        <w:rPr>
          <w:rFonts w:ascii="Times New Roman" w:hAnsi="Times New Roman" w:cs="Times New Roman"/>
          <w:sz w:val="24"/>
          <w:szCs w:val="24"/>
        </w:rPr>
        <w:t>new provisions</w:t>
      </w:r>
      <w:r>
        <w:rPr>
          <w:rFonts w:ascii="Times New Roman" w:hAnsi="Times New Roman" w:cs="Times New Roman"/>
          <w:sz w:val="24"/>
          <w:szCs w:val="24"/>
        </w:rPr>
        <w:t xml:space="preserve"> on both sides, the institutional structures under the existing Agreement are already quite developed, and the need to set up additional institutional structures is therefore expected to be limited.  </w:t>
      </w:r>
    </w:p>
    <w:p w:rsidR="00D511A9" w:rsidRDefault="00D511A9" w:rsidP="004341F1">
      <w:pPr>
        <w:spacing w:after="0" w:line="240" w:lineRule="auto"/>
        <w:jc w:val="both"/>
        <w:rPr>
          <w:rFonts w:ascii="Times New Roman" w:hAnsi="Times New Roman" w:cs="Times New Roman"/>
          <w:sz w:val="24"/>
          <w:szCs w:val="24"/>
        </w:rPr>
      </w:pPr>
    </w:p>
    <w:p w:rsidR="004341F1" w:rsidRDefault="00D511A9" w:rsidP="00434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Moreover</w:t>
      </w:r>
      <w:r w:rsidR="004341F1" w:rsidRPr="00BB12DD">
        <w:rPr>
          <w:rFonts w:ascii="Times New Roman" w:hAnsi="Times New Roman" w:cs="Times New Roman"/>
          <w:sz w:val="24"/>
          <w:szCs w:val="24"/>
        </w:rPr>
        <w:t xml:space="preserve">, </w:t>
      </w:r>
      <w:r w:rsidR="004341F1">
        <w:rPr>
          <w:rFonts w:ascii="Times New Roman" w:hAnsi="Times New Roman" w:cs="Times New Roman"/>
          <w:sz w:val="24"/>
          <w:szCs w:val="24"/>
        </w:rPr>
        <w:t xml:space="preserve">modernisation of the EU-Chile FTA </w:t>
      </w:r>
      <w:r w:rsidR="004341F1" w:rsidRPr="00BB12DD">
        <w:rPr>
          <w:rFonts w:ascii="Times New Roman" w:hAnsi="Times New Roman" w:cs="Times New Roman"/>
          <w:sz w:val="24"/>
          <w:szCs w:val="24"/>
        </w:rPr>
        <w:t>w</w:t>
      </w:r>
      <w:r w:rsidR="004341F1">
        <w:rPr>
          <w:rFonts w:ascii="Times New Roman" w:hAnsi="Times New Roman" w:cs="Times New Roman"/>
          <w:sz w:val="24"/>
          <w:szCs w:val="24"/>
        </w:rPr>
        <w:t>ould</w:t>
      </w:r>
      <w:r w:rsidR="004341F1" w:rsidRPr="00BB12DD">
        <w:rPr>
          <w:rFonts w:ascii="Times New Roman" w:hAnsi="Times New Roman" w:cs="Times New Roman"/>
          <w:sz w:val="24"/>
          <w:szCs w:val="24"/>
        </w:rPr>
        <w:t xml:space="preserve"> also create simplification benefits and </w:t>
      </w:r>
      <w:r w:rsidR="006757BE">
        <w:rPr>
          <w:rFonts w:ascii="Times New Roman" w:hAnsi="Times New Roman" w:cs="Times New Roman"/>
          <w:sz w:val="24"/>
          <w:szCs w:val="24"/>
        </w:rPr>
        <w:t xml:space="preserve">would </w:t>
      </w:r>
      <w:r w:rsidR="004341F1" w:rsidRPr="00BB12DD">
        <w:rPr>
          <w:rFonts w:ascii="Times New Roman" w:hAnsi="Times New Roman" w:cs="Times New Roman"/>
          <w:sz w:val="24"/>
          <w:szCs w:val="24"/>
        </w:rPr>
        <w:t>reduce administrativ</w:t>
      </w:r>
      <w:r w:rsidR="004341F1">
        <w:rPr>
          <w:rFonts w:ascii="Times New Roman" w:hAnsi="Times New Roman" w:cs="Times New Roman"/>
          <w:sz w:val="24"/>
          <w:szCs w:val="24"/>
        </w:rPr>
        <w:t>e costs in both the EU and Chile. The elimination of NTBs</w:t>
      </w:r>
      <w:r w:rsidR="004341F1" w:rsidRPr="00BB12DD">
        <w:rPr>
          <w:rFonts w:ascii="Times New Roman" w:hAnsi="Times New Roman" w:cs="Times New Roman"/>
          <w:sz w:val="24"/>
          <w:szCs w:val="24"/>
        </w:rPr>
        <w:t xml:space="preserve"> and cooperat</w:t>
      </w:r>
      <w:r w:rsidR="004341F1">
        <w:rPr>
          <w:rFonts w:ascii="Times New Roman" w:hAnsi="Times New Roman" w:cs="Times New Roman"/>
          <w:sz w:val="24"/>
          <w:szCs w:val="24"/>
        </w:rPr>
        <w:t>ion in the area of harmonisatio</w:t>
      </w:r>
      <w:r w:rsidR="004341F1" w:rsidRPr="00BB12DD">
        <w:rPr>
          <w:rFonts w:ascii="Times New Roman" w:hAnsi="Times New Roman" w:cs="Times New Roman"/>
          <w:sz w:val="24"/>
          <w:szCs w:val="24"/>
        </w:rPr>
        <w:t>n of standards c</w:t>
      </w:r>
      <w:r w:rsidR="00956242">
        <w:rPr>
          <w:rFonts w:ascii="Times New Roman" w:hAnsi="Times New Roman" w:cs="Times New Roman"/>
          <w:sz w:val="24"/>
          <w:szCs w:val="24"/>
        </w:rPr>
        <w:t>ould</w:t>
      </w:r>
      <w:r w:rsidR="004341F1" w:rsidRPr="00BB12DD">
        <w:rPr>
          <w:rFonts w:ascii="Times New Roman" w:hAnsi="Times New Roman" w:cs="Times New Roman"/>
          <w:sz w:val="24"/>
          <w:szCs w:val="24"/>
        </w:rPr>
        <w:t xml:space="preserve"> greatly reduce such administrative costs and create mutual benefits.</w:t>
      </w:r>
      <w:r w:rsidR="004341F1">
        <w:rPr>
          <w:rFonts w:ascii="Times New Roman" w:hAnsi="Times New Roman" w:cs="Times New Roman"/>
          <w:sz w:val="24"/>
          <w:szCs w:val="24"/>
        </w:rPr>
        <w:t xml:space="preserve"> </w:t>
      </w:r>
    </w:p>
    <w:p w:rsidR="00302A40" w:rsidRDefault="00302A40" w:rsidP="004341F1">
      <w:pPr>
        <w:spacing w:after="0" w:line="240" w:lineRule="auto"/>
        <w:jc w:val="both"/>
        <w:rPr>
          <w:rFonts w:ascii="Times New Roman" w:hAnsi="Times New Roman" w:cs="Times New Roman"/>
          <w:sz w:val="24"/>
          <w:szCs w:val="24"/>
        </w:rPr>
      </w:pPr>
    </w:p>
    <w:p w:rsidR="00E23FC0" w:rsidRPr="00E851A2" w:rsidRDefault="00E23FC0" w:rsidP="003255BE">
      <w:pPr>
        <w:autoSpaceDE w:val="0"/>
        <w:autoSpaceDN w:val="0"/>
        <w:adjustRightInd w:val="0"/>
        <w:spacing w:after="120" w:line="240" w:lineRule="auto"/>
        <w:rPr>
          <w:rFonts w:ascii="Times New Roman" w:hAnsi="Times New Roman" w:cs="Times New Roman"/>
          <w:color w:val="000000"/>
          <w:sz w:val="10"/>
          <w:szCs w:val="10"/>
        </w:rPr>
      </w:pPr>
    </w:p>
    <w:p w:rsidR="00E606E2" w:rsidRPr="00261E9D" w:rsidRDefault="00E606E2" w:rsidP="00882520">
      <w:pPr>
        <w:pStyle w:val="Heading2"/>
        <w:numPr>
          <w:ilvl w:val="1"/>
          <w:numId w:val="56"/>
        </w:numPr>
        <w:rPr>
          <w:u w:val="single"/>
        </w:rPr>
      </w:pPr>
      <w:bookmarkStart w:id="59" w:name="_Toc473123096"/>
      <w:r w:rsidRPr="00261E9D">
        <w:rPr>
          <w:u w:val="single"/>
        </w:rPr>
        <w:t xml:space="preserve">Assessment of administrative capacity of </w:t>
      </w:r>
      <w:r w:rsidR="003255BE" w:rsidRPr="00261E9D">
        <w:rPr>
          <w:u w:val="single"/>
        </w:rPr>
        <w:t xml:space="preserve">Chile's </w:t>
      </w:r>
      <w:r w:rsidRPr="00261E9D">
        <w:rPr>
          <w:u w:val="single"/>
        </w:rPr>
        <w:t>customs to implement the agreement (notably on application of rules of origin)</w:t>
      </w:r>
      <w:bookmarkEnd w:id="59"/>
    </w:p>
    <w:p w:rsidR="006D65DB" w:rsidRDefault="006D65DB" w:rsidP="00E606E2">
      <w:pPr>
        <w:autoSpaceDE w:val="0"/>
        <w:autoSpaceDN w:val="0"/>
        <w:adjustRightInd w:val="0"/>
        <w:spacing w:after="120" w:line="240" w:lineRule="auto"/>
        <w:jc w:val="both"/>
        <w:rPr>
          <w:rFonts w:ascii="Times New Roman" w:hAnsi="Times New Roman" w:cs="Times New Roman"/>
          <w:color w:val="000000"/>
          <w:sz w:val="24"/>
          <w:szCs w:val="24"/>
        </w:rPr>
      </w:pPr>
    </w:p>
    <w:p w:rsidR="00092D4B" w:rsidRPr="00092D4B" w:rsidRDefault="00092D4B" w:rsidP="00092D4B">
      <w:pPr>
        <w:spacing w:after="0" w:line="240" w:lineRule="auto"/>
        <w:jc w:val="both"/>
        <w:rPr>
          <w:rFonts w:ascii="Times New Roman" w:eastAsia="Calibri" w:hAnsi="Times New Roman" w:cs="Times New Roman"/>
          <w:sz w:val="24"/>
          <w:szCs w:val="24"/>
        </w:rPr>
      </w:pPr>
      <w:r w:rsidRPr="00092D4B">
        <w:rPr>
          <w:rFonts w:ascii="Times New Roman" w:eastAsia="Calibri" w:hAnsi="Times New Roman" w:cs="Times New Roman"/>
          <w:sz w:val="24"/>
          <w:szCs w:val="24"/>
        </w:rPr>
        <w:t>Chile has full administrative capacity to properly implement th</w:t>
      </w:r>
      <w:r w:rsidR="008F37F0">
        <w:rPr>
          <w:rFonts w:ascii="Times New Roman" w:eastAsia="Calibri" w:hAnsi="Times New Roman" w:cs="Times New Roman"/>
          <w:sz w:val="24"/>
          <w:szCs w:val="24"/>
        </w:rPr>
        <w:t>e provisions of the modernised a</w:t>
      </w:r>
      <w:r w:rsidRPr="00092D4B">
        <w:rPr>
          <w:rFonts w:ascii="Times New Roman" w:eastAsia="Calibri" w:hAnsi="Times New Roman" w:cs="Times New Roman"/>
          <w:sz w:val="24"/>
          <w:szCs w:val="24"/>
        </w:rPr>
        <w:t>greement. On the basis of Commission services’ practical experience with Chilean authorities for implementing the existi</w:t>
      </w:r>
      <w:r w:rsidR="00107E37">
        <w:rPr>
          <w:rFonts w:ascii="Times New Roman" w:eastAsia="Calibri" w:hAnsi="Times New Roman" w:cs="Times New Roman"/>
          <w:sz w:val="24"/>
          <w:szCs w:val="24"/>
        </w:rPr>
        <w:t xml:space="preserve">ng preferential agreement, </w:t>
      </w:r>
      <w:r w:rsidR="00622935">
        <w:rPr>
          <w:rFonts w:ascii="Times New Roman" w:eastAsia="Calibri" w:hAnsi="Times New Roman" w:cs="Times New Roman"/>
          <w:sz w:val="24"/>
          <w:szCs w:val="24"/>
        </w:rPr>
        <w:t xml:space="preserve">which has been very positive, </w:t>
      </w:r>
      <w:r w:rsidR="00107E37">
        <w:rPr>
          <w:rFonts w:ascii="Times New Roman" w:eastAsia="Calibri" w:hAnsi="Times New Roman" w:cs="Times New Roman"/>
          <w:sz w:val="24"/>
          <w:szCs w:val="24"/>
        </w:rPr>
        <w:t>it can</w:t>
      </w:r>
      <w:r w:rsidRPr="00092D4B">
        <w:rPr>
          <w:rFonts w:ascii="Times New Roman" w:eastAsia="Calibri" w:hAnsi="Times New Roman" w:cs="Times New Roman"/>
          <w:sz w:val="24"/>
          <w:szCs w:val="24"/>
        </w:rPr>
        <w:t xml:space="preserve"> be concluded that Chile has the capacity to implement a modernised version of the FTA.</w:t>
      </w:r>
    </w:p>
    <w:p w:rsidR="00092D4B" w:rsidRPr="00092D4B" w:rsidRDefault="00092D4B" w:rsidP="00092D4B">
      <w:pPr>
        <w:spacing w:after="0" w:line="240" w:lineRule="auto"/>
        <w:ind w:left="3600"/>
        <w:jc w:val="both"/>
        <w:rPr>
          <w:rFonts w:ascii="Times New Roman" w:eastAsia="Calibri" w:hAnsi="Times New Roman" w:cs="Times New Roman"/>
          <w:sz w:val="24"/>
          <w:szCs w:val="24"/>
        </w:rPr>
      </w:pPr>
    </w:p>
    <w:p w:rsidR="00092D4B" w:rsidRPr="00092D4B" w:rsidRDefault="008F37F0" w:rsidP="00092D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w:t>
      </w:r>
      <w:r w:rsidR="00092D4B" w:rsidRPr="00092D4B">
        <w:rPr>
          <w:rFonts w:ascii="Times New Roman" w:eastAsia="Calibri" w:hAnsi="Times New Roman" w:cs="Times New Roman"/>
          <w:sz w:val="24"/>
          <w:szCs w:val="24"/>
        </w:rPr>
        <w:t>rotocol on the definition of the concept of originating products and methods of administrative cooperation contains provisions relating to proofs of origin, arrangements for administrative cooperation and mutual assistance. Products originating in Chile are granted preferential tariff treatment when they comply with the provisions of this protocol and when covered by a proof of origin</w:t>
      </w:r>
      <w:r w:rsidR="00107E37">
        <w:rPr>
          <w:rFonts w:ascii="Times New Roman" w:eastAsia="Calibri" w:hAnsi="Times New Roman" w:cs="Times New Roman"/>
          <w:sz w:val="24"/>
          <w:szCs w:val="24"/>
        </w:rPr>
        <w:t>,</w:t>
      </w:r>
      <w:r w:rsidR="00092D4B" w:rsidRPr="00092D4B">
        <w:rPr>
          <w:rFonts w:ascii="Times New Roman" w:eastAsia="Calibri" w:hAnsi="Times New Roman" w:cs="Times New Roman"/>
          <w:sz w:val="24"/>
          <w:szCs w:val="24"/>
        </w:rPr>
        <w:t xml:space="preserve"> which may be either a EUR.1 certificate issued by customs or competent governmental authorities, or an invoice declaration made out by approved exporters. Subsequent verifications may be carried out at random or whenever the customs authorities of the importing country have reasonable doubts </w:t>
      </w:r>
      <w:r w:rsidR="00107E37">
        <w:rPr>
          <w:rFonts w:ascii="Times New Roman" w:eastAsia="Calibri" w:hAnsi="Times New Roman" w:cs="Times New Roman"/>
          <w:sz w:val="24"/>
          <w:szCs w:val="24"/>
        </w:rPr>
        <w:t>on</w:t>
      </w:r>
      <w:r w:rsidR="00092D4B" w:rsidRPr="00092D4B">
        <w:rPr>
          <w:rFonts w:ascii="Times New Roman" w:eastAsia="Calibri" w:hAnsi="Times New Roman" w:cs="Times New Roman"/>
          <w:sz w:val="24"/>
          <w:szCs w:val="24"/>
        </w:rPr>
        <w:t xml:space="preserve"> the originating status of products or </w:t>
      </w:r>
      <w:r w:rsidR="00107E37">
        <w:rPr>
          <w:rFonts w:ascii="Times New Roman" w:eastAsia="Calibri" w:hAnsi="Times New Roman" w:cs="Times New Roman"/>
          <w:sz w:val="24"/>
          <w:szCs w:val="24"/>
        </w:rPr>
        <w:t>on</w:t>
      </w:r>
      <w:r w:rsidR="00092D4B" w:rsidRPr="00092D4B">
        <w:rPr>
          <w:rFonts w:ascii="Times New Roman" w:eastAsia="Calibri" w:hAnsi="Times New Roman" w:cs="Times New Roman"/>
          <w:sz w:val="24"/>
          <w:szCs w:val="24"/>
        </w:rPr>
        <w:t xml:space="preserve"> the authenticity of submitted documents. The verification process is based on administrative cooperation between the importing and the exporting authorities, the latter being in charge of verification and </w:t>
      </w:r>
      <w:r w:rsidR="00107E37">
        <w:rPr>
          <w:rFonts w:ascii="Times New Roman" w:eastAsia="Calibri" w:hAnsi="Times New Roman" w:cs="Times New Roman"/>
          <w:sz w:val="24"/>
          <w:szCs w:val="24"/>
        </w:rPr>
        <w:t xml:space="preserve">of </w:t>
      </w:r>
      <w:r w:rsidR="00092D4B" w:rsidRPr="00092D4B">
        <w:rPr>
          <w:rFonts w:ascii="Times New Roman" w:eastAsia="Calibri" w:hAnsi="Times New Roman" w:cs="Times New Roman"/>
          <w:sz w:val="24"/>
          <w:szCs w:val="24"/>
        </w:rPr>
        <w:t>visiting the premises of the exporter. These procedures have been established practice in the management of the origin protocol with Chile since the entry into force of the current agreement.</w:t>
      </w:r>
    </w:p>
    <w:p w:rsidR="00092D4B" w:rsidRPr="00092D4B" w:rsidRDefault="00092D4B" w:rsidP="00092D4B">
      <w:pPr>
        <w:spacing w:after="0" w:line="240" w:lineRule="auto"/>
        <w:ind w:left="3600"/>
        <w:jc w:val="both"/>
        <w:rPr>
          <w:rFonts w:ascii="Times New Roman" w:eastAsia="Calibri" w:hAnsi="Times New Roman" w:cs="Times New Roman"/>
          <w:sz w:val="24"/>
          <w:szCs w:val="24"/>
        </w:rPr>
      </w:pPr>
    </w:p>
    <w:p w:rsidR="00092D4B" w:rsidRPr="00092D4B" w:rsidRDefault="00092D4B" w:rsidP="00092D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092D4B">
        <w:rPr>
          <w:rFonts w:ascii="Times New Roman" w:eastAsia="Calibri" w:hAnsi="Times New Roman" w:cs="Times New Roman"/>
          <w:sz w:val="24"/>
          <w:szCs w:val="24"/>
        </w:rPr>
        <w:t>ssues related to the interpretation, management and correct implementation of the protocol are regularly discussed between the EU and Chile officials in the framework of the Special Committee on Customs Cooperation and Rules of Origin. Moreover, a key element of EU trade agreements is the reliance and trust placed on the partner country to verify</w:t>
      </w:r>
      <w:r w:rsidR="00107E37">
        <w:rPr>
          <w:rFonts w:ascii="Times New Roman" w:eastAsia="Calibri" w:hAnsi="Times New Roman" w:cs="Times New Roman"/>
          <w:sz w:val="24"/>
          <w:szCs w:val="24"/>
        </w:rPr>
        <w:t>,</w:t>
      </w:r>
      <w:r w:rsidRPr="00092D4B">
        <w:rPr>
          <w:rFonts w:ascii="Times New Roman" w:eastAsia="Calibri" w:hAnsi="Times New Roman" w:cs="Times New Roman"/>
          <w:sz w:val="24"/>
          <w:szCs w:val="24"/>
        </w:rPr>
        <w:t xml:space="preserve"> on request from the EU</w:t>
      </w:r>
      <w:r w:rsidR="00107E37">
        <w:rPr>
          <w:rFonts w:ascii="Times New Roman" w:eastAsia="Calibri" w:hAnsi="Times New Roman" w:cs="Times New Roman"/>
          <w:sz w:val="24"/>
          <w:szCs w:val="24"/>
        </w:rPr>
        <w:t>,</w:t>
      </w:r>
      <w:r w:rsidRPr="00092D4B">
        <w:rPr>
          <w:rFonts w:ascii="Times New Roman" w:eastAsia="Calibri" w:hAnsi="Times New Roman" w:cs="Times New Roman"/>
          <w:sz w:val="24"/>
          <w:szCs w:val="24"/>
        </w:rPr>
        <w:t xml:space="preserve"> the originating status of their goods so that they can benefit from preference when entering the EU. In this regard figures show that in 2013 a total of 69 verification requests were sent </w:t>
      </w:r>
      <w:r w:rsidR="00107E37">
        <w:rPr>
          <w:rFonts w:ascii="Times New Roman" w:eastAsia="Calibri" w:hAnsi="Times New Roman" w:cs="Times New Roman"/>
          <w:sz w:val="24"/>
          <w:szCs w:val="24"/>
        </w:rPr>
        <w:t>by</w:t>
      </w:r>
      <w:r w:rsidRPr="00092D4B">
        <w:rPr>
          <w:rFonts w:ascii="Times New Roman" w:eastAsia="Calibri" w:hAnsi="Times New Roman" w:cs="Times New Roman"/>
          <w:sz w:val="24"/>
          <w:szCs w:val="24"/>
        </w:rPr>
        <w:t xml:space="preserve"> the EU to Chile</w:t>
      </w:r>
      <w:r w:rsidR="00107E37">
        <w:rPr>
          <w:rFonts w:ascii="Times New Roman" w:eastAsia="Calibri" w:hAnsi="Times New Roman" w:cs="Times New Roman"/>
          <w:sz w:val="24"/>
          <w:szCs w:val="24"/>
        </w:rPr>
        <w:t>,</w:t>
      </w:r>
      <w:r w:rsidRPr="00092D4B">
        <w:rPr>
          <w:rFonts w:ascii="Times New Roman" w:eastAsia="Calibri" w:hAnsi="Times New Roman" w:cs="Times New Roman"/>
          <w:sz w:val="24"/>
          <w:szCs w:val="24"/>
        </w:rPr>
        <w:t xml:space="preserve"> of which only 10 were based on reasonable doubt, the rest being routine requests. In all cases the proofs were found </w:t>
      </w:r>
      <w:r w:rsidR="00107E37">
        <w:rPr>
          <w:rFonts w:ascii="Times New Roman" w:eastAsia="Calibri" w:hAnsi="Times New Roman" w:cs="Times New Roman"/>
          <w:sz w:val="24"/>
          <w:szCs w:val="24"/>
        </w:rPr>
        <w:t xml:space="preserve">to have been </w:t>
      </w:r>
      <w:r w:rsidRPr="00092D4B">
        <w:rPr>
          <w:rFonts w:ascii="Times New Roman" w:eastAsia="Calibri" w:hAnsi="Times New Roman" w:cs="Times New Roman"/>
          <w:sz w:val="24"/>
          <w:szCs w:val="24"/>
        </w:rPr>
        <w:t xml:space="preserve">correctly issued. </w:t>
      </w:r>
    </w:p>
    <w:p w:rsidR="00092D4B" w:rsidRPr="00092D4B" w:rsidRDefault="00092D4B" w:rsidP="00092D4B">
      <w:pPr>
        <w:spacing w:after="0" w:line="240" w:lineRule="auto"/>
        <w:ind w:left="3600"/>
        <w:jc w:val="both"/>
        <w:rPr>
          <w:rFonts w:ascii="Times New Roman" w:eastAsia="Calibri" w:hAnsi="Times New Roman" w:cs="Times New Roman"/>
          <w:sz w:val="24"/>
          <w:szCs w:val="24"/>
        </w:rPr>
      </w:pPr>
    </w:p>
    <w:p w:rsidR="00092D4B" w:rsidRPr="00092D4B" w:rsidRDefault="00092D4B" w:rsidP="00092D4B">
      <w:pPr>
        <w:spacing w:after="0" w:line="240" w:lineRule="auto"/>
        <w:jc w:val="both"/>
        <w:rPr>
          <w:rFonts w:ascii="Times New Roman" w:eastAsia="Calibri" w:hAnsi="Times New Roman" w:cs="Times New Roman"/>
          <w:sz w:val="24"/>
          <w:szCs w:val="24"/>
        </w:rPr>
      </w:pPr>
      <w:r w:rsidRPr="00092D4B">
        <w:rPr>
          <w:rFonts w:ascii="Times New Roman" w:eastAsia="Calibri" w:hAnsi="Times New Roman" w:cs="Times New Roman"/>
          <w:sz w:val="24"/>
          <w:szCs w:val="24"/>
        </w:rPr>
        <w:t xml:space="preserve">All this would indicate that the procedures and practices in place by the Chilean authorities are of a sufficient capacity to correctly apply and control the application of the </w:t>
      </w:r>
      <w:r w:rsidR="00107E37">
        <w:rPr>
          <w:rFonts w:ascii="Times New Roman" w:eastAsia="Calibri" w:hAnsi="Times New Roman" w:cs="Times New Roman"/>
          <w:sz w:val="24"/>
          <w:szCs w:val="24"/>
        </w:rPr>
        <w:t>A</w:t>
      </w:r>
      <w:r w:rsidRPr="00092D4B">
        <w:rPr>
          <w:rFonts w:ascii="Times New Roman" w:eastAsia="Calibri" w:hAnsi="Times New Roman" w:cs="Times New Roman"/>
          <w:sz w:val="24"/>
          <w:szCs w:val="24"/>
        </w:rPr>
        <w:t>greement as regards the rules of origin for their exported goods at least under the schemes of proof and verification currently applicable under the EU-Chile FTA.</w:t>
      </w:r>
    </w:p>
    <w:p w:rsidR="00092D4B" w:rsidRPr="00092D4B" w:rsidRDefault="00092D4B" w:rsidP="00092D4B">
      <w:pPr>
        <w:spacing w:after="0" w:line="240" w:lineRule="auto"/>
        <w:ind w:left="3600"/>
        <w:jc w:val="both"/>
        <w:rPr>
          <w:rFonts w:ascii="Times New Roman" w:eastAsia="Calibri" w:hAnsi="Times New Roman" w:cs="Times New Roman"/>
          <w:sz w:val="24"/>
          <w:szCs w:val="24"/>
        </w:rPr>
      </w:pPr>
    </w:p>
    <w:p w:rsidR="00092D4B" w:rsidRDefault="00092D4B" w:rsidP="00092D4B">
      <w:pPr>
        <w:spacing w:after="0" w:line="240" w:lineRule="auto"/>
        <w:jc w:val="both"/>
        <w:rPr>
          <w:rFonts w:ascii="Times New Roman" w:eastAsia="Calibri" w:hAnsi="Times New Roman" w:cs="Times New Roman"/>
          <w:sz w:val="24"/>
          <w:szCs w:val="24"/>
        </w:rPr>
      </w:pPr>
      <w:r w:rsidRPr="00092D4B">
        <w:rPr>
          <w:rFonts w:ascii="Times New Roman" w:eastAsia="Calibri" w:hAnsi="Times New Roman" w:cs="Times New Roman"/>
          <w:sz w:val="24"/>
          <w:szCs w:val="24"/>
        </w:rPr>
        <w:t xml:space="preserve">Looking at the long list of Chilean FTAs, it can be noted that Chile is also used to different schemes of proof and verification, implying official and also self-certification approaches in relation with the proofs of origin. With regard to the verification schemes, Chile is used to systems based on customs cooperation but also on direct visits to the premises of the exporters. Therefore Chile has experience in </w:t>
      </w:r>
      <w:r w:rsidR="00107E37">
        <w:rPr>
          <w:rFonts w:ascii="Times New Roman" w:eastAsia="Calibri" w:hAnsi="Times New Roman" w:cs="Times New Roman"/>
          <w:sz w:val="24"/>
          <w:szCs w:val="24"/>
        </w:rPr>
        <w:t xml:space="preserve">the </w:t>
      </w:r>
      <w:r w:rsidRPr="00092D4B">
        <w:rPr>
          <w:rFonts w:ascii="Times New Roman" w:eastAsia="Calibri" w:hAnsi="Times New Roman" w:cs="Times New Roman"/>
          <w:sz w:val="24"/>
          <w:szCs w:val="24"/>
        </w:rPr>
        <w:t>different types of schemes for proof and verification that could be agreed during the modernisation exercise of the EU-Chile FTA.</w:t>
      </w:r>
    </w:p>
    <w:p w:rsidR="00092D4B" w:rsidRPr="007339BE" w:rsidRDefault="00092D4B" w:rsidP="00092D4B">
      <w:pPr>
        <w:spacing w:after="0" w:line="240" w:lineRule="auto"/>
        <w:jc w:val="both"/>
        <w:rPr>
          <w:rFonts w:ascii="Times New Roman" w:eastAsia="Calibri" w:hAnsi="Times New Roman" w:cs="Times New Roman"/>
          <w:sz w:val="10"/>
          <w:szCs w:val="10"/>
        </w:rPr>
      </w:pPr>
    </w:p>
    <w:p w:rsidR="00F020D5" w:rsidRDefault="00F020D5" w:rsidP="00092D4B">
      <w:pPr>
        <w:spacing w:after="0" w:line="240" w:lineRule="auto"/>
        <w:jc w:val="both"/>
        <w:rPr>
          <w:rFonts w:ascii="Times New Roman" w:eastAsia="Calibri" w:hAnsi="Times New Roman" w:cs="Times New Roman"/>
          <w:sz w:val="24"/>
          <w:szCs w:val="24"/>
        </w:rPr>
      </w:pPr>
    </w:p>
    <w:tbl>
      <w:tblPr>
        <w:tblStyle w:val="TableGrid"/>
        <w:tblW w:w="9606" w:type="dxa"/>
        <w:tblLayout w:type="fixed"/>
        <w:tblLook w:val="04A0" w:firstRow="1" w:lastRow="0" w:firstColumn="1" w:lastColumn="0" w:noHBand="0" w:noVBand="1"/>
      </w:tblPr>
      <w:tblGrid>
        <w:gridCol w:w="1384"/>
        <w:gridCol w:w="1134"/>
        <w:gridCol w:w="1559"/>
        <w:gridCol w:w="1276"/>
        <w:gridCol w:w="1559"/>
        <w:gridCol w:w="1134"/>
        <w:gridCol w:w="1560"/>
      </w:tblGrid>
      <w:tr w:rsidR="005501A6" w:rsidRPr="005501A6" w:rsidTr="002A4A42">
        <w:tc>
          <w:tcPr>
            <w:tcW w:w="1384" w:type="dxa"/>
          </w:tcPr>
          <w:p w:rsidR="005501A6" w:rsidRPr="005501A6" w:rsidRDefault="005501A6" w:rsidP="005501A6">
            <w:pPr>
              <w:jc w:val="center"/>
              <w:rPr>
                <w:rFonts w:ascii="Times New Roman" w:hAnsi="Times New Roman" w:cs="Times New Roman"/>
                <w:b/>
                <w:color w:val="1F497D"/>
                <w:sz w:val="20"/>
                <w:szCs w:val="20"/>
              </w:rPr>
            </w:pPr>
            <w:r w:rsidRPr="005501A6">
              <w:rPr>
                <w:rFonts w:ascii="Times New Roman" w:hAnsi="Times New Roman" w:cs="Times New Roman"/>
                <w:b/>
                <w:sz w:val="20"/>
                <w:szCs w:val="20"/>
              </w:rPr>
              <w:t>CHILE</w:t>
            </w:r>
          </w:p>
        </w:tc>
        <w:tc>
          <w:tcPr>
            <w:tcW w:w="2693" w:type="dxa"/>
            <w:gridSpan w:val="2"/>
          </w:tcPr>
          <w:p w:rsidR="005501A6" w:rsidRPr="00F020D5" w:rsidRDefault="005501A6" w:rsidP="005501A6">
            <w:pPr>
              <w:jc w:val="center"/>
              <w:rPr>
                <w:rFonts w:ascii="Times New Roman" w:hAnsi="Times New Roman" w:cs="Times New Roman"/>
                <w:b/>
                <w:sz w:val="20"/>
                <w:szCs w:val="20"/>
              </w:rPr>
            </w:pPr>
            <w:r w:rsidRPr="00F020D5">
              <w:rPr>
                <w:rFonts w:ascii="Times New Roman" w:hAnsi="Times New Roman" w:cs="Times New Roman"/>
                <w:b/>
                <w:sz w:val="20"/>
                <w:szCs w:val="20"/>
              </w:rPr>
              <w:t>2012</w:t>
            </w:r>
          </w:p>
        </w:tc>
        <w:tc>
          <w:tcPr>
            <w:tcW w:w="2835" w:type="dxa"/>
            <w:gridSpan w:val="2"/>
          </w:tcPr>
          <w:p w:rsidR="005501A6" w:rsidRPr="00F020D5" w:rsidRDefault="005501A6" w:rsidP="005501A6">
            <w:pPr>
              <w:jc w:val="center"/>
              <w:rPr>
                <w:rFonts w:ascii="Times New Roman" w:hAnsi="Times New Roman" w:cs="Times New Roman"/>
                <w:b/>
                <w:sz w:val="20"/>
                <w:szCs w:val="20"/>
              </w:rPr>
            </w:pPr>
            <w:r w:rsidRPr="00F020D5">
              <w:rPr>
                <w:rFonts w:ascii="Times New Roman" w:hAnsi="Times New Roman" w:cs="Times New Roman"/>
                <w:b/>
                <w:sz w:val="20"/>
                <w:szCs w:val="20"/>
              </w:rPr>
              <w:t>2013</w:t>
            </w:r>
          </w:p>
        </w:tc>
        <w:tc>
          <w:tcPr>
            <w:tcW w:w="2694" w:type="dxa"/>
            <w:gridSpan w:val="2"/>
          </w:tcPr>
          <w:p w:rsidR="005501A6" w:rsidRPr="00F020D5" w:rsidRDefault="005501A6" w:rsidP="005501A6">
            <w:pPr>
              <w:jc w:val="center"/>
              <w:rPr>
                <w:rFonts w:ascii="Times New Roman" w:hAnsi="Times New Roman" w:cs="Times New Roman"/>
                <w:b/>
                <w:sz w:val="20"/>
                <w:szCs w:val="20"/>
              </w:rPr>
            </w:pPr>
            <w:r w:rsidRPr="00F020D5">
              <w:rPr>
                <w:rFonts w:ascii="Times New Roman" w:hAnsi="Times New Roman" w:cs="Times New Roman"/>
                <w:b/>
                <w:sz w:val="20"/>
                <w:szCs w:val="20"/>
              </w:rPr>
              <w:t>2014</w:t>
            </w:r>
          </w:p>
        </w:tc>
      </w:tr>
      <w:tr w:rsidR="005501A6" w:rsidRPr="005501A6" w:rsidTr="005501A6">
        <w:tc>
          <w:tcPr>
            <w:tcW w:w="1384" w:type="dxa"/>
          </w:tcPr>
          <w:p w:rsidR="005501A6" w:rsidRPr="005501A6" w:rsidRDefault="005501A6" w:rsidP="00092D4B">
            <w:pPr>
              <w:jc w:val="both"/>
              <w:rPr>
                <w:rFonts w:ascii="Times New Roman" w:hAnsi="Times New Roman" w:cs="Times New Roman"/>
                <w:color w:val="1F497D"/>
                <w:sz w:val="20"/>
                <w:szCs w:val="20"/>
              </w:rPr>
            </w:pPr>
          </w:p>
        </w:tc>
        <w:tc>
          <w:tcPr>
            <w:tcW w:w="1134" w:type="dxa"/>
          </w:tcPr>
          <w:p w:rsidR="005501A6" w:rsidRPr="00F020D5" w:rsidRDefault="005501A6" w:rsidP="002A4A42">
            <w:pPr>
              <w:jc w:val="center"/>
              <w:rPr>
                <w:rFonts w:ascii="Times New Roman" w:hAnsi="Times New Roman" w:cs="Times New Roman"/>
                <w:b/>
                <w:bCs/>
                <w:sz w:val="20"/>
                <w:szCs w:val="20"/>
              </w:rPr>
            </w:pPr>
            <w:r w:rsidRPr="00F020D5">
              <w:rPr>
                <w:rFonts w:ascii="Times New Roman" w:hAnsi="Times New Roman" w:cs="Times New Roman"/>
                <w:b/>
                <w:bCs/>
                <w:sz w:val="20"/>
                <w:szCs w:val="20"/>
              </w:rPr>
              <w:t>Request sent "at random"</w:t>
            </w:r>
          </w:p>
        </w:tc>
        <w:tc>
          <w:tcPr>
            <w:tcW w:w="1559" w:type="dxa"/>
          </w:tcPr>
          <w:p w:rsidR="005501A6" w:rsidRPr="00F020D5" w:rsidRDefault="005501A6" w:rsidP="002A4A42">
            <w:pPr>
              <w:jc w:val="center"/>
              <w:rPr>
                <w:rFonts w:ascii="Times New Roman" w:hAnsi="Times New Roman" w:cs="Times New Roman"/>
                <w:b/>
                <w:bCs/>
                <w:sz w:val="20"/>
                <w:szCs w:val="20"/>
                <w:lang w:val="en-GB"/>
              </w:rPr>
            </w:pPr>
            <w:r w:rsidRPr="00F020D5">
              <w:rPr>
                <w:rFonts w:ascii="Times New Roman" w:hAnsi="Times New Roman" w:cs="Times New Roman"/>
                <w:b/>
                <w:bCs/>
                <w:sz w:val="20"/>
                <w:szCs w:val="20"/>
                <w:lang w:val="en-GB"/>
              </w:rPr>
              <w:t>Requests sent based on "reasonable doubts"</w:t>
            </w:r>
          </w:p>
        </w:tc>
        <w:tc>
          <w:tcPr>
            <w:tcW w:w="1276" w:type="dxa"/>
          </w:tcPr>
          <w:p w:rsidR="005501A6" w:rsidRPr="00F020D5" w:rsidRDefault="005501A6" w:rsidP="002A4A42">
            <w:pPr>
              <w:jc w:val="center"/>
              <w:rPr>
                <w:rFonts w:ascii="Times New Roman" w:hAnsi="Times New Roman" w:cs="Times New Roman"/>
                <w:b/>
                <w:bCs/>
                <w:sz w:val="20"/>
                <w:szCs w:val="20"/>
              </w:rPr>
            </w:pPr>
            <w:r w:rsidRPr="00F020D5">
              <w:rPr>
                <w:rFonts w:ascii="Times New Roman" w:hAnsi="Times New Roman" w:cs="Times New Roman"/>
                <w:b/>
                <w:bCs/>
                <w:sz w:val="20"/>
                <w:szCs w:val="20"/>
              </w:rPr>
              <w:t>Request sent "at random"</w:t>
            </w:r>
          </w:p>
        </w:tc>
        <w:tc>
          <w:tcPr>
            <w:tcW w:w="1559" w:type="dxa"/>
          </w:tcPr>
          <w:p w:rsidR="005501A6" w:rsidRPr="00F020D5" w:rsidRDefault="005501A6" w:rsidP="002A4A42">
            <w:pPr>
              <w:jc w:val="center"/>
              <w:rPr>
                <w:rFonts w:ascii="Times New Roman" w:hAnsi="Times New Roman" w:cs="Times New Roman"/>
                <w:b/>
                <w:bCs/>
                <w:sz w:val="20"/>
                <w:szCs w:val="20"/>
                <w:lang w:val="en-GB"/>
              </w:rPr>
            </w:pPr>
            <w:r w:rsidRPr="00F020D5">
              <w:rPr>
                <w:rFonts w:ascii="Times New Roman" w:hAnsi="Times New Roman" w:cs="Times New Roman"/>
                <w:b/>
                <w:bCs/>
                <w:sz w:val="20"/>
                <w:szCs w:val="20"/>
                <w:lang w:val="en-GB"/>
              </w:rPr>
              <w:t>Requests sent based on "reasonable doubts"</w:t>
            </w:r>
          </w:p>
        </w:tc>
        <w:tc>
          <w:tcPr>
            <w:tcW w:w="1134" w:type="dxa"/>
          </w:tcPr>
          <w:p w:rsidR="005501A6" w:rsidRPr="00F020D5" w:rsidRDefault="005501A6" w:rsidP="002A4A42">
            <w:pPr>
              <w:jc w:val="center"/>
              <w:rPr>
                <w:rFonts w:ascii="Times New Roman" w:hAnsi="Times New Roman" w:cs="Times New Roman"/>
                <w:b/>
                <w:bCs/>
                <w:sz w:val="20"/>
                <w:szCs w:val="20"/>
              </w:rPr>
            </w:pPr>
            <w:r w:rsidRPr="00F020D5">
              <w:rPr>
                <w:rFonts w:ascii="Times New Roman" w:hAnsi="Times New Roman" w:cs="Times New Roman"/>
                <w:b/>
                <w:bCs/>
                <w:sz w:val="20"/>
                <w:szCs w:val="20"/>
              </w:rPr>
              <w:t>Request sent "at random"</w:t>
            </w:r>
          </w:p>
        </w:tc>
        <w:tc>
          <w:tcPr>
            <w:tcW w:w="1560" w:type="dxa"/>
          </w:tcPr>
          <w:p w:rsidR="005501A6" w:rsidRPr="00F020D5" w:rsidRDefault="005501A6" w:rsidP="002A4A42">
            <w:pPr>
              <w:jc w:val="center"/>
              <w:rPr>
                <w:rFonts w:ascii="Times New Roman" w:hAnsi="Times New Roman" w:cs="Times New Roman"/>
                <w:b/>
                <w:bCs/>
                <w:sz w:val="20"/>
                <w:szCs w:val="20"/>
                <w:lang w:val="en-GB"/>
              </w:rPr>
            </w:pPr>
            <w:r w:rsidRPr="00F020D5">
              <w:rPr>
                <w:rFonts w:ascii="Times New Roman" w:hAnsi="Times New Roman" w:cs="Times New Roman"/>
                <w:b/>
                <w:bCs/>
                <w:sz w:val="20"/>
                <w:szCs w:val="20"/>
                <w:lang w:val="en-GB"/>
              </w:rPr>
              <w:t>Requests sent based on "reasonable doubts"</w:t>
            </w:r>
          </w:p>
        </w:tc>
      </w:tr>
      <w:tr w:rsidR="005501A6" w:rsidRPr="005501A6" w:rsidTr="00F020D5">
        <w:tc>
          <w:tcPr>
            <w:tcW w:w="1384" w:type="dxa"/>
          </w:tcPr>
          <w:p w:rsidR="005501A6" w:rsidRPr="005501A6" w:rsidRDefault="005501A6" w:rsidP="002A4A42">
            <w:pPr>
              <w:rPr>
                <w:rFonts w:ascii="Times New Roman" w:hAnsi="Times New Roman" w:cs="Times New Roman"/>
                <w:b/>
                <w:bCs/>
                <w:sz w:val="20"/>
                <w:szCs w:val="20"/>
                <w:lang w:val="en-GB"/>
              </w:rPr>
            </w:pPr>
            <w:r w:rsidRPr="005501A6">
              <w:rPr>
                <w:rFonts w:ascii="Times New Roman" w:hAnsi="Times New Roman" w:cs="Times New Roman"/>
                <w:b/>
                <w:bCs/>
                <w:sz w:val="20"/>
                <w:szCs w:val="20"/>
                <w:lang w:val="en-GB"/>
              </w:rPr>
              <w:t>Total number of verification requests sent to CL</w:t>
            </w:r>
          </w:p>
        </w:tc>
        <w:tc>
          <w:tcPr>
            <w:tcW w:w="1134" w:type="dxa"/>
            <w:vAlign w:val="center"/>
          </w:tcPr>
          <w:p w:rsidR="005501A6" w:rsidRPr="00F020D5" w:rsidRDefault="00F020D5" w:rsidP="00F020D5">
            <w:pPr>
              <w:jc w:val="center"/>
              <w:rPr>
                <w:rFonts w:ascii="Times New Roman" w:hAnsi="Times New Roman" w:cs="Times New Roman"/>
                <w:sz w:val="20"/>
                <w:szCs w:val="20"/>
                <w:lang w:val="en-GB"/>
              </w:rPr>
            </w:pPr>
            <w:r w:rsidRPr="00F020D5">
              <w:rPr>
                <w:rFonts w:ascii="Times New Roman" w:hAnsi="Times New Roman" w:cs="Times New Roman"/>
                <w:sz w:val="20"/>
                <w:szCs w:val="20"/>
                <w:lang w:val="en-GB"/>
              </w:rPr>
              <w:t>33</w:t>
            </w:r>
          </w:p>
        </w:tc>
        <w:tc>
          <w:tcPr>
            <w:tcW w:w="1559" w:type="dxa"/>
            <w:vAlign w:val="center"/>
          </w:tcPr>
          <w:p w:rsidR="005501A6" w:rsidRPr="00F020D5" w:rsidRDefault="00F020D5" w:rsidP="00F020D5">
            <w:pPr>
              <w:jc w:val="center"/>
              <w:rPr>
                <w:rFonts w:ascii="Times New Roman" w:hAnsi="Times New Roman" w:cs="Times New Roman"/>
                <w:sz w:val="20"/>
                <w:szCs w:val="20"/>
                <w:lang w:val="en-GB"/>
              </w:rPr>
            </w:pPr>
            <w:r w:rsidRPr="00F020D5">
              <w:rPr>
                <w:rFonts w:ascii="Times New Roman" w:hAnsi="Times New Roman" w:cs="Times New Roman"/>
                <w:sz w:val="20"/>
                <w:szCs w:val="20"/>
                <w:lang w:val="en-GB"/>
              </w:rPr>
              <w:t>28</w:t>
            </w:r>
          </w:p>
        </w:tc>
        <w:tc>
          <w:tcPr>
            <w:tcW w:w="1276" w:type="dxa"/>
            <w:vAlign w:val="center"/>
          </w:tcPr>
          <w:p w:rsidR="005501A6" w:rsidRPr="00F020D5" w:rsidRDefault="00F020D5" w:rsidP="00F020D5">
            <w:pPr>
              <w:jc w:val="center"/>
              <w:rPr>
                <w:rFonts w:ascii="Times New Roman" w:hAnsi="Times New Roman" w:cs="Times New Roman"/>
                <w:sz w:val="20"/>
                <w:szCs w:val="20"/>
                <w:lang w:val="en-GB"/>
              </w:rPr>
            </w:pPr>
            <w:r w:rsidRPr="00F020D5">
              <w:rPr>
                <w:rFonts w:ascii="Times New Roman" w:hAnsi="Times New Roman" w:cs="Times New Roman"/>
                <w:sz w:val="20"/>
                <w:szCs w:val="20"/>
                <w:lang w:val="en-GB"/>
              </w:rPr>
              <w:t>20</w:t>
            </w:r>
          </w:p>
        </w:tc>
        <w:tc>
          <w:tcPr>
            <w:tcW w:w="1559" w:type="dxa"/>
            <w:vAlign w:val="center"/>
          </w:tcPr>
          <w:p w:rsidR="005501A6" w:rsidRPr="00F020D5" w:rsidRDefault="00F020D5" w:rsidP="00F020D5">
            <w:pPr>
              <w:jc w:val="center"/>
              <w:rPr>
                <w:rFonts w:ascii="Times New Roman" w:hAnsi="Times New Roman" w:cs="Times New Roman"/>
                <w:sz w:val="20"/>
                <w:szCs w:val="20"/>
                <w:lang w:val="en-GB"/>
              </w:rPr>
            </w:pPr>
            <w:r w:rsidRPr="00F020D5">
              <w:rPr>
                <w:rFonts w:ascii="Times New Roman" w:hAnsi="Times New Roman" w:cs="Times New Roman"/>
                <w:sz w:val="20"/>
                <w:szCs w:val="20"/>
                <w:lang w:val="en-GB"/>
              </w:rPr>
              <w:t>8</w:t>
            </w:r>
          </w:p>
        </w:tc>
        <w:tc>
          <w:tcPr>
            <w:tcW w:w="1134" w:type="dxa"/>
            <w:vAlign w:val="center"/>
          </w:tcPr>
          <w:p w:rsidR="005501A6" w:rsidRPr="00F020D5" w:rsidRDefault="00F020D5" w:rsidP="00F020D5">
            <w:pPr>
              <w:jc w:val="center"/>
              <w:rPr>
                <w:rFonts w:ascii="Times New Roman" w:hAnsi="Times New Roman" w:cs="Times New Roman"/>
                <w:sz w:val="20"/>
                <w:szCs w:val="20"/>
                <w:lang w:val="en-GB"/>
              </w:rPr>
            </w:pPr>
            <w:r w:rsidRPr="00F020D5">
              <w:rPr>
                <w:rFonts w:ascii="Times New Roman" w:hAnsi="Times New Roman" w:cs="Times New Roman"/>
                <w:sz w:val="20"/>
                <w:szCs w:val="20"/>
                <w:lang w:val="en-GB"/>
              </w:rPr>
              <w:t>59</w:t>
            </w:r>
          </w:p>
        </w:tc>
        <w:tc>
          <w:tcPr>
            <w:tcW w:w="1560" w:type="dxa"/>
            <w:vAlign w:val="center"/>
          </w:tcPr>
          <w:p w:rsidR="005501A6" w:rsidRPr="00F020D5" w:rsidRDefault="00F020D5" w:rsidP="00F020D5">
            <w:pPr>
              <w:jc w:val="center"/>
              <w:rPr>
                <w:rFonts w:ascii="Times New Roman" w:hAnsi="Times New Roman" w:cs="Times New Roman"/>
                <w:sz w:val="20"/>
                <w:szCs w:val="20"/>
                <w:lang w:val="en-GB"/>
              </w:rPr>
            </w:pPr>
            <w:r w:rsidRPr="00F020D5">
              <w:rPr>
                <w:rFonts w:ascii="Times New Roman" w:hAnsi="Times New Roman" w:cs="Times New Roman"/>
                <w:sz w:val="20"/>
                <w:szCs w:val="20"/>
                <w:lang w:val="en-GB"/>
              </w:rPr>
              <w:t>10</w:t>
            </w:r>
          </w:p>
        </w:tc>
      </w:tr>
      <w:tr w:rsidR="005501A6" w:rsidRPr="005501A6" w:rsidTr="00F020D5">
        <w:tc>
          <w:tcPr>
            <w:tcW w:w="1384" w:type="dxa"/>
          </w:tcPr>
          <w:p w:rsidR="005501A6" w:rsidRPr="005501A6" w:rsidRDefault="005501A6" w:rsidP="002A4A42">
            <w:pPr>
              <w:rPr>
                <w:rFonts w:ascii="Times New Roman" w:hAnsi="Times New Roman" w:cs="Times New Roman"/>
                <w:b/>
                <w:bCs/>
                <w:sz w:val="20"/>
                <w:szCs w:val="20"/>
              </w:rPr>
            </w:pPr>
            <w:r w:rsidRPr="005501A6">
              <w:rPr>
                <w:rFonts w:ascii="Times New Roman" w:hAnsi="Times New Roman" w:cs="Times New Roman"/>
                <w:b/>
                <w:bCs/>
                <w:sz w:val="20"/>
                <w:szCs w:val="20"/>
              </w:rPr>
              <w:t>No reply after 10 months</w:t>
            </w:r>
          </w:p>
        </w:tc>
        <w:tc>
          <w:tcPr>
            <w:tcW w:w="1134"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1</w:t>
            </w:r>
          </w:p>
        </w:tc>
        <w:tc>
          <w:tcPr>
            <w:tcW w:w="1559"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5</w:t>
            </w:r>
          </w:p>
        </w:tc>
        <w:tc>
          <w:tcPr>
            <w:tcW w:w="1276"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2</w:t>
            </w:r>
          </w:p>
        </w:tc>
        <w:tc>
          <w:tcPr>
            <w:tcW w:w="1559"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0</w:t>
            </w:r>
          </w:p>
        </w:tc>
        <w:tc>
          <w:tcPr>
            <w:tcW w:w="1134" w:type="dxa"/>
            <w:vAlign w:val="center"/>
          </w:tcPr>
          <w:p w:rsidR="005501A6" w:rsidRPr="00F020D5" w:rsidRDefault="005501A6" w:rsidP="00F020D5">
            <w:pPr>
              <w:jc w:val="center"/>
              <w:rPr>
                <w:rFonts w:ascii="Times New Roman" w:hAnsi="Times New Roman" w:cs="Times New Roman"/>
                <w:sz w:val="20"/>
                <w:szCs w:val="20"/>
              </w:rPr>
            </w:pPr>
          </w:p>
        </w:tc>
        <w:tc>
          <w:tcPr>
            <w:tcW w:w="1560" w:type="dxa"/>
            <w:vAlign w:val="center"/>
          </w:tcPr>
          <w:p w:rsidR="005501A6" w:rsidRPr="00F020D5" w:rsidRDefault="005501A6" w:rsidP="00F020D5">
            <w:pPr>
              <w:jc w:val="center"/>
              <w:rPr>
                <w:rFonts w:ascii="Times New Roman" w:hAnsi="Times New Roman" w:cs="Times New Roman"/>
                <w:sz w:val="20"/>
                <w:szCs w:val="20"/>
              </w:rPr>
            </w:pPr>
          </w:p>
        </w:tc>
      </w:tr>
      <w:tr w:rsidR="005501A6" w:rsidRPr="005501A6" w:rsidTr="00F020D5">
        <w:tc>
          <w:tcPr>
            <w:tcW w:w="1384" w:type="dxa"/>
          </w:tcPr>
          <w:p w:rsidR="005501A6" w:rsidRPr="005501A6" w:rsidRDefault="005501A6" w:rsidP="002A4A42">
            <w:pPr>
              <w:rPr>
                <w:rFonts w:ascii="Times New Roman" w:hAnsi="Times New Roman" w:cs="Times New Roman"/>
                <w:b/>
                <w:bCs/>
                <w:sz w:val="20"/>
                <w:szCs w:val="20"/>
              </w:rPr>
            </w:pPr>
            <w:r w:rsidRPr="005501A6">
              <w:rPr>
                <w:rFonts w:ascii="Times New Roman" w:hAnsi="Times New Roman" w:cs="Times New Roman"/>
                <w:b/>
                <w:bCs/>
                <w:sz w:val="20"/>
                <w:szCs w:val="20"/>
              </w:rPr>
              <w:t>Correct proofs</w:t>
            </w:r>
          </w:p>
        </w:tc>
        <w:tc>
          <w:tcPr>
            <w:tcW w:w="1134"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32</w:t>
            </w:r>
          </w:p>
        </w:tc>
        <w:tc>
          <w:tcPr>
            <w:tcW w:w="1559"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23</w:t>
            </w:r>
          </w:p>
        </w:tc>
        <w:tc>
          <w:tcPr>
            <w:tcW w:w="1276"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17</w:t>
            </w:r>
          </w:p>
        </w:tc>
        <w:tc>
          <w:tcPr>
            <w:tcW w:w="1559"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8</w:t>
            </w:r>
          </w:p>
        </w:tc>
        <w:tc>
          <w:tcPr>
            <w:tcW w:w="1134"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59</w:t>
            </w:r>
          </w:p>
        </w:tc>
        <w:tc>
          <w:tcPr>
            <w:tcW w:w="1560"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10</w:t>
            </w:r>
          </w:p>
        </w:tc>
      </w:tr>
      <w:tr w:rsidR="005501A6" w:rsidRPr="005501A6" w:rsidTr="00F020D5">
        <w:tc>
          <w:tcPr>
            <w:tcW w:w="1384" w:type="dxa"/>
          </w:tcPr>
          <w:p w:rsidR="005501A6" w:rsidRPr="005501A6" w:rsidRDefault="005501A6" w:rsidP="002A4A42">
            <w:pPr>
              <w:rPr>
                <w:rFonts w:ascii="Times New Roman" w:hAnsi="Times New Roman" w:cs="Times New Roman"/>
                <w:b/>
                <w:bCs/>
                <w:sz w:val="20"/>
                <w:szCs w:val="20"/>
              </w:rPr>
            </w:pPr>
            <w:r w:rsidRPr="005501A6">
              <w:rPr>
                <w:rFonts w:ascii="Times New Roman" w:hAnsi="Times New Roman" w:cs="Times New Roman"/>
                <w:b/>
                <w:bCs/>
                <w:sz w:val="20"/>
                <w:szCs w:val="20"/>
              </w:rPr>
              <w:t>Wrong proofs</w:t>
            </w:r>
          </w:p>
        </w:tc>
        <w:tc>
          <w:tcPr>
            <w:tcW w:w="1134"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0</w:t>
            </w:r>
          </w:p>
        </w:tc>
        <w:tc>
          <w:tcPr>
            <w:tcW w:w="1559"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0</w:t>
            </w:r>
          </w:p>
        </w:tc>
        <w:tc>
          <w:tcPr>
            <w:tcW w:w="1276"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1</w:t>
            </w:r>
          </w:p>
        </w:tc>
        <w:tc>
          <w:tcPr>
            <w:tcW w:w="1559" w:type="dxa"/>
            <w:vAlign w:val="center"/>
          </w:tcPr>
          <w:p w:rsidR="005501A6" w:rsidRPr="00F020D5" w:rsidRDefault="00F020D5" w:rsidP="00F020D5">
            <w:pPr>
              <w:jc w:val="center"/>
              <w:rPr>
                <w:rFonts w:ascii="Times New Roman" w:hAnsi="Times New Roman" w:cs="Times New Roman"/>
                <w:sz w:val="20"/>
                <w:szCs w:val="20"/>
              </w:rPr>
            </w:pPr>
            <w:r w:rsidRPr="00F020D5">
              <w:rPr>
                <w:rFonts w:ascii="Times New Roman" w:hAnsi="Times New Roman" w:cs="Times New Roman"/>
                <w:sz w:val="20"/>
                <w:szCs w:val="20"/>
              </w:rPr>
              <w:t>0</w:t>
            </w:r>
          </w:p>
        </w:tc>
        <w:tc>
          <w:tcPr>
            <w:tcW w:w="1134" w:type="dxa"/>
            <w:vAlign w:val="center"/>
          </w:tcPr>
          <w:p w:rsidR="005501A6" w:rsidRPr="00F020D5" w:rsidRDefault="005501A6" w:rsidP="00F020D5">
            <w:pPr>
              <w:jc w:val="center"/>
              <w:rPr>
                <w:rFonts w:ascii="Times New Roman" w:hAnsi="Times New Roman" w:cs="Times New Roman"/>
                <w:sz w:val="20"/>
                <w:szCs w:val="20"/>
              </w:rPr>
            </w:pPr>
          </w:p>
        </w:tc>
        <w:tc>
          <w:tcPr>
            <w:tcW w:w="1560" w:type="dxa"/>
            <w:vAlign w:val="center"/>
          </w:tcPr>
          <w:p w:rsidR="005501A6" w:rsidRPr="00F020D5" w:rsidRDefault="005501A6" w:rsidP="00F020D5">
            <w:pPr>
              <w:jc w:val="center"/>
              <w:rPr>
                <w:rFonts w:ascii="Times New Roman" w:hAnsi="Times New Roman" w:cs="Times New Roman"/>
                <w:sz w:val="20"/>
                <w:szCs w:val="20"/>
              </w:rPr>
            </w:pPr>
          </w:p>
        </w:tc>
      </w:tr>
    </w:tbl>
    <w:p w:rsidR="00092D4B" w:rsidRDefault="00092D4B" w:rsidP="00092D4B">
      <w:pPr>
        <w:spacing w:after="0" w:line="240" w:lineRule="auto"/>
        <w:jc w:val="both"/>
        <w:rPr>
          <w:rFonts w:ascii="Times New Roman" w:hAnsi="Times New Roman" w:cs="Times New Roman"/>
          <w:color w:val="1F497D"/>
          <w:sz w:val="24"/>
          <w:szCs w:val="24"/>
        </w:rPr>
      </w:pPr>
    </w:p>
    <w:p w:rsidR="003255BE" w:rsidRDefault="003255BE" w:rsidP="003255BE">
      <w:pPr>
        <w:autoSpaceDE w:val="0"/>
        <w:autoSpaceDN w:val="0"/>
        <w:adjustRightInd w:val="0"/>
        <w:spacing w:after="120" w:line="240" w:lineRule="auto"/>
        <w:rPr>
          <w:rFonts w:ascii="Times New Roman" w:hAnsi="Times New Roman" w:cs="Times New Roman"/>
          <w:color w:val="000000"/>
          <w:sz w:val="24"/>
          <w:szCs w:val="24"/>
        </w:rPr>
      </w:pPr>
    </w:p>
    <w:p w:rsidR="00E606E2" w:rsidRDefault="00E606E2" w:rsidP="00882520">
      <w:pPr>
        <w:pStyle w:val="Heading2"/>
        <w:numPr>
          <w:ilvl w:val="1"/>
          <w:numId w:val="56"/>
        </w:numPr>
        <w:rPr>
          <w:u w:val="single"/>
        </w:rPr>
      </w:pPr>
      <w:bookmarkStart w:id="60" w:name="_Toc473123097"/>
      <w:r w:rsidRPr="00302A40">
        <w:rPr>
          <w:u w:val="single"/>
        </w:rPr>
        <w:t>Impact on the budget of the European Union</w:t>
      </w:r>
      <w:bookmarkEnd w:id="60"/>
      <w:r w:rsidRPr="00302A40">
        <w:rPr>
          <w:u w:val="single"/>
        </w:rPr>
        <w:t xml:space="preserve"> </w:t>
      </w:r>
    </w:p>
    <w:p w:rsidR="00302A40" w:rsidRPr="00302A40" w:rsidRDefault="00302A40" w:rsidP="00302A40"/>
    <w:p w:rsidR="00747476" w:rsidRDefault="00747476" w:rsidP="00E606E2">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Modernising the EU-Chile FTA </w:t>
      </w:r>
      <w:r w:rsidR="00E606E2" w:rsidRPr="00E606E2">
        <w:rPr>
          <w:rFonts w:ascii="Times New Roman" w:hAnsi="Times New Roman" w:cs="Times New Roman"/>
          <w:color w:val="000000"/>
          <w:sz w:val="24"/>
          <w:szCs w:val="24"/>
        </w:rPr>
        <w:t xml:space="preserve">would have </w:t>
      </w:r>
      <w:r w:rsidR="003255BE">
        <w:rPr>
          <w:rFonts w:ascii="Times New Roman" w:hAnsi="Times New Roman" w:cs="Times New Roman"/>
          <w:color w:val="000000"/>
          <w:sz w:val="24"/>
          <w:szCs w:val="24"/>
        </w:rPr>
        <w:t xml:space="preserve">very </w:t>
      </w:r>
      <w:r w:rsidR="00E606E2" w:rsidRPr="00E606E2">
        <w:rPr>
          <w:rFonts w:ascii="Times New Roman" w:hAnsi="Times New Roman" w:cs="Times New Roman"/>
          <w:color w:val="000000"/>
          <w:sz w:val="24"/>
          <w:szCs w:val="24"/>
        </w:rPr>
        <w:t>limited effects on the budget of the EU</w:t>
      </w:r>
      <w:r w:rsidR="003255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notably through the loss of own resources in the form of customs duties, as most of the tariff lines are already eliminated</w:t>
      </w:r>
      <w:r w:rsidR="005C431B">
        <w:rPr>
          <w:rFonts w:ascii="Times New Roman" w:hAnsi="Times New Roman" w:cs="Times New Roman"/>
          <w:color w:val="000000"/>
          <w:sz w:val="24"/>
          <w:szCs w:val="24"/>
        </w:rPr>
        <w:t xml:space="preserve"> and a modest increase in Commission staff resources to address new areas of the modernised Agreement</w:t>
      </w:r>
      <w:r>
        <w:rPr>
          <w:rFonts w:ascii="Times New Roman" w:hAnsi="Times New Roman" w:cs="Times New Roman"/>
          <w:color w:val="000000"/>
          <w:sz w:val="24"/>
          <w:szCs w:val="24"/>
        </w:rPr>
        <w:t xml:space="preserve">. </w:t>
      </w:r>
    </w:p>
    <w:p w:rsidR="004341F1" w:rsidRDefault="004341F1" w:rsidP="00E606E2">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the projected value of duty income in 2025 the loss from tariff revenue is estimated at € </w:t>
      </w:r>
      <w:r w:rsidR="004F63A8">
        <w:rPr>
          <w:rFonts w:ascii="Times New Roman" w:hAnsi="Times New Roman" w:cs="Times New Roman"/>
          <w:color w:val="000000"/>
          <w:sz w:val="24"/>
          <w:szCs w:val="24"/>
        </w:rPr>
        <w:t>3.34</w:t>
      </w:r>
      <w:r>
        <w:rPr>
          <w:rFonts w:ascii="Times New Roman" w:hAnsi="Times New Roman" w:cs="Times New Roman"/>
          <w:color w:val="000000"/>
          <w:sz w:val="24"/>
          <w:szCs w:val="24"/>
        </w:rPr>
        <w:t xml:space="preserve"> million in the conservative </w:t>
      </w:r>
      <w:r w:rsidR="004F63A8">
        <w:rPr>
          <w:rFonts w:ascii="Times New Roman" w:hAnsi="Times New Roman" w:cs="Times New Roman"/>
          <w:color w:val="000000"/>
          <w:sz w:val="24"/>
          <w:szCs w:val="24"/>
        </w:rPr>
        <w:t xml:space="preserve">scenario </w:t>
      </w:r>
      <w:r w:rsidR="00332E6A">
        <w:rPr>
          <w:rFonts w:ascii="Times New Roman" w:hAnsi="Times New Roman" w:cs="Times New Roman"/>
          <w:color w:val="000000"/>
          <w:sz w:val="24"/>
          <w:szCs w:val="24"/>
        </w:rPr>
        <w:t xml:space="preserve">and </w:t>
      </w:r>
      <w:r w:rsidR="004F63A8">
        <w:rPr>
          <w:rFonts w:ascii="Times New Roman" w:hAnsi="Times New Roman" w:cs="Times New Roman"/>
          <w:color w:val="000000"/>
          <w:sz w:val="24"/>
          <w:szCs w:val="24"/>
        </w:rPr>
        <w:t xml:space="preserve">€ 3.87 million in </w:t>
      </w:r>
      <w:r w:rsidR="00332E6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ambitious scenario. </w:t>
      </w:r>
    </w:p>
    <w:p w:rsidR="007D4873" w:rsidRDefault="007D4873" w:rsidP="00E606E2">
      <w:pPr>
        <w:autoSpaceDE w:val="0"/>
        <w:autoSpaceDN w:val="0"/>
        <w:adjustRightInd w:val="0"/>
        <w:spacing w:after="120" w:line="240" w:lineRule="auto"/>
        <w:jc w:val="both"/>
        <w:rPr>
          <w:rFonts w:ascii="Times New Roman" w:hAnsi="Times New Roman" w:cs="Times New Roman"/>
          <w:color w:val="000000"/>
          <w:sz w:val="24"/>
          <w:szCs w:val="24"/>
        </w:rPr>
      </w:pPr>
    </w:p>
    <w:p w:rsidR="000F76F0" w:rsidRDefault="000F76F0" w:rsidP="007339BE">
      <w:pPr>
        <w:autoSpaceDE w:val="0"/>
        <w:autoSpaceDN w:val="0"/>
        <w:adjustRightInd w:val="0"/>
        <w:spacing w:before="120" w:after="120" w:line="240" w:lineRule="auto"/>
        <w:rPr>
          <w:rFonts w:ascii="Times New Roman" w:hAnsi="Times New Roman" w:cs="Times New Roman"/>
          <w:b/>
          <w:color w:val="000000"/>
        </w:rPr>
      </w:pPr>
    </w:p>
    <w:p w:rsidR="00E606E2" w:rsidRPr="00747476" w:rsidRDefault="004341F1" w:rsidP="007339BE">
      <w:pPr>
        <w:autoSpaceDE w:val="0"/>
        <w:autoSpaceDN w:val="0"/>
        <w:adjustRightInd w:val="0"/>
        <w:spacing w:before="120" w:after="120" w:line="240" w:lineRule="auto"/>
        <w:rPr>
          <w:rFonts w:ascii="Times New Roman" w:hAnsi="Times New Roman" w:cs="Times New Roman"/>
          <w:color w:val="000000"/>
        </w:rPr>
      </w:pPr>
      <w:r>
        <w:rPr>
          <w:rFonts w:ascii="Times New Roman" w:hAnsi="Times New Roman" w:cs="Times New Roman"/>
          <w:b/>
          <w:color w:val="000000"/>
        </w:rPr>
        <w:t>T</w:t>
      </w:r>
      <w:r w:rsidR="00747476">
        <w:rPr>
          <w:rFonts w:ascii="Times New Roman" w:hAnsi="Times New Roman" w:cs="Times New Roman"/>
          <w:b/>
          <w:color w:val="000000"/>
        </w:rPr>
        <w:t>able -</w:t>
      </w:r>
      <w:r w:rsidR="00747476">
        <w:rPr>
          <w:rFonts w:ascii="Times New Roman" w:hAnsi="Times New Roman" w:cs="Times New Roman"/>
          <w:b/>
          <w:color w:val="000000"/>
        </w:rPr>
        <w:tab/>
      </w:r>
      <w:r w:rsidR="00E606E2" w:rsidRPr="00747476">
        <w:rPr>
          <w:rFonts w:ascii="Times New Roman" w:hAnsi="Times New Roman" w:cs="Times New Roman"/>
          <w:b/>
          <w:color w:val="000000"/>
        </w:rPr>
        <w:t xml:space="preserve">Impact on the </w:t>
      </w:r>
      <w:r w:rsidR="00747476" w:rsidRPr="00747476">
        <w:rPr>
          <w:rFonts w:ascii="Times New Roman" w:hAnsi="Times New Roman" w:cs="Times New Roman"/>
          <w:b/>
          <w:color w:val="000000"/>
        </w:rPr>
        <w:t>EU budget</w:t>
      </w:r>
      <w:r w:rsidR="00E606E2" w:rsidRPr="00747476">
        <w:rPr>
          <w:rFonts w:ascii="Times New Roman" w:hAnsi="Times New Roman" w:cs="Times New Roman"/>
          <w:color w:val="000000"/>
        </w:rPr>
        <w:t xml:space="preserve"> </w:t>
      </w:r>
      <w:r w:rsidRPr="004341F1">
        <w:rPr>
          <w:rFonts w:ascii="Times New Roman" w:hAnsi="Times New Roman" w:cs="Times New Roman"/>
          <w:b/>
          <w:color w:val="000000"/>
          <w:vertAlign w:val="superscript"/>
        </w:rPr>
        <w:t>(*)</w:t>
      </w:r>
    </w:p>
    <w:tbl>
      <w:tblPr>
        <w:tblStyle w:val="TableGrid"/>
        <w:tblW w:w="0" w:type="auto"/>
        <w:tblInd w:w="108" w:type="dxa"/>
        <w:tblLook w:val="04A0" w:firstRow="1" w:lastRow="0" w:firstColumn="1" w:lastColumn="0" w:noHBand="0" w:noVBand="1"/>
      </w:tblPr>
      <w:tblGrid>
        <w:gridCol w:w="2988"/>
        <w:gridCol w:w="3096"/>
        <w:gridCol w:w="3096"/>
      </w:tblGrid>
      <w:tr w:rsidR="00E606E2" w:rsidRPr="00747476" w:rsidTr="004341F1">
        <w:tc>
          <w:tcPr>
            <w:tcW w:w="2988" w:type="dxa"/>
          </w:tcPr>
          <w:p w:rsidR="00E606E2" w:rsidRPr="004341F1" w:rsidRDefault="00E606E2" w:rsidP="00E606E2">
            <w:pPr>
              <w:autoSpaceDE w:val="0"/>
              <w:autoSpaceDN w:val="0"/>
              <w:adjustRightInd w:val="0"/>
              <w:spacing w:after="120"/>
              <w:rPr>
                <w:rFonts w:ascii="Times New Roman" w:hAnsi="Times New Roman" w:cs="Times New Roman"/>
                <w:color w:val="000000"/>
                <w:lang w:val="en-GB"/>
              </w:rPr>
            </w:pPr>
          </w:p>
        </w:tc>
        <w:tc>
          <w:tcPr>
            <w:tcW w:w="3096" w:type="dxa"/>
          </w:tcPr>
          <w:p w:rsidR="00E606E2" w:rsidRPr="004341F1" w:rsidRDefault="00747476" w:rsidP="00747476">
            <w:pPr>
              <w:autoSpaceDE w:val="0"/>
              <w:autoSpaceDN w:val="0"/>
              <w:adjustRightInd w:val="0"/>
              <w:spacing w:after="120"/>
              <w:jc w:val="center"/>
              <w:rPr>
                <w:rFonts w:ascii="Times New Roman" w:hAnsi="Times New Roman" w:cs="Times New Roman"/>
                <w:b/>
                <w:color w:val="000000"/>
              </w:rPr>
            </w:pPr>
            <w:r w:rsidRPr="004341F1">
              <w:rPr>
                <w:rFonts w:ascii="Times New Roman" w:hAnsi="Times New Roman" w:cs="Times New Roman"/>
                <w:b/>
                <w:color w:val="000000"/>
              </w:rPr>
              <w:t>Conservative</w:t>
            </w:r>
          </w:p>
        </w:tc>
        <w:tc>
          <w:tcPr>
            <w:tcW w:w="3096" w:type="dxa"/>
          </w:tcPr>
          <w:p w:rsidR="00E606E2" w:rsidRPr="004341F1" w:rsidRDefault="00747476" w:rsidP="00747476">
            <w:pPr>
              <w:autoSpaceDE w:val="0"/>
              <w:autoSpaceDN w:val="0"/>
              <w:adjustRightInd w:val="0"/>
              <w:spacing w:after="120"/>
              <w:jc w:val="center"/>
              <w:rPr>
                <w:rFonts w:ascii="Times New Roman" w:hAnsi="Times New Roman" w:cs="Times New Roman"/>
                <w:b/>
                <w:color w:val="000000"/>
              </w:rPr>
            </w:pPr>
            <w:r w:rsidRPr="004341F1">
              <w:rPr>
                <w:rFonts w:ascii="Times New Roman" w:hAnsi="Times New Roman" w:cs="Times New Roman"/>
                <w:b/>
                <w:color w:val="000000"/>
              </w:rPr>
              <w:t>Ambitious</w:t>
            </w:r>
          </w:p>
        </w:tc>
      </w:tr>
      <w:tr w:rsidR="00E606E2" w:rsidRPr="00747476" w:rsidTr="004341F1">
        <w:tc>
          <w:tcPr>
            <w:tcW w:w="2988" w:type="dxa"/>
          </w:tcPr>
          <w:p w:rsidR="00E606E2" w:rsidRPr="004341F1" w:rsidRDefault="004341F1" w:rsidP="004341F1">
            <w:pPr>
              <w:autoSpaceDE w:val="0"/>
              <w:autoSpaceDN w:val="0"/>
              <w:adjustRightInd w:val="0"/>
              <w:spacing w:after="120"/>
              <w:rPr>
                <w:rFonts w:ascii="Times New Roman" w:hAnsi="Times New Roman" w:cs="Times New Roman"/>
                <w:b/>
                <w:color w:val="000000"/>
              </w:rPr>
            </w:pPr>
            <w:r w:rsidRPr="004341F1">
              <w:rPr>
                <w:rFonts w:ascii="Times New Roman" w:hAnsi="Times New Roman" w:cs="Times New Roman"/>
                <w:b/>
                <w:color w:val="000000"/>
              </w:rPr>
              <w:t xml:space="preserve">Modernised </w:t>
            </w:r>
            <w:r w:rsidR="00E606E2" w:rsidRPr="004341F1">
              <w:rPr>
                <w:rFonts w:ascii="Times New Roman" w:hAnsi="Times New Roman" w:cs="Times New Roman"/>
                <w:b/>
                <w:color w:val="000000"/>
              </w:rPr>
              <w:t>EU-</w:t>
            </w:r>
            <w:r w:rsidR="00747476" w:rsidRPr="004341F1">
              <w:rPr>
                <w:rFonts w:ascii="Times New Roman" w:hAnsi="Times New Roman" w:cs="Times New Roman"/>
                <w:b/>
                <w:color w:val="000000"/>
              </w:rPr>
              <w:t xml:space="preserve">Chile </w:t>
            </w:r>
            <w:r w:rsidR="00E606E2" w:rsidRPr="004341F1">
              <w:rPr>
                <w:rFonts w:ascii="Times New Roman" w:hAnsi="Times New Roman" w:cs="Times New Roman"/>
                <w:b/>
                <w:color w:val="000000"/>
              </w:rPr>
              <w:t>FTA</w:t>
            </w:r>
          </w:p>
        </w:tc>
        <w:tc>
          <w:tcPr>
            <w:tcW w:w="3096" w:type="dxa"/>
          </w:tcPr>
          <w:p w:rsidR="00E606E2" w:rsidRPr="004E7132" w:rsidRDefault="00747476" w:rsidP="004E7132">
            <w:pPr>
              <w:spacing w:after="200" w:line="276" w:lineRule="auto"/>
              <w:ind w:right="873"/>
              <w:jc w:val="center"/>
              <w:rPr>
                <w:rFonts w:ascii="Times New Roman" w:hAnsi="Times New Roman" w:cs="Times New Roman"/>
                <w:lang w:val="en-GB"/>
              </w:rPr>
            </w:pPr>
            <w:r w:rsidRPr="004341F1">
              <w:rPr>
                <w:rFonts w:ascii="Times New Roman" w:hAnsi="Times New Roman" w:cs="Times New Roman"/>
              </w:rPr>
              <w:t xml:space="preserve">             </w:t>
            </w:r>
            <w:r w:rsidR="00332E6A" w:rsidRPr="004E7132">
              <w:rPr>
                <w:rFonts w:ascii="Times New Roman" w:hAnsi="Times New Roman" w:cs="Times New Roman"/>
                <w:lang w:val="en-GB"/>
              </w:rPr>
              <w:t xml:space="preserve">€ </w:t>
            </w:r>
            <w:r w:rsidR="004F63A8">
              <w:rPr>
                <w:rFonts w:ascii="Times New Roman" w:hAnsi="Times New Roman" w:cs="Times New Roman"/>
                <w:lang w:val="en-GB"/>
              </w:rPr>
              <w:t>3.34</w:t>
            </w:r>
            <w:r w:rsidR="00332E6A" w:rsidRPr="004E7132">
              <w:rPr>
                <w:rFonts w:ascii="Times New Roman" w:hAnsi="Times New Roman" w:cs="Times New Roman"/>
                <w:lang w:val="en-GB"/>
              </w:rPr>
              <w:t xml:space="preserve"> million</w:t>
            </w:r>
          </w:p>
        </w:tc>
        <w:tc>
          <w:tcPr>
            <w:tcW w:w="3096" w:type="dxa"/>
          </w:tcPr>
          <w:p w:rsidR="00E606E2" w:rsidRPr="004E7132" w:rsidRDefault="004E7132" w:rsidP="004F63A8">
            <w:pPr>
              <w:spacing w:after="200" w:line="276" w:lineRule="auto"/>
              <w:ind w:right="873"/>
              <w:jc w:val="center"/>
              <w:rPr>
                <w:rFonts w:ascii="Times New Roman" w:hAnsi="Times New Roman" w:cs="Times New Roman"/>
                <w:lang w:val="en-GB"/>
              </w:rPr>
            </w:pPr>
            <w:r>
              <w:rPr>
                <w:rFonts w:ascii="Times New Roman" w:hAnsi="Times New Roman" w:cs="Times New Roman"/>
                <w:lang w:val="en-GB"/>
              </w:rPr>
              <w:t xml:space="preserve">             </w:t>
            </w:r>
            <w:r w:rsidR="00332E6A" w:rsidRPr="004E7132">
              <w:rPr>
                <w:rFonts w:ascii="Times New Roman" w:hAnsi="Times New Roman" w:cs="Times New Roman"/>
                <w:lang w:val="en-GB"/>
              </w:rPr>
              <w:t xml:space="preserve">€ </w:t>
            </w:r>
            <w:r w:rsidR="004F63A8">
              <w:rPr>
                <w:rFonts w:ascii="Times New Roman" w:hAnsi="Times New Roman" w:cs="Times New Roman"/>
                <w:lang w:val="en-GB"/>
              </w:rPr>
              <w:t>3.87</w:t>
            </w:r>
            <w:r w:rsidR="00332E6A" w:rsidRPr="004E7132">
              <w:rPr>
                <w:rFonts w:ascii="Times New Roman" w:hAnsi="Times New Roman" w:cs="Times New Roman"/>
                <w:lang w:val="en-GB"/>
              </w:rPr>
              <w:t xml:space="preserve"> million</w:t>
            </w:r>
          </w:p>
        </w:tc>
      </w:tr>
    </w:tbl>
    <w:p w:rsidR="00F020D5" w:rsidRPr="00A03560" w:rsidRDefault="004341F1" w:rsidP="009671C8">
      <w:pPr>
        <w:autoSpaceDE w:val="0"/>
        <w:autoSpaceDN w:val="0"/>
        <w:adjustRightInd w:val="0"/>
        <w:spacing w:after="0" w:line="240" w:lineRule="auto"/>
        <w:rPr>
          <w:rFonts w:ascii="Times New Roman" w:hAnsi="Times New Roman" w:cs="Times New Roman"/>
          <w:color w:val="000000"/>
          <w:sz w:val="18"/>
          <w:szCs w:val="18"/>
        </w:rPr>
      </w:pPr>
      <w:r w:rsidRPr="00A03560">
        <w:rPr>
          <w:rFonts w:ascii="Times New Roman" w:hAnsi="Times New Roman" w:cs="Times New Roman"/>
          <w:b/>
          <w:color w:val="000000"/>
        </w:rPr>
        <w:t>(*)</w:t>
      </w:r>
      <w:r w:rsidRPr="00A03560">
        <w:rPr>
          <w:rFonts w:ascii="Times New Roman" w:hAnsi="Times New Roman" w:cs="Times New Roman"/>
          <w:color w:val="000000"/>
          <w:sz w:val="18"/>
          <w:szCs w:val="18"/>
        </w:rPr>
        <w:t>Foregone customs revenue at full implementation of the modernised FTA in € million.</w:t>
      </w:r>
      <w:bookmarkStart w:id="61" w:name="_Toc442284066"/>
      <w:r w:rsidR="004E7132" w:rsidRPr="00A03560">
        <w:rPr>
          <w:rFonts w:ascii="Times New Roman" w:hAnsi="Times New Roman" w:cs="Times New Roman"/>
          <w:color w:val="000000"/>
          <w:sz w:val="18"/>
          <w:szCs w:val="18"/>
        </w:rPr>
        <w:t xml:space="preserve"> Original calculation in USD and converted at 1 €=1.</w:t>
      </w:r>
      <w:r w:rsidR="004F63A8" w:rsidRPr="00A03560">
        <w:rPr>
          <w:rFonts w:ascii="Times New Roman" w:hAnsi="Times New Roman" w:cs="Times New Roman"/>
          <w:color w:val="000000"/>
          <w:sz w:val="18"/>
          <w:szCs w:val="18"/>
        </w:rPr>
        <w:t>1095</w:t>
      </w:r>
      <w:r w:rsidR="004E7132" w:rsidRPr="00A03560">
        <w:rPr>
          <w:rFonts w:ascii="Times New Roman" w:hAnsi="Times New Roman" w:cs="Times New Roman"/>
          <w:color w:val="000000"/>
          <w:sz w:val="18"/>
          <w:szCs w:val="18"/>
        </w:rPr>
        <w:t xml:space="preserve"> USD. </w:t>
      </w:r>
    </w:p>
    <w:p w:rsidR="009671C8" w:rsidRDefault="009671C8" w:rsidP="009671C8">
      <w:pPr>
        <w:autoSpaceDE w:val="0"/>
        <w:autoSpaceDN w:val="0"/>
        <w:adjustRightInd w:val="0"/>
        <w:spacing w:after="0" w:line="240" w:lineRule="auto"/>
        <w:rPr>
          <w:rFonts w:ascii="Times New Roman" w:hAnsi="Times New Roman" w:cs="Times New Roman"/>
          <w:color w:val="000000"/>
          <w:sz w:val="20"/>
          <w:szCs w:val="20"/>
        </w:rPr>
      </w:pPr>
    </w:p>
    <w:p w:rsidR="00B51550" w:rsidRDefault="00B51550">
      <w:pPr>
        <w:rPr>
          <w:rFonts w:ascii="Times New Roman Bold" w:eastAsiaTheme="majorEastAsia" w:hAnsi="Times New Roman Bold" w:cs="Times New Roman" w:hint="eastAsia"/>
          <w:b/>
          <w:caps/>
          <w:sz w:val="24"/>
          <w:szCs w:val="24"/>
        </w:rPr>
      </w:pPr>
    </w:p>
    <w:p w:rsidR="00BF189B" w:rsidRPr="00F53B49" w:rsidRDefault="005C041F" w:rsidP="002A28DD">
      <w:pPr>
        <w:pStyle w:val="Heading1"/>
        <w:numPr>
          <w:ilvl w:val="0"/>
          <w:numId w:val="11"/>
        </w:numPr>
        <w:rPr>
          <w:rFonts w:ascii="Times New Roman Bold" w:hAnsi="Times New Roman Bold" w:hint="eastAsia"/>
          <w:caps/>
        </w:rPr>
      </w:pPr>
      <w:bookmarkStart w:id="62" w:name="_Toc473123098"/>
      <w:r w:rsidRPr="00F53B49">
        <w:rPr>
          <w:rFonts w:ascii="Times New Roman Bold" w:hAnsi="Times New Roman Bold"/>
          <w:caps/>
        </w:rPr>
        <w:t>HOW DO THE OPTIONS COMPARE?</w:t>
      </w:r>
      <w:bookmarkEnd w:id="61"/>
      <w:bookmarkEnd w:id="62"/>
    </w:p>
    <w:p w:rsidR="00BF189B" w:rsidRDefault="00BF189B" w:rsidP="00301DBB">
      <w:pPr>
        <w:spacing w:after="0" w:line="240" w:lineRule="auto"/>
        <w:jc w:val="both"/>
        <w:rPr>
          <w:rFonts w:ascii="Times New Roman" w:hAnsi="Times New Roman" w:cs="Times New Roman"/>
          <w:sz w:val="24"/>
          <w:szCs w:val="24"/>
        </w:rPr>
      </w:pPr>
    </w:p>
    <w:p w:rsidR="00240E23" w:rsidRDefault="00240E23" w:rsidP="00240E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Chapter</w:t>
      </w:r>
      <w:r w:rsidRPr="00240E23">
        <w:rPr>
          <w:rFonts w:ascii="Times New Roman" w:hAnsi="Times New Roman" w:cs="Times New Roman"/>
          <w:sz w:val="24"/>
          <w:szCs w:val="24"/>
        </w:rPr>
        <w:t xml:space="preserve"> links both the positive and negative impac</w:t>
      </w:r>
      <w:r>
        <w:rPr>
          <w:rFonts w:ascii="Times New Roman" w:hAnsi="Times New Roman" w:cs="Times New Roman"/>
          <w:sz w:val="24"/>
          <w:szCs w:val="24"/>
        </w:rPr>
        <w:t>ts of each policy option described in C</w:t>
      </w:r>
      <w:r w:rsidRPr="00240E23">
        <w:rPr>
          <w:rFonts w:ascii="Times New Roman" w:hAnsi="Times New Roman" w:cs="Times New Roman"/>
          <w:sz w:val="24"/>
          <w:szCs w:val="24"/>
        </w:rPr>
        <w:t xml:space="preserve">hapter 5 directly </w:t>
      </w:r>
      <w:r>
        <w:rPr>
          <w:rFonts w:ascii="Times New Roman" w:hAnsi="Times New Roman" w:cs="Times New Roman"/>
          <w:sz w:val="24"/>
          <w:szCs w:val="24"/>
        </w:rPr>
        <w:t>to the objectives mentioned in C</w:t>
      </w:r>
      <w:r w:rsidRPr="00240E23">
        <w:rPr>
          <w:rFonts w:ascii="Times New Roman" w:hAnsi="Times New Roman" w:cs="Times New Roman"/>
          <w:sz w:val="24"/>
          <w:szCs w:val="24"/>
        </w:rPr>
        <w:t>hapter 3. The comparison of the different policy options has been conducted according to criteria of effectiveness in achieving the operational objectives, efficiency, and coherence with ov</w:t>
      </w:r>
      <w:r>
        <w:rPr>
          <w:rFonts w:ascii="Times New Roman" w:hAnsi="Times New Roman" w:cs="Times New Roman"/>
          <w:sz w:val="24"/>
          <w:szCs w:val="24"/>
        </w:rPr>
        <w:t>erarching EU policy objectives.</w:t>
      </w:r>
      <w:r w:rsidR="00850F8B">
        <w:rPr>
          <w:rFonts w:ascii="Times New Roman" w:hAnsi="Times New Roman" w:cs="Times New Roman"/>
          <w:sz w:val="24"/>
          <w:szCs w:val="24"/>
        </w:rPr>
        <w:t xml:space="preserve"> </w:t>
      </w:r>
      <w:r w:rsidRPr="00240E23">
        <w:rPr>
          <w:rFonts w:ascii="Times New Roman" w:hAnsi="Times New Roman" w:cs="Times New Roman"/>
          <w:sz w:val="24"/>
          <w:szCs w:val="24"/>
        </w:rPr>
        <w:t xml:space="preserve">The analysis has taken into account not only the trade and economic impacts </w:t>
      </w:r>
      <w:r w:rsidR="00E5315E">
        <w:rPr>
          <w:rFonts w:ascii="Times New Roman" w:hAnsi="Times New Roman" w:cs="Times New Roman"/>
          <w:sz w:val="24"/>
          <w:szCs w:val="24"/>
        </w:rPr>
        <w:t xml:space="preserve">(including on </w:t>
      </w:r>
      <w:r w:rsidR="00E5315E" w:rsidRPr="00E5315E">
        <w:rPr>
          <w:rFonts w:ascii="Times New Roman" w:hAnsi="Times New Roman" w:cs="Times New Roman"/>
          <w:sz w:val="24"/>
          <w:szCs w:val="24"/>
        </w:rPr>
        <w:t>SMEs and on specific sectors</w:t>
      </w:r>
      <w:r w:rsidR="00E5315E">
        <w:rPr>
          <w:rFonts w:ascii="Times New Roman" w:hAnsi="Times New Roman" w:cs="Times New Roman"/>
          <w:sz w:val="24"/>
          <w:szCs w:val="24"/>
        </w:rPr>
        <w:t>)</w:t>
      </w:r>
      <w:r w:rsidR="00E5315E" w:rsidRPr="00240E23">
        <w:rPr>
          <w:rFonts w:ascii="Times New Roman" w:hAnsi="Times New Roman" w:cs="Times New Roman"/>
          <w:sz w:val="24"/>
          <w:szCs w:val="24"/>
        </w:rPr>
        <w:t xml:space="preserve"> </w:t>
      </w:r>
      <w:r w:rsidRPr="00240E23">
        <w:rPr>
          <w:rFonts w:ascii="Times New Roman" w:hAnsi="Times New Roman" w:cs="Times New Roman"/>
          <w:sz w:val="24"/>
          <w:szCs w:val="24"/>
        </w:rPr>
        <w:t xml:space="preserve">of each alternative; but also their </w:t>
      </w:r>
      <w:r w:rsidR="00E5315E" w:rsidRPr="00240E23">
        <w:rPr>
          <w:rFonts w:ascii="Times New Roman" w:hAnsi="Times New Roman" w:cs="Times New Roman"/>
          <w:sz w:val="24"/>
          <w:szCs w:val="24"/>
        </w:rPr>
        <w:t>environmental</w:t>
      </w:r>
      <w:r w:rsidR="00E5315E">
        <w:rPr>
          <w:rFonts w:ascii="Times New Roman" w:hAnsi="Times New Roman" w:cs="Times New Roman"/>
          <w:sz w:val="24"/>
          <w:szCs w:val="24"/>
        </w:rPr>
        <w:t>,</w:t>
      </w:r>
      <w:r w:rsidR="00E5315E" w:rsidRPr="00240E23">
        <w:rPr>
          <w:rFonts w:ascii="Times New Roman" w:hAnsi="Times New Roman" w:cs="Times New Roman"/>
          <w:sz w:val="24"/>
          <w:szCs w:val="24"/>
        </w:rPr>
        <w:t xml:space="preserve"> </w:t>
      </w:r>
      <w:r w:rsidRPr="00240E23">
        <w:rPr>
          <w:rFonts w:ascii="Times New Roman" w:hAnsi="Times New Roman" w:cs="Times New Roman"/>
          <w:sz w:val="24"/>
          <w:szCs w:val="24"/>
        </w:rPr>
        <w:t xml:space="preserve">social and </w:t>
      </w:r>
      <w:r w:rsidR="00E5315E" w:rsidRPr="00E5315E">
        <w:rPr>
          <w:rFonts w:ascii="Times New Roman" w:hAnsi="Times New Roman" w:cs="Times New Roman"/>
          <w:sz w:val="24"/>
          <w:szCs w:val="24"/>
        </w:rPr>
        <w:t xml:space="preserve">human rights </w:t>
      </w:r>
      <w:r w:rsidRPr="00240E23">
        <w:rPr>
          <w:rFonts w:ascii="Times New Roman" w:hAnsi="Times New Roman" w:cs="Times New Roman"/>
          <w:sz w:val="24"/>
          <w:szCs w:val="24"/>
        </w:rPr>
        <w:t xml:space="preserve">impacts, as well as </w:t>
      </w:r>
      <w:r w:rsidR="00E5315E">
        <w:rPr>
          <w:rFonts w:ascii="Times New Roman" w:hAnsi="Times New Roman" w:cs="Times New Roman"/>
          <w:sz w:val="24"/>
          <w:szCs w:val="24"/>
        </w:rPr>
        <w:t xml:space="preserve">the </w:t>
      </w:r>
      <w:r w:rsidR="00E5315E" w:rsidRPr="00E5315E">
        <w:rPr>
          <w:rFonts w:ascii="Times New Roman" w:hAnsi="Times New Roman" w:cs="Times New Roman"/>
          <w:sz w:val="24"/>
          <w:szCs w:val="24"/>
        </w:rPr>
        <w:t>budgetary</w:t>
      </w:r>
      <w:r w:rsidR="00E5315E" w:rsidRPr="00240E23">
        <w:rPr>
          <w:rFonts w:ascii="Times New Roman" w:hAnsi="Times New Roman" w:cs="Times New Roman"/>
          <w:sz w:val="24"/>
          <w:szCs w:val="24"/>
        </w:rPr>
        <w:t xml:space="preserve"> </w:t>
      </w:r>
      <w:r w:rsidR="00E5315E">
        <w:rPr>
          <w:rFonts w:ascii="Times New Roman" w:hAnsi="Times New Roman" w:cs="Times New Roman"/>
          <w:sz w:val="24"/>
          <w:szCs w:val="24"/>
        </w:rPr>
        <w:t xml:space="preserve">and </w:t>
      </w:r>
      <w:r w:rsidR="00E5315E" w:rsidRPr="00E5315E">
        <w:rPr>
          <w:rFonts w:ascii="Times New Roman" w:hAnsi="Times New Roman" w:cs="Times New Roman"/>
          <w:sz w:val="24"/>
          <w:szCs w:val="24"/>
        </w:rPr>
        <w:t>administrative</w:t>
      </w:r>
      <w:r w:rsidR="00E5315E" w:rsidRPr="00240E23">
        <w:rPr>
          <w:rFonts w:ascii="Times New Roman" w:hAnsi="Times New Roman" w:cs="Times New Roman"/>
          <w:sz w:val="24"/>
          <w:szCs w:val="24"/>
        </w:rPr>
        <w:t xml:space="preserve"> </w:t>
      </w:r>
      <w:r w:rsidR="00D07F51">
        <w:rPr>
          <w:rFonts w:ascii="Times New Roman" w:hAnsi="Times New Roman" w:cs="Times New Roman"/>
          <w:sz w:val="24"/>
          <w:szCs w:val="24"/>
        </w:rPr>
        <w:t>impacts</w:t>
      </w:r>
      <w:r w:rsidR="00E5315E">
        <w:rPr>
          <w:rFonts w:ascii="Times New Roman" w:hAnsi="Times New Roman" w:cs="Times New Roman"/>
          <w:sz w:val="24"/>
          <w:szCs w:val="24"/>
        </w:rPr>
        <w:t>.</w:t>
      </w:r>
    </w:p>
    <w:p w:rsidR="00240E23" w:rsidRPr="00BF189B" w:rsidRDefault="00240E23" w:rsidP="00301DBB">
      <w:pPr>
        <w:spacing w:after="0" w:line="240" w:lineRule="auto"/>
        <w:jc w:val="both"/>
        <w:rPr>
          <w:rFonts w:ascii="Times New Roman" w:hAnsi="Times New Roman" w:cs="Times New Roman"/>
          <w:sz w:val="24"/>
          <w:szCs w:val="24"/>
        </w:rPr>
      </w:pPr>
    </w:p>
    <w:p w:rsidR="00302A40" w:rsidRPr="00302A40" w:rsidRDefault="00302A40" w:rsidP="00882520">
      <w:pPr>
        <w:pStyle w:val="ListParagraph"/>
        <w:keepNext/>
        <w:keepLines/>
        <w:numPr>
          <w:ilvl w:val="0"/>
          <w:numId w:val="56"/>
        </w:numPr>
        <w:spacing w:after="0" w:line="240" w:lineRule="auto"/>
        <w:contextualSpacing w:val="0"/>
        <w:jc w:val="both"/>
        <w:outlineLvl w:val="1"/>
        <w:rPr>
          <w:rFonts w:ascii="Times New Roman" w:eastAsiaTheme="majorEastAsia" w:hAnsi="Times New Roman" w:cs="Times New Roman"/>
          <w:b/>
          <w:bCs/>
          <w:vanish/>
          <w:sz w:val="24"/>
          <w:szCs w:val="24"/>
          <w:u w:val="single"/>
          <w:lang w:val="en-GB"/>
        </w:rPr>
      </w:pPr>
      <w:bookmarkStart w:id="63" w:name="_Toc467831532"/>
      <w:bookmarkStart w:id="64" w:name="_Toc472961419"/>
      <w:bookmarkStart w:id="65" w:name="_Toc472961468"/>
      <w:bookmarkStart w:id="66" w:name="_Toc473123099"/>
      <w:bookmarkStart w:id="67" w:name="_Toc442284067"/>
      <w:bookmarkEnd w:id="63"/>
      <w:bookmarkEnd w:id="64"/>
      <w:bookmarkEnd w:id="65"/>
      <w:bookmarkEnd w:id="66"/>
    </w:p>
    <w:p w:rsidR="00BF189B" w:rsidRPr="00302A40" w:rsidRDefault="00BF189B" w:rsidP="00882520">
      <w:pPr>
        <w:pStyle w:val="Heading2"/>
        <w:numPr>
          <w:ilvl w:val="1"/>
          <w:numId w:val="56"/>
        </w:numPr>
        <w:spacing w:before="120"/>
        <w:ind w:left="788" w:hanging="431"/>
        <w:rPr>
          <w:u w:val="single"/>
        </w:rPr>
      </w:pPr>
      <w:bookmarkStart w:id="68" w:name="_Toc473123100"/>
      <w:r w:rsidRPr="00302A40">
        <w:rPr>
          <w:u w:val="single"/>
        </w:rPr>
        <w:t>Positive and negative effects of the policy options</w:t>
      </w:r>
      <w:bookmarkEnd w:id="67"/>
      <w:bookmarkEnd w:id="68"/>
    </w:p>
    <w:p w:rsidR="0001691D" w:rsidRPr="00FD3C27" w:rsidRDefault="0001691D" w:rsidP="00301DBB">
      <w:pPr>
        <w:spacing w:after="0" w:line="240" w:lineRule="auto"/>
        <w:jc w:val="both"/>
        <w:rPr>
          <w:rFonts w:ascii="Times New Roman" w:hAnsi="Times New Roman" w:cs="Times New Roman"/>
          <w:sz w:val="24"/>
          <w:szCs w:val="24"/>
          <w:u w:val="single"/>
        </w:rPr>
      </w:pPr>
    </w:p>
    <w:p w:rsidR="00A23186" w:rsidRPr="003065C1" w:rsidRDefault="00A23186" w:rsidP="00AE15A2">
      <w:pPr>
        <w:spacing w:after="0" w:line="240" w:lineRule="auto"/>
        <w:jc w:val="both"/>
        <w:rPr>
          <w:rFonts w:ascii="Times New Roman" w:hAnsi="Times New Roman" w:cs="Times New Roman"/>
          <w:i/>
          <w:sz w:val="24"/>
          <w:szCs w:val="24"/>
          <w:u w:val="single"/>
        </w:rPr>
      </w:pPr>
      <w:r w:rsidRPr="003065C1">
        <w:rPr>
          <w:rFonts w:ascii="Times New Roman" w:hAnsi="Times New Roman" w:cs="Times New Roman"/>
          <w:i/>
          <w:sz w:val="24"/>
          <w:szCs w:val="24"/>
          <w:u w:val="single"/>
        </w:rPr>
        <w:t>Option A: Baseline</w:t>
      </w:r>
    </w:p>
    <w:p w:rsidR="00A23186" w:rsidRDefault="00A23186" w:rsidP="00AE15A2">
      <w:pPr>
        <w:spacing w:after="0" w:line="240" w:lineRule="auto"/>
        <w:jc w:val="both"/>
        <w:rPr>
          <w:rFonts w:ascii="Times New Roman" w:hAnsi="Times New Roman" w:cs="Times New Roman"/>
          <w:sz w:val="24"/>
          <w:szCs w:val="24"/>
        </w:rPr>
      </w:pPr>
    </w:p>
    <w:p w:rsidR="003065C1" w:rsidRDefault="003065C1" w:rsidP="003065C1">
      <w:pPr>
        <w:spacing w:after="0" w:line="240" w:lineRule="auto"/>
        <w:jc w:val="both"/>
        <w:rPr>
          <w:rFonts w:ascii="Times New Roman" w:hAnsi="Times New Roman" w:cs="Times New Roman"/>
          <w:sz w:val="24"/>
          <w:szCs w:val="24"/>
        </w:rPr>
      </w:pPr>
      <w:r w:rsidRPr="00AE15A2">
        <w:rPr>
          <w:rFonts w:ascii="Times New Roman" w:hAnsi="Times New Roman" w:cs="Times New Roman"/>
          <w:sz w:val="24"/>
          <w:szCs w:val="24"/>
        </w:rPr>
        <w:t xml:space="preserve">The </w:t>
      </w:r>
      <w:r w:rsidRPr="00B15BBD">
        <w:rPr>
          <w:rFonts w:ascii="Times New Roman" w:hAnsi="Times New Roman" w:cs="Times New Roman"/>
          <w:b/>
          <w:sz w:val="24"/>
          <w:szCs w:val="24"/>
        </w:rPr>
        <w:t>baseline option</w:t>
      </w:r>
      <w:r w:rsidRPr="00AE15A2">
        <w:rPr>
          <w:rFonts w:ascii="Times New Roman" w:hAnsi="Times New Roman" w:cs="Times New Roman"/>
          <w:sz w:val="24"/>
          <w:szCs w:val="24"/>
        </w:rPr>
        <w:t xml:space="preserve"> calls for maintaining </w:t>
      </w:r>
      <w:r>
        <w:rPr>
          <w:rFonts w:ascii="Times New Roman" w:hAnsi="Times New Roman" w:cs="Times New Roman"/>
          <w:sz w:val="24"/>
          <w:szCs w:val="24"/>
        </w:rPr>
        <w:t>the existing framework,</w:t>
      </w:r>
      <w:r w:rsidRPr="00CA3FBE">
        <w:rPr>
          <w:rFonts w:ascii="Times New Roman" w:hAnsi="Times New Roman" w:cs="Times New Roman"/>
          <w:sz w:val="24"/>
          <w:szCs w:val="24"/>
        </w:rPr>
        <w:t xml:space="preserve"> with possible incremental improvements</w:t>
      </w:r>
      <w:r>
        <w:rPr>
          <w:rFonts w:ascii="Times New Roman" w:hAnsi="Times New Roman" w:cs="Times New Roman"/>
          <w:sz w:val="24"/>
          <w:szCs w:val="24"/>
        </w:rPr>
        <w:t>.</w:t>
      </w:r>
      <w:r w:rsidRPr="004F788A">
        <w:rPr>
          <w:rFonts w:ascii="Times New Roman" w:hAnsi="Times New Roman" w:cs="Times New Roman"/>
          <w:sz w:val="24"/>
          <w:szCs w:val="24"/>
        </w:rPr>
        <w:t xml:space="preserve"> However, the EU-</w:t>
      </w:r>
      <w:r>
        <w:rPr>
          <w:rFonts w:ascii="Times New Roman" w:hAnsi="Times New Roman" w:cs="Times New Roman"/>
          <w:sz w:val="24"/>
          <w:szCs w:val="24"/>
        </w:rPr>
        <w:t xml:space="preserve">Chile </w:t>
      </w:r>
      <w:r w:rsidRPr="004F788A">
        <w:rPr>
          <w:rFonts w:ascii="Times New Roman" w:hAnsi="Times New Roman" w:cs="Times New Roman"/>
          <w:sz w:val="24"/>
          <w:szCs w:val="24"/>
        </w:rPr>
        <w:t xml:space="preserve">FTA entered into force </w:t>
      </w:r>
      <w:r w:rsidR="007C2C4A">
        <w:rPr>
          <w:rFonts w:ascii="Times New Roman" w:hAnsi="Times New Roman" w:cs="Times New Roman"/>
          <w:sz w:val="24"/>
          <w:szCs w:val="24"/>
        </w:rPr>
        <w:t>in 2003</w:t>
      </w:r>
      <w:r w:rsidRPr="004F788A">
        <w:rPr>
          <w:rFonts w:ascii="Times New Roman" w:hAnsi="Times New Roman" w:cs="Times New Roman"/>
          <w:sz w:val="24"/>
          <w:szCs w:val="24"/>
        </w:rPr>
        <w:t xml:space="preserve"> and </w:t>
      </w:r>
      <w:r>
        <w:rPr>
          <w:rFonts w:ascii="Times New Roman" w:hAnsi="Times New Roman" w:cs="Times New Roman"/>
          <w:sz w:val="24"/>
          <w:szCs w:val="24"/>
        </w:rPr>
        <w:t>its</w:t>
      </w:r>
      <w:r w:rsidRPr="004F788A">
        <w:rPr>
          <w:rFonts w:ascii="Times New Roman" w:hAnsi="Times New Roman" w:cs="Times New Roman"/>
          <w:sz w:val="24"/>
          <w:szCs w:val="24"/>
        </w:rPr>
        <w:t xml:space="preserve"> expected benefits have already been achieved. </w:t>
      </w:r>
      <w:r>
        <w:rPr>
          <w:rFonts w:ascii="Times New Roman" w:hAnsi="Times New Roman" w:cs="Times New Roman"/>
          <w:sz w:val="24"/>
          <w:szCs w:val="24"/>
        </w:rPr>
        <w:t>Therefore</w:t>
      </w:r>
      <w:r w:rsidRPr="004F788A">
        <w:rPr>
          <w:rFonts w:ascii="Times New Roman" w:hAnsi="Times New Roman" w:cs="Times New Roman"/>
          <w:sz w:val="24"/>
          <w:szCs w:val="24"/>
        </w:rPr>
        <w:t xml:space="preserve">, </w:t>
      </w:r>
      <w:r>
        <w:rPr>
          <w:rFonts w:ascii="Times New Roman" w:hAnsi="Times New Roman" w:cs="Times New Roman"/>
          <w:sz w:val="24"/>
          <w:szCs w:val="24"/>
        </w:rPr>
        <w:t>the possible</w:t>
      </w:r>
      <w:r w:rsidRPr="004F788A">
        <w:rPr>
          <w:rFonts w:ascii="Times New Roman" w:hAnsi="Times New Roman" w:cs="Times New Roman"/>
          <w:sz w:val="24"/>
          <w:szCs w:val="24"/>
        </w:rPr>
        <w:t xml:space="preserve"> effects achieved under th</w:t>
      </w:r>
      <w:r>
        <w:rPr>
          <w:rFonts w:ascii="Times New Roman" w:hAnsi="Times New Roman" w:cs="Times New Roman"/>
          <w:sz w:val="24"/>
          <w:szCs w:val="24"/>
        </w:rPr>
        <w:t>e baseline</w:t>
      </w:r>
      <w:r w:rsidRPr="004F788A">
        <w:rPr>
          <w:rFonts w:ascii="Times New Roman" w:hAnsi="Times New Roman" w:cs="Times New Roman"/>
          <w:sz w:val="24"/>
          <w:szCs w:val="24"/>
        </w:rPr>
        <w:t xml:space="preserve"> option </w:t>
      </w:r>
      <w:r>
        <w:rPr>
          <w:rFonts w:ascii="Times New Roman" w:hAnsi="Times New Roman" w:cs="Times New Roman"/>
          <w:sz w:val="24"/>
          <w:szCs w:val="24"/>
        </w:rPr>
        <w:t>are expected to</w:t>
      </w:r>
      <w:r w:rsidRPr="004F788A">
        <w:rPr>
          <w:rFonts w:ascii="Times New Roman" w:hAnsi="Times New Roman" w:cs="Times New Roman"/>
          <w:sz w:val="24"/>
          <w:szCs w:val="24"/>
        </w:rPr>
        <w:t xml:space="preserve"> be marginal and would not translate into perceptible growth of bilateral trade and investment volumes. No significant </w:t>
      </w:r>
      <w:r>
        <w:rPr>
          <w:rFonts w:ascii="Times New Roman" w:hAnsi="Times New Roman" w:cs="Times New Roman"/>
          <w:sz w:val="24"/>
          <w:szCs w:val="24"/>
        </w:rPr>
        <w:t xml:space="preserve">further </w:t>
      </w:r>
      <w:r w:rsidRPr="004F788A">
        <w:rPr>
          <w:rFonts w:ascii="Times New Roman" w:hAnsi="Times New Roman" w:cs="Times New Roman"/>
          <w:sz w:val="24"/>
          <w:szCs w:val="24"/>
        </w:rPr>
        <w:t xml:space="preserve">gains </w:t>
      </w:r>
      <w:r>
        <w:rPr>
          <w:rFonts w:ascii="Times New Roman" w:hAnsi="Times New Roman" w:cs="Times New Roman"/>
          <w:sz w:val="24"/>
          <w:szCs w:val="24"/>
        </w:rPr>
        <w:t>in overall welfare attribut</w:t>
      </w:r>
      <w:r w:rsidR="00AA6790">
        <w:rPr>
          <w:rFonts w:ascii="Times New Roman" w:hAnsi="Times New Roman" w:cs="Times New Roman"/>
          <w:sz w:val="24"/>
          <w:szCs w:val="24"/>
        </w:rPr>
        <w:t>able</w:t>
      </w:r>
      <w:r>
        <w:rPr>
          <w:rFonts w:ascii="Times New Roman" w:hAnsi="Times New Roman" w:cs="Times New Roman"/>
          <w:sz w:val="24"/>
          <w:szCs w:val="24"/>
        </w:rPr>
        <w:t xml:space="preserve"> to the EU-Chile FTA </w:t>
      </w:r>
      <w:r w:rsidR="00AA6790">
        <w:rPr>
          <w:rFonts w:ascii="Times New Roman" w:hAnsi="Times New Roman" w:cs="Times New Roman"/>
          <w:sz w:val="24"/>
          <w:szCs w:val="24"/>
        </w:rPr>
        <w:t>w</w:t>
      </w:r>
      <w:r w:rsidRPr="004F788A">
        <w:rPr>
          <w:rFonts w:ascii="Times New Roman" w:hAnsi="Times New Roman" w:cs="Times New Roman"/>
          <w:sz w:val="24"/>
          <w:szCs w:val="24"/>
        </w:rPr>
        <w:t xml:space="preserve">ould be expected in either the EU or </w:t>
      </w:r>
      <w:r>
        <w:rPr>
          <w:rFonts w:ascii="Times New Roman" w:hAnsi="Times New Roman" w:cs="Times New Roman"/>
          <w:sz w:val="24"/>
          <w:szCs w:val="24"/>
        </w:rPr>
        <w:t>in Chile</w:t>
      </w:r>
      <w:r w:rsidRPr="004F788A">
        <w:rPr>
          <w:rFonts w:ascii="Times New Roman" w:hAnsi="Times New Roman" w:cs="Times New Roman"/>
          <w:sz w:val="24"/>
          <w:szCs w:val="24"/>
        </w:rPr>
        <w:t>.</w:t>
      </w:r>
    </w:p>
    <w:p w:rsidR="003065C1" w:rsidRDefault="003065C1" w:rsidP="003065C1">
      <w:pPr>
        <w:spacing w:after="0" w:line="240" w:lineRule="auto"/>
        <w:jc w:val="both"/>
        <w:rPr>
          <w:rFonts w:ascii="Times New Roman" w:hAnsi="Times New Roman" w:cs="Times New Roman"/>
          <w:sz w:val="24"/>
          <w:szCs w:val="24"/>
        </w:rPr>
      </w:pPr>
    </w:p>
    <w:p w:rsidR="003065C1" w:rsidRDefault="003065C1" w:rsidP="00306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Likewise, t</w:t>
      </w:r>
      <w:r w:rsidRPr="00AE15A2">
        <w:rPr>
          <w:rFonts w:ascii="Times New Roman" w:hAnsi="Times New Roman" w:cs="Times New Roman"/>
          <w:sz w:val="24"/>
          <w:szCs w:val="24"/>
        </w:rPr>
        <w:t>he baseline option w</w:t>
      </w:r>
      <w:r w:rsidR="00AA6790">
        <w:rPr>
          <w:rFonts w:ascii="Times New Roman" w:hAnsi="Times New Roman" w:cs="Times New Roman"/>
          <w:sz w:val="24"/>
          <w:szCs w:val="24"/>
        </w:rPr>
        <w:t>ould</w:t>
      </w:r>
      <w:r w:rsidRPr="00AE15A2">
        <w:rPr>
          <w:rFonts w:ascii="Times New Roman" w:hAnsi="Times New Roman" w:cs="Times New Roman"/>
          <w:sz w:val="24"/>
          <w:szCs w:val="24"/>
        </w:rPr>
        <w:t xml:space="preserve"> not have </w:t>
      </w:r>
      <w:r>
        <w:rPr>
          <w:rFonts w:ascii="Times New Roman" w:hAnsi="Times New Roman" w:cs="Times New Roman"/>
          <w:sz w:val="24"/>
          <w:szCs w:val="24"/>
        </w:rPr>
        <w:t>any</w:t>
      </w:r>
      <w:r w:rsidRPr="00AE15A2">
        <w:rPr>
          <w:rFonts w:ascii="Times New Roman" w:hAnsi="Times New Roman" w:cs="Times New Roman"/>
          <w:sz w:val="24"/>
          <w:szCs w:val="24"/>
        </w:rPr>
        <w:t xml:space="preserve"> </w:t>
      </w:r>
      <w:r>
        <w:rPr>
          <w:rFonts w:ascii="Times New Roman" w:hAnsi="Times New Roman" w:cs="Times New Roman"/>
          <w:sz w:val="24"/>
          <w:szCs w:val="24"/>
        </w:rPr>
        <w:t xml:space="preserve">additional </w:t>
      </w:r>
      <w:r w:rsidRPr="00AE15A2">
        <w:rPr>
          <w:rFonts w:ascii="Times New Roman" w:hAnsi="Times New Roman" w:cs="Times New Roman"/>
          <w:sz w:val="24"/>
          <w:szCs w:val="24"/>
        </w:rPr>
        <w:t>environmental or social effects</w:t>
      </w:r>
      <w:r>
        <w:rPr>
          <w:rFonts w:ascii="Times New Roman" w:hAnsi="Times New Roman" w:cs="Times New Roman"/>
          <w:sz w:val="24"/>
          <w:szCs w:val="24"/>
        </w:rPr>
        <w:t xml:space="preserve"> (positive or negative)</w:t>
      </w:r>
      <w:r w:rsidRPr="00AE15A2">
        <w:rPr>
          <w:rFonts w:ascii="Times New Roman" w:hAnsi="Times New Roman" w:cs="Times New Roman"/>
          <w:sz w:val="24"/>
          <w:szCs w:val="24"/>
        </w:rPr>
        <w:t>.</w:t>
      </w:r>
      <w:r>
        <w:rPr>
          <w:rFonts w:ascii="Times New Roman" w:hAnsi="Times New Roman" w:cs="Times New Roman"/>
          <w:sz w:val="24"/>
          <w:szCs w:val="24"/>
        </w:rPr>
        <w:t xml:space="preserve"> Clearly, the baseline scenario - with no fresh policy action - is ineffective in reaching the desired policy objectives. If bilateral trade between the EU and Chile is compared to the bilateral trade</w:t>
      </w:r>
      <w:r w:rsidR="00AA6790">
        <w:rPr>
          <w:rFonts w:ascii="Times New Roman" w:hAnsi="Times New Roman" w:cs="Times New Roman"/>
          <w:sz w:val="24"/>
          <w:szCs w:val="24"/>
        </w:rPr>
        <w:t xml:space="preserve"> volumes</w:t>
      </w:r>
      <w:r w:rsidR="00613660">
        <w:rPr>
          <w:rFonts w:ascii="Times New Roman" w:hAnsi="Times New Roman" w:cs="Times New Roman"/>
          <w:sz w:val="24"/>
          <w:szCs w:val="24"/>
        </w:rPr>
        <w:t>,</w:t>
      </w:r>
      <w:r>
        <w:rPr>
          <w:rFonts w:ascii="Times New Roman" w:hAnsi="Times New Roman" w:cs="Times New Roman"/>
          <w:sz w:val="24"/>
          <w:szCs w:val="24"/>
        </w:rPr>
        <w:t xml:space="preserve"> which each could now enjoy </w:t>
      </w:r>
      <w:r w:rsidR="00AA6790">
        <w:rPr>
          <w:rFonts w:ascii="Times New Roman" w:hAnsi="Times New Roman" w:cs="Times New Roman"/>
          <w:sz w:val="24"/>
          <w:szCs w:val="24"/>
        </w:rPr>
        <w:t xml:space="preserve">with a more ambitious FTA </w:t>
      </w:r>
      <w:r w:rsidR="008F37F0">
        <w:rPr>
          <w:rFonts w:ascii="Times New Roman" w:hAnsi="Times New Roman" w:cs="Times New Roman"/>
          <w:sz w:val="24"/>
          <w:szCs w:val="24"/>
        </w:rPr>
        <w:t>(</w:t>
      </w:r>
      <w:r w:rsidR="00AA6790">
        <w:rPr>
          <w:rFonts w:ascii="Times New Roman" w:hAnsi="Times New Roman" w:cs="Times New Roman"/>
          <w:sz w:val="24"/>
          <w:szCs w:val="24"/>
        </w:rPr>
        <w:t>comparable to those recently concluded with third partners</w:t>
      </w:r>
      <w:r w:rsidR="008F37F0">
        <w:rPr>
          <w:rFonts w:ascii="Times New Roman" w:hAnsi="Times New Roman" w:cs="Times New Roman"/>
          <w:sz w:val="24"/>
          <w:szCs w:val="24"/>
        </w:rPr>
        <w:t>)</w:t>
      </w:r>
      <w:r>
        <w:rPr>
          <w:rFonts w:ascii="Times New Roman" w:hAnsi="Times New Roman" w:cs="Times New Roman"/>
          <w:sz w:val="24"/>
          <w:szCs w:val="24"/>
        </w:rPr>
        <w:t xml:space="preserve">, it </w:t>
      </w:r>
      <w:r w:rsidR="00EE6859">
        <w:rPr>
          <w:rFonts w:ascii="Times New Roman" w:hAnsi="Times New Roman" w:cs="Times New Roman"/>
          <w:sz w:val="24"/>
          <w:szCs w:val="24"/>
        </w:rPr>
        <w:t xml:space="preserve">could </w:t>
      </w:r>
      <w:r>
        <w:rPr>
          <w:rFonts w:ascii="Times New Roman" w:hAnsi="Times New Roman" w:cs="Times New Roman"/>
          <w:sz w:val="24"/>
          <w:szCs w:val="24"/>
        </w:rPr>
        <w:t xml:space="preserve">even be </w:t>
      </w:r>
      <w:r w:rsidR="00EE6859">
        <w:rPr>
          <w:rFonts w:ascii="Times New Roman" w:hAnsi="Times New Roman" w:cs="Times New Roman"/>
          <w:sz w:val="24"/>
          <w:szCs w:val="24"/>
        </w:rPr>
        <w:t>considered</w:t>
      </w:r>
      <w:r>
        <w:rPr>
          <w:rFonts w:ascii="Times New Roman" w:hAnsi="Times New Roman" w:cs="Times New Roman"/>
          <w:sz w:val="24"/>
          <w:szCs w:val="24"/>
        </w:rPr>
        <w:t xml:space="preserve"> that the baseline scenario represents a negative outcome for both parties.</w:t>
      </w:r>
    </w:p>
    <w:p w:rsidR="003065C1" w:rsidRPr="00AE15A2" w:rsidRDefault="003065C1" w:rsidP="003065C1">
      <w:pPr>
        <w:spacing w:after="0" w:line="240" w:lineRule="auto"/>
        <w:jc w:val="both"/>
        <w:rPr>
          <w:rFonts w:ascii="Times New Roman" w:hAnsi="Times New Roman" w:cs="Times New Roman"/>
          <w:sz w:val="24"/>
          <w:szCs w:val="24"/>
        </w:rPr>
      </w:pPr>
    </w:p>
    <w:p w:rsidR="003065C1" w:rsidRDefault="003065C1" w:rsidP="003065C1">
      <w:pPr>
        <w:spacing w:after="0" w:line="240" w:lineRule="auto"/>
        <w:jc w:val="both"/>
        <w:rPr>
          <w:rFonts w:ascii="Times New Roman" w:hAnsi="Times New Roman" w:cs="Times New Roman"/>
          <w:sz w:val="24"/>
          <w:szCs w:val="24"/>
        </w:rPr>
      </w:pPr>
      <w:r w:rsidRPr="00AE15A2">
        <w:rPr>
          <w:rFonts w:ascii="Times New Roman" w:hAnsi="Times New Roman" w:cs="Times New Roman"/>
          <w:sz w:val="24"/>
          <w:szCs w:val="24"/>
        </w:rPr>
        <w:t>In this context, the baseline option cou</w:t>
      </w:r>
      <w:r>
        <w:rPr>
          <w:rFonts w:ascii="Times New Roman" w:hAnsi="Times New Roman" w:cs="Times New Roman"/>
          <w:sz w:val="24"/>
          <w:szCs w:val="24"/>
        </w:rPr>
        <w:t>ld effectively lead to an</w:t>
      </w:r>
      <w:r w:rsidRPr="00AE15A2">
        <w:rPr>
          <w:rFonts w:ascii="Times New Roman" w:hAnsi="Times New Roman" w:cs="Times New Roman"/>
          <w:sz w:val="24"/>
          <w:szCs w:val="24"/>
        </w:rPr>
        <w:t xml:space="preserve"> overall reduction of </w:t>
      </w:r>
      <w:r>
        <w:rPr>
          <w:rFonts w:ascii="Times New Roman" w:hAnsi="Times New Roman" w:cs="Times New Roman"/>
          <w:sz w:val="24"/>
          <w:szCs w:val="24"/>
        </w:rPr>
        <w:t xml:space="preserve">the share of </w:t>
      </w:r>
      <w:r w:rsidRPr="00AE15A2">
        <w:rPr>
          <w:rFonts w:ascii="Times New Roman" w:hAnsi="Times New Roman" w:cs="Times New Roman"/>
          <w:sz w:val="24"/>
          <w:szCs w:val="24"/>
        </w:rPr>
        <w:t xml:space="preserve">bilateral trade </w:t>
      </w:r>
      <w:r>
        <w:rPr>
          <w:rFonts w:ascii="Times New Roman" w:hAnsi="Times New Roman" w:cs="Times New Roman"/>
          <w:sz w:val="24"/>
          <w:szCs w:val="24"/>
        </w:rPr>
        <w:t>in total trade of both</w:t>
      </w:r>
      <w:r w:rsidRPr="00AE15A2">
        <w:rPr>
          <w:rFonts w:ascii="Times New Roman" w:hAnsi="Times New Roman" w:cs="Times New Roman"/>
          <w:sz w:val="24"/>
          <w:szCs w:val="24"/>
        </w:rPr>
        <w:t xml:space="preserve"> the EU and </w:t>
      </w:r>
      <w:r>
        <w:rPr>
          <w:rFonts w:ascii="Times New Roman" w:hAnsi="Times New Roman" w:cs="Times New Roman"/>
          <w:sz w:val="24"/>
          <w:szCs w:val="24"/>
        </w:rPr>
        <w:t>Chile</w:t>
      </w:r>
      <w:r w:rsidRPr="00AE15A2">
        <w:rPr>
          <w:rFonts w:ascii="Times New Roman" w:hAnsi="Times New Roman" w:cs="Times New Roman"/>
          <w:sz w:val="24"/>
          <w:szCs w:val="24"/>
        </w:rPr>
        <w:t>. Furthermore, the baseline option is not consistent with overall EU policy objectives cal</w:t>
      </w:r>
      <w:r>
        <w:rPr>
          <w:rFonts w:ascii="Times New Roman" w:hAnsi="Times New Roman" w:cs="Times New Roman"/>
          <w:sz w:val="24"/>
          <w:szCs w:val="24"/>
        </w:rPr>
        <w:t>ling for further trade liberalisation as an instrument for</w:t>
      </w:r>
      <w:r w:rsidRPr="00AE15A2">
        <w:rPr>
          <w:rFonts w:ascii="Times New Roman" w:hAnsi="Times New Roman" w:cs="Times New Roman"/>
          <w:sz w:val="24"/>
          <w:szCs w:val="24"/>
        </w:rPr>
        <w:t xml:space="preserve"> increasing economic growth.</w:t>
      </w:r>
      <w:r>
        <w:rPr>
          <w:rFonts w:ascii="Times New Roman" w:hAnsi="Times New Roman" w:cs="Times New Roman"/>
          <w:sz w:val="24"/>
          <w:szCs w:val="24"/>
        </w:rPr>
        <w:t xml:space="preserve"> It is also worth noting that the vast majority of respondents </w:t>
      </w:r>
      <w:r w:rsidR="008F37F0">
        <w:rPr>
          <w:rFonts w:ascii="Times New Roman" w:hAnsi="Times New Roman" w:cs="Times New Roman"/>
          <w:sz w:val="24"/>
          <w:szCs w:val="24"/>
        </w:rPr>
        <w:t>to the online public consultation are</w:t>
      </w:r>
      <w:r>
        <w:rPr>
          <w:rFonts w:ascii="Times New Roman" w:hAnsi="Times New Roman" w:cs="Times New Roman"/>
          <w:sz w:val="24"/>
          <w:szCs w:val="24"/>
        </w:rPr>
        <w:t xml:space="preserve"> in favour of upgrading the EU-Chile FTA</w:t>
      </w:r>
      <w:r w:rsidR="008F37F0">
        <w:rPr>
          <w:rFonts w:ascii="Times New Roman" w:hAnsi="Times New Roman" w:cs="Times New Roman"/>
          <w:sz w:val="24"/>
          <w:szCs w:val="24"/>
        </w:rPr>
        <w:t>,</w:t>
      </w:r>
      <w:r>
        <w:rPr>
          <w:rFonts w:ascii="Times New Roman" w:hAnsi="Times New Roman" w:cs="Times New Roman"/>
          <w:sz w:val="24"/>
          <w:szCs w:val="24"/>
        </w:rPr>
        <w:t xml:space="preserve"> and therefore do not support the status quo.</w:t>
      </w:r>
    </w:p>
    <w:p w:rsidR="000F76F0" w:rsidRDefault="000F76F0" w:rsidP="003065C1">
      <w:pPr>
        <w:spacing w:after="0" w:line="240" w:lineRule="auto"/>
        <w:jc w:val="both"/>
        <w:rPr>
          <w:rFonts w:ascii="Times New Roman" w:hAnsi="Times New Roman" w:cs="Times New Roman"/>
          <w:sz w:val="24"/>
          <w:szCs w:val="24"/>
        </w:rPr>
      </w:pPr>
    </w:p>
    <w:p w:rsidR="00A23186" w:rsidRPr="00944916" w:rsidRDefault="00A23186" w:rsidP="00613660">
      <w:pPr>
        <w:spacing w:before="200" w:after="120" w:line="240" w:lineRule="auto"/>
        <w:jc w:val="both"/>
        <w:rPr>
          <w:rFonts w:ascii="Times New Roman" w:hAnsi="Times New Roman" w:cs="Times New Roman"/>
          <w:i/>
          <w:sz w:val="24"/>
          <w:szCs w:val="24"/>
          <w:u w:val="single"/>
        </w:rPr>
      </w:pPr>
      <w:r w:rsidRPr="003758A5">
        <w:rPr>
          <w:rFonts w:ascii="Times New Roman" w:hAnsi="Times New Roman" w:cs="Times New Roman"/>
          <w:i/>
          <w:sz w:val="24"/>
          <w:szCs w:val="24"/>
          <w:u w:val="single"/>
        </w:rPr>
        <w:t xml:space="preserve">Option C: </w:t>
      </w:r>
      <w:r w:rsidR="003065C1" w:rsidRPr="003758A5">
        <w:rPr>
          <w:rFonts w:ascii="Times New Roman" w:hAnsi="Times New Roman" w:cs="Times New Roman"/>
          <w:i/>
          <w:sz w:val="24"/>
          <w:szCs w:val="24"/>
          <w:u w:val="single"/>
        </w:rPr>
        <w:t>C</w:t>
      </w:r>
      <w:r w:rsidRPr="003758A5">
        <w:rPr>
          <w:rFonts w:ascii="Times New Roman" w:hAnsi="Times New Roman" w:cs="Times New Roman"/>
          <w:i/>
          <w:sz w:val="24"/>
          <w:szCs w:val="24"/>
          <w:u w:val="single"/>
        </w:rPr>
        <w:t xml:space="preserve">omprehensive </w:t>
      </w:r>
      <w:r w:rsidR="003065C1" w:rsidRPr="003758A5">
        <w:rPr>
          <w:rFonts w:ascii="Times New Roman" w:hAnsi="Times New Roman" w:cs="Times New Roman"/>
          <w:i/>
          <w:sz w:val="24"/>
          <w:szCs w:val="24"/>
          <w:u w:val="single"/>
        </w:rPr>
        <w:t xml:space="preserve">modernisation of EU-Chile </w:t>
      </w:r>
      <w:r w:rsidRPr="003758A5">
        <w:rPr>
          <w:rFonts w:ascii="Times New Roman" w:hAnsi="Times New Roman" w:cs="Times New Roman"/>
          <w:i/>
          <w:sz w:val="24"/>
          <w:szCs w:val="24"/>
          <w:u w:val="single"/>
        </w:rPr>
        <w:t xml:space="preserve">FTAs </w:t>
      </w:r>
      <w:r w:rsidR="003065C1" w:rsidRPr="003758A5">
        <w:rPr>
          <w:rFonts w:ascii="Times New Roman" w:hAnsi="Times New Roman" w:cs="Times New Roman"/>
          <w:i/>
          <w:sz w:val="24"/>
          <w:szCs w:val="24"/>
          <w:u w:val="single"/>
        </w:rPr>
        <w:t>(</w:t>
      </w:r>
      <w:r w:rsidRPr="003758A5">
        <w:rPr>
          <w:rFonts w:ascii="Times New Roman" w:hAnsi="Times New Roman" w:cs="Times New Roman"/>
          <w:i/>
          <w:sz w:val="24"/>
          <w:szCs w:val="24"/>
          <w:u w:val="single"/>
        </w:rPr>
        <w:t xml:space="preserve">with conservative </w:t>
      </w:r>
      <w:r w:rsidR="003065C1" w:rsidRPr="003758A5">
        <w:rPr>
          <w:rFonts w:ascii="Times New Roman" w:hAnsi="Times New Roman" w:cs="Times New Roman"/>
          <w:i/>
          <w:sz w:val="24"/>
          <w:szCs w:val="24"/>
          <w:u w:val="single"/>
        </w:rPr>
        <w:t xml:space="preserve">and ambitious </w:t>
      </w:r>
      <w:r w:rsidRPr="003758A5">
        <w:rPr>
          <w:rFonts w:ascii="Times New Roman" w:hAnsi="Times New Roman" w:cs="Times New Roman"/>
          <w:i/>
          <w:sz w:val="24"/>
          <w:szCs w:val="24"/>
          <w:u w:val="single"/>
        </w:rPr>
        <w:t>liberalisation assumptions</w:t>
      </w:r>
      <w:r w:rsidR="003065C1" w:rsidRPr="003758A5">
        <w:rPr>
          <w:rFonts w:ascii="Times New Roman" w:hAnsi="Times New Roman" w:cs="Times New Roman"/>
          <w:i/>
          <w:sz w:val="24"/>
          <w:szCs w:val="24"/>
          <w:u w:val="single"/>
        </w:rPr>
        <w:t>)</w:t>
      </w:r>
    </w:p>
    <w:p w:rsidR="003065C1" w:rsidRDefault="003065C1" w:rsidP="00306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DF17CE">
        <w:rPr>
          <w:rFonts w:ascii="Times New Roman" w:hAnsi="Times New Roman" w:cs="Times New Roman"/>
          <w:sz w:val="24"/>
          <w:szCs w:val="24"/>
        </w:rPr>
        <w:t xml:space="preserve">regards </w:t>
      </w:r>
      <w:r w:rsidRPr="00B15BBD">
        <w:rPr>
          <w:rFonts w:ascii="Times New Roman" w:hAnsi="Times New Roman" w:cs="Times New Roman"/>
          <w:b/>
          <w:sz w:val="24"/>
          <w:szCs w:val="24"/>
        </w:rPr>
        <w:t>option C</w:t>
      </w:r>
      <w:r>
        <w:rPr>
          <w:rFonts w:ascii="Times New Roman" w:hAnsi="Times New Roman" w:cs="Times New Roman"/>
          <w:sz w:val="24"/>
          <w:szCs w:val="24"/>
        </w:rPr>
        <w:t xml:space="preserve">, </w:t>
      </w:r>
      <w:r w:rsidR="00DF17CE">
        <w:rPr>
          <w:rFonts w:ascii="Times New Roman" w:hAnsi="Times New Roman" w:cs="Times New Roman"/>
          <w:sz w:val="24"/>
          <w:szCs w:val="24"/>
        </w:rPr>
        <w:t xml:space="preserve">comprehensive modernisation of the EU-Chile FTA, </w:t>
      </w:r>
      <w:r w:rsidR="000913CF">
        <w:rPr>
          <w:rFonts w:ascii="Times New Roman" w:hAnsi="Times New Roman" w:cs="Times New Roman"/>
          <w:sz w:val="24"/>
          <w:szCs w:val="24"/>
        </w:rPr>
        <w:t>the</w:t>
      </w:r>
      <w:r w:rsidRPr="00AE15A2">
        <w:rPr>
          <w:rFonts w:ascii="Times New Roman" w:hAnsi="Times New Roman" w:cs="Times New Roman"/>
          <w:sz w:val="24"/>
          <w:szCs w:val="24"/>
        </w:rPr>
        <w:t xml:space="preserve"> conservative scenario </w:t>
      </w:r>
      <w:r w:rsidR="00F0331D">
        <w:rPr>
          <w:rFonts w:ascii="Times New Roman" w:hAnsi="Times New Roman" w:cs="Times New Roman"/>
          <w:sz w:val="24"/>
          <w:szCs w:val="24"/>
        </w:rPr>
        <w:t>(C</w:t>
      </w:r>
      <w:r w:rsidR="004F63A8">
        <w:rPr>
          <w:rFonts w:ascii="Times New Roman" w:hAnsi="Times New Roman" w:cs="Times New Roman"/>
          <w:sz w:val="24"/>
          <w:szCs w:val="24"/>
        </w:rPr>
        <w:t xml:space="preserve">1) </w:t>
      </w:r>
      <w:r w:rsidR="000913CF">
        <w:rPr>
          <w:rFonts w:ascii="Times New Roman" w:hAnsi="Times New Roman" w:cs="Times New Roman"/>
          <w:sz w:val="24"/>
          <w:szCs w:val="24"/>
        </w:rPr>
        <w:t>a</w:t>
      </w:r>
      <w:r w:rsidRPr="003758A5">
        <w:rPr>
          <w:rFonts w:ascii="Times New Roman" w:hAnsi="Times New Roman" w:cs="Times New Roman"/>
          <w:sz w:val="24"/>
          <w:szCs w:val="24"/>
        </w:rPr>
        <w:t>im</w:t>
      </w:r>
      <w:r w:rsidR="000913CF">
        <w:rPr>
          <w:rFonts w:ascii="Times New Roman" w:hAnsi="Times New Roman" w:cs="Times New Roman"/>
          <w:sz w:val="24"/>
          <w:szCs w:val="24"/>
        </w:rPr>
        <w:t>s</w:t>
      </w:r>
      <w:r w:rsidRPr="00AE15A2">
        <w:rPr>
          <w:rFonts w:ascii="Times New Roman" w:hAnsi="Times New Roman" w:cs="Times New Roman"/>
          <w:sz w:val="24"/>
          <w:szCs w:val="24"/>
        </w:rPr>
        <w:t xml:space="preserve"> at </w:t>
      </w:r>
      <w:r>
        <w:rPr>
          <w:rFonts w:ascii="Times New Roman" w:hAnsi="Times New Roman" w:cs="Times New Roman"/>
          <w:sz w:val="24"/>
          <w:szCs w:val="24"/>
        </w:rPr>
        <w:t>the degree of</w:t>
      </w:r>
      <w:r w:rsidRPr="00AE15A2">
        <w:rPr>
          <w:rFonts w:ascii="Times New Roman" w:hAnsi="Times New Roman" w:cs="Times New Roman"/>
          <w:sz w:val="24"/>
          <w:szCs w:val="24"/>
        </w:rPr>
        <w:t xml:space="preserve"> elimination of </w:t>
      </w:r>
      <w:r>
        <w:rPr>
          <w:rFonts w:ascii="Times New Roman" w:hAnsi="Times New Roman" w:cs="Times New Roman"/>
          <w:sz w:val="24"/>
          <w:szCs w:val="24"/>
        </w:rPr>
        <w:t xml:space="preserve">remaining </w:t>
      </w:r>
      <w:r w:rsidRPr="00AE15A2">
        <w:rPr>
          <w:rFonts w:ascii="Times New Roman" w:hAnsi="Times New Roman" w:cs="Times New Roman"/>
          <w:sz w:val="24"/>
          <w:szCs w:val="24"/>
        </w:rPr>
        <w:t xml:space="preserve">tariffs and a reduction of the costs </w:t>
      </w:r>
      <w:r>
        <w:rPr>
          <w:rFonts w:ascii="Times New Roman" w:hAnsi="Times New Roman" w:cs="Times New Roman"/>
          <w:sz w:val="24"/>
          <w:szCs w:val="24"/>
        </w:rPr>
        <w:t>stemming from NTB</w:t>
      </w:r>
      <w:r w:rsidRPr="00AE15A2">
        <w:rPr>
          <w:rFonts w:ascii="Times New Roman" w:hAnsi="Times New Roman" w:cs="Times New Roman"/>
          <w:sz w:val="24"/>
          <w:szCs w:val="24"/>
        </w:rPr>
        <w:t xml:space="preserve">s </w:t>
      </w:r>
      <w:r>
        <w:rPr>
          <w:rFonts w:ascii="Times New Roman" w:hAnsi="Times New Roman" w:cs="Times New Roman"/>
          <w:sz w:val="24"/>
          <w:szCs w:val="24"/>
        </w:rPr>
        <w:t>that has been found t</w:t>
      </w:r>
      <w:r w:rsidRPr="008F50EF">
        <w:rPr>
          <w:rFonts w:ascii="Times New Roman" w:hAnsi="Times New Roman" w:cs="Times New Roman"/>
          <w:sz w:val="24"/>
          <w:szCs w:val="24"/>
        </w:rPr>
        <w:t xml:space="preserve">o be achievable in </w:t>
      </w:r>
      <w:r w:rsidR="003A695E">
        <w:rPr>
          <w:rFonts w:ascii="Times New Roman" w:hAnsi="Times New Roman" w:cs="Times New Roman"/>
          <w:sz w:val="24"/>
          <w:szCs w:val="24"/>
        </w:rPr>
        <w:t xml:space="preserve">certain </w:t>
      </w:r>
      <w:r w:rsidR="000913CF">
        <w:rPr>
          <w:rFonts w:ascii="Times New Roman" w:hAnsi="Times New Roman" w:cs="Times New Roman"/>
          <w:sz w:val="24"/>
          <w:szCs w:val="24"/>
        </w:rPr>
        <w:t xml:space="preserve">recent </w:t>
      </w:r>
      <w:r w:rsidRPr="008F50EF">
        <w:rPr>
          <w:rFonts w:ascii="Times New Roman" w:hAnsi="Times New Roman" w:cs="Times New Roman"/>
          <w:sz w:val="24"/>
          <w:szCs w:val="24"/>
        </w:rPr>
        <w:t>agreements</w:t>
      </w:r>
      <w:r w:rsidRPr="00AE15A2">
        <w:rPr>
          <w:rFonts w:ascii="Times New Roman" w:hAnsi="Times New Roman" w:cs="Times New Roman"/>
          <w:sz w:val="24"/>
          <w:szCs w:val="24"/>
        </w:rPr>
        <w:t xml:space="preserve">. The more ambitious scenario </w:t>
      </w:r>
      <w:r w:rsidR="00F0331D">
        <w:rPr>
          <w:rFonts w:ascii="Times New Roman" w:hAnsi="Times New Roman" w:cs="Times New Roman"/>
          <w:sz w:val="24"/>
          <w:szCs w:val="24"/>
        </w:rPr>
        <w:t>(C</w:t>
      </w:r>
      <w:r w:rsidR="004F63A8">
        <w:rPr>
          <w:rFonts w:ascii="Times New Roman" w:hAnsi="Times New Roman" w:cs="Times New Roman"/>
          <w:sz w:val="24"/>
          <w:szCs w:val="24"/>
        </w:rPr>
        <w:t xml:space="preserve">2) </w:t>
      </w:r>
      <w:r w:rsidRPr="00AE15A2">
        <w:rPr>
          <w:rFonts w:ascii="Times New Roman" w:hAnsi="Times New Roman" w:cs="Times New Roman"/>
          <w:sz w:val="24"/>
          <w:szCs w:val="24"/>
        </w:rPr>
        <w:t>will lead to</w:t>
      </w:r>
      <w:r>
        <w:rPr>
          <w:rFonts w:ascii="Times New Roman" w:hAnsi="Times New Roman" w:cs="Times New Roman"/>
          <w:sz w:val="24"/>
          <w:szCs w:val="24"/>
        </w:rPr>
        <w:t xml:space="preserve"> </w:t>
      </w:r>
      <w:r w:rsidR="003A695E">
        <w:rPr>
          <w:rFonts w:ascii="Times New Roman" w:hAnsi="Times New Roman" w:cs="Times New Roman"/>
          <w:sz w:val="24"/>
          <w:szCs w:val="24"/>
        </w:rPr>
        <w:t>higher</w:t>
      </w:r>
      <w:r>
        <w:rPr>
          <w:rFonts w:ascii="Times New Roman" w:hAnsi="Times New Roman" w:cs="Times New Roman"/>
          <w:sz w:val="24"/>
          <w:szCs w:val="24"/>
        </w:rPr>
        <w:t xml:space="preserve"> reduction of the costs of NTB</w:t>
      </w:r>
      <w:r w:rsidRPr="00AE15A2">
        <w:rPr>
          <w:rFonts w:ascii="Times New Roman" w:hAnsi="Times New Roman" w:cs="Times New Roman"/>
          <w:sz w:val="24"/>
          <w:szCs w:val="24"/>
        </w:rPr>
        <w:t>s. Such reductions in the costs of trade</w:t>
      </w:r>
      <w:r>
        <w:rPr>
          <w:rFonts w:ascii="Times New Roman" w:hAnsi="Times New Roman" w:cs="Times New Roman"/>
          <w:sz w:val="24"/>
          <w:szCs w:val="24"/>
        </w:rPr>
        <w:t xml:space="preserve"> are</w:t>
      </w:r>
      <w:r w:rsidRPr="00AE15A2">
        <w:rPr>
          <w:rFonts w:ascii="Times New Roman" w:hAnsi="Times New Roman" w:cs="Times New Roman"/>
          <w:sz w:val="24"/>
          <w:szCs w:val="24"/>
        </w:rPr>
        <w:t xml:space="preserve"> likel</w:t>
      </w:r>
      <w:r>
        <w:rPr>
          <w:rFonts w:ascii="Times New Roman" w:hAnsi="Times New Roman" w:cs="Times New Roman"/>
          <w:sz w:val="24"/>
          <w:szCs w:val="24"/>
        </w:rPr>
        <w:t xml:space="preserve">y to allow both the EU and </w:t>
      </w:r>
      <w:r w:rsidR="000913CF">
        <w:rPr>
          <w:rFonts w:ascii="Times New Roman" w:hAnsi="Times New Roman" w:cs="Times New Roman"/>
          <w:sz w:val="24"/>
          <w:szCs w:val="24"/>
        </w:rPr>
        <w:t xml:space="preserve">Chile </w:t>
      </w:r>
      <w:r w:rsidRPr="00AE15A2">
        <w:rPr>
          <w:rFonts w:ascii="Times New Roman" w:hAnsi="Times New Roman" w:cs="Times New Roman"/>
          <w:sz w:val="24"/>
          <w:szCs w:val="24"/>
        </w:rPr>
        <w:t>to achieve considerable benefi</w:t>
      </w:r>
      <w:r>
        <w:rPr>
          <w:rFonts w:ascii="Times New Roman" w:hAnsi="Times New Roman" w:cs="Times New Roman"/>
          <w:sz w:val="24"/>
          <w:szCs w:val="24"/>
        </w:rPr>
        <w:t>ts</w:t>
      </w:r>
      <w:r w:rsidRPr="00AE15A2">
        <w:rPr>
          <w:rFonts w:ascii="Times New Roman" w:hAnsi="Times New Roman" w:cs="Times New Roman"/>
          <w:sz w:val="24"/>
          <w:szCs w:val="24"/>
        </w:rPr>
        <w:t>.</w:t>
      </w:r>
    </w:p>
    <w:p w:rsidR="003065C1" w:rsidRPr="00AE15A2" w:rsidRDefault="003065C1" w:rsidP="003065C1">
      <w:pPr>
        <w:spacing w:after="0" w:line="240" w:lineRule="auto"/>
        <w:jc w:val="both"/>
        <w:rPr>
          <w:rFonts w:ascii="Times New Roman" w:hAnsi="Times New Roman" w:cs="Times New Roman"/>
          <w:sz w:val="24"/>
          <w:szCs w:val="24"/>
        </w:rPr>
      </w:pPr>
    </w:p>
    <w:p w:rsidR="003065C1" w:rsidRDefault="003065C1" w:rsidP="003065C1">
      <w:pPr>
        <w:spacing w:after="0" w:line="240" w:lineRule="auto"/>
        <w:jc w:val="both"/>
        <w:rPr>
          <w:rFonts w:ascii="Times New Roman" w:hAnsi="Times New Roman" w:cs="Times New Roman"/>
          <w:sz w:val="24"/>
          <w:szCs w:val="24"/>
        </w:rPr>
      </w:pPr>
      <w:r w:rsidRPr="00290AB4">
        <w:rPr>
          <w:rFonts w:ascii="Times New Roman" w:hAnsi="Times New Roman" w:cs="Times New Roman"/>
          <w:sz w:val="24"/>
          <w:szCs w:val="24"/>
        </w:rPr>
        <w:t xml:space="preserve">Such benefits include increases in GDP and welfare, increases in exports, overall increases in employment, increases in wages for both less skilled and more skilled employees, together with increases in competitiveness and an improved standing for both the EU and </w:t>
      </w:r>
      <w:r w:rsidR="000913CF">
        <w:rPr>
          <w:rFonts w:ascii="Times New Roman" w:hAnsi="Times New Roman" w:cs="Times New Roman"/>
          <w:sz w:val="24"/>
          <w:szCs w:val="24"/>
        </w:rPr>
        <w:t xml:space="preserve">Chile with </w:t>
      </w:r>
      <w:r w:rsidRPr="00290AB4">
        <w:rPr>
          <w:rFonts w:ascii="Times New Roman" w:hAnsi="Times New Roman" w:cs="Times New Roman"/>
          <w:sz w:val="24"/>
          <w:szCs w:val="24"/>
        </w:rPr>
        <w:t xml:space="preserve">respect </w:t>
      </w:r>
      <w:r w:rsidR="000913CF">
        <w:rPr>
          <w:rFonts w:ascii="Times New Roman" w:hAnsi="Times New Roman" w:cs="Times New Roman"/>
          <w:sz w:val="24"/>
          <w:szCs w:val="24"/>
        </w:rPr>
        <w:t>to</w:t>
      </w:r>
      <w:r w:rsidRPr="00290AB4">
        <w:rPr>
          <w:rFonts w:ascii="Times New Roman" w:hAnsi="Times New Roman" w:cs="Times New Roman"/>
          <w:sz w:val="24"/>
          <w:szCs w:val="24"/>
        </w:rPr>
        <w:t xml:space="preserve"> other global competitors.</w:t>
      </w:r>
      <w:r w:rsidRPr="00136B6A">
        <w:t xml:space="preserve"> </w:t>
      </w:r>
      <w:r w:rsidRPr="00136B6A">
        <w:rPr>
          <w:rFonts w:ascii="Times New Roman" w:hAnsi="Times New Roman" w:cs="Times New Roman"/>
          <w:sz w:val="24"/>
          <w:szCs w:val="24"/>
        </w:rPr>
        <w:t xml:space="preserve">While the figures, relative to the size of the EU economy, might at first sight appear modest, they nevertheless represent </w:t>
      </w:r>
      <w:r w:rsidR="00405113">
        <w:rPr>
          <w:rFonts w:ascii="Times New Roman" w:hAnsi="Times New Roman" w:cs="Times New Roman"/>
          <w:sz w:val="24"/>
          <w:szCs w:val="24"/>
        </w:rPr>
        <w:t>interesting</w:t>
      </w:r>
      <w:r w:rsidR="00405113" w:rsidRPr="00136B6A">
        <w:rPr>
          <w:rFonts w:ascii="Times New Roman" w:hAnsi="Times New Roman" w:cs="Times New Roman"/>
          <w:sz w:val="24"/>
          <w:szCs w:val="24"/>
        </w:rPr>
        <w:t xml:space="preserve"> </w:t>
      </w:r>
      <w:r w:rsidRPr="00136B6A">
        <w:rPr>
          <w:rFonts w:ascii="Times New Roman" w:hAnsi="Times New Roman" w:cs="Times New Roman"/>
          <w:sz w:val="24"/>
          <w:szCs w:val="24"/>
        </w:rPr>
        <w:t xml:space="preserve">gains in absolute terms. </w:t>
      </w:r>
      <w:r w:rsidR="00F53B49">
        <w:rPr>
          <w:rFonts w:ascii="Times New Roman" w:hAnsi="Times New Roman" w:cs="Times New Roman"/>
          <w:sz w:val="24"/>
          <w:szCs w:val="24"/>
        </w:rPr>
        <w:t>The</w:t>
      </w:r>
      <w:r w:rsidR="00EC2914">
        <w:rPr>
          <w:rFonts w:ascii="Times New Roman" w:hAnsi="Times New Roman" w:cs="Times New Roman"/>
          <w:sz w:val="24"/>
          <w:szCs w:val="24"/>
        </w:rPr>
        <w:t xml:space="preserve"> above-mentioned </w:t>
      </w:r>
      <w:r w:rsidR="00F53B49">
        <w:rPr>
          <w:rFonts w:ascii="Times New Roman" w:hAnsi="Times New Roman" w:cs="Times New Roman"/>
          <w:sz w:val="24"/>
          <w:szCs w:val="24"/>
        </w:rPr>
        <w:t xml:space="preserve">figures, estimated through </w:t>
      </w:r>
      <w:r w:rsidR="00EC2914">
        <w:rPr>
          <w:rFonts w:ascii="Times New Roman" w:hAnsi="Times New Roman" w:cs="Times New Roman"/>
          <w:sz w:val="24"/>
          <w:szCs w:val="24"/>
        </w:rPr>
        <w:t xml:space="preserve">the </w:t>
      </w:r>
      <w:r w:rsidR="00F53B49">
        <w:rPr>
          <w:rFonts w:ascii="Times New Roman" w:hAnsi="Times New Roman" w:cs="Times New Roman"/>
          <w:sz w:val="24"/>
          <w:szCs w:val="24"/>
        </w:rPr>
        <w:t>CGE modelling, are highlighted throughout this report and in Annex 4.</w:t>
      </w:r>
    </w:p>
    <w:p w:rsidR="000913CF" w:rsidRDefault="000913CF" w:rsidP="003065C1">
      <w:pPr>
        <w:spacing w:after="0" w:line="240" w:lineRule="auto"/>
        <w:jc w:val="both"/>
        <w:rPr>
          <w:rFonts w:ascii="Times New Roman" w:hAnsi="Times New Roman" w:cs="Times New Roman"/>
          <w:sz w:val="24"/>
          <w:szCs w:val="24"/>
        </w:rPr>
      </w:pPr>
    </w:p>
    <w:p w:rsidR="003065C1" w:rsidRDefault="003065C1" w:rsidP="003065C1">
      <w:pPr>
        <w:spacing w:after="0" w:line="240" w:lineRule="auto"/>
        <w:jc w:val="both"/>
        <w:rPr>
          <w:rFonts w:ascii="Times New Roman" w:hAnsi="Times New Roman" w:cs="Times New Roman"/>
          <w:sz w:val="24"/>
          <w:szCs w:val="24"/>
        </w:rPr>
      </w:pPr>
      <w:r w:rsidRPr="00E51365">
        <w:rPr>
          <w:rFonts w:ascii="Times New Roman" w:hAnsi="Times New Roman" w:cs="Times New Roman"/>
          <w:sz w:val="24"/>
          <w:szCs w:val="24"/>
        </w:rPr>
        <w:t xml:space="preserve">It is also important to note that </w:t>
      </w:r>
      <w:r w:rsidR="00FA1185">
        <w:rPr>
          <w:rFonts w:ascii="Times New Roman" w:hAnsi="Times New Roman" w:cs="Times New Roman"/>
          <w:sz w:val="24"/>
          <w:szCs w:val="24"/>
        </w:rPr>
        <w:t>the problems p</w:t>
      </w:r>
      <w:r w:rsidR="009C78B2">
        <w:rPr>
          <w:rFonts w:ascii="Times New Roman" w:hAnsi="Times New Roman" w:cs="Times New Roman"/>
          <w:sz w:val="24"/>
          <w:szCs w:val="24"/>
        </w:rPr>
        <w:t>r</w:t>
      </w:r>
      <w:r w:rsidR="00FA1185">
        <w:rPr>
          <w:rFonts w:ascii="Times New Roman" w:hAnsi="Times New Roman" w:cs="Times New Roman"/>
          <w:sz w:val="24"/>
          <w:szCs w:val="24"/>
        </w:rPr>
        <w:t xml:space="preserve">esented in Chapter 1 could only be addressed </w:t>
      </w:r>
      <w:r w:rsidRPr="00E51365">
        <w:rPr>
          <w:rFonts w:ascii="Times New Roman" w:hAnsi="Times New Roman" w:cs="Times New Roman"/>
          <w:sz w:val="24"/>
          <w:szCs w:val="24"/>
        </w:rPr>
        <w:t xml:space="preserve">through a comprehensive and ambitious modernisation of the </w:t>
      </w:r>
      <w:r w:rsidR="00F0331D">
        <w:rPr>
          <w:rFonts w:ascii="Times New Roman" w:hAnsi="Times New Roman" w:cs="Times New Roman"/>
          <w:sz w:val="24"/>
          <w:szCs w:val="24"/>
        </w:rPr>
        <w:t>A</w:t>
      </w:r>
      <w:r w:rsidRPr="00E51365">
        <w:rPr>
          <w:rFonts w:ascii="Times New Roman" w:hAnsi="Times New Roman" w:cs="Times New Roman"/>
          <w:sz w:val="24"/>
          <w:szCs w:val="24"/>
        </w:rPr>
        <w:t>greement.</w:t>
      </w:r>
      <w:r>
        <w:rPr>
          <w:rFonts w:ascii="Times New Roman" w:hAnsi="Times New Roman" w:cs="Times New Roman"/>
          <w:sz w:val="24"/>
          <w:szCs w:val="24"/>
        </w:rPr>
        <w:t xml:space="preserve"> Concluding an ambitious modernised</w:t>
      </w:r>
      <w:r w:rsidRPr="00AE15A2">
        <w:rPr>
          <w:rFonts w:ascii="Times New Roman" w:hAnsi="Times New Roman" w:cs="Times New Roman"/>
          <w:sz w:val="24"/>
          <w:szCs w:val="24"/>
        </w:rPr>
        <w:t xml:space="preserve"> FTA may </w:t>
      </w:r>
      <w:r>
        <w:rPr>
          <w:rFonts w:ascii="Times New Roman" w:hAnsi="Times New Roman" w:cs="Times New Roman"/>
          <w:sz w:val="24"/>
          <w:szCs w:val="24"/>
        </w:rPr>
        <w:t xml:space="preserve">be considered to </w:t>
      </w:r>
      <w:r w:rsidRPr="00AE15A2">
        <w:rPr>
          <w:rFonts w:ascii="Times New Roman" w:hAnsi="Times New Roman" w:cs="Times New Roman"/>
          <w:sz w:val="24"/>
          <w:szCs w:val="24"/>
        </w:rPr>
        <w:t>have potentially negative impacts on the environment arising from an increase in trade and production</w:t>
      </w:r>
      <w:r w:rsidRPr="00045B1D">
        <w:rPr>
          <w:rFonts w:ascii="Times New Roman" w:hAnsi="Times New Roman" w:cs="Times New Roman"/>
          <w:sz w:val="24"/>
          <w:szCs w:val="24"/>
        </w:rPr>
        <w:t xml:space="preserve">. However, </w:t>
      </w:r>
      <w:r w:rsidRPr="00136B6A">
        <w:rPr>
          <w:rFonts w:ascii="Times New Roman" w:hAnsi="Times New Roman" w:cs="Times New Roman"/>
          <w:sz w:val="24"/>
          <w:szCs w:val="24"/>
        </w:rPr>
        <w:t xml:space="preserve">this should be seen in light of the overall policy and regulatory framework in which trade and production take place, e.g. </w:t>
      </w:r>
      <w:r w:rsidRPr="00045B1D">
        <w:rPr>
          <w:rFonts w:ascii="Times New Roman" w:hAnsi="Times New Roman" w:cs="Times New Roman"/>
          <w:sz w:val="24"/>
          <w:szCs w:val="24"/>
        </w:rPr>
        <w:t xml:space="preserve">the overall impact on global emissions is </w:t>
      </w:r>
      <w:r w:rsidR="004F63A8">
        <w:rPr>
          <w:rFonts w:ascii="Times New Roman" w:hAnsi="Times New Roman" w:cs="Times New Roman"/>
          <w:sz w:val="24"/>
          <w:szCs w:val="24"/>
        </w:rPr>
        <w:t>mitigated</w:t>
      </w:r>
      <w:r w:rsidRPr="00045B1D">
        <w:rPr>
          <w:rFonts w:ascii="Times New Roman" w:hAnsi="Times New Roman" w:cs="Times New Roman"/>
          <w:sz w:val="24"/>
          <w:szCs w:val="24"/>
        </w:rPr>
        <w:t xml:space="preserve"> by emission ceiling commitments </w:t>
      </w:r>
      <w:r w:rsidR="00CF7C98">
        <w:rPr>
          <w:rFonts w:ascii="Times New Roman" w:hAnsi="Times New Roman" w:cs="Times New Roman"/>
          <w:sz w:val="24"/>
          <w:szCs w:val="24"/>
        </w:rPr>
        <w:t>by</w:t>
      </w:r>
      <w:r w:rsidR="00F0331D">
        <w:rPr>
          <w:rFonts w:ascii="Times New Roman" w:hAnsi="Times New Roman" w:cs="Times New Roman"/>
          <w:sz w:val="24"/>
          <w:szCs w:val="24"/>
        </w:rPr>
        <w:t xml:space="preserve"> both P</w:t>
      </w:r>
      <w:r w:rsidRPr="00045B1D">
        <w:rPr>
          <w:rFonts w:ascii="Times New Roman" w:hAnsi="Times New Roman" w:cs="Times New Roman"/>
          <w:sz w:val="24"/>
          <w:szCs w:val="24"/>
        </w:rPr>
        <w:t>arties</w:t>
      </w:r>
      <w:r>
        <w:rPr>
          <w:rFonts w:ascii="Times New Roman" w:hAnsi="Times New Roman" w:cs="Times New Roman"/>
          <w:sz w:val="24"/>
          <w:szCs w:val="24"/>
        </w:rPr>
        <w:t xml:space="preserve">. </w:t>
      </w:r>
      <w:r w:rsidRPr="00044CB3">
        <w:rPr>
          <w:rFonts w:ascii="Times New Roman" w:hAnsi="Times New Roman" w:cs="Times New Roman"/>
          <w:sz w:val="24"/>
          <w:szCs w:val="24"/>
        </w:rPr>
        <w:t xml:space="preserve">The </w:t>
      </w:r>
      <w:r w:rsidR="00044CB3" w:rsidRPr="00044CB3">
        <w:rPr>
          <w:rFonts w:ascii="Times New Roman" w:hAnsi="Times New Roman" w:cs="Times New Roman"/>
          <w:sz w:val="24"/>
          <w:szCs w:val="24"/>
        </w:rPr>
        <w:t xml:space="preserve">limited expected </w:t>
      </w:r>
      <w:r w:rsidRPr="00044CB3">
        <w:rPr>
          <w:rFonts w:ascii="Times New Roman" w:hAnsi="Times New Roman" w:cs="Times New Roman"/>
          <w:sz w:val="24"/>
          <w:szCs w:val="24"/>
        </w:rPr>
        <w:t xml:space="preserve">environmental effects </w:t>
      </w:r>
      <w:r w:rsidR="004F63A8">
        <w:rPr>
          <w:rFonts w:ascii="Times New Roman" w:hAnsi="Times New Roman" w:cs="Times New Roman"/>
          <w:sz w:val="24"/>
          <w:szCs w:val="24"/>
        </w:rPr>
        <w:t xml:space="preserve">should also be </w:t>
      </w:r>
      <w:r w:rsidRPr="00044CB3">
        <w:rPr>
          <w:rFonts w:ascii="Times New Roman" w:hAnsi="Times New Roman" w:cs="Times New Roman"/>
          <w:sz w:val="24"/>
          <w:szCs w:val="24"/>
        </w:rPr>
        <w:t>mitigated by a long-term increase in trade in environmental goods and services</w:t>
      </w:r>
      <w:r w:rsidR="00613660">
        <w:rPr>
          <w:rFonts w:ascii="Times New Roman" w:hAnsi="Times New Roman" w:cs="Times New Roman"/>
          <w:sz w:val="24"/>
          <w:szCs w:val="24"/>
        </w:rPr>
        <w:t>,</w:t>
      </w:r>
      <w:r w:rsidRPr="00044CB3">
        <w:rPr>
          <w:rFonts w:ascii="Times New Roman" w:hAnsi="Times New Roman" w:cs="Times New Roman"/>
          <w:sz w:val="24"/>
          <w:szCs w:val="24"/>
        </w:rPr>
        <w:t xml:space="preserve"> as well as the possible synergy effects resulting from increased cooperation</w:t>
      </w:r>
      <w:r w:rsidR="00044CB3" w:rsidRPr="00044CB3">
        <w:rPr>
          <w:rFonts w:ascii="Times New Roman" w:hAnsi="Times New Roman" w:cs="Times New Roman"/>
          <w:sz w:val="24"/>
          <w:szCs w:val="24"/>
        </w:rPr>
        <w:t xml:space="preserve"> and dialogue on key environmental issues.</w:t>
      </w:r>
    </w:p>
    <w:p w:rsidR="004F63A8" w:rsidRDefault="004F63A8" w:rsidP="003065C1">
      <w:pPr>
        <w:spacing w:after="0" w:line="240" w:lineRule="auto"/>
        <w:jc w:val="both"/>
        <w:rPr>
          <w:rFonts w:ascii="Times New Roman" w:hAnsi="Times New Roman" w:cs="Times New Roman"/>
          <w:sz w:val="24"/>
          <w:szCs w:val="24"/>
        </w:rPr>
      </w:pPr>
    </w:p>
    <w:p w:rsidR="0012411E" w:rsidRDefault="003065C1" w:rsidP="00306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the impact of specific </w:t>
      </w:r>
      <w:r w:rsidR="00613660">
        <w:rPr>
          <w:rFonts w:ascii="Times New Roman" w:hAnsi="Times New Roman" w:cs="Times New Roman"/>
          <w:sz w:val="24"/>
          <w:szCs w:val="24"/>
        </w:rPr>
        <w:t>trade measures in a modernised A</w:t>
      </w:r>
      <w:r>
        <w:rPr>
          <w:rFonts w:ascii="Times New Roman" w:hAnsi="Times New Roman" w:cs="Times New Roman"/>
          <w:sz w:val="24"/>
          <w:szCs w:val="24"/>
        </w:rPr>
        <w:t xml:space="preserve">greement </w:t>
      </w:r>
      <w:r w:rsidR="009671C8">
        <w:rPr>
          <w:rFonts w:ascii="Times New Roman" w:hAnsi="Times New Roman" w:cs="Times New Roman"/>
          <w:sz w:val="24"/>
          <w:szCs w:val="24"/>
        </w:rPr>
        <w:t xml:space="preserve">is </w:t>
      </w:r>
      <w:r w:rsidR="009D629F">
        <w:rPr>
          <w:rFonts w:ascii="Times New Roman" w:hAnsi="Times New Roman" w:cs="Times New Roman"/>
          <w:sz w:val="24"/>
          <w:szCs w:val="24"/>
        </w:rPr>
        <w:t xml:space="preserve">generally </w:t>
      </w:r>
      <w:r w:rsidR="009671C8">
        <w:rPr>
          <w:rFonts w:ascii="Times New Roman" w:hAnsi="Times New Roman" w:cs="Times New Roman"/>
          <w:sz w:val="24"/>
          <w:szCs w:val="24"/>
        </w:rPr>
        <w:t>expected to</w:t>
      </w:r>
      <w:r>
        <w:rPr>
          <w:rFonts w:ascii="Times New Roman" w:hAnsi="Times New Roman" w:cs="Times New Roman"/>
          <w:sz w:val="24"/>
          <w:szCs w:val="24"/>
        </w:rPr>
        <w:t xml:space="preserve"> be positive for human rights, it is difficult to </w:t>
      </w:r>
      <w:r w:rsidR="00FA1185">
        <w:rPr>
          <w:rFonts w:ascii="Times New Roman" w:hAnsi="Times New Roman" w:cs="Times New Roman"/>
          <w:sz w:val="24"/>
          <w:szCs w:val="24"/>
        </w:rPr>
        <w:t xml:space="preserve">assess </w:t>
      </w:r>
      <w:r w:rsidR="00A03560">
        <w:rPr>
          <w:rFonts w:ascii="Times New Roman" w:hAnsi="Times New Roman" w:cs="Times New Roman"/>
          <w:sz w:val="24"/>
          <w:szCs w:val="24"/>
        </w:rPr>
        <w:t>thoroughly</w:t>
      </w:r>
      <w:r>
        <w:rPr>
          <w:rFonts w:ascii="Times New Roman" w:hAnsi="Times New Roman" w:cs="Times New Roman"/>
          <w:sz w:val="24"/>
          <w:szCs w:val="24"/>
        </w:rPr>
        <w:t xml:space="preserve"> at this stage</w:t>
      </w:r>
      <w:r w:rsidR="0012411E">
        <w:rPr>
          <w:rFonts w:ascii="Times New Roman" w:hAnsi="Times New Roman" w:cs="Times New Roman"/>
          <w:sz w:val="24"/>
          <w:szCs w:val="24"/>
        </w:rPr>
        <w:t xml:space="preserve">, </w:t>
      </w:r>
      <w:r w:rsidR="009D629F">
        <w:rPr>
          <w:rFonts w:ascii="Times New Roman" w:hAnsi="Times New Roman" w:cs="Times New Roman"/>
          <w:sz w:val="24"/>
          <w:szCs w:val="24"/>
        </w:rPr>
        <w:t xml:space="preserve">including </w:t>
      </w:r>
      <w:r w:rsidR="0012411E">
        <w:rPr>
          <w:rFonts w:ascii="Times New Roman" w:hAnsi="Times New Roman" w:cs="Times New Roman"/>
          <w:sz w:val="24"/>
          <w:szCs w:val="24"/>
        </w:rPr>
        <w:t>on gender discrimination and the rights on indigenous people</w:t>
      </w:r>
      <w:r>
        <w:rPr>
          <w:rFonts w:ascii="Times New Roman" w:hAnsi="Times New Roman" w:cs="Times New Roman"/>
          <w:sz w:val="24"/>
          <w:szCs w:val="24"/>
        </w:rPr>
        <w:t>.</w:t>
      </w:r>
      <w:r w:rsidR="0012411E">
        <w:rPr>
          <w:rFonts w:ascii="Times New Roman" w:hAnsi="Times New Roman" w:cs="Times New Roman"/>
          <w:sz w:val="24"/>
          <w:szCs w:val="24"/>
        </w:rPr>
        <w:t xml:space="preserve"> Strong labour provisions in the Trade and Sustainable chapter of a modernised Agreement would help to mitigate any possible negative effect. Moreover, t</w:t>
      </w:r>
      <w:r>
        <w:rPr>
          <w:rFonts w:ascii="Times New Roman" w:hAnsi="Times New Roman" w:cs="Times New Roman"/>
          <w:sz w:val="24"/>
          <w:szCs w:val="24"/>
        </w:rPr>
        <w:t>o</w:t>
      </w:r>
      <w:r w:rsidRPr="00136B6A">
        <w:rPr>
          <w:rFonts w:ascii="Times New Roman" w:hAnsi="Times New Roman" w:cs="Times New Roman"/>
          <w:sz w:val="24"/>
          <w:szCs w:val="24"/>
        </w:rPr>
        <w:t xml:space="preserve"> </w:t>
      </w:r>
      <w:r>
        <w:rPr>
          <w:rFonts w:ascii="Times New Roman" w:hAnsi="Times New Roman" w:cs="Times New Roman"/>
          <w:sz w:val="24"/>
          <w:szCs w:val="24"/>
        </w:rPr>
        <w:t>fully appreciate the impact o</w:t>
      </w:r>
      <w:r w:rsidR="00613660">
        <w:rPr>
          <w:rFonts w:ascii="Times New Roman" w:hAnsi="Times New Roman" w:cs="Times New Roman"/>
          <w:sz w:val="24"/>
          <w:szCs w:val="24"/>
        </w:rPr>
        <w:t>f a modernised A</w:t>
      </w:r>
      <w:r>
        <w:rPr>
          <w:rFonts w:ascii="Times New Roman" w:hAnsi="Times New Roman" w:cs="Times New Roman"/>
          <w:sz w:val="24"/>
          <w:szCs w:val="24"/>
        </w:rPr>
        <w:t xml:space="preserve">greement on human rights, it </w:t>
      </w:r>
      <w:r w:rsidR="0012411E">
        <w:rPr>
          <w:rFonts w:ascii="Times New Roman" w:hAnsi="Times New Roman" w:cs="Times New Roman"/>
          <w:sz w:val="24"/>
          <w:szCs w:val="24"/>
        </w:rPr>
        <w:t xml:space="preserve">should </w:t>
      </w:r>
      <w:r>
        <w:rPr>
          <w:rFonts w:ascii="Times New Roman" w:hAnsi="Times New Roman" w:cs="Times New Roman"/>
          <w:sz w:val="24"/>
          <w:szCs w:val="24"/>
        </w:rPr>
        <w:t xml:space="preserve">be kept in mind that </w:t>
      </w:r>
      <w:r w:rsidRPr="00136B6A">
        <w:rPr>
          <w:rFonts w:ascii="Times New Roman" w:hAnsi="Times New Roman" w:cs="Times New Roman"/>
          <w:sz w:val="24"/>
          <w:szCs w:val="24"/>
        </w:rPr>
        <w:t xml:space="preserve">this modernised FTA would be part of a modernised </w:t>
      </w:r>
      <w:r w:rsidR="000913CF">
        <w:rPr>
          <w:rFonts w:ascii="Times New Roman" w:hAnsi="Times New Roman" w:cs="Times New Roman"/>
          <w:sz w:val="24"/>
          <w:szCs w:val="24"/>
        </w:rPr>
        <w:t xml:space="preserve">EU-Chile Association </w:t>
      </w:r>
      <w:r w:rsidRPr="00136B6A">
        <w:rPr>
          <w:rFonts w:ascii="Times New Roman" w:hAnsi="Times New Roman" w:cs="Times New Roman"/>
          <w:sz w:val="24"/>
          <w:szCs w:val="24"/>
        </w:rPr>
        <w:t>Agreement, in which provisions enjoining the parti</w:t>
      </w:r>
      <w:r>
        <w:rPr>
          <w:rFonts w:ascii="Times New Roman" w:hAnsi="Times New Roman" w:cs="Times New Roman"/>
          <w:sz w:val="24"/>
          <w:szCs w:val="24"/>
        </w:rPr>
        <w:t>es to respect and cooperate on human r</w:t>
      </w:r>
      <w:r w:rsidRPr="00136B6A">
        <w:rPr>
          <w:rFonts w:ascii="Times New Roman" w:hAnsi="Times New Roman" w:cs="Times New Roman"/>
          <w:sz w:val="24"/>
          <w:szCs w:val="24"/>
        </w:rPr>
        <w:t>ights play a prominent role</w:t>
      </w:r>
      <w:r w:rsidR="003A695E">
        <w:rPr>
          <w:rFonts w:ascii="Times New Roman" w:hAnsi="Times New Roman" w:cs="Times New Roman"/>
          <w:sz w:val="24"/>
          <w:szCs w:val="24"/>
        </w:rPr>
        <w:t xml:space="preserve"> outside the trade p</w:t>
      </w:r>
      <w:r w:rsidR="009F33CC">
        <w:rPr>
          <w:rFonts w:ascii="Times New Roman" w:hAnsi="Times New Roman" w:cs="Times New Roman"/>
          <w:sz w:val="24"/>
          <w:szCs w:val="24"/>
        </w:rPr>
        <w:t>illar</w:t>
      </w:r>
      <w:r w:rsidRPr="00136B6A">
        <w:rPr>
          <w:rFonts w:ascii="Times New Roman" w:hAnsi="Times New Roman" w:cs="Times New Roman"/>
          <w:sz w:val="24"/>
          <w:szCs w:val="24"/>
        </w:rPr>
        <w:t>.</w:t>
      </w:r>
      <w:r w:rsidR="000913CF">
        <w:rPr>
          <w:rFonts w:ascii="Times New Roman" w:hAnsi="Times New Roman" w:cs="Times New Roman"/>
          <w:sz w:val="24"/>
          <w:szCs w:val="24"/>
        </w:rPr>
        <w:t xml:space="preserve"> </w:t>
      </w:r>
    </w:p>
    <w:p w:rsidR="003065C1" w:rsidRDefault="003065C1" w:rsidP="003065C1">
      <w:pPr>
        <w:spacing w:after="0" w:line="240" w:lineRule="auto"/>
        <w:jc w:val="both"/>
        <w:rPr>
          <w:rFonts w:ascii="Times New Roman" w:eastAsiaTheme="majorEastAsia" w:hAnsi="Times New Roman" w:cs="Times New Roman"/>
          <w:b/>
          <w:bCs/>
          <w:sz w:val="24"/>
          <w:szCs w:val="24"/>
          <w:u w:val="single"/>
        </w:rPr>
      </w:pPr>
    </w:p>
    <w:p w:rsidR="00A23186" w:rsidRDefault="00A23186" w:rsidP="00882520">
      <w:pPr>
        <w:pStyle w:val="Heading2"/>
        <w:numPr>
          <w:ilvl w:val="1"/>
          <w:numId w:val="56"/>
        </w:numPr>
        <w:spacing w:before="120"/>
        <w:ind w:left="788" w:hanging="431"/>
        <w:rPr>
          <w:u w:val="single"/>
        </w:rPr>
      </w:pPr>
      <w:bookmarkStart w:id="69" w:name="_Toc473123101"/>
      <w:r w:rsidRPr="001E7E87">
        <w:rPr>
          <w:u w:val="single"/>
        </w:rPr>
        <w:t>Summary table of the effects of the different policy options</w:t>
      </w:r>
      <w:bookmarkEnd w:id="69"/>
    </w:p>
    <w:p w:rsidR="00FA1185" w:rsidRPr="00E23FC0" w:rsidRDefault="00FA1185" w:rsidP="001E7E87">
      <w:pPr>
        <w:rPr>
          <w:sz w:val="10"/>
          <w:szCs w:val="10"/>
        </w:rPr>
      </w:pPr>
    </w:p>
    <w:tbl>
      <w:tblPr>
        <w:tblStyle w:val="TableGrid"/>
        <w:tblW w:w="5000" w:type="pct"/>
        <w:tblLayout w:type="fixed"/>
        <w:tblLook w:val="04A0" w:firstRow="1" w:lastRow="0" w:firstColumn="1" w:lastColumn="0" w:noHBand="0" w:noVBand="1"/>
      </w:tblPr>
      <w:tblGrid>
        <w:gridCol w:w="5796"/>
        <w:gridCol w:w="1161"/>
        <w:gridCol w:w="1161"/>
        <w:gridCol w:w="1170"/>
      </w:tblGrid>
      <w:tr w:rsidR="00A23186" w:rsidRPr="00E51A40" w:rsidTr="0087670C">
        <w:tc>
          <w:tcPr>
            <w:tcW w:w="3120" w:type="pct"/>
            <w:vMerge w:val="restart"/>
            <w:shd w:val="clear" w:color="auto" w:fill="B8CCE4" w:themeFill="accent1" w:themeFillTint="66"/>
            <w:vAlign w:val="center"/>
          </w:tcPr>
          <w:p w:rsidR="00A23186" w:rsidRPr="00E51A40" w:rsidRDefault="00A23186" w:rsidP="0087670C">
            <w:pPr>
              <w:pStyle w:val="Default"/>
              <w:spacing w:after="120"/>
              <w:jc w:val="center"/>
              <w:rPr>
                <w:b/>
                <w:sz w:val="22"/>
                <w:szCs w:val="22"/>
              </w:rPr>
            </w:pPr>
            <w:r w:rsidRPr="00E51A40">
              <w:rPr>
                <w:b/>
                <w:bCs/>
                <w:sz w:val="22"/>
                <w:szCs w:val="22"/>
              </w:rPr>
              <w:t>C</w:t>
            </w:r>
            <w:r w:rsidR="004C74F9">
              <w:rPr>
                <w:b/>
                <w:bCs/>
                <w:sz w:val="22"/>
                <w:szCs w:val="22"/>
              </w:rPr>
              <w:t>RITERIA</w:t>
            </w:r>
          </w:p>
        </w:tc>
        <w:tc>
          <w:tcPr>
            <w:tcW w:w="1880" w:type="pct"/>
            <w:gridSpan w:val="3"/>
            <w:shd w:val="clear" w:color="auto" w:fill="B8CCE4" w:themeFill="accent1" w:themeFillTint="66"/>
            <w:vAlign w:val="center"/>
          </w:tcPr>
          <w:p w:rsidR="00A23186" w:rsidRPr="00E51A40" w:rsidRDefault="004C74F9" w:rsidP="0087670C">
            <w:pPr>
              <w:pStyle w:val="Default"/>
              <w:spacing w:after="120"/>
              <w:jc w:val="center"/>
              <w:rPr>
                <w:b/>
                <w:sz w:val="22"/>
                <w:szCs w:val="22"/>
              </w:rPr>
            </w:pPr>
            <w:r>
              <w:rPr>
                <w:b/>
                <w:bCs/>
                <w:sz w:val="22"/>
                <w:szCs w:val="22"/>
              </w:rPr>
              <w:t>OPTIONS</w:t>
            </w:r>
          </w:p>
        </w:tc>
      </w:tr>
      <w:tr w:rsidR="00A23186" w:rsidRPr="00E51A40" w:rsidTr="0087670C">
        <w:tc>
          <w:tcPr>
            <w:tcW w:w="3120" w:type="pct"/>
            <w:vMerge/>
            <w:shd w:val="clear" w:color="auto" w:fill="B8CCE4" w:themeFill="accent1" w:themeFillTint="66"/>
            <w:vAlign w:val="center"/>
          </w:tcPr>
          <w:p w:rsidR="00A23186" w:rsidRPr="00E51A40" w:rsidRDefault="00A23186" w:rsidP="0087670C">
            <w:pPr>
              <w:pStyle w:val="Default"/>
              <w:spacing w:after="120"/>
              <w:jc w:val="center"/>
              <w:rPr>
                <w:b/>
                <w:sz w:val="22"/>
                <w:szCs w:val="22"/>
              </w:rPr>
            </w:pPr>
          </w:p>
        </w:tc>
        <w:tc>
          <w:tcPr>
            <w:tcW w:w="625" w:type="pct"/>
            <w:shd w:val="clear" w:color="auto" w:fill="B8CCE4" w:themeFill="accent1" w:themeFillTint="66"/>
            <w:vAlign w:val="center"/>
          </w:tcPr>
          <w:p w:rsidR="00A23186" w:rsidRPr="00E51A40" w:rsidRDefault="00A23186" w:rsidP="0087670C">
            <w:pPr>
              <w:pStyle w:val="Default"/>
              <w:spacing w:after="120"/>
              <w:jc w:val="center"/>
              <w:rPr>
                <w:b/>
                <w:sz w:val="22"/>
                <w:szCs w:val="22"/>
              </w:rPr>
            </w:pPr>
            <w:r w:rsidRPr="00E51A40">
              <w:rPr>
                <w:b/>
                <w:bCs/>
                <w:sz w:val="22"/>
                <w:szCs w:val="22"/>
              </w:rPr>
              <w:t>A</w:t>
            </w:r>
          </w:p>
        </w:tc>
        <w:tc>
          <w:tcPr>
            <w:tcW w:w="625" w:type="pct"/>
            <w:shd w:val="clear" w:color="auto" w:fill="B8CCE4" w:themeFill="accent1" w:themeFillTint="66"/>
            <w:vAlign w:val="center"/>
          </w:tcPr>
          <w:p w:rsidR="00A23186" w:rsidRPr="00E51A40" w:rsidRDefault="00A23186" w:rsidP="0087670C">
            <w:pPr>
              <w:pStyle w:val="Default"/>
              <w:spacing w:after="120"/>
              <w:jc w:val="center"/>
              <w:rPr>
                <w:b/>
                <w:sz w:val="22"/>
                <w:szCs w:val="22"/>
              </w:rPr>
            </w:pPr>
            <w:r w:rsidRPr="00E51A40">
              <w:rPr>
                <w:b/>
                <w:bCs/>
                <w:sz w:val="22"/>
                <w:szCs w:val="22"/>
              </w:rPr>
              <w:t>C1</w:t>
            </w:r>
          </w:p>
        </w:tc>
        <w:tc>
          <w:tcPr>
            <w:tcW w:w="630" w:type="pct"/>
            <w:shd w:val="clear" w:color="auto" w:fill="B8CCE4" w:themeFill="accent1" w:themeFillTint="66"/>
            <w:vAlign w:val="center"/>
          </w:tcPr>
          <w:p w:rsidR="00A23186" w:rsidRPr="00E51A40" w:rsidRDefault="00A23186" w:rsidP="0087670C">
            <w:pPr>
              <w:pStyle w:val="Default"/>
              <w:spacing w:after="120"/>
              <w:jc w:val="center"/>
              <w:rPr>
                <w:b/>
                <w:sz w:val="22"/>
                <w:szCs w:val="22"/>
              </w:rPr>
            </w:pPr>
            <w:r w:rsidRPr="00E51A40">
              <w:rPr>
                <w:b/>
                <w:sz w:val="22"/>
                <w:szCs w:val="22"/>
              </w:rPr>
              <w:t>C2</w:t>
            </w:r>
          </w:p>
        </w:tc>
      </w:tr>
      <w:tr w:rsidR="00A23186" w:rsidRPr="00E51A40" w:rsidTr="0087670C">
        <w:tc>
          <w:tcPr>
            <w:tcW w:w="3120" w:type="pct"/>
            <w:shd w:val="clear" w:color="auto" w:fill="F2F2F2" w:themeFill="background1" w:themeFillShade="F2"/>
            <w:vAlign w:val="center"/>
          </w:tcPr>
          <w:p w:rsidR="00A23186" w:rsidRPr="004C74F9" w:rsidRDefault="004C74F9" w:rsidP="0087670C">
            <w:pPr>
              <w:pStyle w:val="Default"/>
              <w:spacing w:after="120"/>
              <w:jc w:val="center"/>
              <w:rPr>
                <w:b/>
                <w:sz w:val="20"/>
                <w:szCs w:val="20"/>
              </w:rPr>
            </w:pPr>
            <w:r w:rsidRPr="004C74F9">
              <w:rPr>
                <w:b/>
                <w:sz w:val="20"/>
                <w:szCs w:val="20"/>
              </w:rPr>
              <w:t>GENERAL OBJECTIVES</w:t>
            </w:r>
          </w:p>
        </w:tc>
        <w:tc>
          <w:tcPr>
            <w:tcW w:w="625" w:type="pct"/>
            <w:shd w:val="clear" w:color="auto" w:fill="F2F2F2" w:themeFill="background1" w:themeFillShade="F2"/>
            <w:vAlign w:val="center"/>
          </w:tcPr>
          <w:p w:rsidR="00A23186" w:rsidRPr="004C74F9" w:rsidRDefault="00A23186" w:rsidP="0087670C">
            <w:pPr>
              <w:pStyle w:val="Default"/>
              <w:spacing w:after="120"/>
              <w:jc w:val="center"/>
              <w:rPr>
                <w:b/>
                <w:sz w:val="20"/>
                <w:szCs w:val="20"/>
              </w:rPr>
            </w:pPr>
            <w:r w:rsidRPr="004C74F9">
              <w:rPr>
                <w:b/>
                <w:sz w:val="20"/>
                <w:szCs w:val="20"/>
              </w:rPr>
              <w:t>0</w:t>
            </w:r>
          </w:p>
        </w:tc>
        <w:tc>
          <w:tcPr>
            <w:tcW w:w="625" w:type="pct"/>
            <w:shd w:val="clear" w:color="auto" w:fill="F2F2F2" w:themeFill="background1" w:themeFillShade="F2"/>
            <w:vAlign w:val="center"/>
          </w:tcPr>
          <w:p w:rsidR="00A23186" w:rsidRPr="004C74F9" w:rsidRDefault="00A23186" w:rsidP="0087670C">
            <w:pPr>
              <w:pStyle w:val="Default"/>
              <w:spacing w:after="120"/>
              <w:jc w:val="center"/>
              <w:rPr>
                <w:b/>
                <w:sz w:val="20"/>
                <w:szCs w:val="20"/>
              </w:rPr>
            </w:pPr>
            <w:r w:rsidRPr="004C74F9">
              <w:rPr>
                <w:b/>
                <w:sz w:val="20"/>
                <w:szCs w:val="20"/>
              </w:rPr>
              <w:t>+</w:t>
            </w:r>
          </w:p>
        </w:tc>
        <w:tc>
          <w:tcPr>
            <w:tcW w:w="630" w:type="pct"/>
            <w:shd w:val="clear" w:color="auto" w:fill="F2F2F2" w:themeFill="background1" w:themeFillShade="F2"/>
            <w:vAlign w:val="center"/>
          </w:tcPr>
          <w:p w:rsidR="00A23186" w:rsidRPr="004C74F9" w:rsidRDefault="00C60C0D" w:rsidP="0087670C">
            <w:pPr>
              <w:pStyle w:val="Default"/>
              <w:spacing w:after="120"/>
              <w:jc w:val="center"/>
              <w:rPr>
                <w:b/>
                <w:sz w:val="20"/>
                <w:szCs w:val="20"/>
              </w:rPr>
            </w:pPr>
            <w:r>
              <w:rPr>
                <w:b/>
                <w:sz w:val="20"/>
                <w:szCs w:val="20"/>
              </w:rPr>
              <w:t>+</w:t>
            </w:r>
          </w:p>
        </w:tc>
      </w:tr>
      <w:tr w:rsidR="00A23186" w:rsidRPr="00E51A40" w:rsidTr="0087670C">
        <w:tc>
          <w:tcPr>
            <w:tcW w:w="3120" w:type="pct"/>
            <w:vAlign w:val="center"/>
          </w:tcPr>
          <w:p w:rsidR="00A23186" w:rsidRPr="004C74F9" w:rsidRDefault="00A23186" w:rsidP="0087670C">
            <w:pPr>
              <w:snapToGrid w:val="0"/>
              <w:spacing w:after="120"/>
              <w:jc w:val="center"/>
              <w:rPr>
                <w:rFonts w:ascii="Times New Roman" w:hAnsi="Times New Roman" w:cs="Times New Roman"/>
                <w:sz w:val="20"/>
                <w:szCs w:val="20"/>
                <w:lang w:val="en-GB"/>
              </w:rPr>
            </w:pPr>
            <w:r w:rsidRPr="004C74F9">
              <w:rPr>
                <w:rFonts w:ascii="Times New Roman" w:hAnsi="Times New Roman" w:cs="Times New Roman"/>
                <w:sz w:val="20"/>
                <w:szCs w:val="20"/>
                <w:lang w:val="en-GB"/>
              </w:rPr>
              <w:t>Promoting smart, sustainable and inclusive growth through the expansion of trade</w:t>
            </w:r>
          </w:p>
        </w:tc>
        <w:tc>
          <w:tcPr>
            <w:tcW w:w="625" w:type="pct"/>
            <w:vAlign w:val="center"/>
          </w:tcPr>
          <w:p w:rsidR="00A23186" w:rsidRPr="004C74F9" w:rsidRDefault="00A23186" w:rsidP="0087670C">
            <w:pPr>
              <w:pStyle w:val="Default"/>
              <w:spacing w:after="120"/>
              <w:jc w:val="center"/>
              <w:rPr>
                <w:sz w:val="20"/>
                <w:szCs w:val="20"/>
              </w:rPr>
            </w:pPr>
            <w:r w:rsidRPr="004C74F9">
              <w:rPr>
                <w:sz w:val="20"/>
                <w:szCs w:val="20"/>
              </w:rPr>
              <w:t>0</w:t>
            </w:r>
          </w:p>
        </w:tc>
        <w:tc>
          <w:tcPr>
            <w:tcW w:w="625" w:type="pct"/>
            <w:vAlign w:val="center"/>
          </w:tcPr>
          <w:p w:rsidR="00A23186" w:rsidRPr="004C74F9" w:rsidRDefault="00A23186" w:rsidP="0087670C">
            <w:pPr>
              <w:pStyle w:val="Default"/>
              <w:spacing w:after="120"/>
              <w:jc w:val="center"/>
              <w:rPr>
                <w:sz w:val="20"/>
                <w:szCs w:val="20"/>
              </w:rPr>
            </w:pPr>
            <w:r w:rsidRPr="004C74F9">
              <w:rPr>
                <w:sz w:val="20"/>
                <w:szCs w:val="20"/>
              </w:rPr>
              <w:t>+</w:t>
            </w:r>
          </w:p>
        </w:tc>
        <w:tc>
          <w:tcPr>
            <w:tcW w:w="630" w:type="pct"/>
            <w:vAlign w:val="center"/>
          </w:tcPr>
          <w:p w:rsidR="00A23186" w:rsidRPr="004C74F9" w:rsidRDefault="00C60C0D" w:rsidP="0087670C">
            <w:pPr>
              <w:pStyle w:val="Default"/>
              <w:spacing w:after="120"/>
              <w:jc w:val="center"/>
              <w:rPr>
                <w:sz w:val="20"/>
                <w:szCs w:val="20"/>
              </w:rPr>
            </w:pPr>
            <w:r>
              <w:rPr>
                <w:sz w:val="20"/>
                <w:szCs w:val="20"/>
              </w:rPr>
              <w:t>+</w:t>
            </w:r>
          </w:p>
        </w:tc>
      </w:tr>
      <w:tr w:rsidR="00A23186" w:rsidRPr="00E51A40" w:rsidTr="0087670C">
        <w:tc>
          <w:tcPr>
            <w:tcW w:w="3120" w:type="pct"/>
            <w:vAlign w:val="center"/>
          </w:tcPr>
          <w:p w:rsidR="00A23186" w:rsidRPr="004C74F9" w:rsidRDefault="00A23186" w:rsidP="0087670C">
            <w:pPr>
              <w:snapToGrid w:val="0"/>
              <w:spacing w:after="120"/>
              <w:jc w:val="center"/>
              <w:rPr>
                <w:rFonts w:ascii="Times New Roman" w:hAnsi="Times New Roman" w:cs="Times New Roman"/>
                <w:sz w:val="20"/>
                <w:szCs w:val="20"/>
                <w:lang w:val="en-GB"/>
              </w:rPr>
            </w:pPr>
            <w:r w:rsidRPr="004C74F9">
              <w:rPr>
                <w:rFonts w:ascii="Times New Roman" w:hAnsi="Times New Roman" w:cs="Times New Roman"/>
                <w:sz w:val="20"/>
                <w:szCs w:val="20"/>
                <w:lang w:val="en-GB"/>
              </w:rPr>
              <w:t>Creati</w:t>
            </w:r>
            <w:r w:rsidR="00DC51D8">
              <w:rPr>
                <w:rFonts w:ascii="Times New Roman" w:hAnsi="Times New Roman" w:cs="Times New Roman"/>
                <w:sz w:val="20"/>
                <w:szCs w:val="20"/>
                <w:lang w:val="en-GB"/>
              </w:rPr>
              <w:t>ng</w:t>
            </w:r>
            <w:r w:rsidRPr="004C74F9">
              <w:rPr>
                <w:rFonts w:ascii="Times New Roman" w:hAnsi="Times New Roman" w:cs="Times New Roman"/>
                <w:sz w:val="20"/>
                <w:szCs w:val="20"/>
                <w:lang w:val="en-GB"/>
              </w:rPr>
              <w:t xml:space="preserve"> job and labour opportunities and welfare gains</w:t>
            </w:r>
          </w:p>
        </w:tc>
        <w:tc>
          <w:tcPr>
            <w:tcW w:w="625" w:type="pct"/>
            <w:vAlign w:val="center"/>
          </w:tcPr>
          <w:p w:rsidR="00A23186" w:rsidRPr="004C74F9" w:rsidRDefault="00A23186" w:rsidP="0087670C">
            <w:pPr>
              <w:pStyle w:val="Default"/>
              <w:spacing w:after="120"/>
              <w:jc w:val="center"/>
              <w:rPr>
                <w:sz w:val="20"/>
                <w:szCs w:val="20"/>
              </w:rPr>
            </w:pPr>
            <w:r w:rsidRPr="004C74F9">
              <w:rPr>
                <w:sz w:val="20"/>
                <w:szCs w:val="20"/>
              </w:rPr>
              <w:t>0</w:t>
            </w:r>
          </w:p>
        </w:tc>
        <w:tc>
          <w:tcPr>
            <w:tcW w:w="625" w:type="pct"/>
            <w:vAlign w:val="center"/>
          </w:tcPr>
          <w:p w:rsidR="00A23186" w:rsidRPr="004C74F9" w:rsidRDefault="00A23186" w:rsidP="0087670C">
            <w:pPr>
              <w:pStyle w:val="Default"/>
              <w:spacing w:after="120"/>
              <w:jc w:val="center"/>
              <w:rPr>
                <w:sz w:val="20"/>
                <w:szCs w:val="20"/>
              </w:rPr>
            </w:pPr>
            <w:r w:rsidRPr="004C74F9">
              <w:rPr>
                <w:sz w:val="20"/>
                <w:szCs w:val="20"/>
              </w:rPr>
              <w:t>+</w:t>
            </w:r>
          </w:p>
        </w:tc>
        <w:tc>
          <w:tcPr>
            <w:tcW w:w="630" w:type="pct"/>
            <w:vAlign w:val="center"/>
          </w:tcPr>
          <w:p w:rsidR="00A23186" w:rsidRPr="004C74F9" w:rsidRDefault="00A14E3B" w:rsidP="0087670C">
            <w:pPr>
              <w:pStyle w:val="Default"/>
              <w:spacing w:after="120"/>
              <w:jc w:val="center"/>
              <w:rPr>
                <w:sz w:val="20"/>
                <w:szCs w:val="20"/>
              </w:rPr>
            </w:pPr>
            <w:r>
              <w:rPr>
                <w:sz w:val="20"/>
                <w:szCs w:val="20"/>
              </w:rPr>
              <w:t>+</w:t>
            </w:r>
          </w:p>
        </w:tc>
      </w:tr>
      <w:tr w:rsidR="00A23186" w:rsidRPr="00E51A40" w:rsidTr="0087670C">
        <w:tc>
          <w:tcPr>
            <w:tcW w:w="3120" w:type="pct"/>
            <w:vAlign w:val="center"/>
          </w:tcPr>
          <w:p w:rsidR="00A23186" w:rsidRPr="004C74F9" w:rsidRDefault="00DC51D8" w:rsidP="00DC51D8">
            <w:pPr>
              <w:snapToGrid w:val="0"/>
              <w:spacing w:after="12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Increasing benefits to </w:t>
            </w:r>
            <w:r w:rsidR="00A23186" w:rsidRPr="004C74F9">
              <w:rPr>
                <w:rFonts w:ascii="Times New Roman" w:hAnsi="Times New Roman" w:cs="Times New Roman"/>
                <w:sz w:val="20"/>
                <w:szCs w:val="20"/>
                <w:lang w:val="en-GB"/>
              </w:rPr>
              <w:t>consumer</w:t>
            </w:r>
            <w:r>
              <w:rPr>
                <w:rFonts w:ascii="Times New Roman" w:hAnsi="Times New Roman" w:cs="Times New Roman"/>
                <w:sz w:val="20"/>
                <w:szCs w:val="20"/>
                <w:lang w:val="en-GB"/>
              </w:rPr>
              <w:t>s (i.e. in terms of choice, availability and price)</w:t>
            </w:r>
          </w:p>
        </w:tc>
        <w:tc>
          <w:tcPr>
            <w:tcW w:w="625" w:type="pct"/>
            <w:vAlign w:val="center"/>
          </w:tcPr>
          <w:p w:rsidR="00A23186" w:rsidRPr="00E851A2" w:rsidRDefault="00A23186" w:rsidP="0087670C">
            <w:pPr>
              <w:pStyle w:val="Default"/>
              <w:spacing w:after="120"/>
              <w:jc w:val="center"/>
              <w:rPr>
                <w:sz w:val="20"/>
                <w:szCs w:val="20"/>
                <w:lang w:val="en-GB"/>
              </w:rPr>
            </w:pPr>
            <w:r w:rsidRPr="00DC51D8">
              <w:rPr>
                <w:sz w:val="20"/>
                <w:szCs w:val="20"/>
              </w:rPr>
              <w:t>0</w:t>
            </w:r>
          </w:p>
        </w:tc>
        <w:tc>
          <w:tcPr>
            <w:tcW w:w="625" w:type="pct"/>
            <w:vAlign w:val="center"/>
          </w:tcPr>
          <w:p w:rsidR="00A23186" w:rsidRPr="00E851A2" w:rsidRDefault="00A23186" w:rsidP="0087670C">
            <w:pPr>
              <w:pStyle w:val="Default"/>
              <w:spacing w:after="120"/>
              <w:jc w:val="center"/>
              <w:rPr>
                <w:sz w:val="20"/>
                <w:szCs w:val="20"/>
                <w:lang w:val="en-GB"/>
              </w:rPr>
            </w:pPr>
            <w:r w:rsidRPr="00DC51D8">
              <w:rPr>
                <w:sz w:val="20"/>
                <w:szCs w:val="20"/>
              </w:rPr>
              <w:t>+</w:t>
            </w:r>
          </w:p>
        </w:tc>
        <w:tc>
          <w:tcPr>
            <w:tcW w:w="630" w:type="pct"/>
            <w:vAlign w:val="center"/>
          </w:tcPr>
          <w:p w:rsidR="00A23186" w:rsidRPr="00E851A2" w:rsidRDefault="00A14E3B" w:rsidP="0087670C">
            <w:pPr>
              <w:pStyle w:val="Default"/>
              <w:spacing w:after="120"/>
              <w:jc w:val="center"/>
              <w:rPr>
                <w:sz w:val="20"/>
                <w:szCs w:val="20"/>
                <w:lang w:val="en-GB"/>
              </w:rPr>
            </w:pPr>
            <w:r w:rsidRPr="00DC51D8">
              <w:rPr>
                <w:sz w:val="20"/>
                <w:szCs w:val="20"/>
              </w:rPr>
              <w:t>+</w:t>
            </w:r>
          </w:p>
        </w:tc>
      </w:tr>
      <w:tr w:rsidR="00EE76EE" w:rsidRPr="00E51A40" w:rsidTr="00EE76EE">
        <w:tc>
          <w:tcPr>
            <w:tcW w:w="3120" w:type="pct"/>
          </w:tcPr>
          <w:p w:rsidR="00EE76EE" w:rsidRPr="00E851A2" w:rsidRDefault="00EE76EE" w:rsidP="00160767">
            <w:pPr>
              <w:snapToGrid w:val="0"/>
              <w:spacing w:after="120"/>
              <w:jc w:val="center"/>
              <w:rPr>
                <w:rFonts w:ascii="Times New Roman" w:hAnsi="Times New Roman" w:cs="Times New Roman"/>
                <w:sz w:val="20"/>
                <w:szCs w:val="20"/>
                <w:lang w:val="en-GB"/>
              </w:rPr>
            </w:pPr>
            <w:r w:rsidRPr="00DC51D8">
              <w:rPr>
                <w:rFonts w:ascii="Times New Roman" w:hAnsi="Times New Roman" w:cs="Times New Roman"/>
                <w:sz w:val="20"/>
                <w:szCs w:val="20"/>
              </w:rPr>
              <w:t>Improving Europe’s competitiveness in global markets</w:t>
            </w:r>
          </w:p>
        </w:tc>
        <w:tc>
          <w:tcPr>
            <w:tcW w:w="625" w:type="pct"/>
          </w:tcPr>
          <w:p w:rsidR="00EE76EE" w:rsidRPr="00E851A2" w:rsidRDefault="00EE76EE" w:rsidP="00160767">
            <w:pPr>
              <w:pStyle w:val="Default"/>
              <w:spacing w:after="120"/>
              <w:jc w:val="center"/>
              <w:rPr>
                <w:sz w:val="20"/>
                <w:szCs w:val="20"/>
                <w:lang w:val="en-GB"/>
              </w:rPr>
            </w:pPr>
            <w:r w:rsidRPr="00DC51D8">
              <w:rPr>
                <w:sz w:val="20"/>
                <w:szCs w:val="20"/>
              </w:rPr>
              <w:t>0/-</w:t>
            </w:r>
          </w:p>
        </w:tc>
        <w:tc>
          <w:tcPr>
            <w:tcW w:w="625" w:type="pct"/>
          </w:tcPr>
          <w:p w:rsidR="00EE76EE" w:rsidRPr="00E851A2" w:rsidRDefault="00EE76EE" w:rsidP="00160767">
            <w:pPr>
              <w:pStyle w:val="Default"/>
              <w:spacing w:after="120"/>
              <w:jc w:val="center"/>
              <w:rPr>
                <w:sz w:val="20"/>
                <w:szCs w:val="20"/>
                <w:lang w:val="en-GB"/>
              </w:rPr>
            </w:pPr>
            <w:r w:rsidRPr="00DC51D8">
              <w:rPr>
                <w:sz w:val="20"/>
                <w:szCs w:val="20"/>
              </w:rPr>
              <w:t>0/+</w:t>
            </w:r>
          </w:p>
        </w:tc>
        <w:tc>
          <w:tcPr>
            <w:tcW w:w="630" w:type="pct"/>
          </w:tcPr>
          <w:p w:rsidR="00EE76EE" w:rsidRPr="00E851A2" w:rsidRDefault="00EE76EE" w:rsidP="00160767">
            <w:pPr>
              <w:pStyle w:val="Default"/>
              <w:spacing w:after="120"/>
              <w:jc w:val="center"/>
              <w:rPr>
                <w:sz w:val="20"/>
                <w:szCs w:val="20"/>
                <w:lang w:val="en-GB"/>
              </w:rPr>
            </w:pPr>
            <w:r w:rsidRPr="00DC51D8">
              <w:rPr>
                <w:sz w:val="20"/>
                <w:szCs w:val="20"/>
              </w:rPr>
              <w:t>0/+</w:t>
            </w:r>
          </w:p>
        </w:tc>
      </w:tr>
      <w:tr w:rsidR="00A23186" w:rsidRPr="00E51A40" w:rsidTr="0087670C">
        <w:tc>
          <w:tcPr>
            <w:tcW w:w="3120" w:type="pct"/>
            <w:vAlign w:val="center"/>
          </w:tcPr>
          <w:p w:rsidR="00A23186" w:rsidRPr="00EE76EE" w:rsidRDefault="00EE76EE" w:rsidP="0087670C">
            <w:pPr>
              <w:snapToGrid w:val="0"/>
              <w:spacing w:after="120"/>
              <w:jc w:val="center"/>
              <w:rPr>
                <w:rFonts w:ascii="Times New Roman" w:hAnsi="Times New Roman" w:cs="Times New Roman"/>
                <w:sz w:val="20"/>
                <w:szCs w:val="20"/>
                <w:lang w:val="en-GB"/>
              </w:rPr>
            </w:pPr>
            <w:r w:rsidRPr="00EE76EE">
              <w:rPr>
                <w:rFonts w:ascii="Times New Roman" w:hAnsi="Times New Roman" w:cs="Times New Roman"/>
                <w:sz w:val="20"/>
                <w:szCs w:val="20"/>
                <w:lang w:val="en-GB"/>
              </w:rPr>
              <w:t>Reinforcing cooperation on trade-related issues with a like-minded country</w:t>
            </w:r>
          </w:p>
        </w:tc>
        <w:tc>
          <w:tcPr>
            <w:tcW w:w="625" w:type="pct"/>
            <w:vAlign w:val="center"/>
          </w:tcPr>
          <w:p w:rsidR="00A23186" w:rsidRPr="004C74F9" w:rsidRDefault="00EE76EE" w:rsidP="0087670C">
            <w:pPr>
              <w:pStyle w:val="Default"/>
              <w:spacing w:after="120"/>
              <w:jc w:val="center"/>
              <w:rPr>
                <w:sz w:val="20"/>
                <w:szCs w:val="20"/>
              </w:rPr>
            </w:pPr>
            <w:r>
              <w:rPr>
                <w:sz w:val="20"/>
                <w:szCs w:val="20"/>
              </w:rPr>
              <w:t>0</w:t>
            </w:r>
          </w:p>
        </w:tc>
        <w:tc>
          <w:tcPr>
            <w:tcW w:w="625" w:type="pct"/>
            <w:vAlign w:val="center"/>
          </w:tcPr>
          <w:p w:rsidR="00A23186" w:rsidRPr="004C74F9" w:rsidRDefault="00A23186" w:rsidP="0087670C">
            <w:pPr>
              <w:pStyle w:val="Default"/>
              <w:spacing w:after="120"/>
              <w:jc w:val="center"/>
              <w:rPr>
                <w:sz w:val="20"/>
                <w:szCs w:val="20"/>
              </w:rPr>
            </w:pPr>
            <w:r w:rsidRPr="004C74F9">
              <w:rPr>
                <w:sz w:val="20"/>
                <w:szCs w:val="20"/>
              </w:rPr>
              <w:t>+</w:t>
            </w:r>
          </w:p>
        </w:tc>
        <w:tc>
          <w:tcPr>
            <w:tcW w:w="630" w:type="pct"/>
            <w:vAlign w:val="center"/>
          </w:tcPr>
          <w:p w:rsidR="00A23186" w:rsidRPr="004C74F9" w:rsidRDefault="00EE76EE" w:rsidP="0087670C">
            <w:pPr>
              <w:pStyle w:val="Default"/>
              <w:spacing w:after="120"/>
              <w:jc w:val="center"/>
              <w:rPr>
                <w:sz w:val="20"/>
                <w:szCs w:val="20"/>
              </w:rPr>
            </w:pPr>
            <w:r>
              <w:rPr>
                <w:sz w:val="20"/>
                <w:szCs w:val="20"/>
              </w:rPr>
              <w:t>+</w:t>
            </w:r>
            <w:r w:rsidR="00A23186" w:rsidRPr="004C74F9">
              <w:rPr>
                <w:sz w:val="20"/>
                <w:szCs w:val="20"/>
              </w:rPr>
              <w:t>+</w:t>
            </w:r>
          </w:p>
        </w:tc>
      </w:tr>
      <w:tr w:rsidR="00A23186" w:rsidRPr="00E51A40" w:rsidTr="0087670C">
        <w:tc>
          <w:tcPr>
            <w:tcW w:w="3120" w:type="pct"/>
            <w:shd w:val="clear" w:color="auto" w:fill="F2F2F2" w:themeFill="background1" w:themeFillShade="F2"/>
            <w:vAlign w:val="center"/>
          </w:tcPr>
          <w:p w:rsidR="00A23186" w:rsidRPr="004C74F9" w:rsidRDefault="004C74F9" w:rsidP="0087670C">
            <w:pPr>
              <w:pStyle w:val="Default"/>
              <w:spacing w:after="120"/>
              <w:jc w:val="center"/>
              <w:rPr>
                <w:b/>
                <w:sz w:val="20"/>
                <w:szCs w:val="20"/>
              </w:rPr>
            </w:pPr>
            <w:r w:rsidRPr="004C74F9">
              <w:rPr>
                <w:b/>
                <w:sz w:val="20"/>
                <w:szCs w:val="20"/>
              </w:rPr>
              <w:t>SPECIFIC OBJECTIVES</w:t>
            </w:r>
          </w:p>
        </w:tc>
        <w:tc>
          <w:tcPr>
            <w:tcW w:w="625" w:type="pct"/>
            <w:shd w:val="clear" w:color="auto" w:fill="F2F2F2" w:themeFill="background1" w:themeFillShade="F2"/>
            <w:vAlign w:val="center"/>
          </w:tcPr>
          <w:p w:rsidR="00A23186" w:rsidRPr="004C74F9" w:rsidRDefault="00A23186" w:rsidP="0087670C">
            <w:pPr>
              <w:pStyle w:val="Default"/>
              <w:spacing w:after="120"/>
              <w:jc w:val="center"/>
              <w:rPr>
                <w:b/>
                <w:sz w:val="20"/>
                <w:szCs w:val="20"/>
              </w:rPr>
            </w:pPr>
            <w:r w:rsidRPr="004C74F9">
              <w:rPr>
                <w:b/>
                <w:sz w:val="20"/>
                <w:szCs w:val="20"/>
              </w:rPr>
              <w:t>0</w:t>
            </w:r>
          </w:p>
        </w:tc>
        <w:tc>
          <w:tcPr>
            <w:tcW w:w="625" w:type="pct"/>
            <w:shd w:val="clear" w:color="auto" w:fill="F2F2F2" w:themeFill="background1" w:themeFillShade="F2"/>
            <w:vAlign w:val="center"/>
          </w:tcPr>
          <w:p w:rsidR="00A23186" w:rsidRPr="004C74F9" w:rsidRDefault="00A23186" w:rsidP="0087670C">
            <w:pPr>
              <w:pStyle w:val="Default"/>
              <w:spacing w:after="120"/>
              <w:jc w:val="center"/>
              <w:rPr>
                <w:b/>
                <w:sz w:val="20"/>
                <w:szCs w:val="20"/>
              </w:rPr>
            </w:pPr>
            <w:r w:rsidRPr="004C74F9">
              <w:rPr>
                <w:b/>
                <w:sz w:val="20"/>
                <w:szCs w:val="20"/>
              </w:rPr>
              <w:t>+</w:t>
            </w:r>
          </w:p>
        </w:tc>
        <w:tc>
          <w:tcPr>
            <w:tcW w:w="630" w:type="pct"/>
            <w:shd w:val="clear" w:color="auto" w:fill="F2F2F2" w:themeFill="background1" w:themeFillShade="F2"/>
            <w:vAlign w:val="center"/>
          </w:tcPr>
          <w:p w:rsidR="00A23186" w:rsidRPr="004C74F9" w:rsidRDefault="00CB2A5D" w:rsidP="0087670C">
            <w:pPr>
              <w:pStyle w:val="Default"/>
              <w:spacing w:after="120"/>
              <w:jc w:val="center"/>
              <w:rPr>
                <w:b/>
                <w:sz w:val="20"/>
                <w:szCs w:val="20"/>
              </w:rPr>
            </w:pPr>
            <w:r>
              <w:rPr>
                <w:b/>
                <w:sz w:val="20"/>
                <w:szCs w:val="20"/>
              </w:rPr>
              <w:t>+</w:t>
            </w:r>
            <w:r w:rsidR="00885849">
              <w:rPr>
                <w:b/>
                <w:sz w:val="20"/>
                <w:szCs w:val="20"/>
              </w:rPr>
              <w:t>+</w:t>
            </w:r>
          </w:p>
        </w:tc>
      </w:tr>
      <w:tr w:rsidR="00A14E3B" w:rsidRPr="00E51A40" w:rsidTr="00A14E3B">
        <w:tc>
          <w:tcPr>
            <w:tcW w:w="3120" w:type="pct"/>
          </w:tcPr>
          <w:p w:rsidR="00A14E3B" w:rsidRPr="004C74F9" w:rsidRDefault="00A14E3B" w:rsidP="00160767">
            <w:pPr>
              <w:snapToGrid w:val="0"/>
              <w:spacing w:after="120"/>
              <w:jc w:val="center"/>
              <w:rPr>
                <w:rFonts w:ascii="Times New Roman" w:hAnsi="Times New Roman" w:cs="Times New Roman"/>
                <w:sz w:val="20"/>
                <w:szCs w:val="20"/>
                <w:lang w:val="en-GB"/>
              </w:rPr>
            </w:pPr>
            <w:r>
              <w:rPr>
                <w:rFonts w:ascii="Times New Roman" w:hAnsi="Times New Roman" w:cs="Times New Roman"/>
                <w:sz w:val="20"/>
                <w:szCs w:val="20"/>
                <w:lang w:val="en-GB"/>
              </w:rPr>
              <w:t>Increase market access for goods by further eliminating or reducing unnecessary barriers</w:t>
            </w:r>
          </w:p>
        </w:tc>
        <w:tc>
          <w:tcPr>
            <w:tcW w:w="625" w:type="pct"/>
          </w:tcPr>
          <w:p w:rsidR="00A14E3B" w:rsidRPr="004C74F9" w:rsidRDefault="00A14E3B" w:rsidP="00160767">
            <w:pPr>
              <w:pStyle w:val="Default"/>
              <w:spacing w:after="120"/>
              <w:jc w:val="center"/>
              <w:rPr>
                <w:sz w:val="20"/>
                <w:szCs w:val="20"/>
              </w:rPr>
            </w:pPr>
            <w:r w:rsidRPr="004C74F9">
              <w:rPr>
                <w:sz w:val="20"/>
                <w:szCs w:val="20"/>
              </w:rPr>
              <w:t>0</w:t>
            </w:r>
          </w:p>
        </w:tc>
        <w:tc>
          <w:tcPr>
            <w:tcW w:w="625" w:type="pct"/>
          </w:tcPr>
          <w:p w:rsidR="00A14E3B" w:rsidRPr="004C74F9" w:rsidRDefault="00A14E3B" w:rsidP="00160767">
            <w:pPr>
              <w:pStyle w:val="Default"/>
              <w:spacing w:after="120"/>
              <w:jc w:val="center"/>
              <w:rPr>
                <w:sz w:val="20"/>
                <w:szCs w:val="20"/>
              </w:rPr>
            </w:pPr>
            <w:r w:rsidRPr="004C74F9">
              <w:rPr>
                <w:sz w:val="20"/>
                <w:szCs w:val="20"/>
              </w:rPr>
              <w:t>+</w:t>
            </w:r>
          </w:p>
        </w:tc>
        <w:tc>
          <w:tcPr>
            <w:tcW w:w="630" w:type="pct"/>
          </w:tcPr>
          <w:p w:rsidR="00A14E3B" w:rsidRPr="004C74F9" w:rsidRDefault="00A14E3B" w:rsidP="00160767">
            <w:pPr>
              <w:pStyle w:val="Default"/>
              <w:spacing w:after="120"/>
              <w:jc w:val="center"/>
              <w:rPr>
                <w:sz w:val="20"/>
                <w:szCs w:val="20"/>
              </w:rPr>
            </w:pPr>
            <w:r w:rsidRPr="004C74F9">
              <w:rPr>
                <w:sz w:val="20"/>
                <w:szCs w:val="20"/>
              </w:rPr>
              <w:t>++</w:t>
            </w:r>
          </w:p>
        </w:tc>
      </w:tr>
      <w:tr w:rsidR="00A14E3B" w:rsidRPr="00E51A40" w:rsidTr="00A14E3B">
        <w:tc>
          <w:tcPr>
            <w:tcW w:w="3120" w:type="pct"/>
          </w:tcPr>
          <w:p w:rsidR="00A14E3B" w:rsidRPr="004C74F9" w:rsidRDefault="00A14E3B" w:rsidP="00A14E3B">
            <w:pPr>
              <w:snapToGrid w:val="0"/>
              <w:spacing w:after="120"/>
              <w:jc w:val="center"/>
              <w:rPr>
                <w:rFonts w:ascii="Times New Roman" w:hAnsi="Times New Roman" w:cs="Times New Roman"/>
                <w:sz w:val="20"/>
                <w:szCs w:val="20"/>
                <w:lang w:val="en-GB"/>
              </w:rPr>
            </w:pPr>
            <w:r>
              <w:rPr>
                <w:rFonts w:ascii="Times New Roman" w:hAnsi="Times New Roman" w:cs="Times New Roman"/>
                <w:sz w:val="20"/>
                <w:szCs w:val="20"/>
                <w:lang w:val="en-GB"/>
              </w:rPr>
              <w:t>Increase market access for services by further eliminating or reducing unnecessary barriers</w:t>
            </w:r>
          </w:p>
        </w:tc>
        <w:tc>
          <w:tcPr>
            <w:tcW w:w="625" w:type="pct"/>
          </w:tcPr>
          <w:p w:rsidR="00A14E3B" w:rsidRPr="004C74F9" w:rsidRDefault="00A14E3B" w:rsidP="00160767">
            <w:pPr>
              <w:pStyle w:val="Default"/>
              <w:spacing w:after="120"/>
              <w:jc w:val="center"/>
              <w:rPr>
                <w:sz w:val="20"/>
                <w:szCs w:val="20"/>
              </w:rPr>
            </w:pPr>
            <w:r w:rsidRPr="004C74F9">
              <w:rPr>
                <w:sz w:val="20"/>
                <w:szCs w:val="20"/>
              </w:rPr>
              <w:t>0</w:t>
            </w:r>
          </w:p>
        </w:tc>
        <w:tc>
          <w:tcPr>
            <w:tcW w:w="625" w:type="pct"/>
          </w:tcPr>
          <w:p w:rsidR="00A14E3B" w:rsidRPr="004C74F9" w:rsidRDefault="00A14E3B" w:rsidP="00160767">
            <w:pPr>
              <w:pStyle w:val="Default"/>
              <w:spacing w:after="120"/>
              <w:jc w:val="center"/>
              <w:rPr>
                <w:sz w:val="20"/>
                <w:szCs w:val="20"/>
              </w:rPr>
            </w:pPr>
            <w:r w:rsidRPr="004C74F9">
              <w:rPr>
                <w:sz w:val="20"/>
                <w:szCs w:val="20"/>
              </w:rPr>
              <w:t>+</w:t>
            </w:r>
          </w:p>
        </w:tc>
        <w:tc>
          <w:tcPr>
            <w:tcW w:w="630" w:type="pct"/>
          </w:tcPr>
          <w:p w:rsidR="00A14E3B" w:rsidRPr="004C74F9" w:rsidRDefault="00CB2A5D" w:rsidP="00160767">
            <w:pPr>
              <w:pStyle w:val="Default"/>
              <w:spacing w:after="120"/>
              <w:jc w:val="center"/>
              <w:rPr>
                <w:sz w:val="20"/>
                <w:szCs w:val="20"/>
              </w:rPr>
            </w:pPr>
            <w:r>
              <w:rPr>
                <w:sz w:val="20"/>
                <w:szCs w:val="20"/>
              </w:rPr>
              <w:t>+</w:t>
            </w:r>
            <w:r w:rsidR="00885849">
              <w:rPr>
                <w:sz w:val="20"/>
                <w:szCs w:val="20"/>
              </w:rPr>
              <w:t>+</w:t>
            </w:r>
          </w:p>
        </w:tc>
      </w:tr>
      <w:tr w:rsidR="00A23186" w:rsidRPr="00E51A40" w:rsidTr="0087670C">
        <w:tc>
          <w:tcPr>
            <w:tcW w:w="3120" w:type="pct"/>
            <w:vAlign w:val="center"/>
          </w:tcPr>
          <w:p w:rsidR="00A23186" w:rsidRPr="004C74F9" w:rsidRDefault="00A14E3B" w:rsidP="00A14E3B">
            <w:pPr>
              <w:snapToGrid w:val="0"/>
              <w:spacing w:after="120"/>
              <w:jc w:val="center"/>
              <w:rPr>
                <w:rFonts w:ascii="Times New Roman" w:hAnsi="Times New Roman" w:cs="Times New Roman"/>
                <w:sz w:val="20"/>
                <w:szCs w:val="20"/>
                <w:lang w:val="en-GB"/>
              </w:rPr>
            </w:pPr>
            <w:r>
              <w:rPr>
                <w:rFonts w:ascii="Times New Roman" w:hAnsi="Times New Roman" w:cs="Times New Roman"/>
                <w:sz w:val="20"/>
                <w:szCs w:val="20"/>
                <w:lang w:val="en-GB"/>
              </w:rPr>
              <w:t>Increase market access for investment by further eliminating or reducing unnecessary barriers</w:t>
            </w:r>
          </w:p>
        </w:tc>
        <w:tc>
          <w:tcPr>
            <w:tcW w:w="625" w:type="pct"/>
            <w:vAlign w:val="center"/>
          </w:tcPr>
          <w:p w:rsidR="00A23186" w:rsidRPr="004C74F9" w:rsidRDefault="00A23186" w:rsidP="0087670C">
            <w:pPr>
              <w:pStyle w:val="Default"/>
              <w:spacing w:after="120"/>
              <w:jc w:val="center"/>
              <w:rPr>
                <w:sz w:val="20"/>
                <w:szCs w:val="20"/>
              </w:rPr>
            </w:pPr>
            <w:r w:rsidRPr="004C74F9">
              <w:rPr>
                <w:sz w:val="20"/>
                <w:szCs w:val="20"/>
              </w:rPr>
              <w:t>0</w:t>
            </w:r>
          </w:p>
        </w:tc>
        <w:tc>
          <w:tcPr>
            <w:tcW w:w="625" w:type="pct"/>
            <w:vAlign w:val="center"/>
          </w:tcPr>
          <w:p w:rsidR="00A23186" w:rsidRPr="004C74F9" w:rsidRDefault="00A23186" w:rsidP="0087670C">
            <w:pPr>
              <w:pStyle w:val="Default"/>
              <w:spacing w:after="120"/>
              <w:jc w:val="center"/>
              <w:rPr>
                <w:sz w:val="20"/>
                <w:szCs w:val="20"/>
              </w:rPr>
            </w:pPr>
            <w:r w:rsidRPr="004C74F9">
              <w:rPr>
                <w:sz w:val="20"/>
                <w:szCs w:val="20"/>
              </w:rPr>
              <w:t>+</w:t>
            </w:r>
          </w:p>
        </w:tc>
        <w:tc>
          <w:tcPr>
            <w:tcW w:w="630" w:type="pct"/>
            <w:vAlign w:val="center"/>
          </w:tcPr>
          <w:p w:rsidR="00A23186" w:rsidRPr="004C74F9" w:rsidRDefault="00CB2A5D" w:rsidP="0087670C">
            <w:pPr>
              <w:pStyle w:val="Default"/>
              <w:spacing w:after="120"/>
              <w:jc w:val="center"/>
              <w:rPr>
                <w:sz w:val="20"/>
                <w:szCs w:val="20"/>
              </w:rPr>
            </w:pPr>
            <w:r>
              <w:rPr>
                <w:sz w:val="20"/>
                <w:szCs w:val="20"/>
              </w:rPr>
              <w:t>+</w:t>
            </w:r>
            <w:r w:rsidR="00885849">
              <w:rPr>
                <w:sz w:val="20"/>
                <w:szCs w:val="20"/>
              </w:rPr>
              <w:t>+</w:t>
            </w:r>
          </w:p>
        </w:tc>
      </w:tr>
      <w:tr w:rsidR="00C60C0D" w:rsidRPr="00E51A40" w:rsidTr="00160767">
        <w:tc>
          <w:tcPr>
            <w:tcW w:w="3120" w:type="pct"/>
          </w:tcPr>
          <w:p w:rsidR="00C60C0D" w:rsidRPr="004C74F9" w:rsidRDefault="00C60C0D" w:rsidP="00160767">
            <w:pPr>
              <w:snapToGrid w:val="0"/>
              <w:spacing w:after="12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Ensure a high level of protection of investment </w:t>
            </w:r>
          </w:p>
        </w:tc>
        <w:tc>
          <w:tcPr>
            <w:tcW w:w="625" w:type="pct"/>
          </w:tcPr>
          <w:p w:rsidR="00C60C0D" w:rsidRPr="004C74F9" w:rsidRDefault="00C60C0D" w:rsidP="00160767">
            <w:pPr>
              <w:pStyle w:val="Default"/>
              <w:spacing w:after="120"/>
              <w:jc w:val="center"/>
              <w:rPr>
                <w:sz w:val="20"/>
                <w:szCs w:val="20"/>
              </w:rPr>
            </w:pPr>
            <w:r w:rsidRPr="004C74F9">
              <w:rPr>
                <w:sz w:val="20"/>
                <w:szCs w:val="20"/>
              </w:rPr>
              <w:t>0</w:t>
            </w:r>
          </w:p>
        </w:tc>
        <w:tc>
          <w:tcPr>
            <w:tcW w:w="625" w:type="pct"/>
          </w:tcPr>
          <w:p w:rsidR="00C60C0D" w:rsidRPr="004C74F9" w:rsidRDefault="00C60C0D" w:rsidP="00160767">
            <w:pPr>
              <w:pStyle w:val="Default"/>
              <w:spacing w:after="120"/>
              <w:jc w:val="center"/>
              <w:rPr>
                <w:sz w:val="20"/>
                <w:szCs w:val="20"/>
              </w:rPr>
            </w:pPr>
            <w:r w:rsidRPr="004C74F9">
              <w:rPr>
                <w:sz w:val="20"/>
                <w:szCs w:val="20"/>
              </w:rPr>
              <w:t>+</w:t>
            </w:r>
          </w:p>
        </w:tc>
        <w:tc>
          <w:tcPr>
            <w:tcW w:w="630" w:type="pct"/>
          </w:tcPr>
          <w:p w:rsidR="00C60C0D" w:rsidRPr="004C74F9" w:rsidRDefault="00C60C0D" w:rsidP="00160767">
            <w:pPr>
              <w:pStyle w:val="Default"/>
              <w:spacing w:after="120"/>
              <w:jc w:val="center"/>
              <w:rPr>
                <w:sz w:val="20"/>
                <w:szCs w:val="20"/>
              </w:rPr>
            </w:pPr>
            <w:r>
              <w:rPr>
                <w:sz w:val="20"/>
                <w:szCs w:val="20"/>
              </w:rPr>
              <w:t>+</w:t>
            </w:r>
          </w:p>
        </w:tc>
      </w:tr>
      <w:tr w:rsidR="00C60C0D" w:rsidRPr="00E51A40" w:rsidTr="00160767">
        <w:tc>
          <w:tcPr>
            <w:tcW w:w="3120" w:type="pct"/>
          </w:tcPr>
          <w:p w:rsidR="00C60C0D" w:rsidRPr="004C74F9" w:rsidRDefault="00C60C0D" w:rsidP="00160767">
            <w:pPr>
              <w:snapToGrid w:val="0"/>
              <w:spacing w:after="120"/>
              <w:jc w:val="center"/>
              <w:rPr>
                <w:rFonts w:ascii="Times New Roman" w:hAnsi="Times New Roman" w:cs="Times New Roman"/>
                <w:sz w:val="20"/>
                <w:szCs w:val="20"/>
                <w:lang w:val="en-GB"/>
              </w:rPr>
            </w:pPr>
            <w:r>
              <w:rPr>
                <w:rFonts w:ascii="Times New Roman" w:hAnsi="Times New Roman" w:cs="Times New Roman"/>
                <w:sz w:val="20"/>
                <w:szCs w:val="20"/>
                <w:lang w:val="en-GB"/>
              </w:rPr>
              <w:t>Achieve better access to Chile's public procurement</w:t>
            </w:r>
          </w:p>
        </w:tc>
        <w:tc>
          <w:tcPr>
            <w:tcW w:w="625" w:type="pct"/>
          </w:tcPr>
          <w:p w:rsidR="00C60C0D" w:rsidRPr="00C60C0D" w:rsidRDefault="00C60C0D" w:rsidP="00160767">
            <w:pPr>
              <w:pStyle w:val="Default"/>
              <w:spacing w:after="120"/>
              <w:jc w:val="center"/>
              <w:rPr>
                <w:sz w:val="20"/>
                <w:szCs w:val="20"/>
                <w:lang w:val="en-GB"/>
              </w:rPr>
            </w:pPr>
            <w:r>
              <w:rPr>
                <w:sz w:val="20"/>
                <w:szCs w:val="20"/>
                <w:lang w:val="en-GB"/>
              </w:rPr>
              <w:t>0</w:t>
            </w:r>
          </w:p>
        </w:tc>
        <w:tc>
          <w:tcPr>
            <w:tcW w:w="625" w:type="pct"/>
          </w:tcPr>
          <w:p w:rsidR="00C60C0D" w:rsidRPr="00C60C0D" w:rsidRDefault="00C60C0D" w:rsidP="00160767">
            <w:pPr>
              <w:pStyle w:val="Default"/>
              <w:spacing w:after="120"/>
              <w:jc w:val="center"/>
              <w:rPr>
                <w:sz w:val="20"/>
                <w:szCs w:val="20"/>
                <w:lang w:val="en-GB"/>
              </w:rPr>
            </w:pPr>
            <w:r>
              <w:rPr>
                <w:sz w:val="20"/>
                <w:szCs w:val="20"/>
                <w:lang w:val="en-GB"/>
              </w:rPr>
              <w:t>+</w:t>
            </w:r>
          </w:p>
        </w:tc>
        <w:tc>
          <w:tcPr>
            <w:tcW w:w="630" w:type="pct"/>
          </w:tcPr>
          <w:p w:rsidR="00C60C0D" w:rsidRPr="00C60C0D" w:rsidRDefault="00C60C0D" w:rsidP="00160767">
            <w:pPr>
              <w:pStyle w:val="Default"/>
              <w:spacing w:after="120"/>
              <w:jc w:val="center"/>
              <w:rPr>
                <w:sz w:val="20"/>
                <w:szCs w:val="20"/>
                <w:lang w:val="en-GB"/>
              </w:rPr>
            </w:pPr>
            <w:r>
              <w:rPr>
                <w:sz w:val="20"/>
                <w:szCs w:val="20"/>
                <w:lang w:val="en-GB"/>
              </w:rPr>
              <w:t>+</w:t>
            </w:r>
          </w:p>
        </w:tc>
      </w:tr>
      <w:tr w:rsidR="00C60C0D" w:rsidRPr="00E51A40" w:rsidTr="0087670C">
        <w:tc>
          <w:tcPr>
            <w:tcW w:w="3120" w:type="pct"/>
            <w:vAlign w:val="center"/>
          </w:tcPr>
          <w:p w:rsidR="00C60C0D" w:rsidRPr="004C74F9" w:rsidRDefault="00C60C0D" w:rsidP="00A14E3B">
            <w:pPr>
              <w:snapToGrid w:val="0"/>
              <w:spacing w:after="120"/>
              <w:jc w:val="center"/>
              <w:rPr>
                <w:rFonts w:ascii="Times New Roman" w:hAnsi="Times New Roman" w:cs="Times New Roman"/>
                <w:sz w:val="20"/>
                <w:szCs w:val="20"/>
                <w:lang w:val="en-GB"/>
              </w:rPr>
            </w:pPr>
            <w:r>
              <w:rPr>
                <w:rFonts w:ascii="Times New Roman" w:hAnsi="Times New Roman" w:cs="Times New Roman"/>
                <w:sz w:val="20"/>
                <w:szCs w:val="20"/>
                <w:lang w:val="en-GB"/>
              </w:rPr>
              <w:t>Ensure a high level of protection of intellectual property rights</w:t>
            </w:r>
          </w:p>
        </w:tc>
        <w:tc>
          <w:tcPr>
            <w:tcW w:w="625" w:type="pct"/>
            <w:vAlign w:val="center"/>
          </w:tcPr>
          <w:p w:rsidR="00C60C0D" w:rsidRPr="004C74F9" w:rsidRDefault="00C60C0D" w:rsidP="0087670C">
            <w:pPr>
              <w:pStyle w:val="Default"/>
              <w:spacing w:after="120"/>
              <w:jc w:val="center"/>
              <w:rPr>
                <w:sz w:val="20"/>
                <w:szCs w:val="20"/>
              </w:rPr>
            </w:pPr>
            <w:r w:rsidRPr="004C74F9">
              <w:rPr>
                <w:sz w:val="20"/>
                <w:szCs w:val="20"/>
              </w:rPr>
              <w:t>0</w:t>
            </w:r>
          </w:p>
        </w:tc>
        <w:tc>
          <w:tcPr>
            <w:tcW w:w="625" w:type="pct"/>
            <w:vAlign w:val="center"/>
          </w:tcPr>
          <w:p w:rsidR="00C60C0D" w:rsidRPr="004C74F9" w:rsidRDefault="00C60C0D" w:rsidP="0087670C">
            <w:pPr>
              <w:pStyle w:val="Default"/>
              <w:spacing w:after="120"/>
              <w:jc w:val="center"/>
              <w:rPr>
                <w:sz w:val="20"/>
                <w:szCs w:val="20"/>
              </w:rPr>
            </w:pPr>
            <w:r w:rsidRPr="004C74F9">
              <w:rPr>
                <w:sz w:val="20"/>
                <w:szCs w:val="20"/>
              </w:rPr>
              <w:t>+</w:t>
            </w:r>
          </w:p>
        </w:tc>
        <w:tc>
          <w:tcPr>
            <w:tcW w:w="630" w:type="pct"/>
            <w:vAlign w:val="center"/>
          </w:tcPr>
          <w:p w:rsidR="00C60C0D" w:rsidRPr="004C74F9" w:rsidRDefault="00C60C0D" w:rsidP="0087670C">
            <w:pPr>
              <w:pStyle w:val="Default"/>
              <w:spacing w:after="120"/>
              <w:jc w:val="center"/>
              <w:rPr>
                <w:sz w:val="20"/>
                <w:szCs w:val="20"/>
              </w:rPr>
            </w:pPr>
            <w:r>
              <w:rPr>
                <w:sz w:val="20"/>
                <w:szCs w:val="20"/>
              </w:rPr>
              <w:t>+</w:t>
            </w:r>
          </w:p>
        </w:tc>
      </w:tr>
      <w:tr w:rsidR="00C60C0D" w:rsidRPr="00E51A40" w:rsidTr="0087670C">
        <w:tc>
          <w:tcPr>
            <w:tcW w:w="3120" w:type="pct"/>
            <w:vAlign w:val="center"/>
          </w:tcPr>
          <w:p w:rsidR="00C60C0D" w:rsidRPr="004C74F9" w:rsidRDefault="00C60C0D" w:rsidP="0087670C">
            <w:pPr>
              <w:snapToGrid w:val="0"/>
              <w:spacing w:after="120"/>
              <w:jc w:val="center"/>
              <w:rPr>
                <w:rFonts w:ascii="Times New Roman" w:hAnsi="Times New Roman" w:cs="Times New Roman"/>
                <w:sz w:val="20"/>
                <w:szCs w:val="20"/>
                <w:lang w:val="en-GB"/>
              </w:rPr>
            </w:pPr>
            <w:r>
              <w:rPr>
                <w:rFonts w:ascii="Times New Roman" w:hAnsi="Times New Roman" w:cs="Times New Roman"/>
                <w:sz w:val="20"/>
                <w:szCs w:val="20"/>
                <w:lang w:val="en-GB"/>
              </w:rPr>
              <w:t>Reinforce dialogue and cooperation on regulatory frameworks (including technical regulations and conformity assessment procedures)</w:t>
            </w:r>
          </w:p>
        </w:tc>
        <w:tc>
          <w:tcPr>
            <w:tcW w:w="625" w:type="pct"/>
            <w:vAlign w:val="center"/>
          </w:tcPr>
          <w:p w:rsidR="00C60C0D" w:rsidRPr="004C74F9" w:rsidRDefault="00C60C0D" w:rsidP="0087670C">
            <w:pPr>
              <w:pStyle w:val="Default"/>
              <w:spacing w:after="120"/>
              <w:jc w:val="center"/>
              <w:rPr>
                <w:sz w:val="20"/>
                <w:szCs w:val="20"/>
              </w:rPr>
            </w:pPr>
            <w:r w:rsidRPr="004C74F9">
              <w:rPr>
                <w:sz w:val="20"/>
                <w:szCs w:val="20"/>
              </w:rPr>
              <w:t>0</w:t>
            </w:r>
          </w:p>
        </w:tc>
        <w:tc>
          <w:tcPr>
            <w:tcW w:w="625" w:type="pct"/>
            <w:vAlign w:val="center"/>
          </w:tcPr>
          <w:p w:rsidR="00C60C0D" w:rsidRPr="004C74F9" w:rsidRDefault="00C60C0D" w:rsidP="0087670C">
            <w:pPr>
              <w:pStyle w:val="Default"/>
              <w:spacing w:after="120"/>
              <w:jc w:val="center"/>
              <w:rPr>
                <w:sz w:val="20"/>
                <w:szCs w:val="20"/>
              </w:rPr>
            </w:pPr>
            <w:r w:rsidRPr="004C74F9">
              <w:rPr>
                <w:sz w:val="20"/>
                <w:szCs w:val="20"/>
              </w:rPr>
              <w:t>+</w:t>
            </w:r>
          </w:p>
        </w:tc>
        <w:tc>
          <w:tcPr>
            <w:tcW w:w="630" w:type="pct"/>
            <w:vAlign w:val="center"/>
          </w:tcPr>
          <w:p w:rsidR="00C60C0D" w:rsidRPr="004C74F9" w:rsidRDefault="00C60C0D" w:rsidP="0087670C">
            <w:pPr>
              <w:pStyle w:val="Default"/>
              <w:spacing w:after="120"/>
              <w:jc w:val="center"/>
              <w:rPr>
                <w:sz w:val="20"/>
                <w:szCs w:val="20"/>
              </w:rPr>
            </w:pPr>
            <w:r>
              <w:rPr>
                <w:sz w:val="20"/>
                <w:szCs w:val="20"/>
              </w:rPr>
              <w:t>+</w:t>
            </w:r>
            <w:r w:rsidR="00CF7C98">
              <w:rPr>
                <w:sz w:val="20"/>
                <w:szCs w:val="20"/>
              </w:rPr>
              <w:t>+</w:t>
            </w:r>
          </w:p>
        </w:tc>
      </w:tr>
      <w:tr w:rsidR="00C60C0D" w:rsidRPr="00E51A40" w:rsidTr="0087670C">
        <w:tc>
          <w:tcPr>
            <w:tcW w:w="3120" w:type="pct"/>
            <w:vAlign w:val="center"/>
          </w:tcPr>
          <w:p w:rsidR="00C60C0D" w:rsidRPr="004C74F9" w:rsidRDefault="00C60C0D" w:rsidP="0087670C">
            <w:pPr>
              <w:snapToGrid w:val="0"/>
              <w:spacing w:after="120"/>
              <w:jc w:val="center"/>
              <w:rPr>
                <w:rFonts w:ascii="Times New Roman" w:hAnsi="Times New Roman" w:cs="Times New Roman"/>
                <w:sz w:val="20"/>
                <w:szCs w:val="20"/>
                <w:lang w:val="en-GB"/>
              </w:rPr>
            </w:pPr>
            <w:r>
              <w:rPr>
                <w:rFonts w:ascii="Times New Roman" w:hAnsi="Times New Roman" w:cs="Times New Roman"/>
                <w:sz w:val="20"/>
                <w:szCs w:val="20"/>
                <w:lang w:val="en-GB"/>
              </w:rPr>
              <w:t>Contribute to sustainable development by including trade-related provisions on labour and environment</w:t>
            </w:r>
          </w:p>
        </w:tc>
        <w:tc>
          <w:tcPr>
            <w:tcW w:w="625" w:type="pct"/>
            <w:vAlign w:val="center"/>
          </w:tcPr>
          <w:p w:rsidR="00C60C0D" w:rsidRPr="004C74F9" w:rsidRDefault="00C60C0D" w:rsidP="0087670C">
            <w:pPr>
              <w:pStyle w:val="Default"/>
              <w:spacing w:after="120"/>
              <w:jc w:val="center"/>
              <w:rPr>
                <w:sz w:val="20"/>
                <w:szCs w:val="20"/>
              </w:rPr>
            </w:pPr>
            <w:r>
              <w:rPr>
                <w:sz w:val="20"/>
                <w:szCs w:val="20"/>
              </w:rPr>
              <w:t>0</w:t>
            </w:r>
          </w:p>
        </w:tc>
        <w:tc>
          <w:tcPr>
            <w:tcW w:w="625" w:type="pct"/>
            <w:vAlign w:val="center"/>
          </w:tcPr>
          <w:p w:rsidR="00C60C0D" w:rsidRPr="004C74F9" w:rsidRDefault="00C60C0D" w:rsidP="0087670C">
            <w:pPr>
              <w:pStyle w:val="Default"/>
              <w:spacing w:after="120"/>
              <w:jc w:val="center"/>
              <w:rPr>
                <w:sz w:val="20"/>
                <w:szCs w:val="20"/>
              </w:rPr>
            </w:pPr>
            <w:r w:rsidRPr="004C74F9">
              <w:rPr>
                <w:sz w:val="20"/>
                <w:szCs w:val="20"/>
              </w:rPr>
              <w:t>+</w:t>
            </w:r>
          </w:p>
        </w:tc>
        <w:tc>
          <w:tcPr>
            <w:tcW w:w="630" w:type="pct"/>
            <w:vAlign w:val="center"/>
          </w:tcPr>
          <w:p w:rsidR="00C60C0D" w:rsidRPr="004C74F9" w:rsidRDefault="00C60C0D" w:rsidP="0087670C">
            <w:pPr>
              <w:pStyle w:val="Default"/>
              <w:spacing w:after="120"/>
              <w:jc w:val="center"/>
              <w:rPr>
                <w:sz w:val="20"/>
                <w:szCs w:val="20"/>
              </w:rPr>
            </w:pPr>
            <w:r>
              <w:rPr>
                <w:sz w:val="20"/>
                <w:szCs w:val="20"/>
              </w:rPr>
              <w:t>+</w:t>
            </w:r>
          </w:p>
        </w:tc>
      </w:tr>
      <w:tr w:rsidR="00C60C0D" w:rsidRPr="00E51A40" w:rsidTr="0087670C">
        <w:tc>
          <w:tcPr>
            <w:tcW w:w="3120" w:type="pct"/>
            <w:shd w:val="clear" w:color="auto" w:fill="F2F2F2" w:themeFill="background1" w:themeFillShade="F2"/>
            <w:vAlign w:val="center"/>
          </w:tcPr>
          <w:p w:rsidR="00C60C0D" w:rsidRPr="004C74F9" w:rsidRDefault="00C60C0D" w:rsidP="0087670C">
            <w:pPr>
              <w:pStyle w:val="Default"/>
              <w:spacing w:after="120"/>
              <w:jc w:val="center"/>
              <w:rPr>
                <w:b/>
                <w:sz w:val="20"/>
                <w:szCs w:val="20"/>
              </w:rPr>
            </w:pPr>
            <w:r w:rsidRPr="004C74F9">
              <w:rPr>
                <w:b/>
                <w:sz w:val="20"/>
                <w:szCs w:val="20"/>
              </w:rPr>
              <w:t>OVERALL EFFECTIVENESS</w:t>
            </w:r>
          </w:p>
        </w:tc>
        <w:tc>
          <w:tcPr>
            <w:tcW w:w="625" w:type="pct"/>
            <w:shd w:val="clear" w:color="auto" w:fill="F2F2F2" w:themeFill="background1" w:themeFillShade="F2"/>
            <w:vAlign w:val="center"/>
          </w:tcPr>
          <w:p w:rsidR="00C60C0D" w:rsidRPr="004C74F9" w:rsidRDefault="00C60C0D" w:rsidP="0087670C">
            <w:pPr>
              <w:pStyle w:val="Default"/>
              <w:spacing w:after="120"/>
              <w:jc w:val="center"/>
              <w:rPr>
                <w:b/>
                <w:sz w:val="20"/>
                <w:szCs w:val="20"/>
              </w:rPr>
            </w:pPr>
            <w:r w:rsidRPr="004C74F9">
              <w:rPr>
                <w:b/>
                <w:sz w:val="20"/>
                <w:szCs w:val="20"/>
              </w:rPr>
              <w:t>0/-</w:t>
            </w:r>
          </w:p>
        </w:tc>
        <w:tc>
          <w:tcPr>
            <w:tcW w:w="625" w:type="pct"/>
            <w:shd w:val="clear" w:color="auto" w:fill="F2F2F2" w:themeFill="background1" w:themeFillShade="F2"/>
            <w:vAlign w:val="center"/>
          </w:tcPr>
          <w:p w:rsidR="00C60C0D" w:rsidRPr="004C74F9" w:rsidRDefault="00C60C0D" w:rsidP="0087670C">
            <w:pPr>
              <w:pStyle w:val="Default"/>
              <w:spacing w:after="120"/>
              <w:jc w:val="center"/>
              <w:rPr>
                <w:b/>
                <w:sz w:val="20"/>
                <w:szCs w:val="20"/>
              </w:rPr>
            </w:pPr>
            <w:r w:rsidRPr="004C74F9">
              <w:rPr>
                <w:b/>
                <w:sz w:val="20"/>
                <w:szCs w:val="20"/>
              </w:rPr>
              <w:t>+</w:t>
            </w:r>
          </w:p>
        </w:tc>
        <w:tc>
          <w:tcPr>
            <w:tcW w:w="630" w:type="pct"/>
            <w:shd w:val="clear" w:color="auto" w:fill="F2F2F2" w:themeFill="background1" w:themeFillShade="F2"/>
            <w:vAlign w:val="center"/>
          </w:tcPr>
          <w:p w:rsidR="00C60C0D" w:rsidRPr="004C74F9" w:rsidRDefault="00C60C0D" w:rsidP="0087670C">
            <w:pPr>
              <w:pStyle w:val="Default"/>
              <w:spacing w:after="120"/>
              <w:jc w:val="center"/>
              <w:rPr>
                <w:b/>
                <w:sz w:val="20"/>
                <w:szCs w:val="20"/>
              </w:rPr>
            </w:pPr>
            <w:r w:rsidRPr="004C74F9">
              <w:rPr>
                <w:b/>
                <w:sz w:val="20"/>
                <w:szCs w:val="20"/>
              </w:rPr>
              <w:t>++</w:t>
            </w:r>
          </w:p>
        </w:tc>
      </w:tr>
      <w:tr w:rsidR="00C60C0D" w:rsidRPr="00E51A40" w:rsidTr="0087670C">
        <w:tc>
          <w:tcPr>
            <w:tcW w:w="3120" w:type="pct"/>
            <w:vAlign w:val="center"/>
          </w:tcPr>
          <w:p w:rsidR="00C60C0D" w:rsidRPr="004C74F9" w:rsidRDefault="00C60C0D" w:rsidP="0087670C">
            <w:pPr>
              <w:pStyle w:val="Default"/>
              <w:spacing w:after="120"/>
              <w:jc w:val="center"/>
              <w:rPr>
                <w:sz w:val="20"/>
                <w:szCs w:val="20"/>
                <w:lang w:val="en-GB"/>
              </w:rPr>
            </w:pPr>
            <w:r w:rsidRPr="004C74F9">
              <w:rPr>
                <w:sz w:val="20"/>
                <w:szCs w:val="20"/>
                <w:lang w:val="en-GB"/>
              </w:rPr>
              <w:t>Efficiency (time and resources spent in relation to estimated effectiveness)</w:t>
            </w:r>
          </w:p>
        </w:tc>
        <w:tc>
          <w:tcPr>
            <w:tcW w:w="625" w:type="pct"/>
            <w:vAlign w:val="center"/>
          </w:tcPr>
          <w:p w:rsidR="00C60C0D" w:rsidRPr="004C74F9" w:rsidRDefault="00C60C0D" w:rsidP="0087670C">
            <w:pPr>
              <w:pStyle w:val="Default"/>
              <w:spacing w:after="120"/>
              <w:jc w:val="center"/>
              <w:rPr>
                <w:sz w:val="20"/>
                <w:szCs w:val="20"/>
              </w:rPr>
            </w:pPr>
            <w:r w:rsidRPr="004C74F9">
              <w:rPr>
                <w:sz w:val="20"/>
                <w:szCs w:val="20"/>
              </w:rPr>
              <w:t>0</w:t>
            </w:r>
          </w:p>
        </w:tc>
        <w:tc>
          <w:tcPr>
            <w:tcW w:w="625" w:type="pct"/>
            <w:vAlign w:val="center"/>
          </w:tcPr>
          <w:p w:rsidR="00C60C0D" w:rsidRPr="004C74F9" w:rsidRDefault="00C60C0D" w:rsidP="0087670C">
            <w:pPr>
              <w:pStyle w:val="Default"/>
              <w:spacing w:after="120"/>
              <w:jc w:val="center"/>
              <w:rPr>
                <w:sz w:val="20"/>
                <w:szCs w:val="20"/>
              </w:rPr>
            </w:pPr>
            <w:r w:rsidRPr="004C74F9">
              <w:rPr>
                <w:sz w:val="20"/>
                <w:szCs w:val="20"/>
              </w:rPr>
              <w:t>+</w:t>
            </w:r>
          </w:p>
        </w:tc>
        <w:tc>
          <w:tcPr>
            <w:tcW w:w="630" w:type="pct"/>
            <w:vAlign w:val="center"/>
          </w:tcPr>
          <w:p w:rsidR="00C60C0D" w:rsidRPr="004C74F9" w:rsidRDefault="00C60C0D" w:rsidP="0087670C">
            <w:pPr>
              <w:pStyle w:val="Default"/>
              <w:spacing w:after="120"/>
              <w:jc w:val="center"/>
              <w:rPr>
                <w:sz w:val="20"/>
                <w:szCs w:val="20"/>
              </w:rPr>
            </w:pPr>
            <w:r w:rsidRPr="004C74F9">
              <w:rPr>
                <w:sz w:val="20"/>
                <w:szCs w:val="20"/>
              </w:rPr>
              <w:t>++</w:t>
            </w:r>
          </w:p>
        </w:tc>
      </w:tr>
      <w:tr w:rsidR="00C60C0D" w:rsidRPr="00E51A40" w:rsidTr="0087670C">
        <w:tc>
          <w:tcPr>
            <w:tcW w:w="3120" w:type="pct"/>
            <w:vAlign w:val="center"/>
          </w:tcPr>
          <w:p w:rsidR="00C60C0D" w:rsidRPr="004C74F9" w:rsidRDefault="00C60C0D" w:rsidP="0087670C">
            <w:pPr>
              <w:pStyle w:val="Default"/>
              <w:spacing w:after="120"/>
              <w:jc w:val="center"/>
              <w:rPr>
                <w:sz w:val="20"/>
                <w:szCs w:val="20"/>
                <w:lang w:val="en-GB"/>
              </w:rPr>
            </w:pPr>
            <w:r w:rsidRPr="004C74F9">
              <w:rPr>
                <w:sz w:val="20"/>
                <w:szCs w:val="20"/>
                <w:lang w:val="en-GB"/>
              </w:rPr>
              <w:t>Coherence with overarching EU policy objectives (for example, outlined in the EU 2020 strategy)</w:t>
            </w:r>
          </w:p>
        </w:tc>
        <w:tc>
          <w:tcPr>
            <w:tcW w:w="625" w:type="pct"/>
            <w:vAlign w:val="center"/>
          </w:tcPr>
          <w:p w:rsidR="00C60C0D" w:rsidRPr="004C74F9" w:rsidRDefault="00C60C0D" w:rsidP="0087670C">
            <w:pPr>
              <w:pStyle w:val="Default"/>
              <w:spacing w:after="120"/>
              <w:jc w:val="center"/>
              <w:rPr>
                <w:sz w:val="20"/>
                <w:szCs w:val="20"/>
              </w:rPr>
            </w:pPr>
            <w:r w:rsidRPr="004C74F9">
              <w:rPr>
                <w:sz w:val="20"/>
                <w:szCs w:val="20"/>
              </w:rPr>
              <w:t>0/-</w:t>
            </w:r>
          </w:p>
        </w:tc>
        <w:tc>
          <w:tcPr>
            <w:tcW w:w="625" w:type="pct"/>
            <w:vAlign w:val="center"/>
          </w:tcPr>
          <w:p w:rsidR="00C60C0D" w:rsidRPr="004C74F9" w:rsidRDefault="00C60C0D" w:rsidP="0087670C">
            <w:pPr>
              <w:pStyle w:val="Default"/>
              <w:spacing w:after="120"/>
              <w:jc w:val="center"/>
              <w:rPr>
                <w:sz w:val="20"/>
                <w:szCs w:val="20"/>
              </w:rPr>
            </w:pPr>
            <w:r w:rsidRPr="004C74F9">
              <w:rPr>
                <w:sz w:val="20"/>
                <w:szCs w:val="20"/>
              </w:rPr>
              <w:t>+</w:t>
            </w:r>
          </w:p>
        </w:tc>
        <w:tc>
          <w:tcPr>
            <w:tcW w:w="630" w:type="pct"/>
            <w:vAlign w:val="center"/>
          </w:tcPr>
          <w:p w:rsidR="00C60C0D" w:rsidRPr="004C74F9" w:rsidRDefault="00C60C0D" w:rsidP="0087670C">
            <w:pPr>
              <w:pStyle w:val="Default"/>
              <w:spacing w:after="120"/>
              <w:jc w:val="center"/>
              <w:rPr>
                <w:sz w:val="20"/>
                <w:szCs w:val="20"/>
              </w:rPr>
            </w:pPr>
            <w:r w:rsidRPr="004C74F9">
              <w:rPr>
                <w:sz w:val="20"/>
                <w:szCs w:val="20"/>
              </w:rPr>
              <w:t>++</w:t>
            </w:r>
          </w:p>
        </w:tc>
      </w:tr>
      <w:tr w:rsidR="00C60C0D" w:rsidRPr="00E51A40" w:rsidTr="0087670C">
        <w:tc>
          <w:tcPr>
            <w:tcW w:w="3120" w:type="pct"/>
            <w:vAlign w:val="center"/>
          </w:tcPr>
          <w:p w:rsidR="00C60C0D" w:rsidRPr="004C74F9" w:rsidRDefault="00C60C0D" w:rsidP="0087670C">
            <w:pPr>
              <w:pStyle w:val="Default"/>
              <w:spacing w:after="120"/>
              <w:jc w:val="center"/>
              <w:rPr>
                <w:sz w:val="20"/>
                <w:szCs w:val="20"/>
                <w:lang w:val="en-GB"/>
              </w:rPr>
            </w:pPr>
            <w:r w:rsidRPr="004C74F9">
              <w:rPr>
                <w:sz w:val="20"/>
                <w:szCs w:val="20"/>
                <w:lang w:val="en-GB"/>
              </w:rPr>
              <w:t>Gains from simplification effects (e.g. through NTB reduction)</w:t>
            </w:r>
          </w:p>
        </w:tc>
        <w:tc>
          <w:tcPr>
            <w:tcW w:w="625" w:type="pct"/>
            <w:vAlign w:val="center"/>
          </w:tcPr>
          <w:p w:rsidR="00C60C0D" w:rsidRPr="004C74F9" w:rsidRDefault="00C60C0D" w:rsidP="0087670C">
            <w:pPr>
              <w:pStyle w:val="Default"/>
              <w:spacing w:after="120"/>
              <w:jc w:val="center"/>
              <w:rPr>
                <w:sz w:val="20"/>
                <w:szCs w:val="20"/>
                <w:lang w:val="en-GB"/>
              </w:rPr>
            </w:pPr>
            <w:r w:rsidRPr="004C74F9">
              <w:rPr>
                <w:sz w:val="20"/>
                <w:szCs w:val="20"/>
                <w:lang w:val="en-GB"/>
              </w:rPr>
              <w:t>0</w:t>
            </w:r>
          </w:p>
        </w:tc>
        <w:tc>
          <w:tcPr>
            <w:tcW w:w="625" w:type="pct"/>
            <w:vAlign w:val="center"/>
          </w:tcPr>
          <w:p w:rsidR="00C60C0D" w:rsidRPr="004C74F9" w:rsidRDefault="00C60C0D" w:rsidP="0087670C">
            <w:pPr>
              <w:pStyle w:val="Default"/>
              <w:spacing w:after="120"/>
              <w:jc w:val="center"/>
              <w:rPr>
                <w:sz w:val="20"/>
                <w:szCs w:val="20"/>
                <w:lang w:val="en-GB"/>
              </w:rPr>
            </w:pPr>
            <w:r w:rsidRPr="004C74F9">
              <w:rPr>
                <w:sz w:val="20"/>
                <w:szCs w:val="20"/>
                <w:lang w:val="en-GB"/>
              </w:rPr>
              <w:t>+</w:t>
            </w:r>
          </w:p>
        </w:tc>
        <w:tc>
          <w:tcPr>
            <w:tcW w:w="630" w:type="pct"/>
            <w:vAlign w:val="center"/>
          </w:tcPr>
          <w:p w:rsidR="00C60C0D" w:rsidRPr="004C74F9" w:rsidRDefault="00C60C0D" w:rsidP="0087670C">
            <w:pPr>
              <w:pStyle w:val="Default"/>
              <w:spacing w:after="120"/>
              <w:jc w:val="center"/>
              <w:rPr>
                <w:sz w:val="20"/>
                <w:szCs w:val="20"/>
                <w:lang w:val="en-GB"/>
              </w:rPr>
            </w:pPr>
            <w:r w:rsidRPr="004C74F9">
              <w:rPr>
                <w:sz w:val="20"/>
                <w:szCs w:val="20"/>
                <w:lang w:val="en-GB"/>
              </w:rPr>
              <w:t>++</w:t>
            </w:r>
          </w:p>
        </w:tc>
      </w:tr>
    </w:tbl>
    <w:p w:rsidR="00FD3C27" w:rsidRDefault="00FD3C27" w:rsidP="00A23186">
      <w:pPr>
        <w:snapToGrid w:val="0"/>
        <w:spacing w:after="120" w:line="240" w:lineRule="auto"/>
        <w:ind w:firstLine="360"/>
        <w:jc w:val="both"/>
        <w:rPr>
          <w:rFonts w:ascii="Times New Roman" w:hAnsi="Times New Roman" w:cs="Times New Roman"/>
          <w:color w:val="000000"/>
        </w:rPr>
      </w:pPr>
    </w:p>
    <w:p w:rsidR="00D47EE2" w:rsidRDefault="00D47EE2" w:rsidP="00A23186">
      <w:pPr>
        <w:snapToGrid w:val="0"/>
        <w:spacing w:after="120" w:line="240" w:lineRule="auto"/>
        <w:ind w:firstLine="360"/>
        <w:jc w:val="both"/>
        <w:rPr>
          <w:rFonts w:ascii="Times New Roman" w:hAnsi="Times New Roman" w:cs="Times New Roman"/>
          <w:color w:val="000000"/>
        </w:rPr>
      </w:pPr>
    </w:p>
    <w:p w:rsidR="00A23186" w:rsidRPr="00EF2F39" w:rsidRDefault="00A23186" w:rsidP="00882520">
      <w:pPr>
        <w:pStyle w:val="Heading2"/>
        <w:numPr>
          <w:ilvl w:val="1"/>
          <w:numId w:val="56"/>
        </w:numPr>
        <w:rPr>
          <w:u w:val="single"/>
        </w:rPr>
      </w:pPr>
      <w:bookmarkStart w:id="70" w:name="_Toc473123102"/>
      <w:r w:rsidRPr="00EF2F39">
        <w:rPr>
          <w:u w:val="single"/>
        </w:rPr>
        <w:t>Identification of a preferred policy option</w:t>
      </w:r>
      <w:bookmarkEnd w:id="70"/>
      <w:r w:rsidRPr="00EF2F39">
        <w:rPr>
          <w:u w:val="single"/>
        </w:rPr>
        <w:t xml:space="preserve"> </w:t>
      </w:r>
    </w:p>
    <w:p w:rsidR="00302A40" w:rsidRDefault="00302A40" w:rsidP="00A23186">
      <w:pPr>
        <w:snapToGrid w:val="0"/>
        <w:spacing w:after="120" w:line="240" w:lineRule="auto"/>
        <w:jc w:val="both"/>
        <w:rPr>
          <w:rFonts w:ascii="Times New Roman" w:hAnsi="Times New Roman" w:cs="Times New Roman"/>
          <w:sz w:val="24"/>
          <w:szCs w:val="24"/>
        </w:rPr>
      </w:pPr>
    </w:p>
    <w:p w:rsidR="00C60C0D" w:rsidRDefault="00C60C0D" w:rsidP="00C60C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924153">
        <w:rPr>
          <w:rFonts w:ascii="Times New Roman" w:hAnsi="Times New Roman" w:cs="Times New Roman"/>
          <w:bCs/>
          <w:sz w:val="24"/>
          <w:szCs w:val="24"/>
        </w:rPr>
        <w:t>hen looking at the tabul</w:t>
      </w:r>
      <w:r>
        <w:rPr>
          <w:rFonts w:ascii="Times New Roman" w:hAnsi="Times New Roman" w:cs="Times New Roman"/>
          <w:bCs/>
          <w:sz w:val="24"/>
          <w:szCs w:val="24"/>
        </w:rPr>
        <w:t xml:space="preserve">ar presentation in </w:t>
      </w:r>
      <w:r w:rsidR="00CF7C98">
        <w:rPr>
          <w:rFonts w:ascii="Times New Roman" w:hAnsi="Times New Roman" w:cs="Times New Roman"/>
          <w:bCs/>
          <w:sz w:val="24"/>
          <w:szCs w:val="24"/>
        </w:rPr>
        <w:t>sub-section</w:t>
      </w:r>
      <w:r>
        <w:rPr>
          <w:rFonts w:ascii="Times New Roman" w:hAnsi="Times New Roman" w:cs="Times New Roman"/>
          <w:bCs/>
          <w:sz w:val="24"/>
          <w:szCs w:val="24"/>
        </w:rPr>
        <w:t xml:space="preserve"> 6.2,</w:t>
      </w:r>
      <w:r w:rsidRPr="00197252">
        <w:rPr>
          <w:rFonts w:ascii="Times New Roman" w:hAnsi="Times New Roman" w:cs="Times New Roman"/>
          <w:bCs/>
          <w:sz w:val="24"/>
          <w:szCs w:val="24"/>
        </w:rPr>
        <w:t xml:space="preserve"> </w:t>
      </w:r>
      <w:r>
        <w:rPr>
          <w:rFonts w:ascii="Times New Roman" w:hAnsi="Times New Roman" w:cs="Times New Roman"/>
          <w:bCs/>
          <w:sz w:val="24"/>
          <w:szCs w:val="24"/>
        </w:rPr>
        <w:t>option C appears as the preferabl</w:t>
      </w:r>
      <w:r w:rsidRPr="00924153">
        <w:rPr>
          <w:rFonts w:ascii="Times New Roman" w:hAnsi="Times New Roman" w:cs="Times New Roman"/>
          <w:bCs/>
          <w:sz w:val="24"/>
          <w:szCs w:val="24"/>
        </w:rPr>
        <w:t xml:space="preserve">e </w:t>
      </w:r>
      <w:r>
        <w:rPr>
          <w:rFonts w:ascii="Times New Roman" w:hAnsi="Times New Roman" w:cs="Times New Roman"/>
          <w:bCs/>
          <w:sz w:val="24"/>
          <w:szCs w:val="24"/>
        </w:rPr>
        <w:t>option. E</w:t>
      </w:r>
      <w:r w:rsidRPr="00924153">
        <w:rPr>
          <w:rFonts w:ascii="Times New Roman" w:hAnsi="Times New Roman" w:cs="Times New Roman"/>
          <w:bCs/>
          <w:sz w:val="24"/>
          <w:szCs w:val="24"/>
        </w:rPr>
        <w:t xml:space="preserve">ach of the </w:t>
      </w:r>
      <w:r>
        <w:rPr>
          <w:rFonts w:ascii="Times New Roman" w:hAnsi="Times New Roman" w:cs="Times New Roman"/>
          <w:bCs/>
          <w:sz w:val="24"/>
          <w:szCs w:val="24"/>
        </w:rPr>
        <w:t>two sub-scenarios of option C</w:t>
      </w:r>
      <w:r w:rsidRPr="00924153">
        <w:rPr>
          <w:rFonts w:ascii="Times New Roman" w:hAnsi="Times New Roman" w:cs="Times New Roman"/>
          <w:bCs/>
          <w:sz w:val="24"/>
          <w:szCs w:val="24"/>
        </w:rPr>
        <w:t xml:space="preserve"> would be preferable to </w:t>
      </w:r>
      <w:r>
        <w:rPr>
          <w:rFonts w:ascii="Times New Roman" w:hAnsi="Times New Roman" w:cs="Times New Roman"/>
          <w:bCs/>
          <w:sz w:val="24"/>
          <w:szCs w:val="24"/>
        </w:rPr>
        <w:t>the baseline scenario (o</w:t>
      </w:r>
      <w:r w:rsidRPr="00924153">
        <w:rPr>
          <w:rFonts w:ascii="Times New Roman" w:hAnsi="Times New Roman" w:cs="Times New Roman"/>
          <w:bCs/>
          <w:sz w:val="24"/>
          <w:szCs w:val="24"/>
        </w:rPr>
        <w:t>ption A</w:t>
      </w:r>
      <w:r>
        <w:rPr>
          <w:rFonts w:ascii="Times New Roman" w:hAnsi="Times New Roman" w:cs="Times New Roman"/>
          <w:bCs/>
          <w:sz w:val="24"/>
          <w:szCs w:val="24"/>
        </w:rPr>
        <w:t>)</w:t>
      </w:r>
      <w:r w:rsidRPr="00924153">
        <w:rPr>
          <w:rFonts w:ascii="Times New Roman" w:hAnsi="Times New Roman" w:cs="Times New Roman"/>
          <w:bCs/>
          <w:sz w:val="24"/>
          <w:szCs w:val="24"/>
        </w:rPr>
        <w:t xml:space="preserve"> </w:t>
      </w:r>
      <w:r w:rsidR="00F0331D">
        <w:rPr>
          <w:rFonts w:ascii="Times New Roman" w:hAnsi="Times New Roman" w:cs="Times New Roman"/>
          <w:bCs/>
          <w:sz w:val="24"/>
          <w:szCs w:val="24"/>
        </w:rPr>
        <w:t>for all criteria</w:t>
      </w:r>
      <w:r w:rsidRPr="00924153">
        <w:rPr>
          <w:rFonts w:ascii="Times New Roman" w:hAnsi="Times New Roman" w:cs="Times New Roman"/>
          <w:bCs/>
          <w:sz w:val="24"/>
          <w:szCs w:val="24"/>
        </w:rPr>
        <w:t xml:space="preserve"> </w:t>
      </w:r>
      <w:r>
        <w:rPr>
          <w:rFonts w:ascii="Times New Roman" w:hAnsi="Times New Roman" w:cs="Times New Roman"/>
          <w:bCs/>
          <w:sz w:val="24"/>
          <w:szCs w:val="24"/>
        </w:rPr>
        <w:t>(general objectives, specific objectives and overall</w:t>
      </w:r>
      <w:r w:rsidRPr="00924153">
        <w:rPr>
          <w:rFonts w:ascii="Times New Roman" w:hAnsi="Times New Roman" w:cs="Times New Roman"/>
          <w:bCs/>
          <w:sz w:val="24"/>
          <w:szCs w:val="24"/>
        </w:rPr>
        <w:t xml:space="preserve"> effectiveness</w:t>
      </w:r>
      <w:r>
        <w:rPr>
          <w:rFonts w:ascii="Times New Roman" w:hAnsi="Times New Roman" w:cs="Times New Roman"/>
          <w:bCs/>
          <w:sz w:val="24"/>
          <w:szCs w:val="24"/>
        </w:rPr>
        <w:t>).</w:t>
      </w:r>
    </w:p>
    <w:p w:rsidR="00C60C0D" w:rsidRPr="00E851A2" w:rsidRDefault="00C60C0D" w:rsidP="00C60C0D">
      <w:pPr>
        <w:spacing w:after="0" w:line="240" w:lineRule="auto"/>
        <w:jc w:val="both"/>
        <w:rPr>
          <w:rFonts w:ascii="Times New Roman" w:hAnsi="Times New Roman" w:cs="Times New Roman"/>
          <w:bCs/>
          <w:sz w:val="16"/>
          <w:szCs w:val="16"/>
        </w:rPr>
      </w:pPr>
    </w:p>
    <w:p w:rsidR="00E52BB4" w:rsidRDefault="00C60C0D" w:rsidP="00C60C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Furthermore, </w:t>
      </w:r>
      <w:r w:rsidR="00EF2F39">
        <w:rPr>
          <w:rFonts w:ascii="Times New Roman" w:hAnsi="Times New Roman" w:cs="Times New Roman"/>
          <w:bCs/>
          <w:sz w:val="24"/>
          <w:szCs w:val="24"/>
        </w:rPr>
        <w:t>the ambitious C</w:t>
      </w:r>
      <w:r w:rsidR="00C31A8E">
        <w:rPr>
          <w:rFonts w:ascii="Times New Roman" w:hAnsi="Times New Roman" w:cs="Times New Roman"/>
          <w:bCs/>
          <w:sz w:val="24"/>
          <w:szCs w:val="24"/>
        </w:rPr>
        <w:t>2</w:t>
      </w:r>
      <w:r w:rsidR="00EF2F39">
        <w:rPr>
          <w:rFonts w:ascii="Times New Roman" w:hAnsi="Times New Roman" w:cs="Times New Roman"/>
          <w:bCs/>
          <w:sz w:val="24"/>
          <w:szCs w:val="24"/>
        </w:rPr>
        <w:t xml:space="preserve"> scenario </w:t>
      </w:r>
      <w:r>
        <w:rPr>
          <w:rFonts w:ascii="Times New Roman" w:hAnsi="Times New Roman" w:cs="Times New Roman"/>
          <w:bCs/>
          <w:sz w:val="24"/>
          <w:szCs w:val="24"/>
        </w:rPr>
        <w:t xml:space="preserve">would be more beneficial for </w:t>
      </w:r>
      <w:r w:rsidR="00EF2F39">
        <w:rPr>
          <w:rFonts w:ascii="Times New Roman" w:hAnsi="Times New Roman" w:cs="Times New Roman"/>
          <w:bCs/>
          <w:sz w:val="24"/>
          <w:szCs w:val="24"/>
        </w:rPr>
        <w:t>some of the specific objectives (market-access related) and in terms of overall effectiveness</w:t>
      </w:r>
      <w:r w:rsidR="00E52BB4">
        <w:rPr>
          <w:rFonts w:ascii="Times New Roman" w:hAnsi="Times New Roman" w:cs="Times New Roman"/>
          <w:bCs/>
          <w:sz w:val="24"/>
          <w:szCs w:val="24"/>
        </w:rPr>
        <w:t>, including in terms of simplification gains, which would be particularly beneficial for SMEs.</w:t>
      </w:r>
      <w:r w:rsidR="00EF2F39">
        <w:rPr>
          <w:rFonts w:ascii="Times New Roman" w:hAnsi="Times New Roman" w:cs="Times New Roman"/>
          <w:bCs/>
          <w:sz w:val="24"/>
          <w:szCs w:val="24"/>
        </w:rPr>
        <w:t xml:space="preserve"> </w:t>
      </w:r>
    </w:p>
    <w:p w:rsidR="00E52BB4" w:rsidRPr="00E851A2" w:rsidRDefault="00E52BB4" w:rsidP="00C60C0D">
      <w:pPr>
        <w:spacing w:after="0" w:line="240" w:lineRule="auto"/>
        <w:jc w:val="both"/>
        <w:rPr>
          <w:rFonts w:ascii="Times New Roman" w:hAnsi="Times New Roman" w:cs="Times New Roman"/>
          <w:bCs/>
          <w:sz w:val="16"/>
          <w:szCs w:val="16"/>
        </w:rPr>
      </w:pPr>
    </w:p>
    <w:p w:rsidR="00C60C0D" w:rsidRDefault="007B1B49" w:rsidP="00C60C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Therefore</w:t>
      </w:r>
      <w:r w:rsidR="00C60C0D" w:rsidRPr="00924153">
        <w:rPr>
          <w:rFonts w:ascii="Times New Roman" w:hAnsi="Times New Roman" w:cs="Times New Roman"/>
          <w:bCs/>
          <w:sz w:val="24"/>
          <w:szCs w:val="24"/>
        </w:rPr>
        <w:t xml:space="preserve">, the preferred option </w:t>
      </w:r>
      <w:r w:rsidR="00C60C0D">
        <w:rPr>
          <w:rFonts w:ascii="Times New Roman" w:hAnsi="Times New Roman" w:cs="Times New Roman"/>
          <w:bCs/>
          <w:sz w:val="24"/>
          <w:szCs w:val="24"/>
        </w:rPr>
        <w:t>f</w:t>
      </w:r>
      <w:r w:rsidR="00C60C0D" w:rsidRPr="00924153">
        <w:rPr>
          <w:rFonts w:ascii="Times New Roman" w:hAnsi="Times New Roman" w:cs="Times New Roman"/>
          <w:bCs/>
          <w:sz w:val="24"/>
          <w:szCs w:val="24"/>
        </w:rPr>
        <w:t xml:space="preserve">or the EU would be to enter into </w:t>
      </w:r>
      <w:r w:rsidR="00C60C0D">
        <w:rPr>
          <w:rFonts w:ascii="Times New Roman" w:hAnsi="Times New Roman" w:cs="Times New Roman"/>
          <w:bCs/>
          <w:sz w:val="24"/>
          <w:szCs w:val="24"/>
        </w:rPr>
        <w:t>a comprehensive and ambitious modernisation of the</w:t>
      </w:r>
      <w:r>
        <w:rPr>
          <w:rFonts w:ascii="Times New Roman" w:hAnsi="Times New Roman" w:cs="Times New Roman"/>
          <w:bCs/>
          <w:sz w:val="24"/>
          <w:szCs w:val="24"/>
        </w:rPr>
        <w:t xml:space="preserve"> trade pillar of the</w:t>
      </w:r>
      <w:r w:rsidR="00C60C0D">
        <w:rPr>
          <w:rFonts w:ascii="Times New Roman" w:hAnsi="Times New Roman" w:cs="Times New Roman"/>
          <w:bCs/>
          <w:sz w:val="24"/>
          <w:szCs w:val="24"/>
        </w:rPr>
        <w:t xml:space="preserve"> EU-Chile </w:t>
      </w:r>
      <w:r>
        <w:rPr>
          <w:rFonts w:ascii="Times New Roman" w:hAnsi="Times New Roman" w:cs="Times New Roman"/>
          <w:bCs/>
          <w:sz w:val="24"/>
          <w:szCs w:val="24"/>
        </w:rPr>
        <w:t xml:space="preserve">Association </w:t>
      </w:r>
      <w:r w:rsidR="00F56784">
        <w:rPr>
          <w:rFonts w:ascii="Times New Roman" w:hAnsi="Times New Roman" w:cs="Times New Roman"/>
          <w:bCs/>
          <w:sz w:val="24"/>
          <w:szCs w:val="24"/>
        </w:rPr>
        <w:t>Agreement –</w:t>
      </w:r>
      <w:r w:rsidR="00F56784" w:rsidRPr="009D760B">
        <w:rPr>
          <w:rFonts w:ascii="Times New Roman" w:hAnsi="Times New Roman"/>
          <w:sz w:val="24"/>
          <w:szCs w:val="24"/>
          <w:lang w:eastAsia="en-GB"/>
        </w:rPr>
        <w:t>acknowledging the existence of some sensitivities for which appropriate treatment would be considered</w:t>
      </w:r>
      <w:r w:rsidR="00F56784">
        <w:rPr>
          <w:rFonts w:ascii="Times New Roman" w:hAnsi="Times New Roman"/>
          <w:sz w:val="24"/>
          <w:szCs w:val="24"/>
          <w:lang w:eastAsia="en-GB"/>
        </w:rPr>
        <w:t>,</w:t>
      </w:r>
      <w:r w:rsidR="00C60C0D">
        <w:rPr>
          <w:rFonts w:ascii="Times New Roman" w:hAnsi="Times New Roman" w:cs="Times New Roman"/>
          <w:bCs/>
          <w:sz w:val="24"/>
          <w:szCs w:val="24"/>
        </w:rPr>
        <w:t xml:space="preserve"> in accordance with the outcome of </w:t>
      </w:r>
      <w:r w:rsidR="00C60C0D" w:rsidRPr="00924153">
        <w:rPr>
          <w:rFonts w:ascii="Times New Roman" w:hAnsi="Times New Roman" w:cs="Times New Roman"/>
          <w:bCs/>
          <w:sz w:val="24"/>
          <w:szCs w:val="24"/>
        </w:rPr>
        <w:t>the scoping exercise</w:t>
      </w:r>
      <w:r w:rsidR="003A695E">
        <w:rPr>
          <w:rFonts w:ascii="Times New Roman" w:hAnsi="Times New Roman" w:cs="Times New Roman"/>
          <w:bCs/>
          <w:sz w:val="24"/>
          <w:szCs w:val="24"/>
        </w:rPr>
        <w:t xml:space="preserve"> – something </w:t>
      </w:r>
      <w:r w:rsidR="00C60C0D">
        <w:rPr>
          <w:rFonts w:ascii="Times New Roman" w:hAnsi="Times New Roman" w:cs="Times New Roman"/>
          <w:bCs/>
          <w:sz w:val="24"/>
          <w:szCs w:val="24"/>
        </w:rPr>
        <w:t xml:space="preserve">which </w:t>
      </w:r>
      <w:r w:rsidR="003A695E">
        <w:rPr>
          <w:rFonts w:ascii="Times New Roman" w:hAnsi="Times New Roman" w:cs="Times New Roman"/>
          <w:bCs/>
          <w:sz w:val="24"/>
          <w:szCs w:val="24"/>
        </w:rPr>
        <w:t xml:space="preserve">would also be consistent with </w:t>
      </w:r>
      <w:r w:rsidR="00C60C0D">
        <w:rPr>
          <w:rFonts w:ascii="Times New Roman" w:hAnsi="Times New Roman" w:cs="Times New Roman"/>
          <w:bCs/>
          <w:sz w:val="24"/>
          <w:szCs w:val="24"/>
        </w:rPr>
        <w:t xml:space="preserve">Chile's political will to opt also for </w:t>
      </w:r>
      <w:r>
        <w:rPr>
          <w:rFonts w:ascii="Times New Roman" w:hAnsi="Times New Roman" w:cs="Times New Roman"/>
          <w:bCs/>
          <w:sz w:val="24"/>
          <w:szCs w:val="24"/>
        </w:rPr>
        <w:t xml:space="preserve">a high </w:t>
      </w:r>
      <w:r w:rsidR="00C60C0D">
        <w:rPr>
          <w:rFonts w:ascii="Times New Roman" w:hAnsi="Times New Roman" w:cs="Times New Roman"/>
          <w:bCs/>
          <w:sz w:val="24"/>
          <w:szCs w:val="24"/>
        </w:rPr>
        <w:t xml:space="preserve">level of ambition. </w:t>
      </w:r>
    </w:p>
    <w:p w:rsidR="00C60C0D" w:rsidRPr="00E851A2" w:rsidRDefault="00C60C0D" w:rsidP="00C60C0D">
      <w:pPr>
        <w:spacing w:after="0" w:line="240" w:lineRule="auto"/>
        <w:jc w:val="both"/>
        <w:rPr>
          <w:rFonts w:ascii="Times New Roman" w:hAnsi="Times New Roman" w:cs="Times New Roman"/>
          <w:bCs/>
          <w:sz w:val="16"/>
          <w:szCs w:val="16"/>
        </w:rPr>
      </w:pPr>
    </w:p>
    <w:p w:rsidR="000F76F0" w:rsidRDefault="00EF2F39" w:rsidP="00C60C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w:t>
      </w:r>
      <w:r w:rsidR="00C60C0D">
        <w:rPr>
          <w:rFonts w:ascii="Times New Roman" w:hAnsi="Times New Roman" w:cs="Times New Roman"/>
          <w:bCs/>
          <w:sz w:val="24"/>
          <w:szCs w:val="24"/>
        </w:rPr>
        <w:t xml:space="preserve">is preference is consistent with </w:t>
      </w:r>
      <w:r w:rsidR="00C60C0D" w:rsidRPr="009137EF">
        <w:rPr>
          <w:rFonts w:ascii="Times New Roman" w:hAnsi="Times New Roman" w:cs="Times New Roman"/>
          <w:bCs/>
          <w:sz w:val="24"/>
          <w:szCs w:val="24"/>
        </w:rPr>
        <w:t>recent and on-going established poli</w:t>
      </w:r>
      <w:r w:rsidR="00C60C0D">
        <w:rPr>
          <w:rFonts w:ascii="Times New Roman" w:hAnsi="Times New Roman" w:cs="Times New Roman"/>
          <w:bCs/>
          <w:sz w:val="24"/>
          <w:szCs w:val="24"/>
        </w:rPr>
        <w:t xml:space="preserve">cies both in the EU and in </w:t>
      </w:r>
      <w:r>
        <w:rPr>
          <w:rFonts w:ascii="Times New Roman" w:hAnsi="Times New Roman" w:cs="Times New Roman"/>
          <w:bCs/>
          <w:sz w:val="24"/>
          <w:szCs w:val="24"/>
        </w:rPr>
        <w:t>Chile</w:t>
      </w:r>
      <w:r w:rsidR="00C60C0D">
        <w:rPr>
          <w:rFonts w:ascii="Times New Roman" w:hAnsi="Times New Roman" w:cs="Times New Roman"/>
          <w:bCs/>
          <w:sz w:val="24"/>
          <w:szCs w:val="24"/>
        </w:rPr>
        <w:t xml:space="preserve"> to negotiate modern</w:t>
      </w:r>
      <w:r w:rsidR="00C60C0D" w:rsidRPr="009137EF">
        <w:rPr>
          <w:rFonts w:ascii="Times New Roman" w:hAnsi="Times New Roman" w:cs="Times New Roman"/>
          <w:bCs/>
          <w:sz w:val="24"/>
          <w:szCs w:val="24"/>
        </w:rPr>
        <w:t xml:space="preserve"> </w:t>
      </w:r>
      <w:r w:rsidR="00C60C0D">
        <w:rPr>
          <w:rFonts w:ascii="Times New Roman" w:hAnsi="Times New Roman" w:cs="Times New Roman"/>
          <w:bCs/>
          <w:sz w:val="24"/>
          <w:szCs w:val="24"/>
        </w:rPr>
        <w:t>FTAs</w:t>
      </w:r>
      <w:r w:rsidR="00C60C0D" w:rsidRPr="009137EF">
        <w:rPr>
          <w:rFonts w:ascii="Times New Roman" w:hAnsi="Times New Roman" w:cs="Times New Roman"/>
          <w:bCs/>
          <w:sz w:val="24"/>
          <w:szCs w:val="24"/>
        </w:rPr>
        <w:t xml:space="preserve"> of a</w:t>
      </w:r>
      <w:r w:rsidR="00C60C0D">
        <w:rPr>
          <w:rFonts w:ascii="Times New Roman" w:hAnsi="Times New Roman" w:cs="Times New Roman"/>
          <w:bCs/>
          <w:sz w:val="24"/>
          <w:szCs w:val="24"/>
        </w:rPr>
        <w:t xml:space="preserve"> deep and comprehensive nature.</w:t>
      </w:r>
    </w:p>
    <w:p w:rsidR="001D4E24" w:rsidRDefault="001D4E24" w:rsidP="00E851A2">
      <w:pPr>
        <w:spacing w:after="120" w:line="240" w:lineRule="auto"/>
        <w:jc w:val="both"/>
        <w:rPr>
          <w:rFonts w:ascii="Times New Roman" w:hAnsi="Times New Roman" w:cs="Times New Roman"/>
          <w:sz w:val="24"/>
          <w:szCs w:val="24"/>
        </w:rPr>
      </w:pPr>
    </w:p>
    <w:p w:rsidR="00A23186" w:rsidRPr="000356B4" w:rsidRDefault="00A23186" w:rsidP="002A28DD">
      <w:pPr>
        <w:pStyle w:val="Heading1"/>
        <w:numPr>
          <w:ilvl w:val="0"/>
          <w:numId w:val="11"/>
        </w:numPr>
        <w:rPr>
          <w:rFonts w:ascii="Times New Roman Bold" w:hAnsi="Times New Roman Bold" w:hint="eastAsia"/>
          <w:caps/>
        </w:rPr>
      </w:pPr>
      <w:bookmarkStart w:id="71" w:name="_Toc473123103"/>
      <w:r w:rsidRPr="000356B4">
        <w:rPr>
          <w:rFonts w:ascii="Times New Roman Bold" w:hAnsi="Times New Roman Bold"/>
          <w:caps/>
        </w:rPr>
        <w:t>How would actual impacts be monitored and evaluated?</w:t>
      </w:r>
      <w:bookmarkEnd w:id="71"/>
    </w:p>
    <w:p w:rsidR="00D0361E" w:rsidRDefault="00D0361E" w:rsidP="00A23186">
      <w:pPr>
        <w:autoSpaceDE w:val="0"/>
        <w:autoSpaceDN w:val="0"/>
        <w:adjustRightInd w:val="0"/>
        <w:spacing w:after="120" w:line="240" w:lineRule="auto"/>
        <w:rPr>
          <w:rFonts w:ascii="Times New Roman" w:hAnsi="Times New Roman" w:cs="Times New Roman"/>
          <w:b/>
          <w:color w:val="000000"/>
          <w:sz w:val="24"/>
          <w:szCs w:val="24"/>
        </w:rPr>
      </w:pPr>
    </w:p>
    <w:p w:rsidR="00302A40" w:rsidRPr="00302A40" w:rsidRDefault="00302A40" w:rsidP="00882520">
      <w:pPr>
        <w:pStyle w:val="ListParagraph"/>
        <w:keepNext/>
        <w:keepLines/>
        <w:numPr>
          <w:ilvl w:val="0"/>
          <w:numId w:val="56"/>
        </w:numPr>
        <w:spacing w:after="0" w:line="240" w:lineRule="auto"/>
        <w:contextualSpacing w:val="0"/>
        <w:jc w:val="both"/>
        <w:outlineLvl w:val="1"/>
        <w:rPr>
          <w:rFonts w:ascii="Times New Roman" w:eastAsiaTheme="majorEastAsia" w:hAnsi="Times New Roman" w:cs="Times New Roman"/>
          <w:b/>
          <w:bCs/>
          <w:vanish/>
          <w:sz w:val="24"/>
          <w:szCs w:val="24"/>
          <w:u w:val="single"/>
          <w:lang w:val="en-GB"/>
        </w:rPr>
      </w:pPr>
      <w:bookmarkStart w:id="72" w:name="_Toc467831537"/>
      <w:bookmarkStart w:id="73" w:name="_Toc472961424"/>
      <w:bookmarkStart w:id="74" w:name="_Toc472961473"/>
      <w:bookmarkStart w:id="75" w:name="_Toc473123104"/>
      <w:bookmarkEnd w:id="72"/>
      <w:bookmarkEnd w:id="73"/>
      <w:bookmarkEnd w:id="74"/>
      <w:bookmarkEnd w:id="75"/>
    </w:p>
    <w:p w:rsidR="00A23186" w:rsidRDefault="00A23186" w:rsidP="00882520">
      <w:pPr>
        <w:pStyle w:val="Heading2"/>
        <w:numPr>
          <w:ilvl w:val="1"/>
          <w:numId w:val="56"/>
        </w:numPr>
        <w:rPr>
          <w:u w:val="single"/>
        </w:rPr>
      </w:pPr>
      <w:bookmarkStart w:id="76" w:name="_Toc473123105"/>
      <w:r w:rsidRPr="00302A40">
        <w:rPr>
          <w:u w:val="single"/>
        </w:rPr>
        <w:t>Operational objectives</w:t>
      </w:r>
      <w:bookmarkEnd w:id="76"/>
    </w:p>
    <w:p w:rsidR="00302A40" w:rsidRPr="00F56784" w:rsidRDefault="00302A40" w:rsidP="00302A40">
      <w:pPr>
        <w:rPr>
          <w:sz w:val="8"/>
          <w:szCs w:val="8"/>
        </w:rPr>
      </w:pPr>
    </w:p>
    <w:p w:rsidR="00A23186" w:rsidRPr="00A23186" w:rsidRDefault="00A23186" w:rsidP="00A23186">
      <w:pPr>
        <w:autoSpaceDE w:val="0"/>
        <w:autoSpaceDN w:val="0"/>
        <w:adjustRightInd w:val="0"/>
        <w:spacing w:after="120" w:line="240" w:lineRule="auto"/>
        <w:jc w:val="both"/>
        <w:rPr>
          <w:rFonts w:ascii="Times New Roman" w:hAnsi="Times New Roman" w:cs="Times New Roman"/>
          <w:color w:val="000000"/>
          <w:sz w:val="24"/>
          <w:szCs w:val="24"/>
        </w:rPr>
      </w:pPr>
      <w:r w:rsidRPr="00A23186">
        <w:rPr>
          <w:rFonts w:ascii="Times New Roman" w:hAnsi="Times New Roman" w:cs="Times New Roman"/>
          <w:color w:val="000000"/>
          <w:sz w:val="24"/>
          <w:szCs w:val="24"/>
        </w:rPr>
        <w:t>The operational objectives are to:</w:t>
      </w:r>
    </w:p>
    <w:p w:rsidR="00A23186" w:rsidRPr="00A23186" w:rsidRDefault="00A23186" w:rsidP="00E851A2">
      <w:pPr>
        <w:numPr>
          <w:ilvl w:val="0"/>
          <w:numId w:val="10"/>
        </w:numPr>
        <w:autoSpaceDE w:val="0"/>
        <w:autoSpaceDN w:val="0"/>
        <w:adjustRightInd w:val="0"/>
        <w:spacing w:after="60" w:line="240" w:lineRule="auto"/>
        <w:ind w:left="357" w:hanging="357"/>
        <w:jc w:val="both"/>
        <w:rPr>
          <w:rFonts w:ascii="Times New Roman" w:hAnsi="Times New Roman" w:cs="Times New Roman"/>
          <w:color w:val="000000"/>
          <w:sz w:val="24"/>
          <w:szCs w:val="24"/>
        </w:rPr>
      </w:pPr>
      <w:r w:rsidRPr="00A23186">
        <w:rPr>
          <w:rFonts w:ascii="Times New Roman" w:hAnsi="Times New Roman" w:cs="Times New Roman"/>
          <w:color w:val="000000"/>
          <w:sz w:val="24"/>
          <w:szCs w:val="24"/>
        </w:rPr>
        <w:t xml:space="preserve">provide </w:t>
      </w:r>
      <w:r w:rsidR="00C31A8E">
        <w:rPr>
          <w:rFonts w:ascii="Times New Roman" w:hAnsi="Times New Roman" w:cs="Times New Roman"/>
          <w:color w:val="000000"/>
          <w:sz w:val="24"/>
          <w:szCs w:val="24"/>
        </w:rPr>
        <w:t xml:space="preserve">further </w:t>
      </w:r>
      <w:r w:rsidRPr="00A23186">
        <w:rPr>
          <w:rFonts w:ascii="Times New Roman" w:hAnsi="Times New Roman" w:cs="Times New Roman"/>
          <w:color w:val="000000"/>
          <w:sz w:val="24"/>
          <w:szCs w:val="24"/>
        </w:rPr>
        <w:t>reciprocal and effective market opening for goods, services and investment (including through access to government procurement), based on a high level of am</w:t>
      </w:r>
      <w:r w:rsidR="00146EEA">
        <w:rPr>
          <w:rFonts w:ascii="Times New Roman" w:hAnsi="Times New Roman" w:cs="Times New Roman"/>
          <w:color w:val="000000"/>
          <w:sz w:val="24"/>
          <w:szCs w:val="24"/>
        </w:rPr>
        <w:t>bition</w:t>
      </w:r>
      <w:r w:rsidRPr="00A23186">
        <w:rPr>
          <w:rFonts w:ascii="Times New Roman" w:hAnsi="Times New Roman" w:cs="Times New Roman"/>
          <w:color w:val="000000"/>
          <w:sz w:val="24"/>
          <w:szCs w:val="24"/>
        </w:rPr>
        <w:t xml:space="preserve">; </w:t>
      </w:r>
    </w:p>
    <w:p w:rsidR="00A23186" w:rsidRPr="00A23186" w:rsidRDefault="00A23186" w:rsidP="00E851A2">
      <w:pPr>
        <w:numPr>
          <w:ilvl w:val="0"/>
          <w:numId w:val="10"/>
        </w:numPr>
        <w:autoSpaceDE w:val="0"/>
        <w:autoSpaceDN w:val="0"/>
        <w:adjustRightInd w:val="0"/>
        <w:spacing w:after="60" w:line="240" w:lineRule="auto"/>
        <w:ind w:left="357" w:hanging="357"/>
        <w:jc w:val="both"/>
        <w:rPr>
          <w:rFonts w:ascii="Times New Roman" w:hAnsi="Times New Roman" w:cs="Times New Roman"/>
          <w:color w:val="000000"/>
          <w:sz w:val="24"/>
          <w:szCs w:val="24"/>
        </w:rPr>
      </w:pPr>
      <w:r w:rsidRPr="00A23186">
        <w:rPr>
          <w:rFonts w:ascii="Times New Roman" w:hAnsi="Times New Roman" w:cs="Times New Roman"/>
          <w:color w:val="000000"/>
          <w:sz w:val="24"/>
          <w:szCs w:val="24"/>
        </w:rPr>
        <w:t xml:space="preserve">tackling barriers in a comprehensive way, along with effective implementation and enforcement, without leaving room for new barriers to replace old ones, including for </w:t>
      </w:r>
      <w:r w:rsidR="00146EEA">
        <w:rPr>
          <w:rFonts w:ascii="Times New Roman" w:hAnsi="Times New Roman" w:cs="Times New Roman"/>
          <w:color w:val="000000"/>
          <w:sz w:val="24"/>
          <w:szCs w:val="24"/>
        </w:rPr>
        <w:t>SMEs</w:t>
      </w:r>
      <w:r w:rsidRPr="00A23186">
        <w:rPr>
          <w:rFonts w:ascii="Times New Roman" w:hAnsi="Times New Roman" w:cs="Times New Roman"/>
          <w:color w:val="000000"/>
          <w:sz w:val="24"/>
          <w:szCs w:val="24"/>
        </w:rPr>
        <w:t>;</w:t>
      </w:r>
    </w:p>
    <w:p w:rsidR="00FA4CB5" w:rsidRDefault="00F0331D" w:rsidP="00E851A2">
      <w:pPr>
        <w:numPr>
          <w:ilvl w:val="0"/>
          <w:numId w:val="10"/>
        </w:numPr>
        <w:autoSpaceDE w:val="0"/>
        <w:autoSpaceDN w:val="0"/>
        <w:adjustRightInd w:val="0"/>
        <w:spacing w:after="6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A23186" w:rsidRPr="00A23186">
        <w:rPr>
          <w:rFonts w:ascii="Times New Roman" w:hAnsi="Times New Roman" w:cs="Times New Roman"/>
          <w:color w:val="000000"/>
          <w:sz w:val="24"/>
          <w:szCs w:val="24"/>
        </w:rPr>
        <w:t xml:space="preserve">nsure </w:t>
      </w:r>
      <w:r>
        <w:rPr>
          <w:rFonts w:ascii="Times New Roman" w:hAnsi="Times New Roman" w:cs="Times New Roman"/>
          <w:color w:val="000000"/>
          <w:sz w:val="24"/>
          <w:szCs w:val="24"/>
        </w:rPr>
        <w:t xml:space="preserve">a </w:t>
      </w:r>
      <w:r w:rsidR="00211FCB">
        <w:rPr>
          <w:rFonts w:ascii="Times New Roman" w:hAnsi="Times New Roman" w:cs="Times New Roman"/>
          <w:color w:val="000000"/>
          <w:sz w:val="24"/>
          <w:szCs w:val="24"/>
        </w:rPr>
        <w:t>high level</w:t>
      </w:r>
      <w:r w:rsidR="00A01FDF">
        <w:rPr>
          <w:rFonts w:ascii="Times New Roman" w:hAnsi="Times New Roman" w:cs="Times New Roman"/>
          <w:color w:val="000000"/>
          <w:sz w:val="24"/>
          <w:szCs w:val="24"/>
        </w:rPr>
        <w:t>,</w:t>
      </w:r>
      <w:r w:rsidR="00211FCB">
        <w:rPr>
          <w:rFonts w:ascii="Times New Roman" w:hAnsi="Times New Roman" w:cs="Times New Roman"/>
          <w:color w:val="000000"/>
          <w:sz w:val="24"/>
          <w:szCs w:val="24"/>
        </w:rPr>
        <w:t xml:space="preserve"> </w:t>
      </w:r>
      <w:r w:rsidR="00FA4CB5">
        <w:rPr>
          <w:rFonts w:ascii="Times New Roman" w:hAnsi="Times New Roman" w:cs="Times New Roman"/>
          <w:color w:val="000000"/>
          <w:sz w:val="24"/>
          <w:szCs w:val="24"/>
        </w:rPr>
        <w:t>effective</w:t>
      </w:r>
      <w:r w:rsidR="00A01FDF">
        <w:rPr>
          <w:rFonts w:ascii="Times New Roman" w:hAnsi="Times New Roman" w:cs="Times New Roman"/>
          <w:color w:val="000000"/>
          <w:sz w:val="24"/>
          <w:szCs w:val="24"/>
        </w:rPr>
        <w:t xml:space="preserve"> and coherent</w:t>
      </w:r>
      <w:r w:rsidR="00FA4CB5">
        <w:rPr>
          <w:rFonts w:ascii="Times New Roman" w:hAnsi="Times New Roman" w:cs="Times New Roman"/>
          <w:color w:val="000000"/>
          <w:sz w:val="24"/>
          <w:szCs w:val="24"/>
        </w:rPr>
        <w:t xml:space="preserve"> investment protection, </w:t>
      </w:r>
      <w:r w:rsidR="00A01FDF">
        <w:rPr>
          <w:rFonts w:ascii="Times New Roman" w:hAnsi="Times New Roman" w:cs="Times New Roman"/>
          <w:color w:val="000000"/>
          <w:sz w:val="24"/>
          <w:szCs w:val="24"/>
        </w:rPr>
        <w:t>enforced</w:t>
      </w:r>
      <w:r w:rsidR="00FA4CB5">
        <w:rPr>
          <w:rFonts w:ascii="Times New Roman" w:hAnsi="Times New Roman" w:cs="Times New Roman"/>
          <w:color w:val="000000"/>
          <w:sz w:val="24"/>
          <w:szCs w:val="24"/>
        </w:rPr>
        <w:t xml:space="preserve"> through a</w:t>
      </w:r>
      <w:r w:rsidR="00211FCB">
        <w:rPr>
          <w:rFonts w:ascii="Times New Roman" w:hAnsi="Times New Roman" w:cs="Times New Roman"/>
          <w:color w:val="000000"/>
          <w:sz w:val="24"/>
          <w:szCs w:val="24"/>
        </w:rPr>
        <w:t>n</w:t>
      </w:r>
      <w:r w:rsidR="00FA4CB5">
        <w:rPr>
          <w:rFonts w:ascii="Times New Roman" w:hAnsi="Times New Roman" w:cs="Times New Roman"/>
          <w:color w:val="000000"/>
          <w:sz w:val="24"/>
          <w:szCs w:val="24"/>
        </w:rPr>
        <w:t xml:space="preserve"> Investment Court System;</w:t>
      </w:r>
    </w:p>
    <w:p w:rsidR="00A23186" w:rsidRPr="004A6396" w:rsidRDefault="00F0331D" w:rsidP="00E851A2">
      <w:pPr>
        <w:numPr>
          <w:ilvl w:val="0"/>
          <w:numId w:val="10"/>
        </w:numPr>
        <w:autoSpaceDE w:val="0"/>
        <w:autoSpaceDN w:val="0"/>
        <w:adjustRightInd w:val="0"/>
        <w:spacing w:after="6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FA4CB5" w:rsidRPr="004A6396">
        <w:rPr>
          <w:rFonts w:ascii="Times New Roman" w:hAnsi="Times New Roman" w:cs="Times New Roman"/>
          <w:color w:val="000000"/>
          <w:sz w:val="24"/>
          <w:szCs w:val="24"/>
        </w:rPr>
        <w:t xml:space="preserve">nsure a </w:t>
      </w:r>
      <w:r w:rsidR="00A23186" w:rsidRPr="004A6396">
        <w:rPr>
          <w:rFonts w:ascii="Times New Roman" w:hAnsi="Times New Roman" w:cs="Times New Roman"/>
          <w:color w:val="000000"/>
          <w:sz w:val="24"/>
          <w:szCs w:val="24"/>
        </w:rPr>
        <w:t xml:space="preserve">high level of protection of IPR, </w:t>
      </w:r>
      <w:r w:rsidR="004A6396" w:rsidRPr="004A6396">
        <w:rPr>
          <w:rFonts w:ascii="Times New Roman" w:hAnsi="Times New Roman" w:cs="Times New Roman"/>
          <w:color w:val="000000"/>
          <w:sz w:val="24"/>
          <w:szCs w:val="24"/>
        </w:rPr>
        <w:t>both in the EU and in Chile</w:t>
      </w:r>
      <w:r w:rsidR="00D0361E" w:rsidRPr="004A6396">
        <w:rPr>
          <w:rFonts w:ascii="Times New Roman" w:hAnsi="Times New Roman" w:cs="Times New Roman"/>
          <w:color w:val="000000"/>
          <w:sz w:val="24"/>
          <w:szCs w:val="24"/>
        </w:rPr>
        <w:t>;</w:t>
      </w:r>
    </w:p>
    <w:p w:rsidR="00A23186" w:rsidRPr="00A23186" w:rsidRDefault="00A23186" w:rsidP="00E851A2">
      <w:pPr>
        <w:numPr>
          <w:ilvl w:val="0"/>
          <w:numId w:val="10"/>
        </w:numPr>
        <w:autoSpaceDE w:val="0"/>
        <w:autoSpaceDN w:val="0"/>
        <w:adjustRightInd w:val="0"/>
        <w:spacing w:after="60" w:line="240" w:lineRule="auto"/>
        <w:ind w:left="357" w:hanging="357"/>
        <w:jc w:val="both"/>
        <w:rPr>
          <w:rFonts w:ascii="Times New Roman" w:hAnsi="Times New Roman" w:cs="Times New Roman"/>
          <w:color w:val="000000"/>
          <w:sz w:val="24"/>
          <w:szCs w:val="24"/>
        </w:rPr>
      </w:pPr>
      <w:r w:rsidRPr="00A23186">
        <w:rPr>
          <w:rFonts w:ascii="Times New Roman" w:hAnsi="Times New Roman" w:cs="Times New Roman"/>
          <w:color w:val="000000"/>
          <w:sz w:val="24"/>
          <w:szCs w:val="24"/>
        </w:rPr>
        <w:t xml:space="preserve">reinforce dialogue and cooperation on regulatory frameworks (including standards, technical regulations and conformity assessment procedures) and administrative practices to improve regulatory coherence; </w:t>
      </w:r>
    </w:p>
    <w:p w:rsidR="00A23186" w:rsidRPr="00A23186" w:rsidRDefault="00A23186" w:rsidP="00E851A2">
      <w:pPr>
        <w:numPr>
          <w:ilvl w:val="0"/>
          <w:numId w:val="10"/>
        </w:numPr>
        <w:autoSpaceDE w:val="0"/>
        <w:autoSpaceDN w:val="0"/>
        <w:adjustRightInd w:val="0"/>
        <w:spacing w:after="60" w:line="240" w:lineRule="auto"/>
        <w:ind w:left="357" w:hanging="357"/>
        <w:jc w:val="both"/>
        <w:rPr>
          <w:rFonts w:ascii="Times New Roman" w:hAnsi="Times New Roman" w:cs="Times New Roman"/>
          <w:color w:val="000000"/>
          <w:sz w:val="24"/>
          <w:szCs w:val="24"/>
        </w:rPr>
      </w:pPr>
      <w:r w:rsidRPr="00A23186">
        <w:rPr>
          <w:rFonts w:ascii="Times New Roman" w:hAnsi="Times New Roman" w:cs="Times New Roman"/>
          <w:color w:val="000000"/>
          <w:sz w:val="24"/>
          <w:szCs w:val="24"/>
        </w:rPr>
        <w:t>contribute to the shared objective of promoting sustainable development, inter alia by including trade-related provisions on labour and environment; and</w:t>
      </w:r>
    </w:p>
    <w:p w:rsidR="00A23186" w:rsidRDefault="00A23186" w:rsidP="002A28DD">
      <w:pPr>
        <w:numPr>
          <w:ilvl w:val="0"/>
          <w:numId w:val="10"/>
        </w:numPr>
        <w:autoSpaceDE w:val="0"/>
        <w:autoSpaceDN w:val="0"/>
        <w:adjustRightInd w:val="0"/>
        <w:spacing w:after="120" w:line="240" w:lineRule="auto"/>
        <w:jc w:val="both"/>
        <w:rPr>
          <w:rFonts w:ascii="Times New Roman" w:hAnsi="Times New Roman" w:cs="Times New Roman"/>
          <w:color w:val="000000"/>
          <w:sz w:val="24"/>
          <w:szCs w:val="24"/>
        </w:rPr>
      </w:pPr>
      <w:r w:rsidRPr="00A23186">
        <w:rPr>
          <w:rFonts w:ascii="Times New Roman" w:hAnsi="Times New Roman" w:cs="Times New Roman"/>
          <w:color w:val="000000"/>
          <w:sz w:val="24"/>
          <w:szCs w:val="24"/>
        </w:rPr>
        <w:t>support and promote EU values and standards such as human rights, labour rights and environmental, health and consumer protection</w:t>
      </w:r>
      <w:r w:rsidR="009E3EA3">
        <w:rPr>
          <w:rFonts w:ascii="Times New Roman" w:hAnsi="Times New Roman" w:cs="Times New Roman"/>
          <w:color w:val="000000"/>
          <w:sz w:val="24"/>
          <w:szCs w:val="24"/>
        </w:rPr>
        <w:t>, as well as gender issues</w:t>
      </w:r>
      <w:r w:rsidRPr="00A23186">
        <w:rPr>
          <w:rFonts w:ascii="Times New Roman" w:hAnsi="Times New Roman" w:cs="Times New Roman"/>
          <w:color w:val="000000"/>
          <w:sz w:val="24"/>
          <w:szCs w:val="24"/>
        </w:rPr>
        <w:t>.</w:t>
      </w:r>
    </w:p>
    <w:p w:rsidR="000F76F0" w:rsidRDefault="000F76F0" w:rsidP="00E23FC0">
      <w:pPr>
        <w:autoSpaceDE w:val="0"/>
        <w:autoSpaceDN w:val="0"/>
        <w:adjustRightInd w:val="0"/>
        <w:spacing w:after="120" w:line="240" w:lineRule="auto"/>
        <w:ind w:left="360"/>
        <w:jc w:val="both"/>
        <w:rPr>
          <w:rFonts w:ascii="Times New Roman" w:hAnsi="Times New Roman" w:cs="Times New Roman"/>
          <w:color w:val="000000"/>
          <w:sz w:val="24"/>
          <w:szCs w:val="24"/>
        </w:rPr>
      </w:pPr>
    </w:p>
    <w:p w:rsidR="00A23186" w:rsidRPr="00302A40" w:rsidRDefault="00A23186" w:rsidP="00882520">
      <w:pPr>
        <w:pStyle w:val="Heading2"/>
        <w:numPr>
          <w:ilvl w:val="1"/>
          <w:numId w:val="56"/>
        </w:numPr>
        <w:rPr>
          <w:u w:val="single"/>
        </w:rPr>
      </w:pPr>
      <w:bookmarkStart w:id="77" w:name="_Toc473123106"/>
      <w:r w:rsidRPr="00302A40">
        <w:rPr>
          <w:u w:val="single"/>
        </w:rPr>
        <w:t>Future monitoring and evaluation</w:t>
      </w:r>
      <w:bookmarkEnd w:id="77"/>
      <w:r w:rsidRPr="00302A40">
        <w:rPr>
          <w:u w:val="single"/>
        </w:rPr>
        <w:t xml:space="preserve"> </w:t>
      </w:r>
    </w:p>
    <w:p w:rsidR="00302A40" w:rsidRDefault="00302A40" w:rsidP="00A23186">
      <w:pPr>
        <w:autoSpaceDE w:val="0"/>
        <w:autoSpaceDN w:val="0"/>
        <w:adjustRightInd w:val="0"/>
        <w:spacing w:after="120" w:line="240" w:lineRule="auto"/>
        <w:jc w:val="both"/>
        <w:rPr>
          <w:rFonts w:ascii="Times New Roman" w:hAnsi="Times New Roman" w:cs="Times New Roman"/>
          <w:color w:val="000000"/>
          <w:sz w:val="24"/>
          <w:szCs w:val="24"/>
        </w:rPr>
      </w:pPr>
    </w:p>
    <w:p w:rsidR="00A23186" w:rsidRPr="00A23186" w:rsidRDefault="00A23186" w:rsidP="00A23186">
      <w:pPr>
        <w:autoSpaceDE w:val="0"/>
        <w:autoSpaceDN w:val="0"/>
        <w:adjustRightInd w:val="0"/>
        <w:spacing w:after="120" w:line="240" w:lineRule="auto"/>
        <w:jc w:val="both"/>
        <w:rPr>
          <w:rFonts w:ascii="Times New Roman" w:hAnsi="Times New Roman" w:cs="Times New Roman"/>
          <w:color w:val="000000"/>
          <w:sz w:val="24"/>
          <w:szCs w:val="24"/>
        </w:rPr>
      </w:pPr>
      <w:r w:rsidRPr="00A23186">
        <w:rPr>
          <w:rFonts w:ascii="Times New Roman" w:hAnsi="Times New Roman" w:cs="Times New Roman"/>
          <w:color w:val="000000"/>
          <w:sz w:val="24"/>
          <w:szCs w:val="24"/>
        </w:rPr>
        <w:t>Monitoring and evaluation of the specific objectives will have to use several means of data collection</w:t>
      </w:r>
      <w:r w:rsidR="00613660">
        <w:rPr>
          <w:rFonts w:ascii="Times New Roman" w:hAnsi="Times New Roman" w:cs="Times New Roman"/>
          <w:color w:val="000000"/>
          <w:sz w:val="24"/>
          <w:szCs w:val="24"/>
        </w:rPr>
        <w:t>,</w:t>
      </w:r>
      <w:r w:rsidRPr="00A23186">
        <w:rPr>
          <w:rFonts w:ascii="Times New Roman" w:hAnsi="Times New Roman" w:cs="Times New Roman"/>
          <w:color w:val="000000"/>
          <w:sz w:val="24"/>
          <w:szCs w:val="24"/>
        </w:rPr>
        <w:t xml:space="preserve"> as not all objectives are equally quantifiable and some monitoring may depend on a qualitative evaluation based for example on feedback from stakeholders obtained through a survey. Moreover, the monitoring needs w</w:t>
      </w:r>
      <w:r w:rsidR="00146EEA">
        <w:rPr>
          <w:rFonts w:ascii="Times New Roman" w:hAnsi="Times New Roman" w:cs="Times New Roman"/>
          <w:color w:val="000000"/>
          <w:sz w:val="24"/>
          <w:szCs w:val="24"/>
        </w:rPr>
        <w:t>ould</w:t>
      </w:r>
      <w:r w:rsidRPr="00A23186">
        <w:rPr>
          <w:rFonts w:ascii="Times New Roman" w:hAnsi="Times New Roman" w:cs="Times New Roman"/>
          <w:color w:val="000000"/>
          <w:sz w:val="24"/>
          <w:szCs w:val="24"/>
        </w:rPr>
        <w:t xml:space="preserve"> depend on the outcome of the negotiations with </w:t>
      </w:r>
      <w:r w:rsidR="00D0361E">
        <w:rPr>
          <w:rFonts w:ascii="Times New Roman" w:hAnsi="Times New Roman" w:cs="Times New Roman"/>
          <w:color w:val="000000"/>
          <w:sz w:val="24"/>
          <w:szCs w:val="24"/>
        </w:rPr>
        <w:t>Chile</w:t>
      </w:r>
      <w:r w:rsidRPr="00A23186">
        <w:rPr>
          <w:rFonts w:ascii="Times New Roman" w:hAnsi="Times New Roman" w:cs="Times New Roman"/>
          <w:color w:val="000000"/>
          <w:sz w:val="24"/>
          <w:szCs w:val="24"/>
        </w:rPr>
        <w:t>, and those identified in this impact assessment w</w:t>
      </w:r>
      <w:r w:rsidR="00146EEA">
        <w:rPr>
          <w:rFonts w:ascii="Times New Roman" w:hAnsi="Times New Roman" w:cs="Times New Roman"/>
          <w:color w:val="000000"/>
          <w:sz w:val="24"/>
          <w:szCs w:val="24"/>
        </w:rPr>
        <w:t>ould</w:t>
      </w:r>
      <w:r w:rsidRPr="00A23186">
        <w:rPr>
          <w:rFonts w:ascii="Times New Roman" w:hAnsi="Times New Roman" w:cs="Times New Roman"/>
          <w:color w:val="000000"/>
          <w:sz w:val="24"/>
          <w:szCs w:val="24"/>
        </w:rPr>
        <w:t xml:space="preserve"> need to be updated </w:t>
      </w:r>
      <w:r w:rsidR="00146EEA">
        <w:rPr>
          <w:rFonts w:ascii="Times New Roman" w:hAnsi="Times New Roman" w:cs="Times New Roman"/>
          <w:color w:val="000000"/>
          <w:sz w:val="24"/>
          <w:szCs w:val="24"/>
        </w:rPr>
        <w:t>when</w:t>
      </w:r>
      <w:r w:rsidRPr="00A23186">
        <w:rPr>
          <w:rFonts w:ascii="Times New Roman" w:hAnsi="Times New Roman" w:cs="Times New Roman"/>
          <w:color w:val="000000"/>
          <w:sz w:val="24"/>
          <w:szCs w:val="24"/>
        </w:rPr>
        <w:t xml:space="preserve"> the negotiations are concluded. </w:t>
      </w:r>
    </w:p>
    <w:p w:rsidR="00A23186" w:rsidRPr="00A23186" w:rsidRDefault="00A23186" w:rsidP="00A23186">
      <w:pPr>
        <w:autoSpaceDE w:val="0"/>
        <w:autoSpaceDN w:val="0"/>
        <w:adjustRightInd w:val="0"/>
        <w:spacing w:after="120" w:line="240" w:lineRule="auto"/>
        <w:jc w:val="both"/>
        <w:rPr>
          <w:rFonts w:ascii="Times New Roman" w:hAnsi="Times New Roman" w:cs="Times New Roman"/>
          <w:color w:val="000000"/>
          <w:sz w:val="24"/>
          <w:szCs w:val="24"/>
        </w:rPr>
      </w:pPr>
      <w:r w:rsidRPr="000356B4">
        <w:rPr>
          <w:rFonts w:ascii="Times New Roman" w:hAnsi="Times New Roman" w:cs="Times New Roman"/>
          <w:b/>
          <w:color w:val="000000"/>
          <w:sz w:val="24"/>
          <w:szCs w:val="24"/>
        </w:rPr>
        <w:t>Monitoring</w:t>
      </w:r>
      <w:r w:rsidRPr="00A23186">
        <w:rPr>
          <w:rFonts w:ascii="Times New Roman" w:hAnsi="Times New Roman" w:cs="Times New Roman"/>
          <w:color w:val="000000"/>
          <w:sz w:val="24"/>
          <w:szCs w:val="24"/>
        </w:rPr>
        <w:t xml:space="preserve"> can be facilitated by short and medium-term analysis of the measurable indicators mentioned below: changes in the relative value of bilateral exports and imports as well as the change (number, value and share) </w:t>
      </w:r>
      <w:r w:rsidR="00146EEA">
        <w:rPr>
          <w:rFonts w:ascii="Times New Roman" w:hAnsi="Times New Roman" w:cs="Times New Roman"/>
          <w:color w:val="000000"/>
          <w:sz w:val="24"/>
          <w:szCs w:val="24"/>
        </w:rPr>
        <w:t>in</w:t>
      </w:r>
      <w:r w:rsidRPr="00A23186">
        <w:rPr>
          <w:rFonts w:ascii="Times New Roman" w:hAnsi="Times New Roman" w:cs="Times New Roman"/>
          <w:color w:val="000000"/>
          <w:sz w:val="24"/>
          <w:szCs w:val="24"/>
        </w:rPr>
        <w:t xml:space="preserve"> public procurement tenders secured by EU companies in </w:t>
      </w:r>
      <w:r w:rsidR="00D0361E">
        <w:rPr>
          <w:rFonts w:ascii="Times New Roman" w:hAnsi="Times New Roman" w:cs="Times New Roman"/>
          <w:color w:val="000000"/>
          <w:sz w:val="24"/>
          <w:szCs w:val="24"/>
        </w:rPr>
        <w:t>Chile</w:t>
      </w:r>
      <w:r w:rsidRPr="00A23186">
        <w:rPr>
          <w:rFonts w:ascii="Times New Roman" w:hAnsi="Times New Roman" w:cs="Times New Roman"/>
          <w:color w:val="000000"/>
          <w:sz w:val="24"/>
          <w:szCs w:val="24"/>
        </w:rPr>
        <w:t xml:space="preserve">. Concerning the operational objectives, the same is valid for monitoring of tariff reductions and changes of trade flows, as these become apparent in tariff schedules and trade statistics. A more complex set of indicators is necessary for monitoring reductions in the cost of NTBs. Convergence of standards and changes in regulations and law can be analysed in a qualitative manner by gathering information on the legal and administrative measures, </w:t>
      </w:r>
      <w:r w:rsidR="00146EEA">
        <w:rPr>
          <w:rFonts w:ascii="Times New Roman" w:hAnsi="Times New Roman" w:cs="Times New Roman"/>
          <w:color w:val="000000"/>
          <w:sz w:val="24"/>
          <w:szCs w:val="24"/>
        </w:rPr>
        <w:t>on</w:t>
      </w:r>
      <w:r w:rsidRPr="00A23186">
        <w:rPr>
          <w:rFonts w:ascii="Times New Roman" w:hAnsi="Times New Roman" w:cs="Times New Roman"/>
          <w:color w:val="000000"/>
          <w:sz w:val="24"/>
          <w:szCs w:val="24"/>
        </w:rPr>
        <w:t xml:space="preserve"> their implementation and </w:t>
      </w:r>
      <w:r w:rsidR="00146EEA">
        <w:rPr>
          <w:rFonts w:ascii="Times New Roman" w:hAnsi="Times New Roman" w:cs="Times New Roman"/>
          <w:color w:val="000000"/>
          <w:sz w:val="24"/>
          <w:szCs w:val="24"/>
        </w:rPr>
        <w:t xml:space="preserve">on </w:t>
      </w:r>
      <w:r w:rsidRPr="00A23186">
        <w:rPr>
          <w:rFonts w:ascii="Times New Roman" w:hAnsi="Times New Roman" w:cs="Times New Roman"/>
          <w:color w:val="000000"/>
          <w:sz w:val="24"/>
          <w:szCs w:val="24"/>
        </w:rPr>
        <w:t>any related impact on trade and investment activities.</w:t>
      </w:r>
    </w:p>
    <w:p w:rsidR="00A23186" w:rsidRPr="00A23186" w:rsidRDefault="00A23186" w:rsidP="007339BE">
      <w:pPr>
        <w:autoSpaceDE w:val="0"/>
        <w:autoSpaceDN w:val="0"/>
        <w:adjustRightInd w:val="0"/>
        <w:spacing w:after="240" w:line="240" w:lineRule="auto"/>
        <w:jc w:val="both"/>
        <w:rPr>
          <w:rFonts w:ascii="Times New Roman" w:hAnsi="Times New Roman" w:cs="Times New Roman"/>
          <w:color w:val="000000"/>
          <w:sz w:val="24"/>
          <w:szCs w:val="24"/>
        </w:rPr>
      </w:pPr>
      <w:r w:rsidRPr="00A23186">
        <w:rPr>
          <w:rFonts w:ascii="Times New Roman" w:hAnsi="Times New Roman" w:cs="Times New Roman"/>
          <w:color w:val="000000"/>
          <w:sz w:val="24"/>
          <w:szCs w:val="24"/>
        </w:rPr>
        <w:t xml:space="preserve">The increase </w:t>
      </w:r>
      <w:r w:rsidR="00146EEA">
        <w:rPr>
          <w:rFonts w:ascii="Times New Roman" w:hAnsi="Times New Roman" w:cs="Times New Roman"/>
          <w:color w:val="000000"/>
          <w:sz w:val="24"/>
          <w:szCs w:val="24"/>
        </w:rPr>
        <w:t>in</w:t>
      </w:r>
      <w:r w:rsidRPr="00A23186">
        <w:rPr>
          <w:rFonts w:ascii="Times New Roman" w:hAnsi="Times New Roman" w:cs="Times New Roman"/>
          <w:color w:val="000000"/>
          <w:sz w:val="24"/>
          <w:szCs w:val="24"/>
        </w:rPr>
        <w:t xml:space="preserve"> transparency or the availability of information as well as the general perception of a reduction in the cost of doing business could be analysed by surveys among stakeholders.</w:t>
      </w:r>
    </w:p>
    <w:p w:rsidR="00A23186" w:rsidRPr="00A23186" w:rsidRDefault="00A23186" w:rsidP="00D0361E">
      <w:pPr>
        <w:snapToGrid w:val="0"/>
        <w:spacing w:after="120" w:line="240" w:lineRule="auto"/>
        <w:jc w:val="center"/>
        <w:rPr>
          <w:rFonts w:ascii="Times New Roman Bold" w:hAnsi="Times New Roman Bold" w:cs="Times New Roman"/>
          <w:b/>
          <w:smallCaps/>
          <w:sz w:val="24"/>
          <w:szCs w:val="24"/>
        </w:rPr>
      </w:pPr>
      <w:r w:rsidRPr="00A23186">
        <w:rPr>
          <w:rFonts w:ascii="Times New Roman Bold" w:hAnsi="Times New Roman Bold" w:cs="Times New Roman"/>
          <w:b/>
          <w:smallCaps/>
          <w:sz w:val="24"/>
          <w:szCs w:val="24"/>
        </w:rPr>
        <w:t>Monitoring indicators</w:t>
      </w:r>
    </w:p>
    <w:tbl>
      <w:tblPr>
        <w:tblStyle w:val="TableGrid"/>
        <w:tblW w:w="5000" w:type="pct"/>
        <w:tblLook w:val="04A0" w:firstRow="1" w:lastRow="0" w:firstColumn="1" w:lastColumn="0" w:noHBand="0" w:noVBand="1"/>
      </w:tblPr>
      <w:tblGrid>
        <w:gridCol w:w="2361"/>
        <w:gridCol w:w="1900"/>
        <w:gridCol w:w="1685"/>
        <w:gridCol w:w="1607"/>
        <w:gridCol w:w="1735"/>
      </w:tblGrid>
      <w:tr w:rsidR="00A23186" w:rsidRPr="00A23186" w:rsidTr="00FD3C27">
        <w:tc>
          <w:tcPr>
            <w:tcW w:w="1271" w:type="pct"/>
          </w:tcPr>
          <w:p w:rsidR="00A23186" w:rsidRPr="00A23186" w:rsidRDefault="00A23186" w:rsidP="00A23186">
            <w:pPr>
              <w:snapToGrid w:val="0"/>
              <w:spacing w:after="120"/>
              <w:jc w:val="center"/>
              <w:rPr>
                <w:rFonts w:ascii="Times New Roman" w:hAnsi="Times New Roman" w:cs="Times New Roman"/>
                <w:b/>
                <w:sz w:val="20"/>
                <w:szCs w:val="20"/>
              </w:rPr>
            </w:pPr>
            <w:r w:rsidRPr="00A23186">
              <w:rPr>
                <w:rFonts w:ascii="Times New Roman" w:hAnsi="Times New Roman" w:cs="Times New Roman"/>
                <w:b/>
                <w:sz w:val="20"/>
                <w:szCs w:val="20"/>
              </w:rPr>
              <w:t>Operational objectives</w:t>
            </w:r>
          </w:p>
        </w:tc>
        <w:tc>
          <w:tcPr>
            <w:tcW w:w="1023" w:type="pct"/>
          </w:tcPr>
          <w:p w:rsidR="00A23186" w:rsidRPr="00A23186" w:rsidRDefault="00A23186" w:rsidP="00A23186">
            <w:pPr>
              <w:snapToGrid w:val="0"/>
              <w:spacing w:after="120"/>
              <w:jc w:val="center"/>
              <w:rPr>
                <w:rFonts w:ascii="Times New Roman" w:hAnsi="Times New Roman" w:cs="Times New Roman"/>
                <w:b/>
                <w:sz w:val="20"/>
                <w:szCs w:val="20"/>
              </w:rPr>
            </w:pPr>
            <w:r w:rsidRPr="00A23186">
              <w:rPr>
                <w:rFonts w:ascii="Times New Roman" w:hAnsi="Times New Roman" w:cs="Times New Roman"/>
                <w:b/>
                <w:sz w:val="20"/>
                <w:szCs w:val="20"/>
              </w:rPr>
              <w:t>Indicators</w:t>
            </w:r>
          </w:p>
        </w:tc>
        <w:tc>
          <w:tcPr>
            <w:tcW w:w="907" w:type="pct"/>
          </w:tcPr>
          <w:p w:rsidR="00A23186" w:rsidRPr="00A23186" w:rsidRDefault="00A23186" w:rsidP="00A23186">
            <w:pPr>
              <w:snapToGrid w:val="0"/>
              <w:spacing w:after="120"/>
              <w:jc w:val="center"/>
              <w:rPr>
                <w:rFonts w:ascii="Times New Roman" w:hAnsi="Times New Roman" w:cs="Times New Roman"/>
                <w:b/>
                <w:sz w:val="20"/>
                <w:szCs w:val="20"/>
              </w:rPr>
            </w:pPr>
            <w:r w:rsidRPr="00A23186">
              <w:rPr>
                <w:rFonts w:ascii="Times New Roman" w:hAnsi="Times New Roman" w:cs="Times New Roman"/>
                <w:b/>
                <w:sz w:val="20"/>
                <w:szCs w:val="20"/>
              </w:rPr>
              <w:t>Unit of measurement</w:t>
            </w:r>
          </w:p>
        </w:tc>
        <w:tc>
          <w:tcPr>
            <w:tcW w:w="865" w:type="pct"/>
          </w:tcPr>
          <w:p w:rsidR="00A23186" w:rsidRPr="00A23186" w:rsidRDefault="00A23186" w:rsidP="00A23186">
            <w:pPr>
              <w:snapToGrid w:val="0"/>
              <w:spacing w:after="120"/>
              <w:jc w:val="center"/>
              <w:rPr>
                <w:rFonts w:ascii="Times New Roman" w:hAnsi="Times New Roman" w:cs="Times New Roman"/>
                <w:b/>
                <w:sz w:val="20"/>
                <w:szCs w:val="20"/>
              </w:rPr>
            </w:pPr>
            <w:r w:rsidRPr="00A23186">
              <w:rPr>
                <w:rFonts w:ascii="Times New Roman" w:hAnsi="Times New Roman" w:cs="Times New Roman"/>
                <w:b/>
                <w:sz w:val="20"/>
                <w:szCs w:val="20"/>
              </w:rPr>
              <w:t>Source of data</w:t>
            </w:r>
          </w:p>
        </w:tc>
        <w:tc>
          <w:tcPr>
            <w:tcW w:w="935" w:type="pct"/>
          </w:tcPr>
          <w:p w:rsidR="00A23186" w:rsidRPr="00A23186" w:rsidRDefault="00A23186" w:rsidP="00A23186">
            <w:pPr>
              <w:snapToGrid w:val="0"/>
              <w:spacing w:after="120"/>
              <w:jc w:val="center"/>
              <w:rPr>
                <w:rFonts w:ascii="Times New Roman" w:hAnsi="Times New Roman" w:cs="Times New Roman"/>
                <w:b/>
                <w:sz w:val="20"/>
                <w:szCs w:val="20"/>
              </w:rPr>
            </w:pPr>
            <w:r w:rsidRPr="00A23186">
              <w:rPr>
                <w:rFonts w:ascii="Times New Roman" w:hAnsi="Times New Roman" w:cs="Times New Roman"/>
                <w:b/>
                <w:sz w:val="20"/>
                <w:szCs w:val="20"/>
              </w:rPr>
              <w:t>Target</w:t>
            </w:r>
          </w:p>
        </w:tc>
      </w:tr>
      <w:tr w:rsidR="00A23186" w:rsidRPr="00A23186" w:rsidTr="00FD3C27">
        <w:tc>
          <w:tcPr>
            <w:tcW w:w="1271" w:type="pct"/>
          </w:tcPr>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Provide reciprocal and effective market opening for goods, services and investment (including through access to government procurement), based on a high level of ambition </w:t>
            </w:r>
          </w:p>
        </w:tc>
        <w:tc>
          <w:tcPr>
            <w:tcW w:w="1023" w:type="pct"/>
          </w:tcPr>
          <w:p w:rsid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Value of </w:t>
            </w:r>
            <w:r w:rsidR="006D3A8F">
              <w:rPr>
                <w:rFonts w:ascii="Times New Roman" w:hAnsi="Times New Roman" w:cs="Times New Roman"/>
                <w:sz w:val="20"/>
                <w:szCs w:val="20"/>
                <w:lang w:val="en-GB"/>
              </w:rPr>
              <w:t xml:space="preserve">bilateral </w:t>
            </w:r>
            <w:r w:rsidRPr="00A23186">
              <w:rPr>
                <w:rFonts w:ascii="Times New Roman" w:hAnsi="Times New Roman" w:cs="Times New Roman"/>
                <w:sz w:val="20"/>
                <w:szCs w:val="20"/>
                <w:lang w:val="en-GB"/>
              </w:rPr>
              <w:t>trade in goods and services</w:t>
            </w:r>
            <w:r w:rsidR="00B05D41">
              <w:rPr>
                <w:rFonts w:ascii="Times New Roman" w:hAnsi="Times New Roman" w:cs="Times New Roman"/>
                <w:sz w:val="20"/>
                <w:szCs w:val="20"/>
                <w:lang w:val="en-GB"/>
              </w:rPr>
              <w:t xml:space="preserve"> and of investment flows</w:t>
            </w:r>
            <w:r w:rsidRPr="00A23186">
              <w:rPr>
                <w:rFonts w:ascii="Times New Roman" w:hAnsi="Times New Roman" w:cs="Times New Roman"/>
                <w:sz w:val="20"/>
                <w:szCs w:val="20"/>
                <w:lang w:val="en-GB"/>
              </w:rPr>
              <w:t xml:space="preserve"> </w:t>
            </w:r>
          </w:p>
          <w:p w:rsidR="006D3A8F" w:rsidRPr="00A23186" w:rsidRDefault="006D3A8F" w:rsidP="00A23186">
            <w:p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 xml:space="preserve">Value of EU share in total Chile trade </w:t>
            </w:r>
          </w:p>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Number of public procurement tenders won by EU bidders, value of bids</w:t>
            </w:r>
          </w:p>
        </w:tc>
        <w:tc>
          <w:tcPr>
            <w:tcW w:w="907" w:type="pct"/>
          </w:tcPr>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Bn €, % change </w:t>
            </w:r>
          </w:p>
          <w:p w:rsidR="00A23186" w:rsidRPr="00A23186" w:rsidRDefault="00A23186" w:rsidP="00A23186">
            <w:pPr>
              <w:snapToGrid w:val="0"/>
              <w:spacing w:after="120"/>
              <w:rPr>
                <w:rFonts w:ascii="Times New Roman" w:hAnsi="Times New Roman" w:cs="Times New Roman"/>
                <w:sz w:val="20"/>
                <w:szCs w:val="20"/>
                <w:lang w:val="en-GB"/>
              </w:rPr>
            </w:pPr>
          </w:p>
          <w:p w:rsidR="006D3A8F" w:rsidRDefault="006D3A8F" w:rsidP="00A23186">
            <w:pPr>
              <w:snapToGrid w:val="0"/>
              <w:spacing w:after="120"/>
              <w:rPr>
                <w:rFonts w:ascii="Times New Roman" w:hAnsi="Times New Roman" w:cs="Times New Roman"/>
                <w:sz w:val="20"/>
                <w:szCs w:val="20"/>
                <w:lang w:val="en-GB"/>
              </w:rPr>
            </w:pPr>
          </w:p>
          <w:p w:rsidR="006D3A8F" w:rsidRDefault="006D3A8F" w:rsidP="00A23186">
            <w:p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 change</w:t>
            </w:r>
          </w:p>
          <w:p w:rsidR="006D3A8F" w:rsidRPr="00E851A2" w:rsidRDefault="006D3A8F" w:rsidP="00A23186">
            <w:pPr>
              <w:snapToGrid w:val="0"/>
              <w:spacing w:after="120"/>
              <w:rPr>
                <w:rFonts w:ascii="Times New Roman" w:hAnsi="Times New Roman" w:cs="Times New Roman"/>
                <w:sz w:val="8"/>
                <w:szCs w:val="8"/>
                <w:lang w:val="en-GB"/>
              </w:rPr>
            </w:pPr>
          </w:p>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Number of tenders won, Bn €, % change</w:t>
            </w:r>
          </w:p>
        </w:tc>
        <w:tc>
          <w:tcPr>
            <w:tcW w:w="865" w:type="pct"/>
          </w:tcPr>
          <w:p w:rsidR="00A23186" w:rsidRPr="00A23186" w:rsidRDefault="00A23186" w:rsidP="00A23186">
            <w:pPr>
              <w:snapToGrid w:val="0"/>
              <w:spacing w:after="120"/>
              <w:rPr>
                <w:rFonts w:ascii="Times New Roman" w:hAnsi="Times New Roman" w:cs="Times New Roman"/>
                <w:sz w:val="20"/>
                <w:szCs w:val="20"/>
              </w:rPr>
            </w:pPr>
            <w:r w:rsidRPr="00A23186">
              <w:rPr>
                <w:rFonts w:ascii="Times New Roman" w:hAnsi="Times New Roman" w:cs="Times New Roman"/>
                <w:sz w:val="20"/>
                <w:szCs w:val="20"/>
              </w:rPr>
              <w:t>Eurostat</w:t>
            </w:r>
          </w:p>
          <w:p w:rsidR="00A23186" w:rsidRPr="00A23186" w:rsidRDefault="00E23FC0" w:rsidP="00D0361E">
            <w:pPr>
              <w:snapToGrid w:val="0"/>
              <w:spacing w:after="120"/>
              <w:rPr>
                <w:rFonts w:ascii="Times New Roman" w:hAnsi="Times New Roman" w:cs="Times New Roman"/>
                <w:sz w:val="20"/>
                <w:szCs w:val="20"/>
              </w:rPr>
            </w:pPr>
            <w:r>
              <w:rPr>
                <w:rFonts w:ascii="Times New Roman" w:hAnsi="Times New Roman" w:cs="Times New Roman"/>
                <w:sz w:val="20"/>
                <w:szCs w:val="20"/>
              </w:rPr>
              <w:t>Chilean statistics</w:t>
            </w:r>
          </w:p>
        </w:tc>
        <w:tc>
          <w:tcPr>
            <w:tcW w:w="935" w:type="pct"/>
          </w:tcPr>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Increase the value </w:t>
            </w:r>
            <w:r w:rsidR="006D3A8F">
              <w:rPr>
                <w:rFonts w:ascii="Times New Roman" w:hAnsi="Times New Roman" w:cs="Times New Roman"/>
                <w:sz w:val="20"/>
                <w:szCs w:val="20"/>
                <w:lang w:val="en-GB"/>
              </w:rPr>
              <w:t xml:space="preserve">and share </w:t>
            </w:r>
            <w:r w:rsidRPr="00A23186">
              <w:rPr>
                <w:rFonts w:ascii="Times New Roman" w:hAnsi="Times New Roman" w:cs="Times New Roman"/>
                <w:sz w:val="20"/>
                <w:szCs w:val="20"/>
                <w:lang w:val="en-GB"/>
              </w:rPr>
              <w:t xml:space="preserve">of bilateral trade </w:t>
            </w:r>
          </w:p>
          <w:p w:rsidR="00A23186" w:rsidRPr="00A23186" w:rsidRDefault="00A23186" w:rsidP="00D0361E">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Increase in value and  number of tenders won by EU bidders in </w:t>
            </w:r>
            <w:r w:rsidR="00D0361E" w:rsidRPr="00D0361E">
              <w:rPr>
                <w:rFonts w:ascii="Times New Roman" w:hAnsi="Times New Roman" w:cs="Times New Roman"/>
                <w:sz w:val="20"/>
                <w:szCs w:val="20"/>
                <w:lang w:val="en-GB"/>
              </w:rPr>
              <w:t>Chile</w:t>
            </w:r>
          </w:p>
        </w:tc>
      </w:tr>
      <w:tr w:rsidR="00A23186" w:rsidRPr="00A23186" w:rsidTr="00FD3C27">
        <w:tc>
          <w:tcPr>
            <w:tcW w:w="1271" w:type="pct"/>
          </w:tcPr>
          <w:p w:rsidR="00A23186" w:rsidRPr="00A23186" w:rsidRDefault="00A23186" w:rsidP="00D0361E">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Tackling barriers in a comprehensive way, along with effective implementation and enforcement, without leaving room for new barriers to replace old ones, including for </w:t>
            </w:r>
            <w:r w:rsidR="00D0361E">
              <w:rPr>
                <w:rFonts w:ascii="Times New Roman" w:hAnsi="Times New Roman" w:cs="Times New Roman"/>
                <w:sz w:val="20"/>
                <w:szCs w:val="20"/>
                <w:lang w:val="en-GB"/>
              </w:rPr>
              <w:t>SMEs</w:t>
            </w:r>
          </w:p>
        </w:tc>
        <w:tc>
          <w:tcPr>
            <w:tcW w:w="1023" w:type="pct"/>
          </w:tcPr>
          <w:p w:rsidR="00A23186" w:rsidRPr="00A23186" w:rsidRDefault="00F0331D" w:rsidP="00A23186">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00A23186" w:rsidRPr="00A23186">
              <w:rPr>
                <w:rFonts w:ascii="Times New Roman" w:hAnsi="Times New Roman" w:cs="Times New Roman"/>
                <w:sz w:val="20"/>
                <w:szCs w:val="20"/>
                <w:lang w:val="en-GB"/>
              </w:rPr>
              <w:t xml:space="preserve">Number of trade </w:t>
            </w:r>
            <w:r w:rsidR="00B05D41">
              <w:rPr>
                <w:rFonts w:ascii="Times New Roman" w:hAnsi="Times New Roman" w:cs="Times New Roman"/>
                <w:sz w:val="20"/>
                <w:szCs w:val="20"/>
                <w:lang w:val="en-GB"/>
              </w:rPr>
              <w:t xml:space="preserve">and investment </w:t>
            </w:r>
            <w:r w:rsidR="00A23186" w:rsidRPr="00A23186">
              <w:rPr>
                <w:rFonts w:ascii="Times New Roman" w:hAnsi="Times New Roman" w:cs="Times New Roman"/>
                <w:sz w:val="20"/>
                <w:szCs w:val="20"/>
                <w:lang w:val="en-GB"/>
              </w:rPr>
              <w:t>barrier cases resolved</w:t>
            </w:r>
          </w:p>
        </w:tc>
        <w:tc>
          <w:tcPr>
            <w:tcW w:w="907" w:type="pct"/>
          </w:tcPr>
          <w:p w:rsidR="00A23186" w:rsidRPr="00A23186" w:rsidRDefault="00A23186" w:rsidP="00A23186">
            <w:pPr>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Number of trade </w:t>
            </w:r>
            <w:r w:rsidR="00B05D41">
              <w:rPr>
                <w:rFonts w:ascii="Times New Roman" w:hAnsi="Times New Roman" w:cs="Times New Roman"/>
                <w:sz w:val="20"/>
                <w:szCs w:val="20"/>
                <w:lang w:val="en-GB"/>
              </w:rPr>
              <w:t xml:space="preserve">and investment </w:t>
            </w:r>
            <w:r w:rsidRPr="00A23186">
              <w:rPr>
                <w:rFonts w:ascii="Times New Roman" w:hAnsi="Times New Roman" w:cs="Times New Roman"/>
                <w:sz w:val="20"/>
                <w:szCs w:val="20"/>
                <w:lang w:val="en-GB"/>
              </w:rPr>
              <w:t>barriers resolved</w:t>
            </w:r>
          </w:p>
        </w:tc>
        <w:tc>
          <w:tcPr>
            <w:tcW w:w="865" w:type="pct"/>
          </w:tcPr>
          <w:p w:rsidR="00A23186" w:rsidRDefault="00A23186" w:rsidP="00A23186">
            <w:pPr>
              <w:rPr>
                <w:rFonts w:ascii="Times New Roman" w:hAnsi="Times New Roman" w:cs="Times New Roman"/>
                <w:sz w:val="20"/>
                <w:szCs w:val="20"/>
              </w:rPr>
            </w:pPr>
            <w:r w:rsidRPr="00A23186">
              <w:rPr>
                <w:rFonts w:ascii="Times New Roman" w:hAnsi="Times New Roman" w:cs="Times New Roman"/>
                <w:sz w:val="20"/>
                <w:szCs w:val="20"/>
              </w:rPr>
              <w:t xml:space="preserve">DG TRADE </w:t>
            </w:r>
          </w:p>
          <w:p w:rsidR="006D3A8F" w:rsidRPr="00A23186" w:rsidRDefault="006D3A8F" w:rsidP="00A23186">
            <w:pPr>
              <w:rPr>
                <w:rFonts w:ascii="Times New Roman" w:hAnsi="Times New Roman" w:cs="Times New Roman"/>
                <w:sz w:val="20"/>
                <w:szCs w:val="20"/>
              </w:rPr>
            </w:pPr>
            <w:r>
              <w:rPr>
                <w:rFonts w:ascii="Times New Roman" w:hAnsi="Times New Roman" w:cs="Times New Roman"/>
                <w:sz w:val="20"/>
                <w:szCs w:val="20"/>
              </w:rPr>
              <w:t>(Macflow Database)</w:t>
            </w:r>
          </w:p>
        </w:tc>
        <w:tc>
          <w:tcPr>
            <w:tcW w:w="935" w:type="pct"/>
          </w:tcPr>
          <w:p w:rsidR="00A23186" w:rsidRPr="00E851A2" w:rsidRDefault="006D3A8F" w:rsidP="006D3A8F">
            <w:pPr>
              <w:rPr>
                <w:rFonts w:ascii="Times New Roman" w:hAnsi="Times New Roman" w:cs="Times New Roman"/>
                <w:sz w:val="20"/>
                <w:szCs w:val="20"/>
                <w:lang w:val="en-GB"/>
              </w:rPr>
            </w:pPr>
            <w:r w:rsidRPr="003A5D5E">
              <w:rPr>
                <w:rFonts w:ascii="Times New Roman" w:hAnsi="Times New Roman" w:cs="Times New Roman"/>
                <w:sz w:val="20"/>
                <w:szCs w:val="20"/>
                <w:lang w:val="en-GB"/>
              </w:rPr>
              <w:t>Reduce the number of trad</w:t>
            </w:r>
            <w:r>
              <w:rPr>
                <w:rFonts w:ascii="Times New Roman" w:hAnsi="Times New Roman" w:cs="Times New Roman"/>
                <w:sz w:val="20"/>
                <w:szCs w:val="20"/>
                <w:lang w:val="en-GB"/>
              </w:rPr>
              <w:t>e</w:t>
            </w:r>
            <w:r w:rsidRPr="003A5D5E">
              <w:rPr>
                <w:rFonts w:ascii="Times New Roman" w:hAnsi="Times New Roman" w:cs="Times New Roman"/>
                <w:sz w:val="20"/>
                <w:szCs w:val="20"/>
                <w:lang w:val="en-GB"/>
              </w:rPr>
              <w:t xml:space="preserve"> barrier cases</w:t>
            </w:r>
          </w:p>
        </w:tc>
      </w:tr>
      <w:tr w:rsidR="00A23186" w:rsidRPr="00A23186" w:rsidTr="00FD3C27">
        <w:tc>
          <w:tcPr>
            <w:tcW w:w="1271" w:type="pct"/>
          </w:tcPr>
          <w:p w:rsidR="00A23186" w:rsidRPr="004A6396" w:rsidRDefault="00A23186" w:rsidP="004A639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Ensure a high level of investment </w:t>
            </w:r>
            <w:r w:rsidR="004A6396">
              <w:rPr>
                <w:rFonts w:ascii="Times New Roman" w:hAnsi="Times New Roman" w:cs="Times New Roman"/>
                <w:sz w:val="20"/>
                <w:szCs w:val="20"/>
                <w:lang w:val="en-GB"/>
              </w:rPr>
              <w:t>protection</w:t>
            </w:r>
          </w:p>
        </w:tc>
        <w:tc>
          <w:tcPr>
            <w:tcW w:w="1023" w:type="pct"/>
          </w:tcPr>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Value of investment</w:t>
            </w:r>
          </w:p>
          <w:p w:rsidR="00A23186" w:rsidRPr="00A23186" w:rsidRDefault="00A23186" w:rsidP="00A23186">
            <w:pPr>
              <w:snapToGrid w:val="0"/>
              <w:spacing w:after="120"/>
              <w:rPr>
                <w:rFonts w:ascii="Times New Roman" w:hAnsi="Times New Roman" w:cs="Times New Roman"/>
                <w:sz w:val="20"/>
                <w:szCs w:val="20"/>
                <w:lang w:val="en-GB"/>
              </w:rPr>
            </w:pPr>
          </w:p>
          <w:p w:rsidR="00A23186" w:rsidRPr="00A23186" w:rsidRDefault="00A23186" w:rsidP="00A23186">
            <w:pPr>
              <w:snapToGrid w:val="0"/>
              <w:spacing w:after="120"/>
              <w:rPr>
                <w:rFonts w:ascii="Times New Roman" w:hAnsi="Times New Roman" w:cs="Times New Roman"/>
                <w:sz w:val="20"/>
                <w:szCs w:val="20"/>
                <w:lang w:val="en-GB"/>
              </w:rPr>
            </w:pPr>
          </w:p>
        </w:tc>
        <w:tc>
          <w:tcPr>
            <w:tcW w:w="907" w:type="pct"/>
          </w:tcPr>
          <w:p w:rsidR="00A23186" w:rsidRPr="00A23186" w:rsidRDefault="00B05D41" w:rsidP="00A23186">
            <w:p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Number of investors</w:t>
            </w:r>
            <w:r w:rsidR="001D4E24">
              <w:rPr>
                <w:rFonts w:ascii="Times New Roman" w:hAnsi="Times New Roman" w:cs="Times New Roman"/>
                <w:sz w:val="20"/>
                <w:szCs w:val="20"/>
                <w:lang w:val="en-GB"/>
              </w:rPr>
              <w:t xml:space="preserve">' </w:t>
            </w:r>
            <w:r>
              <w:rPr>
                <w:rFonts w:ascii="Times New Roman" w:hAnsi="Times New Roman" w:cs="Times New Roman"/>
                <w:sz w:val="20"/>
                <w:szCs w:val="20"/>
                <w:lang w:val="en-GB"/>
              </w:rPr>
              <w:t>complaints</w:t>
            </w:r>
          </w:p>
          <w:p w:rsidR="00A23186" w:rsidRPr="00A23186" w:rsidRDefault="00A23186" w:rsidP="00A23186">
            <w:pPr>
              <w:snapToGrid w:val="0"/>
              <w:spacing w:after="120"/>
              <w:rPr>
                <w:rFonts w:ascii="Times New Roman" w:hAnsi="Times New Roman" w:cs="Times New Roman"/>
                <w:sz w:val="20"/>
                <w:szCs w:val="20"/>
                <w:lang w:val="en-GB"/>
              </w:rPr>
            </w:pPr>
          </w:p>
        </w:tc>
        <w:tc>
          <w:tcPr>
            <w:tcW w:w="865" w:type="pct"/>
          </w:tcPr>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DG TRADE</w:t>
            </w:r>
          </w:p>
          <w:p w:rsidR="00E16507" w:rsidRPr="00A23186" w:rsidRDefault="00D0361E" w:rsidP="00D0361E">
            <w:pPr>
              <w:snapToGrid w:val="0"/>
              <w:spacing w:after="120"/>
              <w:rPr>
                <w:rFonts w:ascii="Times New Roman" w:hAnsi="Times New Roman" w:cs="Times New Roman"/>
                <w:sz w:val="20"/>
                <w:szCs w:val="20"/>
                <w:lang w:val="en-GB"/>
              </w:rPr>
            </w:pPr>
            <w:r w:rsidRPr="00D0361E">
              <w:rPr>
                <w:rFonts w:ascii="Times New Roman" w:hAnsi="Times New Roman" w:cs="Times New Roman"/>
                <w:sz w:val="20"/>
                <w:szCs w:val="20"/>
                <w:lang w:val="en-GB"/>
              </w:rPr>
              <w:t xml:space="preserve">Chilean </w:t>
            </w:r>
            <w:r w:rsidR="00A23186" w:rsidRPr="00A23186">
              <w:rPr>
                <w:rFonts w:ascii="Times New Roman" w:hAnsi="Times New Roman" w:cs="Times New Roman"/>
                <w:sz w:val="20"/>
                <w:szCs w:val="20"/>
                <w:lang w:val="en-GB"/>
              </w:rPr>
              <w:t xml:space="preserve"> government departments</w:t>
            </w:r>
          </w:p>
        </w:tc>
        <w:tc>
          <w:tcPr>
            <w:tcW w:w="935" w:type="pct"/>
          </w:tcPr>
          <w:p w:rsidR="00A23186" w:rsidRPr="00A23186" w:rsidRDefault="006D3A8F" w:rsidP="00A23186">
            <w:pPr>
              <w:snapToGrid w:val="0"/>
              <w:spacing w:after="120"/>
              <w:rPr>
                <w:rFonts w:ascii="Times New Roman" w:hAnsi="Times New Roman" w:cs="Times New Roman"/>
                <w:sz w:val="20"/>
                <w:szCs w:val="20"/>
              </w:rPr>
            </w:pPr>
            <w:r>
              <w:rPr>
                <w:rFonts w:ascii="Times New Roman" w:hAnsi="Times New Roman" w:cs="Times New Roman"/>
                <w:sz w:val="20"/>
                <w:szCs w:val="20"/>
              </w:rPr>
              <w:t>FDI increases</w:t>
            </w:r>
          </w:p>
        </w:tc>
      </w:tr>
      <w:tr w:rsidR="004A6396" w:rsidRPr="00A23186" w:rsidTr="00FD3C27">
        <w:tc>
          <w:tcPr>
            <w:tcW w:w="1271" w:type="pct"/>
          </w:tcPr>
          <w:p w:rsidR="00E16507" w:rsidRDefault="00E16507" w:rsidP="00D0361E">
            <w:pPr>
              <w:snapToGrid w:val="0"/>
              <w:spacing w:after="120"/>
              <w:rPr>
                <w:rFonts w:ascii="Times New Roman" w:hAnsi="Times New Roman" w:cs="Times New Roman"/>
                <w:sz w:val="20"/>
                <w:szCs w:val="20"/>
                <w:lang w:val="en-GB"/>
              </w:rPr>
            </w:pPr>
          </w:p>
          <w:p w:rsidR="004A6396" w:rsidRPr="004A6396" w:rsidRDefault="004A6396" w:rsidP="00D0361E">
            <w:p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Ensure a high level of protect</w:t>
            </w:r>
            <w:r w:rsidRPr="004A6396">
              <w:rPr>
                <w:rFonts w:ascii="Times New Roman" w:hAnsi="Times New Roman" w:cs="Times New Roman"/>
                <w:sz w:val="20"/>
                <w:szCs w:val="20"/>
                <w:lang w:val="en-GB"/>
              </w:rPr>
              <w:t>i</w:t>
            </w:r>
            <w:r>
              <w:rPr>
                <w:rFonts w:ascii="Times New Roman" w:hAnsi="Times New Roman" w:cs="Times New Roman"/>
                <w:sz w:val="20"/>
                <w:szCs w:val="20"/>
                <w:lang w:val="en-GB"/>
              </w:rPr>
              <w:t>o</w:t>
            </w:r>
            <w:r w:rsidRPr="004A6396">
              <w:rPr>
                <w:rFonts w:ascii="Times New Roman" w:hAnsi="Times New Roman" w:cs="Times New Roman"/>
                <w:sz w:val="20"/>
                <w:szCs w:val="20"/>
                <w:lang w:val="en-GB"/>
              </w:rPr>
              <w:t>n of IPR</w:t>
            </w:r>
            <w:r>
              <w:rPr>
                <w:rFonts w:ascii="Times New Roman" w:hAnsi="Times New Roman" w:cs="Times New Roman"/>
                <w:sz w:val="20"/>
                <w:szCs w:val="20"/>
                <w:lang w:val="en-GB"/>
              </w:rPr>
              <w:t>, including Geographical Indications</w:t>
            </w:r>
          </w:p>
        </w:tc>
        <w:tc>
          <w:tcPr>
            <w:tcW w:w="1023" w:type="pct"/>
          </w:tcPr>
          <w:p w:rsidR="00E16507" w:rsidRDefault="00E16507" w:rsidP="00A23186">
            <w:pPr>
              <w:snapToGrid w:val="0"/>
              <w:spacing w:after="120"/>
              <w:rPr>
                <w:rFonts w:ascii="Times New Roman" w:hAnsi="Times New Roman" w:cs="Times New Roman"/>
                <w:sz w:val="20"/>
                <w:szCs w:val="20"/>
                <w:lang w:val="en-GB"/>
              </w:rPr>
            </w:pPr>
          </w:p>
          <w:p w:rsidR="004A6396" w:rsidRDefault="004A639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Number of protected GIs</w:t>
            </w:r>
          </w:p>
          <w:p w:rsidR="004902D5" w:rsidRPr="004A6396" w:rsidRDefault="004902D5" w:rsidP="00A23186">
            <w:p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Exports of GI products</w:t>
            </w:r>
          </w:p>
        </w:tc>
        <w:tc>
          <w:tcPr>
            <w:tcW w:w="907" w:type="pct"/>
          </w:tcPr>
          <w:p w:rsidR="00E16507" w:rsidRDefault="00E16507" w:rsidP="00A23186">
            <w:pPr>
              <w:snapToGrid w:val="0"/>
              <w:spacing w:after="120"/>
              <w:rPr>
                <w:rFonts w:ascii="Times New Roman" w:hAnsi="Times New Roman" w:cs="Times New Roman"/>
                <w:sz w:val="20"/>
                <w:szCs w:val="20"/>
                <w:lang w:val="en-GB"/>
              </w:rPr>
            </w:pPr>
          </w:p>
          <w:p w:rsidR="004A6396" w:rsidRDefault="004A639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Number of protected GIs</w:t>
            </w:r>
          </w:p>
          <w:p w:rsidR="004902D5" w:rsidRDefault="004902D5" w:rsidP="00A23186">
            <w:p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Volume and change in exports of GI protected products</w:t>
            </w:r>
          </w:p>
          <w:p w:rsidR="004902D5" w:rsidRPr="004A6396" w:rsidRDefault="004902D5" w:rsidP="00A23186">
            <w:pPr>
              <w:snapToGrid w:val="0"/>
              <w:spacing w:after="120"/>
              <w:rPr>
                <w:rFonts w:ascii="Times New Roman" w:hAnsi="Times New Roman" w:cs="Times New Roman"/>
                <w:sz w:val="20"/>
                <w:szCs w:val="20"/>
                <w:lang w:val="en-GB"/>
              </w:rPr>
            </w:pPr>
          </w:p>
        </w:tc>
        <w:tc>
          <w:tcPr>
            <w:tcW w:w="865" w:type="pct"/>
          </w:tcPr>
          <w:p w:rsidR="00E16507" w:rsidRDefault="00E16507" w:rsidP="004A6396">
            <w:pPr>
              <w:snapToGrid w:val="0"/>
              <w:spacing w:after="120"/>
              <w:rPr>
                <w:rFonts w:ascii="Times New Roman" w:hAnsi="Times New Roman" w:cs="Times New Roman"/>
                <w:sz w:val="20"/>
                <w:szCs w:val="20"/>
                <w:lang w:val="en-GB"/>
              </w:rPr>
            </w:pPr>
          </w:p>
          <w:p w:rsidR="004A6396" w:rsidRPr="00A23186" w:rsidRDefault="004A6396" w:rsidP="004A639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DG TRADE/DG AGRI</w:t>
            </w:r>
          </w:p>
          <w:p w:rsidR="004A6396" w:rsidRPr="004A6396" w:rsidRDefault="004A6396" w:rsidP="004A6396">
            <w:pPr>
              <w:snapToGrid w:val="0"/>
              <w:spacing w:after="120"/>
              <w:rPr>
                <w:rFonts w:ascii="Times New Roman" w:hAnsi="Times New Roman" w:cs="Times New Roman"/>
                <w:sz w:val="20"/>
                <w:szCs w:val="20"/>
                <w:lang w:val="en-GB"/>
              </w:rPr>
            </w:pPr>
            <w:r w:rsidRPr="00D0361E">
              <w:rPr>
                <w:rFonts w:ascii="Times New Roman" w:hAnsi="Times New Roman" w:cs="Times New Roman"/>
                <w:sz w:val="20"/>
                <w:szCs w:val="20"/>
                <w:lang w:val="en-GB"/>
              </w:rPr>
              <w:t xml:space="preserve">Chilean </w:t>
            </w:r>
            <w:r w:rsidRPr="00A23186">
              <w:rPr>
                <w:rFonts w:ascii="Times New Roman" w:hAnsi="Times New Roman" w:cs="Times New Roman"/>
                <w:sz w:val="20"/>
                <w:szCs w:val="20"/>
                <w:lang w:val="en-GB"/>
              </w:rPr>
              <w:t xml:space="preserve"> government departments</w:t>
            </w:r>
          </w:p>
        </w:tc>
        <w:tc>
          <w:tcPr>
            <w:tcW w:w="935" w:type="pct"/>
          </w:tcPr>
          <w:p w:rsidR="00E16507" w:rsidRPr="00775F6F" w:rsidRDefault="00E16507" w:rsidP="00A23186">
            <w:pPr>
              <w:snapToGrid w:val="0"/>
              <w:spacing w:after="120"/>
              <w:rPr>
                <w:rFonts w:ascii="Times New Roman" w:hAnsi="Times New Roman" w:cs="Times New Roman"/>
                <w:sz w:val="20"/>
                <w:szCs w:val="20"/>
                <w:lang w:val="en-GB"/>
              </w:rPr>
            </w:pPr>
          </w:p>
          <w:p w:rsidR="004A6396" w:rsidRPr="006D3A8F" w:rsidRDefault="006D3A8F" w:rsidP="006D3A8F">
            <w:pPr>
              <w:snapToGrid w:val="0"/>
              <w:spacing w:after="120"/>
              <w:rPr>
                <w:rFonts w:ascii="Times New Roman" w:hAnsi="Times New Roman" w:cs="Times New Roman"/>
                <w:sz w:val="20"/>
                <w:szCs w:val="20"/>
                <w:lang w:val="en-GB"/>
              </w:rPr>
            </w:pPr>
            <w:r w:rsidRPr="003A5D5E">
              <w:rPr>
                <w:rFonts w:ascii="Times New Roman" w:hAnsi="Times New Roman" w:cs="Times New Roman"/>
                <w:sz w:val="20"/>
                <w:szCs w:val="20"/>
                <w:lang w:val="en-GB"/>
              </w:rPr>
              <w:t>Increase the number of protected GIs</w:t>
            </w:r>
          </w:p>
        </w:tc>
      </w:tr>
      <w:tr w:rsidR="00A23186" w:rsidRPr="00A23186" w:rsidTr="00FD3C27">
        <w:tc>
          <w:tcPr>
            <w:tcW w:w="1271" w:type="pct"/>
          </w:tcPr>
          <w:p w:rsidR="007339BE" w:rsidRPr="00A23186" w:rsidRDefault="00A23186" w:rsidP="00146EEA">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Reinforce dialogue and cooperation on regulatory frameworks (including standards, technical regulations and conformity assessment procedures) and administrative practices to improve regulatory coherence</w:t>
            </w:r>
          </w:p>
        </w:tc>
        <w:tc>
          <w:tcPr>
            <w:tcW w:w="1023" w:type="pct"/>
          </w:tcPr>
          <w:p w:rsidR="00A23186" w:rsidRPr="00A23186" w:rsidRDefault="00A23186" w:rsidP="00A23186">
            <w:pPr>
              <w:rPr>
                <w:rFonts w:ascii="Times New Roman" w:hAnsi="Times New Roman" w:cs="Times New Roman"/>
                <w:sz w:val="20"/>
                <w:szCs w:val="20"/>
                <w:lang w:val="en-GB"/>
              </w:rPr>
            </w:pPr>
            <w:r w:rsidRPr="00A23186">
              <w:rPr>
                <w:rFonts w:ascii="Times New Roman" w:hAnsi="Times New Roman" w:cs="Times New Roman"/>
                <w:sz w:val="20"/>
                <w:szCs w:val="20"/>
                <w:lang w:val="en-GB"/>
              </w:rPr>
              <w:t>Number of policy areas where regulatory coherence has been improved</w:t>
            </w:r>
          </w:p>
        </w:tc>
        <w:tc>
          <w:tcPr>
            <w:tcW w:w="907" w:type="pct"/>
          </w:tcPr>
          <w:p w:rsidR="00A23186" w:rsidRPr="00A23186" w:rsidRDefault="00A23186" w:rsidP="00A23186">
            <w:pPr>
              <w:rPr>
                <w:rFonts w:ascii="Times New Roman" w:hAnsi="Times New Roman" w:cs="Times New Roman"/>
                <w:sz w:val="20"/>
                <w:szCs w:val="20"/>
              </w:rPr>
            </w:pPr>
            <w:r w:rsidRPr="00A23186">
              <w:rPr>
                <w:rFonts w:ascii="Times New Roman" w:hAnsi="Times New Roman" w:cs="Times New Roman"/>
                <w:sz w:val="20"/>
                <w:szCs w:val="20"/>
              </w:rPr>
              <w:t>Number of policy areas</w:t>
            </w:r>
          </w:p>
        </w:tc>
        <w:tc>
          <w:tcPr>
            <w:tcW w:w="865" w:type="pct"/>
          </w:tcPr>
          <w:p w:rsidR="00A23186" w:rsidRPr="00A23186" w:rsidRDefault="00A23186" w:rsidP="00D0361E">
            <w:pPr>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DG TRADE, </w:t>
            </w:r>
            <w:r w:rsidR="00D0361E" w:rsidRPr="00D0361E">
              <w:rPr>
                <w:rFonts w:ascii="Times New Roman" w:hAnsi="Times New Roman" w:cs="Times New Roman"/>
                <w:sz w:val="20"/>
                <w:szCs w:val="20"/>
                <w:lang w:val="en-GB"/>
              </w:rPr>
              <w:t>Chilean</w:t>
            </w:r>
            <w:r w:rsidRPr="00A23186">
              <w:rPr>
                <w:rFonts w:ascii="Times New Roman" w:hAnsi="Times New Roman" w:cs="Times New Roman"/>
                <w:sz w:val="20"/>
                <w:szCs w:val="20"/>
                <w:lang w:val="en-GB"/>
              </w:rPr>
              <w:t xml:space="preserve"> government departments</w:t>
            </w:r>
          </w:p>
        </w:tc>
        <w:tc>
          <w:tcPr>
            <w:tcW w:w="935" w:type="pct"/>
          </w:tcPr>
          <w:p w:rsidR="00696621" w:rsidRPr="00E851A2" w:rsidRDefault="00696621" w:rsidP="00E851A2">
            <w:pPr>
              <w:rPr>
                <w:rFonts w:ascii="Times New Roman" w:hAnsi="Times New Roman" w:cs="Times New Roman"/>
                <w:sz w:val="20"/>
                <w:szCs w:val="20"/>
                <w:lang w:val="en-GB"/>
              </w:rPr>
            </w:pPr>
            <w:r>
              <w:rPr>
                <w:rFonts w:ascii="Times New Roman" w:hAnsi="Times New Roman" w:cs="Times New Roman"/>
                <w:sz w:val="20"/>
                <w:szCs w:val="20"/>
                <w:lang w:val="en-GB"/>
              </w:rPr>
              <w:t xml:space="preserve">Greater regulatory coherence achieved in more policy areas </w:t>
            </w:r>
          </w:p>
        </w:tc>
      </w:tr>
      <w:tr w:rsidR="00A23186" w:rsidRPr="00A23186" w:rsidTr="00FD3C27">
        <w:tc>
          <w:tcPr>
            <w:tcW w:w="1271" w:type="pct"/>
          </w:tcPr>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 xml:space="preserve">Contribute to the shared objective of promoting sustainable development, inter alia by including trade-related provisions on labour and environment </w:t>
            </w:r>
          </w:p>
          <w:p w:rsidR="00A23186" w:rsidRPr="00A23186" w:rsidRDefault="004F63A8" w:rsidP="00D0361E">
            <w:p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Ensure</w:t>
            </w:r>
            <w:r w:rsidR="00A23186" w:rsidRPr="00A23186">
              <w:rPr>
                <w:rFonts w:ascii="Times New Roman" w:hAnsi="Times New Roman" w:cs="Times New Roman"/>
                <w:sz w:val="20"/>
                <w:szCs w:val="20"/>
                <w:lang w:val="en-GB"/>
              </w:rPr>
              <w:t xml:space="preserve"> labour rights </w:t>
            </w:r>
            <w:r w:rsidR="00D0361E">
              <w:rPr>
                <w:rFonts w:ascii="Times New Roman" w:hAnsi="Times New Roman" w:cs="Times New Roman"/>
                <w:sz w:val="20"/>
                <w:szCs w:val="20"/>
                <w:lang w:val="en-GB"/>
              </w:rPr>
              <w:t xml:space="preserve">&amp; </w:t>
            </w:r>
            <w:r w:rsidR="00A23186" w:rsidRPr="00A23186">
              <w:rPr>
                <w:rFonts w:ascii="Times New Roman" w:hAnsi="Times New Roman" w:cs="Times New Roman"/>
                <w:sz w:val="20"/>
                <w:szCs w:val="20"/>
                <w:lang w:val="en-GB"/>
              </w:rPr>
              <w:t>environmental, health and consumer protection</w:t>
            </w:r>
            <w:r>
              <w:rPr>
                <w:rFonts w:ascii="Times New Roman" w:hAnsi="Times New Roman" w:cs="Times New Roman"/>
                <w:sz w:val="20"/>
                <w:szCs w:val="20"/>
                <w:lang w:val="en-GB"/>
              </w:rPr>
              <w:t>, as well as respect for human rights in the EU-Chile trade context.</w:t>
            </w:r>
          </w:p>
        </w:tc>
        <w:tc>
          <w:tcPr>
            <w:tcW w:w="1023" w:type="pct"/>
          </w:tcPr>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Monitoring of</w:t>
            </w:r>
            <w:r w:rsidR="0083164D">
              <w:rPr>
                <w:rFonts w:ascii="Times New Roman" w:hAnsi="Times New Roman" w:cs="Times New Roman"/>
                <w:sz w:val="20"/>
                <w:szCs w:val="20"/>
                <w:lang w:val="en-GB"/>
              </w:rPr>
              <w:t xml:space="preserve"> ratification and</w:t>
            </w:r>
            <w:r w:rsidRPr="00A23186">
              <w:rPr>
                <w:rFonts w:ascii="Times New Roman" w:hAnsi="Times New Roman" w:cs="Times New Roman"/>
                <w:sz w:val="20"/>
                <w:szCs w:val="20"/>
                <w:lang w:val="en-GB"/>
              </w:rPr>
              <w:t xml:space="preserve"> implementation of relevant international conventions </w:t>
            </w:r>
          </w:p>
          <w:p w:rsidR="00A23186" w:rsidRPr="00A23186" w:rsidRDefault="00A23186" w:rsidP="00A23186">
            <w:pPr>
              <w:snapToGrid w:val="0"/>
              <w:spacing w:after="120"/>
              <w:rPr>
                <w:rFonts w:ascii="Times New Roman" w:hAnsi="Times New Roman" w:cs="Times New Roman"/>
                <w:sz w:val="20"/>
                <w:szCs w:val="20"/>
                <w:lang w:val="en-GB"/>
              </w:rPr>
            </w:pPr>
          </w:p>
          <w:p w:rsidR="00A23186" w:rsidRDefault="00A23186" w:rsidP="00A23186">
            <w:pPr>
              <w:snapToGrid w:val="0"/>
              <w:spacing w:after="120"/>
              <w:rPr>
                <w:rFonts w:ascii="Times New Roman" w:hAnsi="Times New Roman" w:cs="Times New Roman"/>
                <w:sz w:val="20"/>
                <w:szCs w:val="20"/>
                <w:lang w:val="en-GB"/>
              </w:rPr>
            </w:pPr>
          </w:p>
          <w:p w:rsidR="004F63A8" w:rsidRPr="00A23186" w:rsidRDefault="004F63A8" w:rsidP="00A23186">
            <w:p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Qualitative indicators in the policy areas, e.g. from SDG reporting.</w:t>
            </w:r>
          </w:p>
        </w:tc>
        <w:tc>
          <w:tcPr>
            <w:tcW w:w="907" w:type="pct"/>
          </w:tcPr>
          <w:p w:rsidR="00A23186" w:rsidRPr="00A23186" w:rsidRDefault="00405113" w:rsidP="00A23186">
            <w:p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Number of positive assessments</w:t>
            </w:r>
          </w:p>
          <w:p w:rsidR="00A23186" w:rsidRPr="00A23186" w:rsidRDefault="00A23186" w:rsidP="00A23186">
            <w:pPr>
              <w:snapToGrid w:val="0"/>
              <w:spacing w:after="120"/>
              <w:rPr>
                <w:rFonts w:ascii="Times New Roman" w:hAnsi="Times New Roman" w:cs="Times New Roman"/>
                <w:sz w:val="20"/>
                <w:szCs w:val="20"/>
                <w:lang w:val="en-GB"/>
              </w:rPr>
            </w:pPr>
          </w:p>
          <w:p w:rsidR="00A23186" w:rsidRPr="00A23186" w:rsidRDefault="00A23186" w:rsidP="00A23186">
            <w:pPr>
              <w:snapToGrid w:val="0"/>
              <w:spacing w:after="120"/>
              <w:rPr>
                <w:rFonts w:ascii="Times New Roman" w:hAnsi="Times New Roman" w:cs="Times New Roman"/>
                <w:sz w:val="20"/>
                <w:szCs w:val="20"/>
                <w:lang w:val="en-GB"/>
              </w:rPr>
            </w:pPr>
          </w:p>
          <w:p w:rsidR="00A23186" w:rsidRPr="00A23186" w:rsidRDefault="00A23186" w:rsidP="00A23186">
            <w:pPr>
              <w:snapToGrid w:val="0"/>
              <w:spacing w:after="120"/>
              <w:rPr>
                <w:rFonts w:ascii="Times New Roman" w:hAnsi="Times New Roman" w:cs="Times New Roman"/>
                <w:sz w:val="20"/>
                <w:szCs w:val="20"/>
                <w:lang w:val="en-GB"/>
              </w:rPr>
            </w:pPr>
          </w:p>
          <w:p w:rsidR="00A23186" w:rsidRPr="00A23186" w:rsidRDefault="00A23186" w:rsidP="00A23186">
            <w:pPr>
              <w:snapToGrid w:val="0"/>
              <w:spacing w:after="120"/>
              <w:rPr>
                <w:rFonts w:ascii="Times New Roman" w:hAnsi="Times New Roman" w:cs="Times New Roman"/>
                <w:sz w:val="20"/>
                <w:szCs w:val="20"/>
                <w:lang w:val="en-GB"/>
              </w:rPr>
            </w:pPr>
          </w:p>
          <w:p w:rsidR="00A23186" w:rsidRPr="00BC2840" w:rsidRDefault="00A23186" w:rsidP="00A23186">
            <w:pPr>
              <w:snapToGrid w:val="0"/>
              <w:spacing w:after="120"/>
              <w:rPr>
                <w:rFonts w:ascii="Times New Roman" w:hAnsi="Times New Roman" w:cs="Times New Roman"/>
                <w:sz w:val="20"/>
                <w:szCs w:val="20"/>
                <w:lang w:val="en-GB"/>
              </w:rPr>
            </w:pPr>
          </w:p>
        </w:tc>
        <w:tc>
          <w:tcPr>
            <w:tcW w:w="865" w:type="pct"/>
          </w:tcPr>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Monitoring reports of Int</w:t>
            </w:r>
            <w:r w:rsidR="00146EEA">
              <w:rPr>
                <w:rFonts w:ascii="Times New Roman" w:hAnsi="Times New Roman" w:cs="Times New Roman"/>
                <w:sz w:val="20"/>
                <w:szCs w:val="20"/>
                <w:lang w:val="en-GB"/>
              </w:rPr>
              <w:t>ernational</w:t>
            </w:r>
            <w:r w:rsidRPr="00A23186">
              <w:rPr>
                <w:rFonts w:ascii="Times New Roman" w:hAnsi="Times New Roman" w:cs="Times New Roman"/>
                <w:sz w:val="20"/>
                <w:szCs w:val="20"/>
                <w:lang w:val="en-GB"/>
              </w:rPr>
              <w:t xml:space="preserve"> Org</w:t>
            </w:r>
            <w:r w:rsidR="00146EEA">
              <w:rPr>
                <w:rFonts w:ascii="Times New Roman" w:hAnsi="Times New Roman" w:cs="Times New Roman"/>
                <w:sz w:val="20"/>
                <w:szCs w:val="20"/>
                <w:lang w:val="en-GB"/>
              </w:rPr>
              <w:t>anisations</w:t>
            </w:r>
          </w:p>
          <w:p w:rsidR="00A23186" w:rsidRPr="00A23186" w:rsidRDefault="00A23186" w:rsidP="00A23186">
            <w:pPr>
              <w:snapToGrid w:val="0"/>
              <w:spacing w:after="120"/>
              <w:rPr>
                <w:rFonts w:ascii="Times New Roman" w:hAnsi="Times New Roman" w:cs="Times New Roman"/>
                <w:sz w:val="20"/>
                <w:szCs w:val="20"/>
                <w:lang w:val="en-GB"/>
              </w:rPr>
            </w:pPr>
            <w:r w:rsidRPr="00A23186">
              <w:rPr>
                <w:rFonts w:ascii="Times New Roman" w:hAnsi="Times New Roman" w:cs="Times New Roman"/>
                <w:sz w:val="20"/>
                <w:szCs w:val="20"/>
                <w:lang w:val="en-GB"/>
              </w:rPr>
              <w:t>DG TRADE, other Commission services, EEAS</w:t>
            </w:r>
          </w:p>
          <w:p w:rsidR="00A23186" w:rsidRPr="00A23186" w:rsidRDefault="00D0361E" w:rsidP="00A23186">
            <w:pPr>
              <w:snapToGrid w:val="0"/>
              <w:spacing w:after="120"/>
              <w:rPr>
                <w:rFonts w:ascii="Times New Roman" w:hAnsi="Times New Roman" w:cs="Times New Roman"/>
                <w:sz w:val="20"/>
                <w:szCs w:val="20"/>
                <w:lang w:val="en-GB"/>
              </w:rPr>
            </w:pPr>
            <w:r w:rsidRPr="00D0361E">
              <w:rPr>
                <w:rFonts w:ascii="Times New Roman" w:hAnsi="Times New Roman" w:cs="Times New Roman"/>
                <w:sz w:val="20"/>
                <w:szCs w:val="20"/>
                <w:lang w:val="en-GB"/>
              </w:rPr>
              <w:t>Chilean</w:t>
            </w:r>
            <w:r w:rsidR="00A23186" w:rsidRPr="00A23186">
              <w:rPr>
                <w:rFonts w:ascii="Times New Roman" w:hAnsi="Times New Roman" w:cs="Times New Roman"/>
                <w:sz w:val="20"/>
                <w:szCs w:val="20"/>
                <w:lang w:val="en-GB"/>
              </w:rPr>
              <w:t xml:space="preserve"> government departments </w:t>
            </w:r>
          </w:p>
        </w:tc>
        <w:tc>
          <w:tcPr>
            <w:tcW w:w="935" w:type="pct"/>
          </w:tcPr>
          <w:p w:rsidR="00A23186" w:rsidRPr="00E851A2" w:rsidRDefault="006D3A8F" w:rsidP="00A23186">
            <w:pPr>
              <w:snapToGrid w:val="0"/>
              <w:spacing w:after="120"/>
              <w:rPr>
                <w:rFonts w:ascii="Times New Roman" w:hAnsi="Times New Roman" w:cs="Times New Roman"/>
                <w:sz w:val="20"/>
                <w:szCs w:val="20"/>
                <w:lang w:val="en-GB"/>
              </w:rPr>
            </w:pPr>
            <w:r w:rsidRPr="003A5D5E">
              <w:rPr>
                <w:rFonts w:ascii="Times New Roman" w:hAnsi="Times New Roman" w:cs="Times New Roman"/>
                <w:sz w:val="20"/>
                <w:szCs w:val="20"/>
                <w:lang w:val="en-GB"/>
              </w:rPr>
              <w:t>Increased number of areas with satisfactory situation</w:t>
            </w:r>
          </w:p>
        </w:tc>
      </w:tr>
    </w:tbl>
    <w:p w:rsidR="00A23186" w:rsidRPr="00A23186" w:rsidRDefault="00D0361E" w:rsidP="00D0361E">
      <w:pPr>
        <w:snapToGrid w:val="0"/>
        <w:spacing w:before="120" w:after="120" w:line="240" w:lineRule="auto"/>
        <w:jc w:val="both"/>
        <w:rPr>
          <w:rFonts w:ascii="Times New Roman" w:hAnsi="Times New Roman" w:cs="Times New Roman"/>
          <w:sz w:val="20"/>
          <w:szCs w:val="20"/>
        </w:rPr>
      </w:pPr>
      <w:r w:rsidRPr="00D0361E">
        <w:rPr>
          <w:rFonts w:ascii="Times New Roman" w:hAnsi="Times New Roman" w:cs="Times New Roman"/>
          <w:sz w:val="20"/>
          <w:szCs w:val="20"/>
          <w:u w:val="single"/>
        </w:rPr>
        <w:t>N</w:t>
      </w:r>
      <w:r w:rsidR="00A23186" w:rsidRPr="00A23186">
        <w:rPr>
          <w:rFonts w:ascii="Times New Roman" w:hAnsi="Times New Roman" w:cs="Times New Roman"/>
          <w:sz w:val="20"/>
          <w:szCs w:val="20"/>
          <w:u w:val="single"/>
        </w:rPr>
        <w:t>ote</w:t>
      </w:r>
      <w:r w:rsidR="00A23186" w:rsidRPr="00A23186">
        <w:rPr>
          <w:rFonts w:ascii="Times New Roman" w:hAnsi="Times New Roman" w:cs="Times New Roman"/>
          <w:sz w:val="20"/>
          <w:szCs w:val="20"/>
        </w:rPr>
        <w:t>:</w:t>
      </w:r>
      <w:r w:rsidRPr="00D0361E">
        <w:rPr>
          <w:rFonts w:ascii="Times New Roman" w:hAnsi="Times New Roman" w:cs="Times New Roman"/>
          <w:sz w:val="20"/>
          <w:szCs w:val="20"/>
        </w:rPr>
        <w:t xml:space="preserve"> </w:t>
      </w:r>
      <w:r w:rsidR="00A23186" w:rsidRPr="00A23186">
        <w:rPr>
          <w:rFonts w:ascii="Times New Roman" w:hAnsi="Times New Roman" w:cs="Times New Roman"/>
          <w:sz w:val="20"/>
          <w:szCs w:val="20"/>
        </w:rPr>
        <w:t>The frequency of measurement for all operational objectives is annual</w:t>
      </w:r>
      <w:r w:rsidRPr="00D0361E">
        <w:rPr>
          <w:rFonts w:ascii="Times New Roman" w:hAnsi="Times New Roman" w:cs="Times New Roman"/>
          <w:sz w:val="20"/>
          <w:szCs w:val="20"/>
        </w:rPr>
        <w:t xml:space="preserve">. </w:t>
      </w:r>
      <w:r w:rsidR="00A23186" w:rsidRPr="00A23186">
        <w:rPr>
          <w:rFonts w:ascii="Times New Roman" w:hAnsi="Times New Roman" w:cs="Times New Roman"/>
          <w:sz w:val="20"/>
          <w:szCs w:val="20"/>
        </w:rPr>
        <w:t>The baseline for all operational objectives is 201</w:t>
      </w:r>
      <w:r w:rsidR="006D3A8F">
        <w:rPr>
          <w:rFonts w:ascii="Times New Roman" w:hAnsi="Times New Roman" w:cs="Times New Roman"/>
          <w:sz w:val="20"/>
          <w:szCs w:val="20"/>
        </w:rPr>
        <w:t>7</w:t>
      </w:r>
      <w:r>
        <w:rPr>
          <w:rFonts w:ascii="Times New Roman" w:hAnsi="Times New Roman" w:cs="Times New Roman"/>
          <w:sz w:val="20"/>
          <w:szCs w:val="20"/>
        </w:rPr>
        <w:t>.</w:t>
      </w:r>
    </w:p>
    <w:p w:rsidR="00A23186" w:rsidRPr="00A23186" w:rsidRDefault="00A23186" w:rsidP="00A23186">
      <w:pPr>
        <w:spacing w:after="0" w:line="240" w:lineRule="auto"/>
        <w:jc w:val="center"/>
        <w:rPr>
          <w:rFonts w:ascii="Times New Roman" w:hAnsi="Times New Roman" w:cs="Times New Roman"/>
          <w:sz w:val="24"/>
          <w:szCs w:val="24"/>
        </w:rPr>
      </w:pPr>
    </w:p>
    <w:p w:rsidR="00A23186" w:rsidRPr="00A23186" w:rsidRDefault="000356B4" w:rsidP="00A2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regards </w:t>
      </w:r>
      <w:r w:rsidRPr="000356B4">
        <w:rPr>
          <w:rFonts w:ascii="Times New Roman" w:hAnsi="Times New Roman" w:cs="Times New Roman"/>
          <w:b/>
          <w:sz w:val="24"/>
          <w:szCs w:val="24"/>
        </w:rPr>
        <w:t>evaluation</w:t>
      </w:r>
      <w:r>
        <w:rPr>
          <w:rFonts w:ascii="Times New Roman" w:hAnsi="Times New Roman" w:cs="Times New Roman"/>
          <w:sz w:val="24"/>
          <w:szCs w:val="24"/>
        </w:rPr>
        <w:t>, i</w:t>
      </w:r>
      <w:r w:rsidR="00A23186" w:rsidRPr="00A23186">
        <w:rPr>
          <w:rFonts w:ascii="Times New Roman" w:hAnsi="Times New Roman" w:cs="Times New Roman"/>
          <w:sz w:val="24"/>
          <w:szCs w:val="24"/>
        </w:rPr>
        <w:t xml:space="preserve">n line with the commitment made in 2015 Communication </w:t>
      </w:r>
      <w:r w:rsidR="00A23186" w:rsidRPr="00F0331D">
        <w:rPr>
          <w:rFonts w:ascii="Times New Roman" w:hAnsi="Times New Roman" w:cs="Times New Roman"/>
          <w:i/>
          <w:sz w:val="24"/>
          <w:szCs w:val="24"/>
        </w:rPr>
        <w:t>Trade for All – Towards a more responsible trade and investment policy</w:t>
      </w:r>
      <w:r w:rsidR="00A23186" w:rsidRPr="00A23186">
        <w:rPr>
          <w:rFonts w:ascii="Times New Roman" w:hAnsi="Times New Roman" w:cs="Times New Roman"/>
          <w:sz w:val="24"/>
          <w:szCs w:val="24"/>
        </w:rPr>
        <w:t>, there will be</w:t>
      </w:r>
      <w:r w:rsidR="00146EEA">
        <w:rPr>
          <w:rFonts w:ascii="Times New Roman" w:hAnsi="Times New Roman" w:cs="Times New Roman"/>
          <w:sz w:val="24"/>
          <w:szCs w:val="24"/>
        </w:rPr>
        <w:t xml:space="preserve"> a</w:t>
      </w:r>
      <w:r w:rsidR="00985668">
        <w:rPr>
          <w:rFonts w:ascii="Times New Roman" w:hAnsi="Times New Roman" w:cs="Times New Roman"/>
          <w:sz w:val="24"/>
          <w:szCs w:val="24"/>
        </w:rPr>
        <w:t>n</w:t>
      </w:r>
      <w:r w:rsidR="00A23186" w:rsidRPr="00A23186">
        <w:rPr>
          <w:rFonts w:ascii="Times New Roman" w:hAnsi="Times New Roman" w:cs="Times New Roman"/>
          <w:sz w:val="24"/>
          <w:szCs w:val="24"/>
        </w:rPr>
        <w:t xml:space="preserve"> in-depth ex post evaluation of the effects of any </w:t>
      </w:r>
      <w:r w:rsidR="00D0361E">
        <w:rPr>
          <w:rFonts w:ascii="Times New Roman" w:hAnsi="Times New Roman" w:cs="Times New Roman"/>
          <w:sz w:val="24"/>
          <w:szCs w:val="24"/>
        </w:rPr>
        <w:t xml:space="preserve">modernised </w:t>
      </w:r>
      <w:r w:rsidR="00A23186" w:rsidRPr="00A23186">
        <w:rPr>
          <w:rFonts w:ascii="Times New Roman" w:hAnsi="Times New Roman" w:cs="Times New Roman"/>
          <w:sz w:val="24"/>
          <w:szCs w:val="24"/>
        </w:rPr>
        <w:t xml:space="preserve">agreement concluded with </w:t>
      </w:r>
      <w:r w:rsidR="00D0361E">
        <w:rPr>
          <w:rFonts w:ascii="Times New Roman" w:hAnsi="Times New Roman" w:cs="Times New Roman"/>
          <w:sz w:val="24"/>
          <w:szCs w:val="24"/>
        </w:rPr>
        <w:t xml:space="preserve">Chile </w:t>
      </w:r>
      <w:r w:rsidR="00A23186" w:rsidRPr="00A23186">
        <w:rPr>
          <w:rFonts w:ascii="Times New Roman" w:hAnsi="Times New Roman" w:cs="Times New Roman"/>
          <w:sz w:val="24"/>
          <w:szCs w:val="24"/>
        </w:rPr>
        <w:t>when the agreement will have been in force for sufficient time to ensure availability of meaningful data.</w:t>
      </w:r>
    </w:p>
    <w:p w:rsidR="00A23186" w:rsidRDefault="00A23186" w:rsidP="00A23186">
      <w:pPr>
        <w:spacing w:after="0" w:line="240" w:lineRule="auto"/>
        <w:jc w:val="both"/>
        <w:rPr>
          <w:rFonts w:ascii="Times New Roman" w:hAnsi="Times New Roman" w:cs="Times New Roman"/>
          <w:sz w:val="24"/>
          <w:szCs w:val="24"/>
        </w:rPr>
      </w:pPr>
    </w:p>
    <w:p w:rsidR="00D0361E" w:rsidRPr="00A23186" w:rsidRDefault="00D0361E" w:rsidP="00A23186">
      <w:pPr>
        <w:spacing w:after="0" w:line="240" w:lineRule="auto"/>
        <w:jc w:val="both"/>
        <w:rPr>
          <w:rFonts w:ascii="Times New Roman" w:hAnsi="Times New Roman" w:cs="Times New Roman"/>
          <w:sz w:val="24"/>
          <w:szCs w:val="24"/>
        </w:rPr>
      </w:pPr>
    </w:p>
    <w:p w:rsidR="00A23186" w:rsidRPr="00A23186" w:rsidRDefault="00A23186" w:rsidP="00A23186">
      <w:pPr>
        <w:spacing w:after="0" w:line="240" w:lineRule="auto"/>
        <w:jc w:val="center"/>
        <w:rPr>
          <w:rFonts w:ascii="Times New Roman" w:hAnsi="Times New Roman" w:cs="Times New Roman"/>
          <w:sz w:val="24"/>
          <w:szCs w:val="24"/>
        </w:rPr>
      </w:pPr>
      <w:r w:rsidRPr="00A23186">
        <w:rPr>
          <w:rFonts w:ascii="Times New Roman" w:hAnsi="Times New Roman" w:cs="Times New Roman"/>
          <w:sz w:val="24"/>
          <w:szCs w:val="24"/>
        </w:rPr>
        <w:t>***</w:t>
      </w:r>
    </w:p>
    <w:p w:rsidR="00D0361E" w:rsidRDefault="00D0361E">
      <w:pPr>
        <w:rPr>
          <w:rFonts w:ascii="Times New Roman" w:eastAsiaTheme="majorEastAsia" w:hAnsi="Times New Roman" w:cs="Times New Roman"/>
          <w:b/>
          <w:sz w:val="24"/>
          <w:szCs w:val="24"/>
          <w:u w:val="single"/>
        </w:rPr>
      </w:pPr>
      <w:r>
        <w:rPr>
          <w:rFonts w:ascii="Times New Roman" w:eastAsiaTheme="majorEastAsia" w:hAnsi="Times New Roman" w:cs="Times New Roman"/>
          <w:b/>
          <w:sz w:val="24"/>
          <w:szCs w:val="24"/>
          <w:u w:val="single"/>
        </w:rPr>
        <w:br w:type="page"/>
      </w:r>
    </w:p>
    <w:p w:rsidR="00E27839" w:rsidRDefault="00E27839">
      <w:pPr>
        <w:rPr>
          <w:rFonts w:ascii="Times New Roman" w:eastAsiaTheme="majorEastAsia" w:hAnsi="Times New Roman" w:cs="Times New Roman"/>
          <w:b/>
          <w:sz w:val="24"/>
          <w:szCs w:val="24"/>
          <w:u w:val="single"/>
        </w:rPr>
      </w:pPr>
    </w:p>
    <w:p w:rsidR="00BF189B" w:rsidRPr="000356B4" w:rsidRDefault="00BF189B" w:rsidP="000356B4">
      <w:pPr>
        <w:pStyle w:val="Heading1"/>
      </w:pPr>
      <w:bookmarkStart w:id="78" w:name="_Toc442284073"/>
      <w:bookmarkStart w:id="79" w:name="_Toc473123107"/>
      <w:r w:rsidRPr="00BF189B">
        <w:t>ANNEXES</w:t>
      </w:r>
      <w:bookmarkEnd w:id="78"/>
      <w:bookmarkEnd w:id="79"/>
    </w:p>
    <w:p w:rsidR="00BF189B" w:rsidRPr="00BF189B" w:rsidRDefault="00BF189B" w:rsidP="00301DBB">
      <w:pPr>
        <w:spacing w:after="0" w:line="240" w:lineRule="auto"/>
        <w:jc w:val="both"/>
        <w:rPr>
          <w:rFonts w:ascii="Times New Roman" w:hAnsi="Times New Roman" w:cs="Times New Roman"/>
          <w:sz w:val="24"/>
          <w:szCs w:val="24"/>
        </w:rPr>
      </w:pPr>
    </w:p>
    <w:p w:rsidR="00321A31" w:rsidRDefault="00321A31">
      <w:pPr>
        <w:rPr>
          <w:rFonts w:ascii="Times New Roman" w:eastAsiaTheme="majorEastAsia" w:hAnsi="Times New Roman" w:cs="Times New Roman"/>
          <w:b/>
          <w:bCs/>
          <w:sz w:val="24"/>
          <w:szCs w:val="24"/>
          <w:u w:val="single"/>
        </w:rPr>
      </w:pPr>
      <w:r>
        <w:br w:type="page"/>
      </w:r>
    </w:p>
    <w:p w:rsidR="00C44149" w:rsidRPr="00241BA2" w:rsidRDefault="00241BA2" w:rsidP="00302A40">
      <w:pPr>
        <w:pStyle w:val="Heading2"/>
        <w:jc w:val="center"/>
        <w:rPr>
          <w:rFonts w:ascii="Times New Roman Bold" w:hAnsi="Times New Roman Bold" w:hint="eastAsia"/>
          <w:caps/>
        </w:rPr>
      </w:pPr>
      <w:bookmarkStart w:id="80" w:name="_Toc442284074"/>
      <w:bookmarkStart w:id="81" w:name="_Toc473123108"/>
      <w:r>
        <w:rPr>
          <w:rFonts w:ascii="Times New Roman Bold" w:hAnsi="Times New Roman Bold"/>
          <w:caps/>
        </w:rPr>
        <w:t>Annex 1</w:t>
      </w:r>
      <w:r w:rsidR="00302A40">
        <w:rPr>
          <w:rFonts w:ascii="Times New Roman Bold" w:hAnsi="Times New Roman Bold"/>
          <w:caps/>
        </w:rPr>
        <w:t xml:space="preserve"> - </w:t>
      </w:r>
      <w:r w:rsidR="00C44149" w:rsidRPr="00241BA2">
        <w:rPr>
          <w:rFonts w:ascii="Times New Roman Bold" w:hAnsi="Times New Roman Bold"/>
          <w:caps/>
        </w:rPr>
        <w:t>Procedural information</w:t>
      </w:r>
      <w:bookmarkEnd w:id="80"/>
      <w:bookmarkEnd w:id="81"/>
    </w:p>
    <w:p w:rsidR="00C44149" w:rsidRDefault="00C44149" w:rsidP="00C44149">
      <w:pPr>
        <w:spacing w:after="0" w:line="240" w:lineRule="auto"/>
        <w:rPr>
          <w:rFonts w:ascii="Times New Roman" w:hAnsi="Times New Roman" w:cs="Times New Roman"/>
          <w:sz w:val="24"/>
          <w:szCs w:val="24"/>
        </w:rPr>
      </w:pPr>
    </w:p>
    <w:p w:rsidR="002A792D" w:rsidRDefault="002A792D" w:rsidP="00991BA7">
      <w:pPr>
        <w:spacing w:after="0" w:line="240" w:lineRule="auto"/>
        <w:jc w:val="both"/>
        <w:rPr>
          <w:rFonts w:ascii="Times New Roman" w:hAnsi="Times New Roman" w:cs="Times New Roman"/>
          <w:sz w:val="24"/>
          <w:szCs w:val="24"/>
        </w:rPr>
      </w:pPr>
      <w:r w:rsidRPr="008B006B">
        <w:rPr>
          <w:rFonts w:ascii="Times New Roman" w:hAnsi="Times New Roman" w:cs="Times New Roman"/>
          <w:sz w:val="24"/>
          <w:szCs w:val="24"/>
        </w:rPr>
        <w:t>The Directorate-General for Trade is the lead service for this Impac</w:t>
      </w:r>
      <w:r>
        <w:rPr>
          <w:rFonts w:ascii="Times New Roman" w:hAnsi="Times New Roman" w:cs="Times New Roman"/>
          <w:sz w:val="24"/>
          <w:szCs w:val="24"/>
        </w:rPr>
        <w:t>t Assessment Report</w:t>
      </w:r>
      <w:r w:rsidR="007E5D26">
        <w:rPr>
          <w:rFonts w:ascii="Times New Roman" w:hAnsi="Times New Roman" w:cs="Times New Roman"/>
          <w:sz w:val="24"/>
          <w:szCs w:val="24"/>
        </w:rPr>
        <w:t xml:space="preserve"> </w:t>
      </w:r>
      <w:r w:rsidR="00991BA7" w:rsidRPr="00991BA7">
        <w:rPr>
          <w:rFonts w:ascii="Times New Roman" w:hAnsi="Times New Roman" w:cs="Times New Roman"/>
          <w:sz w:val="24"/>
          <w:szCs w:val="24"/>
          <w:lang w:val="en"/>
        </w:rPr>
        <w:t>(</w:t>
      </w:r>
      <w:r w:rsidRPr="00991BA7">
        <w:rPr>
          <w:rFonts w:ascii="Times New Roman" w:hAnsi="Times New Roman" w:cs="Times New Roman"/>
          <w:sz w:val="24"/>
          <w:szCs w:val="24"/>
          <w:lang w:val="en"/>
        </w:rPr>
        <w:t>Agenda planning</w:t>
      </w:r>
      <w:r w:rsidR="00991BA7" w:rsidRPr="00991BA7">
        <w:rPr>
          <w:rFonts w:ascii="Times New Roman" w:hAnsi="Times New Roman" w:cs="Times New Roman"/>
          <w:sz w:val="24"/>
          <w:szCs w:val="24"/>
          <w:lang w:val="en"/>
        </w:rPr>
        <w:t>:</w:t>
      </w:r>
      <w:r w:rsidR="007E5D26">
        <w:rPr>
          <w:rFonts w:ascii="Times New Roman" w:hAnsi="Times New Roman" w:cs="Times New Roman"/>
          <w:sz w:val="24"/>
          <w:szCs w:val="24"/>
          <w:lang w:val="en"/>
        </w:rPr>
        <w:t xml:space="preserve"> </w:t>
      </w:r>
      <w:r w:rsidR="00991BA7" w:rsidRPr="002D74A9">
        <w:rPr>
          <w:rFonts w:ascii="Times New Roman" w:hAnsi="Times New Roman" w:cs="Times New Roman"/>
          <w:sz w:val="24"/>
          <w:szCs w:val="24"/>
          <w:lang w:val="en"/>
        </w:rPr>
        <w:t>201</w:t>
      </w:r>
      <w:r w:rsidR="002D74A9" w:rsidRPr="002D74A9">
        <w:rPr>
          <w:rFonts w:ascii="Times New Roman" w:hAnsi="Times New Roman" w:cs="Times New Roman"/>
          <w:sz w:val="24"/>
          <w:szCs w:val="24"/>
          <w:lang w:val="en"/>
        </w:rPr>
        <w:t>5</w:t>
      </w:r>
      <w:r w:rsidRPr="002D74A9">
        <w:rPr>
          <w:rFonts w:ascii="Times New Roman" w:hAnsi="Times New Roman" w:cs="Times New Roman"/>
          <w:sz w:val="24"/>
          <w:szCs w:val="24"/>
          <w:lang w:val="en"/>
        </w:rPr>
        <w:t>/</w:t>
      </w:r>
      <w:r w:rsidR="00991BA7" w:rsidRPr="002D74A9">
        <w:rPr>
          <w:rFonts w:ascii="Times New Roman" w:hAnsi="Times New Roman" w:cs="Times New Roman"/>
          <w:sz w:val="24"/>
          <w:szCs w:val="24"/>
          <w:lang w:val="en"/>
        </w:rPr>
        <w:t>TRADE</w:t>
      </w:r>
      <w:r w:rsidR="00991BA7" w:rsidRPr="009E3EA3">
        <w:rPr>
          <w:rFonts w:ascii="Times New Roman" w:hAnsi="Times New Roman" w:cs="Times New Roman"/>
          <w:sz w:val="24"/>
          <w:szCs w:val="24"/>
          <w:lang w:val="en"/>
        </w:rPr>
        <w:t>/</w:t>
      </w:r>
      <w:r w:rsidR="009E3EA3">
        <w:rPr>
          <w:rFonts w:ascii="Times New Roman" w:hAnsi="Times New Roman" w:cs="Times New Roman"/>
          <w:sz w:val="24"/>
          <w:szCs w:val="24"/>
          <w:lang w:val="en"/>
        </w:rPr>
        <w:t>039</w:t>
      </w:r>
      <w:r w:rsidR="00991BA7" w:rsidRPr="009E3EA3">
        <w:rPr>
          <w:rFonts w:ascii="Times New Roman" w:hAnsi="Times New Roman" w:cs="Times New Roman"/>
          <w:sz w:val="24"/>
          <w:szCs w:val="24"/>
          <w:lang w:val="en"/>
        </w:rPr>
        <w:t>).</w:t>
      </w:r>
    </w:p>
    <w:p w:rsidR="002A792D" w:rsidRDefault="002A792D" w:rsidP="00C44149">
      <w:pPr>
        <w:spacing w:after="0" w:line="240" w:lineRule="auto"/>
        <w:rPr>
          <w:rFonts w:ascii="Times New Roman" w:hAnsi="Times New Roman" w:cs="Times New Roman"/>
          <w:sz w:val="24"/>
          <w:szCs w:val="24"/>
        </w:rPr>
      </w:pPr>
    </w:p>
    <w:p w:rsidR="00471936" w:rsidRDefault="00471936" w:rsidP="008B006B">
      <w:pPr>
        <w:spacing w:after="0" w:line="240" w:lineRule="auto"/>
        <w:jc w:val="both"/>
        <w:rPr>
          <w:rFonts w:ascii="Times New Roman" w:hAnsi="Times New Roman" w:cs="Times New Roman"/>
          <w:sz w:val="24"/>
          <w:szCs w:val="24"/>
        </w:rPr>
      </w:pPr>
      <w:r w:rsidRPr="00471936">
        <w:rPr>
          <w:rFonts w:ascii="Times New Roman" w:hAnsi="Times New Roman" w:cs="Times New Roman"/>
          <w:sz w:val="24"/>
          <w:szCs w:val="24"/>
        </w:rPr>
        <w:t>An I</w:t>
      </w:r>
      <w:r w:rsidR="004902D5">
        <w:rPr>
          <w:rFonts w:ascii="Times New Roman" w:hAnsi="Times New Roman" w:cs="Times New Roman"/>
          <w:sz w:val="24"/>
          <w:szCs w:val="24"/>
        </w:rPr>
        <w:t xml:space="preserve">nterservice </w:t>
      </w:r>
      <w:r w:rsidRPr="00471936">
        <w:rPr>
          <w:rFonts w:ascii="Times New Roman" w:hAnsi="Times New Roman" w:cs="Times New Roman"/>
          <w:sz w:val="24"/>
          <w:szCs w:val="24"/>
        </w:rPr>
        <w:t xml:space="preserve">Steering Group (ISG) was created on </w:t>
      </w:r>
      <w:r w:rsidR="002D74A9">
        <w:rPr>
          <w:rFonts w:ascii="Times New Roman" w:hAnsi="Times New Roman" w:cs="Times New Roman"/>
          <w:sz w:val="24"/>
          <w:szCs w:val="24"/>
        </w:rPr>
        <w:t>9 December 2015</w:t>
      </w:r>
      <w:r w:rsidRPr="00471936">
        <w:rPr>
          <w:rFonts w:ascii="Times New Roman" w:hAnsi="Times New Roman" w:cs="Times New Roman"/>
          <w:sz w:val="24"/>
          <w:szCs w:val="24"/>
        </w:rPr>
        <w:t xml:space="preserve"> </w:t>
      </w:r>
      <w:r w:rsidR="004902D5">
        <w:rPr>
          <w:rFonts w:ascii="Times New Roman" w:hAnsi="Times New Roman" w:cs="Times New Roman"/>
          <w:sz w:val="24"/>
          <w:szCs w:val="24"/>
        </w:rPr>
        <w:t xml:space="preserve">inter alia </w:t>
      </w:r>
      <w:r w:rsidRPr="00471936">
        <w:rPr>
          <w:rFonts w:ascii="Times New Roman" w:hAnsi="Times New Roman" w:cs="Times New Roman"/>
          <w:sz w:val="24"/>
          <w:szCs w:val="24"/>
        </w:rPr>
        <w:t>for the pu</w:t>
      </w:r>
      <w:r>
        <w:rPr>
          <w:rFonts w:ascii="Times New Roman" w:hAnsi="Times New Roman" w:cs="Times New Roman"/>
          <w:sz w:val="24"/>
          <w:szCs w:val="24"/>
        </w:rPr>
        <w:t>rpose of this Impact Assessment.</w:t>
      </w:r>
    </w:p>
    <w:p w:rsidR="00471936" w:rsidRDefault="00471936" w:rsidP="008B006B">
      <w:pPr>
        <w:spacing w:after="0" w:line="240" w:lineRule="auto"/>
        <w:jc w:val="both"/>
        <w:rPr>
          <w:rFonts w:ascii="Times New Roman" w:hAnsi="Times New Roman" w:cs="Times New Roman"/>
          <w:sz w:val="24"/>
          <w:szCs w:val="24"/>
        </w:rPr>
      </w:pPr>
    </w:p>
    <w:p w:rsidR="00471936" w:rsidRDefault="00CF7094" w:rsidP="00471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471936" w:rsidRPr="008B006B">
        <w:rPr>
          <w:rFonts w:ascii="Times New Roman" w:hAnsi="Times New Roman" w:cs="Times New Roman"/>
          <w:sz w:val="24"/>
          <w:szCs w:val="24"/>
        </w:rPr>
        <w:t xml:space="preserve"> services </w:t>
      </w:r>
      <w:r w:rsidR="00146EEA">
        <w:rPr>
          <w:rFonts w:ascii="Times New Roman" w:hAnsi="Times New Roman" w:cs="Times New Roman"/>
          <w:sz w:val="24"/>
          <w:szCs w:val="24"/>
        </w:rPr>
        <w:t xml:space="preserve">invited to join the IASG </w:t>
      </w:r>
      <w:r w:rsidR="00471936" w:rsidRPr="008B006B">
        <w:rPr>
          <w:rFonts w:ascii="Times New Roman" w:hAnsi="Times New Roman" w:cs="Times New Roman"/>
          <w:sz w:val="24"/>
          <w:szCs w:val="24"/>
        </w:rPr>
        <w:t xml:space="preserve">were: </w:t>
      </w:r>
      <w:r w:rsidR="00146EEA">
        <w:rPr>
          <w:rFonts w:ascii="Times New Roman" w:hAnsi="Times New Roman" w:cs="Times New Roman"/>
          <w:sz w:val="24"/>
          <w:szCs w:val="24"/>
        </w:rPr>
        <w:t xml:space="preserve">the General-Secretariat, </w:t>
      </w:r>
      <w:r w:rsidR="00471936" w:rsidRPr="008B006B">
        <w:rPr>
          <w:rFonts w:ascii="Times New Roman" w:hAnsi="Times New Roman" w:cs="Times New Roman"/>
          <w:sz w:val="24"/>
          <w:szCs w:val="24"/>
        </w:rPr>
        <w:t>DG A</w:t>
      </w:r>
      <w:r w:rsidR="00146EEA">
        <w:rPr>
          <w:rFonts w:ascii="Times New Roman" w:hAnsi="Times New Roman" w:cs="Times New Roman"/>
          <w:sz w:val="24"/>
          <w:szCs w:val="24"/>
        </w:rPr>
        <w:t xml:space="preserve">GRI, DG BUDG, DG CLIMA, DG CNECT, DG COMM, DG COMP, DG DEVCO, DG DIGIT, DG EAC, DG ECFIN, DG ECHO, DG EMPL, DG ENER, DG ENV, DG ESTAT, DG FISMA, DG GROW, DG HOME, DG JUST, JRC, DG MARE, DG MOVE, DG NEAR, OLAF, DG REGIO, DG RTD, DG SANTE and DG TAXUD. </w:t>
      </w:r>
      <w:r w:rsidR="00471936" w:rsidRPr="008B006B">
        <w:rPr>
          <w:rFonts w:ascii="Times New Roman" w:hAnsi="Times New Roman" w:cs="Times New Roman"/>
          <w:sz w:val="24"/>
          <w:szCs w:val="24"/>
        </w:rPr>
        <w:t xml:space="preserve">The </w:t>
      </w:r>
      <w:r w:rsidR="00A96479">
        <w:rPr>
          <w:rFonts w:ascii="Times New Roman" w:hAnsi="Times New Roman" w:cs="Times New Roman"/>
          <w:sz w:val="24"/>
          <w:szCs w:val="24"/>
        </w:rPr>
        <w:t>E</w:t>
      </w:r>
      <w:r w:rsidR="00146EEA">
        <w:rPr>
          <w:rFonts w:ascii="Times New Roman" w:hAnsi="Times New Roman" w:cs="Times New Roman"/>
          <w:sz w:val="24"/>
          <w:szCs w:val="24"/>
        </w:rPr>
        <w:t>EAS</w:t>
      </w:r>
      <w:r w:rsidR="00471936" w:rsidRPr="008B006B">
        <w:rPr>
          <w:rFonts w:ascii="Times New Roman" w:hAnsi="Times New Roman" w:cs="Times New Roman"/>
          <w:sz w:val="24"/>
          <w:szCs w:val="24"/>
        </w:rPr>
        <w:t xml:space="preserve"> has also been involved</w:t>
      </w:r>
      <w:r w:rsidR="002D74A9">
        <w:rPr>
          <w:rFonts w:ascii="Times New Roman" w:hAnsi="Times New Roman" w:cs="Times New Roman"/>
          <w:sz w:val="24"/>
          <w:szCs w:val="24"/>
        </w:rPr>
        <w:t>.</w:t>
      </w:r>
    </w:p>
    <w:p w:rsidR="00471936" w:rsidRDefault="00471936" w:rsidP="008B006B">
      <w:pPr>
        <w:spacing w:after="0" w:line="240" w:lineRule="auto"/>
        <w:jc w:val="both"/>
        <w:rPr>
          <w:rFonts w:ascii="Times New Roman" w:hAnsi="Times New Roman" w:cs="Times New Roman"/>
          <w:sz w:val="24"/>
          <w:szCs w:val="24"/>
        </w:rPr>
      </w:pPr>
    </w:p>
    <w:p w:rsidR="00471936" w:rsidRDefault="00471936" w:rsidP="008B00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ISG</w:t>
      </w:r>
      <w:r w:rsidRPr="00471936">
        <w:rPr>
          <w:rFonts w:ascii="Times New Roman" w:hAnsi="Times New Roman" w:cs="Times New Roman"/>
          <w:sz w:val="24"/>
          <w:szCs w:val="24"/>
        </w:rPr>
        <w:t xml:space="preserve"> met </w:t>
      </w:r>
      <w:r w:rsidR="00846B6F">
        <w:rPr>
          <w:rFonts w:ascii="Times New Roman" w:hAnsi="Times New Roman" w:cs="Times New Roman"/>
          <w:sz w:val="24"/>
          <w:szCs w:val="24"/>
        </w:rPr>
        <w:t xml:space="preserve">seven </w:t>
      </w:r>
      <w:r w:rsidR="001C1338">
        <w:rPr>
          <w:rFonts w:ascii="Times New Roman" w:hAnsi="Times New Roman" w:cs="Times New Roman"/>
          <w:sz w:val="24"/>
          <w:szCs w:val="24"/>
        </w:rPr>
        <w:t xml:space="preserve">times </w:t>
      </w:r>
      <w:r w:rsidRPr="00471936">
        <w:rPr>
          <w:rFonts w:ascii="Times New Roman" w:hAnsi="Times New Roman" w:cs="Times New Roman"/>
          <w:sz w:val="24"/>
          <w:szCs w:val="24"/>
        </w:rPr>
        <w:t xml:space="preserve">on </w:t>
      </w:r>
      <w:r w:rsidR="002D74A9">
        <w:rPr>
          <w:rFonts w:ascii="Times New Roman" w:hAnsi="Times New Roman" w:cs="Times New Roman"/>
          <w:sz w:val="24"/>
          <w:szCs w:val="24"/>
        </w:rPr>
        <w:t xml:space="preserve">16 December 2015, </w:t>
      </w:r>
      <w:r w:rsidRPr="00471936">
        <w:rPr>
          <w:rFonts w:ascii="Times New Roman" w:hAnsi="Times New Roman" w:cs="Times New Roman"/>
          <w:sz w:val="24"/>
          <w:szCs w:val="24"/>
        </w:rPr>
        <w:t>1</w:t>
      </w:r>
      <w:r w:rsidR="002D74A9">
        <w:rPr>
          <w:rFonts w:ascii="Times New Roman" w:hAnsi="Times New Roman" w:cs="Times New Roman"/>
          <w:sz w:val="24"/>
          <w:szCs w:val="24"/>
        </w:rPr>
        <w:t xml:space="preserve">3 May </w:t>
      </w:r>
      <w:r w:rsidRPr="00471936">
        <w:rPr>
          <w:rFonts w:ascii="Times New Roman" w:hAnsi="Times New Roman" w:cs="Times New Roman"/>
          <w:sz w:val="24"/>
          <w:szCs w:val="24"/>
        </w:rPr>
        <w:t>201</w:t>
      </w:r>
      <w:r w:rsidR="002D74A9">
        <w:rPr>
          <w:rFonts w:ascii="Times New Roman" w:hAnsi="Times New Roman" w:cs="Times New Roman"/>
          <w:sz w:val="24"/>
          <w:szCs w:val="24"/>
        </w:rPr>
        <w:t>6</w:t>
      </w:r>
      <w:r w:rsidRPr="00471936">
        <w:rPr>
          <w:rFonts w:ascii="Times New Roman" w:hAnsi="Times New Roman" w:cs="Times New Roman"/>
          <w:sz w:val="24"/>
          <w:szCs w:val="24"/>
        </w:rPr>
        <w:t xml:space="preserve">, </w:t>
      </w:r>
      <w:r w:rsidR="002D74A9">
        <w:rPr>
          <w:rFonts w:ascii="Times New Roman" w:hAnsi="Times New Roman" w:cs="Times New Roman"/>
          <w:sz w:val="24"/>
          <w:szCs w:val="24"/>
        </w:rPr>
        <w:t>28 June 2016</w:t>
      </w:r>
      <w:r w:rsidRPr="00471936">
        <w:rPr>
          <w:rFonts w:ascii="Times New Roman" w:hAnsi="Times New Roman" w:cs="Times New Roman"/>
          <w:sz w:val="24"/>
          <w:szCs w:val="24"/>
        </w:rPr>
        <w:t xml:space="preserve">, </w:t>
      </w:r>
      <w:r w:rsidR="002D74A9">
        <w:rPr>
          <w:rFonts w:ascii="Times New Roman" w:hAnsi="Times New Roman" w:cs="Times New Roman"/>
          <w:sz w:val="24"/>
          <w:szCs w:val="24"/>
        </w:rPr>
        <w:t>4 October 2016, 13 January 2017</w:t>
      </w:r>
      <w:r w:rsidR="00846B6F">
        <w:rPr>
          <w:rFonts w:ascii="Times New Roman" w:hAnsi="Times New Roman" w:cs="Times New Roman"/>
          <w:sz w:val="24"/>
          <w:szCs w:val="24"/>
        </w:rPr>
        <w:t>, 18 January 2017</w:t>
      </w:r>
      <w:r w:rsidR="002D74A9">
        <w:rPr>
          <w:rFonts w:ascii="Times New Roman" w:hAnsi="Times New Roman" w:cs="Times New Roman"/>
          <w:sz w:val="24"/>
          <w:szCs w:val="24"/>
        </w:rPr>
        <w:t xml:space="preserve"> a</w:t>
      </w:r>
      <w:r w:rsidRPr="00471936">
        <w:rPr>
          <w:rFonts w:ascii="Times New Roman" w:hAnsi="Times New Roman" w:cs="Times New Roman"/>
          <w:sz w:val="24"/>
          <w:szCs w:val="24"/>
        </w:rPr>
        <w:t xml:space="preserve">nd </w:t>
      </w:r>
      <w:r w:rsidR="009E3EA3">
        <w:rPr>
          <w:rFonts w:ascii="Times New Roman" w:hAnsi="Times New Roman" w:cs="Times New Roman"/>
          <w:sz w:val="24"/>
          <w:szCs w:val="24"/>
        </w:rPr>
        <w:t>9 February 2017.</w:t>
      </w:r>
    </w:p>
    <w:p w:rsidR="00471936" w:rsidRDefault="00471936">
      <w:pPr>
        <w:spacing w:after="0" w:line="240" w:lineRule="auto"/>
        <w:jc w:val="both"/>
        <w:rPr>
          <w:rFonts w:ascii="Times New Roman" w:hAnsi="Times New Roman" w:cs="Times New Roman"/>
          <w:sz w:val="24"/>
          <w:szCs w:val="24"/>
        </w:rPr>
      </w:pPr>
    </w:p>
    <w:p w:rsidR="00F07685" w:rsidRPr="00F07685" w:rsidRDefault="00F07685" w:rsidP="00F07685">
      <w:pPr>
        <w:autoSpaceDE w:val="0"/>
        <w:autoSpaceDN w:val="0"/>
        <w:adjustRightInd w:val="0"/>
        <w:spacing w:after="0" w:line="240" w:lineRule="auto"/>
        <w:jc w:val="both"/>
        <w:rPr>
          <w:rFonts w:ascii="Times New Roman" w:hAnsi="Times New Roman" w:cs="Times New Roman"/>
          <w:color w:val="000000"/>
          <w:sz w:val="24"/>
          <w:szCs w:val="24"/>
        </w:rPr>
      </w:pPr>
      <w:r w:rsidRPr="00F07685">
        <w:rPr>
          <w:rFonts w:ascii="Times New Roman" w:hAnsi="Times New Roman" w:cs="Times New Roman"/>
          <w:color w:val="000000"/>
          <w:sz w:val="24"/>
          <w:szCs w:val="24"/>
        </w:rPr>
        <w:t>The evidence used for the impact assessment included input by stakeholders to the pub</w:t>
      </w:r>
      <w:r w:rsidR="00146EEA">
        <w:rPr>
          <w:rFonts w:ascii="Times New Roman" w:hAnsi="Times New Roman" w:cs="Times New Roman"/>
          <w:color w:val="000000"/>
          <w:sz w:val="24"/>
          <w:szCs w:val="24"/>
        </w:rPr>
        <w:t xml:space="preserve">lic consultation (see Annex 2), </w:t>
      </w:r>
      <w:r w:rsidRPr="00F07685">
        <w:rPr>
          <w:rFonts w:ascii="Times New Roman" w:hAnsi="Times New Roman" w:cs="Times New Roman"/>
          <w:color w:val="000000"/>
          <w:sz w:val="24"/>
          <w:szCs w:val="24"/>
        </w:rPr>
        <w:t>a quantitative econometric modelling simulation (see Annex 4) and external expertise via the study commissioned to feed into the impact assessment (see Annex 5).</w:t>
      </w:r>
    </w:p>
    <w:p w:rsidR="00F07685" w:rsidRDefault="00F07685">
      <w:pPr>
        <w:spacing w:after="0" w:line="240" w:lineRule="auto"/>
        <w:jc w:val="both"/>
        <w:rPr>
          <w:rFonts w:ascii="Times New Roman" w:hAnsi="Times New Roman" w:cs="Times New Roman"/>
          <w:sz w:val="24"/>
          <w:szCs w:val="24"/>
        </w:rPr>
      </w:pPr>
    </w:p>
    <w:p w:rsidR="00F07685" w:rsidRDefault="00575883" w:rsidP="00575883">
      <w:pPr>
        <w:spacing w:after="0" w:line="240" w:lineRule="auto"/>
        <w:jc w:val="both"/>
        <w:rPr>
          <w:rFonts w:ascii="Times New Roman" w:hAnsi="Times New Roman" w:cs="Times New Roman"/>
          <w:sz w:val="24"/>
          <w:szCs w:val="24"/>
          <w:lang w:val="en"/>
        </w:rPr>
      </w:pPr>
      <w:r w:rsidRPr="00005082">
        <w:rPr>
          <w:rFonts w:ascii="Times New Roman" w:hAnsi="Times New Roman" w:cs="Times New Roman"/>
          <w:sz w:val="24"/>
          <w:szCs w:val="24"/>
          <w:lang w:val="en"/>
        </w:rPr>
        <w:t xml:space="preserve">The draft Impact Assessment Report was submitted to the Regulatory Scrutiny Board (RSB) on </w:t>
      </w:r>
      <w:r w:rsidR="00846B6F">
        <w:rPr>
          <w:rFonts w:ascii="Times New Roman" w:hAnsi="Times New Roman" w:cs="Times New Roman"/>
          <w:sz w:val="24"/>
          <w:szCs w:val="24"/>
          <w:lang w:val="en"/>
        </w:rPr>
        <w:t>15 February 2017</w:t>
      </w:r>
      <w:r w:rsidRPr="00005082">
        <w:rPr>
          <w:rFonts w:ascii="Times New Roman" w:hAnsi="Times New Roman" w:cs="Times New Roman"/>
          <w:sz w:val="24"/>
          <w:szCs w:val="24"/>
          <w:lang w:val="en"/>
        </w:rPr>
        <w:t xml:space="preserve"> and was examin</w:t>
      </w:r>
      <w:r w:rsidRPr="00575883">
        <w:rPr>
          <w:rFonts w:ascii="Times New Roman" w:hAnsi="Times New Roman" w:cs="Times New Roman"/>
          <w:sz w:val="24"/>
          <w:szCs w:val="24"/>
          <w:lang w:val="en"/>
        </w:rPr>
        <w:t xml:space="preserve">ed during the RSB meeting of </w:t>
      </w:r>
      <w:r w:rsidR="00846B6F">
        <w:rPr>
          <w:rFonts w:ascii="Times New Roman" w:hAnsi="Times New Roman" w:cs="Times New Roman"/>
          <w:sz w:val="24"/>
          <w:szCs w:val="24"/>
          <w:lang w:val="en"/>
        </w:rPr>
        <w:t>15 March 2017</w:t>
      </w:r>
      <w:r w:rsidRPr="00575883">
        <w:rPr>
          <w:rFonts w:ascii="Times New Roman" w:hAnsi="Times New Roman" w:cs="Times New Roman"/>
          <w:sz w:val="24"/>
          <w:szCs w:val="24"/>
          <w:lang w:val="en"/>
        </w:rPr>
        <w:t>.</w:t>
      </w:r>
      <w:r>
        <w:rPr>
          <w:rFonts w:ascii="Times New Roman" w:hAnsi="Times New Roman" w:cs="Times New Roman"/>
          <w:sz w:val="24"/>
          <w:szCs w:val="24"/>
          <w:lang w:val="en"/>
        </w:rPr>
        <w:t xml:space="preserve"> </w:t>
      </w:r>
    </w:p>
    <w:p w:rsidR="00F07685" w:rsidRDefault="00F07685" w:rsidP="00575883">
      <w:pPr>
        <w:spacing w:after="0" w:line="240" w:lineRule="auto"/>
        <w:jc w:val="both"/>
        <w:rPr>
          <w:rFonts w:ascii="Times New Roman" w:hAnsi="Times New Roman" w:cs="Times New Roman"/>
          <w:sz w:val="24"/>
          <w:szCs w:val="24"/>
          <w:lang w:val="en"/>
        </w:rPr>
      </w:pPr>
    </w:p>
    <w:p w:rsidR="00F07685" w:rsidRDefault="006D3A8F" w:rsidP="00575883">
      <w:pPr>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Brief overview on how have the Recommendations of the Board been integrated in the revised Impact Assessment Report:</w:t>
      </w:r>
    </w:p>
    <w:p w:rsidR="00C27F8C" w:rsidRDefault="00C27F8C" w:rsidP="00575883">
      <w:pPr>
        <w:spacing w:after="0" w:line="240" w:lineRule="auto"/>
        <w:jc w:val="both"/>
        <w:rPr>
          <w:rFonts w:ascii="Times New Roman" w:hAnsi="Times New Roman" w:cs="Times New Roman"/>
          <w:sz w:val="24"/>
          <w:szCs w:val="24"/>
          <w:lang w:val="en"/>
        </w:rPr>
      </w:pPr>
    </w:p>
    <w:p w:rsidR="00C27F8C" w:rsidRDefault="00C27F8C" w:rsidP="00575883">
      <w:pPr>
        <w:spacing w:after="0" w:line="240" w:lineRule="auto"/>
        <w:jc w:val="both"/>
        <w:rPr>
          <w:rFonts w:ascii="Times New Roman" w:hAnsi="Times New Roman" w:cs="Times New Roman"/>
          <w:sz w:val="24"/>
          <w:szCs w:val="24"/>
          <w:lang w:val="en"/>
        </w:rPr>
      </w:pPr>
    </w:p>
    <w:tbl>
      <w:tblPr>
        <w:tblStyle w:val="DocumentTable2"/>
        <w:tblW w:w="0" w:type="auto"/>
        <w:tblLook w:val="04A0" w:firstRow="1" w:lastRow="0" w:firstColumn="1" w:lastColumn="0" w:noHBand="0" w:noVBand="1"/>
      </w:tblPr>
      <w:tblGrid>
        <w:gridCol w:w="4644"/>
        <w:gridCol w:w="4644"/>
      </w:tblGrid>
      <w:tr w:rsidR="00F07685" w:rsidRPr="00F07685" w:rsidTr="00160767">
        <w:tc>
          <w:tcPr>
            <w:tcW w:w="4644" w:type="dxa"/>
          </w:tcPr>
          <w:p w:rsidR="00F07685" w:rsidRPr="00F07685" w:rsidRDefault="00F07685" w:rsidP="00F07685">
            <w:pPr>
              <w:snapToGrid w:val="0"/>
              <w:spacing w:after="120"/>
              <w:rPr>
                <w:szCs w:val="24"/>
              </w:rPr>
            </w:pPr>
            <w:r w:rsidRPr="00F07685">
              <w:rPr>
                <w:b/>
                <w:bCs/>
                <w:color w:val="000000"/>
                <w:szCs w:val="24"/>
              </w:rPr>
              <w:t>Recommendations of the Regulatory Scrutiny Board</w:t>
            </w:r>
          </w:p>
        </w:tc>
        <w:tc>
          <w:tcPr>
            <w:tcW w:w="4644" w:type="dxa"/>
          </w:tcPr>
          <w:p w:rsidR="00F07685" w:rsidRPr="00F07685" w:rsidRDefault="00F07685" w:rsidP="00F07685">
            <w:pPr>
              <w:snapToGrid w:val="0"/>
              <w:spacing w:after="120"/>
              <w:rPr>
                <w:szCs w:val="24"/>
              </w:rPr>
            </w:pPr>
            <w:r w:rsidRPr="00F07685">
              <w:rPr>
                <w:b/>
                <w:bCs/>
                <w:color w:val="000000"/>
                <w:szCs w:val="24"/>
              </w:rPr>
              <w:t>Modifications to the Impact Assessment Report</w:t>
            </w:r>
          </w:p>
        </w:tc>
      </w:tr>
      <w:tr w:rsidR="00C27F8C" w:rsidRPr="00F07685" w:rsidTr="00E851A2">
        <w:tc>
          <w:tcPr>
            <w:tcW w:w="4644" w:type="dxa"/>
            <w:shd w:val="clear" w:color="auto" w:fill="FFFFFF" w:themeFill="background1"/>
          </w:tcPr>
          <w:p w:rsidR="00C27F8C" w:rsidRPr="004A32D9" w:rsidRDefault="00C27F8C" w:rsidP="00C27F8C">
            <w:pPr>
              <w:tabs>
                <w:tab w:val="left" w:pos="720"/>
              </w:tabs>
              <w:spacing w:before="120" w:after="120" w:line="24" w:lineRule="atLeast"/>
              <w:jc w:val="both"/>
              <w:rPr>
                <w:rFonts w:ascii="Times New Roman" w:eastAsia="Times New Roman" w:hAnsi="Times New Roman" w:cs="Times New Roman"/>
                <w:sz w:val="20"/>
                <w:szCs w:val="20"/>
                <w:lang w:eastAsia="en-GB"/>
              </w:rPr>
            </w:pPr>
            <w:r w:rsidRPr="00327777">
              <w:rPr>
                <w:rFonts w:ascii="Times New Roman" w:eastAsia="Times New Roman" w:hAnsi="Times New Roman" w:cs="Times New Roman"/>
                <w:sz w:val="20"/>
                <w:szCs w:val="20"/>
                <w:lang w:eastAsia="en-GB"/>
              </w:rPr>
              <w:t>The report fails to clearly describe the policy context and the main objective(s) of the initiative: whether it aims to address specific shortcomings of the exist</w:t>
            </w:r>
            <w:r w:rsidRPr="00CF662B">
              <w:rPr>
                <w:rFonts w:ascii="Times New Roman" w:eastAsia="Times New Roman" w:hAnsi="Times New Roman" w:cs="Times New Roman"/>
                <w:sz w:val="20"/>
                <w:szCs w:val="20"/>
                <w:lang w:eastAsia="en-GB"/>
              </w:rPr>
              <w:t xml:space="preserve">ing EU-Chile Association Agreement or if it its part of a broader strategic agenda to modernise EU FTAs with partner countries. </w:t>
            </w:r>
          </w:p>
        </w:tc>
        <w:tc>
          <w:tcPr>
            <w:tcW w:w="4644" w:type="dxa"/>
            <w:shd w:val="clear" w:color="auto" w:fill="FFFFFF" w:themeFill="background1"/>
          </w:tcPr>
          <w:p w:rsidR="00835BF6" w:rsidRPr="00E851A2" w:rsidRDefault="00835BF6" w:rsidP="00E851A2">
            <w:pPr>
              <w:pStyle w:val="ListParagraph"/>
              <w:numPr>
                <w:ilvl w:val="0"/>
                <w:numId w:val="67"/>
              </w:numPr>
              <w:snapToGrid w:val="0"/>
              <w:spacing w:before="120" w:after="120"/>
              <w:ind w:left="357" w:hanging="357"/>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The following sections have been modified to </w:t>
            </w:r>
            <w:r w:rsidR="00494D84">
              <w:rPr>
                <w:rFonts w:ascii="Times New Roman" w:hAnsi="Times New Roman" w:cs="Times New Roman"/>
                <w:sz w:val="20"/>
                <w:szCs w:val="20"/>
                <w:lang w:val="en-GB"/>
              </w:rPr>
              <w:t xml:space="preserve">better </w:t>
            </w:r>
            <w:r w:rsidRPr="00E851A2">
              <w:rPr>
                <w:rFonts w:ascii="Times New Roman" w:hAnsi="Times New Roman" w:cs="Times New Roman"/>
                <w:sz w:val="20"/>
                <w:szCs w:val="20"/>
                <w:lang w:val="en-GB"/>
              </w:rPr>
              <w:t xml:space="preserve">reflect the dual objective as well as the different categories of problems and problem drivers: Chapter 1 (sections 1.1.2,  1.2,  1.2.1 and  1.2.2), Chapter 2, Chapter 3 (section 3.1).  </w:t>
            </w:r>
          </w:p>
        </w:tc>
      </w:tr>
      <w:tr w:rsidR="00C27F8C" w:rsidRPr="00F07685" w:rsidTr="00E851A2">
        <w:tc>
          <w:tcPr>
            <w:tcW w:w="4644" w:type="dxa"/>
            <w:shd w:val="clear" w:color="auto" w:fill="FFFFFF" w:themeFill="background1"/>
          </w:tcPr>
          <w:p w:rsidR="00C27F8C" w:rsidRPr="00CF662B" w:rsidRDefault="00C27F8C" w:rsidP="00C27F8C">
            <w:pPr>
              <w:tabs>
                <w:tab w:val="left" w:pos="720"/>
              </w:tabs>
              <w:spacing w:before="120" w:after="120" w:line="24" w:lineRule="atLeast"/>
              <w:jc w:val="both"/>
              <w:rPr>
                <w:rFonts w:ascii="Times New Roman" w:eastAsia="Times New Roman" w:hAnsi="Times New Roman" w:cs="Times New Roman"/>
                <w:sz w:val="20"/>
                <w:szCs w:val="20"/>
                <w:lang w:eastAsia="en-GB"/>
              </w:rPr>
            </w:pPr>
            <w:r w:rsidRPr="00327777">
              <w:rPr>
                <w:rFonts w:ascii="Times New Roman" w:eastAsia="Times New Roman" w:hAnsi="Times New Roman" w:cs="Times New Roman"/>
                <w:sz w:val="20"/>
                <w:szCs w:val="20"/>
                <w:lang w:eastAsia="en-GB"/>
              </w:rPr>
              <w:t xml:space="preserve">The report does not prioritise the problems it identifies and does not describe how big they are. </w:t>
            </w:r>
          </w:p>
        </w:tc>
        <w:tc>
          <w:tcPr>
            <w:tcW w:w="4644" w:type="dxa"/>
            <w:shd w:val="clear" w:color="auto" w:fill="FFFFFF" w:themeFill="background1"/>
          </w:tcPr>
          <w:p w:rsidR="004D7B5C" w:rsidRPr="00E851A2" w:rsidRDefault="004D7B5C" w:rsidP="00E851A2">
            <w:pPr>
              <w:pStyle w:val="ListParagraph"/>
              <w:numPr>
                <w:ilvl w:val="0"/>
                <w:numId w:val="67"/>
              </w:numPr>
              <w:snapToGrid w:val="0"/>
              <w:spacing w:before="120" w:after="120"/>
              <w:ind w:left="357" w:hanging="357"/>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Section 1.1 has been modified to </w:t>
            </w:r>
            <w:r w:rsidR="00494D84">
              <w:rPr>
                <w:rFonts w:ascii="Times New Roman" w:hAnsi="Times New Roman" w:cs="Times New Roman"/>
                <w:sz w:val="20"/>
                <w:szCs w:val="20"/>
                <w:lang w:val="en-GB"/>
              </w:rPr>
              <w:t xml:space="preserve">better </w:t>
            </w:r>
            <w:r w:rsidRPr="00E851A2">
              <w:rPr>
                <w:rFonts w:ascii="Times New Roman" w:hAnsi="Times New Roman" w:cs="Times New Roman"/>
                <w:sz w:val="20"/>
                <w:szCs w:val="20"/>
                <w:lang w:val="en-GB"/>
              </w:rPr>
              <w:t>differentiate between general issues and specific problems.</w:t>
            </w:r>
          </w:p>
          <w:p w:rsidR="004D7B5C" w:rsidRPr="00E851A2" w:rsidRDefault="004D7B5C" w:rsidP="00E851A2">
            <w:pPr>
              <w:pStyle w:val="ListParagraph"/>
              <w:numPr>
                <w:ilvl w:val="0"/>
                <w:numId w:val="67"/>
              </w:numPr>
              <w:snapToGrid w:val="0"/>
              <w:spacing w:after="120"/>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 Section 1.2 has been modified to (i) present in more detail the general context, and (ii) differentiate between the shortcoming of the existing provisions and the new issues missing in the existing Agreement.</w:t>
            </w:r>
          </w:p>
          <w:p w:rsidR="00C27F8C" w:rsidRPr="00E851A2" w:rsidRDefault="004D7B5C" w:rsidP="00E851A2">
            <w:pPr>
              <w:pStyle w:val="ListParagraph"/>
              <w:numPr>
                <w:ilvl w:val="0"/>
                <w:numId w:val="67"/>
              </w:numPr>
              <w:snapToGrid w:val="0"/>
              <w:spacing w:after="120"/>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Specific shortcomings in section 1.2.1 have been described in more detail, including concrete examples.  </w:t>
            </w:r>
          </w:p>
          <w:p w:rsidR="004D7B5C" w:rsidRPr="00E851A2" w:rsidRDefault="004D7B5C" w:rsidP="00E851A2">
            <w:pPr>
              <w:pStyle w:val="ListParagraph"/>
              <w:numPr>
                <w:ilvl w:val="0"/>
                <w:numId w:val="67"/>
              </w:numPr>
              <w:snapToGrid w:val="0"/>
              <w:spacing w:after="120"/>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An extra paragraph has been included in the Introduction to clarify the aspects </w:t>
            </w:r>
            <w:r w:rsidR="000F258C" w:rsidRPr="00E851A2">
              <w:rPr>
                <w:rFonts w:ascii="Times New Roman" w:hAnsi="Times New Roman" w:cs="Times New Roman"/>
                <w:sz w:val="20"/>
                <w:szCs w:val="20"/>
                <w:lang w:val="en-GB"/>
              </w:rPr>
              <w:t xml:space="preserve">of the analysis </w:t>
            </w:r>
            <w:r w:rsidRPr="00E851A2">
              <w:rPr>
                <w:rFonts w:ascii="Times New Roman" w:hAnsi="Times New Roman" w:cs="Times New Roman"/>
                <w:sz w:val="20"/>
                <w:szCs w:val="20"/>
                <w:lang w:val="en-GB"/>
              </w:rPr>
              <w:t>that would fall under the framework of a Sustainability Impact Assessment (e.g. flanking measures)</w:t>
            </w:r>
            <w:r w:rsidR="000F258C" w:rsidRPr="00E851A2">
              <w:rPr>
                <w:rFonts w:ascii="Times New Roman" w:hAnsi="Times New Roman" w:cs="Times New Roman"/>
                <w:sz w:val="20"/>
                <w:szCs w:val="20"/>
                <w:lang w:val="en-GB"/>
              </w:rPr>
              <w:t xml:space="preserve"> rather than the Impact Assessment.</w:t>
            </w:r>
          </w:p>
        </w:tc>
      </w:tr>
      <w:tr w:rsidR="00C27F8C" w:rsidRPr="00F07685" w:rsidTr="00E851A2">
        <w:tc>
          <w:tcPr>
            <w:tcW w:w="4644" w:type="dxa"/>
            <w:shd w:val="clear" w:color="auto" w:fill="FFFFFF" w:themeFill="background1"/>
          </w:tcPr>
          <w:p w:rsidR="00C27F8C" w:rsidRPr="00CF662B" w:rsidRDefault="00C27F8C" w:rsidP="00C27F8C">
            <w:pPr>
              <w:tabs>
                <w:tab w:val="left" w:pos="720"/>
              </w:tabs>
              <w:spacing w:before="120" w:after="120" w:line="24" w:lineRule="atLeast"/>
              <w:jc w:val="both"/>
              <w:rPr>
                <w:rFonts w:ascii="Times New Roman" w:eastAsia="Times New Roman" w:hAnsi="Times New Roman" w:cs="Times New Roman"/>
                <w:sz w:val="20"/>
                <w:szCs w:val="20"/>
                <w:lang w:eastAsia="en-GB"/>
              </w:rPr>
            </w:pPr>
            <w:r w:rsidRPr="00327777">
              <w:rPr>
                <w:rFonts w:ascii="Times New Roman" w:eastAsia="Times New Roman" w:hAnsi="Times New Roman" w:cs="Times New Roman"/>
                <w:sz w:val="20"/>
                <w:szCs w:val="20"/>
                <w:lang w:eastAsia="en-GB"/>
              </w:rPr>
              <w:t xml:space="preserve">The report does not present distributional consequences in sufficient detail. The level of ambition in terms of social and environmental standards is unclear. </w:t>
            </w:r>
          </w:p>
        </w:tc>
        <w:tc>
          <w:tcPr>
            <w:tcW w:w="4644" w:type="dxa"/>
            <w:shd w:val="clear" w:color="auto" w:fill="FFFFFF" w:themeFill="background1"/>
          </w:tcPr>
          <w:p w:rsidR="003552FB" w:rsidRPr="00E851A2" w:rsidRDefault="003552FB" w:rsidP="00E851A2">
            <w:pPr>
              <w:pStyle w:val="ListParagraph"/>
              <w:numPr>
                <w:ilvl w:val="0"/>
                <w:numId w:val="64"/>
              </w:numPr>
              <w:snapToGrid w:val="0"/>
              <w:spacing w:before="120" w:after="120"/>
              <w:ind w:left="357" w:hanging="357"/>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Additional paragraphs have been included in sections 4.3, 5.7, 5.8.3 and 5.10 to clarify the scope and the concrete issues on environment, social and labour </w:t>
            </w:r>
            <w:r w:rsidR="000F258C" w:rsidRPr="00E851A2">
              <w:rPr>
                <w:rFonts w:ascii="Times New Roman" w:hAnsi="Times New Roman" w:cs="Times New Roman"/>
                <w:sz w:val="20"/>
                <w:szCs w:val="20"/>
                <w:lang w:val="en-GB"/>
              </w:rPr>
              <w:t xml:space="preserve">matters </w:t>
            </w:r>
            <w:r w:rsidRPr="00E851A2">
              <w:rPr>
                <w:rFonts w:ascii="Times New Roman" w:hAnsi="Times New Roman" w:cs="Times New Roman"/>
                <w:sz w:val="20"/>
                <w:szCs w:val="20"/>
                <w:lang w:val="en-GB"/>
              </w:rPr>
              <w:t xml:space="preserve">that would be tackled </w:t>
            </w:r>
            <w:r w:rsidR="00E84601">
              <w:rPr>
                <w:rFonts w:ascii="Times New Roman" w:hAnsi="Times New Roman" w:cs="Times New Roman"/>
                <w:sz w:val="20"/>
                <w:szCs w:val="20"/>
                <w:lang w:val="en-GB"/>
              </w:rPr>
              <w:t>by</w:t>
            </w:r>
            <w:r w:rsidRPr="00E851A2">
              <w:rPr>
                <w:rFonts w:ascii="Times New Roman" w:hAnsi="Times New Roman" w:cs="Times New Roman"/>
                <w:sz w:val="20"/>
                <w:szCs w:val="20"/>
                <w:lang w:val="en-GB"/>
              </w:rPr>
              <w:t xml:space="preserve"> the Trade and Sustainable Development chapter</w:t>
            </w:r>
            <w:r w:rsidR="000F258C" w:rsidRPr="00E851A2">
              <w:rPr>
                <w:rFonts w:ascii="Times New Roman" w:hAnsi="Times New Roman" w:cs="Times New Roman"/>
                <w:sz w:val="20"/>
                <w:szCs w:val="20"/>
                <w:lang w:val="en-GB"/>
              </w:rPr>
              <w:t xml:space="preserve"> of a possible future Agreement</w:t>
            </w:r>
            <w:r w:rsidRPr="00E851A2">
              <w:rPr>
                <w:rFonts w:ascii="Times New Roman" w:hAnsi="Times New Roman" w:cs="Times New Roman"/>
                <w:sz w:val="20"/>
                <w:szCs w:val="20"/>
                <w:lang w:val="en-GB"/>
              </w:rPr>
              <w:t xml:space="preserve">.  </w:t>
            </w:r>
          </w:p>
          <w:p w:rsidR="003552FB" w:rsidRPr="00E851A2" w:rsidRDefault="003552FB" w:rsidP="00E851A2">
            <w:pPr>
              <w:pStyle w:val="ListParagraph"/>
              <w:numPr>
                <w:ilvl w:val="0"/>
                <w:numId w:val="64"/>
              </w:numPr>
              <w:snapToGrid w:val="0"/>
              <w:spacing w:after="120"/>
              <w:rPr>
                <w:rFonts w:ascii="Times New Roman" w:hAnsi="Times New Roman" w:cs="Times New Roman"/>
                <w:sz w:val="20"/>
                <w:szCs w:val="20"/>
                <w:lang w:val="en-GB"/>
              </w:rPr>
            </w:pPr>
            <w:r w:rsidRPr="00E851A2">
              <w:rPr>
                <w:rFonts w:ascii="Times New Roman" w:hAnsi="Times New Roman" w:cs="Times New Roman"/>
                <w:sz w:val="20"/>
                <w:szCs w:val="20"/>
                <w:lang w:val="en-GB"/>
              </w:rPr>
              <w:t>An additional paragraph has been included in section 5.9 on consumer protection.</w:t>
            </w:r>
          </w:p>
          <w:p w:rsidR="00835BF6" w:rsidRPr="00E851A2" w:rsidRDefault="00835BF6" w:rsidP="003552FB">
            <w:pPr>
              <w:pStyle w:val="ListParagraph"/>
              <w:numPr>
                <w:ilvl w:val="0"/>
                <w:numId w:val="64"/>
              </w:numPr>
              <w:snapToGrid w:val="0"/>
              <w:spacing w:after="120"/>
              <w:rPr>
                <w:rFonts w:ascii="Times New Roman" w:hAnsi="Times New Roman" w:cs="Times New Roman"/>
                <w:sz w:val="20"/>
                <w:szCs w:val="20"/>
                <w:lang w:val="en-GB"/>
              </w:rPr>
            </w:pPr>
            <w:r w:rsidRPr="00E851A2">
              <w:rPr>
                <w:rFonts w:ascii="Times New Roman" w:hAnsi="Times New Roman" w:cs="Times New Roman"/>
                <w:sz w:val="20"/>
                <w:szCs w:val="20"/>
                <w:lang w:val="en-GB"/>
              </w:rPr>
              <w:t>As explained in Chapter 5 it is not feasible to disaggregate expected impacts by Member State. However, a brief overview o</w:t>
            </w:r>
            <w:r w:rsidR="00E84601">
              <w:rPr>
                <w:rFonts w:ascii="Times New Roman" w:hAnsi="Times New Roman" w:cs="Times New Roman"/>
                <w:sz w:val="20"/>
                <w:szCs w:val="20"/>
                <w:lang w:val="en-GB"/>
              </w:rPr>
              <w:t>f</w:t>
            </w:r>
            <w:r w:rsidR="002515AE" w:rsidRPr="00E851A2">
              <w:rPr>
                <w:rFonts w:ascii="Times New Roman" w:hAnsi="Times New Roman" w:cs="Times New Roman"/>
                <w:sz w:val="20"/>
                <w:szCs w:val="20"/>
                <w:lang w:val="en-GB"/>
              </w:rPr>
              <w:t xml:space="preserve"> bilateral</w:t>
            </w:r>
            <w:r w:rsidRPr="00E851A2">
              <w:rPr>
                <w:rFonts w:ascii="Times New Roman" w:hAnsi="Times New Roman" w:cs="Times New Roman"/>
                <w:sz w:val="20"/>
                <w:szCs w:val="20"/>
                <w:lang w:val="en-GB"/>
              </w:rPr>
              <w:t xml:space="preserve"> trade flows by </w:t>
            </w:r>
            <w:r w:rsidR="00E84601">
              <w:rPr>
                <w:rFonts w:ascii="Times New Roman" w:hAnsi="Times New Roman" w:cs="Times New Roman"/>
                <w:sz w:val="20"/>
                <w:szCs w:val="20"/>
                <w:lang w:val="en-GB"/>
              </w:rPr>
              <w:t xml:space="preserve">key </w:t>
            </w:r>
            <w:r w:rsidRPr="00E851A2">
              <w:rPr>
                <w:rFonts w:ascii="Times New Roman" w:hAnsi="Times New Roman" w:cs="Times New Roman"/>
                <w:sz w:val="20"/>
                <w:szCs w:val="20"/>
                <w:lang w:val="en-GB"/>
              </w:rPr>
              <w:t>Member State</w:t>
            </w:r>
            <w:r w:rsidR="00E84601">
              <w:rPr>
                <w:rFonts w:ascii="Times New Roman" w:hAnsi="Times New Roman" w:cs="Times New Roman"/>
                <w:sz w:val="20"/>
                <w:szCs w:val="20"/>
                <w:lang w:val="en-GB"/>
              </w:rPr>
              <w:t>s</w:t>
            </w:r>
            <w:r w:rsidR="002515AE" w:rsidRPr="00E851A2">
              <w:rPr>
                <w:rFonts w:ascii="Times New Roman" w:hAnsi="Times New Roman" w:cs="Times New Roman"/>
                <w:sz w:val="20"/>
                <w:szCs w:val="20"/>
                <w:lang w:val="en-GB"/>
              </w:rPr>
              <w:t xml:space="preserve"> and by key sector</w:t>
            </w:r>
            <w:r w:rsidR="00E84601">
              <w:rPr>
                <w:rFonts w:ascii="Times New Roman" w:hAnsi="Times New Roman" w:cs="Times New Roman"/>
                <w:sz w:val="20"/>
                <w:szCs w:val="20"/>
                <w:lang w:val="en-GB"/>
              </w:rPr>
              <w:t>s</w:t>
            </w:r>
            <w:r w:rsidRPr="00E851A2">
              <w:rPr>
                <w:rFonts w:ascii="Times New Roman" w:hAnsi="Times New Roman" w:cs="Times New Roman"/>
                <w:sz w:val="20"/>
                <w:szCs w:val="20"/>
                <w:lang w:val="en-GB"/>
              </w:rPr>
              <w:t xml:space="preserve"> </w:t>
            </w:r>
            <w:r w:rsidR="000F258C" w:rsidRPr="00E851A2">
              <w:rPr>
                <w:rFonts w:ascii="Times New Roman" w:hAnsi="Times New Roman" w:cs="Times New Roman"/>
                <w:sz w:val="20"/>
                <w:szCs w:val="20"/>
                <w:lang w:val="en-GB"/>
              </w:rPr>
              <w:t xml:space="preserve">has been included </w:t>
            </w:r>
            <w:r w:rsidRPr="00E851A2">
              <w:rPr>
                <w:rFonts w:ascii="Times New Roman" w:hAnsi="Times New Roman" w:cs="Times New Roman"/>
                <w:sz w:val="20"/>
                <w:szCs w:val="20"/>
                <w:lang w:val="en-GB"/>
              </w:rPr>
              <w:t xml:space="preserve">in section 1.1.1. </w:t>
            </w:r>
          </w:p>
          <w:p w:rsidR="006720F2" w:rsidRPr="00E851A2" w:rsidRDefault="004A32D9" w:rsidP="00E84601">
            <w:pPr>
              <w:pStyle w:val="ListParagraph"/>
              <w:numPr>
                <w:ilvl w:val="0"/>
                <w:numId w:val="64"/>
              </w:numPr>
              <w:snapToGrid w:val="0"/>
              <w:spacing w:after="120"/>
              <w:rPr>
                <w:rFonts w:ascii="Times New Roman" w:hAnsi="Times New Roman" w:cs="Times New Roman"/>
                <w:sz w:val="20"/>
                <w:szCs w:val="20"/>
                <w:lang w:val="en-GB"/>
              </w:rPr>
            </w:pPr>
            <w:r w:rsidRPr="00E851A2">
              <w:rPr>
                <w:rFonts w:ascii="Times New Roman" w:hAnsi="Times New Roman" w:cs="Times New Roman"/>
                <w:sz w:val="20"/>
                <w:szCs w:val="20"/>
                <w:lang w:val="en-GB"/>
              </w:rPr>
              <w:t>A reference to the table in the external study (Annex 5) on the % change in labour demand in the EU by sub-sector has been included in section 5.8.2.</w:t>
            </w:r>
          </w:p>
        </w:tc>
      </w:tr>
      <w:tr w:rsidR="00C27F8C" w:rsidRPr="00F07685" w:rsidTr="00C27F8C">
        <w:tc>
          <w:tcPr>
            <w:tcW w:w="4644" w:type="dxa"/>
            <w:shd w:val="clear" w:color="auto" w:fill="FFFFFF" w:themeFill="background1"/>
          </w:tcPr>
          <w:p w:rsidR="00C27F8C" w:rsidRPr="00F0331D" w:rsidRDefault="00C27F8C" w:rsidP="00F0331D">
            <w:pPr>
              <w:tabs>
                <w:tab w:val="left" w:pos="720"/>
              </w:tabs>
              <w:spacing w:before="120" w:after="120" w:line="24" w:lineRule="atLeast"/>
              <w:jc w:val="both"/>
              <w:rPr>
                <w:rFonts w:ascii="Times New Roman" w:eastAsia="Times New Roman" w:hAnsi="Times New Roman" w:cs="Times New Roman"/>
                <w:sz w:val="20"/>
                <w:szCs w:val="20"/>
                <w:lang w:eastAsia="en-GB"/>
              </w:rPr>
            </w:pPr>
            <w:r w:rsidRPr="00327777">
              <w:rPr>
                <w:rFonts w:ascii="Times New Roman" w:eastAsia="Times New Roman" w:hAnsi="Times New Roman" w:cs="Times New Roman"/>
                <w:sz w:val="20"/>
                <w:szCs w:val="20"/>
                <w:lang w:eastAsia="en-GB"/>
              </w:rPr>
              <w:t>The reporting of the consultation results lack specificity</w:t>
            </w:r>
          </w:p>
        </w:tc>
        <w:tc>
          <w:tcPr>
            <w:tcW w:w="4644" w:type="dxa"/>
            <w:shd w:val="clear" w:color="auto" w:fill="FFFFFF" w:themeFill="background1"/>
          </w:tcPr>
          <w:p w:rsidR="002515AE" w:rsidRPr="00E851A2" w:rsidRDefault="002515AE" w:rsidP="00E851A2">
            <w:pPr>
              <w:pStyle w:val="ListParagraph"/>
              <w:numPr>
                <w:ilvl w:val="0"/>
                <w:numId w:val="70"/>
              </w:numPr>
              <w:snapToGrid w:val="0"/>
              <w:spacing w:before="120" w:after="120"/>
              <w:ind w:left="357" w:hanging="357"/>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Additional detail has been included </w:t>
            </w:r>
            <w:r w:rsidR="00494D84">
              <w:rPr>
                <w:rFonts w:ascii="Times New Roman" w:hAnsi="Times New Roman" w:cs="Times New Roman"/>
                <w:sz w:val="20"/>
                <w:szCs w:val="20"/>
                <w:lang w:val="en-GB"/>
              </w:rPr>
              <w:t xml:space="preserve">throughout the Report (mainly in footnotes) </w:t>
            </w:r>
            <w:r w:rsidRPr="00E851A2">
              <w:rPr>
                <w:rFonts w:ascii="Times New Roman" w:hAnsi="Times New Roman" w:cs="Times New Roman"/>
                <w:sz w:val="20"/>
                <w:szCs w:val="20"/>
                <w:lang w:val="en-GB"/>
              </w:rPr>
              <w:t>to better explain which stakeholder groups expressed which views</w:t>
            </w:r>
            <w:r w:rsidR="00E84601">
              <w:rPr>
                <w:rFonts w:ascii="Times New Roman" w:hAnsi="Times New Roman" w:cs="Times New Roman"/>
                <w:sz w:val="20"/>
                <w:szCs w:val="20"/>
                <w:lang w:val="en-GB"/>
              </w:rPr>
              <w:t>.</w:t>
            </w:r>
          </w:p>
          <w:p w:rsidR="00097C5D" w:rsidRPr="00E851A2" w:rsidRDefault="00097C5D" w:rsidP="00097C5D">
            <w:pPr>
              <w:pStyle w:val="ListParagraph"/>
              <w:numPr>
                <w:ilvl w:val="0"/>
                <w:numId w:val="70"/>
              </w:numPr>
              <w:snapToGrid w:val="0"/>
              <w:spacing w:before="120" w:after="120"/>
              <w:ind w:left="357" w:hanging="357"/>
              <w:rPr>
                <w:rFonts w:ascii="Times New Roman" w:hAnsi="Times New Roman" w:cs="Times New Roman"/>
                <w:sz w:val="20"/>
                <w:szCs w:val="20"/>
                <w:lang w:val="en-GB"/>
              </w:rPr>
            </w:pPr>
            <w:r>
              <w:rPr>
                <w:rFonts w:ascii="Times New Roman" w:hAnsi="Times New Roman" w:cs="Times New Roman"/>
                <w:sz w:val="20"/>
                <w:szCs w:val="20"/>
                <w:lang w:val="en-GB"/>
              </w:rPr>
              <w:t>References in the main text to 'a majority' have been eliminated.</w:t>
            </w:r>
          </w:p>
          <w:p w:rsidR="00C27F8C" w:rsidRPr="00E851A2" w:rsidRDefault="00E84601" w:rsidP="00E851A2">
            <w:pPr>
              <w:pStyle w:val="ListParagraph"/>
              <w:numPr>
                <w:ilvl w:val="0"/>
                <w:numId w:val="70"/>
              </w:numPr>
              <w:snapToGrid w:val="0"/>
              <w:spacing w:after="120"/>
              <w:rPr>
                <w:rFonts w:ascii="Times New Roman" w:hAnsi="Times New Roman" w:cs="Times New Roman"/>
                <w:sz w:val="20"/>
                <w:szCs w:val="20"/>
                <w:lang w:val="en-GB"/>
              </w:rPr>
            </w:pPr>
            <w:r>
              <w:rPr>
                <w:rFonts w:ascii="Times New Roman" w:hAnsi="Times New Roman" w:cs="Times New Roman"/>
                <w:sz w:val="20"/>
                <w:szCs w:val="20"/>
                <w:lang w:val="en-GB"/>
              </w:rPr>
              <w:t>I</w:t>
            </w:r>
            <w:r w:rsidR="002515AE" w:rsidRPr="00E851A2">
              <w:rPr>
                <w:rFonts w:ascii="Times New Roman" w:hAnsi="Times New Roman" w:cs="Times New Roman"/>
                <w:sz w:val="20"/>
                <w:szCs w:val="20"/>
                <w:lang w:val="en-GB"/>
              </w:rPr>
              <w:t xml:space="preserve">nformation from the regular dialogues that the Commission maintains with Chile and with business is reflected in the report, for instance in the description of the specific problem drivers, most notably the shortcomings of the existing provisions. </w:t>
            </w:r>
          </w:p>
        </w:tc>
      </w:tr>
      <w:tr w:rsidR="00C27F8C" w:rsidRPr="00F07685" w:rsidTr="00C27F8C">
        <w:tc>
          <w:tcPr>
            <w:tcW w:w="4644" w:type="dxa"/>
            <w:shd w:val="clear" w:color="auto" w:fill="FFFFFF" w:themeFill="background1"/>
          </w:tcPr>
          <w:p w:rsidR="00C27F8C" w:rsidRPr="00CF662B" w:rsidRDefault="00C27F8C" w:rsidP="00C27F8C">
            <w:pPr>
              <w:tabs>
                <w:tab w:val="left" w:pos="720"/>
              </w:tabs>
              <w:spacing w:before="120" w:after="120" w:line="24" w:lineRule="atLeast"/>
              <w:jc w:val="both"/>
              <w:rPr>
                <w:rFonts w:ascii="Times New Roman" w:eastAsia="Times New Roman" w:hAnsi="Times New Roman" w:cs="Times New Roman"/>
                <w:sz w:val="20"/>
                <w:szCs w:val="20"/>
                <w:lang w:eastAsia="en-GB"/>
              </w:rPr>
            </w:pPr>
            <w:r w:rsidRPr="00327777">
              <w:rPr>
                <w:rFonts w:ascii="Times New Roman" w:eastAsia="Times New Roman" w:hAnsi="Times New Roman" w:cs="Times New Roman"/>
                <w:sz w:val="20"/>
                <w:szCs w:val="20"/>
                <w:lang w:eastAsia="en-GB"/>
              </w:rPr>
              <w:t>The report insufficiently qualifies the results of the modelling exercise and other supporting evidence, and does not fully address contradictions across evidence sources.</w:t>
            </w:r>
          </w:p>
        </w:tc>
        <w:tc>
          <w:tcPr>
            <w:tcW w:w="4644" w:type="dxa"/>
            <w:shd w:val="clear" w:color="auto" w:fill="FFFFFF" w:themeFill="background1"/>
          </w:tcPr>
          <w:p w:rsidR="000F258C" w:rsidRPr="00E851A2" w:rsidRDefault="000F258C" w:rsidP="00E851A2">
            <w:pPr>
              <w:pStyle w:val="ListParagraph"/>
              <w:numPr>
                <w:ilvl w:val="0"/>
                <w:numId w:val="68"/>
              </w:numPr>
              <w:snapToGrid w:val="0"/>
              <w:spacing w:before="120" w:after="120"/>
              <w:ind w:left="357" w:hanging="357"/>
              <w:rPr>
                <w:rFonts w:ascii="Times New Roman" w:hAnsi="Times New Roman" w:cs="Times New Roman"/>
                <w:sz w:val="20"/>
                <w:szCs w:val="20"/>
                <w:lang w:val="en-GB"/>
              </w:rPr>
            </w:pPr>
            <w:r w:rsidRPr="00E851A2">
              <w:rPr>
                <w:rFonts w:ascii="Times New Roman" w:hAnsi="Times New Roman" w:cs="Times New Roman"/>
                <w:sz w:val="20"/>
                <w:szCs w:val="20"/>
                <w:lang w:val="en-GB"/>
              </w:rPr>
              <w:t>Section 4.1 has been amended to clarify the similarities and the differences between the conservative and the increased liberalisation scenario (C1, C2)</w:t>
            </w:r>
            <w:r w:rsidR="005C23C5">
              <w:rPr>
                <w:rFonts w:ascii="Times New Roman" w:hAnsi="Times New Roman" w:cs="Times New Roman"/>
                <w:sz w:val="20"/>
                <w:szCs w:val="20"/>
                <w:lang w:val="en-GB"/>
              </w:rPr>
              <w:t>, and an overview table on the differences included</w:t>
            </w:r>
            <w:r w:rsidRPr="00E851A2">
              <w:rPr>
                <w:rFonts w:ascii="Times New Roman" w:hAnsi="Times New Roman" w:cs="Times New Roman"/>
                <w:sz w:val="20"/>
                <w:szCs w:val="20"/>
                <w:lang w:val="en-GB"/>
              </w:rPr>
              <w:t>.</w:t>
            </w:r>
          </w:p>
          <w:p w:rsidR="00C27F8C" w:rsidRDefault="003552FB" w:rsidP="007339BE">
            <w:pPr>
              <w:pStyle w:val="ListParagraph"/>
              <w:numPr>
                <w:ilvl w:val="0"/>
                <w:numId w:val="68"/>
              </w:numPr>
              <w:rPr>
                <w:rFonts w:ascii="Times New Roman" w:hAnsi="Times New Roman" w:cs="Times New Roman"/>
                <w:sz w:val="20"/>
                <w:szCs w:val="20"/>
                <w:lang w:val="en-GB"/>
              </w:rPr>
            </w:pPr>
            <w:r w:rsidRPr="00E851A2">
              <w:rPr>
                <w:rFonts w:ascii="Times New Roman" w:hAnsi="Times New Roman" w:cs="Times New Roman"/>
                <w:sz w:val="20"/>
                <w:szCs w:val="20"/>
                <w:lang w:val="en-GB"/>
              </w:rPr>
              <w:t xml:space="preserve">Sections </w:t>
            </w:r>
            <w:r w:rsidR="008427C6" w:rsidRPr="00E851A2">
              <w:rPr>
                <w:rFonts w:ascii="Times New Roman" w:hAnsi="Times New Roman" w:cs="Times New Roman"/>
                <w:sz w:val="20"/>
                <w:szCs w:val="20"/>
                <w:lang w:val="en-GB"/>
              </w:rPr>
              <w:t xml:space="preserve">4.1, 4.3, </w:t>
            </w:r>
            <w:r w:rsidRPr="00E851A2">
              <w:rPr>
                <w:rFonts w:ascii="Times New Roman" w:hAnsi="Times New Roman" w:cs="Times New Roman"/>
                <w:sz w:val="20"/>
                <w:szCs w:val="20"/>
                <w:lang w:val="en-GB"/>
              </w:rPr>
              <w:t>5.1, 5.2 and 5.3 have been amended to</w:t>
            </w:r>
            <w:r w:rsidR="00494D84">
              <w:rPr>
                <w:rFonts w:ascii="Times New Roman" w:hAnsi="Times New Roman" w:cs="Times New Roman"/>
                <w:sz w:val="20"/>
                <w:szCs w:val="20"/>
                <w:lang w:val="en-GB"/>
              </w:rPr>
              <w:t xml:space="preserve"> better</w:t>
            </w:r>
            <w:r w:rsidRPr="00E851A2">
              <w:rPr>
                <w:rFonts w:ascii="Times New Roman" w:hAnsi="Times New Roman" w:cs="Times New Roman"/>
                <w:sz w:val="20"/>
                <w:szCs w:val="20"/>
                <w:lang w:val="en-GB"/>
              </w:rPr>
              <w:t xml:space="preserve"> explain why the CGE model remains the best available tool, despite the limitations, and to clarify that the baseline (policy option A) is </w:t>
            </w:r>
            <w:r w:rsidR="00E851A2" w:rsidRPr="00E851A2">
              <w:rPr>
                <w:rFonts w:ascii="Times New Roman" w:hAnsi="Times New Roman" w:cs="Times New Roman"/>
                <w:sz w:val="20"/>
                <w:szCs w:val="20"/>
                <w:lang w:val="en-GB"/>
              </w:rPr>
              <w:t>dynamic,</w:t>
            </w:r>
            <w:r w:rsidR="008427C6" w:rsidRPr="00E851A2">
              <w:rPr>
                <w:rFonts w:ascii="Times New Roman" w:hAnsi="Times New Roman" w:cs="Times New Roman"/>
                <w:sz w:val="20"/>
                <w:szCs w:val="20"/>
                <w:lang w:val="en-GB"/>
              </w:rPr>
              <w:t xml:space="preserve"> with a similar long-term projection (2025) as for policy option C. It is further explained that, </w:t>
            </w:r>
            <w:r w:rsidR="000F258C" w:rsidRPr="00E851A2">
              <w:rPr>
                <w:rFonts w:ascii="Times New Roman" w:hAnsi="Times New Roman" w:cs="Times New Roman"/>
                <w:sz w:val="20"/>
                <w:szCs w:val="20"/>
                <w:lang w:val="en-GB"/>
              </w:rPr>
              <w:t>as a result</w:t>
            </w:r>
            <w:r w:rsidR="008427C6" w:rsidRPr="00E851A2">
              <w:rPr>
                <w:rFonts w:ascii="Times New Roman" w:hAnsi="Times New Roman" w:cs="Times New Roman"/>
                <w:sz w:val="20"/>
                <w:szCs w:val="20"/>
                <w:lang w:val="en-GB"/>
              </w:rPr>
              <w:t>, the u</w:t>
            </w:r>
            <w:r w:rsidR="004D7B5C" w:rsidRPr="00E851A2">
              <w:rPr>
                <w:rFonts w:ascii="Times New Roman" w:hAnsi="Times New Roman" w:cs="Times New Roman"/>
                <w:sz w:val="20"/>
                <w:szCs w:val="20"/>
                <w:lang w:val="en-GB"/>
              </w:rPr>
              <w:t xml:space="preserve">ntapped </w:t>
            </w:r>
            <w:r w:rsidR="008427C6" w:rsidRPr="00E851A2">
              <w:rPr>
                <w:rFonts w:ascii="Times New Roman" w:hAnsi="Times New Roman" w:cs="Times New Roman"/>
                <w:sz w:val="20"/>
                <w:szCs w:val="20"/>
                <w:lang w:val="en-GB"/>
              </w:rPr>
              <w:t xml:space="preserve">trade </w:t>
            </w:r>
            <w:r w:rsidR="004D7B5C" w:rsidRPr="00E851A2">
              <w:rPr>
                <w:rFonts w:ascii="Times New Roman" w:hAnsi="Times New Roman" w:cs="Times New Roman"/>
                <w:sz w:val="20"/>
                <w:szCs w:val="20"/>
                <w:lang w:val="en-GB"/>
              </w:rPr>
              <w:t>potential</w:t>
            </w:r>
            <w:r w:rsidR="008427C6" w:rsidRPr="00E851A2">
              <w:rPr>
                <w:rFonts w:ascii="Times New Roman" w:hAnsi="Times New Roman" w:cs="Times New Roman"/>
                <w:sz w:val="20"/>
                <w:szCs w:val="20"/>
                <w:lang w:val="en-GB"/>
              </w:rPr>
              <w:t xml:space="preserve"> </w:t>
            </w:r>
            <w:r w:rsidR="00E84601" w:rsidRPr="007339BE">
              <w:rPr>
                <w:rFonts w:ascii="Times New Roman" w:hAnsi="Times New Roman" w:cs="Times New Roman"/>
                <w:sz w:val="20"/>
                <w:szCs w:val="20"/>
                <w:lang w:val="en-GB"/>
              </w:rPr>
              <w:t>is</w:t>
            </w:r>
            <w:r w:rsidR="008427C6" w:rsidRPr="00E851A2">
              <w:rPr>
                <w:rFonts w:ascii="Times New Roman" w:hAnsi="Times New Roman" w:cs="Times New Roman"/>
                <w:sz w:val="20"/>
                <w:szCs w:val="20"/>
                <w:lang w:val="en-GB"/>
              </w:rPr>
              <w:t xml:space="preserve"> the expected increase in bilateral trade under policy options C1 and C2.</w:t>
            </w:r>
          </w:p>
          <w:p w:rsidR="008427C6" w:rsidRPr="00E851A2" w:rsidRDefault="008427C6" w:rsidP="007339BE">
            <w:pPr>
              <w:pStyle w:val="ListParagraph"/>
              <w:ind w:left="357"/>
              <w:rPr>
                <w:lang w:val="en-GB"/>
              </w:rPr>
            </w:pPr>
          </w:p>
        </w:tc>
      </w:tr>
    </w:tbl>
    <w:p w:rsidR="00F07685" w:rsidRPr="00F07685" w:rsidRDefault="00F07685" w:rsidP="00575883">
      <w:pPr>
        <w:spacing w:after="0" w:line="240" w:lineRule="auto"/>
        <w:jc w:val="both"/>
        <w:rPr>
          <w:rFonts w:ascii="Times New Roman" w:hAnsi="Times New Roman" w:cs="Times New Roman"/>
          <w:sz w:val="24"/>
          <w:szCs w:val="24"/>
        </w:rPr>
      </w:pPr>
    </w:p>
    <w:p w:rsidR="00C44149" w:rsidRDefault="00C44149" w:rsidP="00C44149">
      <w:pPr>
        <w:spacing w:after="0" w:line="240" w:lineRule="auto"/>
        <w:rPr>
          <w:rFonts w:ascii="Times New Roman" w:eastAsiaTheme="majorEastAsia" w:hAnsi="Times New Roman" w:cs="Times New Roman"/>
          <w:b/>
          <w:bCs/>
          <w:sz w:val="24"/>
          <w:szCs w:val="24"/>
          <w:u w:val="single"/>
        </w:rPr>
      </w:pPr>
    </w:p>
    <w:p w:rsidR="008829C8" w:rsidRPr="00C44149" w:rsidRDefault="008829C8" w:rsidP="00C44149">
      <w:pPr>
        <w:spacing w:after="0" w:line="240" w:lineRule="auto"/>
        <w:rPr>
          <w:rFonts w:ascii="Times New Roman" w:eastAsiaTheme="majorEastAsia" w:hAnsi="Times New Roman" w:cs="Times New Roman"/>
          <w:b/>
          <w:bCs/>
          <w:sz w:val="24"/>
          <w:szCs w:val="24"/>
          <w:u w:val="single"/>
        </w:rPr>
      </w:pPr>
    </w:p>
    <w:p w:rsidR="00BF189B" w:rsidRPr="00241BA2" w:rsidRDefault="004876F8" w:rsidP="00241BA2">
      <w:pPr>
        <w:pStyle w:val="Heading2"/>
        <w:jc w:val="center"/>
        <w:rPr>
          <w:rFonts w:ascii="Times New Roman Bold" w:hAnsi="Times New Roman Bold" w:hint="eastAsia"/>
          <w:caps/>
        </w:rPr>
      </w:pPr>
      <w:bookmarkStart w:id="82" w:name="_Toc442284075"/>
      <w:bookmarkStart w:id="83" w:name="_Toc473123109"/>
      <w:r w:rsidRPr="00241BA2">
        <w:rPr>
          <w:rFonts w:ascii="Times New Roman Bold" w:hAnsi="Times New Roman Bold"/>
          <w:caps/>
        </w:rPr>
        <w:t>Annex</w:t>
      </w:r>
      <w:r w:rsidR="00C44149" w:rsidRPr="00241BA2">
        <w:rPr>
          <w:rFonts w:ascii="Times New Roman Bold" w:hAnsi="Times New Roman Bold"/>
          <w:caps/>
        </w:rPr>
        <w:t xml:space="preserve"> </w:t>
      </w:r>
      <w:r w:rsidR="00822684" w:rsidRPr="00241BA2">
        <w:rPr>
          <w:rFonts w:ascii="Times New Roman Bold" w:hAnsi="Times New Roman Bold"/>
          <w:caps/>
        </w:rPr>
        <w:t>2</w:t>
      </w:r>
      <w:r w:rsidR="00302A40">
        <w:rPr>
          <w:rFonts w:ascii="Times New Roman Bold" w:hAnsi="Times New Roman Bold"/>
          <w:caps/>
        </w:rPr>
        <w:t xml:space="preserve"> - </w:t>
      </w:r>
      <w:r w:rsidR="00725586" w:rsidRPr="00241BA2">
        <w:rPr>
          <w:rFonts w:ascii="Times New Roman Bold" w:hAnsi="Times New Roman Bold"/>
          <w:caps/>
        </w:rPr>
        <w:t>S</w:t>
      </w:r>
      <w:r w:rsidR="007000AA" w:rsidRPr="00241BA2">
        <w:rPr>
          <w:rFonts w:ascii="Times New Roman Bold" w:hAnsi="Times New Roman Bold"/>
          <w:caps/>
        </w:rPr>
        <w:t>takeholders consultation</w:t>
      </w:r>
      <w:r w:rsidR="00241BA2">
        <w:rPr>
          <w:rFonts w:ascii="Times New Roman Bold" w:hAnsi="Times New Roman Bold"/>
          <w:caps/>
        </w:rPr>
        <w:t>s</w:t>
      </w:r>
      <w:bookmarkEnd w:id="82"/>
      <w:bookmarkEnd w:id="83"/>
    </w:p>
    <w:p w:rsidR="00934F5B" w:rsidRPr="00934F5B" w:rsidRDefault="00934F5B" w:rsidP="00241BA2">
      <w:pPr>
        <w:spacing w:after="0" w:line="240" w:lineRule="auto"/>
        <w:jc w:val="center"/>
        <w:rPr>
          <w:rFonts w:ascii="Times New Roman" w:hAnsi="Times New Roman" w:cs="Times New Roman"/>
          <w:bCs/>
          <w:sz w:val="24"/>
          <w:szCs w:val="24"/>
        </w:rPr>
      </w:pPr>
    </w:p>
    <w:p w:rsidR="002A4A42" w:rsidRDefault="002A4A42" w:rsidP="002A4A42">
      <w:pPr>
        <w:jc w:val="both"/>
        <w:rPr>
          <w:rFonts w:ascii="Times New Roman" w:hAnsi="Times New Roman" w:cs="Times New Roman"/>
          <w:i/>
          <w:sz w:val="24"/>
          <w:szCs w:val="24"/>
        </w:rPr>
      </w:pPr>
    </w:p>
    <w:p w:rsidR="002A4A42" w:rsidRPr="002A4A42" w:rsidRDefault="002A4A42" w:rsidP="002A4A42">
      <w:pPr>
        <w:jc w:val="both"/>
        <w:rPr>
          <w:rFonts w:ascii="Times New Roman" w:hAnsi="Times New Roman" w:cs="Times New Roman"/>
          <w:i/>
          <w:sz w:val="24"/>
          <w:szCs w:val="24"/>
        </w:rPr>
      </w:pPr>
      <w:r w:rsidRPr="002A4A42">
        <w:rPr>
          <w:rFonts w:ascii="Times New Roman" w:hAnsi="Times New Roman" w:cs="Times New Roman"/>
          <w:i/>
          <w:sz w:val="24"/>
          <w:szCs w:val="24"/>
        </w:rPr>
        <w:t>The information and views in this Annex do not necessarily reflect the official position of the European Commission. It summarises the input by the stakeholders who participated in the public consultation on the future of economic and trade relations between the EU and Chile.</w:t>
      </w:r>
    </w:p>
    <w:p w:rsidR="002A4A42" w:rsidRPr="002A4A42" w:rsidRDefault="002A4A42" w:rsidP="002A4A42">
      <w:pPr>
        <w:jc w:val="both"/>
        <w:rPr>
          <w:rFonts w:ascii="Times New Roman" w:hAnsi="Times New Roman" w:cs="Times New Roman"/>
          <w:b/>
          <w:sz w:val="24"/>
          <w:szCs w:val="24"/>
          <w:u w:val="single"/>
        </w:rPr>
      </w:pPr>
      <w:r w:rsidRPr="002A4A42">
        <w:rPr>
          <w:rFonts w:ascii="Times New Roman" w:hAnsi="Times New Roman" w:cs="Times New Roman"/>
          <w:b/>
          <w:sz w:val="24"/>
          <w:szCs w:val="24"/>
          <w:u w:val="single"/>
        </w:rPr>
        <w:t>1. Background</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The public consultation</w:t>
      </w:r>
      <w:r w:rsidRPr="002A4A42">
        <w:rPr>
          <w:rFonts w:ascii="Times New Roman" w:hAnsi="Times New Roman" w:cs="Times New Roman"/>
          <w:sz w:val="24"/>
          <w:szCs w:val="24"/>
          <w:vertAlign w:val="superscript"/>
        </w:rPr>
        <w:footnoteReference w:id="28"/>
      </w:r>
      <w:r w:rsidRPr="002A4A42">
        <w:rPr>
          <w:rFonts w:ascii="Times New Roman" w:hAnsi="Times New Roman" w:cs="Times New Roman"/>
          <w:sz w:val="24"/>
          <w:szCs w:val="24"/>
        </w:rPr>
        <w:t xml:space="preserve"> was designed to gather detailed views relating to the future trade and economic relationship between the EU and Chile, respectively to feed into the Impact Assessment Report on a possible modernisation of the trade part of the Association Agreement between the EU and Chile.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Between 8 June and 8 September 2016, the Commission carried out an online public consultation, which was launched on the DG TRADE website and posted on 'EU Survey'</w:t>
      </w:r>
      <w:r w:rsidRPr="002A4A42">
        <w:rPr>
          <w:rFonts w:ascii="Times New Roman" w:hAnsi="Times New Roman" w:cs="Times New Roman"/>
          <w:sz w:val="24"/>
          <w:szCs w:val="24"/>
          <w:vertAlign w:val="superscript"/>
        </w:rPr>
        <w:footnoteReference w:id="29"/>
      </w:r>
      <w:r w:rsidRPr="002A4A42">
        <w:rPr>
          <w:rFonts w:ascii="Times New Roman" w:hAnsi="Times New Roman" w:cs="Times New Roman"/>
          <w:sz w:val="24"/>
          <w:szCs w:val="24"/>
        </w:rPr>
        <w:t xml:space="preserve"> (the Commission's online tool for conducting such public consultations). Stakeholders – interested parties within the EU and in third countries - were invited to answer 48 questions. The Commission received 31 submissions from a range of respondents. Stakeholders' responses w</w:t>
      </w:r>
      <w:r>
        <w:rPr>
          <w:rFonts w:ascii="Times New Roman" w:hAnsi="Times New Roman" w:cs="Times New Roman"/>
          <w:sz w:val="24"/>
          <w:szCs w:val="24"/>
        </w:rPr>
        <w:t xml:space="preserve">ere </w:t>
      </w:r>
      <w:r w:rsidRPr="002A4A42">
        <w:rPr>
          <w:rFonts w:ascii="Times New Roman" w:hAnsi="Times New Roman" w:cs="Times New Roman"/>
          <w:sz w:val="24"/>
          <w:szCs w:val="24"/>
        </w:rPr>
        <w:t>published</w:t>
      </w:r>
      <w:r>
        <w:rPr>
          <w:rFonts w:ascii="Times New Roman" w:hAnsi="Times New Roman" w:cs="Times New Roman"/>
          <w:sz w:val="24"/>
          <w:szCs w:val="24"/>
        </w:rPr>
        <w:t>,</w:t>
      </w:r>
      <w:r w:rsidRPr="002A4A42">
        <w:rPr>
          <w:rFonts w:ascii="Times New Roman" w:hAnsi="Times New Roman" w:cs="Times New Roman"/>
          <w:sz w:val="24"/>
          <w:szCs w:val="24"/>
        </w:rPr>
        <w:t xml:space="preserve"> unless otherwise explicitly indicated by the respondent.</w:t>
      </w:r>
    </w:p>
    <w:p w:rsidR="002A4A42" w:rsidRPr="002A4A42" w:rsidRDefault="002A4A42" w:rsidP="002A4A42">
      <w:pPr>
        <w:jc w:val="both"/>
        <w:rPr>
          <w:rFonts w:ascii="Times New Roman" w:hAnsi="Times New Roman" w:cs="Times New Roman"/>
          <w:b/>
          <w:sz w:val="24"/>
          <w:szCs w:val="24"/>
          <w:u w:val="single"/>
        </w:rPr>
      </w:pPr>
      <w:r w:rsidRPr="002A4A42">
        <w:rPr>
          <w:rFonts w:ascii="Times New Roman" w:hAnsi="Times New Roman" w:cs="Times New Roman"/>
          <w:b/>
          <w:sz w:val="24"/>
          <w:szCs w:val="24"/>
          <w:u w:val="single"/>
        </w:rPr>
        <w:t>2. Overview of respondents</w:t>
      </w:r>
    </w:p>
    <w:p w:rsidR="002A4A42" w:rsidRPr="002A4A42" w:rsidRDefault="005C23C5" w:rsidP="002A4A42">
      <w:pPr>
        <w:jc w:val="both"/>
        <w:rPr>
          <w:rFonts w:ascii="Times New Roman" w:hAnsi="Times New Roman" w:cs="Times New Roman"/>
          <w:sz w:val="24"/>
          <w:szCs w:val="24"/>
        </w:rPr>
      </w:pPr>
      <w:r>
        <w:rPr>
          <w:rFonts w:ascii="Times New Roman" w:hAnsi="Times New Roman" w:cs="Times New Roman"/>
          <w:sz w:val="24"/>
          <w:szCs w:val="24"/>
        </w:rPr>
        <w:t>Altogether, 32</w:t>
      </w:r>
      <w:r w:rsidR="002A4A42" w:rsidRPr="002A4A42">
        <w:rPr>
          <w:rFonts w:ascii="Times New Roman" w:hAnsi="Times New Roman" w:cs="Times New Roman"/>
          <w:sz w:val="24"/>
          <w:szCs w:val="24"/>
        </w:rPr>
        <w:t xml:space="preserve"> responses were submitted via the online EU Survey tool.</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Responses were received from a range of respondents, including single sector business associations, businesses, public administrations, and individuals responding in their personal capacity. Respondents were stakeholders from the EU and Chile who feel they could be affected by the negotiations to modernise the trade pillar of the EU-Chile Association Agreement.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From the 26 respondents that identified the sectors which they represented, the most came from the </w:t>
      </w:r>
      <w:r w:rsidRPr="002A4A42">
        <w:rPr>
          <w:rFonts w:ascii="Times New Roman" w:hAnsi="Times New Roman" w:cs="Times New Roman"/>
          <w:b/>
          <w:sz w:val="24"/>
          <w:szCs w:val="24"/>
        </w:rPr>
        <w:t xml:space="preserve">food sector </w:t>
      </w:r>
      <w:r w:rsidRPr="002A4A42">
        <w:rPr>
          <w:rFonts w:ascii="Times New Roman" w:hAnsi="Times New Roman" w:cs="Times New Roman"/>
          <w:sz w:val="24"/>
          <w:szCs w:val="24"/>
        </w:rPr>
        <w:t>(8) (fishing and aquaculture, food production, and farming). Other sectors contemplated in the submissions pertained to the metals, construction, pharmaceutical, and information technology and communication sectors, as well as the recording industry.</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 Over half of the respondents (17) were from business associations. Enterprises (9), public administrations (2), personal views from citizens or private individuals (2), and consultancy or professional services (1) compose the remaining types of respondents.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Notably absent are any submissions from trade unions, or from NGO's. </w:t>
      </w:r>
    </w:p>
    <w:p w:rsidR="002A4A42" w:rsidRPr="002A4A42" w:rsidRDefault="002A4A42" w:rsidP="004D1037">
      <w:pPr>
        <w:jc w:val="center"/>
        <w:rPr>
          <w:rFonts w:ascii="Times New Roman" w:hAnsi="Times New Roman" w:cs="Times New Roman"/>
          <w:sz w:val="24"/>
          <w:szCs w:val="24"/>
          <w:u w:val="single"/>
        </w:rPr>
      </w:pPr>
      <w:r w:rsidRPr="002A4A42">
        <w:rPr>
          <w:rFonts w:ascii="Times New Roman" w:hAnsi="Times New Roman" w:cs="Times New Roman"/>
          <w:sz w:val="24"/>
          <w:szCs w:val="24"/>
          <w:u w:val="single"/>
        </w:rPr>
        <w:t>Figure 1: Breakdown of respondents by category</w:t>
      </w:r>
      <w:r w:rsidRPr="002A4A42">
        <w:rPr>
          <w:rFonts w:ascii="Times New Roman" w:hAnsi="Times New Roman" w:cs="Times New Roman"/>
          <w:sz w:val="24"/>
          <w:szCs w:val="24"/>
          <w:u w:val="single"/>
          <w:vertAlign w:val="superscript"/>
        </w:rPr>
        <w:footnoteReference w:id="30"/>
      </w:r>
    </w:p>
    <w:p w:rsidR="002A4A42" w:rsidRPr="002A4A42" w:rsidRDefault="002A4A42" w:rsidP="004D1037">
      <w:pPr>
        <w:jc w:val="center"/>
        <w:rPr>
          <w:rFonts w:ascii="Times New Roman" w:hAnsi="Times New Roman" w:cs="Times New Roman"/>
          <w:sz w:val="24"/>
          <w:szCs w:val="24"/>
        </w:rPr>
      </w:pPr>
      <w:r w:rsidRPr="002A4A42">
        <w:rPr>
          <w:rFonts w:ascii="Times New Roman" w:hAnsi="Times New Roman" w:cs="Times New Roman"/>
          <w:noProof/>
          <w:sz w:val="24"/>
          <w:szCs w:val="24"/>
          <w:lang w:eastAsia="en-GB"/>
        </w:rPr>
        <w:drawing>
          <wp:inline distT="0" distB="0" distL="0" distR="0" wp14:anchorId="1B358515" wp14:editId="6F3F453A">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In terms of </w:t>
      </w:r>
      <w:r w:rsidRPr="002A4A42">
        <w:rPr>
          <w:rFonts w:ascii="Times New Roman" w:hAnsi="Times New Roman" w:cs="Times New Roman"/>
          <w:b/>
          <w:sz w:val="24"/>
          <w:szCs w:val="24"/>
        </w:rPr>
        <w:t>geographical distribution</w:t>
      </w:r>
      <w:r w:rsidRPr="002A4A42">
        <w:rPr>
          <w:rFonts w:ascii="Times New Roman" w:hAnsi="Times New Roman" w:cs="Times New Roman"/>
          <w:sz w:val="24"/>
          <w:szCs w:val="24"/>
        </w:rPr>
        <w:t>, 11 respondents identified they were located in one of the MS of the EU; 2 respondents identified themselves as being located in Chile.</w:t>
      </w:r>
      <w:r w:rsidR="00966CB2">
        <w:rPr>
          <w:rFonts w:ascii="Times New Roman" w:hAnsi="Times New Roman" w:cs="Times New Roman"/>
          <w:sz w:val="24"/>
          <w:szCs w:val="24"/>
        </w:rPr>
        <w:t xml:space="preserve"> None of the respondents identified themselves as being from a third country.</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About a third of respondents (10) indicated that they are involved in trade between the EU and Chile, a number of which (3) stated that they had cross-border investments in the EU or Chile. A Chilean respondent claimed interest in exploring the possibility of cross-border investment in the EU.  </w:t>
      </w:r>
      <w:r w:rsidRPr="002A4A42">
        <w:rPr>
          <w:rFonts w:ascii="Times New Roman" w:hAnsi="Times New Roman" w:cs="Times New Roman"/>
          <w:b/>
          <w:sz w:val="24"/>
          <w:szCs w:val="24"/>
        </w:rPr>
        <w:t xml:space="preserve"> </w:t>
      </w:r>
    </w:p>
    <w:p w:rsidR="002A4A42" w:rsidRPr="002A4A42" w:rsidRDefault="002A4A42" w:rsidP="002A4A42">
      <w:pPr>
        <w:jc w:val="both"/>
        <w:rPr>
          <w:rFonts w:ascii="Times New Roman" w:hAnsi="Times New Roman" w:cs="Times New Roman"/>
          <w:b/>
          <w:sz w:val="24"/>
          <w:szCs w:val="24"/>
          <w:u w:val="single"/>
        </w:rPr>
      </w:pPr>
      <w:r w:rsidRPr="002A4A42">
        <w:rPr>
          <w:rFonts w:ascii="Times New Roman" w:hAnsi="Times New Roman" w:cs="Times New Roman"/>
          <w:b/>
          <w:sz w:val="24"/>
          <w:szCs w:val="24"/>
          <w:u w:val="single"/>
        </w:rPr>
        <w:t>3. Limitations of the consultation</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Firstly, as in any such online public consultation, the replies submitted by the respondents cannot be seen as representative of the views of all stakeholders. This is intrinsic to this method of consultation, particularly when one considers that the number of questions and the length of the questionnaire have to be balanced with the aim of collecting as comprehensive information as possible in a period of three months.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Secondly, the response rate to this public consultation was </w:t>
      </w:r>
      <w:r w:rsidR="00A254EA">
        <w:rPr>
          <w:rFonts w:ascii="Times New Roman" w:hAnsi="Times New Roman" w:cs="Times New Roman"/>
          <w:sz w:val="24"/>
          <w:szCs w:val="24"/>
        </w:rPr>
        <w:t>modest</w:t>
      </w:r>
      <w:r w:rsidRPr="002A4A42">
        <w:rPr>
          <w:rFonts w:ascii="Times New Roman" w:hAnsi="Times New Roman" w:cs="Times New Roman"/>
          <w:sz w:val="24"/>
          <w:szCs w:val="24"/>
        </w:rPr>
        <w:t xml:space="preserve">. This </w:t>
      </w:r>
      <w:r w:rsidR="00664216">
        <w:rPr>
          <w:rFonts w:ascii="Times New Roman" w:hAnsi="Times New Roman" w:cs="Times New Roman"/>
          <w:sz w:val="24"/>
          <w:szCs w:val="24"/>
        </w:rPr>
        <w:t xml:space="preserve">fact </w:t>
      </w:r>
      <w:r w:rsidR="00A254EA">
        <w:rPr>
          <w:rFonts w:ascii="Times New Roman" w:hAnsi="Times New Roman" w:cs="Times New Roman"/>
          <w:sz w:val="24"/>
          <w:szCs w:val="24"/>
        </w:rPr>
        <w:t xml:space="preserve">impacts on the possibility to claim </w:t>
      </w:r>
      <w:r w:rsidRPr="002A4A42">
        <w:rPr>
          <w:rFonts w:ascii="Times New Roman" w:hAnsi="Times New Roman" w:cs="Times New Roman"/>
          <w:sz w:val="24"/>
          <w:szCs w:val="24"/>
        </w:rPr>
        <w:t>that the responses provide</w:t>
      </w:r>
      <w:r w:rsidR="00664216">
        <w:rPr>
          <w:rFonts w:ascii="Times New Roman" w:hAnsi="Times New Roman" w:cs="Times New Roman"/>
          <w:sz w:val="24"/>
          <w:szCs w:val="24"/>
        </w:rPr>
        <w:t xml:space="preserve"> any</w:t>
      </w:r>
      <w:r w:rsidRPr="002A4A42">
        <w:rPr>
          <w:rFonts w:ascii="Times New Roman" w:hAnsi="Times New Roman" w:cs="Times New Roman"/>
          <w:sz w:val="24"/>
          <w:szCs w:val="24"/>
        </w:rPr>
        <w:t xml:space="preserve"> strong evidential support for policy action, or inaction, in any given direction.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It is nevertheless important to note that some of the submissions, in particular from the single sector business associations, are representing the views of a significant number of member organisations. Looking at some of the single sector business associations from the food sector, for example, one is answering on behalf of 155 member organisations and businesses active in the European fresh fruit and vegetables supply chain, another represents 267 member businesses in the fish canning industry in Spain.</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Thirdly, it is noteworthy to recall that this Impact Assessment Report aims to support the Commission's proposal to modernise the trade part of the Association Agreement between the EU and Chile, without knowing the final outcome of the negotiations. The potential economic, social, human rights, and environmental impacts of the eventual agreement will be examined by means of an independent Sustainability Impact Assessment (SIA), which will be carried out by external consultants as the negotiations are carried </w:t>
      </w:r>
      <w:r w:rsidR="00A254EA">
        <w:rPr>
          <w:rFonts w:ascii="Times New Roman" w:hAnsi="Times New Roman" w:cs="Times New Roman"/>
          <w:sz w:val="24"/>
          <w:szCs w:val="24"/>
        </w:rPr>
        <w:t>out</w:t>
      </w:r>
      <w:r w:rsidRPr="002A4A42">
        <w:rPr>
          <w:rFonts w:ascii="Times New Roman" w:hAnsi="Times New Roman" w:cs="Times New Roman"/>
          <w:sz w:val="24"/>
          <w:szCs w:val="24"/>
        </w:rPr>
        <w:t>.</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The SIA's will rely on a wide-ranging consultation of stakeholders – notably civil society – in the EU and in the partner country. The SIA's will be finalised ahead of the initialling of the agreement and its findings will feed into the negotiating process. The SIA's will aim to: (a) assess the likely effects of the agreement on sustainable development and human rights in the EU, Chile, and other relevant countries, particularly Least Developed Countries (LDC's); and (b) to make recommendations and propose flanking measures to maximise the benefits of the agreement and prevent or minimise potential negative impacts.   </w:t>
      </w:r>
    </w:p>
    <w:p w:rsidR="002A4A42" w:rsidRPr="002A4A42" w:rsidRDefault="002A4A42" w:rsidP="002A4A42">
      <w:pPr>
        <w:jc w:val="both"/>
        <w:rPr>
          <w:rFonts w:ascii="Times New Roman" w:hAnsi="Times New Roman" w:cs="Times New Roman"/>
          <w:b/>
          <w:sz w:val="24"/>
          <w:szCs w:val="24"/>
          <w:u w:val="single"/>
        </w:rPr>
      </w:pPr>
      <w:r w:rsidRPr="002A4A42">
        <w:rPr>
          <w:rFonts w:ascii="Times New Roman" w:hAnsi="Times New Roman" w:cs="Times New Roman"/>
          <w:b/>
          <w:sz w:val="24"/>
          <w:szCs w:val="24"/>
          <w:u w:val="single"/>
        </w:rPr>
        <w:t>4. Summary of stakeholders' contributions by issue</w:t>
      </w:r>
    </w:p>
    <w:p w:rsidR="002A4A42" w:rsidRPr="002A4A42" w:rsidRDefault="002A4A42" w:rsidP="002A4A42">
      <w:pPr>
        <w:jc w:val="both"/>
        <w:rPr>
          <w:rFonts w:ascii="Times New Roman" w:hAnsi="Times New Roman" w:cs="Times New Roman"/>
          <w:sz w:val="24"/>
          <w:szCs w:val="24"/>
          <w:u w:val="single"/>
        </w:rPr>
      </w:pPr>
      <w:r w:rsidRPr="002A4A42">
        <w:rPr>
          <w:rFonts w:ascii="Times New Roman" w:hAnsi="Times New Roman" w:cs="Times New Roman"/>
          <w:i/>
          <w:sz w:val="24"/>
          <w:szCs w:val="24"/>
          <w:u w:val="single"/>
        </w:rPr>
        <w:t>4.1. Current state of openness to trade between the EU and Chile</w:t>
      </w:r>
    </w:p>
    <w:p w:rsidR="002A4A42" w:rsidRPr="002A4A42" w:rsidRDefault="00671C78" w:rsidP="002A4A42">
      <w:pPr>
        <w:jc w:val="both"/>
        <w:rPr>
          <w:rFonts w:ascii="Times New Roman" w:hAnsi="Times New Roman" w:cs="Times New Roman"/>
          <w:sz w:val="24"/>
          <w:szCs w:val="24"/>
        </w:rPr>
      </w:pPr>
      <w:r>
        <w:rPr>
          <w:rFonts w:ascii="Times New Roman" w:hAnsi="Times New Roman" w:cs="Times New Roman"/>
          <w:sz w:val="24"/>
          <w:szCs w:val="24"/>
        </w:rPr>
        <w:t>Fourteen</w:t>
      </w:r>
      <w:r w:rsidR="002A4A42" w:rsidRPr="002A4A42">
        <w:rPr>
          <w:rFonts w:ascii="Times New Roman" w:hAnsi="Times New Roman" w:cs="Times New Roman"/>
          <w:sz w:val="24"/>
          <w:szCs w:val="24"/>
        </w:rPr>
        <w:t xml:space="preserve"> respondents</w:t>
      </w:r>
      <w:r w:rsidR="00E84601">
        <w:rPr>
          <w:rFonts w:ascii="Times New Roman" w:hAnsi="Times New Roman" w:cs="Times New Roman"/>
          <w:sz w:val="24"/>
          <w:szCs w:val="24"/>
        </w:rPr>
        <w:t>, mainly from business associations and companies,</w:t>
      </w:r>
      <w:r w:rsidR="002A4A42" w:rsidRPr="002A4A42">
        <w:rPr>
          <w:rFonts w:ascii="Times New Roman" w:hAnsi="Times New Roman" w:cs="Times New Roman"/>
          <w:sz w:val="24"/>
          <w:szCs w:val="24"/>
        </w:rPr>
        <w:t xml:space="preserve"> considered that the current state of openness to trade between the EU and Chile is not satisfactory, with a clear need for improvements to be made. On the other hand, </w:t>
      </w:r>
      <w:r>
        <w:rPr>
          <w:rFonts w:ascii="Times New Roman" w:hAnsi="Times New Roman" w:cs="Times New Roman"/>
          <w:sz w:val="24"/>
          <w:szCs w:val="24"/>
        </w:rPr>
        <w:t xml:space="preserve">ten </w:t>
      </w:r>
      <w:r w:rsidR="002A4A42" w:rsidRPr="002A4A42">
        <w:rPr>
          <w:rFonts w:ascii="Times New Roman" w:hAnsi="Times New Roman" w:cs="Times New Roman"/>
          <w:sz w:val="24"/>
          <w:szCs w:val="24"/>
        </w:rPr>
        <w:t>thought otherwise. The remaining respondents</w:t>
      </w:r>
      <w:r w:rsidR="00E84601">
        <w:rPr>
          <w:rFonts w:ascii="Times New Roman" w:hAnsi="Times New Roman" w:cs="Times New Roman"/>
          <w:sz w:val="24"/>
          <w:szCs w:val="24"/>
        </w:rPr>
        <w:t xml:space="preserve">, especially individuals, </w:t>
      </w:r>
      <w:r w:rsidR="002A4A42" w:rsidRPr="002A4A42">
        <w:rPr>
          <w:rFonts w:ascii="Times New Roman" w:hAnsi="Times New Roman" w:cs="Times New Roman"/>
          <w:sz w:val="24"/>
          <w:szCs w:val="24"/>
        </w:rPr>
        <w:t xml:space="preserve">did not express an opinion on this matter.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All but one of the respondents were aware of the existence of an FTA between the EU and Chile. Over half of the submissions indicated that the EU-Chile FTA brought partly satisfying results, considering that further improvements could be made. S</w:t>
      </w:r>
      <w:r w:rsidR="00671C78">
        <w:rPr>
          <w:rFonts w:ascii="Times New Roman" w:hAnsi="Times New Roman" w:cs="Times New Roman"/>
          <w:sz w:val="24"/>
          <w:szCs w:val="24"/>
        </w:rPr>
        <w:t>even</w:t>
      </w:r>
      <w:r w:rsidRPr="002A4A42">
        <w:rPr>
          <w:rFonts w:ascii="Times New Roman" w:hAnsi="Times New Roman" w:cs="Times New Roman"/>
          <w:sz w:val="24"/>
          <w:szCs w:val="24"/>
        </w:rPr>
        <w:t xml:space="preserve"> submitters noted that the FTA brought satisfactory results to them, whilst two respondents claimed it had not brought about satisfying outcomes.</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In what pertains to the achievement of the objectives of the existing EU-Chile FTA, submissions</w:t>
      </w:r>
      <w:r w:rsidR="00E84601">
        <w:rPr>
          <w:rFonts w:ascii="Times New Roman" w:hAnsi="Times New Roman" w:cs="Times New Roman"/>
          <w:sz w:val="24"/>
          <w:szCs w:val="24"/>
        </w:rPr>
        <w:t>, mainly from business associations and individual companies,</w:t>
      </w:r>
      <w:r w:rsidRPr="002A4A42">
        <w:rPr>
          <w:rFonts w:ascii="Times New Roman" w:hAnsi="Times New Roman" w:cs="Times New Roman"/>
          <w:sz w:val="24"/>
          <w:szCs w:val="24"/>
        </w:rPr>
        <w:t xml:space="preserve"> tended to indicate that they were only partly achieved. This tendency was particularly pronounced on the questions of whether the FTA had facilitated trade in goods, liberalised trade in services, or enhanced dialogue and strengthened cooperation between the Parties on matters of mutual interest.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On whether the FTA achieved a growing structured and economic relationship between Chile and the EU, slightly over half of responses were affirmative, while no one replied negatively. Moreover, the majority of respondents considered that the objective of expanding and diversifying EU-Chile trade was either achieved</w:t>
      </w:r>
      <w:r w:rsidR="00671C78">
        <w:rPr>
          <w:rFonts w:ascii="Times New Roman" w:hAnsi="Times New Roman" w:cs="Times New Roman"/>
          <w:sz w:val="24"/>
          <w:szCs w:val="24"/>
        </w:rPr>
        <w:t xml:space="preserve"> (10)</w:t>
      </w:r>
      <w:r w:rsidRPr="002A4A42">
        <w:rPr>
          <w:rFonts w:ascii="Times New Roman" w:hAnsi="Times New Roman" w:cs="Times New Roman"/>
          <w:sz w:val="24"/>
          <w:szCs w:val="24"/>
        </w:rPr>
        <w:t>, or partly achieved</w:t>
      </w:r>
      <w:r w:rsidR="00671C78">
        <w:rPr>
          <w:rFonts w:ascii="Times New Roman" w:hAnsi="Times New Roman" w:cs="Times New Roman"/>
          <w:sz w:val="24"/>
          <w:szCs w:val="24"/>
        </w:rPr>
        <w:t xml:space="preserve"> (15)</w:t>
      </w:r>
      <w:r w:rsidRPr="002A4A42">
        <w:rPr>
          <w:rFonts w:ascii="Times New Roman" w:hAnsi="Times New Roman" w:cs="Times New Roman"/>
          <w:sz w:val="24"/>
          <w:szCs w:val="24"/>
        </w:rPr>
        <w:t xml:space="preserve">.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Respondents</w:t>
      </w:r>
      <w:r w:rsidR="00E84601">
        <w:rPr>
          <w:rFonts w:ascii="Times New Roman" w:hAnsi="Times New Roman" w:cs="Times New Roman"/>
          <w:sz w:val="24"/>
          <w:szCs w:val="24"/>
        </w:rPr>
        <w:t>, once again mainly business associations and individual companies,</w:t>
      </w:r>
      <w:r w:rsidRPr="002A4A42">
        <w:rPr>
          <w:rFonts w:ascii="Times New Roman" w:hAnsi="Times New Roman" w:cs="Times New Roman"/>
          <w:sz w:val="24"/>
          <w:szCs w:val="24"/>
        </w:rPr>
        <w:t xml:space="preserve"> clearly indicated that the EU and Chile should modernise the existing FTA in order to achieve a broader and more ambitious agreement. The only respondent</w:t>
      </w:r>
      <w:r w:rsidR="00671C78">
        <w:rPr>
          <w:rFonts w:ascii="Times New Roman" w:hAnsi="Times New Roman" w:cs="Times New Roman"/>
          <w:sz w:val="24"/>
          <w:szCs w:val="24"/>
        </w:rPr>
        <w:t>, a food production enterprise,</w:t>
      </w:r>
      <w:r w:rsidRPr="002A4A42">
        <w:rPr>
          <w:rFonts w:ascii="Times New Roman" w:hAnsi="Times New Roman" w:cs="Times New Roman"/>
          <w:sz w:val="24"/>
          <w:szCs w:val="24"/>
        </w:rPr>
        <w:t xml:space="preserve"> that replied negatively to this question considered that the current FTA brought satisfactory results and that all of the objectives had been achieved.         </w:t>
      </w: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4.2. Overview of priority sectors</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Respondents were asked to identify priorities for an ambitious modernisation of the present trade relationship between the EU and Chile. The</w:t>
      </w:r>
      <w:r w:rsidR="00B26A5E">
        <w:rPr>
          <w:rFonts w:ascii="Times New Roman" w:hAnsi="Times New Roman" w:cs="Times New Roman"/>
          <w:sz w:val="24"/>
          <w:szCs w:val="24"/>
        </w:rPr>
        <w:t>y</w:t>
      </w:r>
      <w:r w:rsidRPr="002A4A42">
        <w:rPr>
          <w:rFonts w:ascii="Times New Roman" w:hAnsi="Times New Roman" w:cs="Times New Roman"/>
          <w:sz w:val="24"/>
          <w:szCs w:val="24"/>
        </w:rPr>
        <w:t xml:space="preserve"> indicated the following general priorities:</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market access in agriculture and fisheries;</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removing barriers to Foreign Direct Investment;</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 xml:space="preserve">a revision of rules of origin to </w:t>
      </w:r>
      <w:r w:rsidR="00B26A5E">
        <w:rPr>
          <w:rFonts w:ascii="Times New Roman" w:hAnsi="Times New Roman" w:cs="Times New Roman"/>
          <w:sz w:val="24"/>
          <w:szCs w:val="24"/>
        </w:rPr>
        <w:t xml:space="preserve">reflect </w:t>
      </w:r>
      <w:r w:rsidRPr="002A4A42">
        <w:rPr>
          <w:rFonts w:ascii="Times New Roman" w:hAnsi="Times New Roman" w:cs="Times New Roman"/>
          <w:sz w:val="24"/>
          <w:szCs w:val="24"/>
        </w:rPr>
        <w:t>latest developments in EU trade policy;</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the recognition of EU engineering and architecture qualifications in Chile;</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 xml:space="preserve">a strong protection </w:t>
      </w:r>
      <w:r w:rsidR="00B7436C">
        <w:rPr>
          <w:rFonts w:ascii="Times New Roman" w:hAnsi="Times New Roman" w:cs="Times New Roman"/>
          <w:sz w:val="24"/>
          <w:szCs w:val="24"/>
        </w:rPr>
        <w:t xml:space="preserve">and enforcement </w:t>
      </w:r>
      <w:r w:rsidRPr="002A4A42">
        <w:rPr>
          <w:rFonts w:ascii="Times New Roman" w:hAnsi="Times New Roman" w:cs="Times New Roman"/>
          <w:sz w:val="24"/>
          <w:szCs w:val="24"/>
        </w:rPr>
        <w:t xml:space="preserve">of Intellectual Property Rights; </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the reduction of tariff barriers (for all sectors, goods and services) and non-tariff barriers to trade (SPS and TBT);</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regulatory cooperation, including in the services sector;</w:t>
      </w:r>
    </w:p>
    <w:p w:rsid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a digital trade chapter;</w:t>
      </w:r>
    </w:p>
    <w:p w:rsidR="00846B6F" w:rsidRPr="002A4A42" w:rsidRDefault="00846B6F" w:rsidP="00846B6F">
      <w:pPr>
        <w:ind w:left="720"/>
        <w:contextualSpacing/>
        <w:jc w:val="both"/>
        <w:rPr>
          <w:rFonts w:ascii="Times New Roman" w:hAnsi="Times New Roman" w:cs="Times New Roman"/>
          <w:sz w:val="24"/>
          <w:szCs w:val="24"/>
        </w:rPr>
      </w:pP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4.3. Trade in Goods</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Overall, respondents did not consider that import tariffs hinder trade between the EU and Chile. Despite this, some respondents indicated that they have experienced problems in the following sectors: seed products, security and defence, and stainless steel.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Similarly, submissions indicated that quantitative measures, such as quotas or licensing, do not hinder trade between the Parties either. Two respondents specified that export potential to Chile could be improved through the increase in the tariff quota for EU canned tuna, and specific dairy products.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As regards </w:t>
      </w:r>
      <w:r w:rsidRPr="002A4A42">
        <w:rPr>
          <w:rFonts w:ascii="Times New Roman" w:hAnsi="Times New Roman" w:cs="Times New Roman"/>
          <w:b/>
          <w:sz w:val="24"/>
          <w:szCs w:val="24"/>
        </w:rPr>
        <w:t>rules of origin</w:t>
      </w:r>
      <w:r w:rsidRPr="002A4A42">
        <w:rPr>
          <w:rFonts w:ascii="Times New Roman" w:hAnsi="Times New Roman" w:cs="Times New Roman"/>
          <w:sz w:val="24"/>
          <w:szCs w:val="24"/>
        </w:rPr>
        <w:t xml:space="preserve">, no specifics were given as regards problems caused by the rules applied in the existing EU-Chile FTA. Despite this, </w:t>
      </w:r>
      <w:r w:rsidR="00671C78">
        <w:rPr>
          <w:rFonts w:ascii="Times New Roman" w:hAnsi="Times New Roman" w:cs="Times New Roman"/>
          <w:sz w:val="24"/>
          <w:szCs w:val="24"/>
        </w:rPr>
        <w:t>seven</w:t>
      </w:r>
      <w:r w:rsidRPr="002A4A42">
        <w:rPr>
          <w:rFonts w:ascii="Times New Roman" w:hAnsi="Times New Roman" w:cs="Times New Roman"/>
          <w:sz w:val="24"/>
          <w:szCs w:val="24"/>
        </w:rPr>
        <w:t xml:space="preserve"> respondents stated that they be could be improved upon by reviewing the rules of origin requirements and certifications procedures in order to take into account the latest developments in EU trade agreements with other countries.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Some respondents noted potential issues with current practices in</w:t>
      </w:r>
      <w:r w:rsidRPr="002A4A42">
        <w:rPr>
          <w:rFonts w:ascii="Times New Roman" w:hAnsi="Times New Roman" w:cs="Times New Roman"/>
          <w:b/>
          <w:sz w:val="24"/>
          <w:szCs w:val="24"/>
        </w:rPr>
        <w:t xml:space="preserve"> customs procedures and border enforcement</w:t>
      </w:r>
      <w:r w:rsidRPr="002A4A42">
        <w:rPr>
          <w:rFonts w:ascii="Times New Roman" w:hAnsi="Times New Roman" w:cs="Times New Roman"/>
          <w:sz w:val="24"/>
          <w:szCs w:val="24"/>
        </w:rPr>
        <w:t>, referring to documentary requirements and onerous procedures to request preferential treatment.</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Differences between EU and Chilean </w:t>
      </w:r>
      <w:r w:rsidRPr="002A4A42">
        <w:rPr>
          <w:rFonts w:ascii="Times New Roman" w:hAnsi="Times New Roman" w:cs="Times New Roman"/>
          <w:b/>
          <w:sz w:val="24"/>
          <w:szCs w:val="24"/>
        </w:rPr>
        <w:t>regulations or standards</w:t>
      </w:r>
      <w:r w:rsidRPr="002A4A42">
        <w:rPr>
          <w:rFonts w:ascii="Times New Roman" w:hAnsi="Times New Roman" w:cs="Times New Roman"/>
          <w:sz w:val="24"/>
          <w:szCs w:val="24"/>
        </w:rPr>
        <w:t xml:space="preserve"> have been indicated by a number of respondents as hindering trade between the two Parties. Some of the problems highlighted refer to divergent standards, technical regulations, conformity assessment procedures, and sanitary and phytosanitary (SPS) measures.     </w:t>
      </w: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4.4. Trade in Services</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Some respondents indicated that there are barriers in Chile to trade in services between the EU and Chile. A common theme that can be extracted from these submissions pertains to the issue of the supposed lack of recognition of European engineering and architect qualifications in Chile, which impedes the provision of such services by EU economic operators.</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One respondent</w:t>
      </w:r>
      <w:r w:rsidR="00671C78">
        <w:rPr>
          <w:rFonts w:ascii="Times New Roman" w:hAnsi="Times New Roman" w:cs="Times New Roman"/>
          <w:sz w:val="24"/>
          <w:szCs w:val="24"/>
        </w:rPr>
        <w:t>, a business association,</w:t>
      </w:r>
      <w:r w:rsidRPr="002A4A42">
        <w:rPr>
          <w:rFonts w:ascii="Times New Roman" w:hAnsi="Times New Roman" w:cs="Times New Roman"/>
          <w:sz w:val="24"/>
          <w:szCs w:val="24"/>
        </w:rPr>
        <w:t xml:space="preserve"> noted that the "additional tax" (</w:t>
      </w:r>
      <w:r w:rsidRPr="002A4A42">
        <w:rPr>
          <w:rFonts w:ascii="Times New Roman" w:hAnsi="Times New Roman" w:cs="Times New Roman"/>
          <w:i/>
          <w:sz w:val="24"/>
          <w:szCs w:val="24"/>
        </w:rPr>
        <w:t>impuesto adicional</w:t>
      </w:r>
      <w:r w:rsidRPr="002A4A42">
        <w:rPr>
          <w:rFonts w:ascii="Times New Roman" w:hAnsi="Times New Roman" w:cs="Times New Roman"/>
          <w:sz w:val="24"/>
          <w:szCs w:val="24"/>
        </w:rPr>
        <w:t>) that is applied, by Chile, to service providers from abroad makes the provision of their services more costly, thus favouring local companies. In the same spirit, another respondent</w:t>
      </w:r>
      <w:r w:rsidR="00671C78">
        <w:rPr>
          <w:rFonts w:ascii="Times New Roman" w:hAnsi="Times New Roman" w:cs="Times New Roman"/>
          <w:sz w:val="24"/>
          <w:szCs w:val="24"/>
        </w:rPr>
        <w:t>, a public administration stakeholder,</w:t>
      </w:r>
      <w:r w:rsidRPr="002A4A42">
        <w:rPr>
          <w:rFonts w:ascii="Times New Roman" w:hAnsi="Times New Roman" w:cs="Times New Roman"/>
          <w:sz w:val="24"/>
          <w:szCs w:val="24"/>
        </w:rPr>
        <w:t xml:space="preserve"> stated that they encountered difficulties with the Chilean requirement that enterprises with more than 25 employees have to have 85% personnel of Chilean nationality.</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Beyond the above</w:t>
      </w:r>
      <w:r w:rsidR="00671C78">
        <w:rPr>
          <w:rFonts w:ascii="Times New Roman" w:hAnsi="Times New Roman" w:cs="Times New Roman"/>
          <w:sz w:val="24"/>
          <w:szCs w:val="24"/>
        </w:rPr>
        <w:t xml:space="preserve"> mentioned </w:t>
      </w:r>
      <w:r w:rsidRPr="002A4A42">
        <w:rPr>
          <w:rFonts w:ascii="Times New Roman" w:hAnsi="Times New Roman" w:cs="Times New Roman"/>
          <w:sz w:val="24"/>
          <w:szCs w:val="24"/>
        </w:rPr>
        <w:t xml:space="preserve">issues, </w:t>
      </w:r>
      <w:r w:rsidR="00671C78">
        <w:rPr>
          <w:rFonts w:ascii="Times New Roman" w:hAnsi="Times New Roman" w:cs="Times New Roman"/>
          <w:sz w:val="24"/>
          <w:szCs w:val="24"/>
        </w:rPr>
        <w:t>a business association</w:t>
      </w:r>
      <w:r w:rsidRPr="002A4A42">
        <w:rPr>
          <w:rFonts w:ascii="Times New Roman" w:hAnsi="Times New Roman" w:cs="Times New Roman"/>
          <w:sz w:val="24"/>
          <w:szCs w:val="24"/>
        </w:rPr>
        <w:t xml:space="preserve"> stated that they would welcome the extension of Chile's mode 4 commitments, and considered that, given Chile is a Party to TPP, TiSA, and a large number of FTA's, the modernised FTA ought to bind all existing commitments.</w:t>
      </w: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4.5. Investment</w:t>
      </w:r>
    </w:p>
    <w:p w:rsidR="002A4A42" w:rsidRPr="002A4A42" w:rsidRDefault="00671C78" w:rsidP="002A4A42">
      <w:pPr>
        <w:jc w:val="both"/>
        <w:rPr>
          <w:rFonts w:ascii="Times New Roman" w:hAnsi="Times New Roman" w:cs="Times New Roman"/>
          <w:sz w:val="24"/>
          <w:szCs w:val="24"/>
        </w:rPr>
      </w:pPr>
      <w:r>
        <w:rPr>
          <w:rFonts w:ascii="Times New Roman" w:hAnsi="Times New Roman" w:cs="Times New Roman"/>
          <w:sz w:val="24"/>
          <w:szCs w:val="24"/>
        </w:rPr>
        <w:t xml:space="preserve">Three </w:t>
      </w:r>
      <w:r w:rsidR="002A4A42" w:rsidRPr="002A4A42">
        <w:rPr>
          <w:rFonts w:ascii="Times New Roman" w:hAnsi="Times New Roman" w:cs="Times New Roman"/>
          <w:sz w:val="24"/>
          <w:szCs w:val="24"/>
        </w:rPr>
        <w:t xml:space="preserve">respondents considered that there are barriers to flows of direct investments between the EU and Chile. </w:t>
      </w:r>
      <w:r>
        <w:rPr>
          <w:rFonts w:ascii="Times New Roman" w:hAnsi="Times New Roman" w:cs="Times New Roman"/>
          <w:sz w:val="24"/>
          <w:szCs w:val="24"/>
        </w:rPr>
        <w:t>On the Chilean side, t</w:t>
      </w:r>
      <w:r w:rsidR="002A4A42" w:rsidRPr="002A4A42">
        <w:rPr>
          <w:rFonts w:ascii="Times New Roman" w:hAnsi="Times New Roman" w:cs="Times New Roman"/>
          <w:sz w:val="24"/>
          <w:szCs w:val="24"/>
        </w:rPr>
        <w:t xml:space="preserve">he main restrictive measure highlighted refers to the aforementioned requirement for 85% of Chilean nationals to be employed by firms with over 25 employees. </w:t>
      </w:r>
      <w:r>
        <w:rPr>
          <w:rFonts w:ascii="Times New Roman" w:hAnsi="Times New Roman" w:cs="Times New Roman"/>
          <w:sz w:val="24"/>
          <w:szCs w:val="24"/>
        </w:rPr>
        <w:t>No European barrier was specified by any of the respondents.</w:t>
      </w:r>
      <w:r w:rsidR="009D4AF7">
        <w:rPr>
          <w:rFonts w:ascii="Times New Roman" w:hAnsi="Times New Roman" w:cs="Times New Roman"/>
          <w:sz w:val="24"/>
          <w:szCs w:val="24"/>
        </w:rPr>
        <w:t xml:space="preserve"> The majority of respondents did</w:t>
      </w:r>
      <w:r>
        <w:rPr>
          <w:rFonts w:ascii="Times New Roman" w:hAnsi="Times New Roman" w:cs="Times New Roman"/>
          <w:sz w:val="24"/>
          <w:szCs w:val="24"/>
        </w:rPr>
        <w:t xml:space="preserve"> not express an opinion on this matter.</w:t>
      </w:r>
      <w:r w:rsidR="002A4A42" w:rsidRPr="002A4A42">
        <w:rPr>
          <w:rFonts w:ascii="Times New Roman" w:hAnsi="Times New Roman" w:cs="Times New Roman"/>
          <w:sz w:val="24"/>
          <w:szCs w:val="24"/>
        </w:rPr>
        <w:t xml:space="preserve">  </w:t>
      </w:r>
    </w:p>
    <w:p w:rsidR="002A4A42" w:rsidRDefault="00671C78" w:rsidP="002A4A42">
      <w:pPr>
        <w:jc w:val="both"/>
        <w:rPr>
          <w:rFonts w:ascii="Times New Roman" w:hAnsi="Times New Roman" w:cs="Times New Roman"/>
          <w:sz w:val="24"/>
          <w:szCs w:val="24"/>
        </w:rPr>
      </w:pPr>
      <w:r>
        <w:rPr>
          <w:rFonts w:ascii="Times New Roman" w:hAnsi="Times New Roman" w:cs="Times New Roman"/>
          <w:sz w:val="24"/>
          <w:szCs w:val="24"/>
        </w:rPr>
        <w:t>Three</w:t>
      </w:r>
      <w:r w:rsidR="002A4A42" w:rsidRPr="002A4A42">
        <w:rPr>
          <w:rFonts w:ascii="Times New Roman" w:hAnsi="Times New Roman" w:cs="Times New Roman"/>
          <w:sz w:val="24"/>
          <w:szCs w:val="24"/>
        </w:rPr>
        <w:t xml:space="preserve"> respondents indicated that, both in the EU and Chile, investors from other jurisdictions were given preferential treatment. </w:t>
      </w: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4.6. Intellectual property rights (IPRs)</w:t>
      </w:r>
    </w:p>
    <w:p w:rsidR="002A4A42" w:rsidRPr="002A4A42" w:rsidRDefault="00671C78" w:rsidP="002A4A42">
      <w:pPr>
        <w:jc w:val="both"/>
        <w:rPr>
          <w:rFonts w:ascii="Times New Roman" w:hAnsi="Times New Roman" w:cs="Times New Roman"/>
          <w:sz w:val="24"/>
          <w:szCs w:val="24"/>
        </w:rPr>
      </w:pPr>
      <w:r>
        <w:rPr>
          <w:rFonts w:ascii="Times New Roman" w:hAnsi="Times New Roman" w:cs="Times New Roman"/>
          <w:sz w:val="24"/>
          <w:szCs w:val="24"/>
        </w:rPr>
        <w:t>Six</w:t>
      </w:r>
      <w:r w:rsidR="002A4A42" w:rsidRPr="002A4A42">
        <w:rPr>
          <w:rFonts w:ascii="Times New Roman" w:hAnsi="Times New Roman" w:cs="Times New Roman"/>
          <w:sz w:val="24"/>
          <w:szCs w:val="24"/>
        </w:rPr>
        <w:t xml:space="preserve"> respondents considered that there are problems with the protection and enforcement of IPRs in Chile</w:t>
      </w:r>
      <w:r>
        <w:rPr>
          <w:rFonts w:ascii="Times New Roman" w:hAnsi="Times New Roman" w:cs="Times New Roman"/>
          <w:sz w:val="24"/>
          <w:szCs w:val="24"/>
        </w:rPr>
        <w:t>, while none identified such problems in the EU</w:t>
      </w:r>
      <w:r w:rsidR="002A4A42" w:rsidRPr="002A4A42">
        <w:rPr>
          <w:rFonts w:ascii="Times New Roman" w:hAnsi="Times New Roman" w:cs="Times New Roman"/>
          <w:sz w:val="24"/>
          <w:szCs w:val="24"/>
        </w:rPr>
        <w:t xml:space="preserve">. Some of the issues raised </w:t>
      </w:r>
      <w:r>
        <w:rPr>
          <w:rFonts w:ascii="Times New Roman" w:hAnsi="Times New Roman" w:cs="Times New Roman"/>
          <w:sz w:val="24"/>
          <w:szCs w:val="24"/>
        </w:rPr>
        <w:t xml:space="preserve">concerning Chile </w:t>
      </w:r>
      <w:r w:rsidR="002A4A42" w:rsidRPr="002A4A42">
        <w:rPr>
          <w:rFonts w:ascii="Times New Roman" w:hAnsi="Times New Roman" w:cs="Times New Roman"/>
          <w:sz w:val="24"/>
          <w:szCs w:val="24"/>
        </w:rPr>
        <w:t>include:</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 xml:space="preserve">the high rate of unlicensed use of software, which includes unauthorised pre-installation of software by hardware retailers, and in-house and external providers of IT services; </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an uneven playing field for competing content services due to deficiencies in the IPR system;</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 xml:space="preserve">the length </w:t>
      </w:r>
      <w:r w:rsidR="00B7436C">
        <w:rPr>
          <w:rFonts w:ascii="Times New Roman" w:hAnsi="Times New Roman" w:cs="Times New Roman"/>
          <w:sz w:val="24"/>
          <w:szCs w:val="24"/>
        </w:rPr>
        <w:t>of</w:t>
      </w:r>
      <w:r w:rsidRPr="002A4A42">
        <w:rPr>
          <w:rFonts w:ascii="Times New Roman" w:hAnsi="Times New Roman" w:cs="Times New Roman"/>
          <w:sz w:val="24"/>
          <w:szCs w:val="24"/>
        </w:rPr>
        <w:t xml:space="preserve"> data exclusivity for biological products (5 years);</w:t>
      </w:r>
    </w:p>
    <w:p w:rsid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 xml:space="preserve">GI protection. </w:t>
      </w:r>
    </w:p>
    <w:p w:rsidR="00846B6F" w:rsidRPr="002A4A42" w:rsidRDefault="00846B6F" w:rsidP="00846B6F">
      <w:pPr>
        <w:ind w:left="720"/>
        <w:contextualSpacing/>
        <w:jc w:val="both"/>
        <w:rPr>
          <w:rFonts w:ascii="Times New Roman" w:hAnsi="Times New Roman" w:cs="Times New Roman"/>
          <w:sz w:val="24"/>
          <w:szCs w:val="24"/>
        </w:rPr>
      </w:pP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4.7. Public procurement</w:t>
      </w:r>
    </w:p>
    <w:p w:rsidR="00671C78" w:rsidRDefault="00671C78" w:rsidP="002A4A42">
      <w:pPr>
        <w:jc w:val="both"/>
        <w:rPr>
          <w:rFonts w:ascii="Times New Roman" w:hAnsi="Times New Roman" w:cs="Times New Roman"/>
          <w:sz w:val="24"/>
          <w:szCs w:val="24"/>
        </w:rPr>
      </w:pPr>
      <w:r>
        <w:rPr>
          <w:rFonts w:ascii="Times New Roman" w:hAnsi="Times New Roman" w:cs="Times New Roman"/>
          <w:sz w:val="24"/>
          <w:szCs w:val="24"/>
        </w:rPr>
        <w:t xml:space="preserve">Of the thirteen respondents that expressed an opinion, ten </w:t>
      </w:r>
      <w:r w:rsidR="002A4A42" w:rsidRPr="002A4A42">
        <w:rPr>
          <w:rFonts w:ascii="Times New Roman" w:hAnsi="Times New Roman" w:cs="Times New Roman"/>
          <w:sz w:val="24"/>
          <w:szCs w:val="24"/>
        </w:rPr>
        <w:t xml:space="preserve">considered that there are difficulties for companies from the EU to access public procurement in Chile. </w:t>
      </w:r>
      <w:r>
        <w:rPr>
          <w:rFonts w:ascii="Times New Roman" w:hAnsi="Times New Roman" w:cs="Times New Roman"/>
          <w:sz w:val="24"/>
          <w:szCs w:val="24"/>
        </w:rPr>
        <w:t>In this regard, the modernisation of the Agreement was seen by respondents as an opportunity to open up the Chilean public procurement market further for EU companies, in particular in the following sectors: sanitation, construction and construction-related services</w:t>
      </w:r>
      <w:r w:rsidR="009D4AF7">
        <w:rPr>
          <w:rFonts w:ascii="Times New Roman" w:hAnsi="Times New Roman" w:cs="Times New Roman"/>
          <w:sz w:val="24"/>
          <w:szCs w:val="24"/>
        </w:rPr>
        <w:t>,</w:t>
      </w:r>
      <w:r>
        <w:rPr>
          <w:rFonts w:ascii="Times New Roman" w:hAnsi="Times New Roman" w:cs="Times New Roman"/>
          <w:sz w:val="24"/>
          <w:szCs w:val="24"/>
        </w:rPr>
        <w:t xml:space="preserve"> and other services such as banking insurance, telecommunications, security services, catering, security services and accounting.</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One of the problems that were emphasised was that only companies that are registered in Chile can participate in public procurement. The time span for submitting offers for Chilean procurement was also considered by some as being too short. Furthermore, the non-recognition of EU academic titles and degrees was highlighted once again, this time as an impediment to the participation in public procurement procedures.  </w:t>
      </w:r>
    </w:p>
    <w:p w:rsidR="002A4A42" w:rsidRPr="00A6677D" w:rsidRDefault="002A4A42" w:rsidP="002A4A42">
      <w:pPr>
        <w:jc w:val="both"/>
        <w:rPr>
          <w:rFonts w:ascii="Times New Roman" w:hAnsi="Times New Roman" w:cs="Times New Roman"/>
          <w:sz w:val="24"/>
          <w:szCs w:val="24"/>
        </w:rPr>
      </w:pPr>
      <w:r w:rsidRPr="00A6677D">
        <w:rPr>
          <w:rFonts w:ascii="Times New Roman" w:hAnsi="Times New Roman" w:cs="Times New Roman"/>
          <w:sz w:val="24"/>
          <w:szCs w:val="24"/>
        </w:rPr>
        <w:t xml:space="preserve">On the other hand, difficulties were identified for </w:t>
      </w:r>
      <w:r w:rsidR="00A6677D">
        <w:rPr>
          <w:rFonts w:ascii="Times New Roman" w:hAnsi="Times New Roman" w:cs="Times New Roman"/>
          <w:sz w:val="24"/>
          <w:szCs w:val="24"/>
        </w:rPr>
        <w:t xml:space="preserve">Chilean </w:t>
      </w:r>
      <w:r w:rsidRPr="00A6677D">
        <w:rPr>
          <w:rFonts w:ascii="Times New Roman" w:hAnsi="Times New Roman" w:cs="Times New Roman"/>
          <w:sz w:val="24"/>
          <w:szCs w:val="24"/>
        </w:rPr>
        <w:t>companies to access public procurement in the EU. The highlighted difficulties mostly referred to the lack of transparency on procurement opportunities, and vague technical specifications.</w:t>
      </w:r>
      <w:r w:rsidR="00A6677D">
        <w:rPr>
          <w:rFonts w:ascii="Times New Roman" w:hAnsi="Times New Roman" w:cs="Times New Roman"/>
          <w:sz w:val="24"/>
          <w:szCs w:val="24"/>
        </w:rPr>
        <w:t xml:space="preserve"> Respondents did not specify further the difficulties faced in the EU procurement market. </w:t>
      </w: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4.8. Competition Policy</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Whilst some respondents considered that the regulatory system ensures fair competition in the EU and in Chile, a number of them expressed a contrary opinion.</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Those that underlined issues in the EU noted these pertain to abuses of dominant positions, and vertical or horizontal restrictions of competition. One submission </w:t>
      </w:r>
      <w:r w:rsidR="00A6677D">
        <w:rPr>
          <w:rFonts w:ascii="Times New Roman" w:hAnsi="Times New Roman" w:cs="Times New Roman"/>
          <w:sz w:val="24"/>
          <w:szCs w:val="24"/>
        </w:rPr>
        <w:t xml:space="preserve">from an enterprise </w:t>
      </w:r>
      <w:r w:rsidRPr="002A4A42">
        <w:rPr>
          <w:rFonts w:ascii="Times New Roman" w:hAnsi="Times New Roman" w:cs="Times New Roman"/>
          <w:sz w:val="24"/>
          <w:szCs w:val="24"/>
        </w:rPr>
        <w:t xml:space="preserve">claimed that there is an uneven regulatory scenario for telecom operators </w:t>
      </w:r>
      <w:r w:rsidRPr="002A4A42">
        <w:rPr>
          <w:rFonts w:ascii="Times New Roman" w:hAnsi="Times New Roman" w:cs="Times New Roman"/>
          <w:i/>
          <w:sz w:val="24"/>
          <w:szCs w:val="24"/>
        </w:rPr>
        <w:t>vis a vis</w:t>
      </w:r>
      <w:r w:rsidRPr="002A4A42">
        <w:rPr>
          <w:rFonts w:ascii="Times New Roman" w:hAnsi="Times New Roman" w:cs="Times New Roman"/>
          <w:sz w:val="24"/>
          <w:szCs w:val="24"/>
        </w:rPr>
        <w:t xml:space="preserve"> internet-based service providers which, despite often providing equivalent services, are subject to less regulatory obligations</w:t>
      </w:r>
      <w:r w:rsidR="00A6677D">
        <w:rPr>
          <w:rFonts w:ascii="Times New Roman" w:hAnsi="Times New Roman" w:cs="Times New Roman"/>
          <w:sz w:val="24"/>
          <w:szCs w:val="24"/>
        </w:rPr>
        <w:t>. According to the same respondent, this concern also includes</w:t>
      </w:r>
      <w:r w:rsidRPr="002A4A42">
        <w:rPr>
          <w:rFonts w:ascii="Times New Roman" w:hAnsi="Times New Roman" w:cs="Times New Roman"/>
          <w:sz w:val="24"/>
          <w:szCs w:val="24"/>
        </w:rPr>
        <w:t xml:space="preserve"> consumer protections issues, includ</w:t>
      </w:r>
      <w:r w:rsidR="00A6677D">
        <w:rPr>
          <w:rFonts w:ascii="Times New Roman" w:hAnsi="Times New Roman" w:cs="Times New Roman"/>
          <w:sz w:val="24"/>
          <w:szCs w:val="24"/>
        </w:rPr>
        <w:t>ing</w:t>
      </w:r>
      <w:r w:rsidRPr="002A4A42">
        <w:rPr>
          <w:rFonts w:ascii="Times New Roman" w:hAnsi="Times New Roman" w:cs="Times New Roman"/>
          <w:sz w:val="24"/>
          <w:szCs w:val="24"/>
        </w:rPr>
        <w:t xml:space="preserve"> the protection of personal data.</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The main issues identified by respondents that concerned competition policy in Chile were abuse of dominant positions, and enterprises being granted special or exclusive rights or privileges. One respondent</w:t>
      </w:r>
      <w:r w:rsidR="00A6677D">
        <w:rPr>
          <w:rFonts w:ascii="Times New Roman" w:hAnsi="Times New Roman" w:cs="Times New Roman"/>
          <w:sz w:val="24"/>
          <w:szCs w:val="24"/>
        </w:rPr>
        <w:t xml:space="preserve">, an enterprise, </w:t>
      </w:r>
      <w:r w:rsidRPr="002A4A42">
        <w:rPr>
          <w:rFonts w:ascii="Times New Roman" w:hAnsi="Times New Roman" w:cs="Times New Roman"/>
          <w:sz w:val="24"/>
          <w:szCs w:val="24"/>
        </w:rPr>
        <w:t xml:space="preserve">highlighted issues in private concessions in sanitation works. </w:t>
      </w: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4.9. SMEs</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Respondents were invited to express their opinion on what aspects of trading between the EU and Chile pose particular challenges for SME</w:t>
      </w:r>
      <w:r w:rsidR="002105D5">
        <w:rPr>
          <w:rFonts w:ascii="Times New Roman" w:hAnsi="Times New Roman" w:cs="Times New Roman"/>
          <w:sz w:val="24"/>
          <w:szCs w:val="24"/>
        </w:rPr>
        <w:t>s</w:t>
      </w:r>
      <w:r w:rsidRPr="002A4A42">
        <w:rPr>
          <w:rFonts w:ascii="Times New Roman" w:hAnsi="Times New Roman" w:cs="Times New Roman"/>
          <w:sz w:val="24"/>
          <w:szCs w:val="24"/>
        </w:rPr>
        <w:t xml:space="preserve"> in either the EU or Chile. In this light, tariff barriers, rules of origin, customs procedures, and technical barriers to trade were underlined. The following topic areas also received noteworthy attention by respondents as posing challenges for SMEs: services, establishment of companies, and public procurement.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As regards the potential benefits a modernised EU-Chile FTA ought to bring to SMEs, respondents considered these would be more output and more employment as a result of a higher level of exports, cheaper production costs through cheaper imports, facilitated trade with other countries resulting from the convergence of standards, technology transfer, lower costs for import requirements, the possibility to move from lower to higher value added products/services, and the possibility for increased business cooperation between SMEs. </w:t>
      </w: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4.10. Consumers</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When asked whether there could be an impact on consumers as a result of further liberalisation of trade between the EU and Chile, </w:t>
      </w:r>
      <w:r w:rsidR="00A6677D">
        <w:rPr>
          <w:rFonts w:ascii="Times New Roman" w:hAnsi="Times New Roman" w:cs="Times New Roman"/>
          <w:sz w:val="24"/>
          <w:szCs w:val="24"/>
        </w:rPr>
        <w:t>eleven</w:t>
      </w:r>
      <w:r w:rsidRPr="002A4A42">
        <w:rPr>
          <w:rFonts w:ascii="Times New Roman" w:hAnsi="Times New Roman" w:cs="Times New Roman"/>
          <w:sz w:val="24"/>
          <w:szCs w:val="24"/>
        </w:rPr>
        <w:t xml:space="preserve"> expected a positive result for EU consumers; </w:t>
      </w:r>
      <w:r w:rsidR="00A6677D">
        <w:rPr>
          <w:rFonts w:ascii="Times New Roman" w:hAnsi="Times New Roman" w:cs="Times New Roman"/>
          <w:sz w:val="24"/>
          <w:szCs w:val="24"/>
        </w:rPr>
        <w:t>sixteen</w:t>
      </w:r>
      <w:r w:rsidRPr="002A4A42">
        <w:rPr>
          <w:rFonts w:ascii="Times New Roman" w:hAnsi="Times New Roman" w:cs="Times New Roman"/>
          <w:sz w:val="24"/>
          <w:szCs w:val="24"/>
        </w:rPr>
        <w:t xml:space="preserve"> expected a similar impact on Chilean consumers. None of the submissions expressed any expectations for negative impacts on consumers.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Specifically, respondents considered that positive impacts could be expected in the following areas:</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prices of goods and services;</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choice and availability of goods and services;</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quality of goods and services;</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information available to consumers; and</w:t>
      </w:r>
    </w:p>
    <w:p w:rsidR="002A4A42" w:rsidRPr="002A4A42" w:rsidRDefault="002A4A42" w:rsidP="002A28DD">
      <w:pPr>
        <w:numPr>
          <w:ilvl w:val="0"/>
          <w:numId w:val="15"/>
        </w:numPr>
        <w:contextualSpacing/>
        <w:jc w:val="both"/>
        <w:rPr>
          <w:rFonts w:ascii="Times New Roman" w:hAnsi="Times New Roman" w:cs="Times New Roman"/>
          <w:sz w:val="24"/>
          <w:szCs w:val="24"/>
        </w:rPr>
      </w:pPr>
      <w:r w:rsidRPr="002A4A42">
        <w:rPr>
          <w:rFonts w:ascii="Times New Roman" w:hAnsi="Times New Roman" w:cs="Times New Roman"/>
          <w:sz w:val="24"/>
          <w:szCs w:val="24"/>
        </w:rPr>
        <w:t xml:space="preserve">protection and enforcement of consumer rights.  </w:t>
      </w:r>
    </w:p>
    <w:p w:rsidR="002A4A42" w:rsidRDefault="002A4A42" w:rsidP="002A4A42">
      <w:pPr>
        <w:jc w:val="both"/>
        <w:rPr>
          <w:rFonts w:ascii="Times New Roman" w:hAnsi="Times New Roman" w:cs="Times New Roman"/>
          <w:i/>
          <w:sz w:val="24"/>
          <w:szCs w:val="24"/>
          <w:u w:val="single"/>
        </w:rPr>
      </w:pP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4.11. Trade and Sustainable Development</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Respondents were invited to provide their opinion on whether there could be an impact on social issues, such as labour or human rights or gender related issues, from the reduction of barriers to trade and investment between the EU and Chile. Of the </w:t>
      </w:r>
      <w:r w:rsidR="00A6677D">
        <w:rPr>
          <w:rFonts w:ascii="Times New Roman" w:hAnsi="Times New Roman" w:cs="Times New Roman"/>
          <w:sz w:val="24"/>
          <w:szCs w:val="24"/>
        </w:rPr>
        <w:t xml:space="preserve">seven </w:t>
      </w:r>
      <w:r w:rsidRPr="002A4A42">
        <w:rPr>
          <w:rFonts w:ascii="Times New Roman" w:hAnsi="Times New Roman" w:cs="Times New Roman"/>
          <w:sz w:val="24"/>
          <w:szCs w:val="24"/>
        </w:rPr>
        <w:t xml:space="preserve">that expressed an opinion, </w:t>
      </w:r>
      <w:r w:rsidR="00A6677D">
        <w:rPr>
          <w:rFonts w:ascii="Times New Roman" w:hAnsi="Times New Roman" w:cs="Times New Roman"/>
          <w:sz w:val="24"/>
          <w:szCs w:val="24"/>
        </w:rPr>
        <w:t>most</w:t>
      </w:r>
      <w:r w:rsidRPr="002A4A42">
        <w:rPr>
          <w:rFonts w:ascii="Times New Roman" w:hAnsi="Times New Roman" w:cs="Times New Roman"/>
          <w:sz w:val="24"/>
          <w:szCs w:val="24"/>
        </w:rPr>
        <w:t xml:space="preserve"> considered that social issues such as the number of jobs, the quality of jobs, wages, and household incomes would be positively impacted, both in Chile and in the EU. Only one respondent considered that there could be a negative impact. </w:t>
      </w:r>
    </w:p>
    <w:p w:rsidR="00AA09F5"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A respondent </w:t>
      </w:r>
      <w:r w:rsidR="00A6677D">
        <w:rPr>
          <w:rFonts w:ascii="Times New Roman" w:hAnsi="Times New Roman" w:cs="Times New Roman"/>
          <w:sz w:val="24"/>
          <w:szCs w:val="24"/>
        </w:rPr>
        <w:t xml:space="preserve">from a business association </w:t>
      </w:r>
      <w:r w:rsidRPr="002A4A42">
        <w:rPr>
          <w:rFonts w:ascii="Times New Roman" w:hAnsi="Times New Roman" w:cs="Times New Roman"/>
          <w:sz w:val="24"/>
          <w:szCs w:val="24"/>
        </w:rPr>
        <w:t xml:space="preserve">elaborated that a modernised FTA between the EU and Chile should pay particular attention to the informal labour sector in Chile. </w:t>
      </w:r>
    </w:p>
    <w:p w:rsidR="00CD6676" w:rsidRDefault="00CD6676" w:rsidP="002A4A42">
      <w:pPr>
        <w:jc w:val="both"/>
        <w:rPr>
          <w:rFonts w:ascii="Times New Roman" w:hAnsi="Times New Roman" w:cs="Times New Roman"/>
          <w:sz w:val="24"/>
          <w:szCs w:val="24"/>
        </w:rPr>
      </w:pPr>
      <w:r>
        <w:rPr>
          <w:rFonts w:ascii="Times New Roman" w:hAnsi="Times New Roman" w:cs="Times New Roman"/>
          <w:sz w:val="24"/>
          <w:szCs w:val="24"/>
        </w:rPr>
        <w:t>R</w:t>
      </w:r>
      <w:r w:rsidR="00150BD3">
        <w:rPr>
          <w:rFonts w:ascii="Times New Roman" w:hAnsi="Times New Roman" w:cs="Times New Roman"/>
          <w:sz w:val="24"/>
          <w:szCs w:val="24"/>
        </w:rPr>
        <w:t>espondents</w:t>
      </w:r>
      <w:r w:rsidR="007D3A79">
        <w:rPr>
          <w:rFonts w:ascii="Times New Roman" w:hAnsi="Times New Roman" w:cs="Times New Roman"/>
          <w:sz w:val="24"/>
          <w:szCs w:val="24"/>
        </w:rPr>
        <w:t xml:space="preserve"> generally either expressed</w:t>
      </w:r>
      <w:r w:rsidR="00150BD3">
        <w:rPr>
          <w:rFonts w:ascii="Times New Roman" w:hAnsi="Times New Roman" w:cs="Times New Roman"/>
          <w:sz w:val="24"/>
          <w:szCs w:val="24"/>
        </w:rPr>
        <w:t xml:space="preserve"> no opinion or </w:t>
      </w:r>
      <w:r w:rsidR="007D3A79">
        <w:rPr>
          <w:rFonts w:ascii="Times New Roman" w:hAnsi="Times New Roman" w:cs="Times New Roman"/>
          <w:sz w:val="24"/>
          <w:szCs w:val="24"/>
        </w:rPr>
        <w:t>tended to consider that reduction of trade and investment barriers between EU and Chile would</w:t>
      </w:r>
      <w:r w:rsidR="00150BD3">
        <w:rPr>
          <w:rFonts w:ascii="Times New Roman" w:hAnsi="Times New Roman" w:cs="Times New Roman"/>
          <w:sz w:val="24"/>
          <w:szCs w:val="24"/>
        </w:rPr>
        <w:t xml:space="preserve"> not have a significant impact on </w:t>
      </w:r>
      <w:r w:rsidR="007D3A79">
        <w:rPr>
          <w:rFonts w:ascii="Times New Roman" w:hAnsi="Times New Roman" w:cs="Times New Roman"/>
          <w:sz w:val="24"/>
          <w:szCs w:val="24"/>
        </w:rPr>
        <w:t>human rights</w:t>
      </w:r>
      <w:r>
        <w:rPr>
          <w:rFonts w:ascii="Times New Roman" w:hAnsi="Times New Roman" w:cs="Times New Roman"/>
          <w:sz w:val="24"/>
          <w:szCs w:val="24"/>
        </w:rPr>
        <w:t xml:space="preserve">. </w:t>
      </w:r>
      <w:r w:rsidR="00A6677D">
        <w:rPr>
          <w:rFonts w:ascii="Times New Roman" w:hAnsi="Times New Roman" w:cs="Times New Roman"/>
          <w:sz w:val="24"/>
          <w:szCs w:val="24"/>
        </w:rPr>
        <w:t>respondent stakeholder from a business association</w:t>
      </w:r>
      <w:r>
        <w:rPr>
          <w:rFonts w:ascii="Times New Roman" w:hAnsi="Times New Roman" w:cs="Times New Roman"/>
          <w:sz w:val="24"/>
          <w:szCs w:val="24"/>
        </w:rPr>
        <w:t xml:space="preserve"> explained that, since social conditions in both the EU and Chile are, all in all, highly developed, the direct impact of a modernised FTA, although positive, will be limited.</w:t>
      </w:r>
    </w:p>
    <w:p w:rsidR="002A4A42" w:rsidRDefault="00CD6676" w:rsidP="002A4A42">
      <w:pPr>
        <w:jc w:val="both"/>
        <w:rPr>
          <w:rFonts w:ascii="Times New Roman" w:hAnsi="Times New Roman" w:cs="Times New Roman"/>
          <w:sz w:val="24"/>
          <w:szCs w:val="24"/>
        </w:rPr>
      </w:pPr>
      <w:r>
        <w:rPr>
          <w:rFonts w:ascii="Times New Roman" w:hAnsi="Times New Roman" w:cs="Times New Roman"/>
          <w:sz w:val="24"/>
          <w:szCs w:val="24"/>
        </w:rPr>
        <w:t xml:space="preserve">There were some categories, however, that respondents felt would be positively impacted, in both the EU and Chile: </w:t>
      </w:r>
      <w:r w:rsidR="007D3A79">
        <w:rPr>
          <w:rFonts w:ascii="Times New Roman" w:hAnsi="Times New Roman" w:cs="Times New Roman"/>
          <w:sz w:val="24"/>
          <w:szCs w:val="24"/>
        </w:rPr>
        <w:t xml:space="preserve">the availability of essential goods and services, and; the affordability of essential goods and services.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Similar considerations were given by respondents to the questions of whether there would be an environmental impact from the reduction of barriers to trade and investment between the EU and Chile. </w:t>
      </w:r>
      <w:r w:rsidR="00A6677D">
        <w:rPr>
          <w:rFonts w:ascii="Times New Roman" w:hAnsi="Times New Roman" w:cs="Times New Roman"/>
          <w:sz w:val="24"/>
          <w:szCs w:val="24"/>
        </w:rPr>
        <w:t>T</w:t>
      </w:r>
      <w:r w:rsidRPr="002A4A42">
        <w:rPr>
          <w:rFonts w:ascii="Times New Roman" w:hAnsi="Times New Roman" w:cs="Times New Roman"/>
          <w:sz w:val="24"/>
          <w:szCs w:val="24"/>
        </w:rPr>
        <w:t xml:space="preserve">hose that expressed an opinion tended to consider that a modernised FTA would have a positive impact on environmental concerns overall and in particular on air pollution, waste, energy use and mix, biological diversity, and the greening of the economy. As with social issues, only one respondent claimed that they expected some negative environmental impacts from the modernisation of the EU-Chile FTA. </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One of the submissions </w:t>
      </w:r>
      <w:r w:rsidR="00A6677D">
        <w:rPr>
          <w:rFonts w:ascii="Times New Roman" w:hAnsi="Times New Roman" w:cs="Times New Roman"/>
          <w:sz w:val="24"/>
          <w:szCs w:val="24"/>
        </w:rPr>
        <w:t xml:space="preserve">from another business association </w:t>
      </w:r>
      <w:r w:rsidRPr="002A4A42">
        <w:rPr>
          <w:rFonts w:ascii="Times New Roman" w:hAnsi="Times New Roman" w:cs="Times New Roman"/>
          <w:sz w:val="24"/>
          <w:szCs w:val="24"/>
        </w:rPr>
        <w:t>stressed the desire for the modernised EU-Chile FTA to have a strong chapter on sustainability, similar to the one in the EU-Vietnam FTA.</w:t>
      </w:r>
    </w:p>
    <w:p w:rsidR="002A4A42" w:rsidRPr="002A4A42" w:rsidRDefault="002A4A42" w:rsidP="002A4A42">
      <w:pPr>
        <w:jc w:val="both"/>
        <w:rPr>
          <w:rFonts w:ascii="Times New Roman" w:hAnsi="Times New Roman" w:cs="Times New Roman"/>
          <w:sz w:val="24"/>
          <w:szCs w:val="24"/>
        </w:rPr>
      </w:pPr>
      <w:r w:rsidRPr="002A4A42">
        <w:rPr>
          <w:rFonts w:ascii="Times New Roman" w:hAnsi="Times New Roman" w:cs="Times New Roman"/>
          <w:sz w:val="24"/>
          <w:szCs w:val="24"/>
        </w:rPr>
        <w:t xml:space="preserve">Respondents </w:t>
      </w:r>
      <w:r w:rsidR="00A254EA">
        <w:rPr>
          <w:rFonts w:ascii="Times New Roman" w:hAnsi="Times New Roman" w:cs="Times New Roman"/>
          <w:sz w:val="24"/>
          <w:szCs w:val="24"/>
        </w:rPr>
        <w:t>emphasised</w:t>
      </w:r>
      <w:r w:rsidRPr="002A4A42">
        <w:rPr>
          <w:rFonts w:ascii="Times New Roman" w:hAnsi="Times New Roman" w:cs="Times New Roman"/>
          <w:sz w:val="24"/>
          <w:szCs w:val="24"/>
        </w:rPr>
        <w:t xml:space="preserve"> that the EU and Chile should cooperate further in order to promote adherence to internationally agreed principles, rights, and agreements on labour and the environment. </w:t>
      </w:r>
    </w:p>
    <w:p w:rsidR="002A4A42" w:rsidRPr="002A4A42" w:rsidRDefault="002A4A42" w:rsidP="002A4A42">
      <w:pPr>
        <w:jc w:val="both"/>
        <w:rPr>
          <w:rFonts w:ascii="Times New Roman" w:hAnsi="Times New Roman" w:cs="Times New Roman"/>
          <w:i/>
          <w:sz w:val="24"/>
          <w:szCs w:val="24"/>
          <w:u w:val="single"/>
        </w:rPr>
      </w:pPr>
      <w:r w:rsidRPr="002A4A42">
        <w:rPr>
          <w:rFonts w:ascii="Times New Roman" w:hAnsi="Times New Roman" w:cs="Times New Roman"/>
          <w:i/>
          <w:sz w:val="24"/>
          <w:szCs w:val="24"/>
          <w:u w:val="single"/>
        </w:rPr>
        <w:t>4.12. Other issues</w:t>
      </w:r>
    </w:p>
    <w:p w:rsidR="002A4A42" w:rsidRPr="002A4A42" w:rsidRDefault="009D4AF7" w:rsidP="002A4A42">
      <w:pPr>
        <w:jc w:val="both"/>
        <w:rPr>
          <w:rFonts w:ascii="Times New Roman" w:hAnsi="Times New Roman" w:cs="Times New Roman"/>
          <w:i/>
          <w:sz w:val="24"/>
          <w:szCs w:val="24"/>
          <w:u w:val="single"/>
        </w:rPr>
      </w:pPr>
      <w:r>
        <w:rPr>
          <w:rFonts w:ascii="Times New Roman" w:hAnsi="Times New Roman" w:cs="Times New Roman"/>
          <w:sz w:val="24"/>
          <w:szCs w:val="24"/>
        </w:rPr>
        <w:t>Sixte</w:t>
      </w:r>
      <w:r w:rsidR="00A6677D">
        <w:rPr>
          <w:rFonts w:ascii="Times New Roman" w:hAnsi="Times New Roman" w:cs="Times New Roman"/>
          <w:sz w:val="24"/>
          <w:szCs w:val="24"/>
        </w:rPr>
        <w:t>en</w:t>
      </w:r>
      <w:r w:rsidR="002A4A42" w:rsidRPr="002A4A42">
        <w:rPr>
          <w:rFonts w:ascii="Times New Roman" w:hAnsi="Times New Roman" w:cs="Times New Roman"/>
          <w:sz w:val="24"/>
          <w:szCs w:val="24"/>
        </w:rPr>
        <w:t xml:space="preserve"> respondents considered that the EU and Chile ought to include specific provisions on energy and raw materials, which would include measures aimed at transparency, ensuring non-discrimination and limiting anti-competitive practices. Similarly, </w:t>
      </w:r>
      <w:r w:rsidR="00A6677D">
        <w:rPr>
          <w:rFonts w:ascii="Times New Roman" w:hAnsi="Times New Roman" w:cs="Times New Roman"/>
          <w:sz w:val="24"/>
          <w:szCs w:val="24"/>
        </w:rPr>
        <w:t xml:space="preserve">twenty-one </w:t>
      </w:r>
      <w:r w:rsidR="002A4A42" w:rsidRPr="002A4A42">
        <w:rPr>
          <w:rFonts w:ascii="Times New Roman" w:hAnsi="Times New Roman" w:cs="Times New Roman"/>
          <w:sz w:val="24"/>
          <w:szCs w:val="24"/>
        </w:rPr>
        <w:t>respondents were receptive to the idea that a revised trade agreement between the EU and Chile should include provisions on improving future regulatory coherence, such as measures providing for cross-cutting disciplines in order to develop and implement more efficient and compatible regulations.</w:t>
      </w:r>
    </w:p>
    <w:p w:rsidR="002A4A42" w:rsidRPr="002A4A42" w:rsidRDefault="002A4A42" w:rsidP="002A4A42">
      <w:pPr>
        <w:jc w:val="both"/>
        <w:rPr>
          <w:rFonts w:ascii="Times New Roman" w:hAnsi="Times New Roman" w:cs="Times New Roman"/>
          <w:i/>
          <w:sz w:val="24"/>
          <w:szCs w:val="24"/>
          <w:u w:val="single"/>
        </w:rPr>
      </w:pPr>
    </w:p>
    <w:p w:rsidR="0015059A" w:rsidRPr="0015059A" w:rsidRDefault="0015059A" w:rsidP="0015059A">
      <w:pPr>
        <w:rPr>
          <w:rFonts w:ascii="Times New Roman" w:hAnsi="Times New Roman" w:cs="Times New Roman"/>
          <w:b/>
          <w:bCs/>
          <w:sz w:val="24"/>
          <w:szCs w:val="24"/>
          <w:u w:val="single"/>
        </w:rPr>
      </w:pPr>
    </w:p>
    <w:p w:rsidR="00241BA2" w:rsidRDefault="00241BA2">
      <w:pPr>
        <w:rPr>
          <w:rFonts w:ascii="Times New Roman Bold" w:eastAsiaTheme="majorEastAsia" w:hAnsi="Times New Roman Bold" w:cs="Times New Roman" w:hint="eastAsia"/>
          <w:b/>
          <w:bCs/>
          <w:caps/>
          <w:sz w:val="24"/>
          <w:szCs w:val="24"/>
        </w:rPr>
      </w:pPr>
      <w:bookmarkStart w:id="84" w:name="_Toc442284076"/>
      <w:r>
        <w:rPr>
          <w:rFonts w:ascii="Times New Roman Bold" w:hAnsi="Times New Roman Bold"/>
          <w:caps/>
        </w:rPr>
        <w:br w:type="page"/>
      </w:r>
    </w:p>
    <w:p w:rsidR="00822684" w:rsidRPr="00241BA2" w:rsidRDefault="00241BA2" w:rsidP="00241BA2">
      <w:pPr>
        <w:pStyle w:val="Heading2"/>
        <w:jc w:val="center"/>
        <w:rPr>
          <w:rFonts w:ascii="Times New Roman Bold" w:hAnsi="Times New Roman Bold" w:hint="eastAsia"/>
          <w:caps/>
        </w:rPr>
      </w:pPr>
      <w:bookmarkStart w:id="85" w:name="_Toc473123110"/>
      <w:r>
        <w:rPr>
          <w:rFonts w:ascii="Times New Roman Bold" w:hAnsi="Times New Roman Bold"/>
          <w:caps/>
        </w:rPr>
        <w:t>Annex 3</w:t>
      </w:r>
      <w:r w:rsidR="00302A40">
        <w:rPr>
          <w:rFonts w:ascii="Times New Roman Bold" w:hAnsi="Times New Roman Bold"/>
          <w:caps/>
        </w:rPr>
        <w:t xml:space="preserve"> - </w:t>
      </w:r>
      <w:r w:rsidR="00822684" w:rsidRPr="00241BA2">
        <w:rPr>
          <w:rFonts w:ascii="Times New Roman Bold" w:hAnsi="Times New Roman Bold"/>
          <w:caps/>
        </w:rPr>
        <w:t>Who is affected by the initiative and how?</w:t>
      </w:r>
      <w:bookmarkEnd w:id="84"/>
      <w:bookmarkEnd w:id="85"/>
    </w:p>
    <w:p w:rsidR="00822684" w:rsidRDefault="00822684" w:rsidP="00822684">
      <w:pPr>
        <w:spacing w:after="0" w:line="240" w:lineRule="auto"/>
        <w:rPr>
          <w:rFonts w:ascii="Times New Roman" w:hAnsi="Times New Roman" w:cs="Times New Roman"/>
          <w:sz w:val="24"/>
          <w:szCs w:val="24"/>
        </w:rPr>
      </w:pPr>
    </w:p>
    <w:p w:rsidR="00B76EED" w:rsidRDefault="005B67BB" w:rsidP="002A4A42">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proposed policy choice in question, i.e. </w:t>
      </w:r>
      <w:r w:rsidR="00FF7EAB">
        <w:rPr>
          <w:rFonts w:ascii="Times New Roman" w:hAnsi="Times New Roman" w:cs="Times New Roman"/>
          <w:sz w:val="24"/>
          <w:szCs w:val="24"/>
        </w:rPr>
        <w:t>an ambitious and comprehensive modernisation of the trade pillar of the EU-Chile Association Agreement</w:t>
      </w:r>
      <w:r>
        <w:rPr>
          <w:rFonts w:ascii="Times New Roman" w:hAnsi="Times New Roman" w:cs="Times New Roman"/>
          <w:sz w:val="24"/>
          <w:szCs w:val="24"/>
        </w:rPr>
        <w:t>, t</w:t>
      </w:r>
      <w:r w:rsidR="00B76EED" w:rsidRPr="00B76EED">
        <w:rPr>
          <w:rFonts w:ascii="Times New Roman" w:hAnsi="Times New Roman" w:cs="Times New Roman"/>
          <w:sz w:val="24"/>
          <w:szCs w:val="24"/>
        </w:rPr>
        <w:t>h</w:t>
      </w:r>
      <w:r w:rsidR="00B76EED">
        <w:rPr>
          <w:rFonts w:ascii="Times New Roman" w:hAnsi="Times New Roman" w:cs="Times New Roman"/>
          <w:sz w:val="24"/>
          <w:szCs w:val="24"/>
        </w:rPr>
        <w:t>is</w:t>
      </w:r>
      <w:r w:rsidR="00B76EED" w:rsidRPr="00B76EED">
        <w:rPr>
          <w:rFonts w:ascii="Times New Roman" w:hAnsi="Times New Roman" w:cs="Times New Roman"/>
          <w:sz w:val="24"/>
          <w:szCs w:val="24"/>
        </w:rPr>
        <w:t xml:space="preserve"> Annex </w:t>
      </w:r>
      <w:r w:rsidR="00B76EED">
        <w:rPr>
          <w:rFonts w:ascii="Times New Roman" w:hAnsi="Times New Roman" w:cs="Times New Roman"/>
          <w:sz w:val="24"/>
          <w:szCs w:val="24"/>
        </w:rPr>
        <w:t>aims at:</w:t>
      </w:r>
    </w:p>
    <w:p w:rsidR="00B76EED" w:rsidRDefault="00B76EED" w:rsidP="00B76EED">
      <w:pPr>
        <w:spacing w:after="0" w:line="240" w:lineRule="auto"/>
        <w:jc w:val="both"/>
        <w:rPr>
          <w:rFonts w:ascii="Times New Roman" w:hAnsi="Times New Roman" w:cs="Times New Roman"/>
          <w:sz w:val="24"/>
          <w:szCs w:val="24"/>
        </w:rPr>
      </w:pPr>
    </w:p>
    <w:p w:rsidR="00B76EED" w:rsidRPr="00B76EED" w:rsidRDefault="00B76EED" w:rsidP="002A28DD">
      <w:pPr>
        <w:pStyle w:val="ListParagraph"/>
        <w:numPr>
          <w:ilvl w:val="0"/>
          <w:numId w:val="5"/>
        </w:numPr>
        <w:spacing w:after="0" w:line="240" w:lineRule="auto"/>
        <w:jc w:val="both"/>
        <w:rPr>
          <w:rFonts w:ascii="Times New Roman" w:hAnsi="Times New Roman" w:cs="Times New Roman"/>
          <w:sz w:val="24"/>
          <w:szCs w:val="24"/>
          <w:lang w:val="en-GB"/>
        </w:rPr>
      </w:pPr>
      <w:r w:rsidRPr="00B76EED">
        <w:rPr>
          <w:rFonts w:ascii="Times New Roman" w:hAnsi="Times New Roman" w:cs="Times New Roman"/>
          <w:sz w:val="24"/>
          <w:szCs w:val="24"/>
          <w:lang w:val="en-GB"/>
        </w:rPr>
        <w:t>setting out the practical implications (such as key obligations or timescale) of the initiative for a representative enterprise and/or public administration (or particular groups or individuals if directly regulated),</w:t>
      </w:r>
    </w:p>
    <w:p w:rsidR="00B76EED" w:rsidRDefault="00B76EED" w:rsidP="00B76EED">
      <w:pPr>
        <w:spacing w:after="0" w:line="240" w:lineRule="auto"/>
        <w:jc w:val="both"/>
        <w:rPr>
          <w:rFonts w:ascii="Times New Roman" w:hAnsi="Times New Roman" w:cs="Times New Roman"/>
          <w:sz w:val="24"/>
          <w:szCs w:val="24"/>
        </w:rPr>
      </w:pPr>
    </w:p>
    <w:p w:rsidR="00B76EED" w:rsidRPr="00B76EED" w:rsidRDefault="00B76EED" w:rsidP="002A28DD">
      <w:pPr>
        <w:pStyle w:val="ListParagraph"/>
        <w:numPr>
          <w:ilvl w:val="0"/>
          <w:numId w:val="5"/>
        </w:numPr>
        <w:spacing w:after="0" w:line="240" w:lineRule="auto"/>
        <w:jc w:val="both"/>
        <w:rPr>
          <w:rFonts w:ascii="Times New Roman" w:hAnsi="Times New Roman" w:cs="Times New Roman"/>
          <w:sz w:val="24"/>
          <w:szCs w:val="24"/>
          <w:lang w:val="en-GB"/>
        </w:rPr>
      </w:pPr>
      <w:r w:rsidRPr="00B76EED">
        <w:rPr>
          <w:rFonts w:ascii="Times New Roman" w:hAnsi="Times New Roman" w:cs="Times New Roman"/>
          <w:sz w:val="24"/>
          <w:szCs w:val="24"/>
          <w:lang w:val="en-GB"/>
        </w:rPr>
        <w:t>describing the actions that the enterprise or public authority might need to take in order to comply with the obligations under the proposed intervention and indicate wherever possible the likely costs to be incurred in meeting those obligations.</w:t>
      </w:r>
    </w:p>
    <w:p w:rsidR="00B76EED" w:rsidRPr="00B76EED" w:rsidRDefault="00B76EED" w:rsidP="00B76EED">
      <w:pPr>
        <w:spacing w:after="0" w:line="240" w:lineRule="auto"/>
        <w:jc w:val="both"/>
        <w:rPr>
          <w:rFonts w:ascii="Times New Roman" w:hAnsi="Times New Roman" w:cs="Times New Roman"/>
          <w:sz w:val="24"/>
          <w:szCs w:val="24"/>
        </w:rPr>
      </w:pPr>
    </w:p>
    <w:p w:rsidR="00B76EED" w:rsidRPr="00B76EED" w:rsidRDefault="00B76EED" w:rsidP="00B76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specific case of a</w:t>
      </w:r>
      <w:r w:rsidR="009F7EA0">
        <w:rPr>
          <w:rFonts w:ascii="Times New Roman" w:hAnsi="Times New Roman" w:cs="Times New Roman"/>
          <w:sz w:val="24"/>
          <w:szCs w:val="24"/>
        </w:rPr>
        <w:t>n Impact Assessment R</w:t>
      </w:r>
      <w:r>
        <w:rPr>
          <w:rFonts w:ascii="Times New Roman" w:hAnsi="Times New Roman" w:cs="Times New Roman"/>
          <w:sz w:val="24"/>
          <w:szCs w:val="24"/>
        </w:rPr>
        <w:t xml:space="preserve">eport concerning </w:t>
      </w:r>
      <w:r w:rsidRPr="00B76EED">
        <w:rPr>
          <w:rFonts w:ascii="Times New Roman" w:hAnsi="Times New Roman" w:cs="Times New Roman"/>
          <w:sz w:val="24"/>
          <w:szCs w:val="24"/>
        </w:rPr>
        <w:t xml:space="preserve">negotiating </w:t>
      </w:r>
      <w:r>
        <w:rPr>
          <w:rFonts w:ascii="Times New Roman" w:hAnsi="Times New Roman" w:cs="Times New Roman"/>
          <w:sz w:val="24"/>
          <w:szCs w:val="24"/>
        </w:rPr>
        <w:t xml:space="preserve">authorisation/ </w:t>
      </w:r>
      <w:r w:rsidRPr="00B76EED">
        <w:rPr>
          <w:rFonts w:ascii="Times New Roman" w:hAnsi="Times New Roman" w:cs="Times New Roman"/>
          <w:sz w:val="24"/>
          <w:szCs w:val="24"/>
        </w:rPr>
        <w:t>directives</w:t>
      </w:r>
      <w:r>
        <w:rPr>
          <w:rFonts w:ascii="Times New Roman" w:hAnsi="Times New Roman" w:cs="Times New Roman"/>
          <w:sz w:val="24"/>
          <w:szCs w:val="24"/>
        </w:rPr>
        <w:t xml:space="preserve">, it is not possible </w:t>
      </w:r>
      <w:r w:rsidRPr="00B76EED">
        <w:rPr>
          <w:rFonts w:ascii="Times New Roman" w:hAnsi="Times New Roman" w:cs="Times New Roman"/>
          <w:sz w:val="24"/>
          <w:szCs w:val="24"/>
        </w:rPr>
        <w:t xml:space="preserve">at this stage </w:t>
      </w:r>
      <w:r>
        <w:rPr>
          <w:rFonts w:ascii="Times New Roman" w:hAnsi="Times New Roman" w:cs="Times New Roman"/>
          <w:sz w:val="24"/>
          <w:szCs w:val="24"/>
        </w:rPr>
        <w:t xml:space="preserve">to have a clear picture </w:t>
      </w:r>
      <w:r w:rsidRPr="00B76EED">
        <w:rPr>
          <w:rFonts w:ascii="Times New Roman" w:hAnsi="Times New Roman" w:cs="Times New Roman"/>
          <w:sz w:val="24"/>
          <w:szCs w:val="24"/>
        </w:rPr>
        <w:t>of the final provisions to be concluded at the</w:t>
      </w:r>
      <w:r>
        <w:rPr>
          <w:rFonts w:ascii="Times New Roman" w:hAnsi="Times New Roman" w:cs="Times New Roman"/>
          <w:sz w:val="24"/>
          <w:szCs w:val="24"/>
        </w:rPr>
        <w:t xml:space="preserve"> end of the negotiating process.</w:t>
      </w:r>
    </w:p>
    <w:p w:rsidR="00B76EED" w:rsidRPr="00B76EED" w:rsidRDefault="00B76EED" w:rsidP="00B76EED">
      <w:pPr>
        <w:spacing w:after="0" w:line="240" w:lineRule="auto"/>
        <w:jc w:val="both"/>
        <w:rPr>
          <w:rFonts w:ascii="Times New Roman" w:hAnsi="Times New Roman" w:cs="Times New Roman"/>
          <w:sz w:val="24"/>
          <w:szCs w:val="24"/>
        </w:rPr>
      </w:pPr>
    </w:p>
    <w:p w:rsidR="00B76EED" w:rsidRPr="00B76EED" w:rsidRDefault="00B76EED" w:rsidP="00B76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Moreover, free trade agreements</w:t>
      </w:r>
      <w:r w:rsidRPr="00B76EED">
        <w:rPr>
          <w:rFonts w:ascii="Times New Roman" w:hAnsi="Times New Roman" w:cs="Times New Roman"/>
          <w:sz w:val="24"/>
          <w:szCs w:val="24"/>
        </w:rPr>
        <w:t xml:space="preserve"> are n</w:t>
      </w:r>
      <w:r>
        <w:rPr>
          <w:rFonts w:ascii="Times New Roman" w:hAnsi="Times New Roman" w:cs="Times New Roman"/>
          <w:sz w:val="24"/>
          <w:szCs w:val="24"/>
        </w:rPr>
        <w:t>ot sectorally or timely limited. T</w:t>
      </w:r>
      <w:r w:rsidRPr="00B76EED">
        <w:rPr>
          <w:rFonts w:ascii="Times New Roman" w:hAnsi="Times New Roman" w:cs="Times New Roman"/>
          <w:sz w:val="24"/>
          <w:szCs w:val="24"/>
        </w:rPr>
        <w:t>hey potentially cover all economic activities as from entry into fo</w:t>
      </w:r>
      <w:r>
        <w:rPr>
          <w:rFonts w:ascii="Times New Roman" w:hAnsi="Times New Roman" w:cs="Times New Roman"/>
          <w:sz w:val="24"/>
          <w:szCs w:val="24"/>
        </w:rPr>
        <w:t>rce and theoretically indefinitely.</w:t>
      </w:r>
      <w:r w:rsidR="007B3C56" w:rsidRPr="007B3C56">
        <w:t xml:space="preserve"> </w:t>
      </w:r>
      <w:r w:rsidR="007B3C56" w:rsidRPr="007B3C56">
        <w:rPr>
          <w:rFonts w:ascii="Times New Roman" w:hAnsi="Times New Roman" w:cs="Times New Roman"/>
          <w:sz w:val="24"/>
          <w:szCs w:val="24"/>
        </w:rPr>
        <w:t>In</w:t>
      </w:r>
      <w:r w:rsidR="009C79D4">
        <w:rPr>
          <w:rFonts w:ascii="Times New Roman" w:hAnsi="Times New Roman" w:cs="Times New Roman"/>
          <w:sz w:val="24"/>
          <w:szCs w:val="24"/>
        </w:rPr>
        <w:t xml:space="preserve"> this respect</w:t>
      </w:r>
      <w:r w:rsidR="007B3C56">
        <w:rPr>
          <w:rFonts w:ascii="Times New Roman" w:hAnsi="Times New Roman" w:cs="Times New Roman"/>
          <w:sz w:val="24"/>
          <w:szCs w:val="24"/>
        </w:rPr>
        <w:t xml:space="preserve">, </w:t>
      </w:r>
      <w:r w:rsidR="007B3C56">
        <w:rPr>
          <w:rFonts w:ascii="Times New Roman" w:hAnsi="Times New Roman" w:cs="Times New Roman"/>
          <w:bCs/>
          <w:sz w:val="24"/>
          <w:szCs w:val="24"/>
        </w:rPr>
        <w:t>the Communication ‘</w:t>
      </w:r>
      <w:r w:rsidR="007B3C56" w:rsidRPr="004E2360">
        <w:rPr>
          <w:rFonts w:ascii="Times New Roman" w:hAnsi="Times New Roman" w:cs="Times New Roman"/>
          <w:bCs/>
          <w:sz w:val="24"/>
          <w:szCs w:val="24"/>
        </w:rPr>
        <w:t xml:space="preserve">Trade for all - Towards an </w:t>
      </w:r>
      <w:r w:rsidR="00FE6717" w:rsidRPr="004E2360">
        <w:rPr>
          <w:rFonts w:ascii="Times New Roman" w:hAnsi="Times New Roman" w:cs="Times New Roman"/>
          <w:bCs/>
          <w:sz w:val="24"/>
          <w:szCs w:val="24"/>
        </w:rPr>
        <w:t xml:space="preserve">More </w:t>
      </w:r>
      <w:r w:rsidR="007B3C56" w:rsidRPr="004E2360">
        <w:rPr>
          <w:rFonts w:ascii="Times New Roman" w:hAnsi="Times New Roman" w:cs="Times New Roman"/>
          <w:bCs/>
          <w:sz w:val="24"/>
          <w:szCs w:val="24"/>
        </w:rPr>
        <w:t>Effective</w:t>
      </w:r>
      <w:r w:rsidR="00FE6717" w:rsidRPr="004E2360">
        <w:rPr>
          <w:rFonts w:ascii="Times New Roman" w:hAnsi="Times New Roman" w:cs="Times New Roman"/>
          <w:bCs/>
          <w:sz w:val="24"/>
          <w:szCs w:val="24"/>
        </w:rPr>
        <w:t>, Transparent</w:t>
      </w:r>
      <w:r w:rsidR="007B3C56" w:rsidRPr="004E2360">
        <w:rPr>
          <w:rFonts w:ascii="Times New Roman" w:hAnsi="Times New Roman" w:cs="Times New Roman"/>
          <w:bCs/>
          <w:sz w:val="24"/>
          <w:szCs w:val="24"/>
        </w:rPr>
        <w:t xml:space="preserve"> and Responsible Trade and Investment Policy</w:t>
      </w:r>
      <w:r w:rsidR="007B3C56">
        <w:rPr>
          <w:rFonts w:ascii="Times New Roman" w:hAnsi="Times New Roman" w:cs="Times New Roman"/>
          <w:bCs/>
          <w:sz w:val="24"/>
          <w:szCs w:val="24"/>
        </w:rPr>
        <w:t xml:space="preserve">’ highlights </w:t>
      </w:r>
      <w:r w:rsidR="007B3C56" w:rsidRPr="007B3C56">
        <w:rPr>
          <w:rFonts w:ascii="Times New Roman" w:hAnsi="Times New Roman" w:cs="Times New Roman"/>
          <w:sz w:val="24"/>
          <w:szCs w:val="24"/>
        </w:rPr>
        <w:t>that EU trade policy is for all: consumers, employees, small and medium sized enterprises, and the poorest in developing countries.</w:t>
      </w:r>
    </w:p>
    <w:p w:rsidR="00B76EED" w:rsidRPr="00B76EED" w:rsidRDefault="00B76EED" w:rsidP="00B76EED">
      <w:pPr>
        <w:spacing w:after="0" w:line="240" w:lineRule="auto"/>
        <w:jc w:val="both"/>
        <w:rPr>
          <w:rFonts w:ascii="Times New Roman" w:hAnsi="Times New Roman" w:cs="Times New Roman"/>
          <w:sz w:val="24"/>
          <w:szCs w:val="24"/>
        </w:rPr>
      </w:pPr>
    </w:p>
    <w:p w:rsidR="00B76EED" w:rsidRPr="00B76EED" w:rsidRDefault="00155EE8" w:rsidP="00B76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Finally, trade operators </w:t>
      </w:r>
      <w:r w:rsidR="00B76EED" w:rsidRPr="00B76EED">
        <w:rPr>
          <w:rFonts w:ascii="Times New Roman" w:hAnsi="Times New Roman" w:cs="Times New Roman"/>
          <w:sz w:val="24"/>
          <w:szCs w:val="24"/>
        </w:rPr>
        <w:t>can always use</w:t>
      </w:r>
      <w:r>
        <w:rPr>
          <w:rFonts w:ascii="Times New Roman" w:hAnsi="Times New Roman" w:cs="Times New Roman"/>
          <w:sz w:val="24"/>
          <w:szCs w:val="24"/>
        </w:rPr>
        <w:t xml:space="preserve"> the non-preferential treatment.</w:t>
      </w:r>
    </w:p>
    <w:p w:rsidR="00B76EED" w:rsidRPr="00B76EED" w:rsidRDefault="00B76EED" w:rsidP="00B76EED">
      <w:pPr>
        <w:spacing w:after="0" w:line="240" w:lineRule="auto"/>
        <w:jc w:val="both"/>
        <w:rPr>
          <w:rFonts w:ascii="Times New Roman" w:hAnsi="Times New Roman" w:cs="Times New Roman"/>
          <w:sz w:val="24"/>
          <w:szCs w:val="24"/>
        </w:rPr>
      </w:pPr>
    </w:p>
    <w:p w:rsidR="00875AC7" w:rsidRDefault="00875AC7" w:rsidP="00712C81">
      <w:pPr>
        <w:spacing w:after="0" w:line="240" w:lineRule="auto"/>
        <w:jc w:val="both"/>
        <w:rPr>
          <w:rFonts w:ascii="Times New Roman" w:hAnsi="Times New Roman" w:cs="Times New Roman"/>
          <w:sz w:val="24"/>
          <w:szCs w:val="24"/>
        </w:rPr>
      </w:pPr>
    </w:p>
    <w:p w:rsidR="00875AC7" w:rsidRDefault="00875AC7" w:rsidP="00712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context, at this very early stage, only a general and simplified attempt can be made to summarise the likely implications for the various groups of stakeholders:</w:t>
      </w:r>
    </w:p>
    <w:p w:rsidR="00875AC7" w:rsidRDefault="00875AC7" w:rsidP="00712C81">
      <w:pPr>
        <w:spacing w:after="0" w:line="240" w:lineRule="auto"/>
        <w:jc w:val="both"/>
        <w:rPr>
          <w:rFonts w:ascii="Times New Roman" w:hAnsi="Times New Roman" w:cs="Times New Roman"/>
          <w:sz w:val="24"/>
          <w:szCs w:val="24"/>
        </w:rPr>
      </w:pPr>
    </w:p>
    <w:p w:rsidR="00875AC7" w:rsidRPr="009F33CC" w:rsidRDefault="00875AC7" w:rsidP="002A28DD">
      <w:pPr>
        <w:pStyle w:val="ListParagraph"/>
        <w:numPr>
          <w:ilvl w:val="0"/>
          <w:numId w:val="13"/>
        </w:numPr>
        <w:spacing w:after="0" w:line="240" w:lineRule="auto"/>
        <w:jc w:val="both"/>
        <w:rPr>
          <w:rFonts w:ascii="Times New Roman" w:hAnsi="Times New Roman" w:cs="Times New Roman"/>
          <w:sz w:val="24"/>
          <w:szCs w:val="24"/>
          <w:lang w:val="en-GB"/>
        </w:rPr>
      </w:pPr>
      <w:r w:rsidRPr="00C37C0E">
        <w:rPr>
          <w:rFonts w:ascii="Times New Roman" w:hAnsi="Times New Roman" w:cs="Times New Roman"/>
          <w:b/>
          <w:sz w:val="24"/>
          <w:szCs w:val="24"/>
          <w:lang w:val="en-GB"/>
        </w:rPr>
        <w:t>Exporting producers of industrial goods</w:t>
      </w:r>
      <w:r w:rsidRPr="00C37C0E">
        <w:rPr>
          <w:rFonts w:ascii="Times New Roman" w:hAnsi="Times New Roman" w:cs="Times New Roman"/>
          <w:sz w:val="24"/>
          <w:szCs w:val="24"/>
          <w:lang w:val="en-GB"/>
        </w:rPr>
        <w:t xml:space="preserve">: will benefit from new trade opportunities and cost savings due to liberalisation and reduction of NTBs. </w:t>
      </w:r>
      <w:r w:rsidRPr="009F33CC">
        <w:rPr>
          <w:rFonts w:ascii="Times New Roman" w:hAnsi="Times New Roman" w:cs="Times New Roman"/>
          <w:sz w:val="24"/>
          <w:szCs w:val="24"/>
          <w:lang w:val="en-GB"/>
        </w:rPr>
        <w:t>Liberalisation of trade in services will also further support the economic integration in manufacturing.</w:t>
      </w:r>
    </w:p>
    <w:p w:rsidR="00875AC7" w:rsidRPr="00875AC7" w:rsidRDefault="00875AC7" w:rsidP="00875AC7">
      <w:pPr>
        <w:spacing w:after="0" w:line="240" w:lineRule="auto"/>
        <w:jc w:val="both"/>
        <w:rPr>
          <w:rFonts w:ascii="Times New Roman" w:hAnsi="Times New Roman" w:cs="Times New Roman"/>
          <w:sz w:val="24"/>
          <w:szCs w:val="24"/>
        </w:rPr>
      </w:pPr>
    </w:p>
    <w:p w:rsidR="00875AC7" w:rsidRPr="00C7746B" w:rsidRDefault="00875AC7" w:rsidP="00875AC7">
      <w:pPr>
        <w:pStyle w:val="ListParagraph"/>
        <w:numPr>
          <w:ilvl w:val="0"/>
          <w:numId w:val="13"/>
        </w:numPr>
        <w:spacing w:after="0" w:line="240" w:lineRule="auto"/>
        <w:jc w:val="both"/>
        <w:rPr>
          <w:rFonts w:ascii="Times New Roman" w:hAnsi="Times New Roman" w:cs="Times New Roman"/>
          <w:sz w:val="24"/>
          <w:szCs w:val="24"/>
          <w:lang w:val="en-GB"/>
        </w:rPr>
      </w:pPr>
      <w:r w:rsidRPr="00C7746B">
        <w:rPr>
          <w:rFonts w:ascii="Times New Roman" w:hAnsi="Times New Roman" w:cs="Times New Roman"/>
          <w:b/>
          <w:sz w:val="24"/>
          <w:szCs w:val="24"/>
          <w:lang w:val="en-GB"/>
        </w:rPr>
        <w:t>Exporting producers of agricultural products</w:t>
      </w:r>
      <w:r w:rsidRPr="00C7746B">
        <w:rPr>
          <w:rFonts w:ascii="Times New Roman" w:hAnsi="Times New Roman" w:cs="Times New Roman"/>
          <w:sz w:val="24"/>
          <w:szCs w:val="24"/>
          <w:lang w:val="en-GB"/>
        </w:rPr>
        <w:t xml:space="preserve">: as for industrial goods, the producers will benefit from new trade opportunities and cost savings due to liberalisation. </w:t>
      </w:r>
    </w:p>
    <w:p w:rsidR="00C7746B" w:rsidRPr="00C7746B" w:rsidRDefault="00C7746B" w:rsidP="00C7746B">
      <w:pPr>
        <w:spacing w:after="0" w:line="240" w:lineRule="auto"/>
        <w:jc w:val="both"/>
        <w:rPr>
          <w:rFonts w:ascii="Times New Roman" w:hAnsi="Times New Roman" w:cs="Times New Roman"/>
          <w:sz w:val="24"/>
          <w:szCs w:val="24"/>
        </w:rPr>
      </w:pPr>
    </w:p>
    <w:p w:rsidR="00875AC7" w:rsidRPr="00875AC7" w:rsidRDefault="00875AC7" w:rsidP="002A28DD">
      <w:pPr>
        <w:pStyle w:val="ListParagraph"/>
        <w:numPr>
          <w:ilvl w:val="0"/>
          <w:numId w:val="13"/>
        </w:numPr>
        <w:spacing w:after="0" w:line="240" w:lineRule="auto"/>
        <w:jc w:val="both"/>
        <w:rPr>
          <w:rFonts w:ascii="Times New Roman" w:hAnsi="Times New Roman" w:cs="Times New Roman"/>
          <w:sz w:val="24"/>
          <w:szCs w:val="24"/>
        </w:rPr>
      </w:pPr>
      <w:r w:rsidRPr="00C37C0E">
        <w:rPr>
          <w:rFonts w:ascii="Times New Roman" w:hAnsi="Times New Roman" w:cs="Times New Roman"/>
          <w:b/>
          <w:sz w:val="24"/>
          <w:szCs w:val="24"/>
          <w:lang w:val="en-GB"/>
        </w:rPr>
        <w:t>Small- and medium sized enterprises</w:t>
      </w:r>
      <w:r w:rsidRPr="00C37C0E">
        <w:rPr>
          <w:rFonts w:ascii="Times New Roman" w:hAnsi="Times New Roman" w:cs="Times New Roman"/>
          <w:sz w:val="24"/>
          <w:szCs w:val="24"/>
          <w:lang w:val="en-GB"/>
        </w:rPr>
        <w:t xml:space="preserve"> will benefit from new trade opportunities and cost savings due to liberalisation, as well as from provisions covering regulatory cooperation and other rules. </w:t>
      </w:r>
      <w:r w:rsidRPr="00875AC7">
        <w:rPr>
          <w:rFonts w:ascii="Times New Roman" w:hAnsi="Times New Roman" w:cs="Times New Roman"/>
          <w:sz w:val="24"/>
          <w:szCs w:val="24"/>
        </w:rPr>
        <w:t>See the related part of the Impact Assessment (</w:t>
      </w:r>
      <w:r>
        <w:rPr>
          <w:rFonts w:ascii="Times New Roman" w:hAnsi="Times New Roman" w:cs="Times New Roman"/>
          <w:sz w:val="24"/>
          <w:szCs w:val="24"/>
        </w:rPr>
        <w:t>section</w:t>
      </w:r>
      <w:r w:rsidRPr="00875AC7">
        <w:rPr>
          <w:rFonts w:ascii="Times New Roman" w:hAnsi="Times New Roman" w:cs="Times New Roman"/>
          <w:sz w:val="24"/>
          <w:szCs w:val="24"/>
        </w:rPr>
        <w:t xml:space="preserve"> 5.</w:t>
      </w:r>
      <w:r>
        <w:rPr>
          <w:rFonts w:ascii="Times New Roman" w:hAnsi="Times New Roman" w:cs="Times New Roman"/>
          <w:sz w:val="24"/>
          <w:szCs w:val="24"/>
        </w:rPr>
        <w:t>6</w:t>
      </w:r>
      <w:r w:rsidRPr="00875AC7">
        <w:rPr>
          <w:rFonts w:ascii="Times New Roman" w:hAnsi="Times New Roman" w:cs="Times New Roman"/>
          <w:sz w:val="24"/>
          <w:szCs w:val="24"/>
        </w:rPr>
        <w:t>).</w:t>
      </w:r>
    </w:p>
    <w:p w:rsidR="00875AC7" w:rsidRPr="00875AC7" w:rsidRDefault="00875AC7" w:rsidP="00875AC7">
      <w:pPr>
        <w:spacing w:after="0" w:line="240" w:lineRule="auto"/>
        <w:jc w:val="both"/>
        <w:rPr>
          <w:rFonts w:ascii="Times New Roman" w:hAnsi="Times New Roman" w:cs="Times New Roman"/>
          <w:sz w:val="24"/>
          <w:szCs w:val="24"/>
        </w:rPr>
      </w:pPr>
    </w:p>
    <w:p w:rsidR="00875AC7" w:rsidRPr="00C37C0E" w:rsidRDefault="00875AC7" w:rsidP="002A28DD">
      <w:pPr>
        <w:pStyle w:val="ListParagraph"/>
        <w:numPr>
          <w:ilvl w:val="0"/>
          <w:numId w:val="13"/>
        </w:numPr>
        <w:spacing w:after="0" w:line="240" w:lineRule="auto"/>
        <w:jc w:val="both"/>
        <w:rPr>
          <w:rFonts w:ascii="Times New Roman" w:hAnsi="Times New Roman" w:cs="Times New Roman"/>
          <w:sz w:val="24"/>
          <w:szCs w:val="24"/>
          <w:lang w:val="en-GB"/>
        </w:rPr>
      </w:pPr>
      <w:r w:rsidRPr="00C37C0E">
        <w:rPr>
          <w:rFonts w:ascii="Times New Roman" w:hAnsi="Times New Roman" w:cs="Times New Roman"/>
          <w:b/>
          <w:sz w:val="24"/>
          <w:szCs w:val="24"/>
          <w:lang w:val="en-GB"/>
        </w:rPr>
        <w:t>Traders</w:t>
      </w:r>
      <w:r w:rsidRPr="00C37C0E">
        <w:rPr>
          <w:rFonts w:ascii="Times New Roman" w:hAnsi="Times New Roman" w:cs="Times New Roman"/>
          <w:sz w:val="24"/>
          <w:szCs w:val="24"/>
          <w:lang w:val="en-GB"/>
        </w:rPr>
        <w:t xml:space="preserve"> will benefit from lower trade costs due to reduction or elimination of tariff and non-tariff trade barriers, and from increased trade opportunities due to the various ways of liberalisation under the agreement.  </w:t>
      </w:r>
    </w:p>
    <w:p w:rsidR="00875AC7" w:rsidRPr="00875AC7" w:rsidRDefault="00875AC7" w:rsidP="00875AC7">
      <w:pPr>
        <w:spacing w:after="0" w:line="240" w:lineRule="auto"/>
        <w:jc w:val="both"/>
        <w:rPr>
          <w:rFonts w:ascii="Times New Roman" w:hAnsi="Times New Roman" w:cs="Times New Roman"/>
          <w:sz w:val="24"/>
          <w:szCs w:val="24"/>
        </w:rPr>
      </w:pPr>
    </w:p>
    <w:p w:rsidR="00875AC7" w:rsidRDefault="00875AC7" w:rsidP="002A28DD">
      <w:pPr>
        <w:pStyle w:val="ListParagraph"/>
        <w:numPr>
          <w:ilvl w:val="0"/>
          <w:numId w:val="13"/>
        </w:numPr>
        <w:spacing w:after="0" w:line="240" w:lineRule="auto"/>
        <w:jc w:val="both"/>
        <w:rPr>
          <w:rFonts w:ascii="Times New Roman" w:hAnsi="Times New Roman" w:cs="Times New Roman"/>
          <w:sz w:val="24"/>
          <w:szCs w:val="24"/>
          <w:lang w:val="en-GB"/>
        </w:rPr>
      </w:pPr>
      <w:r w:rsidRPr="00C37C0E">
        <w:rPr>
          <w:rFonts w:ascii="Times New Roman" w:hAnsi="Times New Roman" w:cs="Times New Roman"/>
          <w:b/>
          <w:sz w:val="24"/>
          <w:szCs w:val="24"/>
          <w:lang w:val="en-GB"/>
        </w:rPr>
        <w:t>Service providers</w:t>
      </w:r>
      <w:r w:rsidRPr="00C37C0E">
        <w:rPr>
          <w:rFonts w:ascii="Times New Roman" w:hAnsi="Times New Roman" w:cs="Times New Roman"/>
          <w:sz w:val="24"/>
          <w:szCs w:val="24"/>
          <w:lang w:val="en-GB"/>
        </w:rPr>
        <w:t xml:space="preserve"> will also benefit from trade liberalisation, enabling new economic opportunities and cost savings. </w:t>
      </w:r>
    </w:p>
    <w:p w:rsidR="00E257DF" w:rsidRDefault="00E257DF" w:rsidP="00E851A2">
      <w:pPr>
        <w:pStyle w:val="ListParagraph"/>
        <w:spacing w:after="0" w:line="240" w:lineRule="auto"/>
        <w:ind w:left="360"/>
        <w:jc w:val="both"/>
        <w:rPr>
          <w:rFonts w:ascii="Times New Roman" w:hAnsi="Times New Roman" w:cs="Times New Roman"/>
          <w:sz w:val="24"/>
          <w:szCs w:val="24"/>
          <w:lang w:val="en-GB"/>
        </w:rPr>
      </w:pPr>
    </w:p>
    <w:p w:rsidR="00E257DF" w:rsidRPr="00E851A2" w:rsidRDefault="00E257DF" w:rsidP="00E257DF">
      <w:pPr>
        <w:pStyle w:val="ListParagraph"/>
        <w:numPr>
          <w:ilvl w:val="0"/>
          <w:numId w:val="13"/>
        </w:numPr>
        <w:spacing w:after="0" w:line="240" w:lineRule="auto"/>
        <w:jc w:val="both"/>
        <w:rPr>
          <w:rFonts w:ascii="Times New Roman" w:hAnsi="Times New Roman" w:cs="Times New Roman"/>
          <w:sz w:val="24"/>
          <w:szCs w:val="24"/>
          <w:lang w:val="en-GB"/>
        </w:rPr>
      </w:pPr>
      <w:r w:rsidRPr="00E851A2">
        <w:rPr>
          <w:rFonts w:ascii="Times New Roman" w:hAnsi="Times New Roman" w:cs="Times New Roman"/>
          <w:b/>
          <w:sz w:val="24"/>
          <w:szCs w:val="24"/>
          <w:lang w:val="en-GB"/>
        </w:rPr>
        <w:t xml:space="preserve">Workers </w:t>
      </w:r>
      <w:r w:rsidRPr="00E851A2">
        <w:rPr>
          <w:rFonts w:ascii="Times New Roman" w:hAnsi="Times New Roman" w:cs="Times New Roman"/>
          <w:sz w:val="24"/>
          <w:szCs w:val="24"/>
          <w:lang w:val="en-GB"/>
        </w:rPr>
        <w:t>of the above mentioned businesses will also benefit from the new economic opportunities.</w:t>
      </w:r>
    </w:p>
    <w:p w:rsidR="00875AC7" w:rsidRPr="00875AC7" w:rsidRDefault="00875AC7" w:rsidP="00875AC7">
      <w:pPr>
        <w:spacing w:after="0" w:line="240" w:lineRule="auto"/>
        <w:jc w:val="both"/>
        <w:rPr>
          <w:rFonts w:ascii="Times New Roman" w:hAnsi="Times New Roman" w:cs="Times New Roman"/>
          <w:sz w:val="24"/>
          <w:szCs w:val="24"/>
        </w:rPr>
      </w:pPr>
    </w:p>
    <w:p w:rsidR="00875AC7" w:rsidRPr="00875AC7" w:rsidRDefault="00875AC7" w:rsidP="002A28DD">
      <w:pPr>
        <w:pStyle w:val="ListParagraph"/>
        <w:numPr>
          <w:ilvl w:val="0"/>
          <w:numId w:val="13"/>
        </w:numPr>
        <w:spacing w:after="0" w:line="240" w:lineRule="auto"/>
        <w:jc w:val="both"/>
        <w:rPr>
          <w:rFonts w:ascii="Times New Roman" w:hAnsi="Times New Roman" w:cs="Times New Roman"/>
          <w:sz w:val="24"/>
          <w:szCs w:val="24"/>
          <w:lang w:val="en-GB"/>
        </w:rPr>
      </w:pPr>
      <w:r w:rsidRPr="00875AC7">
        <w:rPr>
          <w:rFonts w:ascii="Times New Roman" w:hAnsi="Times New Roman" w:cs="Times New Roman"/>
          <w:b/>
          <w:sz w:val="24"/>
          <w:szCs w:val="24"/>
          <w:lang w:val="en-GB"/>
        </w:rPr>
        <w:t>Consumers</w:t>
      </w:r>
      <w:r w:rsidRPr="00875AC7">
        <w:rPr>
          <w:rFonts w:ascii="Times New Roman" w:hAnsi="Times New Roman" w:cs="Times New Roman"/>
          <w:sz w:val="24"/>
          <w:szCs w:val="24"/>
          <w:lang w:val="en-GB"/>
        </w:rPr>
        <w:t>: see the related part of the Impact Assessment (section 5.</w:t>
      </w:r>
      <w:r>
        <w:rPr>
          <w:rFonts w:ascii="Times New Roman" w:hAnsi="Times New Roman" w:cs="Times New Roman"/>
          <w:sz w:val="24"/>
          <w:szCs w:val="24"/>
          <w:lang w:val="en-GB"/>
        </w:rPr>
        <w:t>10</w:t>
      </w:r>
      <w:r w:rsidRPr="00875AC7">
        <w:rPr>
          <w:rFonts w:ascii="Times New Roman" w:hAnsi="Times New Roman" w:cs="Times New Roman"/>
          <w:sz w:val="24"/>
          <w:szCs w:val="24"/>
          <w:lang w:val="en-GB"/>
        </w:rPr>
        <w:t>).</w:t>
      </w:r>
    </w:p>
    <w:p w:rsidR="00875AC7" w:rsidRPr="00875AC7" w:rsidRDefault="00875AC7" w:rsidP="00875AC7">
      <w:pPr>
        <w:spacing w:after="0" w:line="240" w:lineRule="auto"/>
        <w:jc w:val="both"/>
        <w:rPr>
          <w:rFonts w:ascii="Times New Roman" w:hAnsi="Times New Roman" w:cs="Times New Roman"/>
          <w:sz w:val="24"/>
          <w:szCs w:val="24"/>
        </w:rPr>
      </w:pPr>
    </w:p>
    <w:p w:rsidR="00875AC7" w:rsidRPr="00875AC7" w:rsidRDefault="00875AC7" w:rsidP="002A28DD">
      <w:pPr>
        <w:pStyle w:val="ListParagraph"/>
        <w:numPr>
          <w:ilvl w:val="0"/>
          <w:numId w:val="13"/>
        </w:numPr>
        <w:spacing w:after="0" w:line="240" w:lineRule="auto"/>
        <w:jc w:val="both"/>
        <w:rPr>
          <w:rFonts w:ascii="Times New Roman" w:hAnsi="Times New Roman" w:cs="Times New Roman"/>
          <w:sz w:val="24"/>
          <w:szCs w:val="24"/>
          <w:lang w:val="en-GB"/>
        </w:rPr>
      </w:pPr>
      <w:r w:rsidRPr="00875AC7">
        <w:rPr>
          <w:rFonts w:ascii="Times New Roman" w:hAnsi="Times New Roman" w:cs="Times New Roman"/>
          <w:b/>
          <w:sz w:val="24"/>
          <w:szCs w:val="24"/>
          <w:lang w:val="en-GB"/>
        </w:rPr>
        <w:t>Authorities</w:t>
      </w:r>
      <w:r w:rsidRPr="00875AC7">
        <w:rPr>
          <w:rFonts w:ascii="Times New Roman" w:hAnsi="Times New Roman" w:cs="Times New Roman"/>
          <w:sz w:val="24"/>
          <w:szCs w:val="24"/>
          <w:lang w:val="en-GB"/>
        </w:rPr>
        <w:t>: see the related parts of the Impact Assessment (section 5.1</w:t>
      </w:r>
      <w:r>
        <w:rPr>
          <w:rFonts w:ascii="Times New Roman" w:hAnsi="Times New Roman" w:cs="Times New Roman"/>
          <w:sz w:val="24"/>
          <w:szCs w:val="24"/>
          <w:lang w:val="en-GB"/>
        </w:rPr>
        <w:t>3</w:t>
      </w:r>
      <w:r w:rsidRPr="00875AC7">
        <w:rPr>
          <w:rFonts w:ascii="Times New Roman" w:hAnsi="Times New Roman" w:cs="Times New Roman"/>
          <w:sz w:val="24"/>
          <w:szCs w:val="24"/>
          <w:lang w:val="en-GB"/>
        </w:rPr>
        <w:t xml:space="preserve">). </w:t>
      </w:r>
    </w:p>
    <w:p w:rsidR="00875AC7" w:rsidRPr="00875AC7" w:rsidRDefault="00875AC7" w:rsidP="00875AC7">
      <w:pPr>
        <w:spacing w:after="0" w:line="240" w:lineRule="auto"/>
        <w:jc w:val="both"/>
        <w:rPr>
          <w:rFonts w:ascii="Times New Roman" w:hAnsi="Times New Roman" w:cs="Times New Roman"/>
          <w:sz w:val="24"/>
          <w:szCs w:val="24"/>
        </w:rPr>
      </w:pPr>
    </w:p>
    <w:p w:rsidR="00875AC7" w:rsidRPr="00875AC7" w:rsidRDefault="00875AC7" w:rsidP="002A28DD">
      <w:pPr>
        <w:pStyle w:val="ListParagraph"/>
        <w:numPr>
          <w:ilvl w:val="0"/>
          <w:numId w:val="13"/>
        </w:numPr>
        <w:spacing w:after="0" w:line="240" w:lineRule="auto"/>
        <w:jc w:val="both"/>
        <w:rPr>
          <w:rFonts w:ascii="Times New Roman" w:hAnsi="Times New Roman" w:cs="Times New Roman"/>
          <w:sz w:val="24"/>
          <w:szCs w:val="24"/>
          <w:lang w:val="en-GB"/>
        </w:rPr>
      </w:pPr>
      <w:r w:rsidRPr="00875AC7">
        <w:rPr>
          <w:rFonts w:ascii="Times New Roman" w:hAnsi="Times New Roman" w:cs="Times New Roman"/>
          <w:b/>
          <w:sz w:val="24"/>
          <w:szCs w:val="24"/>
          <w:lang w:val="en-GB"/>
        </w:rPr>
        <w:t>Customs authorities</w:t>
      </w:r>
      <w:r w:rsidRPr="00875AC7">
        <w:rPr>
          <w:rFonts w:ascii="Times New Roman" w:hAnsi="Times New Roman" w:cs="Times New Roman"/>
          <w:sz w:val="24"/>
          <w:szCs w:val="24"/>
          <w:lang w:val="en-GB"/>
        </w:rPr>
        <w:t>: as there is an established practice for implementing FTAs in the EU and in Chile the impact of the new Agreement will be marginal in this context.</w:t>
      </w:r>
    </w:p>
    <w:p w:rsidR="00875AC7" w:rsidRPr="00875AC7" w:rsidRDefault="00875AC7" w:rsidP="00875AC7">
      <w:pPr>
        <w:spacing w:after="0" w:line="240" w:lineRule="auto"/>
        <w:jc w:val="both"/>
        <w:rPr>
          <w:rFonts w:ascii="Times New Roman" w:hAnsi="Times New Roman" w:cs="Times New Roman"/>
          <w:sz w:val="24"/>
          <w:szCs w:val="24"/>
        </w:rPr>
      </w:pPr>
    </w:p>
    <w:p w:rsidR="00875AC7" w:rsidRPr="00875AC7" w:rsidRDefault="00875AC7" w:rsidP="002A28DD">
      <w:pPr>
        <w:pStyle w:val="ListParagraph"/>
        <w:numPr>
          <w:ilvl w:val="0"/>
          <w:numId w:val="13"/>
        </w:numPr>
        <w:spacing w:after="0" w:line="240" w:lineRule="auto"/>
        <w:jc w:val="both"/>
        <w:rPr>
          <w:rFonts w:ascii="Times New Roman" w:hAnsi="Times New Roman" w:cs="Times New Roman"/>
          <w:sz w:val="24"/>
          <w:szCs w:val="24"/>
          <w:lang w:val="en-GB"/>
        </w:rPr>
      </w:pPr>
      <w:r w:rsidRPr="00875AC7">
        <w:rPr>
          <w:rFonts w:ascii="Times New Roman" w:hAnsi="Times New Roman" w:cs="Times New Roman"/>
          <w:b/>
          <w:sz w:val="24"/>
          <w:szCs w:val="24"/>
          <w:lang w:val="en-GB"/>
        </w:rPr>
        <w:t>Third countries, notably LDCs</w:t>
      </w:r>
      <w:r w:rsidRPr="00875AC7">
        <w:rPr>
          <w:rFonts w:ascii="Times New Roman" w:hAnsi="Times New Roman" w:cs="Times New Roman"/>
          <w:sz w:val="24"/>
          <w:szCs w:val="24"/>
          <w:lang w:val="en-GB"/>
        </w:rPr>
        <w:t xml:space="preserve">: see the related part of the Impact Assessment (section 5.7). </w:t>
      </w:r>
    </w:p>
    <w:p w:rsidR="00875AC7" w:rsidRPr="00712C81" w:rsidRDefault="00875AC7" w:rsidP="00712C81">
      <w:pPr>
        <w:spacing w:after="0" w:line="240" w:lineRule="auto"/>
        <w:jc w:val="both"/>
        <w:rPr>
          <w:rFonts w:ascii="Times New Roman" w:hAnsi="Times New Roman" w:cs="Times New Roman"/>
          <w:sz w:val="24"/>
          <w:szCs w:val="24"/>
        </w:rPr>
      </w:pPr>
    </w:p>
    <w:p w:rsidR="00822684" w:rsidRPr="00822684" w:rsidRDefault="00822684" w:rsidP="00712C81">
      <w:pPr>
        <w:spacing w:after="0" w:line="240" w:lineRule="auto"/>
        <w:jc w:val="both"/>
        <w:rPr>
          <w:rFonts w:ascii="Times New Roman" w:hAnsi="Times New Roman" w:cs="Times New Roman"/>
          <w:sz w:val="24"/>
          <w:szCs w:val="24"/>
        </w:rPr>
      </w:pPr>
    </w:p>
    <w:p w:rsidR="00875AC7" w:rsidRDefault="00875AC7">
      <w:pPr>
        <w:rPr>
          <w:rFonts w:ascii="Times New Roman Bold" w:eastAsiaTheme="majorEastAsia" w:hAnsi="Times New Roman Bold" w:cs="Times New Roman" w:hint="eastAsia"/>
          <w:b/>
          <w:bCs/>
          <w:caps/>
          <w:sz w:val="24"/>
          <w:szCs w:val="24"/>
        </w:rPr>
      </w:pPr>
      <w:bookmarkStart w:id="86" w:name="_Toc442284077"/>
      <w:r>
        <w:rPr>
          <w:rFonts w:ascii="Times New Roman Bold" w:hAnsi="Times New Roman Bold"/>
          <w:caps/>
        </w:rPr>
        <w:br w:type="page"/>
      </w:r>
    </w:p>
    <w:p w:rsidR="00D80249" w:rsidRPr="00241BA2" w:rsidRDefault="00144E23" w:rsidP="00302A40">
      <w:pPr>
        <w:pStyle w:val="Heading2"/>
        <w:jc w:val="center"/>
        <w:rPr>
          <w:rFonts w:ascii="Times New Roman Bold" w:hAnsi="Times New Roman Bold" w:hint="eastAsia"/>
          <w:caps/>
        </w:rPr>
      </w:pPr>
      <w:bookmarkStart w:id="87" w:name="_Toc473123111"/>
      <w:r w:rsidRPr="00241BA2">
        <w:rPr>
          <w:rFonts w:ascii="Times New Roman Bold" w:hAnsi="Times New Roman Bold"/>
          <w:caps/>
        </w:rPr>
        <w:t xml:space="preserve">Annex </w:t>
      </w:r>
      <w:r w:rsidR="001F0358" w:rsidRPr="00241BA2">
        <w:rPr>
          <w:rFonts w:ascii="Times New Roman Bold" w:hAnsi="Times New Roman Bold"/>
          <w:caps/>
        </w:rPr>
        <w:t>4</w:t>
      </w:r>
      <w:r w:rsidR="00302A40">
        <w:rPr>
          <w:rFonts w:ascii="Times New Roman Bold" w:hAnsi="Times New Roman Bold"/>
          <w:caps/>
        </w:rPr>
        <w:t xml:space="preserve"> - </w:t>
      </w:r>
      <w:r w:rsidR="00D80249" w:rsidRPr="00241BA2">
        <w:rPr>
          <w:rFonts w:ascii="Times New Roman Bold" w:hAnsi="Times New Roman Bold"/>
          <w:caps/>
        </w:rPr>
        <w:t>Analytical models used in preparing the Impact Assessment</w:t>
      </w:r>
      <w:bookmarkEnd w:id="86"/>
      <w:bookmarkEnd w:id="87"/>
    </w:p>
    <w:p w:rsidR="00E7661A" w:rsidRDefault="00E7661A" w:rsidP="00D4350E">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b/>
          <w:sz w:val="24"/>
          <w:szCs w:val="24"/>
          <w:u w:val="single"/>
        </w:rPr>
      </w:pPr>
      <w:r w:rsidRPr="00A6677D">
        <w:rPr>
          <w:rFonts w:ascii="Times New Roman" w:hAnsi="Times New Roman" w:cs="Times New Roman"/>
          <w:b/>
          <w:sz w:val="24"/>
          <w:szCs w:val="24"/>
          <w:u w:val="single"/>
        </w:rPr>
        <w:t>AGGREGATION</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The geographical and sectoral disaggregation chosen for the CGE simulations is shown in the two tables below. These aggregations have been validated by the members of the ISG before running the simulations. It is important to note that the model disaggregation is limited by the data source that is the elements and level of disaggregation of the model database</w:t>
      </w:r>
      <w:r w:rsidRPr="00A6677D">
        <w:rPr>
          <w:rFonts w:ascii="Times New Roman" w:hAnsi="Times New Roman" w:cs="Times New Roman"/>
          <w:sz w:val="24"/>
          <w:szCs w:val="24"/>
          <w:vertAlign w:val="superscript"/>
        </w:rPr>
        <w:footnoteReference w:id="31"/>
      </w:r>
      <w:r w:rsidRPr="00A6677D">
        <w:rPr>
          <w:rFonts w:ascii="Times New Roman" w:hAnsi="Times New Roman" w:cs="Times New Roman"/>
          <w:sz w:val="24"/>
          <w:szCs w:val="24"/>
        </w:rPr>
        <w:t xml:space="preserve">. </w:t>
      </w:r>
    </w:p>
    <w:p w:rsidR="00080011" w:rsidRPr="00486E7C" w:rsidRDefault="00080011" w:rsidP="00080011">
      <w:pPr>
        <w:spacing w:after="0" w:line="240" w:lineRule="auto"/>
        <w:jc w:val="both"/>
        <w:rPr>
          <w:rFonts w:ascii="Times New Roman" w:hAnsi="Times New Roman" w:cs="Times New Roman"/>
          <w:sz w:val="24"/>
          <w:szCs w:val="24"/>
        </w:rPr>
      </w:pPr>
    </w:p>
    <w:tbl>
      <w:tblPr>
        <w:tblW w:w="0" w:type="auto"/>
        <w:tblInd w:w="-15" w:type="dxa"/>
        <w:tblLayout w:type="fixed"/>
        <w:tblCellMar>
          <w:left w:w="0" w:type="dxa"/>
          <w:right w:w="0" w:type="dxa"/>
        </w:tblCellMar>
        <w:tblLook w:val="04A0" w:firstRow="1" w:lastRow="0" w:firstColumn="1" w:lastColumn="0" w:noHBand="0" w:noVBand="1"/>
      </w:tblPr>
      <w:tblGrid>
        <w:gridCol w:w="915"/>
        <w:gridCol w:w="3886"/>
        <w:gridCol w:w="4048"/>
      </w:tblGrid>
      <w:tr w:rsidR="00080011" w:rsidRPr="00846B6F" w:rsidTr="006B7EF9">
        <w:trPr>
          <w:cantSplit/>
          <w:trHeight w:hRule="exact" w:val="397"/>
        </w:trPr>
        <w:tc>
          <w:tcPr>
            <w:tcW w:w="915"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hideMark/>
          </w:tcPr>
          <w:p w:rsidR="00080011" w:rsidRPr="00846B6F" w:rsidRDefault="00080011" w:rsidP="006B7EF9">
            <w:pPr>
              <w:keepNext/>
              <w:jc w:val="center"/>
              <w:rPr>
                <w:rFonts w:asciiTheme="majorBidi" w:hAnsiTheme="majorBidi" w:cstheme="majorBidi"/>
                <w:sz w:val="18"/>
                <w:szCs w:val="18"/>
                <w:lang w:eastAsia="en-GB"/>
              </w:rPr>
            </w:pPr>
            <w:r w:rsidRPr="00846B6F">
              <w:rPr>
                <w:rFonts w:asciiTheme="majorBidi" w:hAnsiTheme="majorBidi" w:cstheme="majorBidi"/>
                <w:sz w:val="18"/>
                <w:szCs w:val="18"/>
                <w:lang w:eastAsia="en-GB"/>
              </w:rPr>
              <w:t>Sector number</w:t>
            </w:r>
          </w:p>
        </w:tc>
        <w:tc>
          <w:tcPr>
            <w:tcW w:w="3886" w:type="dxa"/>
            <w:tcBorders>
              <w:top w:val="single" w:sz="4" w:space="0" w:color="auto"/>
              <w:left w:val="nil"/>
              <w:bottom w:val="single" w:sz="4" w:space="0" w:color="auto"/>
              <w:right w:val="nil"/>
            </w:tcBorders>
            <w:vAlign w:val="center"/>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Sector name</w:t>
            </w:r>
          </w:p>
        </w:tc>
        <w:tc>
          <w:tcPr>
            <w:tcW w:w="4048" w:type="dxa"/>
            <w:tcBorders>
              <w:top w:val="single" w:sz="4" w:space="0" w:color="auto"/>
              <w:left w:val="nil"/>
              <w:bottom w:val="single" w:sz="4" w:space="0" w:color="auto"/>
              <w:right w:val="nil"/>
            </w:tcBorders>
            <w:noWrap/>
            <w:tcMar>
              <w:top w:w="0" w:type="dxa"/>
              <w:left w:w="108" w:type="dxa"/>
              <w:bottom w:w="0" w:type="dxa"/>
              <w:right w:w="108" w:type="dxa"/>
            </w:tcMar>
            <w:vAlign w:val="center"/>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GTAP sectors</w:t>
            </w:r>
          </w:p>
        </w:tc>
      </w:tr>
      <w:tr w:rsidR="00080011" w:rsidRPr="00846B6F" w:rsidTr="006B7EF9">
        <w:trPr>
          <w:cantSplit/>
          <w:trHeight w:hRule="exact" w:val="255"/>
        </w:trPr>
        <w:tc>
          <w:tcPr>
            <w:tcW w:w="915" w:type="dxa"/>
            <w:tcBorders>
              <w:top w:val="single" w:sz="4" w:space="0" w:color="auto"/>
              <w:left w:val="nil"/>
              <w:right w:val="nil"/>
            </w:tcBorders>
            <w:shd w:val="clear" w:color="auto" w:fill="auto"/>
            <w:noWrap/>
            <w:tcMar>
              <w:top w:w="0" w:type="dxa"/>
              <w:left w:w="108" w:type="dxa"/>
              <w:bottom w:w="0" w:type="dxa"/>
              <w:right w:w="108" w:type="dxa"/>
            </w:tcMar>
            <w:hideMark/>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w:t>
            </w:r>
          </w:p>
        </w:tc>
        <w:tc>
          <w:tcPr>
            <w:tcW w:w="3886" w:type="dxa"/>
            <w:tcBorders>
              <w:top w:val="single" w:sz="4" w:space="0" w:color="auto"/>
              <w:left w:val="nil"/>
              <w:right w:val="nil"/>
            </w:tcBorders>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 xml:space="preserve">Cereals </w:t>
            </w:r>
          </w:p>
        </w:tc>
        <w:tc>
          <w:tcPr>
            <w:tcW w:w="4048" w:type="dxa"/>
            <w:tcBorders>
              <w:top w:val="single" w:sz="4" w:space="0" w:color="auto"/>
              <w:left w:val="nil"/>
              <w:right w:val="nil"/>
            </w:tcBorders>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2, 3</w:t>
            </w:r>
          </w:p>
        </w:tc>
      </w:tr>
      <w:tr w:rsidR="00080011" w:rsidRPr="00846B6F" w:rsidTr="006B7EF9">
        <w:trPr>
          <w:cantSplit/>
          <w:trHeight w:hRule="exact" w:val="255"/>
        </w:trPr>
        <w:tc>
          <w:tcPr>
            <w:tcW w:w="915" w:type="dxa"/>
            <w:tcBorders>
              <w:left w:val="nil"/>
              <w:bottom w:val="nil"/>
              <w:right w:val="nil"/>
            </w:tcBorders>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w:t>
            </w:r>
          </w:p>
        </w:tc>
        <w:tc>
          <w:tcPr>
            <w:tcW w:w="3886" w:type="dxa"/>
            <w:tcBorders>
              <w:left w:val="nil"/>
              <w:bottom w:val="nil"/>
              <w:right w:val="nil"/>
            </w:tcBorders>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Rice</w:t>
            </w:r>
          </w:p>
        </w:tc>
        <w:tc>
          <w:tcPr>
            <w:tcW w:w="4048" w:type="dxa"/>
            <w:tcBorders>
              <w:left w:val="nil"/>
              <w:bottom w:val="nil"/>
              <w:right w:val="nil"/>
            </w:tcBorders>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1, 23</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3</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 xml:space="preserve"> Vegetables, Fruits, nuts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4</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4</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 xml:space="preserve"> Oil seeds, vegetable oils &amp; fats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5, 21</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5</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 xml:space="preserve"> Sugar</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6, 24</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6</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Plant &amp; animal fibres and other crops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7. 8, 12</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7</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Bovine and other ruminant meats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9, 19</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8</w:t>
            </w:r>
          </w:p>
        </w:tc>
        <w:tc>
          <w:tcPr>
            <w:tcW w:w="3886" w:type="dxa"/>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 xml:space="preserve">Other meat (poultry, pig) </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10, 20</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9</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Dairy products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11, 22</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10</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Wood and paper products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13, 30, 31</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11</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Coal</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15</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12</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Oil</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16</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13</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Gas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17, 44</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14</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Minerals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18</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15</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Fishing</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14</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16</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Other food products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25</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17</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Beverages and tobacco</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26</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18</w:t>
            </w:r>
          </w:p>
        </w:tc>
        <w:tc>
          <w:tcPr>
            <w:tcW w:w="3886" w:type="dxa"/>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Textile, apparel, leather</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27, 28, 29</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19</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Chemicals, rubber, plastic</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33</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20</w:t>
            </w:r>
          </w:p>
        </w:tc>
        <w:tc>
          <w:tcPr>
            <w:tcW w:w="3886" w:type="dxa"/>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Petroleum, coal products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32</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21</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 xml:space="preserve">Metal products </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35, 36, 37</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22</w:t>
            </w:r>
          </w:p>
        </w:tc>
        <w:tc>
          <w:tcPr>
            <w:tcW w:w="3886" w:type="dxa"/>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Non-metallic minerals</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34</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23</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Motor vehicles &amp; transport  equipment</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38, 39</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Del="00B85689"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24</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 xml:space="preserve">Machinery </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41</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25</w:t>
            </w:r>
          </w:p>
        </w:tc>
        <w:tc>
          <w:tcPr>
            <w:tcW w:w="3886" w:type="dxa"/>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Electronic equipment and other manufacture</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40, 42</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26</w:t>
            </w:r>
          </w:p>
        </w:tc>
        <w:tc>
          <w:tcPr>
            <w:tcW w:w="3886" w:type="dxa"/>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Electricity</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43</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27</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Utility (construction, water)</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46, 45</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28</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Transport</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48, 49, 50</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29</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Communication and business service</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 xml:space="preserve">51, 54, </w:t>
            </w:r>
          </w:p>
        </w:tc>
      </w:tr>
      <w:tr w:rsidR="00080011" w:rsidRPr="00846B6F" w:rsidTr="006B7EF9">
        <w:trPr>
          <w:cantSplit/>
          <w:trHeight w:hRule="exact" w:val="255"/>
        </w:trPr>
        <w:tc>
          <w:tcPr>
            <w:tcW w:w="915" w:type="dxa"/>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30</w:t>
            </w:r>
          </w:p>
        </w:tc>
        <w:tc>
          <w:tcPr>
            <w:tcW w:w="3886" w:type="dxa"/>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Financial service and insurance</w:t>
            </w:r>
          </w:p>
        </w:tc>
        <w:tc>
          <w:tcPr>
            <w:tcW w:w="4048" w:type="dxa"/>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52, 53</w:t>
            </w:r>
          </w:p>
        </w:tc>
      </w:tr>
      <w:tr w:rsidR="00080011" w:rsidRPr="00846B6F" w:rsidTr="006B7EF9">
        <w:trPr>
          <w:cantSplit/>
          <w:trHeight w:hRule="exact" w:val="255"/>
        </w:trPr>
        <w:tc>
          <w:tcPr>
            <w:tcW w:w="915" w:type="dxa"/>
            <w:tcBorders>
              <w:top w:val="nil"/>
              <w:left w:val="nil"/>
              <w:bottom w:val="single" w:sz="4" w:space="0" w:color="auto"/>
              <w:right w:val="nil"/>
            </w:tcBorders>
            <w:shd w:val="clear" w:color="auto" w:fill="auto"/>
            <w:noWrap/>
            <w:tcMar>
              <w:top w:w="0" w:type="dxa"/>
              <w:left w:w="108" w:type="dxa"/>
              <w:bottom w:w="0" w:type="dxa"/>
              <w:right w:w="108" w:type="dxa"/>
            </w:tcMar>
          </w:tcPr>
          <w:p w:rsidR="00080011" w:rsidRPr="00846B6F" w:rsidRDefault="00080011" w:rsidP="006B7EF9">
            <w:pPr>
              <w:keepNext/>
              <w:jc w:val="right"/>
              <w:rPr>
                <w:rFonts w:asciiTheme="majorBidi" w:hAnsiTheme="majorBidi" w:cstheme="majorBidi"/>
                <w:sz w:val="18"/>
                <w:szCs w:val="18"/>
                <w:lang w:eastAsia="en-GB"/>
              </w:rPr>
            </w:pPr>
            <w:r w:rsidRPr="00846B6F">
              <w:rPr>
                <w:rFonts w:asciiTheme="majorBidi" w:hAnsiTheme="majorBidi" w:cstheme="majorBidi"/>
                <w:sz w:val="18"/>
                <w:szCs w:val="18"/>
                <w:lang w:eastAsia="en-GB"/>
              </w:rPr>
              <w:t>31</w:t>
            </w:r>
          </w:p>
        </w:tc>
        <w:tc>
          <w:tcPr>
            <w:tcW w:w="3886" w:type="dxa"/>
            <w:tcBorders>
              <w:top w:val="nil"/>
              <w:left w:val="nil"/>
              <w:bottom w:val="single" w:sz="4" w:space="0" w:color="auto"/>
              <w:right w:val="nil"/>
            </w:tcBorders>
            <w:hideMark/>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Recreational and other services</w:t>
            </w:r>
          </w:p>
        </w:tc>
        <w:tc>
          <w:tcPr>
            <w:tcW w:w="4048" w:type="dxa"/>
            <w:tcBorders>
              <w:top w:val="nil"/>
              <w:left w:val="nil"/>
              <w:bottom w:val="single" w:sz="4" w:space="0" w:color="auto"/>
              <w:right w:val="nil"/>
            </w:tcBorders>
            <w:noWrap/>
            <w:tcMar>
              <w:top w:w="0" w:type="dxa"/>
              <w:left w:w="108" w:type="dxa"/>
              <w:bottom w:w="0" w:type="dxa"/>
              <w:right w:w="108" w:type="dxa"/>
            </w:tcMar>
            <w:vAlign w:val="bottom"/>
          </w:tcPr>
          <w:p w:rsidR="00080011" w:rsidRPr="00846B6F" w:rsidRDefault="00080011" w:rsidP="006B7EF9">
            <w:pPr>
              <w:keepNext/>
              <w:rPr>
                <w:rFonts w:asciiTheme="majorBidi" w:hAnsiTheme="majorBidi" w:cstheme="majorBidi"/>
                <w:sz w:val="18"/>
                <w:szCs w:val="18"/>
                <w:lang w:eastAsia="en-GB"/>
              </w:rPr>
            </w:pPr>
            <w:r w:rsidRPr="00846B6F">
              <w:rPr>
                <w:rFonts w:asciiTheme="majorBidi" w:hAnsiTheme="majorBidi" w:cstheme="majorBidi"/>
                <w:sz w:val="18"/>
                <w:szCs w:val="18"/>
                <w:lang w:eastAsia="en-GB"/>
              </w:rPr>
              <w:t>55, 56, 57, 47</w:t>
            </w:r>
          </w:p>
        </w:tc>
      </w:tr>
    </w:tbl>
    <w:p w:rsidR="00080011" w:rsidRDefault="00080011" w:rsidP="00080011">
      <w:pPr>
        <w:spacing w:after="120"/>
        <w:rPr>
          <w:b/>
          <w:sz w:val="18"/>
          <w:szCs w:val="18"/>
        </w:rPr>
      </w:pP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120"/>
        <w:rPr>
          <w:b/>
        </w:rPr>
      </w:pPr>
    </w:p>
    <w:tbl>
      <w:tblPr>
        <w:tblStyle w:val="DocumentTable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94"/>
        <w:gridCol w:w="5626"/>
      </w:tblGrid>
      <w:tr w:rsidR="00A6677D" w:rsidRPr="00A6677D" w:rsidTr="00080011">
        <w:tc>
          <w:tcPr>
            <w:tcW w:w="0" w:type="auto"/>
            <w:tcBorders>
              <w:top w:val="single" w:sz="4" w:space="0" w:color="auto"/>
              <w:bottom w:val="single" w:sz="4" w:space="0" w:color="auto"/>
            </w:tcBorders>
            <w:hideMark/>
          </w:tcPr>
          <w:p w:rsidR="00A6677D" w:rsidRPr="00A6677D" w:rsidRDefault="00A6677D" w:rsidP="00A6677D">
            <w:pPr>
              <w:keepNext/>
              <w:spacing w:after="120"/>
              <w:jc w:val="right"/>
              <w:rPr>
                <w:rFonts w:asciiTheme="majorBidi" w:hAnsiTheme="majorBidi" w:cstheme="majorBidi"/>
              </w:rPr>
            </w:pPr>
          </w:p>
        </w:tc>
        <w:tc>
          <w:tcPr>
            <w:tcW w:w="0" w:type="auto"/>
            <w:tcBorders>
              <w:top w:val="single" w:sz="4" w:space="0" w:color="auto"/>
              <w:bottom w:val="single" w:sz="4" w:space="0" w:color="auto"/>
            </w:tcBorders>
            <w:hideMark/>
          </w:tcPr>
          <w:p w:rsidR="00A6677D" w:rsidRPr="00A6677D" w:rsidRDefault="00A6677D" w:rsidP="00A6677D">
            <w:pPr>
              <w:keepNext/>
              <w:spacing w:after="120"/>
              <w:rPr>
                <w:rFonts w:asciiTheme="majorBidi" w:hAnsiTheme="majorBidi" w:cstheme="majorBidi"/>
                <w:b/>
              </w:rPr>
            </w:pPr>
            <w:r w:rsidRPr="00A6677D">
              <w:rPr>
                <w:rFonts w:asciiTheme="majorBidi" w:hAnsiTheme="majorBidi" w:cstheme="majorBidi"/>
                <w:b/>
              </w:rPr>
              <w:t xml:space="preserve">Region </w:t>
            </w:r>
          </w:p>
        </w:tc>
        <w:tc>
          <w:tcPr>
            <w:tcW w:w="0" w:type="auto"/>
            <w:tcBorders>
              <w:top w:val="single" w:sz="4" w:space="0" w:color="auto"/>
              <w:bottom w:val="single" w:sz="4" w:space="0" w:color="auto"/>
            </w:tcBorders>
            <w:hideMark/>
          </w:tcPr>
          <w:p w:rsidR="00A6677D" w:rsidRPr="00A6677D" w:rsidRDefault="00A6677D" w:rsidP="00A6677D">
            <w:pPr>
              <w:keepNext/>
              <w:spacing w:after="120"/>
              <w:rPr>
                <w:rFonts w:asciiTheme="majorBidi" w:hAnsiTheme="majorBidi" w:cstheme="majorBidi"/>
                <w:b/>
              </w:rPr>
            </w:pPr>
            <w:r w:rsidRPr="00A6677D">
              <w:rPr>
                <w:rFonts w:asciiTheme="majorBidi" w:hAnsiTheme="majorBidi" w:cstheme="majorBidi"/>
                <w:b/>
              </w:rPr>
              <w:t>Remarks</w:t>
            </w:r>
          </w:p>
        </w:tc>
      </w:tr>
      <w:tr w:rsidR="00A6677D" w:rsidRPr="00A6677D" w:rsidTr="00080011">
        <w:tc>
          <w:tcPr>
            <w:tcW w:w="0" w:type="auto"/>
            <w:tcBorders>
              <w:top w:val="single" w:sz="4" w:space="0" w:color="auto"/>
            </w:tcBorders>
            <w:hideMark/>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1</w:t>
            </w:r>
          </w:p>
        </w:tc>
        <w:tc>
          <w:tcPr>
            <w:tcW w:w="0" w:type="auto"/>
            <w:tcBorders>
              <w:top w:val="single" w:sz="4" w:space="0" w:color="auto"/>
            </w:tcBorders>
            <w:hideMark/>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EU</w:t>
            </w:r>
          </w:p>
        </w:tc>
        <w:tc>
          <w:tcPr>
            <w:tcW w:w="0" w:type="auto"/>
            <w:tcBorders>
              <w:top w:val="single" w:sz="4" w:space="0" w:color="auto"/>
            </w:tcBorders>
          </w:tcPr>
          <w:p w:rsidR="00A6677D" w:rsidRPr="00080011" w:rsidRDefault="00A6677D" w:rsidP="00A6677D">
            <w:pPr>
              <w:spacing w:after="120"/>
              <w:rPr>
                <w:rFonts w:asciiTheme="majorBidi" w:hAnsiTheme="majorBidi" w:cstheme="majorBidi"/>
                <w:sz w:val="20"/>
                <w:szCs w:val="20"/>
              </w:rPr>
            </w:pPr>
          </w:p>
        </w:tc>
      </w:tr>
      <w:tr w:rsidR="00A6677D" w:rsidRPr="00A6677D" w:rsidTr="00080011">
        <w:tc>
          <w:tcPr>
            <w:tcW w:w="0" w:type="auto"/>
            <w:hideMark/>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2</w:t>
            </w:r>
          </w:p>
        </w:tc>
        <w:tc>
          <w:tcPr>
            <w:tcW w:w="0" w:type="auto"/>
            <w:hideMark/>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Chile</w:t>
            </w:r>
          </w:p>
        </w:tc>
        <w:tc>
          <w:tcPr>
            <w:tcW w:w="0" w:type="auto"/>
          </w:tcPr>
          <w:p w:rsidR="00A6677D" w:rsidRPr="00080011" w:rsidRDefault="00A6677D" w:rsidP="00A6677D">
            <w:pPr>
              <w:spacing w:after="120"/>
              <w:rPr>
                <w:rFonts w:asciiTheme="majorBidi" w:hAnsiTheme="majorBidi" w:cstheme="majorBidi"/>
                <w:sz w:val="20"/>
                <w:szCs w:val="20"/>
              </w:rPr>
            </w:pPr>
          </w:p>
        </w:tc>
      </w:tr>
      <w:tr w:rsidR="00A6677D" w:rsidRPr="00A6677D" w:rsidTr="00080011">
        <w:tc>
          <w:tcPr>
            <w:tcW w:w="0" w:type="auto"/>
            <w:hideMark/>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3</w:t>
            </w:r>
          </w:p>
        </w:tc>
        <w:tc>
          <w:tcPr>
            <w:tcW w:w="0" w:type="auto"/>
            <w:hideMark/>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Turkey</w:t>
            </w:r>
          </w:p>
        </w:tc>
        <w:tc>
          <w:tcPr>
            <w:tcW w:w="0" w:type="auto"/>
          </w:tcPr>
          <w:p w:rsidR="00A6677D" w:rsidRPr="00080011" w:rsidRDefault="00A6677D" w:rsidP="00A6677D">
            <w:pPr>
              <w:spacing w:after="120"/>
              <w:rPr>
                <w:rFonts w:asciiTheme="majorBidi" w:hAnsiTheme="majorBidi" w:cstheme="majorBidi"/>
                <w:sz w:val="20"/>
                <w:szCs w:val="20"/>
              </w:rPr>
            </w:pPr>
          </w:p>
        </w:tc>
      </w:tr>
      <w:tr w:rsidR="00A6677D" w:rsidRPr="00A6677D" w:rsidTr="00080011">
        <w:tc>
          <w:tcPr>
            <w:tcW w:w="0" w:type="auto"/>
            <w:hideMark/>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4</w:t>
            </w:r>
          </w:p>
        </w:tc>
        <w:tc>
          <w:tcPr>
            <w:tcW w:w="0" w:type="auto"/>
            <w:hideMark/>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USA</w:t>
            </w:r>
          </w:p>
        </w:tc>
        <w:tc>
          <w:tcPr>
            <w:tcW w:w="0" w:type="auto"/>
          </w:tcPr>
          <w:p w:rsidR="00A6677D" w:rsidRPr="00080011" w:rsidRDefault="00A6677D" w:rsidP="00A6677D">
            <w:pPr>
              <w:spacing w:after="120"/>
              <w:rPr>
                <w:rFonts w:asciiTheme="majorBidi" w:hAnsiTheme="majorBidi" w:cstheme="majorBidi"/>
                <w:sz w:val="20"/>
                <w:szCs w:val="20"/>
              </w:rPr>
            </w:pP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5</w:t>
            </w:r>
          </w:p>
        </w:tc>
        <w:tc>
          <w:tcPr>
            <w:tcW w:w="0" w:type="auto"/>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China</w:t>
            </w:r>
          </w:p>
        </w:tc>
        <w:tc>
          <w:tcPr>
            <w:tcW w:w="0" w:type="auto"/>
          </w:tcPr>
          <w:p w:rsidR="00A6677D" w:rsidRPr="00080011" w:rsidRDefault="00A6677D" w:rsidP="00A6677D">
            <w:pPr>
              <w:spacing w:after="120"/>
              <w:rPr>
                <w:rFonts w:asciiTheme="majorBidi" w:hAnsiTheme="majorBidi" w:cstheme="majorBidi"/>
                <w:sz w:val="20"/>
                <w:szCs w:val="20"/>
              </w:rPr>
            </w:pP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6</w:t>
            </w:r>
          </w:p>
        </w:tc>
        <w:tc>
          <w:tcPr>
            <w:tcW w:w="0" w:type="auto"/>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Canada</w:t>
            </w:r>
          </w:p>
        </w:tc>
        <w:tc>
          <w:tcPr>
            <w:tcW w:w="0" w:type="auto"/>
          </w:tcPr>
          <w:p w:rsidR="00A6677D" w:rsidRPr="00080011" w:rsidRDefault="00A6677D" w:rsidP="00A6677D">
            <w:pPr>
              <w:spacing w:after="120"/>
              <w:rPr>
                <w:rFonts w:asciiTheme="majorBidi" w:hAnsiTheme="majorBidi" w:cstheme="majorBidi"/>
                <w:sz w:val="20"/>
                <w:szCs w:val="20"/>
              </w:rPr>
            </w:pP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7</w:t>
            </w:r>
          </w:p>
        </w:tc>
        <w:tc>
          <w:tcPr>
            <w:tcW w:w="0" w:type="auto"/>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Mexico</w:t>
            </w:r>
          </w:p>
        </w:tc>
        <w:tc>
          <w:tcPr>
            <w:tcW w:w="0" w:type="auto"/>
          </w:tcPr>
          <w:p w:rsidR="00A6677D" w:rsidRPr="00080011" w:rsidRDefault="00A6677D" w:rsidP="00A6677D">
            <w:pPr>
              <w:spacing w:after="120"/>
              <w:rPr>
                <w:rFonts w:asciiTheme="majorBidi" w:hAnsiTheme="majorBidi" w:cstheme="majorBidi"/>
                <w:sz w:val="20"/>
                <w:szCs w:val="20"/>
              </w:rPr>
            </w:pP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8</w:t>
            </w:r>
          </w:p>
        </w:tc>
        <w:tc>
          <w:tcPr>
            <w:tcW w:w="0" w:type="auto"/>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MERCOSUR</w:t>
            </w:r>
          </w:p>
        </w:tc>
        <w:tc>
          <w:tcPr>
            <w:tcW w:w="0" w:type="auto"/>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including Venezuela</w:t>
            </w: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9</w:t>
            </w:r>
          </w:p>
        </w:tc>
        <w:tc>
          <w:tcPr>
            <w:tcW w:w="0" w:type="auto"/>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Colombia</w:t>
            </w:r>
          </w:p>
        </w:tc>
        <w:tc>
          <w:tcPr>
            <w:tcW w:w="0" w:type="auto"/>
          </w:tcPr>
          <w:p w:rsidR="00A6677D" w:rsidRPr="00080011" w:rsidRDefault="00A6677D" w:rsidP="00A6677D">
            <w:pPr>
              <w:spacing w:after="120"/>
              <w:rPr>
                <w:rFonts w:asciiTheme="majorBidi" w:hAnsiTheme="majorBidi" w:cstheme="majorBidi"/>
                <w:sz w:val="20"/>
                <w:szCs w:val="20"/>
                <w:lang w:val="es-ES"/>
              </w:rPr>
            </w:pP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10</w:t>
            </w:r>
          </w:p>
        </w:tc>
        <w:tc>
          <w:tcPr>
            <w:tcW w:w="0" w:type="auto"/>
            <w:hideMark/>
          </w:tcPr>
          <w:p w:rsidR="00A6677D" w:rsidRPr="00080011" w:rsidRDefault="00A6677D" w:rsidP="00A6677D">
            <w:pPr>
              <w:spacing w:after="120"/>
              <w:rPr>
                <w:rFonts w:asciiTheme="majorBidi" w:hAnsiTheme="majorBidi" w:cstheme="majorBidi"/>
                <w:sz w:val="20"/>
                <w:szCs w:val="20"/>
                <w:highlight w:val="yellow"/>
              </w:rPr>
            </w:pPr>
            <w:r w:rsidRPr="00080011">
              <w:rPr>
                <w:rFonts w:asciiTheme="majorBidi" w:hAnsiTheme="majorBidi" w:cstheme="majorBidi"/>
                <w:sz w:val="20"/>
                <w:szCs w:val="20"/>
              </w:rPr>
              <w:t>Peru</w:t>
            </w:r>
          </w:p>
        </w:tc>
        <w:tc>
          <w:tcPr>
            <w:tcW w:w="0" w:type="auto"/>
            <w:hideMark/>
          </w:tcPr>
          <w:p w:rsidR="00A6677D" w:rsidRPr="00080011" w:rsidRDefault="00A6677D" w:rsidP="00A6677D">
            <w:pPr>
              <w:spacing w:after="120"/>
              <w:rPr>
                <w:rFonts w:asciiTheme="majorBidi" w:hAnsiTheme="majorBidi" w:cstheme="majorBidi"/>
                <w:sz w:val="20"/>
                <w:szCs w:val="20"/>
                <w:lang w:val="es-ES"/>
              </w:rPr>
            </w:pPr>
          </w:p>
        </w:tc>
      </w:tr>
      <w:tr w:rsidR="00A6677D" w:rsidRPr="00D93A15"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11</w:t>
            </w:r>
          </w:p>
        </w:tc>
        <w:tc>
          <w:tcPr>
            <w:tcW w:w="0" w:type="auto"/>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Central America</w:t>
            </w:r>
          </w:p>
        </w:tc>
        <w:tc>
          <w:tcPr>
            <w:tcW w:w="0" w:type="auto"/>
          </w:tcPr>
          <w:p w:rsidR="00A6677D" w:rsidRPr="00080011" w:rsidRDefault="00A6677D" w:rsidP="00A6677D">
            <w:pPr>
              <w:spacing w:after="120"/>
              <w:rPr>
                <w:rFonts w:asciiTheme="majorBidi" w:hAnsiTheme="majorBidi" w:cstheme="majorBidi"/>
                <w:sz w:val="20"/>
                <w:szCs w:val="20"/>
                <w:lang w:val="es-ES"/>
              </w:rPr>
            </w:pPr>
            <w:r w:rsidRPr="00080011">
              <w:rPr>
                <w:rFonts w:asciiTheme="majorBidi" w:hAnsiTheme="majorBidi" w:cstheme="majorBidi"/>
                <w:sz w:val="20"/>
                <w:szCs w:val="20"/>
                <w:lang w:val="es-ES"/>
              </w:rPr>
              <w:t>Guatemala, El Salvador, Nicaragua, Honduras, Costa Rica, Panamá</w:t>
            </w: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12</w:t>
            </w:r>
          </w:p>
        </w:tc>
        <w:tc>
          <w:tcPr>
            <w:tcW w:w="0" w:type="auto"/>
            <w:hideMark/>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Latin America</w:t>
            </w:r>
          </w:p>
        </w:tc>
        <w:tc>
          <w:tcPr>
            <w:tcW w:w="0" w:type="auto"/>
            <w:hideMark/>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Except Latin American countries included in the groups above</w:t>
            </w: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13</w:t>
            </w:r>
          </w:p>
        </w:tc>
        <w:tc>
          <w:tcPr>
            <w:tcW w:w="0" w:type="auto"/>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High income countries</w:t>
            </w:r>
          </w:p>
        </w:tc>
        <w:tc>
          <w:tcPr>
            <w:tcW w:w="0" w:type="auto"/>
          </w:tcPr>
          <w:p w:rsidR="00A6677D" w:rsidRPr="00080011" w:rsidRDefault="00A6677D" w:rsidP="00A6677D">
            <w:pPr>
              <w:spacing w:after="120"/>
              <w:rPr>
                <w:rFonts w:asciiTheme="majorBidi" w:hAnsiTheme="majorBidi" w:cstheme="majorBidi"/>
                <w:sz w:val="20"/>
                <w:szCs w:val="20"/>
                <w:lang w:val="es-ES"/>
              </w:rPr>
            </w:pPr>
            <w:r w:rsidRPr="00080011">
              <w:rPr>
                <w:rFonts w:asciiTheme="majorBidi" w:hAnsiTheme="majorBidi" w:cstheme="majorBidi"/>
                <w:sz w:val="20"/>
                <w:szCs w:val="20"/>
                <w:lang w:val="es-ES"/>
              </w:rPr>
              <w:t>Japan, Korea, EFTA</w:t>
            </w: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14</w:t>
            </w:r>
          </w:p>
        </w:tc>
        <w:tc>
          <w:tcPr>
            <w:tcW w:w="0" w:type="auto"/>
            <w:hideMark/>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LDCs</w:t>
            </w:r>
          </w:p>
        </w:tc>
        <w:tc>
          <w:tcPr>
            <w:tcW w:w="0" w:type="auto"/>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Except Latin American LDCs included in the groups above</w:t>
            </w:r>
          </w:p>
        </w:tc>
      </w:tr>
      <w:tr w:rsidR="00A6677D" w:rsidRPr="00A6677D" w:rsidTr="00080011">
        <w:tc>
          <w:tcPr>
            <w:tcW w:w="0" w:type="auto"/>
          </w:tcPr>
          <w:p w:rsidR="00A6677D" w:rsidRPr="00A6677D" w:rsidRDefault="00A6677D" w:rsidP="00A6677D">
            <w:pPr>
              <w:spacing w:after="120"/>
              <w:rPr>
                <w:rFonts w:asciiTheme="majorBidi" w:hAnsiTheme="majorBidi" w:cstheme="majorBidi"/>
              </w:rPr>
            </w:pPr>
            <w:r w:rsidRPr="00A6677D">
              <w:rPr>
                <w:rFonts w:asciiTheme="majorBidi" w:hAnsiTheme="majorBidi" w:cstheme="majorBidi"/>
              </w:rPr>
              <w:t>15</w:t>
            </w:r>
          </w:p>
        </w:tc>
        <w:tc>
          <w:tcPr>
            <w:tcW w:w="0" w:type="auto"/>
            <w:hideMark/>
          </w:tcPr>
          <w:p w:rsidR="00A6677D" w:rsidRPr="00080011" w:rsidRDefault="00A6677D" w:rsidP="00A6677D">
            <w:pPr>
              <w:spacing w:after="120"/>
              <w:rPr>
                <w:rFonts w:asciiTheme="majorBidi" w:hAnsiTheme="majorBidi" w:cstheme="majorBidi"/>
                <w:sz w:val="20"/>
                <w:szCs w:val="20"/>
              </w:rPr>
            </w:pPr>
            <w:r w:rsidRPr="00080011">
              <w:rPr>
                <w:rFonts w:asciiTheme="majorBidi" w:hAnsiTheme="majorBidi" w:cstheme="majorBidi"/>
                <w:sz w:val="20"/>
                <w:szCs w:val="20"/>
              </w:rPr>
              <w:t>Other developing countries</w:t>
            </w:r>
          </w:p>
        </w:tc>
        <w:tc>
          <w:tcPr>
            <w:tcW w:w="0" w:type="auto"/>
          </w:tcPr>
          <w:p w:rsidR="00A6677D" w:rsidRPr="00080011" w:rsidRDefault="00A6677D" w:rsidP="00A6677D">
            <w:pPr>
              <w:spacing w:after="120"/>
              <w:rPr>
                <w:rFonts w:asciiTheme="majorBidi" w:hAnsiTheme="majorBidi" w:cstheme="majorBidi"/>
                <w:sz w:val="20"/>
                <w:szCs w:val="20"/>
              </w:rPr>
            </w:pPr>
          </w:p>
        </w:tc>
      </w:tr>
    </w:tbl>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b/>
          <w:sz w:val="24"/>
          <w:szCs w:val="24"/>
          <w:u w:val="single"/>
        </w:rPr>
      </w:pPr>
      <w:r w:rsidRPr="00A6677D">
        <w:rPr>
          <w:rFonts w:ascii="Times New Roman" w:hAnsi="Times New Roman" w:cs="Times New Roman"/>
          <w:b/>
          <w:sz w:val="24"/>
          <w:szCs w:val="24"/>
          <w:u w:val="single"/>
        </w:rPr>
        <w:t>BASELINE</w:t>
      </w:r>
    </w:p>
    <w:p w:rsidR="00A6677D" w:rsidRPr="00A6677D" w:rsidRDefault="00A6677D" w:rsidP="00A6677D">
      <w:pPr>
        <w:spacing w:after="0" w:line="240" w:lineRule="auto"/>
        <w:jc w:val="both"/>
        <w:rPr>
          <w:rFonts w:ascii="Times New Roman" w:hAnsi="Times New Roman" w:cs="Times New Roman"/>
          <w:b/>
          <w:i/>
          <w:iCs/>
          <w:sz w:val="24"/>
          <w:szCs w:val="24"/>
        </w:rPr>
      </w:pPr>
    </w:p>
    <w:p w:rsidR="00A6677D" w:rsidRPr="00A6677D" w:rsidRDefault="00A6677D" w:rsidP="00A6677D">
      <w:pPr>
        <w:spacing w:after="0" w:line="240" w:lineRule="auto"/>
        <w:jc w:val="both"/>
        <w:rPr>
          <w:rFonts w:ascii="Times New Roman" w:hAnsi="Times New Roman" w:cs="Times New Roman"/>
          <w:b/>
          <w:i/>
          <w:iCs/>
          <w:sz w:val="24"/>
          <w:szCs w:val="24"/>
          <w:u w:val="single"/>
        </w:rPr>
      </w:pPr>
      <w:r w:rsidRPr="00A6677D">
        <w:rPr>
          <w:rFonts w:ascii="Times New Roman" w:hAnsi="Times New Roman" w:cs="Times New Roman"/>
          <w:b/>
          <w:i/>
          <w:iCs/>
          <w:sz w:val="24"/>
          <w:szCs w:val="24"/>
          <w:u w:val="single"/>
        </w:rPr>
        <w:t>Step 1: Improving the market access representation</w:t>
      </w:r>
    </w:p>
    <w:p w:rsidR="00A6677D" w:rsidRPr="00A6677D" w:rsidRDefault="00A6677D" w:rsidP="00A6677D">
      <w:pPr>
        <w:spacing w:after="0" w:line="240" w:lineRule="auto"/>
        <w:jc w:val="both"/>
        <w:rPr>
          <w:rFonts w:ascii="Times New Roman" w:hAnsi="Times New Roman" w:cs="Times New Roman"/>
          <w:i/>
          <w:iCs/>
          <w:sz w:val="24"/>
          <w:szCs w:val="24"/>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In order to build a comprehensive assessment of market access, the database has been amended introducing ad valorem equivalent (AVE) estimates of the non-tariff barriers in the manufacturing sectors.</w:t>
      </w:r>
      <w:r w:rsidRPr="00A6677D">
        <w:rPr>
          <w:rFonts w:ascii="Times New Roman" w:hAnsi="Times New Roman" w:cs="Times New Roman"/>
          <w:sz w:val="24"/>
          <w:szCs w:val="24"/>
          <w:vertAlign w:val="superscript"/>
        </w:rPr>
        <w:footnoteReference w:id="32"/>
      </w:r>
      <w:r w:rsidRPr="00A6677D">
        <w:rPr>
          <w:rFonts w:ascii="Times New Roman" w:hAnsi="Times New Roman" w:cs="Times New Roman"/>
          <w:sz w:val="24"/>
          <w:szCs w:val="24"/>
        </w:rPr>
        <w:t xml:space="preserve"> NTBs for agri-food sectors are ignored in the simulations for lack of a robust methodology of quantifying these barriers and the impact of their reduction.</w:t>
      </w:r>
      <w:r w:rsidRPr="00A6677D">
        <w:rPr>
          <w:rFonts w:ascii="Times New Roman" w:hAnsi="Times New Roman" w:cs="Times New Roman"/>
          <w:sz w:val="24"/>
          <w:szCs w:val="24"/>
          <w:vertAlign w:val="superscript"/>
        </w:rPr>
        <w:footnoteReference w:id="33"/>
      </w:r>
      <w:r w:rsidRPr="00A6677D">
        <w:rPr>
          <w:rFonts w:ascii="Times New Roman" w:hAnsi="Times New Roman" w:cs="Times New Roman"/>
          <w:sz w:val="24"/>
          <w:szCs w:val="24"/>
        </w:rPr>
        <w:t xml:space="preserve"> As a final amendment to the database, AVEs of TRQs in the meat sector have been corrected in order to more realistically reflect TRQ fill rates. Finally, the tariff rate in the oilseeds sector was corrected based on actual tariff data. </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 xml:space="preserve">Additionally, FTAs that are not reflected in the GTAP database but have been concluded by either of the two partners meanwhile are introduced. </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To introduce such changes into the model, at 2011, a specific closure has been adopted. This closure ensures that the consistency of the database remains after the introduction of these estimates. In other words, since the database contains the “picture of the world trade” at 2011, any change to the data will have broader effects and change other variables from their observed values when the model finds a new equilibrium. The “alter tax” closure overcomes this issue by allowing the introduction of new data minimizing the impacts of the changes on the value flows in the database.</w:t>
      </w:r>
      <w:r w:rsidRPr="00A6677D">
        <w:rPr>
          <w:rFonts w:ascii="Times New Roman" w:hAnsi="Times New Roman" w:cs="Times New Roman"/>
          <w:sz w:val="24"/>
          <w:szCs w:val="24"/>
          <w:vertAlign w:val="superscript"/>
        </w:rPr>
        <w:footnoteReference w:id="34"/>
      </w:r>
      <w:r w:rsidRPr="00A6677D">
        <w:rPr>
          <w:rFonts w:ascii="Times New Roman" w:hAnsi="Times New Roman" w:cs="Times New Roman"/>
          <w:sz w:val="24"/>
          <w:szCs w:val="24"/>
        </w:rPr>
        <w:t xml:space="preserve"> </w:t>
      </w:r>
    </w:p>
    <w:p w:rsidR="00A6677D" w:rsidRDefault="00A6677D" w:rsidP="00A6677D">
      <w:pPr>
        <w:spacing w:after="0" w:line="240" w:lineRule="auto"/>
        <w:jc w:val="both"/>
        <w:rPr>
          <w:rFonts w:ascii="Times New Roman" w:hAnsi="Times New Roman" w:cs="Times New Roman"/>
          <w:sz w:val="24"/>
          <w:szCs w:val="24"/>
        </w:rPr>
      </w:pPr>
    </w:p>
    <w:p w:rsidR="00E257DF" w:rsidRPr="00E257DF" w:rsidRDefault="00E257DF" w:rsidP="00E257DF">
      <w:pPr>
        <w:spacing w:after="0" w:line="240" w:lineRule="auto"/>
        <w:jc w:val="both"/>
        <w:rPr>
          <w:rFonts w:ascii="Times New Roman" w:hAnsi="Times New Roman" w:cs="Times New Roman"/>
          <w:sz w:val="24"/>
          <w:szCs w:val="24"/>
        </w:rPr>
      </w:pPr>
      <w:r w:rsidRPr="00E257DF">
        <w:rPr>
          <w:rFonts w:ascii="Times New Roman" w:hAnsi="Times New Roman" w:cs="Times New Roman"/>
          <w:sz w:val="24"/>
          <w:szCs w:val="24"/>
        </w:rPr>
        <w:t>It is worth noting that a number of agreements are not included in the baseline, and therefore also not in the policy projections. It is not possible to model agreements</w:t>
      </w:r>
      <w:r w:rsidR="00494D84">
        <w:rPr>
          <w:rFonts w:ascii="Times New Roman" w:hAnsi="Times New Roman" w:cs="Times New Roman"/>
          <w:sz w:val="24"/>
          <w:szCs w:val="24"/>
        </w:rPr>
        <w:t xml:space="preserve"> that have not been finalised</w:t>
      </w:r>
      <w:r w:rsidRPr="00E257DF">
        <w:rPr>
          <w:rFonts w:ascii="Times New Roman" w:hAnsi="Times New Roman" w:cs="Times New Roman"/>
          <w:sz w:val="24"/>
          <w:szCs w:val="24"/>
        </w:rPr>
        <w:t>, such as the Regional Comprehensive Economic Partnership (RCEP), the Trade in Services Agreement (TiSA) and Envi</w:t>
      </w:r>
      <w:r>
        <w:rPr>
          <w:rFonts w:ascii="Times New Roman" w:hAnsi="Times New Roman" w:cs="Times New Roman"/>
          <w:sz w:val="24"/>
          <w:szCs w:val="24"/>
        </w:rPr>
        <w:t>ronmental Goods Agreement (EGA). The Governm</w:t>
      </w:r>
      <w:r w:rsidRPr="00E257DF">
        <w:rPr>
          <w:rFonts w:ascii="Times New Roman" w:hAnsi="Times New Roman" w:cs="Times New Roman"/>
          <w:sz w:val="24"/>
          <w:szCs w:val="24"/>
        </w:rPr>
        <w:t>ent Procurement Agreement (GPA)</w:t>
      </w:r>
      <w:r>
        <w:rPr>
          <w:rFonts w:ascii="Times New Roman" w:hAnsi="Times New Roman" w:cs="Times New Roman"/>
          <w:sz w:val="24"/>
          <w:szCs w:val="24"/>
        </w:rPr>
        <w:t xml:space="preserve"> </w:t>
      </w:r>
      <w:r w:rsidRPr="00E257DF">
        <w:rPr>
          <w:rFonts w:ascii="Times New Roman" w:hAnsi="Times New Roman" w:cs="Times New Roman"/>
          <w:sz w:val="24"/>
          <w:szCs w:val="24"/>
        </w:rPr>
        <w:t xml:space="preserve">is not included in the model because there is no reliable methodology for modelling the impact of government procurement issues. The expansion of the Information Technology Agreement, to which all partners are members cannot be modelled, as the final schedule is not yet available. </w:t>
      </w:r>
      <w:r w:rsidRPr="00E257DF">
        <w:rPr>
          <w:rFonts w:ascii="Times New Roman" w:hAnsi="Times New Roman" w:cs="Times New Roman"/>
          <w:sz w:val="24"/>
          <w:szCs w:val="24"/>
          <w:vertAlign w:val="superscript"/>
        </w:rPr>
        <w:footnoteReference w:id="35"/>
      </w:r>
    </w:p>
    <w:p w:rsidR="00E257DF" w:rsidRDefault="00E257DF" w:rsidP="00A6677D">
      <w:pPr>
        <w:spacing w:after="0" w:line="240" w:lineRule="auto"/>
        <w:jc w:val="both"/>
        <w:rPr>
          <w:rFonts w:ascii="Times New Roman" w:hAnsi="Times New Roman" w:cs="Times New Roman"/>
          <w:sz w:val="24"/>
          <w:szCs w:val="24"/>
        </w:rPr>
      </w:pPr>
    </w:p>
    <w:p w:rsidR="00E257DF" w:rsidRPr="00A6677D" w:rsidRDefault="00E257DF"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b/>
          <w:i/>
          <w:sz w:val="24"/>
          <w:szCs w:val="24"/>
          <w:u w:val="single"/>
        </w:rPr>
      </w:pPr>
      <w:r w:rsidRPr="00A6677D">
        <w:rPr>
          <w:rFonts w:ascii="Times New Roman" w:hAnsi="Times New Roman" w:cs="Times New Roman"/>
          <w:b/>
          <w:i/>
          <w:sz w:val="24"/>
          <w:szCs w:val="24"/>
          <w:u w:val="single"/>
        </w:rPr>
        <w:t>Step 2: Updating database to long term</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Macro variables, GDP, population and labour force (skilled and unskilled) have been updated to 2025:</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numPr>
          <w:ilvl w:val="0"/>
          <w:numId w:val="4"/>
        </w:num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GDP from the World Bank. To shock the GDP, usually endogenous, a standard swap with Total Factor Productivity has been implemented</w:t>
      </w:r>
    </w:p>
    <w:p w:rsidR="00A6677D" w:rsidRPr="00A6677D" w:rsidRDefault="00A6677D" w:rsidP="00A6677D">
      <w:pPr>
        <w:numPr>
          <w:ilvl w:val="0"/>
          <w:numId w:val="4"/>
        </w:numPr>
        <w:spacing w:after="0" w:line="240" w:lineRule="auto"/>
        <w:jc w:val="both"/>
        <w:rPr>
          <w:rFonts w:ascii="Times New Roman" w:hAnsi="Times New Roman" w:cs="Times New Roman"/>
          <w:sz w:val="24"/>
          <w:szCs w:val="24"/>
          <w:lang w:val="en-US"/>
        </w:rPr>
      </w:pPr>
      <w:r w:rsidRPr="00A6677D">
        <w:rPr>
          <w:rFonts w:ascii="Times New Roman" w:hAnsi="Times New Roman" w:cs="Times New Roman"/>
          <w:sz w:val="24"/>
          <w:szCs w:val="24"/>
          <w:lang w:val="en-US"/>
        </w:rPr>
        <w:t>Population from the ILO</w:t>
      </w:r>
    </w:p>
    <w:p w:rsidR="00A6677D" w:rsidRPr="00A6677D" w:rsidRDefault="00A6677D" w:rsidP="00A6677D">
      <w:pPr>
        <w:numPr>
          <w:ilvl w:val="0"/>
          <w:numId w:val="4"/>
        </w:num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Labour force from the ILO; The respective shares of skilled and unskilled labour CEPII</w:t>
      </w:r>
    </w:p>
    <w:p w:rsidR="00A6677D" w:rsidRPr="00A6677D" w:rsidRDefault="00A6677D" w:rsidP="00A6677D">
      <w:pPr>
        <w:numPr>
          <w:ilvl w:val="0"/>
          <w:numId w:val="4"/>
        </w:num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Small increase in natural resources to reflect the developments around shale gas technology</w:t>
      </w:r>
    </w:p>
    <w:p w:rsidR="00A6677D" w:rsidRPr="00A6677D" w:rsidRDefault="00A6677D" w:rsidP="00A6677D">
      <w:pPr>
        <w:numPr>
          <w:ilvl w:val="0"/>
          <w:numId w:val="4"/>
        </w:num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A productivity growth for energy inputs reflecting the implementation of the Kyoto and Paris agreements</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b/>
          <w:sz w:val="24"/>
          <w:szCs w:val="24"/>
          <w:u w:val="single"/>
        </w:rPr>
      </w:pPr>
      <w:r w:rsidRPr="00A6677D">
        <w:rPr>
          <w:rFonts w:ascii="Times New Roman" w:hAnsi="Times New Roman" w:cs="Times New Roman"/>
          <w:b/>
          <w:sz w:val="24"/>
          <w:szCs w:val="24"/>
          <w:u w:val="single"/>
        </w:rPr>
        <w:t>SCENARIOS</w:t>
      </w:r>
    </w:p>
    <w:p w:rsidR="00A6677D" w:rsidRPr="00A6677D" w:rsidRDefault="00A6677D" w:rsidP="00A6677D">
      <w:pPr>
        <w:spacing w:after="0" w:line="240" w:lineRule="auto"/>
        <w:jc w:val="both"/>
        <w:rPr>
          <w:rFonts w:ascii="Times New Roman" w:hAnsi="Times New Roman" w:cs="Times New Roman"/>
          <w:sz w:val="24"/>
          <w:szCs w:val="24"/>
        </w:rPr>
      </w:pPr>
    </w:p>
    <w:p w:rsid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 xml:space="preserve">In order to simulate a modernisation of the FTA between EU and Chile, two scenarios have been simulated, labelled “Conservative” and “Ambitious”. </w:t>
      </w:r>
    </w:p>
    <w:p w:rsidR="00080011" w:rsidRPr="00A6677D" w:rsidRDefault="00080011" w:rsidP="00A6677D">
      <w:pPr>
        <w:spacing w:after="0" w:line="240" w:lineRule="auto"/>
        <w:jc w:val="both"/>
        <w:rPr>
          <w:rFonts w:ascii="Times New Roman" w:hAnsi="Times New Roman" w:cs="Times New Roman"/>
          <w:sz w:val="24"/>
          <w:szCs w:val="24"/>
        </w:rPr>
      </w:pPr>
    </w:p>
    <w:p w:rsid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In both of these scenarios, tariffs in the NAMA and most agricultural sectors are reduced to zero. However, liberalization assumptions differ in other categories:</w:t>
      </w:r>
    </w:p>
    <w:p w:rsidR="00080011" w:rsidRPr="00A6677D" w:rsidRDefault="00080011" w:rsidP="00A6677D">
      <w:pPr>
        <w:spacing w:after="0" w:line="240" w:lineRule="auto"/>
        <w:jc w:val="both"/>
        <w:rPr>
          <w:rFonts w:ascii="Times New Roman" w:hAnsi="Times New Roman" w:cs="Times New Roman"/>
          <w:sz w:val="24"/>
          <w:szCs w:val="24"/>
        </w:rPr>
      </w:pPr>
    </w:p>
    <w:p w:rsid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Agricultural TRQs upon import into the EU, simulated by an AVE tariff (cf. above), are left unchanged in the first scenario, but abolished, (i.e. the corresponding AVE tariff reduced to zero) along with tariffs in the second scenario (“Ambitious”).</w:t>
      </w:r>
    </w:p>
    <w:p w:rsidR="00080011" w:rsidRPr="00A6677D" w:rsidRDefault="00080011" w:rsidP="00A6677D">
      <w:pPr>
        <w:spacing w:after="0" w:line="240" w:lineRule="auto"/>
        <w:jc w:val="both"/>
        <w:rPr>
          <w:rFonts w:ascii="Times New Roman" w:hAnsi="Times New Roman" w:cs="Times New Roman"/>
          <w:sz w:val="24"/>
          <w:szCs w:val="24"/>
        </w:rPr>
      </w:pPr>
    </w:p>
    <w:p w:rsid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 xml:space="preserve">AVE of NAMA NTBs are reduced by 5% in the first scenario of their values in literature for EU exports to Chile. This increases to 10% in the second scenario (“Ambitious”). </w:t>
      </w:r>
      <w:r w:rsidRPr="00A6677D">
        <w:rPr>
          <w:rFonts w:ascii="Times New Roman" w:hAnsi="Times New Roman"/>
          <w:sz w:val="24"/>
          <w:szCs w:val="24"/>
        </w:rPr>
        <w:t>For imports from Chile to the EU,</w:t>
      </w:r>
      <w:r w:rsidRPr="00A6677D">
        <w:rPr>
          <w:rFonts w:ascii="Times New Roman" w:hAnsi="Times New Roman"/>
          <w:color w:val="1F497D"/>
          <w:sz w:val="24"/>
          <w:szCs w:val="24"/>
        </w:rPr>
        <w:t xml:space="preserve"> </w:t>
      </w:r>
      <w:r w:rsidRPr="00A6677D">
        <w:rPr>
          <w:rFonts w:ascii="Times New Roman" w:hAnsi="Times New Roman"/>
          <w:sz w:val="24"/>
          <w:szCs w:val="24"/>
        </w:rPr>
        <w:t>no NTB reductions are simulated. The reason for this assumed asymmetry is twofold. First, EU barriers in key NAMA sectors are already rather low vis-a-vis the two countries</w:t>
      </w:r>
      <w:r w:rsidRPr="00A6677D">
        <w:rPr>
          <w:rFonts w:ascii="Times New Roman" w:hAnsi="Times New Roman" w:cs="Times New Roman"/>
          <w:sz w:val="24"/>
          <w:szCs w:val="24"/>
        </w:rPr>
        <w:t>.</w:t>
      </w:r>
      <w:r w:rsidRPr="00A6677D">
        <w:rPr>
          <w:rFonts w:ascii="Times New Roman" w:hAnsi="Times New Roman" w:cs="Times New Roman"/>
          <w:sz w:val="24"/>
          <w:szCs w:val="24"/>
          <w:vertAlign w:val="superscript"/>
        </w:rPr>
        <w:footnoteReference w:id="36"/>
      </w:r>
      <w:r w:rsidRPr="00A6677D">
        <w:rPr>
          <w:rFonts w:ascii="Times New Roman" w:hAnsi="Times New Roman" w:cs="Times New Roman"/>
          <w:sz w:val="24"/>
          <w:szCs w:val="24"/>
        </w:rPr>
        <w:t xml:space="preserve"> Second, past experience shows that as a result of NAMA negotiations, small partners are more likely to adapt their internal regulation than large partners like the EU.</w:t>
      </w:r>
    </w:p>
    <w:p w:rsidR="00080011" w:rsidRPr="00A6677D" w:rsidRDefault="00080011" w:rsidP="00A6677D">
      <w:pPr>
        <w:spacing w:after="0" w:line="240" w:lineRule="auto"/>
        <w:jc w:val="both"/>
        <w:rPr>
          <w:rFonts w:ascii="Times New Roman" w:hAnsi="Times New Roman" w:cs="Times New Roman"/>
          <w:sz w:val="24"/>
          <w:szCs w:val="24"/>
        </w:rPr>
      </w:pPr>
    </w:p>
    <w:p w:rsid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For services, liberalization of NTBs also follows an asymmetric approach. In the first scenario, a 1% AVE cut is introduced for EU exports to Chile, but no cut for EU imports from Chile is simulated. In the second scenario, a 3% AVE cut is introduced for EU exports to Chile, and a 1% cut for EU imports from Chile.</w:t>
      </w:r>
    </w:p>
    <w:p w:rsidR="00080011" w:rsidRPr="00A6677D" w:rsidRDefault="00080011"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In both scenarios, these cuts are embodying the effect of binding of existing liberalization. The starting point for the approach is the observation that FTA negotiations usually lead to only a binding of the existing level of liberalization in services trade (for the cases where this level is lower than the GATS commitments) as opposed to achieving new market access. However the insurance policy effect of binding current levels of liberalization has a positive effect on services trade, equivalent to some degree of ‘real’ market access. The methodology applied for this and other IA simulations aims to translate this insurance effect into liberalization parameter for CGE modelling. In an earlier study</w:t>
      </w:r>
      <w:r w:rsidRPr="00A6677D">
        <w:rPr>
          <w:rFonts w:ascii="Times New Roman" w:hAnsi="Times New Roman" w:cs="Times New Roman"/>
          <w:sz w:val="24"/>
          <w:szCs w:val="24"/>
          <w:vertAlign w:val="superscript"/>
        </w:rPr>
        <w:footnoteReference w:id="37"/>
      </w:r>
      <w:r w:rsidRPr="00A6677D">
        <w:rPr>
          <w:rFonts w:ascii="Times New Roman" w:hAnsi="Times New Roman" w:cs="Times New Roman"/>
          <w:sz w:val="24"/>
          <w:szCs w:val="24"/>
        </w:rPr>
        <w:t xml:space="preserve"> such ‘binding’ has been quantified as being equivalent to a reduction of 3% in services barriers for the DDA negotiations among 46 participating countries. </w:t>
      </w:r>
    </w:p>
    <w:p w:rsidR="00A6677D" w:rsidRPr="00A6677D" w:rsidRDefault="00A6677D" w:rsidP="00A6677D">
      <w:pPr>
        <w:spacing w:after="0" w:line="240" w:lineRule="auto"/>
        <w:jc w:val="both"/>
        <w:rPr>
          <w:rFonts w:cs="Times New Roman"/>
        </w:rPr>
      </w:pPr>
    </w:p>
    <w:p w:rsidR="00F0331D" w:rsidRDefault="00F0331D" w:rsidP="00A6677D">
      <w:pPr>
        <w:spacing w:after="0" w:line="240" w:lineRule="auto"/>
        <w:jc w:val="both"/>
        <w:rPr>
          <w:rFonts w:ascii="Times New Roman" w:hAnsi="Times New Roman" w:cs="Times New Roman"/>
          <w:b/>
          <w:sz w:val="24"/>
          <w:szCs w:val="24"/>
          <w:u w:val="single"/>
        </w:rPr>
      </w:pPr>
    </w:p>
    <w:p w:rsidR="00A6677D" w:rsidRPr="00A6677D" w:rsidRDefault="00A6677D" w:rsidP="00A6677D">
      <w:pPr>
        <w:spacing w:after="0" w:line="240" w:lineRule="auto"/>
        <w:jc w:val="both"/>
        <w:rPr>
          <w:rFonts w:ascii="Times New Roman" w:hAnsi="Times New Roman" w:cs="Times New Roman"/>
          <w:b/>
          <w:sz w:val="24"/>
          <w:szCs w:val="24"/>
          <w:u w:val="single"/>
        </w:rPr>
      </w:pPr>
      <w:r w:rsidRPr="00A6677D">
        <w:rPr>
          <w:rFonts w:ascii="Times New Roman" w:hAnsi="Times New Roman" w:cs="Times New Roman"/>
          <w:b/>
          <w:sz w:val="24"/>
          <w:szCs w:val="24"/>
          <w:u w:val="single"/>
        </w:rPr>
        <w:t>RESULTS</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GDP and welfare gains of the EU and Chile, which are extensively discussed in section 5.4 of the main report, are presented in table 1 of this annex. At this point it may be useful to mention that the database of the model is compiled in US dollars. Results for the end of the projection period (2025) are converted in Euros by the ECB/Eurostat rate recorded for 2015.</w:t>
      </w:r>
    </w:p>
    <w:p w:rsidR="00A6677D" w:rsidRPr="00A6677D" w:rsidRDefault="00A6677D" w:rsidP="00A6677D">
      <w:pPr>
        <w:spacing w:after="0" w:line="240" w:lineRule="auto"/>
        <w:jc w:val="both"/>
        <w:rPr>
          <w:rFonts w:ascii="Times New Roman" w:hAnsi="Times New Roman" w:cs="Times New Roman"/>
          <w:sz w:val="24"/>
          <w:szCs w:val="24"/>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F0331D" w:rsidRDefault="00F0331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r w:rsidRPr="00A6677D">
        <w:rPr>
          <w:rFonts w:ascii="Times New Roman" w:eastAsia="Times New Roman" w:hAnsi="Times New Roman" w:cs="Times New Roman"/>
          <w:b/>
          <w:color w:val="000000"/>
          <w:sz w:val="24"/>
          <w:szCs w:val="24"/>
          <w:lang w:eastAsia="en-GB"/>
        </w:rPr>
        <w:t xml:space="preserve">Table </w:t>
      </w:r>
      <w:r w:rsidRPr="00A6677D">
        <w:rPr>
          <w:rFonts w:ascii="Times New Roman" w:eastAsia="Times New Roman" w:hAnsi="Times New Roman" w:cs="Times New Roman"/>
          <w:b/>
          <w:color w:val="000000"/>
          <w:sz w:val="24"/>
          <w:szCs w:val="24"/>
          <w:lang w:eastAsia="en-GB"/>
        </w:rPr>
        <w:fldChar w:fldCharType="begin"/>
      </w:r>
      <w:r w:rsidRPr="00A6677D">
        <w:rPr>
          <w:rFonts w:ascii="Times New Roman" w:eastAsia="Times New Roman" w:hAnsi="Times New Roman" w:cs="Times New Roman"/>
          <w:b/>
          <w:color w:val="000000"/>
          <w:sz w:val="24"/>
          <w:szCs w:val="24"/>
          <w:lang w:eastAsia="en-GB"/>
        </w:rPr>
        <w:instrText xml:space="preserve"> SEQ Table \* ARABIC </w:instrText>
      </w:r>
      <w:r w:rsidRPr="00A6677D">
        <w:rPr>
          <w:rFonts w:ascii="Times New Roman" w:eastAsia="Times New Roman" w:hAnsi="Times New Roman" w:cs="Times New Roman"/>
          <w:b/>
          <w:color w:val="000000"/>
          <w:sz w:val="24"/>
          <w:szCs w:val="24"/>
          <w:lang w:eastAsia="en-GB"/>
        </w:rPr>
        <w:fldChar w:fldCharType="separate"/>
      </w:r>
      <w:r w:rsidR="0069539B">
        <w:rPr>
          <w:rFonts w:ascii="Times New Roman" w:eastAsia="Times New Roman" w:hAnsi="Times New Roman" w:cs="Times New Roman"/>
          <w:b/>
          <w:noProof/>
          <w:color w:val="000000"/>
          <w:sz w:val="24"/>
          <w:szCs w:val="24"/>
          <w:lang w:eastAsia="en-GB"/>
        </w:rPr>
        <w:t>1</w:t>
      </w:r>
      <w:r w:rsidRPr="00A6677D">
        <w:rPr>
          <w:rFonts w:ascii="Times New Roman" w:eastAsia="Times New Roman" w:hAnsi="Times New Roman" w:cs="Times New Roman"/>
          <w:b/>
          <w:color w:val="000000"/>
          <w:sz w:val="24"/>
          <w:szCs w:val="24"/>
          <w:lang w:eastAsia="en-GB"/>
        </w:rPr>
        <w:fldChar w:fldCharType="end"/>
      </w:r>
      <w:r w:rsidRPr="00A6677D">
        <w:rPr>
          <w:rFonts w:ascii="Times New Roman" w:eastAsia="Times New Roman" w:hAnsi="Times New Roman" w:cs="Times New Roman"/>
          <w:b/>
          <w:color w:val="000000"/>
          <w:sz w:val="24"/>
          <w:szCs w:val="24"/>
          <w:lang w:eastAsia="en-GB"/>
        </w:rPr>
        <w:t>: GDP and welfare results (long term)</w:t>
      </w:r>
    </w:p>
    <w:tbl>
      <w:tblPr>
        <w:tblW w:w="0" w:type="auto"/>
        <w:tblLayout w:type="fixed"/>
        <w:tblLook w:val="04A0" w:firstRow="1" w:lastRow="0" w:firstColumn="1" w:lastColumn="0" w:noHBand="0" w:noVBand="1"/>
      </w:tblPr>
      <w:tblGrid>
        <w:gridCol w:w="2074"/>
        <w:gridCol w:w="3665"/>
        <w:gridCol w:w="757"/>
        <w:gridCol w:w="1386"/>
      </w:tblGrid>
      <w:tr w:rsidR="00A6677D" w:rsidRPr="00A6677D" w:rsidTr="00080011">
        <w:trPr>
          <w:trHeight w:val="305"/>
        </w:trPr>
        <w:tc>
          <w:tcPr>
            <w:tcW w:w="2074" w:type="dxa"/>
            <w:tcBorders>
              <w:top w:val="single" w:sz="4" w:space="0" w:color="auto"/>
              <w:left w:val="single" w:sz="4" w:space="0" w:color="auto"/>
              <w:bottom w:val="nil"/>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b/>
                <w:color w:val="000000"/>
                <w:sz w:val="20"/>
                <w:szCs w:val="20"/>
                <w:lang w:eastAsia="en-GB"/>
              </w:rPr>
            </w:pPr>
            <w:r w:rsidRPr="00080011">
              <w:rPr>
                <w:rFonts w:ascii="Times New Roman" w:eastAsia="Times New Roman" w:hAnsi="Times New Roman" w:cs="Times New Roman"/>
                <w:b/>
                <w:color w:val="000000"/>
                <w:sz w:val="20"/>
                <w:szCs w:val="20"/>
                <w:lang w:eastAsia="en-GB"/>
              </w:rPr>
              <w:t>Variable</w:t>
            </w:r>
          </w:p>
        </w:tc>
        <w:tc>
          <w:tcPr>
            <w:tcW w:w="3665" w:type="dxa"/>
            <w:tcBorders>
              <w:top w:val="single" w:sz="4" w:space="0" w:color="auto"/>
              <w:left w:val="nil"/>
              <w:bottom w:val="single" w:sz="6" w:space="0" w:color="auto"/>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b/>
                <w:color w:val="000000"/>
                <w:sz w:val="20"/>
                <w:szCs w:val="20"/>
                <w:lang w:eastAsia="en-GB"/>
              </w:rPr>
              <w:t>Scenario</w:t>
            </w:r>
          </w:p>
        </w:tc>
        <w:tc>
          <w:tcPr>
            <w:tcW w:w="757" w:type="dxa"/>
            <w:tcBorders>
              <w:top w:val="single" w:sz="4" w:space="0" w:color="auto"/>
              <w:left w:val="nil"/>
              <w:bottom w:val="single" w:sz="6" w:space="0" w:color="auto"/>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b/>
                <w:bCs/>
                <w:color w:val="000000"/>
                <w:sz w:val="20"/>
                <w:szCs w:val="20"/>
                <w:lang w:eastAsia="en-GB"/>
              </w:rPr>
            </w:pPr>
            <w:r w:rsidRPr="00080011">
              <w:rPr>
                <w:rFonts w:ascii="Times New Roman" w:eastAsia="Times New Roman" w:hAnsi="Times New Roman" w:cs="Times New Roman"/>
                <w:b/>
                <w:bCs/>
                <w:color w:val="000000"/>
                <w:sz w:val="20"/>
                <w:szCs w:val="20"/>
                <w:lang w:eastAsia="en-GB"/>
              </w:rPr>
              <w:t>EU</w:t>
            </w:r>
          </w:p>
        </w:tc>
        <w:tc>
          <w:tcPr>
            <w:tcW w:w="1386" w:type="dxa"/>
            <w:tcBorders>
              <w:top w:val="single" w:sz="4" w:space="0" w:color="auto"/>
              <w:left w:val="nil"/>
              <w:bottom w:val="single" w:sz="6" w:space="0" w:color="auto"/>
              <w:right w:val="single" w:sz="4" w:space="0" w:color="auto"/>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b/>
                <w:bCs/>
                <w:color w:val="000000"/>
                <w:sz w:val="20"/>
                <w:szCs w:val="20"/>
                <w:lang w:eastAsia="en-GB"/>
              </w:rPr>
            </w:pPr>
            <w:r w:rsidRPr="00080011">
              <w:rPr>
                <w:rFonts w:ascii="Times New Roman" w:eastAsia="Times New Roman" w:hAnsi="Times New Roman" w:cs="Times New Roman"/>
                <w:b/>
                <w:bCs/>
                <w:color w:val="000000"/>
                <w:sz w:val="20"/>
                <w:szCs w:val="20"/>
                <w:lang w:eastAsia="en-GB"/>
              </w:rPr>
              <w:t>Chile</w:t>
            </w:r>
          </w:p>
        </w:tc>
      </w:tr>
      <w:tr w:rsidR="00A6677D" w:rsidRPr="00A6677D" w:rsidTr="00080011">
        <w:trPr>
          <w:trHeight w:val="290"/>
        </w:trPr>
        <w:tc>
          <w:tcPr>
            <w:tcW w:w="2074" w:type="dxa"/>
            <w:vMerge w:val="restart"/>
            <w:tcBorders>
              <w:top w:val="single" w:sz="6" w:space="0" w:color="auto"/>
              <w:left w:val="single" w:sz="4" w:space="0" w:color="auto"/>
              <w:bottom w:val="nil"/>
              <w:right w:val="nil"/>
            </w:tcBorders>
            <w:vAlign w:val="center"/>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b/>
                <w:color w:val="000000"/>
                <w:sz w:val="20"/>
                <w:szCs w:val="20"/>
                <w:lang w:eastAsia="en-GB"/>
              </w:rPr>
            </w:pPr>
            <w:r w:rsidRPr="00080011">
              <w:rPr>
                <w:rFonts w:ascii="Times New Roman" w:eastAsia="Times New Roman" w:hAnsi="Times New Roman" w:cs="Times New Roman"/>
                <w:b/>
                <w:color w:val="000000"/>
                <w:sz w:val="20"/>
                <w:szCs w:val="20"/>
                <w:lang w:eastAsia="en-GB"/>
              </w:rPr>
              <w:t xml:space="preserve">GDP </w:t>
            </w:r>
            <w:r w:rsidRPr="00080011">
              <w:rPr>
                <w:rFonts w:ascii="Times New Roman" w:eastAsia="Times New Roman" w:hAnsi="Times New Roman" w:cs="Times New Roman"/>
                <w:b/>
                <w:color w:val="000000"/>
                <w:sz w:val="20"/>
                <w:szCs w:val="20"/>
                <w:lang w:eastAsia="en-GB"/>
              </w:rPr>
              <w:br/>
              <w:t>(% change)</w:t>
            </w:r>
          </w:p>
        </w:tc>
        <w:tc>
          <w:tcPr>
            <w:tcW w:w="3665" w:type="dxa"/>
            <w:tcBorders>
              <w:top w:val="single" w:sz="6" w:space="0" w:color="auto"/>
              <w:left w:val="nil"/>
              <w:bottom w:val="nil"/>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Conservative</w:t>
            </w:r>
          </w:p>
        </w:tc>
        <w:tc>
          <w:tcPr>
            <w:tcW w:w="757" w:type="dxa"/>
            <w:tcBorders>
              <w:top w:val="single" w:sz="6" w:space="0" w:color="auto"/>
              <w:left w:val="nil"/>
              <w:bottom w:val="nil"/>
              <w:right w:val="nil"/>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0.001</w:t>
            </w:r>
          </w:p>
        </w:tc>
        <w:tc>
          <w:tcPr>
            <w:tcW w:w="1386" w:type="dxa"/>
            <w:tcBorders>
              <w:top w:val="single" w:sz="6" w:space="0" w:color="auto"/>
              <w:left w:val="nil"/>
              <w:bottom w:val="nil"/>
              <w:right w:val="single" w:sz="4" w:space="0" w:color="auto"/>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0.090</w:t>
            </w:r>
          </w:p>
        </w:tc>
      </w:tr>
      <w:tr w:rsidR="00A6677D" w:rsidRPr="00A6677D" w:rsidTr="00080011">
        <w:trPr>
          <w:trHeight w:val="226"/>
        </w:trPr>
        <w:tc>
          <w:tcPr>
            <w:tcW w:w="2074" w:type="dxa"/>
            <w:vMerge/>
            <w:tcBorders>
              <w:top w:val="single" w:sz="6" w:space="0" w:color="auto"/>
              <w:left w:val="single" w:sz="4" w:space="0" w:color="auto"/>
              <w:bottom w:val="nil"/>
              <w:right w:val="nil"/>
            </w:tcBorders>
            <w:vAlign w:val="center"/>
            <w:hideMark/>
          </w:tcPr>
          <w:p w:rsidR="00A6677D" w:rsidRPr="00080011" w:rsidRDefault="00A6677D" w:rsidP="00080011">
            <w:pPr>
              <w:spacing w:after="0" w:line="240" w:lineRule="auto"/>
              <w:jc w:val="center"/>
              <w:rPr>
                <w:rFonts w:ascii="Times New Roman" w:eastAsia="Times New Roman" w:hAnsi="Times New Roman" w:cs="Times New Roman"/>
                <w:b/>
                <w:color w:val="000000"/>
                <w:sz w:val="20"/>
                <w:szCs w:val="20"/>
                <w:lang w:eastAsia="en-GB"/>
              </w:rPr>
            </w:pPr>
          </w:p>
        </w:tc>
        <w:tc>
          <w:tcPr>
            <w:tcW w:w="3665" w:type="dxa"/>
            <w:tcBorders>
              <w:top w:val="nil"/>
              <w:left w:val="nil"/>
              <w:bottom w:val="single" w:sz="6" w:space="0" w:color="auto"/>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Ambitious</w:t>
            </w:r>
          </w:p>
        </w:tc>
        <w:tc>
          <w:tcPr>
            <w:tcW w:w="757" w:type="dxa"/>
            <w:tcBorders>
              <w:top w:val="nil"/>
              <w:left w:val="nil"/>
              <w:bottom w:val="single" w:sz="6" w:space="0" w:color="auto"/>
              <w:right w:val="nil"/>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0.002</w:t>
            </w:r>
          </w:p>
        </w:tc>
        <w:tc>
          <w:tcPr>
            <w:tcW w:w="1386" w:type="dxa"/>
            <w:tcBorders>
              <w:top w:val="nil"/>
              <w:left w:val="nil"/>
              <w:bottom w:val="single" w:sz="6" w:space="0" w:color="auto"/>
              <w:right w:val="single" w:sz="4" w:space="0" w:color="auto"/>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0.175</w:t>
            </w:r>
          </w:p>
        </w:tc>
      </w:tr>
      <w:tr w:rsidR="00A6677D" w:rsidRPr="00A6677D" w:rsidTr="00080011">
        <w:trPr>
          <w:trHeight w:val="290"/>
        </w:trPr>
        <w:tc>
          <w:tcPr>
            <w:tcW w:w="2074" w:type="dxa"/>
            <w:vMerge w:val="restart"/>
            <w:tcBorders>
              <w:top w:val="single" w:sz="6" w:space="0" w:color="auto"/>
              <w:left w:val="single" w:sz="4" w:space="0" w:color="auto"/>
              <w:bottom w:val="nil"/>
              <w:right w:val="nil"/>
            </w:tcBorders>
            <w:vAlign w:val="center"/>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b/>
                <w:color w:val="000000"/>
                <w:sz w:val="20"/>
                <w:szCs w:val="20"/>
                <w:lang w:eastAsia="en-GB"/>
              </w:rPr>
            </w:pPr>
            <w:r w:rsidRPr="00080011">
              <w:rPr>
                <w:rFonts w:ascii="Times New Roman" w:eastAsia="Times New Roman" w:hAnsi="Times New Roman" w:cs="Times New Roman"/>
                <w:b/>
                <w:color w:val="000000"/>
                <w:sz w:val="20"/>
                <w:szCs w:val="20"/>
                <w:lang w:eastAsia="en-GB"/>
              </w:rPr>
              <w:t xml:space="preserve">GDP gain </w:t>
            </w:r>
            <w:r w:rsidRPr="00080011">
              <w:rPr>
                <w:rFonts w:ascii="Times New Roman" w:eastAsia="Times New Roman" w:hAnsi="Times New Roman" w:cs="Times New Roman"/>
                <w:b/>
                <w:color w:val="000000"/>
                <w:sz w:val="20"/>
                <w:szCs w:val="20"/>
                <w:lang w:eastAsia="en-GB"/>
              </w:rPr>
              <w:br/>
              <w:t>(€ million*)</w:t>
            </w:r>
          </w:p>
        </w:tc>
        <w:tc>
          <w:tcPr>
            <w:tcW w:w="3665" w:type="dxa"/>
            <w:tcBorders>
              <w:top w:val="single" w:sz="6" w:space="0" w:color="auto"/>
              <w:left w:val="nil"/>
              <w:bottom w:val="nil"/>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Conservative</w:t>
            </w:r>
          </w:p>
        </w:tc>
        <w:tc>
          <w:tcPr>
            <w:tcW w:w="757" w:type="dxa"/>
            <w:tcBorders>
              <w:top w:val="single" w:sz="6" w:space="0" w:color="auto"/>
              <w:left w:val="nil"/>
              <w:bottom w:val="nil"/>
              <w:right w:val="nil"/>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196</w:t>
            </w:r>
          </w:p>
        </w:tc>
        <w:tc>
          <w:tcPr>
            <w:tcW w:w="1386" w:type="dxa"/>
            <w:tcBorders>
              <w:top w:val="single" w:sz="6" w:space="0" w:color="auto"/>
              <w:left w:val="nil"/>
              <w:bottom w:val="nil"/>
              <w:right w:val="single" w:sz="4" w:space="0" w:color="auto"/>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304</w:t>
            </w:r>
          </w:p>
        </w:tc>
      </w:tr>
      <w:tr w:rsidR="00A6677D" w:rsidRPr="00A6677D" w:rsidTr="00080011">
        <w:trPr>
          <w:trHeight w:val="106"/>
        </w:trPr>
        <w:tc>
          <w:tcPr>
            <w:tcW w:w="2074" w:type="dxa"/>
            <w:vMerge/>
            <w:tcBorders>
              <w:top w:val="single" w:sz="6" w:space="0" w:color="auto"/>
              <w:left w:val="single" w:sz="4" w:space="0" w:color="auto"/>
              <w:bottom w:val="nil"/>
              <w:right w:val="nil"/>
            </w:tcBorders>
            <w:vAlign w:val="center"/>
            <w:hideMark/>
          </w:tcPr>
          <w:p w:rsidR="00A6677D" w:rsidRPr="00080011" w:rsidRDefault="00A6677D" w:rsidP="00080011">
            <w:pPr>
              <w:spacing w:after="0" w:line="240" w:lineRule="auto"/>
              <w:jc w:val="center"/>
              <w:rPr>
                <w:rFonts w:ascii="Times New Roman" w:eastAsia="Times New Roman" w:hAnsi="Times New Roman" w:cs="Times New Roman"/>
                <w:b/>
                <w:color w:val="000000"/>
                <w:sz w:val="20"/>
                <w:szCs w:val="20"/>
                <w:lang w:eastAsia="en-GB"/>
              </w:rPr>
            </w:pPr>
          </w:p>
        </w:tc>
        <w:tc>
          <w:tcPr>
            <w:tcW w:w="3665" w:type="dxa"/>
            <w:tcBorders>
              <w:top w:val="nil"/>
              <w:left w:val="nil"/>
              <w:bottom w:val="single" w:sz="6" w:space="0" w:color="auto"/>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Ambitious</w:t>
            </w:r>
          </w:p>
        </w:tc>
        <w:tc>
          <w:tcPr>
            <w:tcW w:w="757" w:type="dxa"/>
            <w:tcBorders>
              <w:top w:val="nil"/>
              <w:left w:val="nil"/>
              <w:bottom w:val="single" w:sz="6" w:space="0" w:color="auto"/>
              <w:right w:val="nil"/>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391</w:t>
            </w:r>
          </w:p>
        </w:tc>
        <w:tc>
          <w:tcPr>
            <w:tcW w:w="1386" w:type="dxa"/>
            <w:tcBorders>
              <w:top w:val="nil"/>
              <w:left w:val="nil"/>
              <w:bottom w:val="single" w:sz="6" w:space="0" w:color="auto"/>
              <w:right w:val="single" w:sz="4" w:space="0" w:color="auto"/>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592</w:t>
            </w:r>
          </w:p>
        </w:tc>
      </w:tr>
      <w:tr w:rsidR="00A6677D" w:rsidRPr="00A6677D" w:rsidTr="00080011">
        <w:trPr>
          <w:trHeight w:val="305"/>
        </w:trPr>
        <w:tc>
          <w:tcPr>
            <w:tcW w:w="2074" w:type="dxa"/>
            <w:vMerge w:val="restart"/>
            <w:tcBorders>
              <w:top w:val="single" w:sz="6" w:space="0" w:color="auto"/>
              <w:left w:val="single" w:sz="4" w:space="0" w:color="auto"/>
              <w:bottom w:val="single" w:sz="6" w:space="0" w:color="auto"/>
              <w:right w:val="nil"/>
            </w:tcBorders>
            <w:vAlign w:val="center"/>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b/>
                <w:color w:val="000000"/>
                <w:sz w:val="20"/>
                <w:szCs w:val="20"/>
                <w:lang w:eastAsia="en-GB"/>
              </w:rPr>
            </w:pPr>
            <w:r w:rsidRPr="00080011">
              <w:rPr>
                <w:rFonts w:ascii="Times New Roman" w:eastAsia="Times New Roman" w:hAnsi="Times New Roman" w:cs="Times New Roman"/>
                <w:b/>
                <w:color w:val="000000"/>
                <w:sz w:val="20"/>
                <w:szCs w:val="20"/>
                <w:lang w:eastAsia="en-GB"/>
              </w:rPr>
              <w:t xml:space="preserve">Welfare gain </w:t>
            </w:r>
            <w:r w:rsidRPr="00080011">
              <w:rPr>
                <w:rFonts w:ascii="Times New Roman" w:eastAsia="Times New Roman" w:hAnsi="Times New Roman" w:cs="Times New Roman"/>
                <w:b/>
                <w:color w:val="000000"/>
                <w:sz w:val="20"/>
                <w:szCs w:val="20"/>
                <w:lang w:eastAsia="en-GB"/>
              </w:rPr>
              <w:br/>
              <w:t>(€ million*)</w:t>
            </w:r>
          </w:p>
        </w:tc>
        <w:tc>
          <w:tcPr>
            <w:tcW w:w="3665" w:type="dxa"/>
            <w:tcBorders>
              <w:top w:val="single" w:sz="6" w:space="0" w:color="auto"/>
              <w:left w:val="nil"/>
              <w:bottom w:val="nil"/>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Conservative</w:t>
            </w:r>
          </w:p>
        </w:tc>
        <w:tc>
          <w:tcPr>
            <w:tcW w:w="757" w:type="dxa"/>
            <w:tcBorders>
              <w:top w:val="single" w:sz="6" w:space="0" w:color="auto"/>
              <w:left w:val="nil"/>
              <w:bottom w:val="nil"/>
              <w:right w:val="nil"/>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269</w:t>
            </w:r>
          </w:p>
        </w:tc>
        <w:tc>
          <w:tcPr>
            <w:tcW w:w="1386" w:type="dxa"/>
            <w:tcBorders>
              <w:top w:val="single" w:sz="6" w:space="0" w:color="auto"/>
              <w:left w:val="nil"/>
              <w:bottom w:val="nil"/>
              <w:right w:val="single" w:sz="4" w:space="0" w:color="auto"/>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369</w:t>
            </w:r>
          </w:p>
        </w:tc>
      </w:tr>
      <w:tr w:rsidR="00A6677D" w:rsidRPr="00A6677D" w:rsidTr="00080011">
        <w:trPr>
          <w:trHeight w:val="156"/>
        </w:trPr>
        <w:tc>
          <w:tcPr>
            <w:tcW w:w="2074" w:type="dxa"/>
            <w:vMerge/>
            <w:tcBorders>
              <w:top w:val="single" w:sz="6" w:space="0" w:color="auto"/>
              <w:left w:val="single" w:sz="4" w:space="0" w:color="auto"/>
              <w:bottom w:val="single" w:sz="6" w:space="0" w:color="auto"/>
              <w:right w:val="nil"/>
            </w:tcBorders>
            <w:vAlign w:val="center"/>
            <w:hideMark/>
          </w:tcPr>
          <w:p w:rsidR="00A6677D" w:rsidRPr="00080011" w:rsidRDefault="00A6677D" w:rsidP="00080011">
            <w:pPr>
              <w:spacing w:after="0" w:line="240" w:lineRule="auto"/>
              <w:jc w:val="center"/>
              <w:rPr>
                <w:rFonts w:ascii="Times New Roman" w:eastAsia="Times New Roman" w:hAnsi="Times New Roman" w:cs="Times New Roman"/>
                <w:b/>
                <w:color w:val="000000"/>
                <w:sz w:val="20"/>
                <w:szCs w:val="20"/>
                <w:lang w:eastAsia="en-GB"/>
              </w:rPr>
            </w:pPr>
          </w:p>
        </w:tc>
        <w:tc>
          <w:tcPr>
            <w:tcW w:w="3665" w:type="dxa"/>
            <w:tcBorders>
              <w:top w:val="nil"/>
              <w:left w:val="nil"/>
              <w:bottom w:val="single" w:sz="6" w:space="0" w:color="auto"/>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Ambitious</w:t>
            </w:r>
          </w:p>
        </w:tc>
        <w:tc>
          <w:tcPr>
            <w:tcW w:w="757" w:type="dxa"/>
            <w:tcBorders>
              <w:top w:val="nil"/>
              <w:left w:val="nil"/>
              <w:bottom w:val="single" w:sz="6" w:space="0" w:color="auto"/>
              <w:right w:val="nil"/>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712</w:t>
            </w:r>
          </w:p>
        </w:tc>
        <w:tc>
          <w:tcPr>
            <w:tcW w:w="1386" w:type="dxa"/>
            <w:tcBorders>
              <w:top w:val="nil"/>
              <w:left w:val="nil"/>
              <w:bottom w:val="single" w:sz="6" w:space="0" w:color="auto"/>
              <w:right w:val="single" w:sz="4" w:space="0" w:color="auto"/>
            </w:tcBorders>
            <w:vAlign w:val="bottom"/>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529</w:t>
            </w:r>
          </w:p>
        </w:tc>
      </w:tr>
      <w:tr w:rsidR="00A6677D" w:rsidRPr="00A6677D" w:rsidTr="00080011">
        <w:trPr>
          <w:trHeight w:val="265"/>
        </w:trPr>
        <w:tc>
          <w:tcPr>
            <w:tcW w:w="2074" w:type="dxa"/>
            <w:vMerge w:val="restart"/>
            <w:tcBorders>
              <w:top w:val="single" w:sz="6" w:space="0" w:color="auto"/>
              <w:left w:val="single" w:sz="4" w:space="0" w:color="auto"/>
              <w:bottom w:val="single" w:sz="6" w:space="0" w:color="auto"/>
              <w:right w:val="nil"/>
            </w:tcBorders>
            <w:vAlign w:val="center"/>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b/>
                <w:color w:val="000000"/>
                <w:sz w:val="20"/>
                <w:szCs w:val="20"/>
                <w:lang w:val="fr-BE" w:eastAsia="en-GB"/>
              </w:rPr>
            </w:pPr>
            <w:r w:rsidRPr="00080011">
              <w:rPr>
                <w:rFonts w:ascii="Times New Roman" w:eastAsia="Times New Roman" w:hAnsi="Times New Roman" w:cs="Times New Roman"/>
                <w:b/>
                <w:color w:val="000000"/>
                <w:sz w:val="20"/>
                <w:szCs w:val="20"/>
                <w:lang w:val="fr-BE" w:eastAsia="en-GB"/>
              </w:rPr>
              <w:t xml:space="preserve">EU-Chile Bilateral exports </w:t>
            </w:r>
            <w:r w:rsidRPr="00080011">
              <w:rPr>
                <w:rFonts w:ascii="Times New Roman" w:eastAsia="Times New Roman" w:hAnsi="Times New Roman" w:cs="Times New Roman"/>
                <w:b/>
                <w:color w:val="000000"/>
                <w:sz w:val="20"/>
                <w:szCs w:val="20"/>
                <w:lang w:val="fr-BE" w:eastAsia="en-GB"/>
              </w:rPr>
              <w:br/>
              <w:t>(% change)</w:t>
            </w:r>
          </w:p>
        </w:tc>
        <w:tc>
          <w:tcPr>
            <w:tcW w:w="3665" w:type="dxa"/>
            <w:tcBorders>
              <w:top w:val="single" w:sz="6" w:space="0" w:color="auto"/>
              <w:left w:val="nil"/>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Conservative</w:t>
            </w:r>
          </w:p>
        </w:tc>
        <w:tc>
          <w:tcPr>
            <w:tcW w:w="757" w:type="dxa"/>
            <w:tcBorders>
              <w:top w:val="single" w:sz="6" w:space="0" w:color="auto"/>
              <w:left w:val="nil"/>
              <w:right w:val="nil"/>
            </w:tcBorders>
            <w:vAlign w:val="center"/>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9.9</w:t>
            </w:r>
          </w:p>
        </w:tc>
        <w:tc>
          <w:tcPr>
            <w:tcW w:w="1386" w:type="dxa"/>
            <w:tcBorders>
              <w:top w:val="single" w:sz="6" w:space="0" w:color="auto"/>
              <w:left w:val="nil"/>
              <w:right w:val="single" w:sz="4" w:space="0" w:color="auto"/>
            </w:tcBorders>
            <w:vAlign w:val="center"/>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0.7</w:t>
            </w:r>
          </w:p>
        </w:tc>
      </w:tr>
      <w:tr w:rsidR="00A6677D" w:rsidRPr="00A6677D" w:rsidTr="00080011">
        <w:trPr>
          <w:trHeight w:val="285"/>
        </w:trPr>
        <w:tc>
          <w:tcPr>
            <w:tcW w:w="2074" w:type="dxa"/>
            <w:vMerge/>
            <w:tcBorders>
              <w:top w:val="single" w:sz="6" w:space="0" w:color="auto"/>
              <w:left w:val="single" w:sz="4" w:space="0" w:color="auto"/>
              <w:bottom w:val="single" w:sz="6" w:space="0" w:color="auto"/>
              <w:right w:val="nil"/>
            </w:tcBorders>
            <w:vAlign w:val="center"/>
            <w:hideMark/>
          </w:tcPr>
          <w:p w:rsidR="00A6677D" w:rsidRPr="00080011" w:rsidRDefault="00A6677D" w:rsidP="00A6677D">
            <w:pPr>
              <w:spacing w:after="0" w:line="240" w:lineRule="auto"/>
              <w:rPr>
                <w:rFonts w:ascii="Times New Roman" w:eastAsia="Times New Roman" w:hAnsi="Times New Roman" w:cs="Times New Roman"/>
                <w:b/>
                <w:color w:val="000000"/>
                <w:sz w:val="20"/>
                <w:szCs w:val="20"/>
                <w:lang w:eastAsia="en-GB"/>
              </w:rPr>
            </w:pPr>
          </w:p>
        </w:tc>
        <w:tc>
          <w:tcPr>
            <w:tcW w:w="3665" w:type="dxa"/>
            <w:tcBorders>
              <w:top w:val="nil"/>
              <w:left w:val="nil"/>
              <w:right w:val="nil"/>
            </w:tcBorders>
            <w:hideMark/>
          </w:tcPr>
          <w:p w:rsidR="00A6677D" w:rsidRPr="00080011" w:rsidRDefault="00A6677D" w:rsidP="00080011">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Ambitious</w:t>
            </w:r>
          </w:p>
        </w:tc>
        <w:tc>
          <w:tcPr>
            <w:tcW w:w="757" w:type="dxa"/>
            <w:tcBorders>
              <w:top w:val="nil"/>
              <w:left w:val="nil"/>
              <w:right w:val="nil"/>
            </w:tcBorders>
            <w:vAlign w:val="center"/>
            <w:hideMark/>
          </w:tcPr>
          <w:p w:rsidR="00A6677D" w:rsidRPr="00080011" w:rsidRDefault="00A6677D" w:rsidP="00A6677D">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21.5</w:t>
            </w:r>
          </w:p>
        </w:tc>
        <w:tc>
          <w:tcPr>
            <w:tcW w:w="1386" w:type="dxa"/>
            <w:tcBorders>
              <w:top w:val="nil"/>
              <w:left w:val="nil"/>
              <w:right w:val="single" w:sz="4" w:space="0" w:color="auto"/>
            </w:tcBorders>
            <w:vAlign w:val="center"/>
            <w:hideMark/>
          </w:tcPr>
          <w:p w:rsidR="00A6677D" w:rsidRPr="00080011" w:rsidRDefault="00A6677D" w:rsidP="00A6677D">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eastAsia="en-GB"/>
              </w:rPr>
            </w:pPr>
            <w:r w:rsidRPr="00080011">
              <w:rPr>
                <w:rFonts w:ascii="Times New Roman" w:eastAsia="Times New Roman" w:hAnsi="Times New Roman" w:cs="Times New Roman"/>
                <w:color w:val="000000"/>
                <w:sz w:val="20"/>
                <w:szCs w:val="20"/>
                <w:lang w:eastAsia="en-GB"/>
              </w:rPr>
              <w:t>1.6</w:t>
            </w:r>
          </w:p>
        </w:tc>
      </w:tr>
      <w:tr w:rsidR="00A6677D" w:rsidRPr="00A6677D" w:rsidTr="00080011">
        <w:trPr>
          <w:trHeight w:val="130"/>
        </w:trPr>
        <w:tc>
          <w:tcPr>
            <w:tcW w:w="2074" w:type="dxa"/>
            <w:vMerge/>
            <w:tcBorders>
              <w:top w:val="single" w:sz="6" w:space="0" w:color="auto"/>
              <w:left w:val="single" w:sz="4" w:space="0" w:color="auto"/>
              <w:bottom w:val="single" w:sz="4" w:space="0" w:color="auto"/>
              <w:right w:val="nil"/>
            </w:tcBorders>
            <w:vAlign w:val="center"/>
            <w:hideMark/>
          </w:tcPr>
          <w:p w:rsidR="00A6677D" w:rsidRPr="00080011" w:rsidRDefault="00A6677D" w:rsidP="00A6677D">
            <w:pPr>
              <w:spacing w:after="0" w:line="240" w:lineRule="auto"/>
              <w:rPr>
                <w:rFonts w:ascii="Times New Roman" w:eastAsia="Times New Roman" w:hAnsi="Times New Roman" w:cs="Times New Roman"/>
                <w:b/>
                <w:color w:val="000000"/>
                <w:sz w:val="20"/>
                <w:szCs w:val="20"/>
                <w:lang w:val="de-DE" w:eastAsia="en-GB"/>
              </w:rPr>
            </w:pPr>
          </w:p>
        </w:tc>
        <w:tc>
          <w:tcPr>
            <w:tcW w:w="3665" w:type="dxa"/>
            <w:tcBorders>
              <w:top w:val="nil"/>
              <w:left w:val="nil"/>
              <w:bottom w:val="single" w:sz="4" w:space="0" w:color="auto"/>
              <w:right w:val="nil"/>
            </w:tcBorders>
          </w:tcPr>
          <w:p w:rsidR="00A6677D" w:rsidRPr="00080011"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0"/>
                <w:szCs w:val="20"/>
                <w:lang w:eastAsia="en-GB"/>
              </w:rPr>
            </w:pPr>
          </w:p>
        </w:tc>
        <w:tc>
          <w:tcPr>
            <w:tcW w:w="757" w:type="dxa"/>
            <w:tcBorders>
              <w:top w:val="nil"/>
              <w:left w:val="nil"/>
              <w:bottom w:val="single" w:sz="4" w:space="0" w:color="auto"/>
              <w:right w:val="nil"/>
            </w:tcBorders>
          </w:tcPr>
          <w:p w:rsidR="00A6677D" w:rsidRPr="00080011" w:rsidRDefault="00A6677D" w:rsidP="00A6677D">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val="de-DE" w:eastAsia="en-GB"/>
              </w:rPr>
            </w:pPr>
          </w:p>
        </w:tc>
        <w:tc>
          <w:tcPr>
            <w:tcW w:w="1386" w:type="dxa"/>
            <w:tcBorders>
              <w:top w:val="nil"/>
              <w:left w:val="nil"/>
              <w:bottom w:val="single" w:sz="4" w:space="0" w:color="auto"/>
              <w:right w:val="single" w:sz="4" w:space="0" w:color="auto"/>
            </w:tcBorders>
          </w:tcPr>
          <w:p w:rsidR="00A6677D" w:rsidRPr="00080011" w:rsidRDefault="00A6677D" w:rsidP="00A6677D">
            <w:pPr>
              <w:autoSpaceDE w:val="0"/>
              <w:autoSpaceDN w:val="0"/>
              <w:adjustRightInd w:val="0"/>
              <w:spacing w:before="40" w:after="40" w:line="240" w:lineRule="auto"/>
              <w:jc w:val="center"/>
              <w:rPr>
                <w:rFonts w:ascii="Times New Roman" w:eastAsia="Times New Roman" w:hAnsi="Times New Roman" w:cs="Times New Roman"/>
                <w:color w:val="000000"/>
                <w:sz w:val="20"/>
                <w:szCs w:val="20"/>
                <w:lang w:val="de-DE" w:eastAsia="en-GB"/>
              </w:rPr>
            </w:pPr>
          </w:p>
        </w:tc>
      </w:tr>
    </w:tbl>
    <w:p w:rsidR="00A6677D" w:rsidRPr="00080011" w:rsidRDefault="00A6677D" w:rsidP="00A6677D">
      <w:pPr>
        <w:spacing w:after="240" w:line="240" w:lineRule="auto"/>
        <w:jc w:val="both"/>
        <w:rPr>
          <w:rFonts w:ascii="Times New Roman" w:eastAsia="Times New Roman" w:hAnsi="Times New Roman" w:cs="Times New Roman"/>
          <w:sz w:val="20"/>
          <w:szCs w:val="20"/>
        </w:rPr>
      </w:pPr>
      <w:r w:rsidRPr="00080011">
        <w:rPr>
          <w:rFonts w:ascii="Times New Roman" w:eastAsia="Times New Roman" w:hAnsi="Times New Roman" w:cs="Times New Roman"/>
          <w:sz w:val="20"/>
          <w:szCs w:val="20"/>
        </w:rPr>
        <w:t xml:space="preserve">* US dollars were converted to Euros as $1.1095 to €1  </w:t>
      </w:r>
    </w:p>
    <w:p w:rsidR="00A6677D" w:rsidRPr="00A6677D" w:rsidRDefault="00A6677D" w:rsidP="00A6677D">
      <w:pPr>
        <w:autoSpaceDE w:val="0"/>
        <w:autoSpaceDN w:val="0"/>
        <w:adjustRightInd w:val="0"/>
        <w:spacing w:before="40" w:after="40" w:line="240" w:lineRule="auto"/>
        <w:jc w:val="both"/>
        <w:rPr>
          <w:rFonts w:ascii="Times New Roman" w:eastAsia="Times New Roman" w:hAnsi="Times New Roman" w:cs="Times New Roman"/>
          <w:bCs/>
          <w:color w:val="000000"/>
          <w:sz w:val="24"/>
          <w:szCs w:val="24"/>
          <w:lang w:eastAsia="en-GB"/>
        </w:rPr>
      </w:pPr>
      <w:r w:rsidRPr="00A6677D">
        <w:rPr>
          <w:rFonts w:ascii="Times New Roman" w:eastAsia="Times New Roman" w:hAnsi="Times New Roman" w:cs="Times New Roman"/>
          <w:bCs/>
          <w:color w:val="000000"/>
          <w:sz w:val="24"/>
          <w:szCs w:val="24"/>
          <w:lang w:eastAsia="en-GB"/>
        </w:rPr>
        <w:t xml:space="preserve">Table 2 shows the results for total exports of both partner countries under the two scenarios. As has been the case for welfare and GDP, the percentage increases are a full order of magnitude smaller for the EU than for the two partners. This is quite natural given the relative size of the two economies. </w:t>
      </w:r>
    </w:p>
    <w:p w:rsidR="00A6677D" w:rsidRDefault="00A6677D" w:rsidP="00A6677D">
      <w:pPr>
        <w:autoSpaceDE w:val="0"/>
        <w:autoSpaceDN w:val="0"/>
        <w:adjustRightInd w:val="0"/>
        <w:spacing w:before="40" w:after="40" w:line="240" w:lineRule="auto"/>
        <w:jc w:val="both"/>
        <w:rPr>
          <w:rFonts w:ascii="Times New Roman" w:eastAsia="Times New Roman" w:hAnsi="Times New Roman" w:cs="Times New Roman"/>
          <w:bCs/>
          <w:color w:val="000000"/>
          <w:sz w:val="24"/>
          <w:szCs w:val="24"/>
          <w:lang w:eastAsia="en-GB"/>
        </w:rPr>
      </w:pPr>
    </w:p>
    <w:p w:rsidR="00726105" w:rsidRDefault="00726105" w:rsidP="00A6677D">
      <w:pPr>
        <w:autoSpaceDE w:val="0"/>
        <w:autoSpaceDN w:val="0"/>
        <w:adjustRightInd w:val="0"/>
        <w:spacing w:before="40" w:after="40" w:line="240" w:lineRule="auto"/>
        <w:jc w:val="both"/>
        <w:rPr>
          <w:rFonts w:ascii="Times New Roman" w:eastAsia="Times New Roman" w:hAnsi="Times New Roman" w:cs="Times New Roman"/>
          <w:bCs/>
          <w:color w:val="000000"/>
          <w:sz w:val="24"/>
          <w:szCs w:val="24"/>
          <w:lang w:eastAsia="en-GB"/>
        </w:rPr>
      </w:pPr>
    </w:p>
    <w:p w:rsidR="00080011" w:rsidRDefault="00080011"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p>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r w:rsidRPr="00A6677D">
        <w:rPr>
          <w:rFonts w:ascii="Times New Roman" w:eastAsia="Times New Roman" w:hAnsi="Times New Roman" w:cs="Times New Roman"/>
          <w:b/>
          <w:color w:val="000000"/>
          <w:sz w:val="24"/>
          <w:szCs w:val="24"/>
          <w:lang w:eastAsia="en-GB"/>
        </w:rPr>
        <w:t xml:space="preserve">Table </w:t>
      </w:r>
      <w:r w:rsidRPr="00A6677D">
        <w:rPr>
          <w:rFonts w:ascii="Times New Roman" w:eastAsia="Times New Roman" w:hAnsi="Times New Roman" w:cs="Times New Roman"/>
          <w:b/>
          <w:color w:val="000000"/>
          <w:sz w:val="24"/>
          <w:szCs w:val="24"/>
          <w:lang w:eastAsia="en-GB"/>
        </w:rPr>
        <w:fldChar w:fldCharType="begin"/>
      </w:r>
      <w:r w:rsidRPr="00A6677D">
        <w:rPr>
          <w:rFonts w:ascii="Times New Roman" w:eastAsia="Times New Roman" w:hAnsi="Times New Roman" w:cs="Times New Roman"/>
          <w:b/>
          <w:color w:val="000000"/>
          <w:sz w:val="24"/>
          <w:szCs w:val="24"/>
          <w:lang w:eastAsia="en-GB"/>
        </w:rPr>
        <w:instrText xml:space="preserve"> SEQ Table \* ARABIC </w:instrText>
      </w:r>
      <w:r w:rsidRPr="00A6677D">
        <w:rPr>
          <w:rFonts w:ascii="Times New Roman" w:eastAsia="Times New Roman" w:hAnsi="Times New Roman" w:cs="Times New Roman"/>
          <w:b/>
          <w:color w:val="000000"/>
          <w:sz w:val="24"/>
          <w:szCs w:val="24"/>
          <w:lang w:eastAsia="en-GB"/>
        </w:rPr>
        <w:fldChar w:fldCharType="separate"/>
      </w:r>
      <w:r w:rsidR="0069539B">
        <w:rPr>
          <w:rFonts w:ascii="Times New Roman" w:eastAsia="Times New Roman" w:hAnsi="Times New Roman" w:cs="Times New Roman"/>
          <w:b/>
          <w:noProof/>
          <w:color w:val="000000"/>
          <w:sz w:val="24"/>
          <w:szCs w:val="24"/>
          <w:lang w:eastAsia="en-GB"/>
        </w:rPr>
        <w:t>2</w:t>
      </w:r>
      <w:r w:rsidRPr="00A6677D">
        <w:rPr>
          <w:rFonts w:ascii="Times New Roman" w:eastAsia="Times New Roman" w:hAnsi="Times New Roman" w:cs="Times New Roman"/>
          <w:b/>
          <w:color w:val="000000"/>
          <w:sz w:val="24"/>
          <w:szCs w:val="24"/>
          <w:lang w:eastAsia="en-GB"/>
        </w:rPr>
        <w:fldChar w:fldCharType="end"/>
      </w:r>
      <w:r w:rsidRPr="00A6677D">
        <w:rPr>
          <w:rFonts w:ascii="Times New Roman" w:eastAsia="Times New Roman" w:hAnsi="Times New Roman" w:cs="Times New Roman"/>
          <w:b/>
          <w:color w:val="000000"/>
          <w:sz w:val="24"/>
          <w:szCs w:val="24"/>
          <w:lang w:eastAsia="en-GB"/>
        </w:rPr>
        <w:t>: Change of the value of total exports (long term)</w:t>
      </w:r>
    </w:p>
    <w:tbl>
      <w:tblPr>
        <w:tblW w:w="0" w:type="auto"/>
        <w:tblInd w:w="500" w:type="dxa"/>
        <w:tblLook w:val="04A0" w:firstRow="1" w:lastRow="0" w:firstColumn="1" w:lastColumn="0" w:noHBand="0" w:noVBand="1"/>
      </w:tblPr>
      <w:tblGrid>
        <w:gridCol w:w="736"/>
        <w:gridCol w:w="1483"/>
        <w:gridCol w:w="222"/>
        <w:gridCol w:w="1230"/>
      </w:tblGrid>
      <w:tr w:rsidR="00A6677D" w:rsidRPr="00A6677D" w:rsidTr="00080011">
        <w:trPr>
          <w:trHeight w:val="312"/>
        </w:trPr>
        <w:tc>
          <w:tcPr>
            <w:tcW w:w="236" w:type="dxa"/>
            <w:tcBorders>
              <w:top w:val="single" w:sz="4" w:space="0" w:color="auto"/>
              <w:left w:val="single" w:sz="4" w:space="0" w:color="auto"/>
              <w:bottom w:val="single" w:sz="4" w:space="0" w:color="auto"/>
              <w:right w:val="nil"/>
            </w:tcBorders>
            <w:shd w:val="clear" w:color="auto" w:fill="auto"/>
            <w:vAlign w:val="center"/>
            <w:hideMark/>
          </w:tcPr>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p>
        </w:tc>
        <w:tc>
          <w:tcPr>
            <w:tcW w:w="0" w:type="auto"/>
            <w:tcBorders>
              <w:top w:val="single" w:sz="4" w:space="0" w:color="auto"/>
              <w:left w:val="nil"/>
              <w:bottom w:val="single" w:sz="4" w:space="0" w:color="auto"/>
              <w:right w:val="nil"/>
            </w:tcBorders>
            <w:shd w:val="clear" w:color="auto" w:fill="auto"/>
            <w:vAlign w:val="center"/>
            <w:hideMark/>
          </w:tcPr>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Conservative</w:t>
            </w:r>
          </w:p>
        </w:tc>
        <w:tc>
          <w:tcPr>
            <w:tcW w:w="0" w:type="auto"/>
            <w:tcBorders>
              <w:top w:val="single" w:sz="4" w:space="0" w:color="auto"/>
              <w:left w:val="nil"/>
              <w:bottom w:val="single" w:sz="4" w:space="0" w:color="auto"/>
              <w:right w:val="nil"/>
            </w:tcBorders>
            <w:shd w:val="clear" w:color="auto" w:fill="auto"/>
            <w:noWrap/>
            <w:vAlign w:val="bottom"/>
            <w:hideMark/>
          </w:tcPr>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Ambitious</w:t>
            </w:r>
          </w:p>
        </w:tc>
      </w:tr>
      <w:tr w:rsidR="00A6677D" w:rsidRPr="00A6677D" w:rsidTr="00080011">
        <w:trPr>
          <w:trHeight w:val="289"/>
        </w:trPr>
        <w:tc>
          <w:tcPr>
            <w:tcW w:w="236" w:type="dxa"/>
            <w:tcBorders>
              <w:top w:val="single" w:sz="4" w:space="0" w:color="auto"/>
              <w:left w:val="single" w:sz="4" w:space="0" w:color="auto"/>
              <w:bottom w:val="nil"/>
              <w:right w:val="nil"/>
            </w:tcBorders>
            <w:shd w:val="clear" w:color="auto" w:fill="auto"/>
            <w:noWrap/>
            <w:vAlign w:val="bottom"/>
            <w:hideMark/>
          </w:tcPr>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EU</w:t>
            </w:r>
          </w:p>
        </w:tc>
        <w:tc>
          <w:tcPr>
            <w:tcW w:w="0" w:type="auto"/>
            <w:tcBorders>
              <w:top w:val="single" w:sz="4" w:space="0" w:color="auto"/>
              <w:left w:val="nil"/>
              <w:bottom w:val="nil"/>
              <w:right w:val="nil"/>
            </w:tcBorders>
            <w:shd w:val="clear" w:color="auto" w:fill="auto"/>
            <w:noWrap/>
            <w:vAlign w:val="bottom"/>
            <w:hideMark/>
          </w:tcPr>
          <w:p w:rsidR="00A6677D" w:rsidRPr="00A6677D" w:rsidRDefault="00A6677D" w:rsidP="00A6677D">
            <w:pPr>
              <w:autoSpaceDE w:val="0"/>
              <w:autoSpaceDN w:val="0"/>
              <w:adjustRightInd w:val="0"/>
              <w:spacing w:before="40" w:after="40" w:line="240" w:lineRule="auto"/>
              <w:jc w:val="right"/>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0.01</w:t>
            </w:r>
          </w:p>
        </w:tc>
        <w:tc>
          <w:tcPr>
            <w:tcW w:w="0" w:type="auto"/>
            <w:tcBorders>
              <w:top w:val="single" w:sz="4" w:space="0" w:color="auto"/>
              <w:left w:val="nil"/>
              <w:bottom w:val="nil"/>
              <w:right w:val="nil"/>
            </w:tcBorders>
            <w:shd w:val="clear" w:color="auto" w:fill="auto"/>
            <w:noWrap/>
            <w:vAlign w:val="bottom"/>
            <w:hideMark/>
          </w:tcPr>
          <w:p w:rsidR="00A6677D" w:rsidRPr="00A6677D" w:rsidRDefault="00A6677D" w:rsidP="00A6677D">
            <w:pPr>
              <w:autoSpaceDE w:val="0"/>
              <w:autoSpaceDN w:val="0"/>
              <w:adjustRightInd w:val="0"/>
              <w:spacing w:before="40" w:after="40" w:line="240" w:lineRule="auto"/>
              <w:jc w:val="right"/>
              <w:rPr>
                <w:rFonts w:ascii="Times New Roman" w:eastAsia="Times New Roman" w:hAnsi="Times New Roman" w:cs="Times New Roman"/>
                <w:color w:val="000000"/>
                <w:sz w:val="24"/>
                <w:szCs w:val="24"/>
                <w:lang w:eastAsia="en-GB"/>
              </w:rPr>
            </w:pPr>
          </w:p>
        </w:tc>
        <w:tc>
          <w:tcPr>
            <w:tcW w:w="0" w:type="auto"/>
            <w:tcBorders>
              <w:top w:val="single" w:sz="4" w:space="0" w:color="auto"/>
              <w:left w:val="nil"/>
              <w:bottom w:val="nil"/>
              <w:right w:val="single" w:sz="4" w:space="0" w:color="auto"/>
            </w:tcBorders>
            <w:shd w:val="clear" w:color="auto" w:fill="auto"/>
            <w:noWrap/>
            <w:vAlign w:val="bottom"/>
            <w:hideMark/>
          </w:tcPr>
          <w:p w:rsidR="00A6677D" w:rsidRPr="00A6677D" w:rsidRDefault="00A6677D" w:rsidP="00A6677D">
            <w:pPr>
              <w:autoSpaceDE w:val="0"/>
              <w:autoSpaceDN w:val="0"/>
              <w:adjustRightInd w:val="0"/>
              <w:spacing w:before="40" w:after="40" w:line="240" w:lineRule="auto"/>
              <w:jc w:val="right"/>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0.15</w:t>
            </w:r>
          </w:p>
        </w:tc>
      </w:tr>
      <w:tr w:rsidR="00A6677D" w:rsidRPr="00A6677D" w:rsidTr="00080011">
        <w:trPr>
          <w:trHeight w:val="289"/>
        </w:trPr>
        <w:tc>
          <w:tcPr>
            <w:tcW w:w="236" w:type="dxa"/>
            <w:tcBorders>
              <w:top w:val="nil"/>
              <w:left w:val="single" w:sz="4" w:space="0" w:color="auto"/>
              <w:bottom w:val="single" w:sz="4" w:space="0" w:color="auto"/>
              <w:right w:val="nil"/>
            </w:tcBorders>
            <w:shd w:val="clear" w:color="auto" w:fill="auto"/>
            <w:noWrap/>
            <w:vAlign w:val="bottom"/>
            <w:hideMark/>
          </w:tcPr>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Chile</w:t>
            </w:r>
          </w:p>
        </w:tc>
        <w:tc>
          <w:tcPr>
            <w:tcW w:w="0" w:type="auto"/>
            <w:tcBorders>
              <w:top w:val="nil"/>
              <w:left w:val="nil"/>
              <w:bottom w:val="single" w:sz="4" w:space="0" w:color="auto"/>
              <w:right w:val="nil"/>
            </w:tcBorders>
            <w:shd w:val="clear" w:color="auto" w:fill="auto"/>
            <w:noWrap/>
            <w:vAlign w:val="bottom"/>
            <w:hideMark/>
          </w:tcPr>
          <w:p w:rsidR="00A6677D" w:rsidRPr="00A6677D" w:rsidRDefault="00A6677D" w:rsidP="00A6677D">
            <w:pPr>
              <w:autoSpaceDE w:val="0"/>
              <w:autoSpaceDN w:val="0"/>
              <w:adjustRightInd w:val="0"/>
              <w:spacing w:before="40" w:after="40" w:line="240" w:lineRule="auto"/>
              <w:jc w:val="right"/>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0.02</w:t>
            </w:r>
          </w:p>
        </w:tc>
        <w:tc>
          <w:tcPr>
            <w:tcW w:w="0" w:type="auto"/>
            <w:tcBorders>
              <w:top w:val="nil"/>
              <w:left w:val="nil"/>
              <w:bottom w:val="single" w:sz="4" w:space="0" w:color="auto"/>
              <w:right w:val="nil"/>
            </w:tcBorders>
            <w:shd w:val="clear" w:color="auto" w:fill="auto"/>
            <w:noWrap/>
            <w:vAlign w:val="bottom"/>
            <w:hideMark/>
          </w:tcPr>
          <w:p w:rsidR="00A6677D" w:rsidRPr="00A6677D" w:rsidRDefault="00A6677D" w:rsidP="00A6677D">
            <w:pPr>
              <w:autoSpaceDE w:val="0"/>
              <w:autoSpaceDN w:val="0"/>
              <w:adjustRightInd w:val="0"/>
              <w:spacing w:before="40" w:after="40" w:line="240" w:lineRule="auto"/>
              <w:jc w:val="right"/>
              <w:rPr>
                <w:rFonts w:ascii="Times New Roman" w:eastAsia="Times New Roman" w:hAnsi="Times New Roman" w:cs="Times New Roman"/>
                <w:color w:val="000000"/>
                <w:sz w:val="24"/>
                <w:szCs w:val="24"/>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A6677D" w:rsidRPr="00A6677D" w:rsidRDefault="00A6677D" w:rsidP="00A6677D">
            <w:pPr>
              <w:autoSpaceDE w:val="0"/>
              <w:autoSpaceDN w:val="0"/>
              <w:adjustRightInd w:val="0"/>
              <w:spacing w:before="40" w:after="40" w:line="240" w:lineRule="auto"/>
              <w:jc w:val="right"/>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0.21</w:t>
            </w:r>
          </w:p>
        </w:tc>
      </w:tr>
    </w:tbl>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p>
    <w:p w:rsidR="00A6677D" w:rsidRPr="00A6677D" w:rsidRDefault="00A6677D" w:rsidP="00A6677D">
      <w:pPr>
        <w:autoSpaceDE w:val="0"/>
        <w:autoSpaceDN w:val="0"/>
        <w:adjustRightInd w:val="0"/>
        <w:spacing w:before="40" w:after="40" w:line="240" w:lineRule="auto"/>
        <w:jc w:val="both"/>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Tables 3 and 4 display the relative changes in bilateral trade simulated under the two scenarios. In relative terms the EU’s bilateral exports to Chile increase strongest in gas, fishing and coal sectors. It should however kept in mind that the baseline exports in these sectors are rather small. In absolute terms, exports expand most strongly in the sectors of machinery and motor vehicles. Imports on the other hand, increase most strongly in beverages and tobacco and fruit and vegetable sectors. Relative increases are strongest for the cereals, oilseeds and vegetable oils and dairy sectors, but here baseline trade is negligible.</w:t>
      </w:r>
    </w:p>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p>
    <w:p w:rsidR="00A6677D" w:rsidRPr="00A6677D" w:rsidRDefault="00A6677D" w:rsidP="00A6677D">
      <w:pPr>
        <w:keepNext/>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r w:rsidRPr="00A6677D">
        <w:rPr>
          <w:rFonts w:ascii="Times New Roman" w:eastAsia="Times New Roman" w:hAnsi="Times New Roman" w:cs="Times New Roman"/>
          <w:b/>
          <w:color w:val="000000"/>
          <w:sz w:val="24"/>
          <w:szCs w:val="24"/>
          <w:lang w:eastAsia="en-GB"/>
        </w:rPr>
        <w:t xml:space="preserve">Table </w:t>
      </w:r>
      <w:r w:rsidRPr="00A6677D">
        <w:rPr>
          <w:rFonts w:ascii="Times New Roman" w:eastAsia="Times New Roman" w:hAnsi="Times New Roman" w:cs="Times New Roman"/>
          <w:b/>
          <w:color w:val="000000"/>
          <w:sz w:val="24"/>
          <w:szCs w:val="24"/>
          <w:lang w:eastAsia="en-GB"/>
        </w:rPr>
        <w:fldChar w:fldCharType="begin"/>
      </w:r>
      <w:r w:rsidRPr="00A6677D">
        <w:rPr>
          <w:rFonts w:ascii="Times New Roman" w:eastAsia="Times New Roman" w:hAnsi="Times New Roman" w:cs="Times New Roman"/>
          <w:b/>
          <w:color w:val="000000"/>
          <w:sz w:val="24"/>
          <w:szCs w:val="24"/>
          <w:lang w:eastAsia="en-GB"/>
        </w:rPr>
        <w:instrText xml:space="preserve"> SEQ Table \* ARABIC </w:instrText>
      </w:r>
      <w:r w:rsidRPr="00A6677D">
        <w:rPr>
          <w:rFonts w:ascii="Times New Roman" w:eastAsia="Times New Roman" w:hAnsi="Times New Roman" w:cs="Times New Roman"/>
          <w:b/>
          <w:color w:val="000000"/>
          <w:sz w:val="24"/>
          <w:szCs w:val="24"/>
          <w:lang w:eastAsia="en-GB"/>
        </w:rPr>
        <w:fldChar w:fldCharType="separate"/>
      </w:r>
      <w:r w:rsidR="0069539B">
        <w:rPr>
          <w:rFonts w:ascii="Times New Roman" w:eastAsia="Times New Roman" w:hAnsi="Times New Roman" w:cs="Times New Roman"/>
          <w:b/>
          <w:noProof/>
          <w:color w:val="000000"/>
          <w:sz w:val="24"/>
          <w:szCs w:val="24"/>
          <w:lang w:eastAsia="en-GB"/>
        </w:rPr>
        <w:t>3</w:t>
      </w:r>
      <w:r w:rsidRPr="00A6677D">
        <w:rPr>
          <w:rFonts w:ascii="Times New Roman" w:eastAsia="Times New Roman" w:hAnsi="Times New Roman" w:cs="Times New Roman"/>
          <w:b/>
          <w:color w:val="000000"/>
          <w:sz w:val="24"/>
          <w:szCs w:val="24"/>
          <w:lang w:eastAsia="en-GB"/>
        </w:rPr>
        <w:fldChar w:fldCharType="end"/>
      </w:r>
      <w:r w:rsidRPr="00A6677D">
        <w:rPr>
          <w:rFonts w:ascii="Times New Roman" w:eastAsia="Times New Roman" w:hAnsi="Times New Roman" w:cs="Times New Roman"/>
          <w:b/>
          <w:color w:val="000000"/>
          <w:sz w:val="24"/>
          <w:szCs w:val="24"/>
          <w:lang w:eastAsia="en-GB"/>
        </w:rPr>
        <w:t xml:space="preserve">: EU exports to Chile and the effects of the two scenarios </w:t>
      </w:r>
      <w:r w:rsidRPr="00A6677D">
        <w:rPr>
          <w:rFonts w:asciiTheme="majorBidi" w:hAnsiTheme="majorBidi" w:cstheme="majorBidi"/>
          <w:b/>
          <w:bCs/>
          <w:color w:val="000000"/>
          <w:sz w:val="24"/>
          <w:szCs w:val="24"/>
          <w:lang w:eastAsia="en-GB"/>
        </w:rPr>
        <w:t>(long term)</w:t>
      </w:r>
    </w:p>
    <w:tbl>
      <w:tblPr>
        <w:tblW w:w="0" w:type="auto"/>
        <w:tblInd w:w="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5"/>
        <w:gridCol w:w="2028"/>
        <w:gridCol w:w="2268"/>
      </w:tblGrid>
      <w:tr w:rsidR="00A6677D" w:rsidRPr="00080011" w:rsidTr="002C4CFC">
        <w:trPr>
          <w:trHeight w:hRule="exact" w:val="227"/>
        </w:trPr>
        <w:tc>
          <w:tcPr>
            <w:tcW w:w="1585" w:type="dxa"/>
            <w:tcBorders>
              <w:top w:val="single" w:sz="4" w:space="0" w:color="auto"/>
              <w:bottom w:val="single" w:sz="4" w:space="0" w:color="auto"/>
            </w:tcBorders>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Sector</w:t>
            </w:r>
          </w:p>
        </w:tc>
        <w:tc>
          <w:tcPr>
            <w:tcW w:w="2028" w:type="dxa"/>
            <w:tcBorders>
              <w:top w:val="single" w:sz="4" w:space="0" w:color="auto"/>
              <w:bottom w:val="single" w:sz="4" w:space="0" w:color="auto"/>
            </w:tcBorders>
            <w:shd w:val="clear" w:color="auto" w:fill="auto"/>
            <w:noWrap/>
            <w:vAlign w:val="bottom"/>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Conservative</w:t>
            </w:r>
          </w:p>
        </w:tc>
        <w:tc>
          <w:tcPr>
            <w:tcW w:w="2268" w:type="dxa"/>
            <w:tcBorders>
              <w:top w:val="single" w:sz="4" w:space="0" w:color="auto"/>
              <w:bottom w:val="single" w:sz="4" w:space="0" w:color="auto"/>
            </w:tcBorders>
            <w:shd w:val="clear" w:color="auto" w:fill="auto"/>
            <w:noWrap/>
            <w:vAlign w:val="bottom"/>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Ambitious</w:t>
            </w:r>
          </w:p>
        </w:tc>
      </w:tr>
      <w:tr w:rsidR="00A6677D" w:rsidRPr="00080011" w:rsidTr="002C4CFC">
        <w:trPr>
          <w:trHeight w:hRule="exact" w:val="227"/>
        </w:trPr>
        <w:tc>
          <w:tcPr>
            <w:tcW w:w="1585" w:type="dxa"/>
            <w:tcBorders>
              <w:top w:val="single" w:sz="4" w:space="0" w:color="auto"/>
            </w:tcBorders>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Rice</w:t>
            </w:r>
          </w:p>
        </w:tc>
        <w:tc>
          <w:tcPr>
            <w:tcW w:w="2028" w:type="dxa"/>
            <w:tcBorders>
              <w:top w:val="single" w:sz="4" w:space="0" w:color="auto"/>
            </w:tcBorders>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w:t>
            </w:r>
          </w:p>
        </w:tc>
        <w:tc>
          <w:tcPr>
            <w:tcW w:w="2268" w:type="dxa"/>
            <w:tcBorders>
              <w:top w:val="single" w:sz="4" w:space="0" w:color="auto"/>
            </w:tcBorders>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2%</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cereals</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15%</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17%</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veg_fruit</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oil_seeds</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17%</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18%</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sugar</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14%</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14%</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fiber_crop</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ruminant_meat</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2%</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other_meat</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2%</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dairy</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44%</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45%</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wood_paper</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16%</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35%</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fishing</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48%</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125%</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coal</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23%</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52%</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oil</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315%</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1717%</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gas</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7%</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minerals</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10%</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10%</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other_food</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4%</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5%</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bev_tob</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0%</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textile</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16%</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34%</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chemicals</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8%</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16%</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oil_pcts</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7%</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13%</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metal_pcts</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10%</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19%</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no_metal_pct</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10%</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20%</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motor_equip</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12%</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25%</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machinery</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17%</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36%</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ele_other</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23%</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51%</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electricity</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0%</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0%</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utility</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5%</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13%</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transport</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2%</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7%</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communication</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9%</w:t>
            </w:r>
          </w:p>
        </w:tc>
      </w:tr>
      <w:tr w:rsidR="00A6677D" w:rsidRPr="00080011" w:rsidTr="002C4CFC">
        <w:trPr>
          <w:trHeight w:hRule="exact" w:val="227"/>
        </w:trPr>
        <w:tc>
          <w:tcPr>
            <w:tcW w:w="1585" w:type="dxa"/>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financial</w:t>
            </w:r>
          </w:p>
        </w:tc>
        <w:tc>
          <w:tcPr>
            <w:tcW w:w="202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3%</w:t>
            </w:r>
          </w:p>
        </w:tc>
        <w:tc>
          <w:tcPr>
            <w:tcW w:w="2268" w:type="dxa"/>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9%</w:t>
            </w:r>
          </w:p>
        </w:tc>
      </w:tr>
      <w:tr w:rsidR="00A6677D" w:rsidRPr="00080011" w:rsidTr="002C4CFC">
        <w:trPr>
          <w:trHeight w:hRule="exact" w:val="227"/>
        </w:trPr>
        <w:tc>
          <w:tcPr>
            <w:tcW w:w="1585" w:type="dxa"/>
            <w:tcBorders>
              <w:bottom w:val="single" w:sz="4" w:space="0" w:color="auto"/>
            </w:tcBorders>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other_serv</w:t>
            </w:r>
          </w:p>
        </w:tc>
        <w:tc>
          <w:tcPr>
            <w:tcW w:w="2028" w:type="dxa"/>
            <w:tcBorders>
              <w:bottom w:val="single" w:sz="4" w:space="0" w:color="auto"/>
            </w:tcBorders>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4%</w:t>
            </w:r>
          </w:p>
        </w:tc>
        <w:tc>
          <w:tcPr>
            <w:tcW w:w="2268" w:type="dxa"/>
            <w:tcBorders>
              <w:bottom w:val="single" w:sz="4" w:space="0" w:color="auto"/>
            </w:tcBorders>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10%</w:t>
            </w:r>
          </w:p>
        </w:tc>
      </w:tr>
      <w:tr w:rsidR="00A6677D" w:rsidRPr="00080011" w:rsidTr="002C4CFC">
        <w:trPr>
          <w:trHeight w:hRule="exact" w:val="227"/>
        </w:trPr>
        <w:tc>
          <w:tcPr>
            <w:tcW w:w="1585" w:type="dxa"/>
            <w:tcBorders>
              <w:top w:val="single" w:sz="4" w:space="0" w:color="auto"/>
              <w:bottom w:val="single" w:sz="4" w:space="0" w:color="auto"/>
            </w:tcBorders>
            <w:shd w:val="clear" w:color="auto" w:fill="auto"/>
            <w:noWrap/>
            <w:vAlign w:val="bottom"/>
            <w:hideMark/>
          </w:tcPr>
          <w:p w:rsidR="00A6677D" w:rsidRPr="00080011" w:rsidRDefault="00A6677D" w:rsidP="00A6677D">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TOTAL</w:t>
            </w:r>
          </w:p>
        </w:tc>
        <w:tc>
          <w:tcPr>
            <w:tcW w:w="2028" w:type="dxa"/>
            <w:tcBorders>
              <w:top w:val="single" w:sz="4" w:space="0" w:color="auto"/>
              <w:bottom w:val="single" w:sz="4" w:space="0" w:color="auto"/>
            </w:tcBorders>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10%</w:t>
            </w:r>
          </w:p>
        </w:tc>
        <w:tc>
          <w:tcPr>
            <w:tcW w:w="2268" w:type="dxa"/>
            <w:tcBorders>
              <w:top w:val="single" w:sz="4" w:space="0" w:color="auto"/>
              <w:bottom w:val="single" w:sz="4" w:space="0" w:color="auto"/>
            </w:tcBorders>
            <w:shd w:val="clear" w:color="auto" w:fill="auto"/>
            <w:noWrap/>
            <w:vAlign w:val="center"/>
            <w:hideMark/>
          </w:tcPr>
          <w:p w:rsidR="00A6677D" w:rsidRPr="00080011" w:rsidRDefault="00A6677D" w:rsidP="00080011">
            <w:pPr>
              <w:keepNext/>
              <w:spacing w:after="0" w:line="240" w:lineRule="auto"/>
              <w:rPr>
                <w:rFonts w:asciiTheme="majorBidi" w:eastAsia="Times New Roman" w:hAnsiTheme="majorBidi" w:cstheme="majorBidi"/>
                <w:color w:val="000000"/>
                <w:lang w:val="en-US" w:bidi="he-IL"/>
              </w:rPr>
            </w:pPr>
            <w:r w:rsidRPr="00080011">
              <w:rPr>
                <w:rFonts w:asciiTheme="majorBidi" w:eastAsia="Times New Roman" w:hAnsiTheme="majorBidi" w:cstheme="majorBidi"/>
                <w:color w:val="000000"/>
                <w:lang w:val="en-US" w:bidi="he-IL"/>
              </w:rPr>
              <w:t>21%</w:t>
            </w:r>
          </w:p>
        </w:tc>
      </w:tr>
    </w:tbl>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p>
    <w:p w:rsidR="00A6677D" w:rsidRPr="00A6677D" w:rsidRDefault="00A6677D" w:rsidP="00A6677D">
      <w:pPr>
        <w:keepNext/>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r w:rsidRPr="00A6677D">
        <w:rPr>
          <w:rFonts w:ascii="Times New Roman" w:eastAsia="Times New Roman" w:hAnsi="Times New Roman" w:cs="Times New Roman"/>
          <w:b/>
          <w:color w:val="000000"/>
          <w:sz w:val="24"/>
          <w:szCs w:val="24"/>
          <w:lang w:eastAsia="en-GB"/>
        </w:rPr>
        <w:t xml:space="preserve">Table </w:t>
      </w:r>
      <w:r w:rsidRPr="00A6677D">
        <w:rPr>
          <w:rFonts w:ascii="Times New Roman" w:eastAsia="Times New Roman" w:hAnsi="Times New Roman" w:cs="Times New Roman"/>
          <w:b/>
          <w:color w:val="000000"/>
          <w:sz w:val="24"/>
          <w:szCs w:val="24"/>
          <w:lang w:eastAsia="en-GB"/>
        </w:rPr>
        <w:fldChar w:fldCharType="begin"/>
      </w:r>
      <w:r w:rsidRPr="00A6677D">
        <w:rPr>
          <w:rFonts w:ascii="Times New Roman" w:eastAsia="Times New Roman" w:hAnsi="Times New Roman" w:cs="Times New Roman"/>
          <w:b/>
          <w:color w:val="000000"/>
          <w:sz w:val="24"/>
          <w:szCs w:val="24"/>
          <w:lang w:eastAsia="en-GB"/>
        </w:rPr>
        <w:instrText xml:space="preserve"> SEQ Table \* ARABIC </w:instrText>
      </w:r>
      <w:r w:rsidRPr="00A6677D">
        <w:rPr>
          <w:rFonts w:ascii="Times New Roman" w:eastAsia="Times New Roman" w:hAnsi="Times New Roman" w:cs="Times New Roman"/>
          <w:b/>
          <w:color w:val="000000"/>
          <w:sz w:val="24"/>
          <w:szCs w:val="24"/>
          <w:lang w:eastAsia="en-GB"/>
        </w:rPr>
        <w:fldChar w:fldCharType="separate"/>
      </w:r>
      <w:r w:rsidR="0069539B">
        <w:rPr>
          <w:rFonts w:ascii="Times New Roman" w:eastAsia="Times New Roman" w:hAnsi="Times New Roman" w:cs="Times New Roman"/>
          <w:b/>
          <w:noProof/>
          <w:color w:val="000000"/>
          <w:sz w:val="24"/>
          <w:szCs w:val="24"/>
          <w:lang w:eastAsia="en-GB"/>
        </w:rPr>
        <w:t>4</w:t>
      </w:r>
      <w:r w:rsidRPr="00A6677D">
        <w:rPr>
          <w:rFonts w:ascii="Times New Roman" w:eastAsia="Times New Roman" w:hAnsi="Times New Roman" w:cs="Times New Roman"/>
          <w:b/>
          <w:color w:val="000000"/>
          <w:sz w:val="24"/>
          <w:szCs w:val="24"/>
          <w:lang w:eastAsia="en-GB"/>
        </w:rPr>
        <w:fldChar w:fldCharType="end"/>
      </w:r>
      <w:r w:rsidRPr="00A6677D">
        <w:rPr>
          <w:rFonts w:ascii="Times New Roman" w:eastAsia="Times New Roman" w:hAnsi="Times New Roman" w:cs="Times New Roman"/>
          <w:b/>
          <w:color w:val="000000"/>
          <w:sz w:val="24"/>
          <w:szCs w:val="24"/>
          <w:lang w:eastAsia="en-GB"/>
        </w:rPr>
        <w:t xml:space="preserve">: Chilean exports to the EU and the effects of the two scenarios </w:t>
      </w:r>
      <w:r w:rsidRPr="00A6677D">
        <w:rPr>
          <w:rFonts w:asciiTheme="majorBidi" w:hAnsiTheme="majorBidi" w:cstheme="majorBidi"/>
          <w:b/>
          <w:bCs/>
          <w:color w:val="000000"/>
          <w:sz w:val="24"/>
          <w:szCs w:val="24"/>
          <w:lang w:eastAsia="en-GB"/>
        </w:rPr>
        <w:t>(long term)</w:t>
      </w:r>
    </w:p>
    <w:tbl>
      <w:tblPr>
        <w:tblW w:w="0" w:type="auto"/>
        <w:tblInd w:w="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5"/>
        <w:gridCol w:w="2028"/>
        <w:gridCol w:w="2268"/>
      </w:tblGrid>
      <w:tr w:rsidR="00A6677D" w:rsidRPr="00A6677D" w:rsidTr="002C4CFC">
        <w:trPr>
          <w:trHeight w:val="300"/>
        </w:trPr>
        <w:tc>
          <w:tcPr>
            <w:tcW w:w="1585" w:type="dxa"/>
            <w:tcBorders>
              <w:top w:val="single" w:sz="4" w:space="0" w:color="auto"/>
              <w:bottom w:val="single" w:sz="4" w:space="0" w:color="auto"/>
            </w:tcBorders>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Sector</w:t>
            </w:r>
          </w:p>
        </w:tc>
        <w:tc>
          <w:tcPr>
            <w:tcW w:w="2028" w:type="dxa"/>
            <w:tcBorders>
              <w:top w:val="single" w:sz="4" w:space="0" w:color="auto"/>
              <w:bottom w:val="single" w:sz="4" w:space="0" w:color="auto"/>
            </w:tcBorders>
            <w:shd w:val="clear" w:color="auto" w:fill="auto"/>
            <w:noWrap/>
            <w:vAlign w:val="bottom"/>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Conservative</w:t>
            </w:r>
          </w:p>
        </w:tc>
        <w:tc>
          <w:tcPr>
            <w:tcW w:w="2268" w:type="dxa"/>
            <w:tcBorders>
              <w:top w:val="single" w:sz="4" w:space="0" w:color="auto"/>
              <w:bottom w:val="single" w:sz="4" w:space="0" w:color="auto"/>
            </w:tcBorders>
            <w:shd w:val="clear" w:color="auto" w:fill="auto"/>
            <w:noWrap/>
            <w:vAlign w:val="bottom"/>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Ambitious</w:t>
            </w:r>
          </w:p>
        </w:tc>
      </w:tr>
      <w:tr w:rsidR="00A6677D" w:rsidRPr="00A6677D" w:rsidTr="002C4CFC">
        <w:trPr>
          <w:trHeight w:val="300"/>
        </w:trPr>
        <w:tc>
          <w:tcPr>
            <w:tcW w:w="1585" w:type="dxa"/>
            <w:tcBorders>
              <w:top w:val="single" w:sz="4" w:space="0" w:color="auto"/>
            </w:tcBorders>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rice</w:t>
            </w:r>
          </w:p>
        </w:tc>
        <w:tc>
          <w:tcPr>
            <w:tcW w:w="2028" w:type="dxa"/>
            <w:tcBorders>
              <w:top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w:t>
            </w:r>
          </w:p>
        </w:tc>
        <w:tc>
          <w:tcPr>
            <w:tcW w:w="2268" w:type="dxa"/>
            <w:tcBorders>
              <w:top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cereals</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48%</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48%</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veg_fruit</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5%</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5%</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oil_seeds</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71%</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sugar</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20%</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fiber_crop</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-2%</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-2%</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ruminant_meat</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-2%</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-2%</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other_meat</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-3%</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-3%</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dairy</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74%</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73%</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wood_paper</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fishing</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coal</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oil</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gas</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minerals</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5%</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5%</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other_food</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bev_tob</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7%</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textile</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chemicals</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oil_pcts</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metal_pcts</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no_metal_pct</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motor_equip</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machinery</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ele_other</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electricity</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utility</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3%</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transport</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4%</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communication</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3%</w:t>
            </w:r>
          </w:p>
        </w:tc>
      </w:tr>
      <w:tr w:rsidR="00A6677D" w:rsidRPr="00A6677D" w:rsidTr="002C4CFC">
        <w:trPr>
          <w:trHeight w:val="300"/>
        </w:trPr>
        <w:tc>
          <w:tcPr>
            <w:tcW w:w="1585" w:type="dxa"/>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financial</w:t>
            </w:r>
          </w:p>
        </w:tc>
        <w:tc>
          <w:tcPr>
            <w:tcW w:w="202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3%</w:t>
            </w:r>
          </w:p>
        </w:tc>
      </w:tr>
      <w:tr w:rsidR="00A6677D" w:rsidRPr="00A6677D" w:rsidTr="002C4CFC">
        <w:trPr>
          <w:trHeight w:val="300"/>
        </w:trPr>
        <w:tc>
          <w:tcPr>
            <w:tcW w:w="1585" w:type="dxa"/>
            <w:tcBorders>
              <w:bottom w:val="single" w:sz="4" w:space="0" w:color="auto"/>
            </w:tcBorders>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other_serv</w:t>
            </w:r>
          </w:p>
        </w:tc>
        <w:tc>
          <w:tcPr>
            <w:tcW w:w="2028" w:type="dxa"/>
            <w:tcBorders>
              <w:bottom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tcBorders>
              <w:bottom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3%</w:t>
            </w:r>
          </w:p>
        </w:tc>
      </w:tr>
      <w:tr w:rsidR="00A6677D" w:rsidRPr="00A6677D" w:rsidTr="002C4CFC">
        <w:trPr>
          <w:trHeight w:val="300"/>
        </w:trPr>
        <w:tc>
          <w:tcPr>
            <w:tcW w:w="1585" w:type="dxa"/>
            <w:tcBorders>
              <w:top w:val="single" w:sz="4" w:space="0" w:color="auto"/>
              <w:bottom w:val="single" w:sz="4" w:space="0" w:color="auto"/>
            </w:tcBorders>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TOTAL</w:t>
            </w:r>
          </w:p>
        </w:tc>
        <w:tc>
          <w:tcPr>
            <w:tcW w:w="2028" w:type="dxa"/>
            <w:tcBorders>
              <w:top w:val="single" w:sz="4" w:space="0" w:color="auto"/>
              <w:bottom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w:t>
            </w:r>
          </w:p>
        </w:tc>
        <w:tc>
          <w:tcPr>
            <w:tcW w:w="2268" w:type="dxa"/>
            <w:tcBorders>
              <w:top w:val="single" w:sz="4" w:space="0" w:color="auto"/>
              <w:bottom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2%</w:t>
            </w:r>
          </w:p>
        </w:tc>
      </w:tr>
    </w:tbl>
    <w:p w:rsidR="00A6677D" w:rsidRPr="00A6677D" w:rsidRDefault="00A6677D" w:rsidP="00A6677D">
      <w:pPr>
        <w:autoSpaceDE w:val="0"/>
        <w:autoSpaceDN w:val="0"/>
        <w:adjustRightInd w:val="0"/>
        <w:spacing w:before="40" w:after="40" w:line="240" w:lineRule="auto"/>
        <w:rPr>
          <w:rFonts w:ascii="Times New Roman" w:eastAsia="Times New Roman" w:hAnsi="Times New Roman" w:cs="Times New Roman"/>
          <w:color w:val="000000"/>
          <w:sz w:val="24"/>
          <w:szCs w:val="24"/>
          <w:lang w:eastAsia="en-GB"/>
        </w:rPr>
      </w:pPr>
    </w:p>
    <w:p w:rsidR="00A6677D" w:rsidRPr="00A6677D" w:rsidRDefault="00A6677D" w:rsidP="00A6677D">
      <w:pPr>
        <w:autoSpaceDE w:val="0"/>
        <w:autoSpaceDN w:val="0"/>
        <w:adjustRightInd w:val="0"/>
        <w:spacing w:before="40" w:after="40" w:line="240" w:lineRule="auto"/>
        <w:jc w:val="both"/>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Table 5 shows percentage changes in sectoral output in the two countries under both scenarios. For the EU, only one sector exhibits changes in excess of 0.05%. This sector, the coal sector, is however insignificant in the EU in terms of its share in the total economy. Absolute changes are strongest in the services sector, although relative changes there are tiny.</w:t>
      </w:r>
    </w:p>
    <w:p w:rsidR="00A6677D" w:rsidRDefault="00A6677D" w:rsidP="00A6677D">
      <w:pPr>
        <w:autoSpaceDE w:val="0"/>
        <w:autoSpaceDN w:val="0"/>
        <w:adjustRightInd w:val="0"/>
        <w:spacing w:before="40" w:after="40" w:line="240" w:lineRule="auto"/>
        <w:jc w:val="both"/>
        <w:rPr>
          <w:rFonts w:ascii="Times New Roman" w:eastAsia="Times New Roman" w:hAnsi="Times New Roman" w:cs="Times New Roman"/>
          <w:color w:val="000000"/>
          <w:sz w:val="24"/>
          <w:szCs w:val="24"/>
          <w:lang w:eastAsia="en-GB"/>
        </w:rPr>
      </w:pPr>
      <w:r w:rsidRPr="00A6677D">
        <w:rPr>
          <w:rFonts w:ascii="Times New Roman" w:eastAsia="Times New Roman" w:hAnsi="Times New Roman" w:cs="Times New Roman"/>
          <w:color w:val="000000"/>
          <w:sz w:val="24"/>
          <w:szCs w:val="24"/>
          <w:lang w:eastAsia="en-GB"/>
        </w:rPr>
        <w:t>For Chile, relative effects on output are somewhat more pronounced. They are strongest for the fruit and vegetable, oilseeds and vegetable oils and dairy sectors, whereas in absolute terms, the expansion of services sectors is much stronger, too. On the negative side, the machinery sector faces the strongest relative contraction of output, whereas metal sector is the one that contracts most in absolute terms.</w:t>
      </w:r>
    </w:p>
    <w:p w:rsidR="00BD1F19" w:rsidRDefault="00BD1F19" w:rsidP="00A6677D">
      <w:pPr>
        <w:autoSpaceDE w:val="0"/>
        <w:autoSpaceDN w:val="0"/>
        <w:adjustRightInd w:val="0"/>
        <w:spacing w:before="40" w:after="40" w:line="240" w:lineRule="auto"/>
        <w:jc w:val="both"/>
        <w:rPr>
          <w:rFonts w:ascii="Times New Roman" w:eastAsia="Times New Roman" w:hAnsi="Times New Roman" w:cs="Times New Roman"/>
          <w:color w:val="000000"/>
          <w:sz w:val="24"/>
          <w:szCs w:val="24"/>
          <w:lang w:eastAsia="en-GB"/>
        </w:rPr>
      </w:pPr>
    </w:p>
    <w:p w:rsidR="00BD1F19" w:rsidRDefault="00BD1F19" w:rsidP="00A6677D">
      <w:pPr>
        <w:autoSpaceDE w:val="0"/>
        <w:autoSpaceDN w:val="0"/>
        <w:adjustRightInd w:val="0"/>
        <w:spacing w:before="40" w:after="4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To interpret these output results, it is important to consider that the model cannot expand the factors of production (as it might be the case in real life). Instead, the CGE modelling pulls them across to the most efficient sector. In other words, growth in one sector always occurs at the expense of others. This partly explains the decline in output in some sectors, as a result of production increases in other sectors.</w:t>
      </w:r>
    </w:p>
    <w:p w:rsidR="00080011" w:rsidRPr="00A6677D" w:rsidRDefault="00080011" w:rsidP="00A6677D">
      <w:pPr>
        <w:autoSpaceDE w:val="0"/>
        <w:autoSpaceDN w:val="0"/>
        <w:adjustRightInd w:val="0"/>
        <w:spacing w:before="40" w:after="40" w:line="240" w:lineRule="auto"/>
        <w:jc w:val="both"/>
        <w:rPr>
          <w:rFonts w:ascii="Times New Roman" w:eastAsia="Times New Roman" w:hAnsi="Times New Roman" w:cs="Times New Roman"/>
          <w:color w:val="000000"/>
          <w:sz w:val="24"/>
          <w:szCs w:val="24"/>
          <w:lang w:eastAsia="en-GB"/>
        </w:rPr>
      </w:pPr>
    </w:p>
    <w:p w:rsidR="00A6677D" w:rsidRPr="00A6677D" w:rsidRDefault="00A6677D" w:rsidP="00A6677D">
      <w:pPr>
        <w:keepNext/>
        <w:autoSpaceDE w:val="0"/>
        <w:autoSpaceDN w:val="0"/>
        <w:adjustRightInd w:val="0"/>
        <w:spacing w:before="40" w:after="40" w:line="240" w:lineRule="auto"/>
        <w:rPr>
          <w:rFonts w:ascii="Times New Roman" w:eastAsia="Times New Roman" w:hAnsi="Times New Roman" w:cs="Times New Roman"/>
          <w:b/>
          <w:color w:val="000000"/>
          <w:sz w:val="24"/>
          <w:szCs w:val="24"/>
          <w:lang w:eastAsia="en-GB"/>
        </w:rPr>
      </w:pPr>
      <w:r w:rsidRPr="00A6677D">
        <w:rPr>
          <w:rFonts w:ascii="Times New Roman" w:eastAsia="Times New Roman" w:hAnsi="Times New Roman" w:cs="Times New Roman"/>
          <w:b/>
          <w:color w:val="000000"/>
          <w:sz w:val="24"/>
          <w:szCs w:val="24"/>
          <w:lang w:eastAsia="en-GB"/>
        </w:rPr>
        <w:t xml:space="preserve">Table </w:t>
      </w:r>
      <w:r w:rsidRPr="00A6677D">
        <w:rPr>
          <w:rFonts w:ascii="Times New Roman" w:eastAsia="Times New Roman" w:hAnsi="Times New Roman" w:cs="Times New Roman"/>
          <w:b/>
          <w:color w:val="000000"/>
          <w:sz w:val="24"/>
          <w:szCs w:val="24"/>
          <w:lang w:eastAsia="en-GB"/>
        </w:rPr>
        <w:fldChar w:fldCharType="begin"/>
      </w:r>
      <w:r w:rsidRPr="00A6677D">
        <w:rPr>
          <w:rFonts w:ascii="Times New Roman" w:eastAsia="Times New Roman" w:hAnsi="Times New Roman" w:cs="Times New Roman"/>
          <w:b/>
          <w:color w:val="000000"/>
          <w:sz w:val="24"/>
          <w:szCs w:val="24"/>
          <w:lang w:eastAsia="en-GB"/>
        </w:rPr>
        <w:instrText xml:space="preserve"> SEQ Table \* ARABIC </w:instrText>
      </w:r>
      <w:r w:rsidRPr="00A6677D">
        <w:rPr>
          <w:rFonts w:ascii="Times New Roman" w:eastAsia="Times New Roman" w:hAnsi="Times New Roman" w:cs="Times New Roman"/>
          <w:b/>
          <w:color w:val="000000"/>
          <w:sz w:val="24"/>
          <w:szCs w:val="24"/>
          <w:lang w:eastAsia="en-GB"/>
        </w:rPr>
        <w:fldChar w:fldCharType="separate"/>
      </w:r>
      <w:r w:rsidR="0069539B">
        <w:rPr>
          <w:rFonts w:ascii="Times New Roman" w:eastAsia="Times New Roman" w:hAnsi="Times New Roman" w:cs="Times New Roman"/>
          <w:b/>
          <w:noProof/>
          <w:color w:val="000000"/>
          <w:sz w:val="24"/>
          <w:szCs w:val="24"/>
          <w:lang w:eastAsia="en-GB"/>
        </w:rPr>
        <w:t>5</w:t>
      </w:r>
      <w:r w:rsidRPr="00A6677D">
        <w:rPr>
          <w:rFonts w:ascii="Times New Roman" w:eastAsia="Times New Roman" w:hAnsi="Times New Roman" w:cs="Times New Roman"/>
          <w:b/>
          <w:color w:val="000000"/>
          <w:sz w:val="24"/>
          <w:szCs w:val="24"/>
          <w:lang w:eastAsia="en-GB"/>
        </w:rPr>
        <w:fldChar w:fldCharType="end"/>
      </w:r>
      <w:r w:rsidRPr="00A6677D">
        <w:rPr>
          <w:rFonts w:ascii="Times New Roman" w:eastAsia="Times New Roman" w:hAnsi="Times New Roman" w:cs="Times New Roman"/>
          <w:b/>
          <w:color w:val="000000"/>
          <w:sz w:val="24"/>
          <w:szCs w:val="24"/>
          <w:lang w:eastAsia="en-GB"/>
        </w:rPr>
        <w:t>: Relative changes of sectoral output in the EU and Chile (long term)</w:t>
      </w:r>
    </w:p>
    <w:tbl>
      <w:tblPr>
        <w:tblW w:w="5208"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85"/>
        <w:gridCol w:w="858"/>
        <w:gridCol w:w="858"/>
        <w:gridCol w:w="111"/>
        <w:gridCol w:w="111"/>
        <w:gridCol w:w="911"/>
        <w:gridCol w:w="858"/>
      </w:tblGrid>
      <w:tr w:rsidR="00A6677D" w:rsidRPr="00A6677D" w:rsidTr="00361BD0">
        <w:trPr>
          <w:trHeight w:val="286"/>
        </w:trPr>
        <w:tc>
          <w:tcPr>
            <w:tcW w:w="0" w:type="auto"/>
            <w:tcBorders>
              <w:top w:val="single" w:sz="4" w:space="0" w:color="auto"/>
              <w:bottom w:val="nil"/>
            </w:tcBorders>
            <w:shd w:val="clear" w:color="auto" w:fill="auto"/>
            <w:noWrap/>
            <w:vAlign w:val="bottom"/>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gridSpan w:val="3"/>
            <w:tcBorders>
              <w:top w:val="single" w:sz="4" w:space="0" w:color="auto"/>
              <w:bottom w:val="nil"/>
            </w:tcBorders>
            <w:shd w:val="clear" w:color="auto" w:fill="auto"/>
            <w:noWrap/>
            <w:vAlign w:val="bottom"/>
            <w:hideMark/>
          </w:tcPr>
          <w:p w:rsidR="00A6677D" w:rsidRPr="00A6677D" w:rsidRDefault="00A6677D" w:rsidP="00A6677D">
            <w:pPr>
              <w:keepNext/>
              <w:spacing w:after="0" w:line="240" w:lineRule="auto"/>
              <w:jc w:val="center"/>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Conservative</w:t>
            </w:r>
          </w:p>
        </w:tc>
        <w:tc>
          <w:tcPr>
            <w:tcW w:w="0" w:type="auto"/>
            <w:gridSpan w:val="3"/>
            <w:tcBorders>
              <w:top w:val="single" w:sz="4" w:space="0" w:color="auto"/>
              <w:bottom w:val="nil"/>
            </w:tcBorders>
            <w:shd w:val="clear" w:color="auto" w:fill="auto"/>
            <w:noWrap/>
            <w:vAlign w:val="bottom"/>
            <w:hideMark/>
          </w:tcPr>
          <w:p w:rsidR="00A6677D" w:rsidRPr="00A6677D" w:rsidRDefault="00A6677D" w:rsidP="00A6677D">
            <w:pPr>
              <w:keepNext/>
              <w:spacing w:after="0" w:line="240" w:lineRule="auto"/>
              <w:jc w:val="center"/>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Ambitious</w:t>
            </w:r>
          </w:p>
        </w:tc>
      </w:tr>
      <w:tr w:rsidR="00A6677D" w:rsidRPr="00A6677D" w:rsidTr="00361BD0">
        <w:trPr>
          <w:trHeight w:val="286"/>
        </w:trPr>
        <w:tc>
          <w:tcPr>
            <w:tcW w:w="0" w:type="auto"/>
            <w:tcBorders>
              <w:top w:val="nil"/>
              <w:bottom w:val="single" w:sz="4" w:space="0" w:color="auto"/>
            </w:tcBorders>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 xml:space="preserve">Sector </w:t>
            </w:r>
          </w:p>
        </w:tc>
        <w:tc>
          <w:tcPr>
            <w:tcW w:w="0" w:type="auto"/>
            <w:tcBorders>
              <w:top w:val="nil"/>
              <w:bottom w:val="single" w:sz="4" w:space="0" w:color="auto"/>
            </w:tcBorders>
            <w:shd w:val="clear" w:color="auto" w:fill="auto"/>
            <w:noWrap/>
            <w:vAlign w:val="bottom"/>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EU</w:t>
            </w:r>
          </w:p>
        </w:tc>
        <w:tc>
          <w:tcPr>
            <w:tcW w:w="0" w:type="auto"/>
            <w:tcBorders>
              <w:top w:val="nil"/>
              <w:bottom w:val="single" w:sz="4" w:space="0" w:color="auto"/>
            </w:tcBorders>
            <w:shd w:val="clear" w:color="auto" w:fill="auto"/>
            <w:noWrap/>
            <w:vAlign w:val="bottom"/>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Chile</w:t>
            </w:r>
          </w:p>
        </w:tc>
        <w:tc>
          <w:tcPr>
            <w:tcW w:w="0" w:type="auto"/>
            <w:gridSpan w:val="2"/>
            <w:tcBorders>
              <w:top w:val="nil"/>
              <w:bottom w:val="single" w:sz="4" w:space="0" w:color="auto"/>
            </w:tcBorders>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tcBorders>
              <w:top w:val="nil"/>
              <w:bottom w:val="single" w:sz="4" w:space="0" w:color="auto"/>
            </w:tcBorders>
            <w:shd w:val="clear" w:color="auto" w:fill="auto"/>
            <w:noWrap/>
            <w:vAlign w:val="bottom"/>
            <w:hideMark/>
          </w:tcPr>
          <w:p w:rsidR="00A6677D" w:rsidRPr="00A6677D" w:rsidRDefault="00A6677D" w:rsidP="00A6677D">
            <w:pPr>
              <w:keepNext/>
              <w:spacing w:after="0" w:line="240" w:lineRule="auto"/>
              <w:ind w:left="401"/>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EU</w:t>
            </w:r>
          </w:p>
        </w:tc>
        <w:tc>
          <w:tcPr>
            <w:tcW w:w="0" w:type="auto"/>
            <w:tcBorders>
              <w:top w:val="nil"/>
              <w:bottom w:val="single" w:sz="4" w:space="0" w:color="auto"/>
            </w:tcBorders>
            <w:shd w:val="clear" w:color="auto" w:fill="auto"/>
            <w:noWrap/>
            <w:vAlign w:val="bottom"/>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Chile</w:t>
            </w:r>
          </w:p>
        </w:tc>
      </w:tr>
      <w:tr w:rsidR="00A6677D" w:rsidRPr="00A6677D" w:rsidTr="00361BD0">
        <w:trPr>
          <w:trHeight w:val="286"/>
        </w:trPr>
        <w:tc>
          <w:tcPr>
            <w:tcW w:w="0" w:type="auto"/>
            <w:tcBorders>
              <w:top w:val="single" w:sz="4" w:space="0" w:color="auto"/>
            </w:tcBorders>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Rice</w:t>
            </w:r>
          </w:p>
        </w:tc>
        <w:tc>
          <w:tcPr>
            <w:tcW w:w="0" w:type="auto"/>
            <w:tcBorders>
              <w:top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tcBorders>
              <w:top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-0.15%</w:t>
            </w:r>
          </w:p>
        </w:tc>
        <w:tc>
          <w:tcPr>
            <w:tcW w:w="0" w:type="auto"/>
            <w:gridSpan w:val="2"/>
            <w:tcBorders>
              <w:top w:val="single" w:sz="4" w:space="0" w:color="auto"/>
            </w:tcBorders>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tcBorders>
              <w:top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tcBorders>
              <w:top w:val="single" w:sz="4" w:space="0" w:color="auto"/>
            </w:tcBorders>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-0.15%</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Cereals</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veg_fruit</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-0.04%</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2.71%</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-0.04%</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2.68%</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oil_seeds</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-0.07%</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-0.07%</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Sugar</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0.49%</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0.49%</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fiber_crop</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-1.15%</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-1.35%</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ruminant_meat</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-0.40%</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-0.35%</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other_meat</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-0.27%</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-0.24%</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Dairy</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5.07%</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5.12%</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wood_paper</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-0.27%</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0.03%</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-0.47%</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Fishing</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Coal</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0.10%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-0.85%</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-1.71%</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Oil</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-0.27%</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-0.54%</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Gas</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-0.11%</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-0.07%</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Minerals</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0.29%</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0.30%</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other_food</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0.24%</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0.25%</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bev_tob</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0.93%</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0.99%</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Textile</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-0.25%</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-0.38%</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chemicals</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-0.23%</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-0.36%</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oil_pcts</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0.24%</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0.48%</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metal_pcts</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-0.64%</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-0.79%</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no_metal_pct</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0.41%</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0.73%</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motor_equip</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-1.07%</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0.05%</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-1.78%</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machinery</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-1.64%</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0.04%</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-2.89%</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ele_other</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-0.42%</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-0.56%</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electricity</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0.11%</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0.18%</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Utility</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0.76%</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1.32%</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transport</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0.07%</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0.10%</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communication</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0.28%</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0.40%</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Financial</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0.24%</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0.27%</w:t>
            </w:r>
          </w:p>
        </w:tc>
      </w:tr>
      <w:tr w:rsidR="00A6677D" w:rsidRPr="00A6677D" w:rsidTr="00361BD0">
        <w:trPr>
          <w:trHeight w:val="286"/>
        </w:trPr>
        <w:tc>
          <w:tcPr>
            <w:tcW w:w="0" w:type="auto"/>
            <w:shd w:val="clear" w:color="auto" w:fill="auto"/>
            <w:noWrap/>
            <w:vAlign w:val="bottom"/>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other_serv</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0.36%</w:t>
            </w:r>
          </w:p>
        </w:tc>
        <w:tc>
          <w:tcPr>
            <w:tcW w:w="0" w:type="auto"/>
            <w:gridSpan w:val="2"/>
            <w:shd w:val="clear" w:color="auto" w:fill="auto"/>
            <w:noWrap/>
            <w:vAlign w:val="bottom"/>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0.02%</w:t>
            </w:r>
          </w:p>
        </w:tc>
        <w:tc>
          <w:tcPr>
            <w:tcW w:w="0" w:type="auto"/>
            <w:shd w:val="clear" w:color="auto" w:fill="auto"/>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0.51%</w:t>
            </w:r>
          </w:p>
        </w:tc>
      </w:tr>
    </w:tbl>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120" w:line="240" w:lineRule="auto"/>
        <w:jc w:val="both"/>
        <w:rPr>
          <w:rFonts w:ascii="Times New Roman" w:hAnsi="Times New Roman" w:cs="Times New Roman"/>
          <w:sz w:val="24"/>
          <w:szCs w:val="24"/>
        </w:rPr>
      </w:pPr>
      <w:r w:rsidRPr="00A6677D">
        <w:rPr>
          <w:rFonts w:ascii="Times New Roman" w:hAnsi="Times New Roman" w:cs="Times New Roman"/>
          <w:sz w:val="24"/>
          <w:szCs w:val="24"/>
        </w:rPr>
        <w:t xml:space="preserve">Table 6 shows the effects on consumers and workers. Real consumer prices, embodied by the consumer price index (CPI) are basically unaffected for the EU, but increase by about 0.2% in both scenarios for Chile. </w:t>
      </w:r>
    </w:p>
    <w:p w:rsidR="00A6677D" w:rsidRPr="00A6677D" w:rsidRDefault="00A6677D" w:rsidP="00A6677D">
      <w:pPr>
        <w:spacing w:after="120" w:line="240" w:lineRule="auto"/>
        <w:jc w:val="both"/>
        <w:rPr>
          <w:rFonts w:ascii="Times New Roman" w:hAnsi="Times New Roman" w:cs="Times New Roman"/>
          <w:sz w:val="24"/>
          <w:szCs w:val="24"/>
        </w:rPr>
      </w:pPr>
      <w:r w:rsidRPr="00A6677D">
        <w:rPr>
          <w:rFonts w:ascii="Times New Roman" w:hAnsi="Times New Roman" w:cs="Times New Roman"/>
          <w:sz w:val="24"/>
          <w:szCs w:val="24"/>
        </w:rPr>
        <w:t xml:space="preserve">Real wages which are corrected for the change in CPE and therefore represent a net effect on worker’s purchasing power do not change significantly in the EU, but more so in the Chile. Unskilled workers tend to gain more than skilled workers, about 0.6% in the ambitious scenario. </w:t>
      </w:r>
    </w:p>
    <w:p w:rsidR="00A6677D" w:rsidRPr="00A6677D" w:rsidRDefault="00A6677D" w:rsidP="00A6677D">
      <w:pPr>
        <w:keepNext/>
        <w:rPr>
          <w:rFonts w:asciiTheme="majorBidi" w:hAnsiTheme="majorBidi" w:cstheme="majorBidi"/>
          <w:b/>
          <w:bCs/>
          <w:color w:val="000000"/>
          <w:lang w:eastAsia="en-GB"/>
        </w:rPr>
      </w:pPr>
      <w:r w:rsidRPr="00A6677D">
        <w:rPr>
          <w:rFonts w:asciiTheme="majorBidi" w:hAnsiTheme="majorBidi" w:cstheme="majorBidi"/>
          <w:b/>
          <w:bCs/>
          <w:color w:val="000000"/>
          <w:lang w:eastAsia="en-GB"/>
        </w:rPr>
        <w:t>Table 6: Change in Consumer Price Index (CPI) and real wages in the two scenarios (long term)</w:t>
      </w:r>
    </w:p>
    <w:tbl>
      <w:tblPr>
        <w:tblW w:w="0" w:type="auto"/>
        <w:tblInd w:w="720" w:type="dxa"/>
        <w:tblLook w:val="04A0" w:firstRow="1" w:lastRow="0" w:firstColumn="1" w:lastColumn="0" w:noHBand="0" w:noVBand="1"/>
      </w:tblPr>
      <w:tblGrid>
        <w:gridCol w:w="693"/>
        <w:gridCol w:w="785"/>
        <w:gridCol w:w="1109"/>
        <w:gridCol w:w="865"/>
        <w:gridCol w:w="1268"/>
        <w:gridCol w:w="785"/>
        <w:gridCol w:w="1109"/>
        <w:gridCol w:w="865"/>
      </w:tblGrid>
      <w:tr w:rsidR="00A6677D" w:rsidRPr="00A6677D" w:rsidTr="002C4CFC">
        <w:trPr>
          <w:trHeight w:val="289"/>
        </w:trPr>
        <w:tc>
          <w:tcPr>
            <w:tcW w:w="0" w:type="auto"/>
            <w:tcBorders>
              <w:top w:val="single" w:sz="4" w:space="0" w:color="auto"/>
              <w:left w:val="single" w:sz="4" w:space="0" w:color="auto"/>
              <w:bottom w:val="single" w:sz="4" w:space="0" w:color="auto"/>
              <w:right w:val="nil"/>
            </w:tcBorders>
            <w:shd w:val="clear" w:color="auto" w:fill="auto"/>
            <w:vAlign w:val="center"/>
            <w:hideMark/>
          </w:tcPr>
          <w:p w:rsidR="00A6677D" w:rsidRPr="00A6677D" w:rsidRDefault="00A6677D" w:rsidP="00A6677D">
            <w:pPr>
              <w:keepNext/>
              <w:spacing w:after="0"/>
              <w:jc w:val="center"/>
              <w:rPr>
                <w:rFonts w:asciiTheme="majorBidi" w:hAnsiTheme="majorBidi" w:cstheme="majorBidi"/>
                <w:b/>
                <w:bCs/>
                <w:color w:val="000000"/>
                <w:lang w:eastAsia="en-GB"/>
              </w:rPr>
            </w:pPr>
          </w:p>
        </w:tc>
        <w:tc>
          <w:tcPr>
            <w:tcW w:w="0" w:type="auto"/>
            <w:gridSpan w:val="3"/>
            <w:tcBorders>
              <w:top w:val="single" w:sz="4" w:space="0" w:color="auto"/>
              <w:left w:val="nil"/>
              <w:bottom w:val="single" w:sz="4" w:space="0" w:color="auto"/>
              <w:right w:val="nil"/>
            </w:tcBorders>
          </w:tcPr>
          <w:p w:rsidR="00A6677D" w:rsidRPr="00A6677D" w:rsidRDefault="00A6677D" w:rsidP="00A6677D">
            <w:pPr>
              <w:keepNext/>
              <w:spacing w:after="0" w:line="240" w:lineRule="auto"/>
              <w:jc w:val="center"/>
              <w:rPr>
                <w:rFonts w:asciiTheme="majorBidi" w:hAnsiTheme="majorBidi" w:cstheme="majorBidi"/>
                <w:b/>
                <w:bCs/>
                <w:color w:val="000000"/>
                <w:lang w:eastAsia="en-GB"/>
              </w:rPr>
            </w:pPr>
            <w:r w:rsidRPr="00A6677D">
              <w:rPr>
                <w:rFonts w:asciiTheme="majorBidi" w:eastAsia="Times New Roman" w:hAnsiTheme="majorBidi" w:cstheme="majorBidi"/>
                <w:b/>
                <w:color w:val="000000"/>
                <w:lang w:val="en-US" w:bidi="he-IL"/>
              </w:rPr>
              <w:t>Conservative</w:t>
            </w:r>
          </w:p>
        </w:tc>
        <w:tc>
          <w:tcPr>
            <w:tcW w:w="1268" w:type="dxa"/>
            <w:tcBorders>
              <w:top w:val="single" w:sz="4" w:space="0" w:color="auto"/>
              <w:left w:val="nil"/>
              <w:bottom w:val="single" w:sz="4" w:space="0" w:color="auto"/>
              <w:right w:val="nil"/>
            </w:tcBorders>
            <w:shd w:val="clear" w:color="auto" w:fill="auto"/>
            <w:noWrap/>
            <w:vAlign w:val="bottom"/>
          </w:tcPr>
          <w:p w:rsidR="00A6677D" w:rsidRPr="00A6677D" w:rsidRDefault="00A6677D" w:rsidP="00A6677D">
            <w:pPr>
              <w:keepNext/>
              <w:spacing w:after="0"/>
              <w:jc w:val="center"/>
              <w:rPr>
                <w:rFonts w:asciiTheme="majorBidi" w:hAnsiTheme="majorBidi" w:cstheme="majorBidi"/>
                <w:color w:val="000000"/>
                <w:lang w:eastAsia="en-GB"/>
              </w:rPr>
            </w:pPr>
          </w:p>
        </w:tc>
        <w:tc>
          <w:tcPr>
            <w:tcW w:w="0" w:type="auto"/>
            <w:gridSpan w:val="3"/>
            <w:tcBorders>
              <w:top w:val="single" w:sz="4" w:space="0" w:color="auto"/>
              <w:left w:val="nil"/>
              <w:bottom w:val="single" w:sz="4" w:space="0" w:color="auto"/>
              <w:right w:val="single" w:sz="4" w:space="0" w:color="auto"/>
            </w:tcBorders>
          </w:tcPr>
          <w:p w:rsidR="00A6677D" w:rsidRPr="00A6677D" w:rsidRDefault="00A6677D" w:rsidP="00A6677D">
            <w:pPr>
              <w:keepNext/>
              <w:spacing w:after="0"/>
              <w:jc w:val="center"/>
              <w:rPr>
                <w:rFonts w:asciiTheme="majorBidi" w:hAnsiTheme="majorBidi" w:cstheme="majorBidi"/>
                <w:b/>
                <w:bCs/>
                <w:color w:val="000000"/>
                <w:lang w:eastAsia="en-GB"/>
              </w:rPr>
            </w:pPr>
            <w:r w:rsidRPr="00A6677D">
              <w:rPr>
                <w:rFonts w:asciiTheme="majorBidi" w:hAnsiTheme="majorBidi" w:cstheme="majorBidi"/>
                <w:b/>
                <w:bCs/>
                <w:color w:val="000000"/>
                <w:lang w:eastAsia="en-GB"/>
              </w:rPr>
              <w:t>Ambitious</w:t>
            </w:r>
          </w:p>
        </w:tc>
      </w:tr>
      <w:tr w:rsidR="00A6677D" w:rsidRPr="00A6677D" w:rsidTr="002C4CFC">
        <w:trPr>
          <w:trHeight w:val="289"/>
        </w:trPr>
        <w:tc>
          <w:tcPr>
            <w:tcW w:w="0" w:type="auto"/>
            <w:tcBorders>
              <w:top w:val="single" w:sz="4" w:space="0" w:color="auto"/>
              <w:left w:val="single" w:sz="4" w:space="0" w:color="auto"/>
              <w:bottom w:val="single" w:sz="4" w:space="0" w:color="auto"/>
              <w:right w:val="nil"/>
            </w:tcBorders>
            <w:shd w:val="clear" w:color="auto" w:fill="auto"/>
            <w:vAlign w:val="center"/>
            <w:hideMark/>
          </w:tcPr>
          <w:p w:rsidR="00A6677D" w:rsidRPr="00A6677D" w:rsidRDefault="00A6677D" w:rsidP="00A6677D">
            <w:pPr>
              <w:keepNext/>
              <w:spacing w:after="0"/>
              <w:jc w:val="center"/>
              <w:rPr>
                <w:rFonts w:asciiTheme="majorBidi" w:hAnsiTheme="majorBidi" w:cstheme="majorBidi"/>
                <w:b/>
                <w:bCs/>
                <w:color w:val="000000"/>
                <w:lang w:eastAsia="en-GB"/>
              </w:rPr>
            </w:pPr>
          </w:p>
        </w:tc>
        <w:tc>
          <w:tcPr>
            <w:tcW w:w="0" w:type="auto"/>
            <w:tcBorders>
              <w:top w:val="single" w:sz="4" w:space="0" w:color="auto"/>
              <w:left w:val="nil"/>
              <w:bottom w:val="single" w:sz="4" w:space="0" w:color="auto"/>
              <w:right w:val="nil"/>
            </w:tcBorders>
          </w:tcPr>
          <w:p w:rsidR="00A6677D" w:rsidRPr="00A6677D" w:rsidRDefault="00A6677D" w:rsidP="00A6677D">
            <w:pPr>
              <w:keepNext/>
              <w:spacing w:after="0"/>
              <w:jc w:val="right"/>
              <w:rPr>
                <w:rFonts w:asciiTheme="majorBidi" w:hAnsiTheme="majorBidi" w:cstheme="majorBidi"/>
                <w:b/>
                <w:bCs/>
                <w:color w:val="000000"/>
                <w:lang w:eastAsia="en-GB"/>
              </w:rPr>
            </w:pPr>
            <w:r w:rsidRPr="00A6677D">
              <w:rPr>
                <w:rFonts w:asciiTheme="majorBidi" w:hAnsiTheme="majorBidi" w:cstheme="majorBidi"/>
                <w:b/>
                <w:bCs/>
                <w:color w:val="000000"/>
                <w:lang w:eastAsia="en-GB"/>
              </w:rPr>
              <w:t>CPI</w:t>
            </w:r>
          </w:p>
        </w:tc>
        <w:tc>
          <w:tcPr>
            <w:tcW w:w="0" w:type="auto"/>
            <w:tcBorders>
              <w:top w:val="single" w:sz="4" w:space="0" w:color="auto"/>
              <w:left w:val="nil"/>
              <w:bottom w:val="single" w:sz="4" w:space="0" w:color="auto"/>
              <w:right w:val="nil"/>
            </w:tcBorders>
            <w:shd w:val="clear" w:color="auto" w:fill="auto"/>
            <w:vAlign w:val="center"/>
            <w:hideMark/>
          </w:tcPr>
          <w:p w:rsidR="00A6677D" w:rsidRPr="00A6677D" w:rsidRDefault="00A6677D" w:rsidP="00A6677D">
            <w:pPr>
              <w:keepNext/>
              <w:spacing w:after="0"/>
              <w:jc w:val="right"/>
              <w:rPr>
                <w:rFonts w:asciiTheme="majorBidi" w:hAnsiTheme="majorBidi" w:cstheme="majorBidi"/>
                <w:b/>
                <w:bCs/>
                <w:color w:val="000000"/>
                <w:lang w:eastAsia="en-GB"/>
              </w:rPr>
            </w:pPr>
            <w:r w:rsidRPr="00A6677D">
              <w:rPr>
                <w:rFonts w:asciiTheme="majorBidi" w:hAnsiTheme="majorBidi" w:cstheme="majorBidi"/>
                <w:b/>
                <w:bCs/>
                <w:color w:val="000000"/>
                <w:lang w:eastAsia="en-GB"/>
              </w:rPr>
              <w:t>Unskilled</w:t>
            </w:r>
          </w:p>
        </w:tc>
        <w:tc>
          <w:tcPr>
            <w:tcW w:w="0" w:type="auto"/>
            <w:tcBorders>
              <w:top w:val="single" w:sz="4" w:space="0" w:color="auto"/>
              <w:left w:val="nil"/>
              <w:bottom w:val="single" w:sz="4" w:space="0" w:color="auto"/>
              <w:right w:val="nil"/>
            </w:tcBorders>
            <w:shd w:val="clear" w:color="auto" w:fill="auto"/>
            <w:vAlign w:val="center"/>
            <w:hideMark/>
          </w:tcPr>
          <w:p w:rsidR="00A6677D" w:rsidRPr="00A6677D" w:rsidRDefault="00A6677D" w:rsidP="00A6677D">
            <w:pPr>
              <w:keepNext/>
              <w:spacing w:after="0"/>
              <w:jc w:val="right"/>
              <w:rPr>
                <w:rFonts w:asciiTheme="majorBidi" w:hAnsiTheme="majorBidi" w:cstheme="majorBidi"/>
                <w:b/>
                <w:bCs/>
                <w:color w:val="000000"/>
                <w:lang w:eastAsia="en-GB"/>
              </w:rPr>
            </w:pPr>
            <w:r w:rsidRPr="00A6677D">
              <w:rPr>
                <w:rFonts w:asciiTheme="majorBidi" w:hAnsiTheme="majorBidi" w:cstheme="majorBidi"/>
                <w:b/>
                <w:bCs/>
                <w:color w:val="000000"/>
                <w:lang w:eastAsia="en-GB"/>
              </w:rPr>
              <w:t>Skilled</w:t>
            </w:r>
          </w:p>
        </w:tc>
        <w:tc>
          <w:tcPr>
            <w:tcW w:w="1268" w:type="dxa"/>
            <w:tcBorders>
              <w:top w:val="single" w:sz="4" w:space="0" w:color="auto"/>
              <w:left w:val="nil"/>
              <w:bottom w:val="single" w:sz="4" w:space="0" w:color="auto"/>
              <w:right w:val="nil"/>
            </w:tcBorders>
            <w:shd w:val="clear" w:color="auto" w:fill="auto"/>
            <w:noWrap/>
            <w:vAlign w:val="bottom"/>
            <w:hideMark/>
          </w:tcPr>
          <w:p w:rsidR="00A6677D" w:rsidRPr="00A6677D" w:rsidRDefault="00A6677D" w:rsidP="00A6677D">
            <w:pPr>
              <w:keepNext/>
              <w:spacing w:after="0"/>
              <w:jc w:val="right"/>
              <w:rPr>
                <w:rFonts w:asciiTheme="majorBidi" w:hAnsiTheme="majorBidi" w:cstheme="majorBidi"/>
                <w:color w:val="000000"/>
                <w:lang w:eastAsia="en-GB"/>
              </w:rPr>
            </w:pPr>
          </w:p>
        </w:tc>
        <w:tc>
          <w:tcPr>
            <w:tcW w:w="0" w:type="auto"/>
            <w:tcBorders>
              <w:top w:val="single" w:sz="4" w:space="0" w:color="auto"/>
              <w:left w:val="nil"/>
              <w:bottom w:val="single" w:sz="4" w:space="0" w:color="auto"/>
              <w:right w:val="nil"/>
            </w:tcBorders>
          </w:tcPr>
          <w:p w:rsidR="00A6677D" w:rsidRPr="00A6677D" w:rsidRDefault="00A6677D" w:rsidP="00A6677D">
            <w:pPr>
              <w:keepNext/>
              <w:spacing w:after="0"/>
              <w:jc w:val="right"/>
              <w:rPr>
                <w:rFonts w:asciiTheme="majorBidi" w:hAnsiTheme="majorBidi" w:cstheme="majorBidi"/>
                <w:b/>
                <w:bCs/>
                <w:color w:val="000000"/>
                <w:lang w:eastAsia="en-GB"/>
              </w:rPr>
            </w:pPr>
            <w:r w:rsidRPr="00A6677D">
              <w:rPr>
                <w:rFonts w:asciiTheme="majorBidi" w:hAnsiTheme="majorBidi" w:cstheme="majorBidi"/>
                <w:b/>
                <w:bCs/>
                <w:color w:val="000000"/>
                <w:lang w:eastAsia="en-GB"/>
              </w:rPr>
              <w:t>CPI</w:t>
            </w:r>
          </w:p>
        </w:tc>
        <w:tc>
          <w:tcPr>
            <w:tcW w:w="0" w:type="auto"/>
            <w:tcBorders>
              <w:top w:val="single" w:sz="4" w:space="0" w:color="auto"/>
              <w:left w:val="nil"/>
              <w:bottom w:val="single" w:sz="4" w:space="0" w:color="auto"/>
              <w:right w:val="nil"/>
            </w:tcBorders>
            <w:shd w:val="clear" w:color="auto" w:fill="auto"/>
            <w:vAlign w:val="center"/>
            <w:hideMark/>
          </w:tcPr>
          <w:p w:rsidR="00A6677D" w:rsidRPr="00A6677D" w:rsidRDefault="00A6677D" w:rsidP="00A6677D">
            <w:pPr>
              <w:keepNext/>
              <w:spacing w:after="0"/>
              <w:jc w:val="right"/>
              <w:rPr>
                <w:rFonts w:asciiTheme="majorBidi" w:hAnsiTheme="majorBidi" w:cstheme="majorBidi"/>
                <w:b/>
                <w:bCs/>
                <w:color w:val="000000"/>
                <w:lang w:eastAsia="en-GB"/>
              </w:rPr>
            </w:pPr>
            <w:r w:rsidRPr="00A6677D">
              <w:rPr>
                <w:rFonts w:asciiTheme="majorBidi" w:hAnsiTheme="majorBidi" w:cstheme="majorBidi"/>
                <w:b/>
                <w:bCs/>
                <w:color w:val="000000"/>
                <w:lang w:eastAsia="en-GB"/>
              </w:rPr>
              <w:t>Unskilled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677D" w:rsidRPr="00A6677D" w:rsidRDefault="00A6677D" w:rsidP="00A6677D">
            <w:pPr>
              <w:keepNext/>
              <w:spacing w:after="0"/>
              <w:jc w:val="right"/>
              <w:rPr>
                <w:rFonts w:asciiTheme="majorBidi" w:hAnsiTheme="majorBidi" w:cstheme="majorBidi"/>
                <w:b/>
                <w:bCs/>
                <w:color w:val="000000"/>
                <w:lang w:eastAsia="en-GB"/>
              </w:rPr>
            </w:pPr>
            <w:r w:rsidRPr="00A6677D">
              <w:rPr>
                <w:rFonts w:asciiTheme="majorBidi" w:hAnsiTheme="majorBidi" w:cstheme="majorBidi"/>
                <w:b/>
                <w:bCs/>
                <w:color w:val="000000"/>
                <w:lang w:eastAsia="en-GB"/>
              </w:rPr>
              <w:t>Skilled</w:t>
            </w:r>
          </w:p>
        </w:tc>
      </w:tr>
      <w:tr w:rsidR="00A6677D" w:rsidRPr="00A6677D" w:rsidTr="002C4CFC">
        <w:trPr>
          <w:trHeight w:val="289"/>
        </w:trPr>
        <w:tc>
          <w:tcPr>
            <w:tcW w:w="0" w:type="auto"/>
            <w:tcBorders>
              <w:top w:val="single" w:sz="4" w:space="0" w:color="auto"/>
              <w:left w:val="single" w:sz="4" w:space="0" w:color="auto"/>
              <w:bottom w:val="nil"/>
              <w:right w:val="nil"/>
            </w:tcBorders>
            <w:shd w:val="clear" w:color="auto" w:fill="auto"/>
            <w:noWrap/>
            <w:vAlign w:val="center"/>
            <w:hideMark/>
          </w:tcPr>
          <w:p w:rsidR="00A6677D" w:rsidRPr="00A6677D" w:rsidRDefault="00A6677D" w:rsidP="00A6677D">
            <w:pPr>
              <w:keepNext/>
              <w:spacing w:after="0"/>
              <w:rPr>
                <w:rFonts w:asciiTheme="majorBidi" w:hAnsiTheme="majorBidi" w:cstheme="majorBidi"/>
                <w:color w:val="000000"/>
                <w:lang w:eastAsia="en-GB"/>
              </w:rPr>
            </w:pPr>
            <w:r w:rsidRPr="00A6677D">
              <w:rPr>
                <w:rFonts w:asciiTheme="majorBidi" w:hAnsiTheme="majorBidi" w:cstheme="majorBidi"/>
                <w:color w:val="000000"/>
                <w:lang w:eastAsia="en-GB"/>
              </w:rPr>
              <w:t>EU</w:t>
            </w:r>
          </w:p>
        </w:tc>
        <w:tc>
          <w:tcPr>
            <w:tcW w:w="0" w:type="auto"/>
            <w:tcBorders>
              <w:top w:val="single" w:sz="4" w:space="0" w:color="auto"/>
              <w:left w:val="nil"/>
              <w:bottom w:val="nil"/>
              <w:right w:val="nil"/>
            </w:tcBorders>
            <w:vAlign w:val="center"/>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tcBorders>
              <w:top w:val="single" w:sz="4" w:space="0" w:color="auto"/>
              <w:left w:val="nil"/>
              <w:bottom w:val="nil"/>
              <w:right w:val="nil"/>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tcBorders>
              <w:top w:val="single" w:sz="4" w:space="0" w:color="auto"/>
              <w:left w:val="nil"/>
              <w:bottom w:val="nil"/>
              <w:right w:val="nil"/>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1268" w:type="dxa"/>
            <w:tcBorders>
              <w:top w:val="single" w:sz="4" w:space="0" w:color="auto"/>
              <w:left w:val="nil"/>
              <w:bottom w:val="nil"/>
              <w:right w:val="nil"/>
            </w:tcBorders>
            <w:shd w:val="clear" w:color="auto" w:fill="auto"/>
            <w:noWrap/>
            <w:vAlign w:val="center"/>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p>
        </w:tc>
        <w:tc>
          <w:tcPr>
            <w:tcW w:w="0" w:type="auto"/>
            <w:tcBorders>
              <w:top w:val="single" w:sz="4" w:space="0" w:color="auto"/>
              <w:left w:val="nil"/>
              <w:bottom w:val="nil"/>
              <w:right w:val="nil"/>
            </w:tcBorders>
            <w:vAlign w:val="center"/>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tcBorders>
              <w:top w:val="single" w:sz="4" w:space="0" w:color="auto"/>
              <w:left w:val="nil"/>
              <w:bottom w:val="nil"/>
              <w:right w:val="nil"/>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c>
          <w:tcPr>
            <w:tcW w:w="0" w:type="auto"/>
            <w:tcBorders>
              <w:top w:val="single" w:sz="4" w:space="0" w:color="auto"/>
              <w:left w:val="nil"/>
              <w:bottom w:val="nil"/>
              <w:right w:val="single" w:sz="4" w:space="0" w:color="auto"/>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r>
      <w:tr w:rsidR="00A6677D" w:rsidRPr="00A6677D" w:rsidTr="002C4CFC">
        <w:trPr>
          <w:trHeight w:val="289"/>
        </w:trPr>
        <w:tc>
          <w:tcPr>
            <w:tcW w:w="0" w:type="auto"/>
            <w:tcBorders>
              <w:top w:val="nil"/>
              <w:left w:val="single" w:sz="4" w:space="0" w:color="auto"/>
              <w:bottom w:val="single" w:sz="4" w:space="0" w:color="auto"/>
              <w:right w:val="nil"/>
            </w:tcBorders>
            <w:shd w:val="clear" w:color="auto" w:fill="auto"/>
            <w:noWrap/>
            <w:vAlign w:val="center"/>
            <w:hideMark/>
          </w:tcPr>
          <w:p w:rsidR="00A6677D" w:rsidRPr="00A6677D" w:rsidRDefault="00A6677D" w:rsidP="00A6677D">
            <w:pPr>
              <w:keepNext/>
              <w:spacing w:after="0"/>
              <w:rPr>
                <w:rFonts w:asciiTheme="majorBidi" w:hAnsiTheme="majorBidi" w:cstheme="majorBidi"/>
                <w:color w:val="000000"/>
                <w:lang w:eastAsia="en-GB"/>
              </w:rPr>
            </w:pPr>
            <w:r w:rsidRPr="00A6677D">
              <w:rPr>
                <w:rFonts w:asciiTheme="majorBidi" w:hAnsiTheme="majorBidi" w:cstheme="majorBidi"/>
                <w:color w:val="000000"/>
                <w:lang w:eastAsia="en-GB"/>
              </w:rPr>
              <w:t>Chile</w:t>
            </w:r>
          </w:p>
        </w:tc>
        <w:tc>
          <w:tcPr>
            <w:tcW w:w="0" w:type="auto"/>
            <w:tcBorders>
              <w:top w:val="nil"/>
              <w:left w:val="nil"/>
              <w:bottom w:val="single" w:sz="4" w:space="0" w:color="auto"/>
              <w:right w:val="nil"/>
            </w:tcBorders>
            <w:vAlign w:val="center"/>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0.20%</w:t>
            </w:r>
          </w:p>
        </w:tc>
        <w:tc>
          <w:tcPr>
            <w:tcW w:w="0" w:type="auto"/>
            <w:tcBorders>
              <w:top w:val="nil"/>
              <w:left w:val="nil"/>
              <w:bottom w:val="single" w:sz="4" w:space="0" w:color="auto"/>
              <w:right w:val="nil"/>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0.35%</w:t>
            </w:r>
          </w:p>
        </w:tc>
        <w:tc>
          <w:tcPr>
            <w:tcW w:w="0" w:type="auto"/>
            <w:tcBorders>
              <w:top w:val="nil"/>
              <w:left w:val="nil"/>
              <w:bottom w:val="single" w:sz="4" w:space="0" w:color="auto"/>
              <w:right w:val="nil"/>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0.19%</w:t>
            </w:r>
          </w:p>
        </w:tc>
        <w:tc>
          <w:tcPr>
            <w:tcW w:w="1268" w:type="dxa"/>
            <w:tcBorders>
              <w:top w:val="nil"/>
              <w:left w:val="nil"/>
              <w:bottom w:val="single" w:sz="4" w:space="0" w:color="auto"/>
              <w:right w:val="nil"/>
            </w:tcBorders>
            <w:shd w:val="clear" w:color="auto" w:fill="auto"/>
            <w:noWrap/>
            <w:vAlign w:val="center"/>
            <w:hideMark/>
          </w:tcPr>
          <w:p w:rsidR="00A6677D" w:rsidRPr="00A6677D" w:rsidRDefault="00A6677D" w:rsidP="00A6677D">
            <w:pPr>
              <w:keepNext/>
              <w:spacing w:after="0" w:line="240" w:lineRule="auto"/>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 </w:t>
            </w:r>
          </w:p>
        </w:tc>
        <w:tc>
          <w:tcPr>
            <w:tcW w:w="0" w:type="auto"/>
            <w:tcBorders>
              <w:top w:val="nil"/>
              <w:left w:val="nil"/>
              <w:bottom w:val="single" w:sz="4" w:space="0" w:color="auto"/>
              <w:right w:val="nil"/>
            </w:tcBorders>
            <w:vAlign w:val="center"/>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0.23%</w:t>
            </w:r>
          </w:p>
        </w:tc>
        <w:tc>
          <w:tcPr>
            <w:tcW w:w="0" w:type="auto"/>
            <w:tcBorders>
              <w:top w:val="nil"/>
              <w:left w:val="nil"/>
              <w:bottom w:val="single" w:sz="4" w:space="0" w:color="auto"/>
              <w:right w:val="nil"/>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0.61%</w:t>
            </w:r>
          </w:p>
        </w:tc>
        <w:tc>
          <w:tcPr>
            <w:tcW w:w="0" w:type="auto"/>
            <w:tcBorders>
              <w:top w:val="nil"/>
              <w:left w:val="nil"/>
              <w:bottom w:val="single" w:sz="4" w:space="0" w:color="auto"/>
              <w:right w:val="single" w:sz="4" w:space="0" w:color="auto"/>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0.37%</w:t>
            </w:r>
          </w:p>
        </w:tc>
      </w:tr>
    </w:tbl>
    <w:p w:rsidR="00A6677D" w:rsidRPr="002C4CFC" w:rsidRDefault="00A6677D" w:rsidP="00A6677D">
      <w:pPr>
        <w:ind w:left="1440"/>
        <w:rPr>
          <w:rFonts w:asciiTheme="majorBidi" w:hAnsiTheme="majorBidi" w:cstheme="majorBidi"/>
          <w:i/>
          <w:sz w:val="10"/>
          <w:szCs w:val="10"/>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Table 7 shows the impact of the two scenarios on CO2 emissions. For the EU these increases are negligible. For Chile, they amount, respectively, to 0.2% and 0.4% in the conservative and the ambitious scenario.</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rPr>
          <w:rFonts w:asciiTheme="majorBidi" w:hAnsiTheme="majorBidi" w:cstheme="majorBidi"/>
          <w:sz w:val="24"/>
          <w:szCs w:val="24"/>
        </w:rPr>
      </w:pPr>
      <w:r w:rsidRPr="00A6677D">
        <w:rPr>
          <w:rFonts w:asciiTheme="majorBidi" w:hAnsiTheme="majorBidi" w:cstheme="majorBidi"/>
          <w:b/>
          <w:bCs/>
          <w:color w:val="000000"/>
          <w:sz w:val="24"/>
          <w:szCs w:val="24"/>
          <w:lang w:eastAsia="en-GB"/>
        </w:rPr>
        <w:t>Table 7: Percentage change in CO2 emissions (long term)</w:t>
      </w:r>
    </w:p>
    <w:tbl>
      <w:tblPr>
        <w:tblW w:w="0" w:type="auto"/>
        <w:tblInd w:w="720" w:type="dxa"/>
        <w:tblLook w:val="04A0" w:firstRow="1" w:lastRow="0" w:firstColumn="1" w:lastColumn="0" w:noHBand="0" w:noVBand="1"/>
      </w:tblPr>
      <w:tblGrid>
        <w:gridCol w:w="693"/>
        <w:gridCol w:w="1377"/>
        <w:gridCol w:w="271"/>
        <w:gridCol w:w="1145"/>
      </w:tblGrid>
      <w:tr w:rsidR="00A6677D" w:rsidRPr="00A6677D" w:rsidTr="002C4CFC">
        <w:trPr>
          <w:trHeight w:val="289"/>
        </w:trPr>
        <w:tc>
          <w:tcPr>
            <w:tcW w:w="0" w:type="auto"/>
            <w:tcBorders>
              <w:top w:val="single" w:sz="4" w:space="0" w:color="auto"/>
              <w:left w:val="single" w:sz="4" w:space="0" w:color="auto"/>
              <w:bottom w:val="single" w:sz="4" w:space="0" w:color="auto"/>
              <w:right w:val="nil"/>
            </w:tcBorders>
            <w:shd w:val="clear" w:color="auto" w:fill="auto"/>
            <w:vAlign w:val="center"/>
            <w:hideMark/>
          </w:tcPr>
          <w:p w:rsidR="00A6677D" w:rsidRPr="00A6677D" w:rsidRDefault="00A6677D" w:rsidP="00A6677D">
            <w:pPr>
              <w:spacing w:after="0"/>
              <w:jc w:val="center"/>
              <w:rPr>
                <w:rFonts w:asciiTheme="majorBidi" w:hAnsiTheme="majorBidi" w:cstheme="majorBidi"/>
                <w:b/>
                <w:bCs/>
                <w:color w:val="000000"/>
                <w:lang w:eastAsia="en-GB"/>
              </w:rPr>
            </w:pPr>
          </w:p>
        </w:tc>
        <w:tc>
          <w:tcPr>
            <w:tcW w:w="0" w:type="auto"/>
            <w:tcBorders>
              <w:top w:val="single" w:sz="4" w:space="0" w:color="auto"/>
              <w:left w:val="nil"/>
              <w:bottom w:val="single" w:sz="4" w:space="0" w:color="auto"/>
              <w:right w:val="nil"/>
            </w:tcBorders>
            <w:shd w:val="clear" w:color="auto" w:fill="auto"/>
            <w:vAlign w:val="center"/>
            <w:hideMark/>
          </w:tcPr>
          <w:p w:rsidR="00A6677D" w:rsidRPr="00A6677D" w:rsidRDefault="00A6677D" w:rsidP="00A6677D">
            <w:pPr>
              <w:spacing w:after="0"/>
              <w:jc w:val="center"/>
              <w:rPr>
                <w:rFonts w:asciiTheme="majorBidi" w:hAnsiTheme="majorBidi" w:cstheme="majorBidi"/>
                <w:color w:val="000000"/>
                <w:lang w:eastAsia="en-GB"/>
              </w:rPr>
            </w:pPr>
            <w:r w:rsidRPr="00A6677D">
              <w:rPr>
                <w:rFonts w:asciiTheme="majorBidi" w:hAnsiTheme="majorBidi" w:cstheme="majorBidi"/>
                <w:color w:val="000000"/>
                <w:lang w:val="en-AU" w:eastAsia="en-AU"/>
              </w:rPr>
              <w:t>Conservative</w:t>
            </w:r>
            <w:r w:rsidRPr="00A6677D">
              <w:rPr>
                <w:rFonts w:asciiTheme="majorBidi" w:hAnsiTheme="majorBidi" w:cstheme="majorBidi"/>
                <w:color w:val="000000"/>
                <w:lang w:eastAsia="en-GB"/>
              </w:rPr>
              <w:t xml:space="preserve"> </w:t>
            </w:r>
          </w:p>
        </w:tc>
        <w:tc>
          <w:tcPr>
            <w:tcW w:w="0" w:type="auto"/>
            <w:tcBorders>
              <w:top w:val="single" w:sz="4" w:space="0" w:color="auto"/>
              <w:left w:val="nil"/>
              <w:bottom w:val="single" w:sz="4" w:space="0" w:color="auto"/>
              <w:right w:val="nil"/>
            </w:tcBorders>
            <w:shd w:val="clear" w:color="auto" w:fill="auto"/>
            <w:noWrap/>
            <w:vAlign w:val="bottom"/>
            <w:hideMark/>
          </w:tcPr>
          <w:p w:rsidR="00A6677D" w:rsidRPr="00A6677D" w:rsidRDefault="00A6677D" w:rsidP="00A6677D">
            <w:pPr>
              <w:spacing w:after="0"/>
              <w:rPr>
                <w:rFonts w:asciiTheme="majorBidi" w:hAnsiTheme="majorBidi" w:cstheme="majorBidi"/>
                <w:color w:val="00000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677D" w:rsidRPr="00A6677D" w:rsidRDefault="00A6677D" w:rsidP="00A6677D">
            <w:pPr>
              <w:spacing w:after="0"/>
              <w:jc w:val="center"/>
              <w:rPr>
                <w:rFonts w:asciiTheme="majorBidi" w:hAnsiTheme="majorBidi" w:cstheme="majorBidi"/>
                <w:color w:val="000000"/>
                <w:lang w:eastAsia="en-GB"/>
              </w:rPr>
            </w:pPr>
            <w:r w:rsidRPr="00A6677D">
              <w:rPr>
                <w:rFonts w:asciiTheme="majorBidi" w:hAnsiTheme="majorBidi" w:cstheme="majorBidi"/>
                <w:color w:val="000000"/>
                <w:lang w:eastAsia="en-GB"/>
              </w:rPr>
              <w:t>Ambitious</w:t>
            </w:r>
          </w:p>
        </w:tc>
      </w:tr>
      <w:tr w:rsidR="00A6677D" w:rsidRPr="00A6677D" w:rsidTr="002C4CFC">
        <w:trPr>
          <w:trHeight w:val="289"/>
        </w:trPr>
        <w:tc>
          <w:tcPr>
            <w:tcW w:w="0" w:type="auto"/>
            <w:tcBorders>
              <w:top w:val="single" w:sz="4" w:space="0" w:color="auto"/>
              <w:left w:val="single" w:sz="4" w:space="0" w:color="auto"/>
              <w:bottom w:val="nil"/>
              <w:right w:val="nil"/>
            </w:tcBorders>
            <w:shd w:val="clear" w:color="auto" w:fill="auto"/>
            <w:noWrap/>
            <w:vAlign w:val="bottom"/>
            <w:hideMark/>
          </w:tcPr>
          <w:p w:rsidR="00A6677D" w:rsidRPr="00A6677D" w:rsidRDefault="00A6677D" w:rsidP="00A6677D">
            <w:pPr>
              <w:spacing w:after="0"/>
              <w:rPr>
                <w:rFonts w:asciiTheme="majorBidi" w:hAnsiTheme="majorBidi" w:cstheme="majorBidi"/>
                <w:color w:val="000000"/>
                <w:lang w:eastAsia="en-GB"/>
              </w:rPr>
            </w:pPr>
            <w:r w:rsidRPr="00A6677D">
              <w:rPr>
                <w:rFonts w:asciiTheme="majorBidi" w:hAnsiTheme="majorBidi" w:cstheme="majorBidi"/>
                <w:color w:val="000000"/>
                <w:lang w:eastAsia="en-GB"/>
              </w:rPr>
              <w:t>EU</w:t>
            </w:r>
          </w:p>
        </w:tc>
        <w:tc>
          <w:tcPr>
            <w:tcW w:w="0" w:type="auto"/>
            <w:tcBorders>
              <w:top w:val="single" w:sz="4" w:space="0" w:color="auto"/>
              <w:left w:val="nil"/>
              <w:bottom w:val="nil"/>
              <w:right w:val="nil"/>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0.00%</w:t>
            </w:r>
          </w:p>
        </w:tc>
        <w:tc>
          <w:tcPr>
            <w:tcW w:w="0" w:type="auto"/>
            <w:tcBorders>
              <w:top w:val="single" w:sz="4" w:space="0" w:color="auto"/>
              <w:left w:val="nil"/>
              <w:bottom w:val="nil"/>
              <w:right w:val="nil"/>
            </w:tcBorders>
            <w:shd w:val="clear" w:color="auto" w:fill="auto"/>
            <w:noWrap/>
            <w:vAlign w:val="bottom"/>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p>
        </w:tc>
        <w:tc>
          <w:tcPr>
            <w:tcW w:w="0" w:type="auto"/>
            <w:tcBorders>
              <w:top w:val="single" w:sz="4" w:space="0" w:color="auto"/>
              <w:left w:val="nil"/>
              <w:bottom w:val="nil"/>
              <w:right w:val="single" w:sz="4" w:space="0" w:color="auto"/>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0.01%</w:t>
            </w:r>
          </w:p>
        </w:tc>
      </w:tr>
      <w:tr w:rsidR="00A6677D" w:rsidRPr="00A6677D" w:rsidTr="002C4CFC">
        <w:trPr>
          <w:trHeight w:val="289"/>
        </w:trPr>
        <w:tc>
          <w:tcPr>
            <w:tcW w:w="0" w:type="auto"/>
            <w:tcBorders>
              <w:top w:val="nil"/>
              <w:left w:val="single" w:sz="4" w:space="0" w:color="auto"/>
              <w:bottom w:val="single" w:sz="4" w:space="0" w:color="auto"/>
              <w:right w:val="nil"/>
            </w:tcBorders>
            <w:shd w:val="clear" w:color="auto" w:fill="auto"/>
            <w:noWrap/>
            <w:vAlign w:val="bottom"/>
            <w:hideMark/>
          </w:tcPr>
          <w:p w:rsidR="00A6677D" w:rsidRPr="00A6677D" w:rsidRDefault="00A6677D" w:rsidP="00A6677D">
            <w:pPr>
              <w:spacing w:after="0"/>
              <w:rPr>
                <w:rFonts w:asciiTheme="majorBidi" w:hAnsiTheme="majorBidi" w:cstheme="majorBidi"/>
                <w:color w:val="000000"/>
                <w:lang w:eastAsia="en-GB"/>
              </w:rPr>
            </w:pPr>
            <w:r w:rsidRPr="00A6677D">
              <w:rPr>
                <w:rFonts w:asciiTheme="majorBidi" w:hAnsiTheme="majorBidi" w:cstheme="majorBidi"/>
                <w:color w:val="000000"/>
                <w:lang w:eastAsia="en-GB"/>
              </w:rPr>
              <w:t>Chile</w:t>
            </w:r>
          </w:p>
        </w:tc>
        <w:tc>
          <w:tcPr>
            <w:tcW w:w="0" w:type="auto"/>
            <w:tcBorders>
              <w:top w:val="nil"/>
              <w:left w:val="nil"/>
              <w:bottom w:val="single" w:sz="4" w:space="0" w:color="auto"/>
              <w:right w:val="nil"/>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0.18%</w:t>
            </w:r>
          </w:p>
        </w:tc>
        <w:tc>
          <w:tcPr>
            <w:tcW w:w="0" w:type="auto"/>
            <w:tcBorders>
              <w:top w:val="nil"/>
              <w:left w:val="nil"/>
              <w:bottom w:val="single" w:sz="4" w:space="0" w:color="auto"/>
              <w:right w:val="nil"/>
            </w:tcBorders>
            <w:shd w:val="clear" w:color="auto" w:fill="auto"/>
            <w:noWrap/>
            <w:vAlign w:val="bottom"/>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 </w:t>
            </w:r>
          </w:p>
        </w:tc>
        <w:tc>
          <w:tcPr>
            <w:tcW w:w="0" w:type="auto"/>
            <w:tcBorders>
              <w:top w:val="nil"/>
              <w:left w:val="nil"/>
              <w:bottom w:val="single" w:sz="4" w:space="0" w:color="auto"/>
              <w:right w:val="single" w:sz="4" w:space="0" w:color="auto"/>
            </w:tcBorders>
            <w:shd w:val="clear" w:color="000000" w:fill="FFFFFF" w:themeFill="background1"/>
            <w:noWrap/>
            <w:vAlign w:val="center"/>
            <w:hideMark/>
          </w:tcPr>
          <w:p w:rsidR="00A6677D" w:rsidRPr="00A6677D" w:rsidRDefault="00A6677D" w:rsidP="00A6677D">
            <w:pPr>
              <w:keepNext/>
              <w:spacing w:after="0" w:line="240" w:lineRule="auto"/>
              <w:jc w:val="right"/>
              <w:rPr>
                <w:rFonts w:asciiTheme="majorBidi" w:eastAsia="Times New Roman" w:hAnsiTheme="majorBidi" w:cstheme="majorBidi"/>
                <w:color w:val="000000"/>
                <w:lang w:val="en-US" w:bidi="he-IL"/>
              </w:rPr>
            </w:pPr>
            <w:r w:rsidRPr="00A6677D">
              <w:rPr>
                <w:rFonts w:asciiTheme="majorBidi" w:eastAsia="Times New Roman" w:hAnsiTheme="majorBidi" w:cstheme="majorBidi"/>
                <w:color w:val="000000"/>
                <w:lang w:val="en-US" w:bidi="he-IL"/>
              </w:rPr>
              <w:t>0.37%</w:t>
            </w:r>
          </w:p>
        </w:tc>
      </w:tr>
    </w:tbl>
    <w:p w:rsidR="00A6677D" w:rsidRPr="002C4CFC" w:rsidRDefault="00A6677D" w:rsidP="00A6677D">
      <w:pPr>
        <w:spacing w:after="0" w:line="240" w:lineRule="auto"/>
        <w:jc w:val="both"/>
        <w:rPr>
          <w:rFonts w:asciiTheme="majorBidi" w:hAnsiTheme="majorBidi" w:cstheme="majorBidi"/>
          <w:sz w:val="10"/>
          <w:szCs w:val="10"/>
        </w:rPr>
      </w:pPr>
    </w:p>
    <w:p w:rsidR="00A6677D" w:rsidRPr="00A6677D" w:rsidRDefault="00A6677D" w:rsidP="00A6677D">
      <w:pPr>
        <w:spacing w:after="0" w:line="240" w:lineRule="auto"/>
        <w:jc w:val="both"/>
        <w:rPr>
          <w:rFonts w:ascii="Times New Roman" w:hAnsi="Times New Roman" w:cs="Times New Roman"/>
          <w:b/>
          <w:sz w:val="24"/>
          <w:szCs w:val="24"/>
          <w:u w:val="single"/>
        </w:rPr>
      </w:pPr>
    </w:p>
    <w:p w:rsidR="00A6677D" w:rsidRPr="00A6677D" w:rsidRDefault="00A6677D" w:rsidP="00A6677D">
      <w:pPr>
        <w:keepNext/>
        <w:spacing w:after="0" w:line="240" w:lineRule="auto"/>
        <w:jc w:val="both"/>
        <w:rPr>
          <w:rFonts w:ascii="Times New Roman" w:hAnsi="Times New Roman" w:cs="Times New Roman"/>
          <w:b/>
          <w:sz w:val="24"/>
          <w:szCs w:val="24"/>
          <w:u w:val="single"/>
        </w:rPr>
      </w:pPr>
      <w:r w:rsidRPr="00A6677D">
        <w:rPr>
          <w:rFonts w:ascii="Times New Roman" w:hAnsi="Times New Roman" w:cs="Times New Roman"/>
          <w:b/>
          <w:sz w:val="24"/>
          <w:szCs w:val="24"/>
          <w:u w:val="single"/>
        </w:rPr>
        <w:t>LIMITATIONS OF THE ANALYSIS</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 xml:space="preserve">In terms of scenario assumptions, the main limitation is the fact that agricultural NTBs and potential reductions that can be achieved in the negotiations are not simulated. That will have the effect of understating the gain for the agricultural sector and its subsectors. However, various academic attempts to quantify agricultural </w:t>
      </w:r>
      <w:r w:rsidRPr="00A6677D">
        <w:rPr>
          <w:rFonts w:ascii="Times New Roman" w:hAnsi="Times New Roman" w:cs="Times New Roman"/>
          <w:sz w:val="24"/>
          <w:szCs w:val="24"/>
        </w:rPr>
        <w:tab/>
        <w:t xml:space="preserve">s or their reduction under FTAs in the recent past have proven unable to deliver robust results, which is the major reason we refrain from a quantitative analysis of the latter. </w:t>
      </w:r>
    </w:p>
    <w:p w:rsidR="00A6677D" w:rsidRPr="00A6677D" w:rsidRDefault="00A6677D" w:rsidP="00A6677D">
      <w:pPr>
        <w:spacing w:after="0" w:line="240" w:lineRule="auto"/>
        <w:jc w:val="both"/>
        <w:rPr>
          <w:rFonts w:ascii="Times New Roman" w:hAnsi="Times New Roman" w:cs="Times New Roman"/>
          <w:sz w:val="24"/>
          <w:szCs w:val="24"/>
        </w:rPr>
      </w:pPr>
    </w:p>
    <w:p w:rsidR="00A6677D" w:rsidRPr="00A6677D" w:rsidRDefault="00A6677D" w:rsidP="00A6677D">
      <w:pPr>
        <w:spacing w:after="0" w:line="240" w:lineRule="auto"/>
        <w:jc w:val="both"/>
        <w:rPr>
          <w:rFonts w:ascii="Times New Roman" w:hAnsi="Times New Roman" w:cs="Times New Roman"/>
          <w:sz w:val="24"/>
          <w:szCs w:val="24"/>
        </w:rPr>
      </w:pPr>
      <w:r w:rsidRPr="00A6677D">
        <w:rPr>
          <w:rFonts w:ascii="Times New Roman" w:hAnsi="Times New Roman" w:cs="Times New Roman"/>
          <w:sz w:val="24"/>
          <w:szCs w:val="24"/>
        </w:rPr>
        <w:t xml:space="preserve">The model used for the simulations contributing to the IAR, is the dynamic GTAP model. Although it does simulate international capital flows, it is not possible to implement and simulate changes in bilateral investment policies. Therefore, the model analysis could not quantify the potential effects stemming from the investment chapter of the modernization negotiations. Similarly, the effects of opening markets for public procurement at various levels of administration and the strengthening of intellectual property rights had to be left out of the analysis and their potential value is not quantified. </w:t>
      </w:r>
    </w:p>
    <w:p w:rsidR="00A6677D" w:rsidRPr="00A6677D" w:rsidRDefault="00A6677D" w:rsidP="00A6677D">
      <w:pPr>
        <w:spacing w:after="0" w:line="240" w:lineRule="auto"/>
        <w:jc w:val="both"/>
        <w:rPr>
          <w:rFonts w:ascii="Times New Roman" w:hAnsi="Times New Roman" w:cs="Times New Roman"/>
          <w:sz w:val="24"/>
          <w:szCs w:val="24"/>
        </w:rPr>
      </w:pPr>
    </w:p>
    <w:p w:rsidR="00846B6F" w:rsidRDefault="00A6677D" w:rsidP="002C4CFC">
      <w:pPr>
        <w:snapToGrid w:val="0"/>
        <w:spacing w:after="120" w:line="240" w:lineRule="auto"/>
        <w:jc w:val="both"/>
      </w:pPr>
      <w:r w:rsidRPr="00A6677D">
        <w:rPr>
          <w:rFonts w:ascii="Times New Roman" w:hAnsi="Times New Roman" w:cs="Times New Roman"/>
          <w:sz w:val="24"/>
          <w:szCs w:val="24"/>
        </w:rPr>
        <w:t>Finally, we chose, as is common practice in Impact Assessments, a neoclassical closure for the model. Technically this means that factor supply is exogenous. In more practical terms, this means that in particular it is assumed that employment is fixed and therefore, no employment effects can be simulated. This choice reflects mainly the long-run perspective which we adopt when evaluating the effects of our trade agreements. It also reflects the widely recognized believe that trade, notwithstanding its significant positive effects on the economy, is not considered to have an effect on the so-called natural rate of unemployment.</w:t>
      </w:r>
    </w:p>
    <w:p w:rsidR="00486E7C" w:rsidRPr="00486E7C" w:rsidRDefault="00486E7C" w:rsidP="00486E7C">
      <w:pPr>
        <w:spacing w:after="0" w:line="240" w:lineRule="auto"/>
        <w:jc w:val="both"/>
        <w:rPr>
          <w:rFonts w:ascii="Times New Roman" w:hAnsi="Times New Roman" w:cs="Times New Roman"/>
          <w:sz w:val="24"/>
          <w:szCs w:val="24"/>
        </w:rPr>
      </w:pPr>
    </w:p>
    <w:p w:rsidR="004D1037" w:rsidRDefault="004D1037" w:rsidP="004D1037">
      <w:pPr>
        <w:rPr>
          <w:rFonts w:ascii="Times New Roman" w:hAnsi="Times New Roman" w:cs="Times New Roman"/>
          <w:sz w:val="24"/>
          <w:szCs w:val="24"/>
        </w:rPr>
      </w:pPr>
      <w:bookmarkStart w:id="88" w:name="_Toc442284078"/>
    </w:p>
    <w:p w:rsidR="00497620" w:rsidRDefault="00497620">
      <w:pPr>
        <w:rPr>
          <w:rFonts w:ascii="Times New Roman Bold" w:eastAsiaTheme="majorEastAsia" w:hAnsi="Times New Roman Bold" w:cs="Times New Roman" w:hint="eastAsia"/>
          <w:b/>
          <w:bCs/>
          <w:caps/>
          <w:sz w:val="24"/>
          <w:szCs w:val="24"/>
        </w:rPr>
      </w:pPr>
      <w:bookmarkStart w:id="89" w:name="_Toc473123112"/>
      <w:r>
        <w:rPr>
          <w:rFonts w:ascii="Times New Roman Bold" w:hAnsi="Times New Roman Bold" w:hint="eastAsia"/>
          <w:caps/>
        </w:rPr>
        <w:br w:type="page"/>
      </w:r>
    </w:p>
    <w:p w:rsidR="000E0AC3" w:rsidRDefault="002137CF" w:rsidP="00020930">
      <w:pPr>
        <w:pStyle w:val="Heading2"/>
        <w:jc w:val="center"/>
        <w:rPr>
          <w:rFonts w:ascii="Times New Roman Bold" w:hAnsi="Times New Roman Bold" w:hint="eastAsia"/>
          <w:caps/>
        </w:rPr>
      </w:pPr>
      <w:r w:rsidRPr="00020930">
        <w:rPr>
          <w:rFonts w:ascii="Times New Roman Bold" w:hAnsi="Times New Roman Bold"/>
          <w:caps/>
        </w:rPr>
        <w:t>Annex 5</w:t>
      </w:r>
      <w:r w:rsidR="00302A40" w:rsidRPr="00020930">
        <w:rPr>
          <w:rFonts w:ascii="Times New Roman Bold" w:hAnsi="Times New Roman Bold"/>
          <w:caps/>
        </w:rPr>
        <w:t xml:space="preserve"> </w:t>
      </w:r>
    </w:p>
    <w:p w:rsidR="000E0AC3" w:rsidRDefault="000E0AC3" w:rsidP="00020930">
      <w:pPr>
        <w:pStyle w:val="Heading2"/>
        <w:jc w:val="center"/>
        <w:rPr>
          <w:rFonts w:ascii="Times New Roman Bold" w:hAnsi="Times New Roman Bold" w:hint="eastAsia"/>
          <w:caps/>
        </w:rPr>
      </w:pPr>
    </w:p>
    <w:p w:rsidR="000E0AC3" w:rsidRDefault="000E0AC3" w:rsidP="00020930">
      <w:pPr>
        <w:pStyle w:val="Heading2"/>
        <w:jc w:val="center"/>
        <w:rPr>
          <w:rFonts w:ascii="Times New Roman Bold" w:hAnsi="Times New Roman Bold" w:hint="eastAsia"/>
          <w:caps/>
        </w:rPr>
      </w:pPr>
    </w:p>
    <w:p w:rsidR="00241BA2" w:rsidRPr="00020930" w:rsidRDefault="00241BA2" w:rsidP="00020930">
      <w:pPr>
        <w:pStyle w:val="Heading2"/>
        <w:jc w:val="center"/>
        <w:rPr>
          <w:rFonts w:ascii="Times New Roman Bold" w:hAnsi="Times New Roman Bold" w:hint="eastAsia"/>
          <w:caps/>
        </w:rPr>
      </w:pPr>
      <w:r w:rsidRPr="00020930">
        <w:rPr>
          <w:rFonts w:ascii="Times New Roman Bold" w:hAnsi="Times New Roman Bold"/>
          <w:caps/>
        </w:rPr>
        <w:t xml:space="preserve">External study </w:t>
      </w:r>
      <w:r w:rsidR="000E0AC3">
        <w:rPr>
          <w:rFonts w:ascii="Times New Roman Bold" w:hAnsi="Times New Roman Bold"/>
          <w:caps/>
        </w:rPr>
        <w:t xml:space="preserve">draft </w:t>
      </w:r>
      <w:r w:rsidRPr="00020930">
        <w:rPr>
          <w:rFonts w:ascii="Times New Roman Bold" w:hAnsi="Times New Roman Bold"/>
          <w:caps/>
        </w:rPr>
        <w:t>Final Report</w:t>
      </w:r>
      <w:bookmarkEnd w:id="89"/>
    </w:p>
    <w:p w:rsidR="00241BA2" w:rsidRPr="00241BA2" w:rsidRDefault="00241BA2" w:rsidP="004E2360">
      <w:pPr>
        <w:pStyle w:val="Heading2"/>
        <w:rPr>
          <w:rFonts w:ascii="Times New Roman Bold" w:hAnsi="Times New Roman Bold" w:hint="eastAsia"/>
          <w:caps/>
        </w:rPr>
      </w:pPr>
    </w:p>
    <w:bookmarkEnd w:id="88"/>
    <w:p w:rsidR="00E7661A" w:rsidRDefault="00E7661A" w:rsidP="00E7661A">
      <w:pPr>
        <w:spacing w:after="0" w:line="240" w:lineRule="auto"/>
        <w:rPr>
          <w:rFonts w:ascii="Times New Roman" w:hAnsi="Times New Roman" w:cs="Times New Roman"/>
          <w:sz w:val="24"/>
          <w:szCs w:val="24"/>
        </w:rPr>
      </w:pPr>
    </w:p>
    <w:p w:rsidR="00361BD0" w:rsidRDefault="00361BD0" w:rsidP="00361BD0">
      <w:pPr>
        <w:spacing w:after="0" w:line="240" w:lineRule="auto"/>
        <w:rPr>
          <w:rFonts w:ascii="Times New Roman" w:hAnsi="Times New Roman" w:cs="Times New Roman"/>
          <w:sz w:val="24"/>
          <w:szCs w:val="24"/>
        </w:rPr>
      </w:pPr>
    </w:p>
    <w:p w:rsidR="00361BD0" w:rsidRPr="00361BD0" w:rsidRDefault="00361BD0" w:rsidP="00361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link: </w:t>
      </w:r>
      <w:hyperlink r:id="rId30" w:history="1">
        <w:r w:rsidRPr="00361BD0">
          <w:rPr>
            <w:rStyle w:val="Hyperlink"/>
            <w:sz w:val="24"/>
            <w:szCs w:val="24"/>
          </w:rPr>
          <w:t>http://trade.ec.europa.eu/doclib/html/155561.htm</w:t>
        </w:r>
      </w:hyperlink>
    </w:p>
    <w:sectPr w:rsidR="00361BD0" w:rsidRPr="00361BD0">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EF" w:rsidRDefault="000164EF" w:rsidP="00471953">
      <w:pPr>
        <w:spacing w:after="0" w:line="240" w:lineRule="auto"/>
      </w:pPr>
      <w:r>
        <w:separator/>
      </w:r>
    </w:p>
  </w:endnote>
  <w:endnote w:type="continuationSeparator" w:id="0">
    <w:p w:rsidR="000164EF" w:rsidRDefault="000164EF" w:rsidP="0047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48" w:rsidRPr="00450848" w:rsidRDefault="00450848" w:rsidP="0045084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Footer"/>
    </w:pPr>
  </w:p>
  <w:p w:rsidR="000164EF" w:rsidRDefault="000164EF"/>
  <w:p w:rsidR="000164EF" w:rsidRDefault="000164E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948314"/>
      <w:docPartObj>
        <w:docPartGallery w:val="Page Numbers (Bottom of Page)"/>
        <w:docPartUnique/>
      </w:docPartObj>
    </w:sdtPr>
    <w:sdtEndPr>
      <w:rPr>
        <w:noProof/>
        <w:sz w:val="20"/>
        <w:szCs w:val="20"/>
      </w:rPr>
    </w:sdtEndPr>
    <w:sdtContent>
      <w:p w:rsidR="000164EF" w:rsidRPr="002A28DD" w:rsidRDefault="000164EF" w:rsidP="00181984">
        <w:pPr>
          <w:pStyle w:val="Footer"/>
          <w:jc w:val="center"/>
          <w:rPr>
            <w:sz w:val="20"/>
            <w:szCs w:val="20"/>
          </w:rPr>
        </w:pPr>
        <w:r w:rsidRPr="002A28DD">
          <w:rPr>
            <w:sz w:val="20"/>
            <w:szCs w:val="20"/>
          </w:rPr>
          <w:fldChar w:fldCharType="begin"/>
        </w:r>
        <w:r w:rsidRPr="002A28DD">
          <w:rPr>
            <w:sz w:val="20"/>
            <w:szCs w:val="20"/>
          </w:rPr>
          <w:instrText xml:space="preserve"> PAGE   \* MERGEFORMAT </w:instrText>
        </w:r>
        <w:r w:rsidRPr="002A28DD">
          <w:rPr>
            <w:sz w:val="20"/>
            <w:szCs w:val="20"/>
          </w:rPr>
          <w:fldChar w:fldCharType="separate"/>
        </w:r>
        <w:r w:rsidR="00993DB8">
          <w:rPr>
            <w:noProof/>
            <w:sz w:val="20"/>
            <w:szCs w:val="20"/>
          </w:rPr>
          <w:t>14</w:t>
        </w:r>
        <w:r w:rsidRPr="002A28DD">
          <w:rPr>
            <w:noProof/>
            <w:sz w:val="20"/>
            <w:szCs w:val="20"/>
          </w:rPr>
          <w:fldChar w:fldCharType="end"/>
        </w:r>
      </w:p>
    </w:sdtContent>
  </w:sdt>
  <w:p w:rsidR="000164EF" w:rsidRDefault="000164EF"/>
  <w:p w:rsidR="000164EF" w:rsidRDefault="000164E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48" w:rsidRPr="00450848" w:rsidRDefault="00450848" w:rsidP="00450848">
    <w:pPr>
      <w:pStyle w:val="FooterCoverPage"/>
      <w:rPr>
        <w:rFonts w:ascii="Arial" w:hAnsi="Arial" w:cs="Arial"/>
        <w:b/>
        <w:sz w:val="48"/>
      </w:rPr>
    </w:pPr>
    <w:r w:rsidRPr="00450848">
      <w:rPr>
        <w:rFonts w:ascii="Arial" w:hAnsi="Arial" w:cs="Arial"/>
        <w:b/>
        <w:sz w:val="48"/>
      </w:rPr>
      <w:t>EN</w:t>
    </w:r>
    <w:r w:rsidRPr="00450848">
      <w:rPr>
        <w:rFonts w:ascii="Arial" w:hAnsi="Arial" w:cs="Arial"/>
        <w:b/>
        <w:sz w:val="48"/>
      </w:rPr>
      <w:tab/>
    </w:r>
    <w:r w:rsidRPr="00450848">
      <w:rPr>
        <w:rFonts w:ascii="Arial" w:hAnsi="Arial" w:cs="Arial"/>
        <w:b/>
        <w:sz w:val="48"/>
      </w:rPr>
      <w:tab/>
    </w:r>
    <w:r w:rsidRPr="00450848">
      <w:tab/>
    </w:r>
    <w:r w:rsidRPr="0045084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48" w:rsidRPr="00450848" w:rsidRDefault="00450848" w:rsidP="0045084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46728"/>
      <w:docPartObj>
        <w:docPartGallery w:val="Page Numbers (Bottom of Page)"/>
        <w:docPartUnique/>
      </w:docPartObj>
    </w:sdtPr>
    <w:sdtEndPr>
      <w:rPr>
        <w:noProof/>
      </w:rPr>
    </w:sdtEndPr>
    <w:sdtContent>
      <w:p w:rsidR="000164EF" w:rsidRDefault="000164EF" w:rsidP="00181984">
        <w:pPr>
          <w:pStyle w:val="Footer"/>
          <w:jc w:val="center"/>
        </w:pPr>
        <w:r>
          <w:fldChar w:fldCharType="begin"/>
        </w:r>
        <w:r>
          <w:instrText xml:space="preserve"> PAGE   \* MERGEFORMAT </w:instrText>
        </w:r>
        <w:r>
          <w:fldChar w:fldCharType="separate"/>
        </w:r>
        <w:r w:rsidR="00450848">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244988"/>
      <w:docPartObj>
        <w:docPartGallery w:val="Page Numbers (Bottom of Page)"/>
        <w:docPartUnique/>
      </w:docPartObj>
    </w:sdtPr>
    <w:sdtEndPr>
      <w:rPr>
        <w:noProof/>
      </w:rPr>
    </w:sdtEndPr>
    <w:sdtContent>
      <w:p w:rsidR="000164EF" w:rsidRDefault="000164EF" w:rsidP="00181984">
        <w:pPr>
          <w:pStyle w:val="Footer"/>
          <w:jc w:val="center"/>
        </w:pPr>
        <w:r>
          <w:fldChar w:fldCharType="begin"/>
        </w:r>
        <w:r>
          <w:instrText xml:space="preserve"> PAGE   \* MERGEFORMAT </w:instrText>
        </w:r>
        <w:r>
          <w:fldChar w:fldCharType="separate"/>
        </w:r>
        <w:r w:rsidR="00993DB8">
          <w:rPr>
            <w:noProof/>
          </w:rPr>
          <w:t>13</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EF" w:rsidRDefault="000164EF" w:rsidP="00471953">
      <w:pPr>
        <w:spacing w:after="0" w:line="240" w:lineRule="auto"/>
      </w:pPr>
      <w:r>
        <w:separator/>
      </w:r>
    </w:p>
  </w:footnote>
  <w:footnote w:type="continuationSeparator" w:id="0">
    <w:p w:rsidR="000164EF" w:rsidRDefault="000164EF" w:rsidP="00471953">
      <w:pPr>
        <w:spacing w:after="0" w:line="240" w:lineRule="auto"/>
      </w:pPr>
      <w:r>
        <w:continuationSeparator/>
      </w:r>
    </w:p>
  </w:footnote>
  <w:footnote w:id="1">
    <w:p w:rsidR="000164EF" w:rsidRPr="0003508D" w:rsidRDefault="000164EF" w:rsidP="0003508D">
      <w:pPr>
        <w:pStyle w:val="FootnoteText"/>
        <w:rPr>
          <w:rFonts w:ascii="Times New Roman" w:hAnsi="Times New Roman" w:cs="Times New Roman"/>
          <w:color w:val="1F497D" w:themeColor="text2"/>
          <w:lang w:val="en-GB"/>
        </w:rPr>
      </w:pPr>
      <w:r w:rsidRPr="0003508D">
        <w:rPr>
          <w:rStyle w:val="FootnoteReference"/>
          <w:rFonts w:ascii="Times New Roman" w:hAnsi="Times New Roman" w:cs="Times New Roman"/>
          <w:color w:val="1F497D" w:themeColor="text2"/>
        </w:rPr>
        <w:footnoteRef/>
      </w:r>
      <w:r w:rsidRPr="0003508D">
        <w:rPr>
          <w:rFonts w:ascii="Times New Roman" w:hAnsi="Times New Roman" w:cs="Times New Roman"/>
          <w:color w:val="1F497D" w:themeColor="text2"/>
          <w:lang w:val="en-GB"/>
        </w:rPr>
        <w:t xml:space="preserve"> </w:t>
      </w:r>
      <w:hyperlink r:id="rId1" w:history="1">
        <w:r w:rsidRPr="00F40876">
          <w:rPr>
            <w:rStyle w:val="Hyperlink"/>
            <w:rFonts w:ascii="Times New Roman" w:hAnsi="Times New Roman" w:cs="Times New Roman"/>
            <w:lang w:val="en-GB"/>
          </w:rPr>
          <w:t>http://trade.ec.europa.eu/doclib/docs/2015/october/tradoc_153846.pdf</w:t>
        </w:r>
      </w:hyperlink>
    </w:p>
  </w:footnote>
  <w:footnote w:id="2">
    <w:p w:rsidR="000164EF" w:rsidRPr="00234D19" w:rsidRDefault="000164EF" w:rsidP="00234D19">
      <w:pPr>
        <w:pStyle w:val="FootnoteText"/>
        <w:jc w:val="both"/>
        <w:rPr>
          <w:rFonts w:ascii="Times New Roman" w:hAnsi="Times New Roman" w:cs="Times New Roman"/>
          <w:lang w:val="en-GB"/>
        </w:rPr>
      </w:pPr>
      <w:r w:rsidRPr="00234D19">
        <w:rPr>
          <w:rStyle w:val="FootnoteReference"/>
          <w:rFonts w:ascii="Times New Roman" w:hAnsi="Times New Roman" w:cs="Times New Roman"/>
        </w:rPr>
        <w:footnoteRef/>
      </w:r>
      <w:r w:rsidRPr="00234D19">
        <w:rPr>
          <w:rFonts w:ascii="Times New Roman" w:hAnsi="Times New Roman" w:cs="Times New Roman"/>
          <w:lang w:val="en-GB"/>
        </w:rPr>
        <w:t xml:space="preserve"> The Trans-Pacific Partnership </w:t>
      </w:r>
      <w:r>
        <w:rPr>
          <w:rFonts w:ascii="Times New Roman" w:hAnsi="Times New Roman" w:cs="Times New Roman"/>
          <w:lang w:val="en-GB"/>
        </w:rPr>
        <w:t>was negotiated by</w:t>
      </w:r>
      <w:r w:rsidRPr="00234D19">
        <w:rPr>
          <w:rFonts w:ascii="Times New Roman" w:hAnsi="Times New Roman" w:cs="Times New Roman"/>
          <w:lang w:val="en-GB"/>
        </w:rPr>
        <w:t xml:space="preserve"> the US, Canada, </w:t>
      </w:r>
      <w:hyperlink r:id="rId2" w:tooltip="Brunei" w:history="1">
        <w:r w:rsidRPr="00234D19">
          <w:rPr>
            <w:rStyle w:val="Hyperlink"/>
            <w:rFonts w:ascii="Times New Roman" w:hAnsi="Times New Roman" w:cs="Times New Roman"/>
            <w:color w:val="auto"/>
            <w:u w:val="none"/>
            <w:lang w:val="en-GB"/>
          </w:rPr>
          <w:t>Brunei</w:t>
        </w:r>
      </w:hyperlink>
      <w:r w:rsidRPr="00234D19">
        <w:rPr>
          <w:rFonts w:ascii="Times New Roman" w:hAnsi="Times New Roman" w:cs="Times New Roman"/>
          <w:lang w:val="en-GB"/>
        </w:rPr>
        <w:t xml:space="preserve">, </w:t>
      </w:r>
      <w:hyperlink r:id="rId3" w:tooltip="Chile" w:history="1">
        <w:r w:rsidRPr="00234D19">
          <w:rPr>
            <w:rStyle w:val="Hyperlink"/>
            <w:rFonts w:ascii="Times New Roman" w:hAnsi="Times New Roman" w:cs="Times New Roman"/>
            <w:color w:val="auto"/>
            <w:u w:val="none"/>
            <w:lang w:val="en-GB"/>
          </w:rPr>
          <w:t>Chile</w:t>
        </w:r>
      </w:hyperlink>
      <w:r w:rsidRPr="00234D19">
        <w:rPr>
          <w:rFonts w:ascii="Times New Roman" w:hAnsi="Times New Roman" w:cs="Times New Roman"/>
          <w:lang w:val="en-GB"/>
        </w:rPr>
        <w:t xml:space="preserve">, </w:t>
      </w:r>
      <w:hyperlink r:id="rId4" w:tooltip="New Zealand" w:history="1">
        <w:r w:rsidRPr="00234D19">
          <w:rPr>
            <w:rStyle w:val="Hyperlink"/>
            <w:rFonts w:ascii="Times New Roman" w:hAnsi="Times New Roman" w:cs="Times New Roman"/>
            <w:color w:val="auto"/>
            <w:u w:val="none"/>
            <w:lang w:val="en-GB"/>
          </w:rPr>
          <w:t>New Zealand</w:t>
        </w:r>
      </w:hyperlink>
      <w:r w:rsidRPr="00234D19">
        <w:rPr>
          <w:rFonts w:ascii="Times New Roman" w:hAnsi="Times New Roman" w:cs="Times New Roman"/>
          <w:lang w:val="en-GB"/>
        </w:rPr>
        <w:t xml:space="preserve">, </w:t>
      </w:r>
      <w:hyperlink r:id="rId5" w:tooltip="Singapore" w:history="1">
        <w:r w:rsidRPr="00234D19">
          <w:rPr>
            <w:rStyle w:val="Hyperlink"/>
            <w:rFonts w:ascii="Times New Roman" w:hAnsi="Times New Roman" w:cs="Times New Roman"/>
            <w:color w:val="auto"/>
            <w:u w:val="none"/>
            <w:lang w:val="en-GB"/>
          </w:rPr>
          <w:t>Singapore</w:t>
        </w:r>
      </w:hyperlink>
      <w:r w:rsidRPr="00234D19">
        <w:rPr>
          <w:rFonts w:ascii="Times New Roman" w:hAnsi="Times New Roman" w:cs="Times New Roman"/>
          <w:lang w:val="en-GB"/>
        </w:rPr>
        <w:t xml:space="preserve">, </w:t>
      </w:r>
      <w:hyperlink r:id="rId6" w:tooltip="Australia" w:history="1">
        <w:r w:rsidRPr="00234D19">
          <w:rPr>
            <w:rStyle w:val="Hyperlink"/>
            <w:rFonts w:ascii="Times New Roman" w:hAnsi="Times New Roman" w:cs="Times New Roman"/>
            <w:color w:val="auto"/>
            <w:u w:val="none"/>
            <w:lang w:val="en-GB"/>
          </w:rPr>
          <w:t>Australia</w:t>
        </w:r>
      </w:hyperlink>
      <w:r w:rsidRPr="00234D19">
        <w:rPr>
          <w:rFonts w:ascii="Times New Roman" w:hAnsi="Times New Roman" w:cs="Times New Roman"/>
          <w:lang w:val="en-GB"/>
        </w:rPr>
        <w:t xml:space="preserve">, </w:t>
      </w:r>
      <w:hyperlink r:id="rId7" w:tooltip="Canada" w:history="1">
        <w:r w:rsidRPr="00234D19">
          <w:rPr>
            <w:rStyle w:val="Hyperlink"/>
            <w:rFonts w:ascii="Times New Roman" w:hAnsi="Times New Roman" w:cs="Times New Roman"/>
            <w:color w:val="auto"/>
            <w:u w:val="none"/>
            <w:lang w:val="en-GB"/>
          </w:rPr>
          <w:t>Canada</w:t>
        </w:r>
      </w:hyperlink>
      <w:r w:rsidRPr="00234D19">
        <w:rPr>
          <w:rFonts w:ascii="Times New Roman" w:hAnsi="Times New Roman" w:cs="Times New Roman"/>
          <w:lang w:val="en-GB"/>
        </w:rPr>
        <w:t xml:space="preserve">, </w:t>
      </w:r>
      <w:hyperlink r:id="rId8" w:tooltip="Japan" w:history="1">
        <w:r w:rsidRPr="00234D19">
          <w:rPr>
            <w:rStyle w:val="Hyperlink"/>
            <w:rFonts w:ascii="Times New Roman" w:hAnsi="Times New Roman" w:cs="Times New Roman"/>
            <w:color w:val="auto"/>
            <w:u w:val="none"/>
            <w:lang w:val="en-GB"/>
          </w:rPr>
          <w:t>Japan</w:t>
        </w:r>
      </w:hyperlink>
      <w:r w:rsidRPr="00234D19">
        <w:rPr>
          <w:rFonts w:ascii="Times New Roman" w:hAnsi="Times New Roman" w:cs="Times New Roman"/>
          <w:lang w:val="en-GB"/>
        </w:rPr>
        <w:t xml:space="preserve">, </w:t>
      </w:r>
      <w:hyperlink r:id="rId9" w:tooltip="Malaysia" w:history="1">
        <w:r w:rsidRPr="00234D19">
          <w:rPr>
            <w:rStyle w:val="Hyperlink"/>
            <w:rFonts w:ascii="Times New Roman" w:hAnsi="Times New Roman" w:cs="Times New Roman"/>
            <w:color w:val="auto"/>
            <w:u w:val="none"/>
            <w:lang w:val="en-GB"/>
          </w:rPr>
          <w:t>Malaysia</w:t>
        </w:r>
      </w:hyperlink>
      <w:r w:rsidRPr="00234D19">
        <w:rPr>
          <w:rFonts w:ascii="Times New Roman" w:hAnsi="Times New Roman" w:cs="Times New Roman"/>
          <w:lang w:val="en-GB"/>
        </w:rPr>
        <w:t xml:space="preserve">, </w:t>
      </w:r>
      <w:hyperlink r:id="rId10" w:tooltip="Mexico" w:history="1">
        <w:r w:rsidRPr="00234D19">
          <w:rPr>
            <w:rStyle w:val="Hyperlink"/>
            <w:rFonts w:ascii="Times New Roman" w:hAnsi="Times New Roman" w:cs="Times New Roman"/>
            <w:color w:val="auto"/>
            <w:u w:val="none"/>
            <w:lang w:val="en-GB"/>
          </w:rPr>
          <w:t>Mexico</w:t>
        </w:r>
      </w:hyperlink>
      <w:r w:rsidRPr="00234D19">
        <w:rPr>
          <w:rFonts w:ascii="Times New Roman" w:hAnsi="Times New Roman" w:cs="Times New Roman"/>
          <w:lang w:val="en-GB"/>
        </w:rPr>
        <w:t xml:space="preserve">, Peru and </w:t>
      </w:r>
      <w:hyperlink r:id="rId11" w:tooltip="Vietnam" w:history="1">
        <w:r w:rsidRPr="00234D19">
          <w:rPr>
            <w:rStyle w:val="Hyperlink"/>
            <w:rFonts w:ascii="Times New Roman" w:hAnsi="Times New Roman" w:cs="Times New Roman"/>
            <w:color w:val="auto"/>
            <w:u w:val="none"/>
            <w:lang w:val="en-GB"/>
          </w:rPr>
          <w:t>Vietnam</w:t>
        </w:r>
      </w:hyperlink>
      <w:r>
        <w:rPr>
          <w:rStyle w:val="Hyperlink"/>
          <w:rFonts w:ascii="Times New Roman" w:hAnsi="Times New Roman" w:cs="Times New Roman"/>
          <w:color w:val="auto"/>
          <w:u w:val="none"/>
          <w:lang w:val="en-GB"/>
        </w:rPr>
        <w:t>. It</w:t>
      </w:r>
      <w:r w:rsidRPr="007B0326">
        <w:rPr>
          <w:rFonts w:ascii="Times New Roman" w:hAnsi="Times New Roman" w:cs="Times New Roman"/>
          <w:lang w:val="en-GB"/>
        </w:rPr>
        <w:t xml:space="preserve"> has not yet entered into force</w:t>
      </w:r>
      <w:r w:rsidRPr="00492E87">
        <w:rPr>
          <w:rStyle w:val="Hyperlink"/>
          <w:rFonts w:ascii="Times New Roman" w:hAnsi="Times New Roman" w:cs="Times New Roman"/>
          <w:color w:val="auto"/>
          <w:u w:val="none"/>
          <w:lang w:val="en-GB"/>
        </w:rPr>
        <w:t>.</w:t>
      </w:r>
    </w:p>
    <w:p w:rsidR="000164EF" w:rsidRPr="00234D19" w:rsidRDefault="000164EF">
      <w:pPr>
        <w:pStyle w:val="FootnoteText"/>
        <w:rPr>
          <w:rFonts w:ascii="Times New Roman" w:hAnsi="Times New Roman" w:cs="Times New Roman"/>
          <w:lang w:val="en-GB"/>
        </w:rPr>
      </w:pPr>
    </w:p>
  </w:footnote>
  <w:footnote w:id="3">
    <w:p w:rsidR="000164EF" w:rsidRPr="005C1A55" w:rsidRDefault="000164EF" w:rsidP="00F14984">
      <w:pPr>
        <w:pStyle w:val="FootnoteText"/>
        <w:jc w:val="both"/>
        <w:rPr>
          <w:lang w:val="en-GB"/>
        </w:rPr>
      </w:pPr>
      <w:r w:rsidRPr="00DE202E">
        <w:rPr>
          <w:rStyle w:val="FootnoteReference"/>
          <w:rFonts w:ascii="Times New Roman" w:hAnsi="Times New Roman" w:cs="Times New Roman"/>
        </w:rPr>
        <w:footnoteRef/>
      </w:r>
      <w:r w:rsidRPr="00DE202E">
        <w:rPr>
          <w:rFonts w:ascii="Times New Roman" w:hAnsi="Times New Roman" w:cs="Times New Roman"/>
          <w:lang w:val="en-GB"/>
        </w:rPr>
        <w:t xml:space="preserve"> </w:t>
      </w:r>
      <w:hyperlink r:id="rId12" w:history="1">
        <w:r w:rsidRPr="005C1A55">
          <w:rPr>
            <w:rStyle w:val="Hyperlink"/>
            <w:lang w:val="en-GB"/>
          </w:rPr>
          <w:t>http://trade.ec.europa.eu/doclib/docs/2012/august/tradoc_149881.pdf</w:t>
        </w:r>
      </w:hyperlink>
    </w:p>
    <w:p w:rsidR="000164EF" w:rsidRPr="00DE202E" w:rsidRDefault="000164EF" w:rsidP="00F14984">
      <w:pPr>
        <w:pStyle w:val="FootnoteText"/>
        <w:jc w:val="both"/>
        <w:rPr>
          <w:rFonts w:ascii="Times New Roman" w:hAnsi="Times New Roman" w:cs="Times New Roman"/>
          <w:lang w:val="en-GB"/>
        </w:rPr>
      </w:pPr>
    </w:p>
  </w:footnote>
  <w:footnote w:id="4">
    <w:p w:rsidR="000164EF" w:rsidRPr="00EE5BA2" w:rsidRDefault="000164EF" w:rsidP="00494D84">
      <w:pPr>
        <w:pStyle w:val="FootnoteText"/>
        <w:jc w:val="both"/>
        <w:rPr>
          <w:rFonts w:ascii="Times New Roman" w:hAnsi="Times New Roman" w:cs="Times New Roman"/>
          <w:lang w:val="en-GB"/>
        </w:rPr>
      </w:pPr>
      <w:r>
        <w:rPr>
          <w:rStyle w:val="FootnoteReference"/>
        </w:rPr>
        <w:footnoteRef/>
      </w:r>
      <w:r w:rsidRPr="00EE5BA2">
        <w:rPr>
          <w:lang w:val="en-GB"/>
        </w:rPr>
        <w:t xml:space="preserve"> </w:t>
      </w:r>
      <w:r w:rsidRPr="00EE5BA2">
        <w:rPr>
          <w:rFonts w:ascii="Times New Roman" w:hAnsi="Times New Roman" w:cs="Times New Roman"/>
          <w:lang w:val="en-GB"/>
        </w:rPr>
        <w:t xml:space="preserve">Two each from business interests in the fishing and aquaculture and base metals and metal products sectors; two from public administrations linked to EU </w:t>
      </w:r>
      <w:r>
        <w:rPr>
          <w:rFonts w:ascii="Times New Roman" w:hAnsi="Times New Roman" w:cs="Times New Roman"/>
          <w:lang w:val="en-GB"/>
        </w:rPr>
        <w:t>M</w:t>
      </w:r>
      <w:r w:rsidRPr="00EE5BA2">
        <w:rPr>
          <w:rFonts w:ascii="Times New Roman" w:hAnsi="Times New Roman" w:cs="Times New Roman"/>
          <w:lang w:val="en-GB"/>
        </w:rPr>
        <w:t xml:space="preserve">ember </w:t>
      </w:r>
      <w:r>
        <w:rPr>
          <w:rFonts w:ascii="Times New Roman" w:hAnsi="Times New Roman" w:cs="Times New Roman"/>
          <w:lang w:val="en-GB"/>
        </w:rPr>
        <w:t>S</w:t>
      </w:r>
      <w:r w:rsidRPr="00EE5BA2">
        <w:rPr>
          <w:rFonts w:ascii="Times New Roman" w:hAnsi="Times New Roman" w:cs="Times New Roman"/>
          <w:lang w:val="en-GB"/>
        </w:rPr>
        <w:t>tates; and four from cross-sectoral business associations.</w:t>
      </w:r>
    </w:p>
  </w:footnote>
  <w:footnote w:id="5">
    <w:p w:rsidR="000164EF" w:rsidRPr="009269ED" w:rsidRDefault="000164EF" w:rsidP="00AE0F12">
      <w:pPr>
        <w:pStyle w:val="FootnoteText"/>
        <w:jc w:val="both"/>
        <w:rPr>
          <w:rFonts w:ascii="Times New Roman" w:hAnsi="Times New Roman" w:cs="Times New Roman"/>
        </w:rPr>
      </w:pPr>
      <w:r w:rsidRPr="00020C1C">
        <w:rPr>
          <w:rStyle w:val="FootnoteReference"/>
          <w:rFonts w:ascii="Times New Roman" w:hAnsi="Times New Roman" w:cs="Times New Roman"/>
        </w:rPr>
        <w:footnoteRef/>
      </w:r>
      <w:r w:rsidRPr="00020C1C">
        <w:rPr>
          <w:rFonts w:ascii="Times New Roman" w:hAnsi="Times New Roman" w:cs="Times New Roman"/>
          <w:lang w:val="en-GB"/>
        </w:rPr>
        <w:t xml:space="preserve"> The Trade Facilitation Agreement, emanating from the 9th Session of the WTO Ministerial Conferenc</w:t>
      </w:r>
      <w:r>
        <w:rPr>
          <w:rFonts w:ascii="Times New Roman" w:hAnsi="Times New Roman" w:cs="Times New Roman"/>
          <w:lang w:val="en-GB"/>
        </w:rPr>
        <w:t>e held in December 2013 in Bali,</w:t>
      </w:r>
      <w:r w:rsidRPr="00020C1C">
        <w:rPr>
          <w:rFonts w:ascii="Times New Roman" w:hAnsi="Times New Roman" w:cs="Times New Roman"/>
          <w:lang w:val="en-GB"/>
        </w:rPr>
        <w:t xml:space="preserve"> contains provisions for expediting the movement, release and clearance of goods, including goods in transit. It also sets out measures for effective cooperation between customs and other appropriate authorities on trade facilitation and customs compliance issues. It further contains provisions for technical assistance and</w:t>
      </w:r>
      <w:r>
        <w:rPr>
          <w:rFonts w:ascii="Times New Roman" w:hAnsi="Times New Roman" w:cs="Times New Roman"/>
          <w:lang w:val="en-GB"/>
        </w:rPr>
        <w:t xml:space="preserve"> capacity building.  </w:t>
      </w:r>
      <w:hyperlink r:id="rId13" w:history="1">
        <w:r w:rsidRPr="009269ED">
          <w:rPr>
            <w:rStyle w:val="Hyperlink"/>
            <w:rFonts w:ascii="Times New Roman" w:hAnsi="Times New Roman" w:cs="Times New Roman"/>
          </w:rPr>
          <w:t>https://www.wto.org/english/tratop_e/tradfa_e/tradfa_e.htm</w:t>
        </w:r>
      </w:hyperlink>
      <w:r w:rsidRPr="009269ED">
        <w:rPr>
          <w:rFonts w:ascii="Times New Roman" w:hAnsi="Times New Roman" w:cs="Times New Roman"/>
        </w:rPr>
        <w:t>.</w:t>
      </w:r>
    </w:p>
  </w:footnote>
  <w:footnote w:id="6">
    <w:p w:rsidR="000164EF" w:rsidRPr="00B538B4" w:rsidRDefault="000164EF" w:rsidP="00494D84">
      <w:pPr>
        <w:pStyle w:val="FootnoteText"/>
        <w:jc w:val="both"/>
        <w:rPr>
          <w:rFonts w:ascii="Times New Roman" w:hAnsi="Times New Roman" w:cs="Times New Roman"/>
          <w:lang w:val="en-GB"/>
        </w:rPr>
      </w:pPr>
      <w:r w:rsidRPr="00B538B4">
        <w:rPr>
          <w:rStyle w:val="FootnoteReference"/>
          <w:rFonts w:ascii="Times New Roman" w:hAnsi="Times New Roman" w:cs="Times New Roman"/>
        </w:rPr>
        <w:footnoteRef/>
      </w:r>
      <w:r w:rsidRPr="00B538B4">
        <w:rPr>
          <w:rFonts w:ascii="Times New Roman" w:hAnsi="Times New Roman" w:cs="Times New Roman"/>
          <w:lang w:val="en-GB"/>
        </w:rPr>
        <w:t xml:space="preserve"> An investment management company based in Chile, a government department in one of the EU </w:t>
      </w:r>
      <w:r>
        <w:rPr>
          <w:rFonts w:ascii="Times New Roman" w:hAnsi="Times New Roman" w:cs="Times New Roman"/>
          <w:lang w:val="en-GB"/>
        </w:rPr>
        <w:t>M</w:t>
      </w:r>
      <w:r w:rsidRPr="00B538B4">
        <w:rPr>
          <w:rFonts w:ascii="Times New Roman" w:hAnsi="Times New Roman" w:cs="Times New Roman"/>
          <w:lang w:val="en-GB"/>
        </w:rPr>
        <w:t xml:space="preserve">ember </w:t>
      </w:r>
      <w:r>
        <w:rPr>
          <w:rFonts w:ascii="Times New Roman" w:hAnsi="Times New Roman" w:cs="Times New Roman"/>
          <w:lang w:val="en-GB"/>
        </w:rPr>
        <w:t>S</w:t>
      </w:r>
      <w:r w:rsidRPr="00B538B4">
        <w:rPr>
          <w:rFonts w:ascii="Times New Roman" w:hAnsi="Times New Roman" w:cs="Times New Roman"/>
          <w:lang w:val="en-GB"/>
        </w:rPr>
        <w:t>tates, and a cross-sectoral business association representing business interests in the EU services sector.</w:t>
      </w:r>
    </w:p>
  </w:footnote>
  <w:footnote w:id="7">
    <w:p w:rsidR="000164EF" w:rsidRPr="00801F7A" w:rsidRDefault="000164EF" w:rsidP="009762BA">
      <w:pPr>
        <w:pStyle w:val="FootnoteText"/>
        <w:jc w:val="both"/>
        <w:rPr>
          <w:rFonts w:ascii="Times New Roman" w:hAnsi="Times New Roman" w:cs="Times New Roman"/>
          <w:lang w:val="en-GB"/>
        </w:rPr>
      </w:pPr>
      <w:r>
        <w:rPr>
          <w:rStyle w:val="FootnoteReference"/>
        </w:rPr>
        <w:footnoteRef/>
      </w:r>
      <w:r w:rsidRPr="00801F7A">
        <w:rPr>
          <w:lang w:val="en-GB"/>
        </w:rPr>
        <w:t xml:space="preserve"> </w:t>
      </w:r>
      <w:r w:rsidRPr="00801F7A">
        <w:rPr>
          <w:rFonts w:ascii="Times New Roman" w:hAnsi="Times New Roman" w:cs="Times New Roman"/>
          <w:lang w:val="en-GB"/>
        </w:rPr>
        <w:t>This includes, among others, national component requirements, discrimination against experience abroad, local presence requirements for registration of suppliers, limitations to register workers from an office abroad, requests for official translations into Spanish or for documents in original form. Furthermore, all foreign SMEs are requested to pay the same registration fees as large companies, whereas Chilean SMEs benefit from a lower price.</w:t>
      </w:r>
    </w:p>
  </w:footnote>
  <w:footnote w:id="8">
    <w:p w:rsidR="000164EF" w:rsidRPr="00EA033A" w:rsidRDefault="000164EF" w:rsidP="00494D84">
      <w:pPr>
        <w:pStyle w:val="FootnoteText"/>
        <w:jc w:val="both"/>
        <w:rPr>
          <w:rFonts w:ascii="Times New Roman" w:hAnsi="Times New Roman" w:cs="Times New Roman"/>
          <w:lang w:val="en-GB"/>
        </w:rPr>
      </w:pPr>
      <w:r w:rsidRPr="00EA033A">
        <w:rPr>
          <w:rStyle w:val="FootnoteReference"/>
          <w:rFonts w:ascii="Times New Roman" w:hAnsi="Times New Roman" w:cs="Times New Roman"/>
        </w:rPr>
        <w:footnoteRef/>
      </w:r>
      <w:r w:rsidRPr="00EA033A">
        <w:rPr>
          <w:rFonts w:ascii="Times New Roman" w:hAnsi="Times New Roman" w:cs="Times New Roman"/>
          <w:lang w:val="en-GB"/>
        </w:rPr>
        <w:t xml:space="preserve"> Including single sector business associations representing the computers/telecoms and pharmaceuticals sectors and the music recording industry; a cross-sectoral business association representing business interests in the EU; and two linked to public administrations in EU </w:t>
      </w:r>
      <w:r>
        <w:rPr>
          <w:rFonts w:ascii="Times New Roman" w:hAnsi="Times New Roman" w:cs="Times New Roman"/>
          <w:lang w:val="en-GB"/>
        </w:rPr>
        <w:t>M</w:t>
      </w:r>
      <w:r w:rsidRPr="00EA033A">
        <w:rPr>
          <w:rFonts w:ascii="Times New Roman" w:hAnsi="Times New Roman" w:cs="Times New Roman"/>
          <w:lang w:val="en-GB"/>
        </w:rPr>
        <w:t xml:space="preserve">ember </w:t>
      </w:r>
      <w:r>
        <w:rPr>
          <w:rFonts w:ascii="Times New Roman" w:hAnsi="Times New Roman" w:cs="Times New Roman"/>
          <w:lang w:val="en-GB"/>
        </w:rPr>
        <w:t>S</w:t>
      </w:r>
      <w:r w:rsidRPr="00EA033A">
        <w:rPr>
          <w:rFonts w:ascii="Times New Roman" w:hAnsi="Times New Roman" w:cs="Times New Roman"/>
          <w:lang w:val="en-GB"/>
        </w:rPr>
        <w:t xml:space="preserve">tates.   </w:t>
      </w:r>
    </w:p>
  </w:footnote>
  <w:footnote w:id="9">
    <w:p w:rsidR="000164EF" w:rsidRPr="000E370F" w:rsidRDefault="000164EF" w:rsidP="00494D84">
      <w:pPr>
        <w:pStyle w:val="FootnoteText"/>
        <w:jc w:val="both"/>
        <w:rPr>
          <w:rFonts w:ascii="Times New Roman" w:hAnsi="Times New Roman" w:cs="Times New Roman"/>
          <w:lang w:val="en-GB"/>
        </w:rPr>
      </w:pPr>
      <w:r w:rsidRPr="000E370F">
        <w:rPr>
          <w:rStyle w:val="FootnoteReference"/>
          <w:rFonts w:ascii="Times New Roman" w:hAnsi="Times New Roman" w:cs="Times New Roman"/>
        </w:rPr>
        <w:footnoteRef/>
      </w:r>
      <w:r w:rsidRPr="000E370F">
        <w:rPr>
          <w:rFonts w:ascii="Times New Roman" w:hAnsi="Times New Roman" w:cs="Times New Roman"/>
          <w:lang w:val="en-GB"/>
        </w:rPr>
        <w:t xml:space="preserve"> Three respondents indicated particular problems with respect to GIs, including: one answering in a personal capacity; one government department from an EU </w:t>
      </w:r>
      <w:r>
        <w:rPr>
          <w:rFonts w:ascii="Times New Roman" w:hAnsi="Times New Roman" w:cs="Times New Roman"/>
          <w:lang w:val="en-GB"/>
        </w:rPr>
        <w:t>M</w:t>
      </w:r>
      <w:r w:rsidRPr="000E370F">
        <w:rPr>
          <w:rFonts w:ascii="Times New Roman" w:hAnsi="Times New Roman" w:cs="Times New Roman"/>
          <w:lang w:val="en-GB"/>
        </w:rPr>
        <w:t xml:space="preserve">ember </w:t>
      </w:r>
      <w:r>
        <w:rPr>
          <w:rFonts w:ascii="Times New Roman" w:hAnsi="Times New Roman" w:cs="Times New Roman"/>
          <w:lang w:val="en-GB"/>
        </w:rPr>
        <w:t>S</w:t>
      </w:r>
      <w:r w:rsidRPr="000E370F">
        <w:rPr>
          <w:rFonts w:ascii="Times New Roman" w:hAnsi="Times New Roman" w:cs="Times New Roman"/>
          <w:lang w:val="en-GB"/>
        </w:rPr>
        <w:t xml:space="preserve">tate; and one cross-sectoral business association representing business interests in the EU. </w:t>
      </w:r>
    </w:p>
  </w:footnote>
  <w:footnote w:id="10">
    <w:p w:rsidR="000164EF" w:rsidRPr="00E851A2" w:rsidRDefault="000164EF" w:rsidP="006338E3">
      <w:pPr>
        <w:pStyle w:val="FootnoteText"/>
        <w:rPr>
          <w:rFonts w:ascii="Times New Roman" w:hAnsi="Times New Roman" w:cs="Times New Roman"/>
          <w:lang w:val="en-GB"/>
        </w:rPr>
      </w:pPr>
      <w:r w:rsidRPr="00775F6F">
        <w:rPr>
          <w:rStyle w:val="FootnoteReference"/>
          <w:rFonts w:ascii="Times New Roman" w:hAnsi="Times New Roman" w:cs="Times New Roman"/>
        </w:rPr>
        <w:footnoteRef/>
      </w:r>
      <w:r w:rsidRPr="00E851A2">
        <w:rPr>
          <w:rFonts w:ascii="Times New Roman" w:hAnsi="Times New Roman" w:cs="Times New Roman"/>
          <w:lang w:val="en-GB"/>
        </w:rPr>
        <w:t xml:space="preserve"> Austria, Belgium/Luxembourg, Croatia, Czech Republic, Denmark, Finland, France, Germany, Greece, Italy, Poland, Portugal, Romania, Spain, Sweden and United Kingdom. </w:t>
      </w:r>
    </w:p>
  </w:footnote>
  <w:footnote w:id="11">
    <w:p w:rsidR="000164EF" w:rsidRPr="00725A47" w:rsidRDefault="000164EF" w:rsidP="00494D84">
      <w:pPr>
        <w:pStyle w:val="FootnoteText"/>
        <w:jc w:val="both"/>
        <w:rPr>
          <w:rFonts w:ascii="Times New Roman" w:hAnsi="Times New Roman" w:cs="Times New Roman"/>
          <w:lang w:val="en-GB"/>
        </w:rPr>
      </w:pPr>
      <w:r w:rsidRPr="00725A47">
        <w:rPr>
          <w:rStyle w:val="FootnoteReference"/>
          <w:rFonts w:ascii="Times New Roman" w:hAnsi="Times New Roman" w:cs="Times New Roman"/>
        </w:rPr>
        <w:footnoteRef/>
      </w:r>
      <w:r w:rsidRPr="00725A47">
        <w:rPr>
          <w:rFonts w:ascii="Times New Roman" w:hAnsi="Times New Roman" w:cs="Times New Roman"/>
          <w:lang w:val="en-GB"/>
        </w:rPr>
        <w:t xml:space="preserve"> Respondents indicated particular problems in the areas of: rules of origin as applied by both the EU and Chile; customs procedures as applied by Chile; technical barriers to trade arising from policies applied by both the EU and Chile; services sectors, especially in Chile; establishment of companies in Chile; and policies for public procurement in Chile. </w:t>
      </w:r>
    </w:p>
  </w:footnote>
  <w:footnote w:id="12">
    <w:p w:rsidR="000164EF" w:rsidRPr="00E851A2" w:rsidRDefault="000164EF" w:rsidP="00F96C51">
      <w:pPr>
        <w:pStyle w:val="FootnoteText"/>
        <w:jc w:val="both"/>
        <w:rPr>
          <w:lang w:val="en-GB"/>
        </w:rPr>
      </w:pPr>
      <w:r>
        <w:rPr>
          <w:rStyle w:val="FootnoteReference"/>
        </w:rPr>
        <w:footnoteRef/>
      </w:r>
      <w:r w:rsidRPr="00E851A2">
        <w:rPr>
          <w:lang w:val="en-GB"/>
        </w:rPr>
        <w:t xml:space="preserve"> </w:t>
      </w:r>
      <w:r w:rsidRPr="00E851A2">
        <w:rPr>
          <w:rFonts w:ascii="Times New Roman" w:hAnsi="Times New Roman" w:cs="Times New Roman"/>
          <w:lang w:val="en-GB"/>
        </w:rPr>
        <w:t xml:space="preserve"> </w:t>
      </w:r>
      <w:hyperlink r:id="rId14" w:history="1">
        <w:r w:rsidRPr="00E851A2">
          <w:rPr>
            <w:rStyle w:val="Hyperlink"/>
            <w:lang w:val="en-GB"/>
          </w:rPr>
          <w:t>http://trade.ec.europa.eu/doclib/docs/2012/august/tradoc_149881.pdf</w:t>
        </w:r>
      </w:hyperlink>
    </w:p>
    <w:p w:rsidR="000164EF" w:rsidRPr="00E851A2" w:rsidRDefault="000164EF" w:rsidP="00F96C51">
      <w:pPr>
        <w:pStyle w:val="FootnoteText"/>
        <w:jc w:val="both"/>
        <w:rPr>
          <w:rFonts w:ascii="Times New Roman" w:hAnsi="Times New Roman" w:cs="Times New Roman"/>
          <w:lang w:val="en-GB"/>
        </w:rPr>
      </w:pPr>
    </w:p>
    <w:p w:rsidR="000164EF" w:rsidRPr="00E851A2" w:rsidRDefault="000164EF">
      <w:pPr>
        <w:pStyle w:val="FootnoteText"/>
        <w:rPr>
          <w:lang w:val="en-GB"/>
        </w:rPr>
      </w:pPr>
    </w:p>
  </w:footnote>
  <w:footnote w:id="13">
    <w:p w:rsidR="000164EF" w:rsidRPr="00E851A2" w:rsidRDefault="000164EF" w:rsidP="005F33FE">
      <w:pPr>
        <w:pStyle w:val="FootnoteText"/>
        <w:jc w:val="both"/>
        <w:rPr>
          <w:rFonts w:ascii="Times New Roman" w:hAnsi="Times New Roman" w:cs="Times New Roman"/>
          <w:lang w:val="en-GB"/>
        </w:rPr>
      </w:pPr>
      <w:r w:rsidRPr="00E64467">
        <w:rPr>
          <w:rStyle w:val="FootnoteReference"/>
          <w:rFonts w:ascii="Times New Roman" w:hAnsi="Times New Roman" w:cs="Times New Roman"/>
        </w:rPr>
        <w:footnoteRef/>
      </w:r>
      <w:r w:rsidRPr="00E851A2">
        <w:rPr>
          <w:rFonts w:ascii="Times New Roman" w:hAnsi="Times New Roman" w:cs="Times New Roman"/>
          <w:lang w:val="en-GB"/>
        </w:rPr>
        <w:t xml:space="preserve"> </w:t>
      </w:r>
      <w:hyperlink r:id="rId15" w:history="1">
        <w:r w:rsidRPr="00E851A2">
          <w:rPr>
            <w:rStyle w:val="Hyperlink"/>
            <w:rFonts w:ascii="Times New Roman" w:hAnsi="Times New Roman" w:cs="Times New Roman"/>
            <w:lang w:val="en-GB"/>
          </w:rPr>
          <w:t>http://www.consilium.europa.eu/uedocs/cms_data/docs/pressdata/EN/foraff/145908.pdf</w:t>
        </w:r>
      </w:hyperlink>
    </w:p>
  </w:footnote>
  <w:footnote w:id="14">
    <w:p w:rsidR="000164EF" w:rsidRPr="00E851A2" w:rsidRDefault="000164EF" w:rsidP="00DD34A8">
      <w:pPr>
        <w:pStyle w:val="FootnoteText"/>
        <w:rPr>
          <w:lang w:val="en-GB"/>
        </w:rPr>
      </w:pPr>
      <w:r>
        <w:rPr>
          <w:rStyle w:val="FootnoteReference"/>
        </w:rPr>
        <w:footnoteRef/>
      </w:r>
      <w:r w:rsidRPr="00E851A2">
        <w:rPr>
          <w:lang w:val="en-GB"/>
        </w:rPr>
        <w:t xml:space="preserve"> </w:t>
      </w:r>
      <w:hyperlink r:id="rId16" w:history="1">
        <w:r w:rsidRPr="00E851A2">
          <w:rPr>
            <w:rStyle w:val="Hyperlink"/>
            <w:lang w:val="en-GB"/>
          </w:rPr>
          <w:t>http://trade.ec.europa.eu/doclib/docs/2015/october/tradoc_153846.pdf</w:t>
        </w:r>
      </w:hyperlink>
    </w:p>
  </w:footnote>
  <w:footnote w:id="15">
    <w:p w:rsidR="000164EF" w:rsidRPr="00666DA0" w:rsidRDefault="000164EF" w:rsidP="00666DA0">
      <w:pPr>
        <w:pStyle w:val="FootnoteText"/>
        <w:jc w:val="both"/>
        <w:rPr>
          <w:rFonts w:ascii="Times New Roman" w:hAnsi="Times New Roman" w:cs="Times New Roman"/>
          <w:lang w:val="en-GB"/>
        </w:rPr>
      </w:pPr>
      <w:r w:rsidRPr="00666DA0">
        <w:rPr>
          <w:rStyle w:val="FootnoteReference"/>
          <w:rFonts w:ascii="Times New Roman" w:hAnsi="Times New Roman" w:cs="Times New Roman"/>
        </w:rPr>
        <w:footnoteRef/>
      </w:r>
      <w:r w:rsidRPr="00666DA0">
        <w:rPr>
          <w:rFonts w:ascii="Times New Roman" w:hAnsi="Times New Roman" w:cs="Times New Roman"/>
          <w:lang w:val="en-GB"/>
        </w:rPr>
        <w:t xml:space="preserve"> COM(2010) 2020, "Europe 2020: A strategy for smart, sustainable and inclusive growth", March 2010. “Trade, Growth and World Affairs</w:t>
      </w:r>
      <w:r>
        <w:rPr>
          <w:rFonts w:ascii="Times New Roman" w:hAnsi="Times New Roman" w:cs="Times New Roman"/>
          <w:lang w:val="en-GB"/>
        </w:rPr>
        <w:t>”</w:t>
      </w:r>
      <w:r w:rsidRPr="00666DA0">
        <w:rPr>
          <w:rFonts w:ascii="Times New Roman" w:hAnsi="Times New Roman" w:cs="Times New Roman"/>
          <w:lang w:val="en-GB"/>
        </w:rPr>
        <w:t xml:space="preserve">. Trade Policy as a Core Component of the EU’s 2020 Strategy”, 2010, available at: </w:t>
      </w:r>
      <w:hyperlink r:id="rId17" w:history="1">
        <w:r w:rsidRPr="00666DA0">
          <w:rPr>
            <w:rStyle w:val="Hyperlink"/>
            <w:rFonts w:ascii="Times New Roman" w:hAnsi="Times New Roman" w:cs="Times New Roman"/>
            <w:lang w:val="en-GB"/>
          </w:rPr>
          <w:t>http://trade.ec.europa.eu/doclib/docs/2010/november/tradoc_146955.pdf</w:t>
        </w:r>
      </w:hyperlink>
    </w:p>
  </w:footnote>
  <w:footnote w:id="16">
    <w:p w:rsidR="000164EF" w:rsidRPr="00666DA0" w:rsidRDefault="000164EF" w:rsidP="00666DA0">
      <w:pPr>
        <w:pStyle w:val="FootnoteText"/>
        <w:jc w:val="both"/>
        <w:rPr>
          <w:lang w:val="en-GB"/>
        </w:rPr>
      </w:pPr>
      <w:r w:rsidRPr="00666DA0">
        <w:rPr>
          <w:rStyle w:val="FootnoteReference"/>
          <w:rFonts w:ascii="Times New Roman" w:hAnsi="Times New Roman" w:cs="Times New Roman"/>
        </w:rPr>
        <w:footnoteRef/>
      </w:r>
      <w:r w:rsidRPr="00666DA0">
        <w:rPr>
          <w:rFonts w:ascii="Times New Roman" w:hAnsi="Times New Roman" w:cs="Times New Roman"/>
          <w:lang w:val="en-GB"/>
        </w:rPr>
        <w:t xml:space="preserve"> </w:t>
      </w:r>
      <w:r>
        <w:rPr>
          <w:rFonts w:ascii="Times New Roman" w:hAnsi="Times New Roman" w:cs="Times New Roman"/>
          <w:lang w:val="en-GB"/>
        </w:rPr>
        <w:t>36 million jobs in the EU</w:t>
      </w:r>
      <w:r w:rsidRPr="00666DA0">
        <w:rPr>
          <w:rFonts w:ascii="Times New Roman" w:hAnsi="Times New Roman" w:cs="Times New Roman"/>
          <w:lang w:val="en-GB"/>
        </w:rPr>
        <w:t xml:space="preserve"> depend directly or indirectly on trade.</w:t>
      </w:r>
    </w:p>
  </w:footnote>
  <w:footnote w:id="17">
    <w:p w:rsidR="000164EF" w:rsidRPr="004E2360" w:rsidRDefault="000164EF" w:rsidP="00BB0776">
      <w:pPr>
        <w:pStyle w:val="FootnoteText"/>
        <w:rPr>
          <w:rFonts w:ascii="Times New Roman" w:hAnsi="Times New Roman" w:cs="Times New Roman"/>
          <w:lang w:val="pt-PT"/>
        </w:rPr>
      </w:pPr>
      <w:r w:rsidRPr="00990B66">
        <w:rPr>
          <w:rStyle w:val="FootnoteReference"/>
          <w:rFonts w:ascii="Times New Roman" w:hAnsi="Times New Roman" w:cs="Times New Roman"/>
        </w:rPr>
        <w:footnoteRef/>
      </w:r>
      <w:r w:rsidRPr="004E2360">
        <w:rPr>
          <w:rFonts w:ascii="Times New Roman" w:hAnsi="Times New Roman" w:cs="Times New Roman"/>
          <w:lang w:val="pt-PT"/>
        </w:rPr>
        <w:t xml:space="preserve"> Article 21 para 2 (e) TEU.</w:t>
      </w:r>
    </w:p>
  </w:footnote>
  <w:footnote w:id="18">
    <w:p w:rsidR="000164EF" w:rsidRPr="002B1AB7" w:rsidRDefault="000164EF" w:rsidP="00BB0776">
      <w:pPr>
        <w:pStyle w:val="FootnoteText"/>
        <w:rPr>
          <w:rFonts w:ascii="Times New Roman" w:hAnsi="Times New Roman" w:cs="Times New Roman"/>
          <w:lang w:val="pt-PT"/>
        </w:rPr>
      </w:pPr>
      <w:r w:rsidRPr="007A6E06">
        <w:rPr>
          <w:rStyle w:val="FootnoteReference"/>
          <w:rFonts w:ascii="Times New Roman" w:hAnsi="Times New Roman" w:cs="Times New Roman"/>
        </w:rPr>
        <w:footnoteRef/>
      </w:r>
      <w:r w:rsidRPr="007A6E06">
        <w:rPr>
          <w:rFonts w:ascii="Times New Roman" w:hAnsi="Times New Roman" w:cs="Times New Roman"/>
          <w:lang w:val="pt-PT"/>
        </w:rPr>
        <w:t xml:space="preserve"> </w:t>
      </w:r>
      <w:r w:rsidRPr="002B1AB7">
        <w:rPr>
          <w:rFonts w:ascii="Times New Roman" w:hAnsi="Times New Roman" w:cs="Times New Roman"/>
          <w:lang w:val="pt-PT"/>
        </w:rPr>
        <w:t>Article 21 para 2 (b) TEU</w:t>
      </w:r>
      <w:r>
        <w:rPr>
          <w:rFonts w:ascii="Times New Roman" w:hAnsi="Times New Roman" w:cs="Times New Roman"/>
          <w:lang w:val="pt-PT"/>
        </w:rPr>
        <w:t>.</w:t>
      </w:r>
    </w:p>
  </w:footnote>
  <w:footnote w:id="19">
    <w:p w:rsidR="000164EF" w:rsidRPr="00127CC8" w:rsidRDefault="000164EF" w:rsidP="00BB0776">
      <w:pPr>
        <w:pStyle w:val="FootnoteText"/>
        <w:rPr>
          <w:rFonts w:ascii="Times New Roman" w:hAnsi="Times New Roman" w:cs="Times New Roman"/>
          <w:lang w:val="pt-PT"/>
        </w:rPr>
      </w:pPr>
      <w:r w:rsidRPr="002B1AB7">
        <w:rPr>
          <w:rStyle w:val="FootnoteReference"/>
          <w:rFonts w:ascii="Times New Roman" w:hAnsi="Times New Roman" w:cs="Times New Roman"/>
        </w:rPr>
        <w:footnoteRef/>
      </w:r>
      <w:r w:rsidRPr="00127CC8">
        <w:rPr>
          <w:rFonts w:ascii="Times New Roman" w:hAnsi="Times New Roman" w:cs="Times New Roman"/>
          <w:lang w:val="pt-PT"/>
        </w:rPr>
        <w:t xml:space="preserve"> Article 21 para 2 (f) TEU.</w:t>
      </w:r>
    </w:p>
  </w:footnote>
  <w:footnote w:id="20">
    <w:p w:rsidR="000164EF" w:rsidRPr="00127CC8" w:rsidRDefault="000164EF" w:rsidP="00BB0776">
      <w:pPr>
        <w:pStyle w:val="FootnoteText"/>
        <w:rPr>
          <w:rFonts w:ascii="Times New Roman" w:hAnsi="Times New Roman" w:cs="Times New Roman"/>
          <w:lang w:val="pt-PT"/>
        </w:rPr>
      </w:pPr>
      <w:r w:rsidRPr="002B1AB7">
        <w:rPr>
          <w:rStyle w:val="FootnoteReference"/>
          <w:rFonts w:ascii="Times New Roman" w:hAnsi="Times New Roman" w:cs="Times New Roman"/>
        </w:rPr>
        <w:footnoteRef/>
      </w:r>
      <w:r w:rsidRPr="00127CC8">
        <w:rPr>
          <w:rFonts w:ascii="Times New Roman" w:hAnsi="Times New Roman" w:cs="Times New Roman"/>
          <w:lang w:val="pt-PT"/>
        </w:rPr>
        <w:t xml:space="preserve"> </w:t>
      </w:r>
      <w:hyperlink r:id="rId18" w:history="1">
        <w:r w:rsidRPr="00127CC8">
          <w:rPr>
            <w:rStyle w:val="Hyperlink"/>
            <w:rFonts w:ascii="Times New Roman" w:hAnsi="Times New Roman" w:cs="Times New Roman"/>
            <w:lang w:val="pt-PT"/>
          </w:rPr>
          <w:t>http://ec.europa.eu/priorities/jobs-growth-investment/index_en.htm</w:t>
        </w:r>
      </w:hyperlink>
    </w:p>
  </w:footnote>
  <w:footnote w:id="21">
    <w:p w:rsidR="000164EF" w:rsidRPr="00127CC8" w:rsidRDefault="000164EF" w:rsidP="00BB0776">
      <w:pPr>
        <w:pStyle w:val="FootnoteText"/>
        <w:rPr>
          <w:lang w:val="pt-PT"/>
        </w:rPr>
      </w:pPr>
      <w:r w:rsidRPr="002B1AB7">
        <w:rPr>
          <w:rStyle w:val="FootnoteReference"/>
          <w:rFonts w:ascii="Times New Roman" w:hAnsi="Times New Roman" w:cs="Times New Roman"/>
        </w:rPr>
        <w:footnoteRef/>
      </w:r>
      <w:r w:rsidRPr="00127CC8">
        <w:rPr>
          <w:rFonts w:ascii="Times New Roman" w:hAnsi="Times New Roman" w:cs="Times New Roman"/>
          <w:lang w:val="pt-PT"/>
        </w:rPr>
        <w:t xml:space="preserve"> </w:t>
      </w:r>
      <w:hyperlink r:id="rId19" w:history="1">
        <w:r w:rsidRPr="00127CC8">
          <w:rPr>
            <w:rStyle w:val="Hyperlink"/>
            <w:rFonts w:ascii="Times New Roman" w:hAnsi="Times New Roman" w:cs="Times New Roman"/>
            <w:lang w:val="pt-PT"/>
          </w:rPr>
          <w:t>http://ec.europa.eu/priorities/jobs-growth-investment/plan/index_en.htm</w:t>
        </w:r>
      </w:hyperlink>
    </w:p>
  </w:footnote>
  <w:footnote w:id="22">
    <w:p w:rsidR="000164EF" w:rsidRPr="00785943" w:rsidRDefault="000164EF" w:rsidP="00BB0776">
      <w:pPr>
        <w:pStyle w:val="FootnoteText"/>
        <w:rPr>
          <w:lang w:val="pt-PT"/>
        </w:rPr>
      </w:pPr>
      <w:r>
        <w:rPr>
          <w:rStyle w:val="FootnoteReference"/>
        </w:rPr>
        <w:footnoteRef/>
      </w:r>
      <w:r w:rsidRPr="00785943">
        <w:rPr>
          <w:lang w:val="pt-PT"/>
        </w:rPr>
        <w:t xml:space="preserve"> </w:t>
      </w:r>
      <w:hyperlink r:id="rId20" w:history="1">
        <w:r w:rsidRPr="00785943">
          <w:rPr>
            <w:rStyle w:val="Hyperlink"/>
            <w:lang w:val="pt-PT"/>
          </w:rPr>
          <w:t>http://ec.europa.eu/atwork/key-documents/index_en.htm</w:t>
        </w:r>
      </w:hyperlink>
      <w:r w:rsidRPr="00785943">
        <w:rPr>
          <w:lang w:val="pt-PT"/>
        </w:rPr>
        <w:t xml:space="preserve">  in particular No12 in annex 1 </w:t>
      </w:r>
      <w:hyperlink r:id="rId21" w:history="1">
        <w:r w:rsidRPr="00785943">
          <w:rPr>
            <w:rStyle w:val="Hyperlink"/>
            <w:lang w:val="pt-PT"/>
          </w:rPr>
          <w:t>http://ec.europa.eu/atwork/pdf/cwp_2017_annex_i_en.pdf</w:t>
        </w:r>
      </w:hyperlink>
      <w:r w:rsidRPr="00785943">
        <w:rPr>
          <w:lang w:val="pt-PT"/>
        </w:rPr>
        <w:t xml:space="preserve"> </w:t>
      </w:r>
    </w:p>
  </w:footnote>
  <w:footnote w:id="23">
    <w:p w:rsidR="000164EF" w:rsidRPr="004E2859" w:rsidRDefault="000164EF" w:rsidP="004E2859">
      <w:pPr>
        <w:pStyle w:val="FootnoteText"/>
        <w:rPr>
          <w:rFonts w:ascii="Times New Roman" w:eastAsia="Times New Roman" w:hAnsi="Times New Roman" w:cs="Times New Roman"/>
          <w:lang w:val="en-GB"/>
        </w:rPr>
      </w:pPr>
      <w:r>
        <w:rPr>
          <w:rStyle w:val="FootnoteReference"/>
        </w:rPr>
        <w:footnoteRef/>
      </w:r>
      <w:r w:rsidRPr="004E2859">
        <w:rPr>
          <w:lang w:val="en-GB"/>
        </w:rPr>
        <w:t xml:space="preserve"> </w:t>
      </w:r>
      <w:r w:rsidRPr="004E2859">
        <w:rPr>
          <w:rFonts w:ascii="Times New Roman" w:eastAsia="Times New Roman" w:hAnsi="Times New Roman" w:cs="Times New Roman"/>
          <w:lang w:val="en-GB"/>
        </w:rPr>
        <w:t>Jafary, Y., and Tarr, D. G. 2014. Estimates of Ad Valorem Equivalents of Barriers Against Foreign Suppliers of Services in Eleven Services Sectors and 103 Countries. https://openknowledge.worldbank.org/bitstream/handle/10986/20620/WPS7096.pdf?sequence=1&amp;isAllowed=y</w:t>
      </w:r>
    </w:p>
    <w:p w:rsidR="000164EF" w:rsidRPr="004E2859" w:rsidRDefault="000164EF">
      <w:pPr>
        <w:pStyle w:val="FootnoteText"/>
        <w:rPr>
          <w:lang w:val="en-GB"/>
        </w:rPr>
      </w:pPr>
    </w:p>
  </w:footnote>
  <w:footnote w:id="24">
    <w:p w:rsidR="000164EF" w:rsidRPr="00680DD6" w:rsidRDefault="000164EF" w:rsidP="00195315">
      <w:pPr>
        <w:pStyle w:val="FootnoteText"/>
        <w:rPr>
          <w:rFonts w:ascii="Times New Roman" w:hAnsi="Times New Roman" w:cs="Times New Roman"/>
          <w:lang w:val="en-GB"/>
        </w:rPr>
      </w:pPr>
      <w:r>
        <w:rPr>
          <w:rStyle w:val="FootnoteReference"/>
        </w:rPr>
        <w:footnoteRef/>
      </w:r>
      <w:r w:rsidRPr="00680DD6">
        <w:rPr>
          <w:lang w:val="en-GB"/>
        </w:rPr>
        <w:t xml:space="preserve"> </w:t>
      </w:r>
      <w:r w:rsidRPr="00680DD6">
        <w:rPr>
          <w:rFonts w:ascii="Times New Roman" w:hAnsi="Times New Roman" w:cs="Times New Roman"/>
          <w:lang w:val="en-GB"/>
        </w:rPr>
        <w:t>Cf. annex 4 for additional details and the sources of the projections used.</w:t>
      </w:r>
    </w:p>
  </w:footnote>
  <w:footnote w:id="25">
    <w:p w:rsidR="000164EF" w:rsidRPr="00603A6C" w:rsidRDefault="000164EF" w:rsidP="00494D84">
      <w:pPr>
        <w:pStyle w:val="FootnoteText"/>
        <w:jc w:val="both"/>
        <w:rPr>
          <w:rFonts w:ascii="Times New Roman" w:hAnsi="Times New Roman" w:cs="Times New Roman"/>
          <w:lang w:val="en-GB"/>
        </w:rPr>
      </w:pPr>
      <w:r w:rsidRPr="00603A6C">
        <w:rPr>
          <w:rStyle w:val="FootnoteReference"/>
          <w:rFonts w:ascii="Times New Roman" w:hAnsi="Times New Roman" w:cs="Times New Roman"/>
        </w:rPr>
        <w:footnoteRef/>
      </w:r>
      <w:r w:rsidRPr="00603A6C">
        <w:rPr>
          <w:rFonts w:ascii="Times New Roman" w:hAnsi="Times New Roman" w:cs="Times New Roman"/>
          <w:lang w:val="en-GB"/>
        </w:rPr>
        <w:t xml:space="preserve"> Significant numbers held the view that the benefits for SMEs of modernizing the existing agreement would include: higher output/employment due to higher exports (in both the EU and Chile); cheaper production costs through cheaper imports (in both the EU and Chile); trade facilitated with 3</w:t>
      </w:r>
      <w:r w:rsidRPr="00603A6C">
        <w:rPr>
          <w:rFonts w:ascii="Times New Roman" w:hAnsi="Times New Roman" w:cs="Times New Roman"/>
          <w:vertAlign w:val="superscript"/>
          <w:lang w:val="en-GB"/>
        </w:rPr>
        <w:t>rd</w:t>
      </w:r>
      <w:r w:rsidRPr="00603A6C">
        <w:rPr>
          <w:rFonts w:ascii="Times New Roman" w:hAnsi="Times New Roman" w:cs="Times New Roman"/>
          <w:lang w:val="en-GB"/>
        </w:rPr>
        <w:t xml:space="preserve"> countries due to convergence of standards (in both the EU and Chile); benefits of increased technology transfer (especially in Chile); the possibility to move from lower to higher value-added products (in both the EU and Chile); lower costs for importation requirements (in both the EU and Chile); and possibilities for increased co-operation among SMEs (in both the EU and Chile). </w:t>
      </w:r>
    </w:p>
  </w:footnote>
  <w:footnote w:id="26">
    <w:p w:rsidR="000164EF" w:rsidRPr="002528F0" w:rsidRDefault="000164EF">
      <w:pPr>
        <w:pStyle w:val="FootnoteText"/>
        <w:rPr>
          <w:rFonts w:ascii="Times New Roman" w:hAnsi="Times New Roman" w:cs="Times New Roman"/>
          <w:lang w:val="en-GB"/>
        </w:rPr>
      </w:pPr>
      <w:r>
        <w:rPr>
          <w:rStyle w:val="FootnoteReference"/>
        </w:rPr>
        <w:footnoteRef/>
      </w:r>
      <w:r w:rsidRPr="002528F0">
        <w:rPr>
          <w:lang w:val="en-GB"/>
        </w:rPr>
        <w:t xml:space="preserve"> </w:t>
      </w:r>
      <w:r w:rsidRPr="002528F0">
        <w:rPr>
          <w:rFonts w:ascii="Times New Roman" w:hAnsi="Times New Roman" w:cs="Times New Roman"/>
          <w:lang w:val="en-GB"/>
        </w:rPr>
        <w:t>Climate, air quality, water quality and resources, biodiversity, flora, fauna and landscapes, soil quality or resources, waste production/generation/recycling, efficient use of resources (renewable and non-renewable, sustainable production and consumption, international environmental impacts, transport and use o</w:t>
      </w:r>
      <w:r>
        <w:rPr>
          <w:rFonts w:ascii="Times New Roman" w:hAnsi="Times New Roman" w:cs="Times New Roman"/>
          <w:lang w:val="en-GB"/>
        </w:rPr>
        <w:t>f</w:t>
      </w:r>
      <w:r w:rsidRPr="002528F0">
        <w:rPr>
          <w:rFonts w:ascii="Times New Roman" w:hAnsi="Times New Roman" w:cs="Times New Roman"/>
          <w:lang w:val="en-GB"/>
        </w:rPr>
        <w:t xml:space="preserve"> energy, animal welfare, likelihood or scale of environmental risks and land use.</w:t>
      </w:r>
    </w:p>
  </w:footnote>
  <w:footnote w:id="27">
    <w:p w:rsidR="000164EF" w:rsidRPr="00FC1F61" w:rsidRDefault="000164EF" w:rsidP="00494D84">
      <w:pPr>
        <w:pStyle w:val="FootnoteText"/>
        <w:jc w:val="both"/>
        <w:rPr>
          <w:rFonts w:ascii="Times New Roman" w:hAnsi="Times New Roman" w:cs="Times New Roman"/>
          <w:lang w:val="en-GB"/>
        </w:rPr>
      </w:pPr>
      <w:r w:rsidRPr="00FC1F61">
        <w:rPr>
          <w:rStyle w:val="FootnoteReference"/>
          <w:rFonts w:ascii="Times New Roman" w:hAnsi="Times New Roman" w:cs="Times New Roman"/>
        </w:rPr>
        <w:footnoteRef/>
      </w:r>
      <w:r w:rsidRPr="00FC1F61">
        <w:rPr>
          <w:rFonts w:ascii="Times New Roman" w:hAnsi="Times New Roman" w:cs="Times New Roman"/>
          <w:lang w:val="en-GB"/>
        </w:rPr>
        <w:t xml:space="preserve"> Among various types of possible </w:t>
      </w:r>
      <w:r w:rsidRPr="00FC1F61">
        <w:rPr>
          <w:rFonts w:ascii="Times New Roman" w:hAnsi="Times New Roman" w:cs="Times New Roman"/>
          <w:b/>
          <w:lang w:val="en-GB"/>
        </w:rPr>
        <w:t>positive</w:t>
      </w:r>
      <w:r w:rsidRPr="00FC1F61">
        <w:rPr>
          <w:rFonts w:ascii="Times New Roman" w:hAnsi="Times New Roman" w:cs="Times New Roman"/>
          <w:lang w:val="en-GB"/>
        </w:rPr>
        <w:t xml:space="preserve"> impacts/benefits for EU consumers identified by respondents: prices, choice and availability of goods or services (a third of respondents); quality and safety of goods or services, information available to consumers, and protection and enforcement of consumer rights (about a quarter of respondents).</w:t>
      </w:r>
      <w:r>
        <w:rPr>
          <w:rFonts w:ascii="Times New Roman" w:hAnsi="Times New Roman" w:cs="Times New Roman"/>
          <w:lang w:val="en-GB"/>
        </w:rPr>
        <w:t xml:space="preserve"> </w:t>
      </w:r>
      <w:r w:rsidRPr="00FC1F61">
        <w:rPr>
          <w:rFonts w:ascii="Times New Roman" w:hAnsi="Times New Roman" w:cs="Times New Roman"/>
          <w:lang w:val="en-GB"/>
        </w:rPr>
        <w:t xml:space="preserve">Among the various types of possible </w:t>
      </w:r>
      <w:r w:rsidRPr="00FC1F61">
        <w:rPr>
          <w:rFonts w:ascii="Times New Roman" w:hAnsi="Times New Roman" w:cs="Times New Roman"/>
          <w:b/>
          <w:lang w:val="en-GB"/>
        </w:rPr>
        <w:t>positive</w:t>
      </w:r>
      <w:r w:rsidRPr="00FC1F61">
        <w:rPr>
          <w:rFonts w:ascii="Times New Roman" w:hAnsi="Times New Roman" w:cs="Times New Roman"/>
          <w:lang w:val="en-GB"/>
        </w:rPr>
        <w:t xml:space="preserve"> impacts/benefits for Chilean consumers identified by respondents: choice and availability of goods and services (a half of respondents); prices, quality and safety of goods and services (a third of respondents); and information available to consumers (a quarter of respondents). </w:t>
      </w:r>
    </w:p>
  </w:footnote>
  <w:footnote w:id="28">
    <w:p w:rsidR="000164EF" w:rsidRPr="005D2B55" w:rsidRDefault="000164EF" w:rsidP="002A4A42">
      <w:pPr>
        <w:pStyle w:val="FootnoteText"/>
        <w:rPr>
          <w:lang w:val="en-US"/>
        </w:rPr>
      </w:pPr>
      <w:r>
        <w:rPr>
          <w:rStyle w:val="FootnoteReference"/>
        </w:rPr>
        <w:footnoteRef/>
      </w:r>
      <w:r w:rsidRPr="002A4A42">
        <w:rPr>
          <w:lang w:val="en-GB"/>
        </w:rPr>
        <w:t xml:space="preserve"> </w:t>
      </w:r>
      <w:r>
        <w:rPr>
          <w:lang w:val="en-US"/>
        </w:rPr>
        <w:t xml:space="preserve">Public online consultation on a possible modernisation of the trade part of the EU-Chile Association Agreement, </w:t>
      </w:r>
      <w:hyperlink r:id="rId22" w:history="1">
        <w:r w:rsidRPr="00996498">
          <w:rPr>
            <w:rStyle w:val="Hyperlink"/>
            <w:lang w:val="en-US"/>
          </w:rPr>
          <w:t>http://trade.ec.europa.eu/consultations/index.cfm?consul_id=209</w:t>
        </w:r>
      </w:hyperlink>
      <w:r>
        <w:rPr>
          <w:lang w:val="en-US"/>
        </w:rPr>
        <w:t xml:space="preserve">  </w:t>
      </w:r>
    </w:p>
  </w:footnote>
  <w:footnote w:id="29">
    <w:p w:rsidR="000164EF" w:rsidRPr="000A7769" w:rsidRDefault="000164EF" w:rsidP="002A4A42">
      <w:pPr>
        <w:pStyle w:val="FootnoteText"/>
        <w:rPr>
          <w:lang w:val="en-US"/>
        </w:rPr>
      </w:pPr>
      <w:r>
        <w:rPr>
          <w:rStyle w:val="FootnoteReference"/>
        </w:rPr>
        <w:footnoteRef/>
      </w:r>
      <w:r w:rsidRPr="002A4A42">
        <w:rPr>
          <w:lang w:val="en-US"/>
        </w:rPr>
        <w:t xml:space="preserve"> </w:t>
      </w:r>
      <w:hyperlink r:id="rId23" w:history="1">
        <w:r w:rsidRPr="002A4A42">
          <w:rPr>
            <w:rStyle w:val="Hyperlink"/>
            <w:lang w:val="en-US"/>
          </w:rPr>
          <w:t>https://ec.europa.eu/eusurvey/runner/EU_Chile_association_agreement</w:t>
        </w:r>
      </w:hyperlink>
      <w:r w:rsidRPr="002A4A42">
        <w:rPr>
          <w:lang w:val="en-US"/>
        </w:rPr>
        <w:t xml:space="preserve"> </w:t>
      </w:r>
    </w:p>
  </w:footnote>
  <w:footnote w:id="30">
    <w:p w:rsidR="000164EF" w:rsidRPr="00AF6666" w:rsidRDefault="000164EF" w:rsidP="002A4A42">
      <w:pPr>
        <w:pStyle w:val="FootnoteText"/>
        <w:rPr>
          <w:lang w:val="en-US"/>
        </w:rPr>
      </w:pPr>
      <w:r>
        <w:rPr>
          <w:rStyle w:val="FootnoteReference"/>
        </w:rPr>
        <w:footnoteRef/>
      </w:r>
      <w:r w:rsidRPr="002A4A42">
        <w:rPr>
          <w:lang w:val="en-GB"/>
        </w:rPr>
        <w:t xml:space="preserve"> </w:t>
      </w:r>
      <w:r>
        <w:rPr>
          <w:lang w:val="en-US"/>
        </w:rPr>
        <w:t>Figure resulting from the analysis of the online submissions on the EU Survey website.</w:t>
      </w:r>
    </w:p>
  </w:footnote>
  <w:footnote w:id="31">
    <w:p w:rsidR="000164EF" w:rsidRPr="0014393D" w:rsidRDefault="000164EF" w:rsidP="00A6677D">
      <w:pPr>
        <w:pStyle w:val="FootnoteText"/>
        <w:rPr>
          <w:lang w:val="en-GB"/>
        </w:rPr>
      </w:pPr>
      <w:r>
        <w:rPr>
          <w:rStyle w:val="FootnoteReference"/>
        </w:rPr>
        <w:footnoteRef/>
      </w:r>
      <w:r w:rsidRPr="0014393D">
        <w:rPr>
          <w:lang w:val="en-GB"/>
        </w:rPr>
        <w:t xml:space="preserve"> </w:t>
      </w:r>
      <w:r w:rsidRPr="00C34857">
        <w:rPr>
          <w:rFonts w:asciiTheme="majorBidi" w:hAnsiTheme="majorBidi" w:cstheme="majorBidi"/>
          <w:lang w:val="en-GB"/>
        </w:rPr>
        <w:t>GTAP 9, base year 2011</w:t>
      </w:r>
    </w:p>
  </w:footnote>
  <w:footnote w:id="32">
    <w:p w:rsidR="000164EF" w:rsidRPr="00747EBC" w:rsidRDefault="000164EF" w:rsidP="00A6677D">
      <w:pPr>
        <w:pStyle w:val="FootnoteText"/>
        <w:jc w:val="both"/>
        <w:rPr>
          <w:rFonts w:ascii="Times New Roman" w:hAnsi="Times New Roman" w:cs="Times New Roman"/>
          <w:lang w:val="en-GB"/>
        </w:rPr>
      </w:pPr>
      <w:r w:rsidRPr="00747EBC">
        <w:rPr>
          <w:rStyle w:val="FootnoteReference"/>
          <w:rFonts w:ascii="Times New Roman" w:hAnsi="Times New Roman" w:cs="Times New Roman"/>
        </w:rPr>
        <w:footnoteRef/>
      </w:r>
      <w:r w:rsidRPr="00747EBC">
        <w:rPr>
          <w:rFonts w:ascii="Times New Roman" w:hAnsi="Times New Roman" w:cs="Times New Roman"/>
          <w:lang w:val="en-GB"/>
        </w:rPr>
        <w:t xml:space="preserve"> </w:t>
      </w:r>
      <w:r>
        <w:rPr>
          <w:rFonts w:ascii="Times New Roman" w:hAnsi="Times New Roman" w:cs="Times New Roman"/>
          <w:lang w:val="en-GB"/>
        </w:rPr>
        <w:t>Ad valorem equivalents of NTB are introduced ‘on’</w:t>
      </w:r>
      <w:r w:rsidRPr="00747EBC">
        <w:rPr>
          <w:rFonts w:ascii="Times New Roman" w:hAnsi="Times New Roman" w:cs="Times New Roman"/>
          <w:lang w:val="en-GB"/>
        </w:rPr>
        <w:t xml:space="preserve"> the standard tariff variable already in the model. This has the inconvenience that </w:t>
      </w:r>
      <w:r>
        <w:rPr>
          <w:rFonts w:ascii="Times New Roman" w:hAnsi="Times New Roman" w:cs="Times New Roman"/>
          <w:lang w:val="en-GB"/>
        </w:rPr>
        <w:t xml:space="preserve">they create </w:t>
      </w:r>
      <w:r w:rsidRPr="00747EBC">
        <w:rPr>
          <w:rFonts w:ascii="Times New Roman" w:hAnsi="Times New Roman" w:cs="Times New Roman"/>
          <w:lang w:val="en-GB"/>
        </w:rPr>
        <w:t xml:space="preserve">government revenue even if </w:t>
      </w:r>
      <w:r>
        <w:rPr>
          <w:rFonts w:ascii="Times New Roman" w:hAnsi="Times New Roman" w:cs="Times New Roman"/>
          <w:lang w:val="en-GB"/>
        </w:rPr>
        <w:t>this is not the case in the ‘real’</w:t>
      </w:r>
      <w:r w:rsidRPr="00747EBC">
        <w:rPr>
          <w:rFonts w:ascii="Times New Roman" w:hAnsi="Times New Roman" w:cs="Times New Roman"/>
          <w:lang w:val="en-GB"/>
        </w:rPr>
        <w:t xml:space="preserve"> world. </w:t>
      </w:r>
      <w:r>
        <w:rPr>
          <w:rFonts w:ascii="Times New Roman" w:hAnsi="Times New Roman" w:cs="Times New Roman"/>
          <w:lang w:val="en-GB"/>
        </w:rPr>
        <w:t xml:space="preserve">To minimize this, only the part of the NTB that is eventually reduced (cf. the section on scenarios) is added to the model.  </w:t>
      </w:r>
    </w:p>
  </w:footnote>
  <w:footnote w:id="33">
    <w:p w:rsidR="000164EF" w:rsidRPr="005D1EBF" w:rsidRDefault="000164EF" w:rsidP="00A6677D">
      <w:pPr>
        <w:pStyle w:val="FootnoteText"/>
        <w:rPr>
          <w:rFonts w:asciiTheme="majorBidi" w:hAnsiTheme="majorBidi" w:cstheme="majorBidi"/>
          <w:lang w:val="en-US"/>
        </w:rPr>
      </w:pPr>
      <w:r w:rsidRPr="005D1EBF">
        <w:rPr>
          <w:rStyle w:val="FootnoteReference"/>
          <w:rFonts w:asciiTheme="majorBidi" w:hAnsiTheme="majorBidi" w:cstheme="majorBidi"/>
        </w:rPr>
        <w:footnoteRef/>
      </w:r>
      <w:r w:rsidRPr="005D1EBF">
        <w:rPr>
          <w:rFonts w:asciiTheme="majorBidi" w:hAnsiTheme="majorBidi" w:cstheme="majorBidi"/>
          <w:lang w:val="en-US"/>
        </w:rPr>
        <w:t xml:space="preserve"> This is not to say that there will be no ambition in the negotiations to achieve progress on SPS issues.</w:t>
      </w:r>
    </w:p>
  </w:footnote>
  <w:footnote w:id="34">
    <w:p w:rsidR="000164EF" w:rsidRPr="00F04F78" w:rsidRDefault="000164EF" w:rsidP="00A6677D">
      <w:pPr>
        <w:pStyle w:val="FootnoteText"/>
        <w:rPr>
          <w:rFonts w:asciiTheme="majorBidi" w:hAnsiTheme="majorBidi" w:cstheme="majorBidi"/>
          <w:lang w:val="en-US"/>
        </w:rPr>
      </w:pPr>
      <w:r w:rsidRPr="00F04F78">
        <w:rPr>
          <w:rStyle w:val="FootnoteReference"/>
          <w:rFonts w:asciiTheme="majorBidi" w:hAnsiTheme="majorBidi" w:cstheme="majorBidi"/>
        </w:rPr>
        <w:footnoteRef/>
      </w:r>
      <w:r w:rsidRPr="00F04F78">
        <w:rPr>
          <w:rFonts w:asciiTheme="majorBidi" w:hAnsiTheme="majorBidi" w:cstheme="majorBidi"/>
          <w:lang w:val="en-US"/>
        </w:rPr>
        <w:t xml:space="preserve"> GTAP technical paper No. 12 (https://www.gtap.agecon.purdue.edu/resources/res_display.asp?RecordID=315)</w:t>
      </w:r>
    </w:p>
  </w:footnote>
  <w:footnote w:id="35">
    <w:p w:rsidR="000164EF" w:rsidRPr="003E302A" w:rsidRDefault="000164EF" w:rsidP="00E257DF">
      <w:pPr>
        <w:pStyle w:val="FootnoteText"/>
        <w:rPr>
          <w:lang w:val="en-GB"/>
        </w:rPr>
      </w:pPr>
      <w:r>
        <w:rPr>
          <w:rStyle w:val="FootnoteReference"/>
        </w:rPr>
        <w:footnoteRef/>
      </w:r>
      <w:r w:rsidRPr="003E302A">
        <w:rPr>
          <w:lang w:val="en-GB"/>
        </w:rPr>
        <w:t xml:space="preserve"> </w:t>
      </w:r>
      <w:r w:rsidRPr="003E302A">
        <w:rPr>
          <w:rFonts w:asciiTheme="majorBidi" w:hAnsiTheme="majorBidi" w:cstheme="majorBidi"/>
          <w:lang w:val="en-US"/>
        </w:rPr>
        <w:t>The fact that all these agreements are plurilateral ones is a coincidence, rather than a defining feature.</w:t>
      </w:r>
    </w:p>
  </w:footnote>
  <w:footnote w:id="36">
    <w:p w:rsidR="000164EF" w:rsidRPr="00F10238" w:rsidRDefault="000164EF" w:rsidP="00A6677D">
      <w:pPr>
        <w:pStyle w:val="FootnoteText"/>
        <w:ind w:left="142" w:hanging="142"/>
        <w:jc w:val="both"/>
        <w:rPr>
          <w:rFonts w:asciiTheme="majorBidi" w:hAnsiTheme="majorBidi" w:cstheme="majorBidi"/>
          <w:lang w:val="en-GB"/>
        </w:rPr>
      </w:pPr>
      <w:r w:rsidRPr="00F10238">
        <w:rPr>
          <w:rStyle w:val="FootnoteReference"/>
          <w:rFonts w:asciiTheme="majorBidi" w:hAnsiTheme="majorBidi" w:cstheme="majorBidi"/>
        </w:rPr>
        <w:footnoteRef/>
      </w:r>
      <w:r w:rsidRPr="00F10238">
        <w:rPr>
          <w:rFonts w:asciiTheme="majorBidi" w:hAnsiTheme="majorBidi" w:cstheme="majorBidi"/>
          <w:lang w:val="en-GB"/>
        </w:rPr>
        <w:t xml:space="preserve"> EU requirements are largely based on international standards, and in most cases products can be placed on the EU market on the basis of the supplier's declaration of conformity. </w:t>
      </w:r>
    </w:p>
  </w:footnote>
  <w:footnote w:id="37">
    <w:p w:rsidR="000164EF" w:rsidRPr="00CB0039" w:rsidRDefault="000164EF" w:rsidP="00A6677D">
      <w:pPr>
        <w:pStyle w:val="FootnoteText"/>
        <w:rPr>
          <w:lang w:val="en-US"/>
        </w:rPr>
      </w:pPr>
      <w:r>
        <w:rPr>
          <w:rStyle w:val="FootnoteReference"/>
        </w:rPr>
        <w:footnoteRef/>
      </w:r>
      <w:r w:rsidRPr="00CB0039">
        <w:rPr>
          <w:lang w:val="en-US"/>
        </w:rPr>
        <w:t xml:space="preserve"> </w:t>
      </w:r>
      <w:r w:rsidRPr="00CB0039">
        <w:rPr>
          <w:rFonts w:ascii="Times New Roman" w:hAnsi="Times New Roman" w:cs="Times New Roman"/>
          <w:lang w:val="en-GB"/>
        </w:rPr>
        <w:t>Decreux, Y. and L. Fontagné (2011), Economic Impact of Potential Outcome of the DDA.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48" w:rsidRPr="00450848" w:rsidRDefault="00450848" w:rsidP="0045084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Header"/>
    </w:pPr>
  </w:p>
  <w:p w:rsidR="000164EF" w:rsidRDefault="000164EF"/>
  <w:p w:rsidR="000164EF" w:rsidRDefault="000164E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Header"/>
    </w:pPr>
  </w:p>
  <w:p w:rsidR="000164EF" w:rsidRDefault="000164EF"/>
  <w:p w:rsidR="000164EF" w:rsidRDefault="000164E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48" w:rsidRPr="00450848" w:rsidRDefault="00450848" w:rsidP="0045084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48" w:rsidRPr="00450848" w:rsidRDefault="00450848" w:rsidP="0045084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EF" w:rsidRPr="00B66063" w:rsidRDefault="000164EF" w:rsidP="00B66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AEA"/>
    <w:multiLevelType w:val="hybridMultilevel"/>
    <w:tmpl w:val="D568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CE3EFF"/>
    <w:multiLevelType w:val="hybridMultilevel"/>
    <w:tmpl w:val="DC6C9D92"/>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0501E"/>
    <w:multiLevelType w:val="hybridMultilevel"/>
    <w:tmpl w:val="FC8C25C4"/>
    <w:lvl w:ilvl="0" w:tplc="6ACEE0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574818"/>
    <w:multiLevelType w:val="hybridMultilevel"/>
    <w:tmpl w:val="1B78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9510D"/>
    <w:multiLevelType w:val="hybridMultilevel"/>
    <w:tmpl w:val="339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C051AD"/>
    <w:multiLevelType w:val="hybridMultilevel"/>
    <w:tmpl w:val="386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C0710A"/>
    <w:multiLevelType w:val="hybridMultilevel"/>
    <w:tmpl w:val="65F273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90F2D3A"/>
    <w:multiLevelType w:val="hybridMultilevel"/>
    <w:tmpl w:val="C902D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91A4BD0"/>
    <w:multiLevelType w:val="hybridMultilevel"/>
    <w:tmpl w:val="7B18E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B6F5D00"/>
    <w:multiLevelType w:val="hybridMultilevel"/>
    <w:tmpl w:val="18DAE694"/>
    <w:lvl w:ilvl="0" w:tplc="08090001">
      <w:start w:val="1"/>
      <w:numFmt w:val="bullet"/>
      <w:lvlText w:val=""/>
      <w:lvlJc w:val="left"/>
      <w:pPr>
        <w:ind w:left="360" w:hanging="360"/>
      </w:pPr>
      <w:rPr>
        <w:rFonts w:ascii="Symbol" w:hAnsi="Symbol" w:hint="default"/>
      </w:rPr>
    </w:lvl>
    <w:lvl w:ilvl="1" w:tplc="50845F9A">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CBB25FA"/>
    <w:multiLevelType w:val="hybridMultilevel"/>
    <w:tmpl w:val="49A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BC0C6E"/>
    <w:multiLevelType w:val="hybridMultilevel"/>
    <w:tmpl w:val="AA8A1D0A"/>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CC0433"/>
    <w:multiLevelType w:val="hybridMultilevel"/>
    <w:tmpl w:val="7D7ED3D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nsid w:val="0E615378"/>
    <w:multiLevelType w:val="hybridMultilevel"/>
    <w:tmpl w:val="BEE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93400E"/>
    <w:multiLevelType w:val="hybridMultilevel"/>
    <w:tmpl w:val="0D689F0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09B466F"/>
    <w:multiLevelType w:val="hybridMultilevel"/>
    <w:tmpl w:val="8C44AEB6"/>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09F6840"/>
    <w:multiLevelType w:val="hybridMultilevel"/>
    <w:tmpl w:val="6430FE38"/>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E2FA4"/>
    <w:multiLevelType w:val="hybridMultilevel"/>
    <w:tmpl w:val="C7F8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E7042B"/>
    <w:multiLevelType w:val="hybridMultilevel"/>
    <w:tmpl w:val="4238E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5133CA5"/>
    <w:multiLevelType w:val="hybridMultilevel"/>
    <w:tmpl w:val="6A9E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839661A"/>
    <w:multiLevelType w:val="hybridMultilevel"/>
    <w:tmpl w:val="93000538"/>
    <w:lvl w:ilvl="0" w:tplc="3CC26A3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D0E50D9"/>
    <w:multiLevelType w:val="hybridMultilevel"/>
    <w:tmpl w:val="A516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F455EE7"/>
    <w:multiLevelType w:val="hybridMultilevel"/>
    <w:tmpl w:val="34D66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2182194"/>
    <w:multiLevelType w:val="hybridMultilevel"/>
    <w:tmpl w:val="B69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2303AF9"/>
    <w:multiLevelType w:val="hybridMultilevel"/>
    <w:tmpl w:val="F4783E10"/>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9967D0"/>
    <w:multiLevelType w:val="hybridMultilevel"/>
    <w:tmpl w:val="BA00372E"/>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61A7CC4"/>
    <w:multiLevelType w:val="hybridMultilevel"/>
    <w:tmpl w:val="64129AE2"/>
    <w:lvl w:ilvl="0" w:tplc="74E6F6FE">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965D78"/>
    <w:multiLevelType w:val="hybridMultilevel"/>
    <w:tmpl w:val="3404F60A"/>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92B19BB"/>
    <w:multiLevelType w:val="hybridMultilevel"/>
    <w:tmpl w:val="B45A93E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293C2B2B"/>
    <w:multiLevelType w:val="hybridMultilevel"/>
    <w:tmpl w:val="8134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2B033DD9"/>
    <w:multiLevelType w:val="hybridMultilevel"/>
    <w:tmpl w:val="7B10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B120360"/>
    <w:multiLevelType w:val="hybridMultilevel"/>
    <w:tmpl w:val="4726EA60"/>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D3344F4"/>
    <w:multiLevelType w:val="multilevel"/>
    <w:tmpl w:val="8FC890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11F2C2D"/>
    <w:multiLevelType w:val="hybridMultilevel"/>
    <w:tmpl w:val="C5EC87B0"/>
    <w:lvl w:ilvl="0" w:tplc="3CC26A3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33A7C8D"/>
    <w:multiLevelType w:val="hybridMultilevel"/>
    <w:tmpl w:val="1534D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1784D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2BC7658"/>
    <w:multiLevelType w:val="hybridMultilevel"/>
    <w:tmpl w:val="E174D65C"/>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66F50D7"/>
    <w:multiLevelType w:val="hybridMultilevel"/>
    <w:tmpl w:val="E8D86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47DC7B6A"/>
    <w:multiLevelType w:val="hybridMultilevel"/>
    <w:tmpl w:val="D2824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AF67AF6"/>
    <w:multiLevelType w:val="hybridMultilevel"/>
    <w:tmpl w:val="E0025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C1F7CD0"/>
    <w:multiLevelType w:val="hybridMultilevel"/>
    <w:tmpl w:val="137CB9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nsid w:val="4EB8352D"/>
    <w:multiLevelType w:val="hybridMultilevel"/>
    <w:tmpl w:val="90964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4F6C2B7A"/>
    <w:multiLevelType w:val="hybridMultilevel"/>
    <w:tmpl w:val="285E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205EA8"/>
    <w:multiLevelType w:val="hybridMultilevel"/>
    <w:tmpl w:val="3070B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549C2B91"/>
    <w:multiLevelType w:val="hybridMultilevel"/>
    <w:tmpl w:val="D44875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555C6A2B"/>
    <w:multiLevelType w:val="hybridMultilevel"/>
    <w:tmpl w:val="0492D1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589A6126"/>
    <w:multiLevelType w:val="hybridMultilevel"/>
    <w:tmpl w:val="1DF24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5A2E6ED0"/>
    <w:multiLevelType w:val="hybridMultilevel"/>
    <w:tmpl w:val="C204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5D1D62B9"/>
    <w:multiLevelType w:val="hybridMultilevel"/>
    <w:tmpl w:val="4BD6E426"/>
    <w:lvl w:ilvl="0" w:tplc="3CC26A3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E192EA7"/>
    <w:multiLevelType w:val="hybridMultilevel"/>
    <w:tmpl w:val="DEF8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F4A710E"/>
    <w:multiLevelType w:val="multilevel"/>
    <w:tmpl w:val="8FC890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FF33E1D"/>
    <w:multiLevelType w:val="hybridMultilevel"/>
    <w:tmpl w:val="494C70DC"/>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0003305"/>
    <w:multiLevelType w:val="hybridMultilevel"/>
    <w:tmpl w:val="09A8E9A4"/>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1442AAA"/>
    <w:multiLevelType w:val="hybridMultilevel"/>
    <w:tmpl w:val="95661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64266162"/>
    <w:multiLevelType w:val="hybridMultilevel"/>
    <w:tmpl w:val="A624491A"/>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7753736"/>
    <w:multiLevelType w:val="hybridMultilevel"/>
    <w:tmpl w:val="A6EC4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67B0096B"/>
    <w:multiLevelType w:val="hybridMultilevel"/>
    <w:tmpl w:val="724EA15A"/>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8F301C2"/>
    <w:multiLevelType w:val="hybridMultilevel"/>
    <w:tmpl w:val="43BC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CB778EA"/>
    <w:multiLevelType w:val="hybridMultilevel"/>
    <w:tmpl w:val="F9D2B652"/>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E185FFE"/>
    <w:multiLevelType w:val="hybridMultilevel"/>
    <w:tmpl w:val="CFFC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2917264"/>
    <w:multiLevelType w:val="hybridMultilevel"/>
    <w:tmpl w:val="8DE04948"/>
    <w:lvl w:ilvl="0" w:tplc="74E6F6FE">
      <w:start w:val="2"/>
      <w:numFmt w:val="bullet"/>
      <w:lvlText w:val="-"/>
      <w:lvlJc w:val="left"/>
      <w:pPr>
        <w:ind w:left="720" w:hanging="360"/>
      </w:pPr>
      <w:rPr>
        <w:rFonts w:ascii="Calibri" w:eastAsia="Calibri" w:hAnsi="Calibri" w:cs="Times New Roman" w:hint="default"/>
      </w:rPr>
    </w:lvl>
    <w:lvl w:ilvl="1" w:tplc="74E6F6FE">
      <w:start w:val="2"/>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56150A3"/>
    <w:multiLevelType w:val="hybridMultilevel"/>
    <w:tmpl w:val="E7D6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758F4E57"/>
    <w:multiLevelType w:val="hybridMultilevel"/>
    <w:tmpl w:val="49F0EF5A"/>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5B97F04"/>
    <w:multiLevelType w:val="hybridMultilevel"/>
    <w:tmpl w:val="477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72A5C36"/>
    <w:multiLevelType w:val="hybridMultilevel"/>
    <w:tmpl w:val="BEB4859A"/>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84D794B"/>
    <w:multiLevelType w:val="hybridMultilevel"/>
    <w:tmpl w:val="1D941F7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nsid w:val="79836A6E"/>
    <w:multiLevelType w:val="hybridMultilevel"/>
    <w:tmpl w:val="A6405CD0"/>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EAF50CC"/>
    <w:multiLevelType w:val="hybridMultilevel"/>
    <w:tmpl w:val="DF464582"/>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F1D4422"/>
    <w:multiLevelType w:val="hybridMultilevel"/>
    <w:tmpl w:val="348C25C2"/>
    <w:lvl w:ilvl="0" w:tplc="3CC26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F4A0C9B"/>
    <w:multiLevelType w:val="hybridMultilevel"/>
    <w:tmpl w:val="AD4CF332"/>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70">
    <w:nsid w:val="7FEC4F14"/>
    <w:multiLevelType w:val="hybridMultilevel"/>
    <w:tmpl w:val="DA0E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27"/>
  </w:num>
  <w:num w:numId="3">
    <w:abstractNumId w:val="31"/>
  </w:num>
  <w:num w:numId="4">
    <w:abstractNumId w:val="1"/>
  </w:num>
  <w:num w:numId="5">
    <w:abstractNumId w:val="54"/>
  </w:num>
  <w:num w:numId="6">
    <w:abstractNumId w:val="53"/>
  </w:num>
  <w:num w:numId="7">
    <w:abstractNumId w:val="7"/>
  </w:num>
  <w:num w:numId="8">
    <w:abstractNumId w:val="65"/>
  </w:num>
  <w:num w:numId="9">
    <w:abstractNumId w:val="9"/>
  </w:num>
  <w:num w:numId="10">
    <w:abstractNumId w:val="41"/>
  </w:num>
  <w:num w:numId="11">
    <w:abstractNumId w:val="44"/>
  </w:num>
  <w:num w:numId="12">
    <w:abstractNumId w:val="32"/>
  </w:num>
  <w:num w:numId="13">
    <w:abstractNumId w:val="30"/>
  </w:num>
  <w:num w:numId="14">
    <w:abstractNumId w:val="56"/>
  </w:num>
  <w:num w:numId="15">
    <w:abstractNumId w:val="2"/>
  </w:num>
  <w:num w:numId="16">
    <w:abstractNumId w:val="39"/>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9"/>
  </w:num>
  <w:num w:numId="20">
    <w:abstractNumId w:val="43"/>
  </w:num>
  <w:num w:numId="21">
    <w:abstractNumId w:val="42"/>
  </w:num>
  <w:num w:numId="22">
    <w:abstractNumId w:val="63"/>
  </w:num>
  <w:num w:numId="23">
    <w:abstractNumId w:val="21"/>
  </w:num>
  <w:num w:numId="24">
    <w:abstractNumId w:val="59"/>
  </w:num>
  <w:num w:numId="25">
    <w:abstractNumId w:val="69"/>
  </w:num>
  <w:num w:numId="26">
    <w:abstractNumId w:val="12"/>
  </w:num>
  <w:num w:numId="27">
    <w:abstractNumId w:val="3"/>
  </w:num>
  <w:num w:numId="28">
    <w:abstractNumId w:val="68"/>
  </w:num>
  <w:num w:numId="29">
    <w:abstractNumId w:val="58"/>
  </w:num>
  <w:num w:numId="30">
    <w:abstractNumId w:val="48"/>
  </w:num>
  <w:num w:numId="31">
    <w:abstractNumId w:val="11"/>
  </w:num>
  <w:num w:numId="32">
    <w:abstractNumId w:val="15"/>
  </w:num>
  <w:num w:numId="33">
    <w:abstractNumId w:val="25"/>
  </w:num>
  <w:num w:numId="34">
    <w:abstractNumId w:val="64"/>
  </w:num>
  <w:num w:numId="35">
    <w:abstractNumId w:val="24"/>
  </w:num>
  <w:num w:numId="36">
    <w:abstractNumId w:val="0"/>
  </w:num>
  <w:num w:numId="37">
    <w:abstractNumId w:val="60"/>
  </w:num>
  <w:num w:numId="38">
    <w:abstractNumId w:val="26"/>
  </w:num>
  <w:num w:numId="39">
    <w:abstractNumId w:val="28"/>
  </w:num>
  <w:num w:numId="40">
    <w:abstractNumId w:val="16"/>
  </w:num>
  <w:num w:numId="41">
    <w:abstractNumId w:val="62"/>
  </w:num>
  <w:num w:numId="42">
    <w:abstractNumId w:val="18"/>
  </w:num>
  <w:num w:numId="43">
    <w:abstractNumId w:val="66"/>
  </w:num>
  <w:num w:numId="44">
    <w:abstractNumId w:val="33"/>
  </w:num>
  <w:num w:numId="45">
    <w:abstractNumId w:val="20"/>
  </w:num>
  <w:num w:numId="46">
    <w:abstractNumId w:val="52"/>
  </w:num>
  <w:num w:numId="47">
    <w:abstractNumId w:val="5"/>
  </w:num>
  <w:num w:numId="48">
    <w:abstractNumId w:val="70"/>
  </w:num>
  <w:num w:numId="49">
    <w:abstractNumId w:val="51"/>
  </w:num>
  <w:num w:numId="50">
    <w:abstractNumId w:val="17"/>
  </w:num>
  <w:num w:numId="51">
    <w:abstractNumId w:val="36"/>
  </w:num>
  <w:num w:numId="52">
    <w:abstractNumId w:val="34"/>
  </w:num>
  <w:num w:numId="53">
    <w:abstractNumId w:val="55"/>
  </w:num>
  <w:num w:numId="54">
    <w:abstractNumId w:val="47"/>
  </w:num>
  <w:num w:numId="55">
    <w:abstractNumId w:val="57"/>
  </w:num>
  <w:num w:numId="56">
    <w:abstractNumId w:val="50"/>
  </w:num>
  <w:num w:numId="57">
    <w:abstractNumId w:val="49"/>
  </w:num>
  <w:num w:numId="58">
    <w:abstractNumId w:val="23"/>
  </w:num>
  <w:num w:numId="59">
    <w:abstractNumId w:val="45"/>
  </w:num>
  <w:num w:numId="60">
    <w:abstractNumId w:val="6"/>
  </w:num>
  <w:num w:numId="61">
    <w:abstractNumId w:val="13"/>
  </w:num>
  <w:num w:numId="62">
    <w:abstractNumId w:val="14"/>
  </w:num>
  <w:num w:numId="63">
    <w:abstractNumId w:val="22"/>
  </w:num>
  <w:num w:numId="64">
    <w:abstractNumId w:val="38"/>
  </w:num>
  <w:num w:numId="65">
    <w:abstractNumId w:val="4"/>
  </w:num>
  <w:num w:numId="66">
    <w:abstractNumId w:val="10"/>
  </w:num>
  <w:num w:numId="67">
    <w:abstractNumId w:val="46"/>
  </w:num>
  <w:num w:numId="68">
    <w:abstractNumId w:val="61"/>
  </w:num>
  <w:num w:numId="69">
    <w:abstractNumId w:val="37"/>
  </w:num>
  <w:num w:numId="70">
    <w:abstractNumId w:val="8"/>
  </w:num>
  <w:num w:numId="71">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DD9460A-CA17-424C-A8ED-04A57471CE33"/>
    <w:docVar w:name="LW_COVERPAGE_TYPE" w:val="1"/>
    <w:docVar w:name="LW_CROSSREFERENCE" w:val="{JOIN(2017) 19 final}_x000a_{SWD(2017) 172 final}"/>
    <w:docVar w:name="LW_DocType" w:val="NORMAL"/>
    <w:docVar w:name="LW_EMISSION" w:val="24.5.2017"/>
    <w:docVar w:name="LW_EMISSION_ISODATE" w:val="2017-05-24"/>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authorising the European Commission and the High Representative of the Union for Foreign Affairs and Security Policy to open negotiations and negotiate a modernised Association Agreement with the Republic of Chile_x000b_"/>
    <w:docVar w:name="LW_PART_NBR" w:val="1"/>
    <w:docVar w:name="LW_PART_NBR_TOTAL" w:val="1"/>
    <w:docVar w:name="LW_REF.INST.NEW" w:val="SWD"/>
    <w:docVar w:name="LW_REF.INST.NEW_ADOPTED" w:val="final"/>
    <w:docVar w:name="LW_REF.INST.NEW_TEXT" w:val="(2017)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Joint Recommendation for a Council Decision"/>
  </w:docVars>
  <w:rsids>
    <w:rsidRoot w:val="00471953"/>
    <w:rsid w:val="000000B5"/>
    <w:rsid w:val="000006C3"/>
    <w:rsid w:val="00001100"/>
    <w:rsid w:val="000022E5"/>
    <w:rsid w:val="000028AC"/>
    <w:rsid w:val="000028DE"/>
    <w:rsid w:val="000030EF"/>
    <w:rsid w:val="000035D3"/>
    <w:rsid w:val="0000387F"/>
    <w:rsid w:val="0000389A"/>
    <w:rsid w:val="000041F7"/>
    <w:rsid w:val="000043EA"/>
    <w:rsid w:val="0000495F"/>
    <w:rsid w:val="00004FE2"/>
    <w:rsid w:val="00005082"/>
    <w:rsid w:val="0000511F"/>
    <w:rsid w:val="000052DD"/>
    <w:rsid w:val="00005E17"/>
    <w:rsid w:val="00007007"/>
    <w:rsid w:val="00007900"/>
    <w:rsid w:val="00007A1C"/>
    <w:rsid w:val="00011519"/>
    <w:rsid w:val="0001188E"/>
    <w:rsid w:val="00012626"/>
    <w:rsid w:val="00012BCE"/>
    <w:rsid w:val="00013ECD"/>
    <w:rsid w:val="000144EF"/>
    <w:rsid w:val="00014BC9"/>
    <w:rsid w:val="00015230"/>
    <w:rsid w:val="000164EF"/>
    <w:rsid w:val="0001691D"/>
    <w:rsid w:val="0001764E"/>
    <w:rsid w:val="00017EFB"/>
    <w:rsid w:val="00020930"/>
    <w:rsid w:val="00020C1C"/>
    <w:rsid w:val="000210B4"/>
    <w:rsid w:val="000215EF"/>
    <w:rsid w:val="000218B8"/>
    <w:rsid w:val="0002193E"/>
    <w:rsid w:val="000231F2"/>
    <w:rsid w:val="00023227"/>
    <w:rsid w:val="000235B5"/>
    <w:rsid w:val="000259B3"/>
    <w:rsid w:val="0002647C"/>
    <w:rsid w:val="00026DB4"/>
    <w:rsid w:val="00027B9C"/>
    <w:rsid w:val="00027FD4"/>
    <w:rsid w:val="00030559"/>
    <w:rsid w:val="000312A2"/>
    <w:rsid w:val="000325E6"/>
    <w:rsid w:val="00033BE5"/>
    <w:rsid w:val="000344A0"/>
    <w:rsid w:val="0003508D"/>
    <w:rsid w:val="000356B4"/>
    <w:rsid w:val="00036147"/>
    <w:rsid w:val="00036370"/>
    <w:rsid w:val="0004006F"/>
    <w:rsid w:val="00040B68"/>
    <w:rsid w:val="00041884"/>
    <w:rsid w:val="000445A1"/>
    <w:rsid w:val="00044CB3"/>
    <w:rsid w:val="0004588D"/>
    <w:rsid w:val="00045B1D"/>
    <w:rsid w:val="0004618D"/>
    <w:rsid w:val="00046D21"/>
    <w:rsid w:val="000477D1"/>
    <w:rsid w:val="000505BD"/>
    <w:rsid w:val="00050F72"/>
    <w:rsid w:val="00052519"/>
    <w:rsid w:val="00053512"/>
    <w:rsid w:val="00053C72"/>
    <w:rsid w:val="0005557F"/>
    <w:rsid w:val="00055C3C"/>
    <w:rsid w:val="00056026"/>
    <w:rsid w:val="0005739C"/>
    <w:rsid w:val="0005770F"/>
    <w:rsid w:val="000600F4"/>
    <w:rsid w:val="0006158E"/>
    <w:rsid w:val="00061B69"/>
    <w:rsid w:val="000621A4"/>
    <w:rsid w:val="00062E17"/>
    <w:rsid w:val="000635D5"/>
    <w:rsid w:val="000644C4"/>
    <w:rsid w:val="00065F4C"/>
    <w:rsid w:val="00066D1B"/>
    <w:rsid w:val="000670AC"/>
    <w:rsid w:val="00067141"/>
    <w:rsid w:val="00067483"/>
    <w:rsid w:val="000677BC"/>
    <w:rsid w:val="00070E1A"/>
    <w:rsid w:val="000711A0"/>
    <w:rsid w:val="00072B05"/>
    <w:rsid w:val="00073F1A"/>
    <w:rsid w:val="00075D02"/>
    <w:rsid w:val="00076ADD"/>
    <w:rsid w:val="00076D36"/>
    <w:rsid w:val="00080011"/>
    <w:rsid w:val="00080545"/>
    <w:rsid w:val="00080624"/>
    <w:rsid w:val="0008178A"/>
    <w:rsid w:val="0008193F"/>
    <w:rsid w:val="00082C2B"/>
    <w:rsid w:val="000830EE"/>
    <w:rsid w:val="000831FD"/>
    <w:rsid w:val="00083AD0"/>
    <w:rsid w:val="00083BF3"/>
    <w:rsid w:val="0008694B"/>
    <w:rsid w:val="000900F7"/>
    <w:rsid w:val="00090601"/>
    <w:rsid w:val="000913CF"/>
    <w:rsid w:val="00092D4B"/>
    <w:rsid w:val="00093D6E"/>
    <w:rsid w:val="000954F3"/>
    <w:rsid w:val="0009750B"/>
    <w:rsid w:val="00097736"/>
    <w:rsid w:val="00097978"/>
    <w:rsid w:val="00097C5D"/>
    <w:rsid w:val="000A03E6"/>
    <w:rsid w:val="000A144D"/>
    <w:rsid w:val="000A187F"/>
    <w:rsid w:val="000A2ECE"/>
    <w:rsid w:val="000A4037"/>
    <w:rsid w:val="000A4DEF"/>
    <w:rsid w:val="000A59E7"/>
    <w:rsid w:val="000A5C16"/>
    <w:rsid w:val="000A777F"/>
    <w:rsid w:val="000B034E"/>
    <w:rsid w:val="000B0960"/>
    <w:rsid w:val="000B14E2"/>
    <w:rsid w:val="000B1E68"/>
    <w:rsid w:val="000B2651"/>
    <w:rsid w:val="000B3FF8"/>
    <w:rsid w:val="000B4524"/>
    <w:rsid w:val="000B69C5"/>
    <w:rsid w:val="000B6D44"/>
    <w:rsid w:val="000C09F3"/>
    <w:rsid w:val="000C0A13"/>
    <w:rsid w:val="000C1333"/>
    <w:rsid w:val="000C331D"/>
    <w:rsid w:val="000C394B"/>
    <w:rsid w:val="000C3F78"/>
    <w:rsid w:val="000C42BD"/>
    <w:rsid w:val="000C4585"/>
    <w:rsid w:val="000C57D8"/>
    <w:rsid w:val="000C5DAB"/>
    <w:rsid w:val="000C5E5A"/>
    <w:rsid w:val="000C5F98"/>
    <w:rsid w:val="000C79D9"/>
    <w:rsid w:val="000D0550"/>
    <w:rsid w:val="000D0F76"/>
    <w:rsid w:val="000D11A3"/>
    <w:rsid w:val="000D18F8"/>
    <w:rsid w:val="000D1B10"/>
    <w:rsid w:val="000D1B90"/>
    <w:rsid w:val="000D252E"/>
    <w:rsid w:val="000D2B05"/>
    <w:rsid w:val="000D4061"/>
    <w:rsid w:val="000D42E8"/>
    <w:rsid w:val="000D442F"/>
    <w:rsid w:val="000D50A7"/>
    <w:rsid w:val="000D7AD0"/>
    <w:rsid w:val="000E00F4"/>
    <w:rsid w:val="000E0AC3"/>
    <w:rsid w:val="000E1A9A"/>
    <w:rsid w:val="000E1C2E"/>
    <w:rsid w:val="000E20BE"/>
    <w:rsid w:val="000E357F"/>
    <w:rsid w:val="000E36CB"/>
    <w:rsid w:val="000E3CB2"/>
    <w:rsid w:val="000E3FE5"/>
    <w:rsid w:val="000E409F"/>
    <w:rsid w:val="000E4B0B"/>
    <w:rsid w:val="000E726E"/>
    <w:rsid w:val="000F1AAF"/>
    <w:rsid w:val="000F1EDF"/>
    <w:rsid w:val="000F258C"/>
    <w:rsid w:val="000F3C7C"/>
    <w:rsid w:val="000F5437"/>
    <w:rsid w:val="000F549D"/>
    <w:rsid w:val="000F6121"/>
    <w:rsid w:val="000F6BD6"/>
    <w:rsid w:val="000F76F0"/>
    <w:rsid w:val="000F77FE"/>
    <w:rsid w:val="000F7EB8"/>
    <w:rsid w:val="0010082B"/>
    <w:rsid w:val="00103438"/>
    <w:rsid w:val="00103782"/>
    <w:rsid w:val="00104538"/>
    <w:rsid w:val="00105386"/>
    <w:rsid w:val="001055D0"/>
    <w:rsid w:val="001058CE"/>
    <w:rsid w:val="001061D8"/>
    <w:rsid w:val="00106689"/>
    <w:rsid w:val="00107E37"/>
    <w:rsid w:val="00107EDC"/>
    <w:rsid w:val="00110AB8"/>
    <w:rsid w:val="001110FE"/>
    <w:rsid w:val="00114594"/>
    <w:rsid w:val="00114883"/>
    <w:rsid w:val="00114A30"/>
    <w:rsid w:val="00114BAE"/>
    <w:rsid w:val="00114F36"/>
    <w:rsid w:val="0011628D"/>
    <w:rsid w:val="00116321"/>
    <w:rsid w:val="00116F0E"/>
    <w:rsid w:val="00116FDF"/>
    <w:rsid w:val="00117A3D"/>
    <w:rsid w:val="00120B66"/>
    <w:rsid w:val="001230AF"/>
    <w:rsid w:val="0012411E"/>
    <w:rsid w:val="00125402"/>
    <w:rsid w:val="0012547F"/>
    <w:rsid w:val="00125E09"/>
    <w:rsid w:val="0012601A"/>
    <w:rsid w:val="00127580"/>
    <w:rsid w:val="00127AA5"/>
    <w:rsid w:val="001315A4"/>
    <w:rsid w:val="00132BC2"/>
    <w:rsid w:val="00135DA7"/>
    <w:rsid w:val="00136323"/>
    <w:rsid w:val="001364E4"/>
    <w:rsid w:val="00136B57"/>
    <w:rsid w:val="00136B6A"/>
    <w:rsid w:val="001374E9"/>
    <w:rsid w:val="001377B7"/>
    <w:rsid w:val="0014162E"/>
    <w:rsid w:val="00142F79"/>
    <w:rsid w:val="0014380B"/>
    <w:rsid w:val="00144388"/>
    <w:rsid w:val="001444DD"/>
    <w:rsid w:val="00144E23"/>
    <w:rsid w:val="00145058"/>
    <w:rsid w:val="00145ADD"/>
    <w:rsid w:val="00146EEA"/>
    <w:rsid w:val="0015059A"/>
    <w:rsid w:val="00150BD3"/>
    <w:rsid w:val="00150F3D"/>
    <w:rsid w:val="00151699"/>
    <w:rsid w:val="00152BAE"/>
    <w:rsid w:val="00152F16"/>
    <w:rsid w:val="0015462A"/>
    <w:rsid w:val="00155EE8"/>
    <w:rsid w:val="0015640B"/>
    <w:rsid w:val="00157294"/>
    <w:rsid w:val="001574AD"/>
    <w:rsid w:val="00160767"/>
    <w:rsid w:val="0016320F"/>
    <w:rsid w:val="0016549A"/>
    <w:rsid w:val="001664A4"/>
    <w:rsid w:val="0016674A"/>
    <w:rsid w:val="00166DF7"/>
    <w:rsid w:val="00167A8E"/>
    <w:rsid w:val="0017056E"/>
    <w:rsid w:val="00170FD3"/>
    <w:rsid w:val="0017343A"/>
    <w:rsid w:val="00173D6F"/>
    <w:rsid w:val="00174B72"/>
    <w:rsid w:val="00174C8C"/>
    <w:rsid w:val="00176F4E"/>
    <w:rsid w:val="001776CC"/>
    <w:rsid w:val="00181984"/>
    <w:rsid w:val="00181DEE"/>
    <w:rsid w:val="00182415"/>
    <w:rsid w:val="00184239"/>
    <w:rsid w:val="001850D6"/>
    <w:rsid w:val="00185C77"/>
    <w:rsid w:val="0018694C"/>
    <w:rsid w:val="00186C1C"/>
    <w:rsid w:val="00191015"/>
    <w:rsid w:val="00192464"/>
    <w:rsid w:val="0019265B"/>
    <w:rsid w:val="00192BD6"/>
    <w:rsid w:val="00193243"/>
    <w:rsid w:val="00194090"/>
    <w:rsid w:val="0019523D"/>
    <w:rsid w:val="00195315"/>
    <w:rsid w:val="001960A8"/>
    <w:rsid w:val="00197252"/>
    <w:rsid w:val="001A047D"/>
    <w:rsid w:val="001A1E3D"/>
    <w:rsid w:val="001A2431"/>
    <w:rsid w:val="001A2B55"/>
    <w:rsid w:val="001A3A58"/>
    <w:rsid w:val="001A6A03"/>
    <w:rsid w:val="001A7AB1"/>
    <w:rsid w:val="001A7EC5"/>
    <w:rsid w:val="001B0586"/>
    <w:rsid w:val="001B08CD"/>
    <w:rsid w:val="001B0963"/>
    <w:rsid w:val="001B09CF"/>
    <w:rsid w:val="001B12B7"/>
    <w:rsid w:val="001B18BA"/>
    <w:rsid w:val="001B35CE"/>
    <w:rsid w:val="001B5EDC"/>
    <w:rsid w:val="001B60BD"/>
    <w:rsid w:val="001B7347"/>
    <w:rsid w:val="001C02DD"/>
    <w:rsid w:val="001C07B0"/>
    <w:rsid w:val="001C0B79"/>
    <w:rsid w:val="001C1338"/>
    <w:rsid w:val="001C49DE"/>
    <w:rsid w:val="001C4B8C"/>
    <w:rsid w:val="001C51D0"/>
    <w:rsid w:val="001C632B"/>
    <w:rsid w:val="001C7253"/>
    <w:rsid w:val="001C7485"/>
    <w:rsid w:val="001C7C0A"/>
    <w:rsid w:val="001D0A6F"/>
    <w:rsid w:val="001D0C17"/>
    <w:rsid w:val="001D1349"/>
    <w:rsid w:val="001D1660"/>
    <w:rsid w:val="001D1AB0"/>
    <w:rsid w:val="001D1C0A"/>
    <w:rsid w:val="001D1D4F"/>
    <w:rsid w:val="001D2B3A"/>
    <w:rsid w:val="001D4457"/>
    <w:rsid w:val="001D4586"/>
    <w:rsid w:val="001D4E24"/>
    <w:rsid w:val="001D5962"/>
    <w:rsid w:val="001D5AF8"/>
    <w:rsid w:val="001D6160"/>
    <w:rsid w:val="001D62E9"/>
    <w:rsid w:val="001E1280"/>
    <w:rsid w:val="001E27A1"/>
    <w:rsid w:val="001E33EF"/>
    <w:rsid w:val="001E4C3D"/>
    <w:rsid w:val="001E7E87"/>
    <w:rsid w:val="001F0358"/>
    <w:rsid w:val="001F2F56"/>
    <w:rsid w:val="001F523A"/>
    <w:rsid w:val="001F6E20"/>
    <w:rsid w:val="001F7433"/>
    <w:rsid w:val="001F7CBF"/>
    <w:rsid w:val="00201A56"/>
    <w:rsid w:val="00201DB2"/>
    <w:rsid w:val="00202675"/>
    <w:rsid w:val="002031B3"/>
    <w:rsid w:val="00204141"/>
    <w:rsid w:val="0020526E"/>
    <w:rsid w:val="002053CA"/>
    <w:rsid w:val="00205565"/>
    <w:rsid w:val="0020562B"/>
    <w:rsid w:val="00207726"/>
    <w:rsid w:val="0020779A"/>
    <w:rsid w:val="002105D5"/>
    <w:rsid w:val="002107BD"/>
    <w:rsid w:val="00210DED"/>
    <w:rsid w:val="00211FCB"/>
    <w:rsid w:val="002135C2"/>
    <w:rsid w:val="002137CF"/>
    <w:rsid w:val="00213CE4"/>
    <w:rsid w:val="00216CA2"/>
    <w:rsid w:val="0022084D"/>
    <w:rsid w:val="002209FC"/>
    <w:rsid w:val="00220DDD"/>
    <w:rsid w:val="002221BB"/>
    <w:rsid w:val="00222426"/>
    <w:rsid w:val="00222C94"/>
    <w:rsid w:val="00222FA5"/>
    <w:rsid w:val="00230246"/>
    <w:rsid w:val="00230871"/>
    <w:rsid w:val="00230FFF"/>
    <w:rsid w:val="0023113F"/>
    <w:rsid w:val="00232307"/>
    <w:rsid w:val="002330DE"/>
    <w:rsid w:val="00234D19"/>
    <w:rsid w:val="002371F6"/>
    <w:rsid w:val="002372CB"/>
    <w:rsid w:val="00237C90"/>
    <w:rsid w:val="002400E3"/>
    <w:rsid w:val="00240E23"/>
    <w:rsid w:val="002410F7"/>
    <w:rsid w:val="00241BA2"/>
    <w:rsid w:val="00242F51"/>
    <w:rsid w:val="00243100"/>
    <w:rsid w:val="00244529"/>
    <w:rsid w:val="0024455C"/>
    <w:rsid w:val="00244B3B"/>
    <w:rsid w:val="00245713"/>
    <w:rsid w:val="0024680E"/>
    <w:rsid w:val="00250B45"/>
    <w:rsid w:val="002515AE"/>
    <w:rsid w:val="002524ED"/>
    <w:rsid w:val="002528F0"/>
    <w:rsid w:val="00253410"/>
    <w:rsid w:val="00253BD6"/>
    <w:rsid w:val="0025714D"/>
    <w:rsid w:val="002618DE"/>
    <w:rsid w:val="00261E9D"/>
    <w:rsid w:val="00261FAF"/>
    <w:rsid w:val="00262073"/>
    <w:rsid w:val="0026273A"/>
    <w:rsid w:val="00263847"/>
    <w:rsid w:val="0026468E"/>
    <w:rsid w:val="0026478F"/>
    <w:rsid w:val="0026485A"/>
    <w:rsid w:val="00265561"/>
    <w:rsid w:val="00265B75"/>
    <w:rsid w:val="00271211"/>
    <w:rsid w:val="002714B2"/>
    <w:rsid w:val="002714BB"/>
    <w:rsid w:val="00272F4B"/>
    <w:rsid w:val="00274886"/>
    <w:rsid w:val="00274D01"/>
    <w:rsid w:val="00276A0F"/>
    <w:rsid w:val="002779F5"/>
    <w:rsid w:val="00277B3C"/>
    <w:rsid w:val="00277C82"/>
    <w:rsid w:val="00277D20"/>
    <w:rsid w:val="002803D6"/>
    <w:rsid w:val="00280B9E"/>
    <w:rsid w:val="00280DED"/>
    <w:rsid w:val="00281BC7"/>
    <w:rsid w:val="002824B3"/>
    <w:rsid w:val="002838FD"/>
    <w:rsid w:val="0028446B"/>
    <w:rsid w:val="00284805"/>
    <w:rsid w:val="00284FC4"/>
    <w:rsid w:val="00285202"/>
    <w:rsid w:val="0028697F"/>
    <w:rsid w:val="002907E2"/>
    <w:rsid w:val="0029090C"/>
    <w:rsid w:val="00290AB4"/>
    <w:rsid w:val="00291838"/>
    <w:rsid w:val="002951CA"/>
    <w:rsid w:val="00295A89"/>
    <w:rsid w:val="002A09E3"/>
    <w:rsid w:val="002A0D44"/>
    <w:rsid w:val="002A0F4A"/>
    <w:rsid w:val="002A1465"/>
    <w:rsid w:val="002A1937"/>
    <w:rsid w:val="002A28DD"/>
    <w:rsid w:val="002A30E3"/>
    <w:rsid w:val="002A45A4"/>
    <w:rsid w:val="002A4951"/>
    <w:rsid w:val="002A4A42"/>
    <w:rsid w:val="002A5B9E"/>
    <w:rsid w:val="002A61A9"/>
    <w:rsid w:val="002A69F3"/>
    <w:rsid w:val="002A6EEB"/>
    <w:rsid w:val="002A792D"/>
    <w:rsid w:val="002B03C9"/>
    <w:rsid w:val="002B0459"/>
    <w:rsid w:val="002B0E01"/>
    <w:rsid w:val="002B1035"/>
    <w:rsid w:val="002B1AB7"/>
    <w:rsid w:val="002B3C44"/>
    <w:rsid w:val="002B3CBB"/>
    <w:rsid w:val="002B571C"/>
    <w:rsid w:val="002B5D86"/>
    <w:rsid w:val="002C0A7A"/>
    <w:rsid w:val="002C0B0E"/>
    <w:rsid w:val="002C0C33"/>
    <w:rsid w:val="002C16DD"/>
    <w:rsid w:val="002C367A"/>
    <w:rsid w:val="002C4981"/>
    <w:rsid w:val="002C4CFC"/>
    <w:rsid w:val="002C5184"/>
    <w:rsid w:val="002C56E5"/>
    <w:rsid w:val="002C597A"/>
    <w:rsid w:val="002C6A21"/>
    <w:rsid w:val="002D0433"/>
    <w:rsid w:val="002D19E6"/>
    <w:rsid w:val="002D2D28"/>
    <w:rsid w:val="002D2E16"/>
    <w:rsid w:val="002D352F"/>
    <w:rsid w:val="002D4B2E"/>
    <w:rsid w:val="002D4C40"/>
    <w:rsid w:val="002D4CDC"/>
    <w:rsid w:val="002D4F43"/>
    <w:rsid w:val="002D5FA7"/>
    <w:rsid w:val="002D67FE"/>
    <w:rsid w:val="002D74A9"/>
    <w:rsid w:val="002E01B8"/>
    <w:rsid w:val="002E0AE5"/>
    <w:rsid w:val="002E0EF5"/>
    <w:rsid w:val="002E37E8"/>
    <w:rsid w:val="002E3826"/>
    <w:rsid w:val="002E4A1E"/>
    <w:rsid w:val="002E4AA2"/>
    <w:rsid w:val="002E57B1"/>
    <w:rsid w:val="002E5CE2"/>
    <w:rsid w:val="002E5D2B"/>
    <w:rsid w:val="002F0F99"/>
    <w:rsid w:val="002F1246"/>
    <w:rsid w:val="002F1CB2"/>
    <w:rsid w:val="002F39E9"/>
    <w:rsid w:val="002F44A3"/>
    <w:rsid w:val="002F6BF9"/>
    <w:rsid w:val="002F6ED7"/>
    <w:rsid w:val="002F7614"/>
    <w:rsid w:val="0030137C"/>
    <w:rsid w:val="00301DBB"/>
    <w:rsid w:val="00302A40"/>
    <w:rsid w:val="00302E87"/>
    <w:rsid w:val="00303242"/>
    <w:rsid w:val="0030516E"/>
    <w:rsid w:val="003065C1"/>
    <w:rsid w:val="00306B65"/>
    <w:rsid w:val="00307991"/>
    <w:rsid w:val="00310432"/>
    <w:rsid w:val="0031048A"/>
    <w:rsid w:val="00312421"/>
    <w:rsid w:val="0031287A"/>
    <w:rsid w:val="00312AA1"/>
    <w:rsid w:val="003136BD"/>
    <w:rsid w:val="00313B7F"/>
    <w:rsid w:val="0031499F"/>
    <w:rsid w:val="003153AA"/>
    <w:rsid w:val="00316456"/>
    <w:rsid w:val="00316FD0"/>
    <w:rsid w:val="00320D2D"/>
    <w:rsid w:val="00321486"/>
    <w:rsid w:val="0032188C"/>
    <w:rsid w:val="00321A1B"/>
    <w:rsid w:val="00321A31"/>
    <w:rsid w:val="003222A6"/>
    <w:rsid w:val="00322BDF"/>
    <w:rsid w:val="00322F68"/>
    <w:rsid w:val="00323EFD"/>
    <w:rsid w:val="00323FF3"/>
    <w:rsid w:val="0032530E"/>
    <w:rsid w:val="0032533B"/>
    <w:rsid w:val="003255BE"/>
    <w:rsid w:val="0032596F"/>
    <w:rsid w:val="00327777"/>
    <w:rsid w:val="003278AE"/>
    <w:rsid w:val="00330D15"/>
    <w:rsid w:val="00331E0E"/>
    <w:rsid w:val="003326D0"/>
    <w:rsid w:val="00332E6A"/>
    <w:rsid w:val="00334647"/>
    <w:rsid w:val="00335627"/>
    <w:rsid w:val="00336139"/>
    <w:rsid w:val="00336E28"/>
    <w:rsid w:val="00336E34"/>
    <w:rsid w:val="00336E35"/>
    <w:rsid w:val="00340CC3"/>
    <w:rsid w:val="00341D71"/>
    <w:rsid w:val="0034264C"/>
    <w:rsid w:val="0034303D"/>
    <w:rsid w:val="003454D6"/>
    <w:rsid w:val="003454FF"/>
    <w:rsid w:val="00345E99"/>
    <w:rsid w:val="00345FA5"/>
    <w:rsid w:val="0034644D"/>
    <w:rsid w:val="003469CF"/>
    <w:rsid w:val="0034774E"/>
    <w:rsid w:val="0035086B"/>
    <w:rsid w:val="0035105C"/>
    <w:rsid w:val="003527A4"/>
    <w:rsid w:val="003531EC"/>
    <w:rsid w:val="00353346"/>
    <w:rsid w:val="00353E2A"/>
    <w:rsid w:val="003547CC"/>
    <w:rsid w:val="003552FB"/>
    <w:rsid w:val="0035684B"/>
    <w:rsid w:val="00357D5E"/>
    <w:rsid w:val="00357F51"/>
    <w:rsid w:val="00360022"/>
    <w:rsid w:val="00360235"/>
    <w:rsid w:val="0036031F"/>
    <w:rsid w:val="0036171A"/>
    <w:rsid w:val="00361740"/>
    <w:rsid w:val="00361BD0"/>
    <w:rsid w:val="00361DC5"/>
    <w:rsid w:val="00364B6F"/>
    <w:rsid w:val="00364DE8"/>
    <w:rsid w:val="00365CA9"/>
    <w:rsid w:val="003672A3"/>
    <w:rsid w:val="00375234"/>
    <w:rsid w:val="003758A5"/>
    <w:rsid w:val="003769FB"/>
    <w:rsid w:val="00377C4F"/>
    <w:rsid w:val="00377CE4"/>
    <w:rsid w:val="003802BB"/>
    <w:rsid w:val="0038047B"/>
    <w:rsid w:val="00380867"/>
    <w:rsid w:val="003810BA"/>
    <w:rsid w:val="00381758"/>
    <w:rsid w:val="0038515C"/>
    <w:rsid w:val="0039281F"/>
    <w:rsid w:val="00397E8D"/>
    <w:rsid w:val="003A22B9"/>
    <w:rsid w:val="003A365C"/>
    <w:rsid w:val="003A43E8"/>
    <w:rsid w:val="003A5300"/>
    <w:rsid w:val="003A59F4"/>
    <w:rsid w:val="003A5D5E"/>
    <w:rsid w:val="003A5F52"/>
    <w:rsid w:val="003A695E"/>
    <w:rsid w:val="003A7494"/>
    <w:rsid w:val="003A7A41"/>
    <w:rsid w:val="003B3A58"/>
    <w:rsid w:val="003B3EBB"/>
    <w:rsid w:val="003B505B"/>
    <w:rsid w:val="003B5C3C"/>
    <w:rsid w:val="003B72BB"/>
    <w:rsid w:val="003B7876"/>
    <w:rsid w:val="003B7A7B"/>
    <w:rsid w:val="003C174B"/>
    <w:rsid w:val="003C2BED"/>
    <w:rsid w:val="003C360A"/>
    <w:rsid w:val="003C373B"/>
    <w:rsid w:val="003C5019"/>
    <w:rsid w:val="003C5312"/>
    <w:rsid w:val="003C6E8D"/>
    <w:rsid w:val="003C71EC"/>
    <w:rsid w:val="003D0361"/>
    <w:rsid w:val="003D03F0"/>
    <w:rsid w:val="003D08DB"/>
    <w:rsid w:val="003D0DD8"/>
    <w:rsid w:val="003D1A84"/>
    <w:rsid w:val="003D2715"/>
    <w:rsid w:val="003D2C04"/>
    <w:rsid w:val="003D4527"/>
    <w:rsid w:val="003D478D"/>
    <w:rsid w:val="003D562B"/>
    <w:rsid w:val="003D704D"/>
    <w:rsid w:val="003E32EC"/>
    <w:rsid w:val="003E39DE"/>
    <w:rsid w:val="003E418F"/>
    <w:rsid w:val="003E41D3"/>
    <w:rsid w:val="003E489A"/>
    <w:rsid w:val="003E4D57"/>
    <w:rsid w:val="003F05DD"/>
    <w:rsid w:val="003F0751"/>
    <w:rsid w:val="003F1C3D"/>
    <w:rsid w:val="003F3294"/>
    <w:rsid w:val="003F39A0"/>
    <w:rsid w:val="003F3EC4"/>
    <w:rsid w:val="003F3FFC"/>
    <w:rsid w:val="003F44A8"/>
    <w:rsid w:val="003F5941"/>
    <w:rsid w:val="003F6993"/>
    <w:rsid w:val="003F74D3"/>
    <w:rsid w:val="003F784D"/>
    <w:rsid w:val="003F7BD6"/>
    <w:rsid w:val="00400E2F"/>
    <w:rsid w:val="00401E52"/>
    <w:rsid w:val="00402CB4"/>
    <w:rsid w:val="00403D7A"/>
    <w:rsid w:val="00405113"/>
    <w:rsid w:val="00407593"/>
    <w:rsid w:val="00411AE7"/>
    <w:rsid w:val="00412154"/>
    <w:rsid w:val="00412684"/>
    <w:rsid w:val="004153DA"/>
    <w:rsid w:val="00415780"/>
    <w:rsid w:val="00416F5D"/>
    <w:rsid w:val="0042056D"/>
    <w:rsid w:val="004212EB"/>
    <w:rsid w:val="004213D3"/>
    <w:rsid w:val="004214F7"/>
    <w:rsid w:val="00422469"/>
    <w:rsid w:val="0042293E"/>
    <w:rsid w:val="0042320E"/>
    <w:rsid w:val="00424335"/>
    <w:rsid w:val="0042468E"/>
    <w:rsid w:val="00424962"/>
    <w:rsid w:val="00425F1C"/>
    <w:rsid w:val="00426959"/>
    <w:rsid w:val="0042741B"/>
    <w:rsid w:val="00427F28"/>
    <w:rsid w:val="00430769"/>
    <w:rsid w:val="00431D3F"/>
    <w:rsid w:val="004327EB"/>
    <w:rsid w:val="00432EF2"/>
    <w:rsid w:val="00433CC0"/>
    <w:rsid w:val="004341F1"/>
    <w:rsid w:val="00434E7F"/>
    <w:rsid w:val="004353ED"/>
    <w:rsid w:val="00435F67"/>
    <w:rsid w:val="00437922"/>
    <w:rsid w:val="00442DD5"/>
    <w:rsid w:val="00444020"/>
    <w:rsid w:val="0044506E"/>
    <w:rsid w:val="004454E3"/>
    <w:rsid w:val="0044599C"/>
    <w:rsid w:val="00445E66"/>
    <w:rsid w:val="004469E0"/>
    <w:rsid w:val="00447335"/>
    <w:rsid w:val="004477C2"/>
    <w:rsid w:val="00450848"/>
    <w:rsid w:val="0045131E"/>
    <w:rsid w:val="00451FEF"/>
    <w:rsid w:val="00452AE2"/>
    <w:rsid w:val="004532A0"/>
    <w:rsid w:val="004535C4"/>
    <w:rsid w:val="004536E5"/>
    <w:rsid w:val="00453780"/>
    <w:rsid w:val="0045507E"/>
    <w:rsid w:val="0045649E"/>
    <w:rsid w:val="004568F2"/>
    <w:rsid w:val="0046069D"/>
    <w:rsid w:val="004609AA"/>
    <w:rsid w:val="00460BFD"/>
    <w:rsid w:val="00461C90"/>
    <w:rsid w:val="00461D30"/>
    <w:rsid w:val="00462F9E"/>
    <w:rsid w:val="00463F0B"/>
    <w:rsid w:val="00466E83"/>
    <w:rsid w:val="00467490"/>
    <w:rsid w:val="0046750C"/>
    <w:rsid w:val="00470119"/>
    <w:rsid w:val="00470457"/>
    <w:rsid w:val="004709DB"/>
    <w:rsid w:val="00471936"/>
    <w:rsid w:val="00471953"/>
    <w:rsid w:val="0047319D"/>
    <w:rsid w:val="004731B6"/>
    <w:rsid w:val="0047439F"/>
    <w:rsid w:val="00475B5F"/>
    <w:rsid w:val="00475C2A"/>
    <w:rsid w:val="00475C74"/>
    <w:rsid w:val="00475E36"/>
    <w:rsid w:val="00476417"/>
    <w:rsid w:val="00476BD3"/>
    <w:rsid w:val="00476EC1"/>
    <w:rsid w:val="00480EDC"/>
    <w:rsid w:val="00481059"/>
    <w:rsid w:val="0048113E"/>
    <w:rsid w:val="004811B9"/>
    <w:rsid w:val="00481225"/>
    <w:rsid w:val="00482AE8"/>
    <w:rsid w:val="00485926"/>
    <w:rsid w:val="00485C46"/>
    <w:rsid w:val="00486059"/>
    <w:rsid w:val="00486455"/>
    <w:rsid w:val="00486C67"/>
    <w:rsid w:val="00486E7C"/>
    <w:rsid w:val="004876F8"/>
    <w:rsid w:val="0048797F"/>
    <w:rsid w:val="004902D5"/>
    <w:rsid w:val="00490894"/>
    <w:rsid w:val="00491977"/>
    <w:rsid w:val="00491FD3"/>
    <w:rsid w:val="00492E87"/>
    <w:rsid w:val="00493647"/>
    <w:rsid w:val="0049376E"/>
    <w:rsid w:val="00494102"/>
    <w:rsid w:val="00494155"/>
    <w:rsid w:val="004948ED"/>
    <w:rsid w:val="00494D84"/>
    <w:rsid w:val="00495957"/>
    <w:rsid w:val="004960A3"/>
    <w:rsid w:val="004968D2"/>
    <w:rsid w:val="00496A0B"/>
    <w:rsid w:val="00497620"/>
    <w:rsid w:val="00497B78"/>
    <w:rsid w:val="00497CF9"/>
    <w:rsid w:val="004A0156"/>
    <w:rsid w:val="004A1571"/>
    <w:rsid w:val="004A2E61"/>
    <w:rsid w:val="004A32D9"/>
    <w:rsid w:val="004A6396"/>
    <w:rsid w:val="004A72EC"/>
    <w:rsid w:val="004A7533"/>
    <w:rsid w:val="004A7B8F"/>
    <w:rsid w:val="004B159D"/>
    <w:rsid w:val="004B34D9"/>
    <w:rsid w:val="004B3F18"/>
    <w:rsid w:val="004B40F0"/>
    <w:rsid w:val="004B5067"/>
    <w:rsid w:val="004B50DA"/>
    <w:rsid w:val="004B6142"/>
    <w:rsid w:val="004B623C"/>
    <w:rsid w:val="004B6435"/>
    <w:rsid w:val="004B6C64"/>
    <w:rsid w:val="004C383F"/>
    <w:rsid w:val="004C48C5"/>
    <w:rsid w:val="004C4DCC"/>
    <w:rsid w:val="004C6207"/>
    <w:rsid w:val="004C74F9"/>
    <w:rsid w:val="004D1037"/>
    <w:rsid w:val="004D1B4F"/>
    <w:rsid w:val="004D1E67"/>
    <w:rsid w:val="004D3272"/>
    <w:rsid w:val="004D3AF9"/>
    <w:rsid w:val="004D700C"/>
    <w:rsid w:val="004D75FF"/>
    <w:rsid w:val="004D7B5C"/>
    <w:rsid w:val="004E1A93"/>
    <w:rsid w:val="004E1C4D"/>
    <w:rsid w:val="004E2124"/>
    <w:rsid w:val="004E22A7"/>
    <w:rsid w:val="004E2360"/>
    <w:rsid w:val="004E2859"/>
    <w:rsid w:val="004E3274"/>
    <w:rsid w:val="004E3773"/>
    <w:rsid w:val="004E7132"/>
    <w:rsid w:val="004E7523"/>
    <w:rsid w:val="004F00DC"/>
    <w:rsid w:val="004F259D"/>
    <w:rsid w:val="004F4950"/>
    <w:rsid w:val="004F51CE"/>
    <w:rsid w:val="004F5B0D"/>
    <w:rsid w:val="004F5FA5"/>
    <w:rsid w:val="004F63A8"/>
    <w:rsid w:val="004F788A"/>
    <w:rsid w:val="004F79E5"/>
    <w:rsid w:val="0050090F"/>
    <w:rsid w:val="00500A48"/>
    <w:rsid w:val="00500BB0"/>
    <w:rsid w:val="005018A1"/>
    <w:rsid w:val="00501BF3"/>
    <w:rsid w:val="00501BF9"/>
    <w:rsid w:val="00501EE0"/>
    <w:rsid w:val="00501F61"/>
    <w:rsid w:val="00502A9C"/>
    <w:rsid w:val="00502B1A"/>
    <w:rsid w:val="00502D0B"/>
    <w:rsid w:val="00503A0D"/>
    <w:rsid w:val="00503A5E"/>
    <w:rsid w:val="0050552D"/>
    <w:rsid w:val="005150A6"/>
    <w:rsid w:val="00515152"/>
    <w:rsid w:val="005166EF"/>
    <w:rsid w:val="00522913"/>
    <w:rsid w:val="0052305E"/>
    <w:rsid w:val="00524094"/>
    <w:rsid w:val="005244AC"/>
    <w:rsid w:val="005269F5"/>
    <w:rsid w:val="00527202"/>
    <w:rsid w:val="00527671"/>
    <w:rsid w:val="005276BD"/>
    <w:rsid w:val="00531595"/>
    <w:rsid w:val="00532692"/>
    <w:rsid w:val="00533B86"/>
    <w:rsid w:val="00533FBF"/>
    <w:rsid w:val="005349B8"/>
    <w:rsid w:val="00535F09"/>
    <w:rsid w:val="005368B2"/>
    <w:rsid w:val="00537C31"/>
    <w:rsid w:val="00540B25"/>
    <w:rsid w:val="00542E56"/>
    <w:rsid w:val="005446D2"/>
    <w:rsid w:val="00546709"/>
    <w:rsid w:val="00547017"/>
    <w:rsid w:val="005501A6"/>
    <w:rsid w:val="00550523"/>
    <w:rsid w:val="00551929"/>
    <w:rsid w:val="00552057"/>
    <w:rsid w:val="00552575"/>
    <w:rsid w:val="00552DE5"/>
    <w:rsid w:val="0055583E"/>
    <w:rsid w:val="005576FD"/>
    <w:rsid w:val="0056027C"/>
    <w:rsid w:val="00560906"/>
    <w:rsid w:val="00564B7E"/>
    <w:rsid w:val="00565534"/>
    <w:rsid w:val="005656CB"/>
    <w:rsid w:val="00566DD3"/>
    <w:rsid w:val="00567C67"/>
    <w:rsid w:val="00571CD0"/>
    <w:rsid w:val="0057277B"/>
    <w:rsid w:val="00572A23"/>
    <w:rsid w:val="005730BD"/>
    <w:rsid w:val="00574360"/>
    <w:rsid w:val="00574B67"/>
    <w:rsid w:val="00575883"/>
    <w:rsid w:val="0057613B"/>
    <w:rsid w:val="0057622A"/>
    <w:rsid w:val="00577CA2"/>
    <w:rsid w:val="00577F53"/>
    <w:rsid w:val="00580B73"/>
    <w:rsid w:val="00580B9A"/>
    <w:rsid w:val="00581827"/>
    <w:rsid w:val="00581A5D"/>
    <w:rsid w:val="00581FA8"/>
    <w:rsid w:val="00582C35"/>
    <w:rsid w:val="005850E0"/>
    <w:rsid w:val="00586AE6"/>
    <w:rsid w:val="00590B98"/>
    <w:rsid w:val="00591EF0"/>
    <w:rsid w:val="005924C1"/>
    <w:rsid w:val="005924E2"/>
    <w:rsid w:val="00592508"/>
    <w:rsid w:val="005933C6"/>
    <w:rsid w:val="0059371D"/>
    <w:rsid w:val="00593F76"/>
    <w:rsid w:val="005949FF"/>
    <w:rsid w:val="0059548B"/>
    <w:rsid w:val="00595C34"/>
    <w:rsid w:val="00595F75"/>
    <w:rsid w:val="00596DC5"/>
    <w:rsid w:val="00597335"/>
    <w:rsid w:val="005974EF"/>
    <w:rsid w:val="005A015A"/>
    <w:rsid w:val="005A0FB6"/>
    <w:rsid w:val="005A48B4"/>
    <w:rsid w:val="005A49B9"/>
    <w:rsid w:val="005A5BEB"/>
    <w:rsid w:val="005A5E07"/>
    <w:rsid w:val="005A61D3"/>
    <w:rsid w:val="005A6497"/>
    <w:rsid w:val="005A6845"/>
    <w:rsid w:val="005B03ED"/>
    <w:rsid w:val="005B3849"/>
    <w:rsid w:val="005B3EED"/>
    <w:rsid w:val="005B408D"/>
    <w:rsid w:val="005B63DB"/>
    <w:rsid w:val="005B67BB"/>
    <w:rsid w:val="005C037A"/>
    <w:rsid w:val="005C041F"/>
    <w:rsid w:val="005C1A55"/>
    <w:rsid w:val="005C23C5"/>
    <w:rsid w:val="005C37BD"/>
    <w:rsid w:val="005C4198"/>
    <w:rsid w:val="005C431B"/>
    <w:rsid w:val="005C6FD6"/>
    <w:rsid w:val="005D0D5E"/>
    <w:rsid w:val="005D1D71"/>
    <w:rsid w:val="005D1E00"/>
    <w:rsid w:val="005D1E0D"/>
    <w:rsid w:val="005D28EE"/>
    <w:rsid w:val="005D2FCE"/>
    <w:rsid w:val="005D3D4B"/>
    <w:rsid w:val="005D4F7C"/>
    <w:rsid w:val="005D51C3"/>
    <w:rsid w:val="005D7156"/>
    <w:rsid w:val="005D73B7"/>
    <w:rsid w:val="005E0D0E"/>
    <w:rsid w:val="005E1214"/>
    <w:rsid w:val="005E1D4B"/>
    <w:rsid w:val="005E3596"/>
    <w:rsid w:val="005E4BEA"/>
    <w:rsid w:val="005E57BE"/>
    <w:rsid w:val="005E7DD1"/>
    <w:rsid w:val="005F013C"/>
    <w:rsid w:val="005F02EE"/>
    <w:rsid w:val="005F15EE"/>
    <w:rsid w:val="005F33FE"/>
    <w:rsid w:val="005F37F0"/>
    <w:rsid w:val="005F4EA2"/>
    <w:rsid w:val="005F59FA"/>
    <w:rsid w:val="005F5AC5"/>
    <w:rsid w:val="00600AD6"/>
    <w:rsid w:val="0060162A"/>
    <w:rsid w:val="00601DA4"/>
    <w:rsid w:val="00604EA2"/>
    <w:rsid w:val="0060504A"/>
    <w:rsid w:val="0060585A"/>
    <w:rsid w:val="00606C6C"/>
    <w:rsid w:val="0060767B"/>
    <w:rsid w:val="00610503"/>
    <w:rsid w:val="006105FB"/>
    <w:rsid w:val="00610929"/>
    <w:rsid w:val="00611D04"/>
    <w:rsid w:val="00612EEF"/>
    <w:rsid w:val="00613261"/>
    <w:rsid w:val="0061327F"/>
    <w:rsid w:val="00613660"/>
    <w:rsid w:val="006166EC"/>
    <w:rsid w:val="0061773B"/>
    <w:rsid w:val="00617FD7"/>
    <w:rsid w:val="0062013D"/>
    <w:rsid w:val="00620174"/>
    <w:rsid w:val="00620891"/>
    <w:rsid w:val="00621504"/>
    <w:rsid w:val="00621AE0"/>
    <w:rsid w:val="00621CF3"/>
    <w:rsid w:val="00621DF5"/>
    <w:rsid w:val="0062256D"/>
    <w:rsid w:val="00622713"/>
    <w:rsid w:val="00622935"/>
    <w:rsid w:val="00623607"/>
    <w:rsid w:val="00623ADB"/>
    <w:rsid w:val="006243BE"/>
    <w:rsid w:val="00624C31"/>
    <w:rsid w:val="00625E29"/>
    <w:rsid w:val="00630149"/>
    <w:rsid w:val="006310E5"/>
    <w:rsid w:val="006312C6"/>
    <w:rsid w:val="00631519"/>
    <w:rsid w:val="00631A6C"/>
    <w:rsid w:val="006338E3"/>
    <w:rsid w:val="00635CF1"/>
    <w:rsid w:val="00636BAC"/>
    <w:rsid w:val="0064131F"/>
    <w:rsid w:val="006439AC"/>
    <w:rsid w:val="00643F91"/>
    <w:rsid w:val="00644B32"/>
    <w:rsid w:val="00645951"/>
    <w:rsid w:val="00645EC6"/>
    <w:rsid w:val="00647368"/>
    <w:rsid w:val="00647CC4"/>
    <w:rsid w:val="00650037"/>
    <w:rsid w:val="0065140A"/>
    <w:rsid w:val="00651AD3"/>
    <w:rsid w:val="00653EB5"/>
    <w:rsid w:val="00654E73"/>
    <w:rsid w:val="006551B8"/>
    <w:rsid w:val="006569AA"/>
    <w:rsid w:val="00657E93"/>
    <w:rsid w:val="00661279"/>
    <w:rsid w:val="00662B11"/>
    <w:rsid w:val="00663218"/>
    <w:rsid w:val="00663F92"/>
    <w:rsid w:val="00664216"/>
    <w:rsid w:val="0066655A"/>
    <w:rsid w:val="00666DA0"/>
    <w:rsid w:val="00667798"/>
    <w:rsid w:val="00670607"/>
    <w:rsid w:val="00670EEE"/>
    <w:rsid w:val="00671363"/>
    <w:rsid w:val="0067147F"/>
    <w:rsid w:val="00671C78"/>
    <w:rsid w:val="006720F2"/>
    <w:rsid w:val="0067375F"/>
    <w:rsid w:val="00673E1B"/>
    <w:rsid w:val="0067455B"/>
    <w:rsid w:val="0067489F"/>
    <w:rsid w:val="00675716"/>
    <w:rsid w:val="006757BE"/>
    <w:rsid w:val="006759D8"/>
    <w:rsid w:val="00677162"/>
    <w:rsid w:val="00677B59"/>
    <w:rsid w:val="006805E4"/>
    <w:rsid w:val="00680E0C"/>
    <w:rsid w:val="0068313F"/>
    <w:rsid w:val="00683659"/>
    <w:rsid w:val="00684EAD"/>
    <w:rsid w:val="00685032"/>
    <w:rsid w:val="0068561C"/>
    <w:rsid w:val="006863DC"/>
    <w:rsid w:val="006902A8"/>
    <w:rsid w:val="00690B0A"/>
    <w:rsid w:val="006912AE"/>
    <w:rsid w:val="0069154D"/>
    <w:rsid w:val="00692328"/>
    <w:rsid w:val="00692BDE"/>
    <w:rsid w:val="00692C39"/>
    <w:rsid w:val="0069539B"/>
    <w:rsid w:val="00695ACF"/>
    <w:rsid w:val="00696621"/>
    <w:rsid w:val="0069733B"/>
    <w:rsid w:val="00697C2A"/>
    <w:rsid w:val="00697E02"/>
    <w:rsid w:val="006A03E9"/>
    <w:rsid w:val="006A076C"/>
    <w:rsid w:val="006A0DC9"/>
    <w:rsid w:val="006A1DCD"/>
    <w:rsid w:val="006A35E1"/>
    <w:rsid w:val="006A3C13"/>
    <w:rsid w:val="006A4B57"/>
    <w:rsid w:val="006A774B"/>
    <w:rsid w:val="006B0A7A"/>
    <w:rsid w:val="006B0B15"/>
    <w:rsid w:val="006B10C7"/>
    <w:rsid w:val="006B1F86"/>
    <w:rsid w:val="006B402F"/>
    <w:rsid w:val="006B4D54"/>
    <w:rsid w:val="006B5151"/>
    <w:rsid w:val="006B701D"/>
    <w:rsid w:val="006B7EF9"/>
    <w:rsid w:val="006C0CEF"/>
    <w:rsid w:val="006C10CD"/>
    <w:rsid w:val="006C1F6C"/>
    <w:rsid w:val="006C2E16"/>
    <w:rsid w:val="006C3165"/>
    <w:rsid w:val="006C31E6"/>
    <w:rsid w:val="006C3554"/>
    <w:rsid w:val="006C36B7"/>
    <w:rsid w:val="006C3C39"/>
    <w:rsid w:val="006C47BB"/>
    <w:rsid w:val="006C4953"/>
    <w:rsid w:val="006C49E7"/>
    <w:rsid w:val="006C598B"/>
    <w:rsid w:val="006C5ED4"/>
    <w:rsid w:val="006C62A7"/>
    <w:rsid w:val="006C6FB2"/>
    <w:rsid w:val="006C7023"/>
    <w:rsid w:val="006C7713"/>
    <w:rsid w:val="006D013A"/>
    <w:rsid w:val="006D0887"/>
    <w:rsid w:val="006D1A2C"/>
    <w:rsid w:val="006D24A6"/>
    <w:rsid w:val="006D300A"/>
    <w:rsid w:val="006D344A"/>
    <w:rsid w:val="006D3A8F"/>
    <w:rsid w:val="006D65DB"/>
    <w:rsid w:val="006D6C9E"/>
    <w:rsid w:val="006D759F"/>
    <w:rsid w:val="006E00CD"/>
    <w:rsid w:val="006E02F5"/>
    <w:rsid w:val="006E0609"/>
    <w:rsid w:val="006E1F70"/>
    <w:rsid w:val="006E2427"/>
    <w:rsid w:val="006E27E2"/>
    <w:rsid w:val="006E3B6B"/>
    <w:rsid w:val="006E44CF"/>
    <w:rsid w:val="006E50DA"/>
    <w:rsid w:val="006E514F"/>
    <w:rsid w:val="006E5442"/>
    <w:rsid w:val="006E6BC4"/>
    <w:rsid w:val="006E6F10"/>
    <w:rsid w:val="006E7CB8"/>
    <w:rsid w:val="006F13EA"/>
    <w:rsid w:val="006F1ACF"/>
    <w:rsid w:val="006F2A79"/>
    <w:rsid w:val="006F2F43"/>
    <w:rsid w:val="006F40F4"/>
    <w:rsid w:val="006F6C59"/>
    <w:rsid w:val="006F765C"/>
    <w:rsid w:val="007000AA"/>
    <w:rsid w:val="00700FD3"/>
    <w:rsid w:val="0070220B"/>
    <w:rsid w:val="00702EF7"/>
    <w:rsid w:val="00703C6A"/>
    <w:rsid w:val="00704478"/>
    <w:rsid w:val="00704C46"/>
    <w:rsid w:val="0070778B"/>
    <w:rsid w:val="007105B9"/>
    <w:rsid w:val="00711B65"/>
    <w:rsid w:val="00711C1C"/>
    <w:rsid w:val="00712C81"/>
    <w:rsid w:val="00714237"/>
    <w:rsid w:val="0071473E"/>
    <w:rsid w:val="00715982"/>
    <w:rsid w:val="0071719D"/>
    <w:rsid w:val="007177FB"/>
    <w:rsid w:val="0072218C"/>
    <w:rsid w:val="007235C4"/>
    <w:rsid w:val="00725586"/>
    <w:rsid w:val="00726105"/>
    <w:rsid w:val="00726C0C"/>
    <w:rsid w:val="00727757"/>
    <w:rsid w:val="00727B57"/>
    <w:rsid w:val="0073004E"/>
    <w:rsid w:val="00730E50"/>
    <w:rsid w:val="0073124B"/>
    <w:rsid w:val="00731641"/>
    <w:rsid w:val="00731844"/>
    <w:rsid w:val="00731F04"/>
    <w:rsid w:val="00732819"/>
    <w:rsid w:val="00732AE3"/>
    <w:rsid w:val="0073353E"/>
    <w:rsid w:val="007339BE"/>
    <w:rsid w:val="00733A3F"/>
    <w:rsid w:val="00733D8C"/>
    <w:rsid w:val="007347C1"/>
    <w:rsid w:val="00735776"/>
    <w:rsid w:val="00735AA0"/>
    <w:rsid w:val="00735EFF"/>
    <w:rsid w:val="0073622A"/>
    <w:rsid w:val="00740D85"/>
    <w:rsid w:val="00741603"/>
    <w:rsid w:val="007417BE"/>
    <w:rsid w:val="00741F10"/>
    <w:rsid w:val="007424A4"/>
    <w:rsid w:val="00742B75"/>
    <w:rsid w:val="00743192"/>
    <w:rsid w:val="00744223"/>
    <w:rsid w:val="00744531"/>
    <w:rsid w:val="00744F90"/>
    <w:rsid w:val="007452CD"/>
    <w:rsid w:val="007464C6"/>
    <w:rsid w:val="00746B3E"/>
    <w:rsid w:val="00746D23"/>
    <w:rsid w:val="00747476"/>
    <w:rsid w:val="007476F3"/>
    <w:rsid w:val="00747CF8"/>
    <w:rsid w:val="00747EBC"/>
    <w:rsid w:val="00750649"/>
    <w:rsid w:val="00751751"/>
    <w:rsid w:val="00751B41"/>
    <w:rsid w:val="00752228"/>
    <w:rsid w:val="00754B13"/>
    <w:rsid w:val="00755388"/>
    <w:rsid w:val="007558DC"/>
    <w:rsid w:val="0075592A"/>
    <w:rsid w:val="00757D41"/>
    <w:rsid w:val="00760632"/>
    <w:rsid w:val="0076101C"/>
    <w:rsid w:val="0076139F"/>
    <w:rsid w:val="007616F7"/>
    <w:rsid w:val="00762B90"/>
    <w:rsid w:val="00763E98"/>
    <w:rsid w:val="00764464"/>
    <w:rsid w:val="00765630"/>
    <w:rsid w:val="00765649"/>
    <w:rsid w:val="007669DB"/>
    <w:rsid w:val="00766BF5"/>
    <w:rsid w:val="00767C18"/>
    <w:rsid w:val="00770847"/>
    <w:rsid w:val="007719EA"/>
    <w:rsid w:val="00771D15"/>
    <w:rsid w:val="00772FBD"/>
    <w:rsid w:val="007748DB"/>
    <w:rsid w:val="00774EB2"/>
    <w:rsid w:val="00775F6F"/>
    <w:rsid w:val="00776E70"/>
    <w:rsid w:val="007772B2"/>
    <w:rsid w:val="00781519"/>
    <w:rsid w:val="00781959"/>
    <w:rsid w:val="00781B78"/>
    <w:rsid w:val="0078297B"/>
    <w:rsid w:val="007840B5"/>
    <w:rsid w:val="00784A4B"/>
    <w:rsid w:val="00784E07"/>
    <w:rsid w:val="00785A89"/>
    <w:rsid w:val="0078625D"/>
    <w:rsid w:val="00786361"/>
    <w:rsid w:val="00787612"/>
    <w:rsid w:val="00790001"/>
    <w:rsid w:val="007901E3"/>
    <w:rsid w:val="007901E8"/>
    <w:rsid w:val="00790205"/>
    <w:rsid w:val="007902D2"/>
    <w:rsid w:val="007913B7"/>
    <w:rsid w:val="0079202C"/>
    <w:rsid w:val="007927D3"/>
    <w:rsid w:val="00793324"/>
    <w:rsid w:val="0079347D"/>
    <w:rsid w:val="007940D3"/>
    <w:rsid w:val="0079545B"/>
    <w:rsid w:val="00796241"/>
    <w:rsid w:val="00796FAC"/>
    <w:rsid w:val="00797511"/>
    <w:rsid w:val="007A07FD"/>
    <w:rsid w:val="007A0E85"/>
    <w:rsid w:val="007A1498"/>
    <w:rsid w:val="007A1B27"/>
    <w:rsid w:val="007A2456"/>
    <w:rsid w:val="007A3DCE"/>
    <w:rsid w:val="007A691D"/>
    <w:rsid w:val="007A6959"/>
    <w:rsid w:val="007A6CEC"/>
    <w:rsid w:val="007A6E06"/>
    <w:rsid w:val="007A706C"/>
    <w:rsid w:val="007A7863"/>
    <w:rsid w:val="007A7CC9"/>
    <w:rsid w:val="007B0326"/>
    <w:rsid w:val="007B0455"/>
    <w:rsid w:val="007B1648"/>
    <w:rsid w:val="007B1B49"/>
    <w:rsid w:val="007B200F"/>
    <w:rsid w:val="007B2D99"/>
    <w:rsid w:val="007B2DFF"/>
    <w:rsid w:val="007B2F78"/>
    <w:rsid w:val="007B32AA"/>
    <w:rsid w:val="007B3C56"/>
    <w:rsid w:val="007B3FAB"/>
    <w:rsid w:val="007B68CC"/>
    <w:rsid w:val="007B71B4"/>
    <w:rsid w:val="007B7A51"/>
    <w:rsid w:val="007B7CD2"/>
    <w:rsid w:val="007B7FE3"/>
    <w:rsid w:val="007C2508"/>
    <w:rsid w:val="007C272A"/>
    <w:rsid w:val="007C2C4A"/>
    <w:rsid w:val="007C3C13"/>
    <w:rsid w:val="007C3EF7"/>
    <w:rsid w:val="007C6627"/>
    <w:rsid w:val="007D0463"/>
    <w:rsid w:val="007D1734"/>
    <w:rsid w:val="007D188B"/>
    <w:rsid w:val="007D3521"/>
    <w:rsid w:val="007D3A79"/>
    <w:rsid w:val="007D435C"/>
    <w:rsid w:val="007D4873"/>
    <w:rsid w:val="007D4D13"/>
    <w:rsid w:val="007D72DE"/>
    <w:rsid w:val="007E2FEF"/>
    <w:rsid w:val="007E3282"/>
    <w:rsid w:val="007E3394"/>
    <w:rsid w:val="007E36C6"/>
    <w:rsid w:val="007E462A"/>
    <w:rsid w:val="007E47E7"/>
    <w:rsid w:val="007E4A5D"/>
    <w:rsid w:val="007E4C8F"/>
    <w:rsid w:val="007E5D26"/>
    <w:rsid w:val="007E604B"/>
    <w:rsid w:val="007E7622"/>
    <w:rsid w:val="007E7741"/>
    <w:rsid w:val="007F00B4"/>
    <w:rsid w:val="007F1A79"/>
    <w:rsid w:val="007F1A85"/>
    <w:rsid w:val="007F45FF"/>
    <w:rsid w:val="007F5EE0"/>
    <w:rsid w:val="00801079"/>
    <w:rsid w:val="00801CF5"/>
    <w:rsid w:val="00806A2F"/>
    <w:rsid w:val="00807003"/>
    <w:rsid w:val="008110C0"/>
    <w:rsid w:val="00811613"/>
    <w:rsid w:val="00811BE6"/>
    <w:rsid w:val="00812519"/>
    <w:rsid w:val="008125DC"/>
    <w:rsid w:val="008142FB"/>
    <w:rsid w:val="00815767"/>
    <w:rsid w:val="00816417"/>
    <w:rsid w:val="00816B01"/>
    <w:rsid w:val="00816E53"/>
    <w:rsid w:val="00816EDB"/>
    <w:rsid w:val="00817A0A"/>
    <w:rsid w:val="008202EB"/>
    <w:rsid w:val="008207DD"/>
    <w:rsid w:val="00822684"/>
    <w:rsid w:val="008266E3"/>
    <w:rsid w:val="00826C5E"/>
    <w:rsid w:val="008309A3"/>
    <w:rsid w:val="0083164D"/>
    <w:rsid w:val="00831FDE"/>
    <w:rsid w:val="0083520A"/>
    <w:rsid w:val="00835BF6"/>
    <w:rsid w:val="00836731"/>
    <w:rsid w:val="00837860"/>
    <w:rsid w:val="00837EF4"/>
    <w:rsid w:val="00837FFC"/>
    <w:rsid w:val="00841D82"/>
    <w:rsid w:val="008427C6"/>
    <w:rsid w:val="00842910"/>
    <w:rsid w:val="00846017"/>
    <w:rsid w:val="00846B6F"/>
    <w:rsid w:val="008470FE"/>
    <w:rsid w:val="00847606"/>
    <w:rsid w:val="00847610"/>
    <w:rsid w:val="00850F8B"/>
    <w:rsid w:val="00853F12"/>
    <w:rsid w:val="00854758"/>
    <w:rsid w:val="00854C41"/>
    <w:rsid w:val="00855920"/>
    <w:rsid w:val="008560D9"/>
    <w:rsid w:val="00857A8C"/>
    <w:rsid w:val="00860938"/>
    <w:rsid w:val="00860DD5"/>
    <w:rsid w:val="008612A7"/>
    <w:rsid w:val="008615B7"/>
    <w:rsid w:val="008625D4"/>
    <w:rsid w:val="00862658"/>
    <w:rsid w:val="0086437E"/>
    <w:rsid w:val="00864EA6"/>
    <w:rsid w:val="008651D5"/>
    <w:rsid w:val="00871055"/>
    <w:rsid w:val="00872452"/>
    <w:rsid w:val="00873AD4"/>
    <w:rsid w:val="00874D17"/>
    <w:rsid w:val="00875AC7"/>
    <w:rsid w:val="0087670C"/>
    <w:rsid w:val="0088014E"/>
    <w:rsid w:val="00880782"/>
    <w:rsid w:val="00880C76"/>
    <w:rsid w:val="00881002"/>
    <w:rsid w:val="0088141C"/>
    <w:rsid w:val="00882520"/>
    <w:rsid w:val="008829C8"/>
    <w:rsid w:val="00883C26"/>
    <w:rsid w:val="00884170"/>
    <w:rsid w:val="0088504B"/>
    <w:rsid w:val="00885849"/>
    <w:rsid w:val="00885B80"/>
    <w:rsid w:val="00885BEF"/>
    <w:rsid w:val="00886516"/>
    <w:rsid w:val="0089111E"/>
    <w:rsid w:val="00891887"/>
    <w:rsid w:val="00892502"/>
    <w:rsid w:val="00892FF6"/>
    <w:rsid w:val="008954A7"/>
    <w:rsid w:val="008955A0"/>
    <w:rsid w:val="0089580E"/>
    <w:rsid w:val="00895DD3"/>
    <w:rsid w:val="00896232"/>
    <w:rsid w:val="008973A3"/>
    <w:rsid w:val="008A02D3"/>
    <w:rsid w:val="008A0307"/>
    <w:rsid w:val="008A1402"/>
    <w:rsid w:val="008A3E1A"/>
    <w:rsid w:val="008A5AEE"/>
    <w:rsid w:val="008A6C30"/>
    <w:rsid w:val="008A7B11"/>
    <w:rsid w:val="008A7FE6"/>
    <w:rsid w:val="008B006B"/>
    <w:rsid w:val="008B016E"/>
    <w:rsid w:val="008B12FB"/>
    <w:rsid w:val="008B4DEC"/>
    <w:rsid w:val="008B52FE"/>
    <w:rsid w:val="008B54D7"/>
    <w:rsid w:val="008B56C0"/>
    <w:rsid w:val="008B61BE"/>
    <w:rsid w:val="008B7EDE"/>
    <w:rsid w:val="008C0877"/>
    <w:rsid w:val="008C0C93"/>
    <w:rsid w:val="008C11E3"/>
    <w:rsid w:val="008C1232"/>
    <w:rsid w:val="008C2303"/>
    <w:rsid w:val="008C5A86"/>
    <w:rsid w:val="008C5B7B"/>
    <w:rsid w:val="008C60A7"/>
    <w:rsid w:val="008C625B"/>
    <w:rsid w:val="008C626D"/>
    <w:rsid w:val="008C6B82"/>
    <w:rsid w:val="008C71F6"/>
    <w:rsid w:val="008C7BC2"/>
    <w:rsid w:val="008C7E27"/>
    <w:rsid w:val="008D0D8E"/>
    <w:rsid w:val="008D163C"/>
    <w:rsid w:val="008D164C"/>
    <w:rsid w:val="008D2BA9"/>
    <w:rsid w:val="008D496A"/>
    <w:rsid w:val="008D5B3A"/>
    <w:rsid w:val="008D7631"/>
    <w:rsid w:val="008E2098"/>
    <w:rsid w:val="008E22E9"/>
    <w:rsid w:val="008E2E09"/>
    <w:rsid w:val="008E358E"/>
    <w:rsid w:val="008E37A1"/>
    <w:rsid w:val="008E3A0C"/>
    <w:rsid w:val="008E47FA"/>
    <w:rsid w:val="008E525C"/>
    <w:rsid w:val="008E5316"/>
    <w:rsid w:val="008E673A"/>
    <w:rsid w:val="008E7043"/>
    <w:rsid w:val="008E7109"/>
    <w:rsid w:val="008E7D52"/>
    <w:rsid w:val="008F12C1"/>
    <w:rsid w:val="008F2251"/>
    <w:rsid w:val="008F37F0"/>
    <w:rsid w:val="008F43FE"/>
    <w:rsid w:val="008F50EF"/>
    <w:rsid w:val="008F540D"/>
    <w:rsid w:val="008F5EB3"/>
    <w:rsid w:val="008F6186"/>
    <w:rsid w:val="008F69CA"/>
    <w:rsid w:val="008F6ABB"/>
    <w:rsid w:val="008F77F5"/>
    <w:rsid w:val="00900120"/>
    <w:rsid w:val="009004F2"/>
    <w:rsid w:val="00901456"/>
    <w:rsid w:val="00901615"/>
    <w:rsid w:val="00901D17"/>
    <w:rsid w:val="00902056"/>
    <w:rsid w:val="0090344B"/>
    <w:rsid w:val="00903BCE"/>
    <w:rsid w:val="0090419A"/>
    <w:rsid w:val="009048B1"/>
    <w:rsid w:val="00906AC1"/>
    <w:rsid w:val="00906B44"/>
    <w:rsid w:val="00906D4E"/>
    <w:rsid w:val="00907EE4"/>
    <w:rsid w:val="00907F47"/>
    <w:rsid w:val="00911133"/>
    <w:rsid w:val="0091206B"/>
    <w:rsid w:val="009125A6"/>
    <w:rsid w:val="00912783"/>
    <w:rsid w:val="00912CF1"/>
    <w:rsid w:val="00912E0C"/>
    <w:rsid w:val="00912EED"/>
    <w:rsid w:val="009137EF"/>
    <w:rsid w:val="00914213"/>
    <w:rsid w:val="009148BD"/>
    <w:rsid w:val="009201F3"/>
    <w:rsid w:val="009211B6"/>
    <w:rsid w:val="00921641"/>
    <w:rsid w:val="009221FE"/>
    <w:rsid w:val="009225E2"/>
    <w:rsid w:val="00922C57"/>
    <w:rsid w:val="00923F8D"/>
    <w:rsid w:val="00924153"/>
    <w:rsid w:val="0092446B"/>
    <w:rsid w:val="00924B18"/>
    <w:rsid w:val="00924C9C"/>
    <w:rsid w:val="00925688"/>
    <w:rsid w:val="0092605B"/>
    <w:rsid w:val="0092632B"/>
    <w:rsid w:val="009269ED"/>
    <w:rsid w:val="00930A0C"/>
    <w:rsid w:val="00930E5E"/>
    <w:rsid w:val="00931236"/>
    <w:rsid w:val="009332A5"/>
    <w:rsid w:val="009337F2"/>
    <w:rsid w:val="009341D9"/>
    <w:rsid w:val="00934525"/>
    <w:rsid w:val="009346C0"/>
    <w:rsid w:val="00934F5B"/>
    <w:rsid w:val="009359D8"/>
    <w:rsid w:val="009401F8"/>
    <w:rsid w:val="0094233A"/>
    <w:rsid w:val="0094313D"/>
    <w:rsid w:val="00943782"/>
    <w:rsid w:val="00943C8C"/>
    <w:rsid w:val="00944390"/>
    <w:rsid w:val="009450D6"/>
    <w:rsid w:val="00945560"/>
    <w:rsid w:val="00945A7A"/>
    <w:rsid w:val="00946B46"/>
    <w:rsid w:val="00946B8E"/>
    <w:rsid w:val="00946C8E"/>
    <w:rsid w:val="00947230"/>
    <w:rsid w:val="0094776C"/>
    <w:rsid w:val="00947959"/>
    <w:rsid w:val="00950BC7"/>
    <w:rsid w:val="00950BE2"/>
    <w:rsid w:val="00950CEA"/>
    <w:rsid w:val="00950FD6"/>
    <w:rsid w:val="00950FF8"/>
    <w:rsid w:val="00952C20"/>
    <w:rsid w:val="00952DDF"/>
    <w:rsid w:val="00952F06"/>
    <w:rsid w:val="00953D63"/>
    <w:rsid w:val="009554B1"/>
    <w:rsid w:val="00955F46"/>
    <w:rsid w:val="009561D5"/>
    <w:rsid w:val="00956242"/>
    <w:rsid w:val="00956F9D"/>
    <w:rsid w:val="009619AD"/>
    <w:rsid w:val="00961A00"/>
    <w:rsid w:val="00961F67"/>
    <w:rsid w:val="00962684"/>
    <w:rsid w:val="00962997"/>
    <w:rsid w:val="00962EF4"/>
    <w:rsid w:val="00963820"/>
    <w:rsid w:val="009642C0"/>
    <w:rsid w:val="009664E4"/>
    <w:rsid w:val="009665E8"/>
    <w:rsid w:val="00966CB2"/>
    <w:rsid w:val="009671C8"/>
    <w:rsid w:val="00967BA8"/>
    <w:rsid w:val="00967C58"/>
    <w:rsid w:val="00970220"/>
    <w:rsid w:val="00970CA4"/>
    <w:rsid w:val="009717AC"/>
    <w:rsid w:val="009724EA"/>
    <w:rsid w:val="0097333D"/>
    <w:rsid w:val="00973993"/>
    <w:rsid w:val="00973B37"/>
    <w:rsid w:val="00973C78"/>
    <w:rsid w:val="009762BA"/>
    <w:rsid w:val="00976BB7"/>
    <w:rsid w:val="009807F8"/>
    <w:rsid w:val="009823F9"/>
    <w:rsid w:val="009835E0"/>
    <w:rsid w:val="00983759"/>
    <w:rsid w:val="009837D1"/>
    <w:rsid w:val="0098469B"/>
    <w:rsid w:val="00984E38"/>
    <w:rsid w:val="00985668"/>
    <w:rsid w:val="009870AF"/>
    <w:rsid w:val="0099000B"/>
    <w:rsid w:val="00990796"/>
    <w:rsid w:val="00990B66"/>
    <w:rsid w:val="00991669"/>
    <w:rsid w:val="00991712"/>
    <w:rsid w:val="00991BA7"/>
    <w:rsid w:val="00993DB8"/>
    <w:rsid w:val="009960AC"/>
    <w:rsid w:val="009968B3"/>
    <w:rsid w:val="00996B00"/>
    <w:rsid w:val="009A0F00"/>
    <w:rsid w:val="009A10CC"/>
    <w:rsid w:val="009A122F"/>
    <w:rsid w:val="009A1E3F"/>
    <w:rsid w:val="009A26EB"/>
    <w:rsid w:val="009A2F9E"/>
    <w:rsid w:val="009A2FC2"/>
    <w:rsid w:val="009A3089"/>
    <w:rsid w:val="009A3E79"/>
    <w:rsid w:val="009A4600"/>
    <w:rsid w:val="009A4DEA"/>
    <w:rsid w:val="009A7590"/>
    <w:rsid w:val="009A7A52"/>
    <w:rsid w:val="009A7AB9"/>
    <w:rsid w:val="009A7E80"/>
    <w:rsid w:val="009B0CE3"/>
    <w:rsid w:val="009B1855"/>
    <w:rsid w:val="009B1B4C"/>
    <w:rsid w:val="009B2B7E"/>
    <w:rsid w:val="009B2E0B"/>
    <w:rsid w:val="009B2EAB"/>
    <w:rsid w:val="009B2EC9"/>
    <w:rsid w:val="009B2ECA"/>
    <w:rsid w:val="009B34AF"/>
    <w:rsid w:val="009B3582"/>
    <w:rsid w:val="009B3B2E"/>
    <w:rsid w:val="009B3F87"/>
    <w:rsid w:val="009B44D0"/>
    <w:rsid w:val="009B4F5C"/>
    <w:rsid w:val="009B58CE"/>
    <w:rsid w:val="009B7D15"/>
    <w:rsid w:val="009C01D7"/>
    <w:rsid w:val="009C0A4C"/>
    <w:rsid w:val="009C1632"/>
    <w:rsid w:val="009C2F72"/>
    <w:rsid w:val="009C78B2"/>
    <w:rsid w:val="009C79D4"/>
    <w:rsid w:val="009D014E"/>
    <w:rsid w:val="009D0764"/>
    <w:rsid w:val="009D1464"/>
    <w:rsid w:val="009D22D8"/>
    <w:rsid w:val="009D2596"/>
    <w:rsid w:val="009D2FCC"/>
    <w:rsid w:val="009D3BA1"/>
    <w:rsid w:val="009D4049"/>
    <w:rsid w:val="009D41C7"/>
    <w:rsid w:val="009D4AF7"/>
    <w:rsid w:val="009D4E49"/>
    <w:rsid w:val="009D5BAB"/>
    <w:rsid w:val="009D629F"/>
    <w:rsid w:val="009D6A3D"/>
    <w:rsid w:val="009D6CF3"/>
    <w:rsid w:val="009E0509"/>
    <w:rsid w:val="009E14AB"/>
    <w:rsid w:val="009E3EA3"/>
    <w:rsid w:val="009E3F88"/>
    <w:rsid w:val="009E41EF"/>
    <w:rsid w:val="009E4741"/>
    <w:rsid w:val="009E4F71"/>
    <w:rsid w:val="009E5E5C"/>
    <w:rsid w:val="009F19EF"/>
    <w:rsid w:val="009F227B"/>
    <w:rsid w:val="009F259A"/>
    <w:rsid w:val="009F33CC"/>
    <w:rsid w:val="009F418E"/>
    <w:rsid w:val="009F4749"/>
    <w:rsid w:val="009F75DD"/>
    <w:rsid w:val="009F7EA0"/>
    <w:rsid w:val="00A01FDF"/>
    <w:rsid w:val="00A02A6B"/>
    <w:rsid w:val="00A033EC"/>
    <w:rsid w:val="00A03560"/>
    <w:rsid w:val="00A051C3"/>
    <w:rsid w:val="00A0596F"/>
    <w:rsid w:val="00A05B3D"/>
    <w:rsid w:val="00A069C0"/>
    <w:rsid w:val="00A07149"/>
    <w:rsid w:val="00A110D3"/>
    <w:rsid w:val="00A1171B"/>
    <w:rsid w:val="00A11CE5"/>
    <w:rsid w:val="00A133E7"/>
    <w:rsid w:val="00A13487"/>
    <w:rsid w:val="00A14E3B"/>
    <w:rsid w:val="00A1559A"/>
    <w:rsid w:val="00A157CC"/>
    <w:rsid w:val="00A17D4C"/>
    <w:rsid w:val="00A204EF"/>
    <w:rsid w:val="00A20A82"/>
    <w:rsid w:val="00A22870"/>
    <w:rsid w:val="00A23186"/>
    <w:rsid w:val="00A23492"/>
    <w:rsid w:val="00A23B61"/>
    <w:rsid w:val="00A24606"/>
    <w:rsid w:val="00A24F6C"/>
    <w:rsid w:val="00A254EA"/>
    <w:rsid w:val="00A2579F"/>
    <w:rsid w:val="00A270EB"/>
    <w:rsid w:val="00A27813"/>
    <w:rsid w:val="00A3237F"/>
    <w:rsid w:val="00A329B7"/>
    <w:rsid w:val="00A33D67"/>
    <w:rsid w:val="00A362CC"/>
    <w:rsid w:val="00A368ED"/>
    <w:rsid w:val="00A40300"/>
    <w:rsid w:val="00A40900"/>
    <w:rsid w:val="00A40E67"/>
    <w:rsid w:val="00A41A3A"/>
    <w:rsid w:val="00A434A9"/>
    <w:rsid w:val="00A43B46"/>
    <w:rsid w:val="00A43C4B"/>
    <w:rsid w:val="00A448C9"/>
    <w:rsid w:val="00A45F68"/>
    <w:rsid w:val="00A467BF"/>
    <w:rsid w:val="00A46851"/>
    <w:rsid w:val="00A4737C"/>
    <w:rsid w:val="00A51E80"/>
    <w:rsid w:val="00A51EE8"/>
    <w:rsid w:val="00A54742"/>
    <w:rsid w:val="00A54A36"/>
    <w:rsid w:val="00A553A6"/>
    <w:rsid w:val="00A556D8"/>
    <w:rsid w:val="00A566BA"/>
    <w:rsid w:val="00A56A6B"/>
    <w:rsid w:val="00A57301"/>
    <w:rsid w:val="00A57807"/>
    <w:rsid w:val="00A57D4D"/>
    <w:rsid w:val="00A60371"/>
    <w:rsid w:val="00A62344"/>
    <w:rsid w:val="00A6412A"/>
    <w:rsid w:val="00A64A6D"/>
    <w:rsid w:val="00A65A23"/>
    <w:rsid w:val="00A65C66"/>
    <w:rsid w:val="00A6677D"/>
    <w:rsid w:val="00A668B5"/>
    <w:rsid w:val="00A66E3C"/>
    <w:rsid w:val="00A67F30"/>
    <w:rsid w:val="00A73A0F"/>
    <w:rsid w:val="00A75449"/>
    <w:rsid w:val="00A7646F"/>
    <w:rsid w:val="00A76611"/>
    <w:rsid w:val="00A76EEC"/>
    <w:rsid w:val="00A80A38"/>
    <w:rsid w:val="00A80D4E"/>
    <w:rsid w:val="00A82B80"/>
    <w:rsid w:val="00A83292"/>
    <w:rsid w:val="00A83537"/>
    <w:rsid w:val="00A83FA4"/>
    <w:rsid w:val="00A84CD7"/>
    <w:rsid w:val="00A84E4F"/>
    <w:rsid w:val="00A85148"/>
    <w:rsid w:val="00A85515"/>
    <w:rsid w:val="00A85606"/>
    <w:rsid w:val="00A8743E"/>
    <w:rsid w:val="00A87D4F"/>
    <w:rsid w:val="00A905F9"/>
    <w:rsid w:val="00A90EBC"/>
    <w:rsid w:val="00A91109"/>
    <w:rsid w:val="00A9198F"/>
    <w:rsid w:val="00A94DE5"/>
    <w:rsid w:val="00A94F72"/>
    <w:rsid w:val="00A95351"/>
    <w:rsid w:val="00A961DA"/>
    <w:rsid w:val="00A96479"/>
    <w:rsid w:val="00A9773B"/>
    <w:rsid w:val="00AA002B"/>
    <w:rsid w:val="00AA0765"/>
    <w:rsid w:val="00AA09F5"/>
    <w:rsid w:val="00AA0E81"/>
    <w:rsid w:val="00AA4561"/>
    <w:rsid w:val="00AA5D31"/>
    <w:rsid w:val="00AA60CA"/>
    <w:rsid w:val="00AA6790"/>
    <w:rsid w:val="00AA683C"/>
    <w:rsid w:val="00AA7B63"/>
    <w:rsid w:val="00AB03C7"/>
    <w:rsid w:val="00AB22F1"/>
    <w:rsid w:val="00AB4B37"/>
    <w:rsid w:val="00AB638D"/>
    <w:rsid w:val="00AB6943"/>
    <w:rsid w:val="00AC0E3B"/>
    <w:rsid w:val="00AC17EC"/>
    <w:rsid w:val="00AC2EAE"/>
    <w:rsid w:val="00AC32A6"/>
    <w:rsid w:val="00AC505A"/>
    <w:rsid w:val="00AC6964"/>
    <w:rsid w:val="00AC6C8B"/>
    <w:rsid w:val="00AD15D1"/>
    <w:rsid w:val="00AD23FD"/>
    <w:rsid w:val="00AD31B6"/>
    <w:rsid w:val="00AD3C3B"/>
    <w:rsid w:val="00AD4440"/>
    <w:rsid w:val="00AD6914"/>
    <w:rsid w:val="00AD73A0"/>
    <w:rsid w:val="00AD73F2"/>
    <w:rsid w:val="00AD78CC"/>
    <w:rsid w:val="00AE0C16"/>
    <w:rsid w:val="00AE0F12"/>
    <w:rsid w:val="00AE15A2"/>
    <w:rsid w:val="00AE18A8"/>
    <w:rsid w:val="00AE2DE1"/>
    <w:rsid w:val="00AE4F4F"/>
    <w:rsid w:val="00AE5FA2"/>
    <w:rsid w:val="00AE6D10"/>
    <w:rsid w:val="00AF01C1"/>
    <w:rsid w:val="00AF04EF"/>
    <w:rsid w:val="00AF0783"/>
    <w:rsid w:val="00AF4438"/>
    <w:rsid w:val="00AF5115"/>
    <w:rsid w:val="00AF539C"/>
    <w:rsid w:val="00AF765F"/>
    <w:rsid w:val="00B00DF7"/>
    <w:rsid w:val="00B0243F"/>
    <w:rsid w:val="00B03F92"/>
    <w:rsid w:val="00B04176"/>
    <w:rsid w:val="00B05352"/>
    <w:rsid w:val="00B05D41"/>
    <w:rsid w:val="00B05D7B"/>
    <w:rsid w:val="00B05D94"/>
    <w:rsid w:val="00B0651F"/>
    <w:rsid w:val="00B079E8"/>
    <w:rsid w:val="00B07F51"/>
    <w:rsid w:val="00B10483"/>
    <w:rsid w:val="00B10B86"/>
    <w:rsid w:val="00B10C5A"/>
    <w:rsid w:val="00B1212C"/>
    <w:rsid w:val="00B1413F"/>
    <w:rsid w:val="00B154FA"/>
    <w:rsid w:val="00B15BBD"/>
    <w:rsid w:val="00B15FEB"/>
    <w:rsid w:val="00B17509"/>
    <w:rsid w:val="00B20D97"/>
    <w:rsid w:val="00B21B61"/>
    <w:rsid w:val="00B22FD3"/>
    <w:rsid w:val="00B25A3B"/>
    <w:rsid w:val="00B26808"/>
    <w:rsid w:val="00B26A5E"/>
    <w:rsid w:val="00B31851"/>
    <w:rsid w:val="00B32324"/>
    <w:rsid w:val="00B32E07"/>
    <w:rsid w:val="00B3498C"/>
    <w:rsid w:val="00B3557F"/>
    <w:rsid w:val="00B36458"/>
    <w:rsid w:val="00B401A8"/>
    <w:rsid w:val="00B40F10"/>
    <w:rsid w:val="00B40F4D"/>
    <w:rsid w:val="00B4264C"/>
    <w:rsid w:val="00B437B3"/>
    <w:rsid w:val="00B43A50"/>
    <w:rsid w:val="00B43BC6"/>
    <w:rsid w:val="00B43DC4"/>
    <w:rsid w:val="00B43EC5"/>
    <w:rsid w:val="00B43F05"/>
    <w:rsid w:val="00B44391"/>
    <w:rsid w:val="00B443FC"/>
    <w:rsid w:val="00B4442D"/>
    <w:rsid w:val="00B4449B"/>
    <w:rsid w:val="00B45F15"/>
    <w:rsid w:val="00B47E77"/>
    <w:rsid w:val="00B500D9"/>
    <w:rsid w:val="00B51099"/>
    <w:rsid w:val="00B51148"/>
    <w:rsid w:val="00B51550"/>
    <w:rsid w:val="00B515BB"/>
    <w:rsid w:val="00B51A60"/>
    <w:rsid w:val="00B51D0C"/>
    <w:rsid w:val="00B5227B"/>
    <w:rsid w:val="00B53CEE"/>
    <w:rsid w:val="00B53D42"/>
    <w:rsid w:val="00B55DCA"/>
    <w:rsid w:val="00B56A00"/>
    <w:rsid w:val="00B60055"/>
    <w:rsid w:val="00B61BE5"/>
    <w:rsid w:val="00B622CA"/>
    <w:rsid w:val="00B623D4"/>
    <w:rsid w:val="00B631EF"/>
    <w:rsid w:val="00B66063"/>
    <w:rsid w:val="00B664CE"/>
    <w:rsid w:val="00B70300"/>
    <w:rsid w:val="00B70AEB"/>
    <w:rsid w:val="00B70E34"/>
    <w:rsid w:val="00B7436C"/>
    <w:rsid w:val="00B764D8"/>
    <w:rsid w:val="00B767A0"/>
    <w:rsid w:val="00B76EED"/>
    <w:rsid w:val="00B77C79"/>
    <w:rsid w:val="00B804FE"/>
    <w:rsid w:val="00B80E90"/>
    <w:rsid w:val="00B818B0"/>
    <w:rsid w:val="00B81BF2"/>
    <w:rsid w:val="00B82874"/>
    <w:rsid w:val="00B82A57"/>
    <w:rsid w:val="00B840A1"/>
    <w:rsid w:val="00B8578A"/>
    <w:rsid w:val="00B861F5"/>
    <w:rsid w:val="00B86950"/>
    <w:rsid w:val="00B9003E"/>
    <w:rsid w:val="00B90870"/>
    <w:rsid w:val="00B934A3"/>
    <w:rsid w:val="00B93785"/>
    <w:rsid w:val="00B93EC4"/>
    <w:rsid w:val="00B940CE"/>
    <w:rsid w:val="00B94375"/>
    <w:rsid w:val="00B94B70"/>
    <w:rsid w:val="00B960A8"/>
    <w:rsid w:val="00B96240"/>
    <w:rsid w:val="00B96D20"/>
    <w:rsid w:val="00BA0106"/>
    <w:rsid w:val="00BA6100"/>
    <w:rsid w:val="00BB0672"/>
    <w:rsid w:val="00BB0776"/>
    <w:rsid w:val="00BB12DD"/>
    <w:rsid w:val="00BB2AC6"/>
    <w:rsid w:val="00BB2EDC"/>
    <w:rsid w:val="00BB5E0A"/>
    <w:rsid w:val="00BB72F5"/>
    <w:rsid w:val="00BB7496"/>
    <w:rsid w:val="00BC0151"/>
    <w:rsid w:val="00BC2840"/>
    <w:rsid w:val="00BC2913"/>
    <w:rsid w:val="00BC2AF5"/>
    <w:rsid w:val="00BC3194"/>
    <w:rsid w:val="00BC3EFF"/>
    <w:rsid w:val="00BC4EDD"/>
    <w:rsid w:val="00BC5AAC"/>
    <w:rsid w:val="00BC5B3B"/>
    <w:rsid w:val="00BC67B2"/>
    <w:rsid w:val="00BC6CF1"/>
    <w:rsid w:val="00BD04E4"/>
    <w:rsid w:val="00BD1479"/>
    <w:rsid w:val="00BD1F19"/>
    <w:rsid w:val="00BD41E5"/>
    <w:rsid w:val="00BD5FBF"/>
    <w:rsid w:val="00BE09C0"/>
    <w:rsid w:val="00BE0FDE"/>
    <w:rsid w:val="00BE216F"/>
    <w:rsid w:val="00BE5AE8"/>
    <w:rsid w:val="00BE5F55"/>
    <w:rsid w:val="00BE649F"/>
    <w:rsid w:val="00BE7E2B"/>
    <w:rsid w:val="00BF0721"/>
    <w:rsid w:val="00BF189B"/>
    <w:rsid w:val="00BF3CB0"/>
    <w:rsid w:val="00BF4FCF"/>
    <w:rsid w:val="00BF5EF2"/>
    <w:rsid w:val="00BF616A"/>
    <w:rsid w:val="00C00E37"/>
    <w:rsid w:val="00C022F9"/>
    <w:rsid w:val="00C0253C"/>
    <w:rsid w:val="00C02FF2"/>
    <w:rsid w:val="00C036C3"/>
    <w:rsid w:val="00C038F5"/>
    <w:rsid w:val="00C0552A"/>
    <w:rsid w:val="00C05E0C"/>
    <w:rsid w:val="00C06461"/>
    <w:rsid w:val="00C076DD"/>
    <w:rsid w:val="00C1068A"/>
    <w:rsid w:val="00C11C94"/>
    <w:rsid w:val="00C11DFB"/>
    <w:rsid w:val="00C13037"/>
    <w:rsid w:val="00C13F84"/>
    <w:rsid w:val="00C16AE1"/>
    <w:rsid w:val="00C20A1C"/>
    <w:rsid w:val="00C22354"/>
    <w:rsid w:val="00C22DEB"/>
    <w:rsid w:val="00C23329"/>
    <w:rsid w:val="00C234D2"/>
    <w:rsid w:val="00C25EF6"/>
    <w:rsid w:val="00C2668A"/>
    <w:rsid w:val="00C2767D"/>
    <w:rsid w:val="00C27F8C"/>
    <w:rsid w:val="00C30F1E"/>
    <w:rsid w:val="00C30FF0"/>
    <w:rsid w:val="00C31588"/>
    <w:rsid w:val="00C318EE"/>
    <w:rsid w:val="00C31A8E"/>
    <w:rsid w:val="00C321AF"/>
    <w:rsid w:val="00C32AA8"/>
    <w:rsid w:val="00C36ABD"/>
    <w:rsid w:val="00C37C0E"/>
    <w:rsid w:val="00C413FF"/>
    <w:rsid w:val="00C429F2"/>
    <w:rsid w:val="00C42E82"/>
    <w:rsid w:val="00C44149"/>
    <w:rsid w:val="00C507EE"/>
    <w:rsid w:val="00C50CFB"/>
    <w:rsid w:val="00C525FA"/>
    <w:rsid w:val="00C526D8"/>
    <w:rsid w:val="00C5272B"/>
    <w:rsid w:val="00C5284A"/>
    <w:rsid w:val="00C55A6C"/>
    <w:rsid w:val="00C55FE7"/>
    <w:rsid w:val="00C562FB"/>
    <w:rsid w:val="00C5696C"/>
    <w:rsid w:val="00C60952"/>
    <w:rsid w:val="00C60C0D"/>
    <w:rsid w:val="00C60E85"/>
    <w:rsid w:val="00C60FC1"/>
    <w:rsid w:val="00C658D3"/>
    <w:rsid w:val="00C65B87"/>
    <w:rsid w:val="00C661AC"/>
    <w:rsid w:val="00C66EAA"/>
    <w:rsid w:val="00C67500"/>
    <w:rsid w:val="00C70149"/>
    <w:rsid w:val="00C7248F"/>
    <w:rsid w:val="00C72BEF"/>
    <w:rsid w:val="00C72EF5"/>
    <w:rsid w:val="00C7310C"/>
    <w:rsid w:val="00C73CE1"/>
    <w:rsid w:val="00C743DF"/>
    <w:rsid w:val="00C74739"/>
    <w:rsid w:val="00C760AD"/>
    <w:rsid w:val="00C7746B"/>
    <w:rsid w:val="00C77874"/>
    <w:rsid w:val="00C77B87"/>
    <w:rsid w:val="00C77F33"/>
    <w:rsid w:val="00C80E4F"/>
    <w:rsid w:val="00C82D79"/>
    <w:rsid w:val="00C82E6A"/>
    <w:rsid w:val="00C82EB3"/>
    <w:rsid w:val="00C83301"/>
    <w:rsid w:val="00C83A11"/>
    <w:rsid w:val="00C840D5"/>
    <w:rsid w:val="00C8568C"/>
    <w:rsid w:val="00C85B64"/>
    <w:rsid w:val="00C8640E"/>
    <w:rsid w:val="00C8670E"/>
    <w:rsid w:val="00C87575"/>
    <w:rsid w:val="00C87CD9"/>
    <w:rsid w:val="00C9009A"/>
    <w:rsid w:val="00C919F3"/>
    <w:rsid w:val="00C92D98"/>
    <w:rsid w:val="00C92F3F"/>
    <w:rsid w:val="00C941F5"/>
    <w:rsid w:val="00C965E0"/>
    <w:rsid w:val="00C97631"/>
    <w:rsid w:val="00C976F5"/>
    <w:rsid w:val="00CA094E"/>
    <w:rsid w:val="00CA1309"/>
    <w:rsid w:val="00CA26C6"/>
    <w:rsid w:val="00CA3C15"/>
    <w:rsid w:val="00CA3FBE"/>
    <w:rsid w:val="00CA4FB5"/>
    <w:rsid w:val="00CA60A9"/>
    <w:rsid w:val="00CA60CE"/>
    <w:rsid w:val="00CA7988"/>
    <w:rsid w:val="00CA7F8D"/>
    <w:rsid w:val="00CB105D"/>
    <w:rsid w:val="00CB2A5D"/>
    <w:rsid w:val="00CB2BEA"/>
    <w:rsid w:val="00CB6494"/>
    <w:rsid w:val="00CB6B6D"/>
    <w:rsid w:val="00CB739C"/>
    <w:rsid w:val="00CB760A"/>
    <w:rsid w:val="00CB7B3B"/>
    <w:rsid w:val="00CC0D2C"/>
    <w:rsid w:val="00CC0E18"/>
    <w:rsid w:val="00CC1132"/>
    <w:rsid w:val="00CC3244"/>
    <w:rsid w:val="00CC34FC"/>
    <w:rsid w:val="00CC40B4"/>
    <w:rsid w:val="00CC6A8E"/>
    <w:rsid w:val="00CC6D63"/>
    <w:rsid w:val="00CC7F91"/>
    <w:rsid w:val="00CD0260"/>
    <w:rsid w:val="00CD051A"/>
    <w:rsid w:val="00CD3834"/>
    <w:rsid w:val="00CD3AAB"/>
    <w:rsid w:val="00CD4A12"/>
    <w:rsid w:val="00CD6676"/>
    <w:rsid w:val="00CD6E3D"/>
    <w:rsid w:val="00CE1BE6"/>
    <w:rsid w:val="00CE1E61"/>
    <w:rsid w:val="00CE324B"/>
    <w:rsid w:val="00CE3572"/>
    <w:rsid w:val="00CE5129"/>
    <w:rsid w:val="00CE5798"/>
    <w:rsid w:val="00CE671E"/>
    <w:rsid w:val="00CE78D6"/>
    <w:rsid w:val="00CE7D21"/>
    <w:rsid w:val="00CF1774"/>
    <w:rsid w:val="00CF1D6B"/>
    <w:rsid w:val="00CF223E"/>
    <w:rsid w:val="00CF2248"/>
    <w:rsid w:val="00CF3A04"/>
    <w:rsid w:val="00CF3F37"/>
    <w:rsid w:val="00CF657F"/>
    <w:rsid w:val="00CF662B"/>
    <w:rsid w:val="00CF6CA3"/>
    <w:rsid w:val="00CF7094"/>
    <w:rsid w:val="00CF75FA"/>
    <w:rsid w:val="00CF77E4"/>
    <w:rsid w:val="00CF7C98"/>
    <w:rsid w:val="00D01C07"/>
    <w:rsid w:val="00D020E8"/>
    <w:rsid w:val="00D0361E"/>
    <w:rsid w:val="00D03F83"/>
    <w:rsid w:val="00D04E17"/>
    <w:rsid w:val="00D07712"/>
    <w:rsid w:val="00D07F51"/>
    <w:rsid w:val="00D10109"/>
    <w:rsid w:val="00D111F7"/>
    <w:rsid w:val="00D11635"/>
    <w:rsid w:val="00D11777"/>
    <w:rsid w:val="00D11A80"/>
    <w:rsid w:val="00D11FF4"/>
    <w:rsid w:val="00D12008"/>
    <w:rsid w:val="00D121F5"/>
    <w:rsid w:val="00D1283E"/>
    <w:rsid w:val="00D134B8"/>
    <w:rsid w:val="00D14BB7"/>
    <w:rsid w:val="00D152C9"/>
    <w:rsid w:val="00D15448"/>
    <w:rsid w:val="00D158F3"/>
    <w:rsid w:val="00D176F0"/>
    <w:rsid w:val="00D20602"/>
    <w:rsid w:val="00D2071C"/>
    <w:rsid w:val="00D21E51"/>
    <w:rsid w:val="00D2203C"/>
    <w:rsid w:val="00D2225F"/>
    <w:rsid w:val="00D22F99"/>
    <w:rsid w:val="00D23F13"/>
    <w:rsid w:val="00D26109"/>
    <w:rsid w:val="00D265E2"/>
    <w:rsid w:val="00D2739A"/>
    <w:rsid w:val="00D273B7"/>
    <w:rsid w:val="00D2749A"/>
    <w:rsid w:val="00D30B6A"/>
    <w:rsid w:val="00D31105"/>
    <w:rsid w:val="00D3110E"/>
    <w:rsid w:val="00D31B94"/>
    <w:rsid w:val="00D323E5"/>
    <w:rsid w:val="00D3257F"/>
    <w:rsid w:val="00D327E9"/>
    <w:rsid w:val="00D3282E"/>
    <w:rsid w:val="00D32A70"/>
    <w:rsid w:val="00D33FFE"/>
    <w:rsid w:val="00D3471D"/>
    <w:rsid w:val="00D355F3"/>
    <w:rsid w:val="00D375EE"/>
    <w:rsid w:val="00D37B0E"/>
    <w:rsid w:val="00D40D0F"/>
    <w:rsid w:val="00D4350E"/>
    <w:rsid w:val="00D4374C"/>
    <w:rsid w:val="00D43B29"/>
    <w:rsid w:val="00D44561"/>
    <w:rsid w:val="00D45347"/>
    <w:rsid w:val="00D453D5"/>
    <w:rsid w:val="00D45982"/>
    <w:rsid w:val="00D46D03"/>
    <w:rsid w:val="00D47EE2"/>
    <w:rsid w:val="00D502F6"/>
    <w:rsid w:val="00D51052"/>
    <w:rsid w:val="00D511A9"/>
    <w:rsid w:val="00D52C87"/>
    <w:rsid w:val="00D52F6E"/>
    <w:rsid w:val="00D53587"/>
    <w:rsid w:val="00D53A8B"/>
    <w:rsid w:val="00D54096"/>
    <w:rsid w:val="00D54913"/>
    <w:rsid w:val="00D5583A"/>
    <w:rsid w:val="00D568EA"/>
    <w:rsid w:val="00D56A2E"/>
    <w:rsid w:val="00D56E75"/>
    <w:rsid w:val="00D57CB3"/>
    <w:rsid w:val="00D60396"/>
    <w:rsid w:val="00D6039B"/>
    <w:rsid w:val="00D621C5"/>
    <w:rsid w:val="00D62AFB"/>
    <w:rsid w:val="00D6363F"/>
    <w:rsid w:val="00D6687C"/>
    <w:rsid w:val="00D6703B"/>
    <w:rsid w:val="00D70D00"/>
    <w:rsid w:val="00D70F56"/>
    <w:rsid w:val="00D71E45"/>
    <w:rsid w:val="00D72F00"/>
    <w:rsid w:val="00D73520"/>
    <w:rsid w:val="00D7390A"/>
    <w:rsid w:val="00D73B8E"/>
    <w:rsid w:val="00D741C6"/>
    <w:rsid w:val="00D74B4A"/>
    <w:rsid w:val="00D74D05"/>
    <w:rsid w:val="00D759B9"/>
    <w:rsid w:val="00D76048"/>
    <w:rsid w:val="00D7733F"/>
    <w:rsid w:val="00D80249"/>
    <w:rsid w:val="00D80527"/>
    <w:rsid w:val="00D809EB"/>
    <w:rsid w:val="00D81D72"/>
    <w:rsid w:val="00D82A3C"/>
    <w:rsid w:val="00D83691"/>
    <w:rsid w:val="00D83ECF"/>
    <w:rsid w:val="00D83EFC"/>
    <w:rsid w:val="00D85679"/>
    <w:rsid w:val="00D8569B"/>
    <w:rsid w:val="00D85EAC"/>
    <w:rsid w:val="00D86564"/>
    <w:rsid w:val="00D90C4E"/>
    <w:rsid w:val="00D91384"/>
    <w:rsid w:val="00D91439"/>
    <w:rsid w:val="00D92A3D"/>
    <w:rsid w:val="00D93A15"/>
    <w:rsid w:val="00D9488A"/>
    <w:rsid w:val="00D95D43"/>
    <w:rsid w:val="00D97065"/>
    <w:rsid w:val="00D970FE"/>
    <w:rsid w:val="00D97117"/>
    <w:rsid w:val="00D974F4"/>
    <w:rsid w:val="00D975D8"/>
    <w:rsid w:val="00D97BCC"/>
    <w:rsid w:val="00D97C0A"/>
    <w:rsid w:val="00D97FF0"/>
    <w:rsid w:val="00DA381A"/>
    <w:rsid w:val="00DA509C"/>
    <w:rsid w:val="00DA50AE"/>
    <w:rsid w:val="00DA5CA8"/>
    <w:rsid w:val="00DA68E3"/>
    <w:rsid w:val="00DB3451"/>
    <w:rsid w:val="00DB3C92"/>
    <w:rsid w:val="00DB4DDA"/>
    <w:rsid w:val="00DB6E2B"/>
    <w:rsid w:val="00DB7412"/>
    <w:rsid w:val="00DB7753"/>
    <w:rsid w:val="00DC1F7C"/>
    <w:rsid w:val="00DC365A"/>
    <w:rsid w:val="00DC51D8"/>
    <w:rsid w:val="00DC53A5"/>
    <w:rsid w:val="00DC59D6"/>
    <w:rsid w:val="00DC5E9A"/>
    <w:rsid w:val="00DC677B"/>
    <w:rsid w:val="00DC7486"/>
    <w:rsid w:val="00DD096D"/>
    <w:rsid w:val="00DD09DA"/>
    <w:rsid w:val="00DD14A2"/>
    <w:rsid w:val="00DD1B42"/>
    <w:rsid w:val="00DD23D0"/>
    <w:rsid w:val="00DD34A8"/>
    <w:rsid w:val="00DD68A7"/>
    <w:rsid w:val="00DD6F98"/>
    <w:rsid w:val="00DD70E7"/>
    <w:rsid w:val="00DD7606"/>
    <w:rsid w:val="00DE08E1"/>
    <w:rsid w:val="00DE1084"/>
    <w:rsid w:val="00DE12F5"/>
    <w:rsid w:val="00DE17F9"/>
    <w:rsid w:val="00DE1C19"/>
    <w:rsid w:val="00DE202E"/>
    <w:rsid w:val="00DE566E"/>
    <w:rsid w:val="00DF025C"/>
    <w:rsid w:val="00DF04BC"/>
    <w:rsid w:val="00DF0A48"/>
    <w:rsid w:val="00DF0B08"/>
    <w:rsid w:val="00DF11DB"/>
    <w:rsid w:val="00DF146B"/>
    <w:rsid w:val="00DF1797"/>
    <w:rsid w:val="00DF17CE"/>
    <w:rsid w:val="00DF1DD9"/>
    <w:rsid w:val="00DF20CE"/>
    <w:rsid w:val="00DF3D47"/>
    <w:rsid w:val="00DF3E0E"/>
    <w:rsid w:val="00DF54BC"/>
    <w:rsid w:val="00DF7784"/>
    <w:rsid w:val="00DF7B7F"/>
    <w:rsid w:val="00E016C9"/>
    <w:rsid w:val="00E01F28"/>
    <w:rsid w:val="00E03711"/>
    <w:rsid w:val="00E03E2E"/>
    <w:rsid w:val="00E04E20"/>
    <w:rsid w:val="00E05F1D"/>
    <w:rsid w:val="00E07E13"/>
    <w:rsid w:val="00E07E45"/>
    <w:rsid w:val="00E10621"/>
    <w:rsid w:val="00E1100D"/>
    <w:rsid w:val="00E1120B"/>
    <w:rsid w:val="00E11C92"/>
    <w:rsid w:val="00E11E83"/>
    <w:rsid w:val="00E12108"/>
    <w:rsid w:val="00E12A13"/>
    <w:rsid w:val="00E12D0F"/>
    <w:rsid w:val="00E137A1"/>
    <w:rsid w:val="00E146D8"/>
    <w:rsid w:val="00E1497B"/>
    <w:rsid w:val="00E14A5B"/>
    <w:rsid w:val="00E14CE1"/>
    <w:rsid w:val="00E15830"/>
    <w:rsid w:val="00E160BE"/>
    <w:rsid w:val="00E16174"/>
    <w:rsid w:val="00E16507"/>
    <w:rsid w:val="00E176B0"/>
    <w:rsid w:val="00E177AB"/>
    <w:rsid w:val="00E21008"/>
    <w:rsid w:val="00E23688"/>
    <w:rsid w:val="00E2385D"/>
    <w:rsid w:val="00E23FC0"/>
    <w:rsid w:val="00E24145"/>
    <w:rsid w:val="00E245F3"/>
    <w:rsid w:val="00E257DF"/>
    <w:rsid w:val="00E264E6"/>
    <w:rsid w:val="00E265B7"/>
    <w:rsid w:val="00E26BAB"/>
    <w:rsid w:val="00E27194"/>
    <w:rsid w:val="00E27839"/>
    <w:rsid w:val="00E27993"/>
    <w:rsid w:val="00E30240"/>
    <w:rsid w:val="00E30453"/>
    <w:rsid w:val="00E308AB"/>
    <w:rsid w:val="00E316ED"/>
    <w:rsid w:val="00E32FCA"/>
    <w:rsid w:val="00E36FBF"/>
    <w:rsid w:val="00E37D80"/>
    <w:rsid w:val="00E4009C"/>
    <w:rsid w:val="00E40FDD"/>
    <w:rsid w:val="00E41B6B"/>
    <w:rsid w:val="00E421E1"/>
    <w:rsid w:val="00E425EE"/>
    <w:rsid w:val="00E42BA5"/>
    <w:rsid w:val="00E42D6A"/>
    <w:rsid w:val="00E442DF"/>
    <w:rsid w:val="00E44B53"/>
    <w:rsid w:val="00E4541E"/>
    <w:rsid w:val="00E454A8"/>
    <w:rsid w:val="00E47248"/>
    <w:rsid w:val="00E47319"/>
    <w:rsid w:val="00E50B12"/>
    <w:rsid w:val="00E50B7D"/>
    <w:rsid w:val="00E51365"/>
    <w:rsid w:val="00E51A40"/>
    <w:rsid w:val="00E521EE"/>
    <w:rsid w:val="00E52BB4"/>
    <w:rsid w:val="00E5315E"/>
    <w:rsid w:val="00E54427"/>
    <w:rsid w:val="00E54D4F"/>
    <w:rsid w:val="00E5623D"/>
    <w:rsid w:val="00E5754D"/>
    <w:rsid w:val="00E57585"/>
    <w:rsid w:val="00E57948"/>
    <w:rsid w:val="00E606E2"/>
    <w:rsid w:val="00E61082"/>
    <w:rsid w:val="00E6124C"/>
    <w:rsid w:val="00E63C3B"/>
    <w:rsid w:val="00E64467"/>
    <w:rsid w:val="00E64D71"/>
    <w:rsid w:val="00E65DD0"/>
    <w:rsid w:val="00E66595"/>
    <w:rsid w:val="00E70E0B"/>
    <w:rsid w:val="00E72DF2"/>
    <w:rsid w:val="00E73237"/>
    <w:rsid w:val="00E737E7"/>
    <w:rsid w:val="00E7423A"/>
    <w:rsid w:val="00E7456A"/>
    <w:rsid w:val="00E74C81"/>
    <w:rsid w:val="00E753B8"/>
    <w:rsid w:val="00E756FE"/>
    <w:rsid w:val="00E76540"/>
    <w:rsid w:val="00E7661A"/>
    <w:rsid w:val="00E76E95"/>
    <w:rsid w:val="00E77488"/>
    <w:rsid w:val="00E77526"/>
    <w:rsid w:val="00E80265"/>
    <w:rsid w:val="00E805CE"/>
    <w:rsid w:val="00E808F5"/>
    <w:rsid w:val="00E80E59"/>
    <w:rsid w:val="00E81A5A"/>
    <w:rsid w:val="00E81BAB"/>
    <w:rsid w:val="00E82336"/>
    <w:rsid w:val="00E82DC9"/>
    <w:rsid w:val="00E840E5"/>
    <w:rsid w:val="00E84601"/>
    <w:rsid w:val="00E84983"/>
    <w:rsid w:val="00E84CD1"/>
    <w:rsid w:val="00E84D6E"/>
    <w:rsid w:val="00E851A2"/>
    <w:rsid w:val="00E868F1"/>
    <w:rsid w:val="00E86BF9"/>
    <w:rsid w:val="00E90939"/>
    <w:rsid w:val="00E917B6"/>
    <w:rsid w:val="00E91D63"/>
    <w:rsid w:val="00E91DE7"/>
    <w:rsid w:val="00E9206D"/>
    <w:rsid w:val="00E920F9"/>
    <w:rsid w:val="00E92E86"/>
    <w:rsid w:val="00E94F1D"/>
    <w:rsid w:val="00E95313"/>
    <w:rsid w:val="00E955CD"/>
    <w:rsid w:val="00EA4341"/>
    <w:rsid w:val="00EA59F9"/>
    <w:rsid w:val="00EA7138"/>
    <w:rsid w:val="00EB0482"/>
    <w:rsid w:val="00EB0741"/>
    <w:rsid w:val="00EB10E6"/>
    <w:rsid w:val="00EB1584"/>
    <w:rsid w:val="00EB21E6"/>
    <w:rsid w:val="00EB4083"/>
    <w:rsid w:val="00EB4756"/>
    <w:rsid w:val="00EB5297"/>
    <w:rsid w:val="00EB5F4A"/>
    <w:rsid w:val="00EC0D29"/>
    <w:rsid w:val="00EC1721"/>
    <w:rsid w:val="00EC1B3B"/>
    <w:rsid w:val="00EC2914"/>
    <w:rsid w:val="00EC34C6"/>
    <w:rsid w:val="00EC6AE0"/>
    <w:rsid w:val="00ED000C"/>
    <w:rsid w:val="00ED0DA3"/>
    <w:rsid w:val="00ED3DBD"/>
    <w:rsid w:val="00ED672F"/>
    <w:rsid w:val="00ED75CB"/>
    <w:rsid w:val="00EE0664"/>
    <w:rsid w:val="00EE0BEC"/>
    <w:rsid w:val="00EE2125"/>
    <w:rsid w:val="00EE2F3B"/>
    <w:rsid w:val="00EE627A"/>
    <w:rsid w:val="00EE6563"/>
    <w:rsid w:val="00EE6859"/>
    <w:rsid w:val="00EE76EE"/>
    <w:rsid w:val="00EE78E1"/>
    <w:rsid w:val="00EF0A2E"/>
    <w:rsid w:val="00EF1ED9"/>
    <w:rsid w:val="00EF2F39"/>
    <w:rsid w:val="00EF2F9D"/>
    <w:rsid w:val="00EF32B6"/>
    <w:rsid w:val="00EF50D6"/>
    <w:rsid w:val="00EF6E86"/>
    <w:rsid w:val="00EF7091"/>
    <w:rsid w:val="00EF7496"/>
    <w:rsid w:val="00F00233"/>
    <w:rsid w:val="00F01D9B"/>
    <w:rsid w:val="00F020D5"/>
    <w:rsid w:val="00F02747"/>
    <w:rsid w:val="00F0331D"/>
    <w:rsid w:val="00F03508"/>
    <w:rsid w:val="00F035CF"/>
    <w:rsid w:val="00F03E8C"/>
    <w:rsid w:val="00F04248"/>
    <w:rsid w:val="00F047B7"/>
    <w:rsid w:val="00F05393"/>
    <w:rsid w:val="00F05DFA"/>
    <w:rsid w:val="00F05F83"/>
    <w:rsid w:val="00F0632F"/>
    <w:rsid w:val="00F06EA2"/>
    <w:rsid w:val="00F07685"/>
    <w:rsid w:val="00F07B37"/>
    <w:rsid w:val="00F07F91"/>
    <w:rsid w:val="00F1069E"/>
    <w:rsid w:val="00F1111C"/>
    <w:rsid w:val="00F12E57"/>
    <w:rsid w:val="00F13A24"/>
    <w:rsid w:val="00F14951"/>
    <w:rsid w:val="00F14984"/>
    <w:rsid w:val="00F14A08"/>
    <w:rsid w:val="00F14E50"/>
    <w:rsid w:val="00F150E5"/>
    <w:rsid w:val="00F15238"/>
    <w:rsid w:val="00F15D7A"/>
    <w:rsid w:val="00F16313"/>
    <w:rsid w:val="00F16528"/>
    <w:rsid w:val="00F166CD"/>
    <w:rsid w:val="00F16E70"/>
    <w:rsid w:val="00F17ED5"/>
    <w:rsid w:val="00F215DE"/>
    <w:rsid w:val="00F22042"/>
    <w:rsid w:val="00F25239"/>
    <w:rsid w:val="00F2658E"/>
    <w:rsid w:val="00F305DF"/>
    <w:rsid w:val="00F3086E"/>
    <w:rsid w:val="00F32294"/>
    <w:rsid w:val="00F325FC"/>
    <w:rsid w:val="00F32A33"/>
    <w:rsid w:val="00F3472A"/>
    <w:rsid w:val="00F34986"/>
    <w:rsid w:val="00F34A3C"/>
    <w:rsid w:val="00F36724"/>
    <w:rsid w:val="00F37DD4"/>
    <w:rsid w:val="00F4023A"/>
    <w:rsid w:val="00F4044B"/>
    <w:rsid w:val="00F40E65"/>
    <w:rsid w:val="00F42E5D"/>
    <w:rsid w:val="00F44F4B"/>
    <w:rsid w:val="00F46420"/>
    <w:rsid w:val="00F466AA"/>
    <w:rsid w:val="00F4684F"/>
    <w:rsid w:val="00F46EB8"/>
    <w:rsid w:val="00F47229"/>
    <w:rsid w:val="00F47F12"/>
    <w:rsid w:val="00F5095B"/>
    <w:rsid w:val="00F50C9B"/>
    <w:rsid w:val="00F50F01"/>
    <w:rsid w:val="00F515E2"/>
    <w:rsid w:val="00F5180A"/>
    <w:rsid w:val="00F53B49"/>
    <w:rsid w:val="00F53D99"/>
    <w:rsid w:val="00F54B56"/>
    <w:rsid w:val="00F55563"/>
    <w:rsid w:val="00F55913"/>
    <w:rsid w:val="00F563D5"/>
    <w:rsid w:val="00F56784"/>
    <w:rsid w:val="00F577A3"/>
    <w:rsid w:val="00F60E7E"/>
    <w:rsid w:val="00F612F6"/>
    <w:rsid w:val="00F61562"/>
    <w:rsid w:val="00F618E4"/>
    <w:rsid w:val="00F62491"/>
    <w:rsid w:val="00F64436"/>
    <w:rsid w:val="00F6621A"/>
    <w:rsid w:val="00F66B17"/>
    <w:rsid w:val="00F67479"/>
    <w:rsid w:val="00F713F1"/>
    <w:rsid w:val="00F72BFC"/>
    <w:rsid w:val="00F735A9"/>
    <w:rsid w:val="00F7521F"/>
    <w:rsid w:val="00F81E9F"/>
    <w:rsid w:val="00F820C6"/>
    <w:rsid w:val="00F822E1"/>
    <w:rsid w:val="00F82790"/>
    <w:rsid w:val="00F82BFE"/>
    <w:rsid w:val="00F84322"/>
    <w:rsid w:val="00F85344"/>
    <w:rsid w:val="00F85BA4"/>
    <w:rsid w:val="00F87686"/>
    <w:rsid w:val="00F9065E"/>
    <w:rsid w:val="00F91CBC"/>
    <w:rsid w:val="00F91E45"/>
    <w:rsid w:val="00F91F76"/>
    <w:rsid w:val="00F92B18"/>
    <w:rsid w:val="00F938F4"/>
    <w:rsid w:val="00F93F9C"/>
    <w:rsid w:val="00F9403E"/>
    <w:rsid w:val="00F94DE0"/>
    <w:rsid w:val="00F95CE0"/>
    <w:rsid w:val="00F95FF1"/>
    <w:rsid w:val="00F9686F"/>
    <w:rsid w:val="00F96C51"/>
    <w:rsid w:val="00F97863"/>
    <w:rsid w:val="00FA1185"/>
    <w:rsid w:val="00FA285D"/>
    <w:rsid w:val="00FA3341"/>
    <w:rsid w:val="00FA44B7"/>
    <w:rsid w:val="00FA4A9E"/>
    <w:rsid w:val="00FA4CB5"/>
    <w:rsid w:val="00FA695A"/>
    <w:rsid w:val="00FA73A6"/>
    <w:rsid w:val="00FA752E"/>
    <w:rsid w:val="00FA78A9"/>
    <w:rsid w:val="00FA7D5B"/>
    <w:rsid w:val="00FB18DA"/>
    <w:rsid w:val="00FB2649"/>
    <w:rsid w:val="00FB3275"/>
    <w:rsid w:val="00FB3529"/>
    <w:rsid w:val="00FB52C4"/>
    <w:rsid w:val="00FB74C8"/>
    <w:rsid w:val="00FB752F"/>
    <w:rsid w:val="00FB758A"/>
    <w:rsid w:val="00FB7BFB"/>
    <w:rsid w:val="00FB7F1E"/>
    <w:rsid w:val="00FC143D"/>
    <w:rsid w:val="00FC1D18"/>
    <w:rsid w:val="00FC24B4"/>
    <w:rsid w:val="00FC2B16"/>
    <w:rsid w:val="00FC3C6A"/>
    <w:rsid w:val="00FC431F"/>
    <w:rsid w:val="00FC444F"/>
    <w:rsid w:val="00FC4AEB"/>
    <w:rsid w:val="00FC75B4"/>
    <w:rsid w:val="00FC75F2"/>
    <w:rsid w:val="00FC7BE7"/>
    <w:rsid w:val="00FD0C49"/>
    <w:rsid w:val="00FD1593"/>
    <w:rsid w:val="00FD1B82"/>
    <w:rsid w:val="00FD1FB1"/>
    <w:rsid w:val="00FD3112"/>
    <w:rsid w:val="00FD3C27"/>
    <w:rsid w:val="00FD3D87"/>
    <w:rsid w:val="00FD4465"/>
    <w:rsid w:val="00FD55CA"/>
    <w:rsid w:val="00FD55E3"/>
    <w:rsid w:val="00FD5713"/>
    <w:rsid w:val="00FD5E5F"/>
    <w:rsid w:val="00FD66B6"/>
    <w:rsid w:val="00FD69FD"/>
    <w:rsid w:val="00FD763F"/>
    <w:rsid w:val="00FE023D"/>
    <w:rsid w:val="00FE0FAA"/>
    <w:rsid w:val="00FE132E"/>
    <w:rsid w:val="00FE225B"/>
    <w:rsid w:val="00FE44F9"/>
    <w:rsid w:val="00FE519C"/>
    <w:rsid w:val="00FE6717"/>
    <w:rsid w:val="00FF01E7"/>
    <w:rsid w:val="00FF14BC"/>
    <w:rsid w:val="00FF1DF1"/>
    <w:rsid w:val="00FF1F5A"/>
    <w:rsid w:val="00FF2844"/>
    <w:rsid w:val="00FF339A"/>
    <w:rsid w:val="00FF3F62"/>
    <w:rsid w:val="00FF4514"/>
    <w:rsid w:val="00FF629D"/>
    <w:rsid w:val="00FF7E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CF"/>
  </w:style>
  <w:style w:type="paragraph" w:styleId="Heading1">
    <w:name w:val="heading 1"/>
    <w:basedOn w:val="Normal"/>
    <w:next w:val="Normal"/>
    <w:link w:val="Heading1Char"/>
    <w:uiPriority w:val="9"/>
    <w:qFormat/>
    <w:rsid w:val="000356B4"/>
    <w:pPr>
      <w:keepNext/>
      <w:keepLines/>
      <w:spacing w:after="0" w:line="240" w:lineRule="auto"/>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4609AA"/>
    <w:pPr>
      <w:keepNext/>
      <w:keepLines/>
      <w:spacing w:after="0" w:line="240" w:lineRule="auto"/>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3F6993"/>
    <w:pPr>
      <w:keepNext/>
      <w:keepLines/>
      <w:spacing w:after="0" w:line="240" w:lineRule="auto"/>
      <w:outlineLvl w:val="2"/>
    </w:pPr>
    <w:rPr>
      <w:rFonts w:ascii="Times New Roman" w:eastAsiaTheme="majorEastAsia" w:hAnsi="Times New Roman" w:cs="Times New Roman"/>
      <w:b/>
      <w:bCs/>
      <w:i/>
      <w:sz w:val="24"/>
      <w:szCs w:val="24"/>
    </w:rPr>
  </w:style>
  <w:style w:type="paragraph" w:styleId="Heading5">
    <w:name w:val="heading 5"/>
    <w:basedOn w:val="Normal"/>
    <w:next w:val="Normal"/>
    <w:link w:val="Heading5Char"/>
    <w:uiPriority w:val="9"/>
    <w:semiHidden/>
    <w:unhideWhenUsed/>
    <w:qFormat/>
    <w:rsid w:val="007221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471953"/>
    <w:rPr>
      <w:color w:val="0000FF"/>
      <w:shd w:val="clear" w:color="auto" w:fill="auto"/>
    </w:rPr>
  </w:style>
  <w:style w:type="paragraph" w:customStyle="1" w:styleId="Pagedecouverture">
    <w:name w:val="Page de couverture"/>
    <w:basedOn w:val="Normal"/>
    <w:next w:val="Normal"/>
    <w:rsid w:val="00471953"/>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450848"/>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450848"/>
    <w:rPr>
      <w:rFonts w:ascii="Times New Roman" w:hAnsi="Times New Roman" w:cs="Times New Roman"/>
      <w:sz w:val="24"/>
    </w:rPr>
  </w:style>
  <w:style w:type="paragraph" w:styleId="Footer">
    <w:name w:val="footer"/>
    <w:basedOn w:val="Normal"/>
    <w:link w:val="FooterChar"/>
    <w:uiPriority w:val="99"/>
    <w:unhideWhenUsed/>
    <w:rsid w:val="0045084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450848"/>
    <w:rPr>
      <w:rFonts w:ascii="Times New Roman" w:hAnsi="Times New Roman" w:cs="Times New Roman"/>
      <w:sz w:val="24"/>
    </w:rPr>
  </w:style>
  <w:style w:type="paragraph" w:customStyle="1" w:styleId="FooterCoverPage">
    <w:name w:val="Footer Cover Page"/>
    <w:basedOn w:val="Normal"/>
    <w:link w:val="FooterCoverPageChar"/>
    <w:rsid w:val="0047195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71953"/>
    <w:rPr>
      <w:rFonts w:ascii="Times New Roman" w:hAnsi="Times New Roman" w:cs="Times New Roman"/>
      <w:sz w:val="24"/>
    </w:rPr>
  </w:style>
  <w:style w:type="paragraph" w:customStyle="1" w:styleId="HeaderCoverPage">
    <w:name w:val="Header Cover Page"/>
    <w:basedOn w:val="Normal"/>
    <w:link w:val="HeaderCoverPageChar"/>
    <w:rsid w:val="0047195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71953"/>
    <w:rPr>
      <w:rFonts w:ascii="Times New Roman" w:hAnsi="Times New Roman" w:cs="Times New Roman"/>
      <w:sz w:val="24"/>
    </w:rPr>
  </w:style>
  <w:style w:type="paragraph" w:styleId="ListParagraph">
    <w:name w:val="List Paragraph"/>
    <w:basedOn w:val="Normal"/>
    <w:link w:val="ListParagraphChar"/>
    <w:uiPriority w:val="34"/>
    <w:qFormat/>
    <w:rsid w:val="00BF189B"/>
    <w:pPr>
      <w:ind w:left="720"/>
      <w:contextualSpacing/>
    </w:pPr>
    <w:rPr>
      <w:lang w:val="fr-BE"/>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fn,Fußnotentextf,ft,Nbpage Moens,single space"/>
    <w:basedOn w:val="Normal"/>
    <w:link w:val="FootnoteTextChar"/>
    <w:uiPriority w:val="99"/>
    <w:unhideWhenUsed/>
    <w:qFormat/>
    <w:rsid w:val="00BF189B"/>
    <w:pPr>
      <w:spacing w:after="0" w:line="240" w:lineRule="auto"/>
    </w:pPr>
    <w:rPr>
      <w:sz w:val="20"/>
      <w:szCs w:val="20"/>
      <w:lang w:val="fr-BE"/>
    </w:rPr>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fn Char"/>
    <w:basedOn w:val="DefaultParagraphFont"/>
    <w:link w:val="FootnoteText"/>
    <w:uiPriority w:val="99"/>
    <w:rsid w:val="00BF189B"/>
    <w:rPr>
      <w:sz w:val="20"/>
      <w:szCs w:val="20"/>
      <w:lang w:val="fr-BE"/>
    </w:rPr>
  </w:style>
  <w:style w:type="character" w:styleId="FootnoteReference">
    <w:name w:val="footnote reference"/>
    <w:aliases w:val="16 Point,Superscript 6 Point,de nota al pie,Ref,SUPERS,Footnote symbol,Times 10 Point,Exposant 3 Point,Odwołanie przypisu,Footnote Reference Number,Footnote Reference Superscript,BVI fnr, BVI fnr,ftref,Superscript 6 Point + 11 pt,fr,o"/>
    <w:basedOn w:val="DefaultParagraphFont"/>
    <w:uiPriority w:val="99"/>
    <w:unhideWhenUsed/>
    <w:rsid w:val="00BF189B"/>
    <w:rPr>
      <w:vertAlign w:val="superscript"/>
    </w:rPr>
  </w:style>
  <w:style w:type="character" w:styleId="Hyperlink">
    <w:name w:val="Hyperlink"/>
    <w:basedOn w:val="DefaultParagraphFont"/>
    <w:uiPriority w:val="99"/>
    <w:unhideWhenUsed/>
    <w:rsid w:val="00BF189B"/>
    <w:rPr>
      <w:color w:val="0000FF" w:themeColor="hyperlink"/>
      <w:u w:val="single"/>
    </w:rPr>
  </w:style>
  <w:style w:type="character" w:styleId="CommentReference">
    <w:name w:val="annotation reference"/>
    <w:basedOn w:val="DefaultParagraphFont"/>
    <w:semiHidden/>
    <w:unhideWhenUsed/>
    <w:rsid w:val="00BF189B"/>
    <w:rPr>
      <w:sz w:val="16"/>
      <w:szCs w:val="16"/>
    </w:rPr>
  </w:style>
  <w:style w:type="paragraph" w:styleId="CommentText">
    <w:name w:val="annotation text"/>
    <w:basedOn w:val="Normal"/>
    <w:link w:val="CommentTextChar"/>
    <w:uiPriority w:val="99"/>
    <w:unhideWhenUsed/>
    <w:rsid w:val="00BF189B"/>
    <w:pPr>
      <w:spacing w:line="240" w:lineRule="auto"/>
    </w:pPr>
    <w:rPr>
      <w:sz w:val="20"/>
      <w:szCs w:val="20"/>
      <w:lang w:val="fr-BE"/>
    </w:rPr>
  </w:style>
  <w:style w:type="character" w:customStyle="1" w:styleId="CommentTextChar">
    <w:name w:val="Comment Text Char"/>
    <w:basedOn w:val="DefaultParagraphFont"/>
    <w:link w:val="CommentText"/>
    <w:uiPriority w:val="99"/>
    <w:rsid w:val="00BF189B"/>
    <w:rPr>
      <w:sz w:val="20"/>
      <w:szCs w:val="20"/>
      <w:lang w:val="fr-BE"/>
    </w:rPr>
  </w:style>
  <w:style w:type="character" w:customStyle="1" w:styleId="CommentSubjectChar">
    <w:name w:val="Comment Subject Char"/>
    <w:basedOn w:val="CommentTextChar"/>
    <w:link w:val="CommentSubject"/>
    <w:uiPriority w:val="99"/>
    <w:semiHidden/>
    <w:rsid w:val="00BF189B"/>
    <w:rPr>
      <w:b/>
      <w:bCs/>
      <w:sz w:val="20"/>
      <w:szCs w:val="20"/>
      <w:lang w:val="fr-BE"/>
    </w:rPr>
  </w:style>
  <w:style w:type="paragraph" w:styleId="CommentSubject">
    <w:name w:val="annotation subject"/>
    <w:basedOn w:val="CommentText"/>
    <w:next w:val="CommentText"/>
    <w:link w:val="CommentSubjectChar"/>
    <w:uiPriority w:val="99"/>
    <w:semiHidden/>
    <w:unhideWhenUsed/>
    <w:rsid w:val="00BF189B"/>
    <w:rPr>
      <w:b/>
      <w:bCs/>
    </w:rPr>
  </w:style>
  <w:style w:type="paragraph" w:styleId="BalloonText">
    <w:name w:val="Balloon Text"/>
    <w:basedOn w:val="Normal"/>
    <w:link w:val="BalloonTextChar"/>
    <w:uiPriority w:val="99"/>
    <w:semiHidden/>
    <w:unhideWhenUsed/>
    <w:rsid w:val="00BF189B"/>
    <w:pPr>
      <w:spacing w:after="0" w:line="240" w:lineRule="auto"/>
    </w:pPr>
    <w:rPr>
      <w:rFonts w:ascii="Tahoma" w:hAnsi="Tahoma" w:cs="Tahoma"/>
      <w:sz w:val="16"/>
      <w:szCs w:val="16"/>
      <w:lang w:val="fr-BE"/>
    </w:rPr>
  </w:style>
  <w:style w:type="character" w:customStyle="1" w:styleId="BalloonTextChar">
    <w:name w:val="Balloon Text Char"/>
    <w:basedOn w:val="DefaultParagraphFont"/>
    <w:link w:val="BalloonText"/>
    <w:uiPriority w:val="99"/>
    <w:semiHidden/>
    <w:rsid w:val="00BF189B"/>
    <w:rPr>
      <w:rFonts w:ascii="Tahoma" w:hAnsi="Tahoma" w:cs="Tahoma"/>
      <w:sz w:val="16"/>
      <w:szCs w:val="16"/>
      <w:lang w:val="fr-BE"/>
    </w:rPr>
  </w:style>
  <w:style w:type="table" w:styleId="TableGrid">
    <w:name w:val="Table Grid"/>
    <w:aliases w:val="Document Table"/>
    <w:basedOn w:val="TableNormal"/>
    <w:uiPriority w:val="59"/>
    <w:rsid w:val="00BF189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F189B"/>
  </w:style>
  <w:style w:type="character" w:customStyle="1" w:styleId="Heading1Char">
    <w:name w:val="Heading 1 Char"/>
    <w:basedOn w:val="DefaultParagraphFont"/>
    <w:link w:val="Heading1"/>
    <w:uiPriority w:val="9"/>
    <w:rsid w:val="000356B4"/>
    <w:rPr>
      <w:rFonts w:ascii="Times New Roman" w:eastAsiaTheme="majorEastAsia" w:hAnsi="Times New Roman" w:cs="Times New Roman"/>
      <w:b/>
      <w:sz w:val="24"/>
      <w:szCs w:val="24"/>
    </w:rPr>
  </w:style>
  <w:style w:type="paragraph" w:styleId="TOCHeading">
    <w:name w:val="TOC Heading"/>
    <w:basedOn w:val="Heading1"/>
    <w:next w:val="Normal"/>
    <w:uiPriority w:val="39"/>
    <w:unhideWhenUsed/>
    <w:qFormat/>
    <w:rsid w:val="00F60E7E"/>
    <w:pPr>
      <w:outlineLvl w:val="9"/>
    </w:pPr>
    <w:rPr>
      <w:lang w:val="en-US" w:eastAsia="ja-JP"/>
    </w:rPr>
  </w:style>
  <w:style w:type="paragraph" w:styleId="TOC2">
    <w:name w:val="toc 2"/>
    <w:basedOn w:val="Normal"/>
    <w:next w:val="Normal"/>
    <w:autoRedefine/>
    <w:uiPriority w:val="39"/>
    <w:unhideWhenUsed/>
    <w:qFormat/>
    <w:rsid w:val="00F60E7E"/>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302A40"/>
    <w:pPr>
      <w:tabs>
        <w:tab w:val="left" w:pos="440"/>
        <w:tab w:val="right" w:leader="dot" w:pos="9062"/>
      </w:tabs>
      <w:spacing w:after="100"/>
      <w:jc w:val="center"/>
    </w:pPr>
    <w:rPr>
      <w:rFonts w:ascii="Times New Roman" w:eastAsiaTheme="minorEastAsia" w:hAnsi="Times New Roman" w:cs="Times New Roman"/>
      <w:caps/>
      <w:noProof/>
      <w:sz w:val="24"/>
      <w:szCs w:val="24"/>
      <w:lang w:val="en-US" w:eastAsia="ja-JP"/>
    </w:rPr>
  </w:style>
  <w:style w:type="paragraph" w:styleId="TOC3">
    <w:name w:val="toc 3"/>
    <w:basedOn w:val="Normal"/>
    <w:next w:val="Normal"/>
    <w:autoRedefine/>
    <w:uiPriority w:val="39"/>
    <w:unhideWhenUsed/>
    <w:qFormat/>
    <w:rsid w:val="00F60E7E"/>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4609AA"/>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3F6993"/>
    <w:rPr>
      <w:rFonts w:ascii="Times New Roman" w:eastAsiaTheme="majorEastAsia" w:hAnsi="Times New Roman" w:cs="Times New Roman"/>
      <w:b/>
      <w:bCs/>
      <w:i/>
      <w:sz w:val="24"/>
      <w:szCs w:val="24"/>
    </w:rPr>
  </w:style>
  <w:style w:type="character" w:styleId="FollowedHyperlink">
    <w:name w:val="FollowedHyperlink"/>
    <w:basedOn w:val="DefaultParagraphFont"/>
    <w:uiPriority w:val="99"/>
    <w:semiHidden/>
    <w:unhideWhenUsed/>
    <w:rsid w:val="009E4741"/>
    <w:rPr>
      <w:color w:val="800080" w:themeColor="followedHyperlink"/>
      <w:u w:val="single"/>
    </w:rPr>
  </w:style>
  <w:style w:type="paragraph" w:customStyle="1" w:styleId="Default">
    <w:name w:val="Default"/>
    <w:uiPriority w:val="99"/>
    <w:rsid w:val="0002322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6320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0670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4341"/>
    <w:pPr>
      <w:spacing w:after="0" w:line="240" w:lineRule="auto"/>
    </w:pPr>
  </w:style>
  <w:style w:type="paragraph" w:styleId="EndnoteText">
    <w:name w:val="endnote text"/>
    <w:basedOn w:val="Normal"/>
    <w:link w:val="EndnoteTextChar"/>
    <w:uiPriority w:val="99"/>
    <w:semiHidden/>
    <w:unhideWhenUsed/>
    <w:rsid w:val="00234D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4D19"/>
    <w:rPr>
      <w:sz w:val="20"/>
      <w:szCs w:val="20"/>
    </w:rPr>
  </w:style>
  <w:style w:type="character" w:styleId="EndnoteReference">
    <w:name w:val="endnote reference"/>
    <w:basedOn w:val="DefaultParagraphFont"/>
    <w:uiPriority w:val="99"/>
    <w:semiHidden/>
    <w:unhideWhenUsed/>
    <w:rsid w:val="00234D19"/>
    <w:rPr>
      <w:vertAlign w:val="superscript"/>
    </w:rPr>
  </w:style>
  <w:style w:type="numbering" w:customStyle="1" w:styleId="NoList1">
    <w:name w:val="No List1"/>
    <w:next w:val="NoList"/>
    <w:uiPriority w:val="99"/>
    <w:semiHidden/>
    <w:unhideWhenUsed/>
    <w:rsid w:val="00E606E2"/>
  </w:style>
  <w:style w:type="character" w:styleId="Strong">
    <w:name w:val="Strong"/>
    <w:basedOn w:val="DefaultParagraphFont"/>
    <w:uiPriority w:val="22"/>
    <w:qFormat/>
    <w:rsid w:val="00E606E2"/>
    <w:rPr>
      <w:b/>
      <w:bCs/>
    </w:rPr>
  </w:style>
  <w:style w:type="character" w:styleId="Emphasis">
    <w:name w:val="Emphasis"/>
    <w:basedOn w:val="DefaultParagraphFont"/>
    <w:uiPriority w:val="20"/>
    <w:qFormat/>
    <w:rsid w:val="00E606E2"/>
    <w:rPr>
      <w:i/>
      <w:iCs/>
    </w:rPr>
  </w:style>
  <w:style w:type="table" w:customStyle="1" w:styleId="DocumentTable1">
    <w:name w:val="Document Table1"/>
    <w:basedOn w:val="TableNormal"/>
    <w:next w:val="TableGrid"/>
    <w:uiPriority w:val="59"/>
    <w:rsid w:val="00E6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06E2"/>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E606E2"/>
    <w:rPr>
      <w:lang w:val="fr-BE"/>
    </w:rPr>
  </w:style>
  <w:style w:type="paragraph" w:customStyle="1" w:styleId="Body">
    <w:name w:val="Body"/>
    <w:basedOn w:val="Normal"/>
    <w:autoRedefine/>
    <w:qFormat/>
    <w:rsid w:val="00E606E2"/>
    <w:pPr>
      <w:spacing w:after="240" w:line="240" w:lineRule="auto"/>
      <w:jc w:val="both"/>
    </w:pPr>
    <w:rPr>
      <w:rFonts w:ascii="Verdana" w:eastAsia="Times New Roman" w:hAnsi="Verdana" w:cs="Times New Roman"/>
      <w:sz w:val="20"/>
    </w:rPr>
  </w:style>
  <w:style w:type="table" w:customStyle="1" w:styleId="Style2">
    <w:name w:val="Style2"/>
    <w:basedOn w:val="TableNormal"/>
    <w:uiPriority w:val="99"/>
    <w:rsid w:val="00E606E2"/>
    <w:pPr>
      <w:spacing w:after="0" w:line="240" w:lineRule="auto"/>
    </w:pPr>
    <w:rPr>
      <w:rFonts w:ascii="Verdana" w:eastAsia="Times New Roman" w:hAnsi="Verdana" w:cs="Times New Roman"/>
      <w:sz w:val="16"/>
      <w:szCs w:val="20"/>
      <w:lang w:val="nl-BE" w:eastAsia="nl-B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table" w:styleId="ColorfulGrid-Accent5">
    <w:name w:val="Colorful Grid Accent 5"/>
    <w:basedOn w:val="TableNormal"/>
    <w:uiPriority w:val="73"/>
    <w:rsid w:val="00E606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5Char">
    <w:name w:val="Heading 5 Char"/>
    <w:basedOn w:val="DefaultParagraphFont"/>
    <w:link w:val="Heading5"/>
    <w:uiPriority w:val="9"/>
    <w:semiHidden/>
    <w:rsid w:val="0072218C"/>
    <w:rPr>
      <w:rFonts w:asciiTheme="majorHAnsi" w:eastAsiaTheme="majorEastAsia" w:hAnsiTheme="majorHAnsi" w:cstheme="majorBidi"/>
      <w:color w:val="243F60" w:themeColor="accent1" w:themeShade="7F"/>
    </w:rPr>
  </w:style>
  <w:style w:type="table" w:customStyle="1" w:styleId="DocumentTable2">
    <w:name w:val="Document Table2"/>
    <w:basedOn w:val="TableNormal"/>
    <w:next w:val="TableGrid"/>
    <w:uiPriority w:val="59"/>
    <w:rsid w:val="00F0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6677D"/>
  </w:style>
  <w:style w:type="table" w:customStyle="1" w:styleId="DocumentTable3">
    <w:name w:val="Document Table3"/>
    <w:basedOn w:val="TableNormal"/>
    <w:next w:val="TableGrid"/>
    <w:uiPriority w:val="59"/>
    <w:rsid w:val="00A6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6677D"/>
  </w:style>
  <w:style w:type="table" w:customStyle="1" w:styleId="DocumentTable11">
    <w:name w:val="Document Table11"/>
    <w:basedOn w:val="TableNormal"/>
    <w:next w:val="TableGrid"/>
    <w:uiPriority w:val="59"/>
    <w:rsid w:val="00A6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Style21"/>
    <w:basedOn w:val="TableNormal"/>
    <w:uiPriority w:val="99"/>
    <w:rsid w:val="00A6677D"/>
    <w:pPr>
      <w:spacing w:after="0" w:line="240" w:lineRule="auto"/>
    </w:pPr>
    <w:rPr>
      <w:rFonts w:ascii="Verdana" w:eastAsia="Times New Roman" w:hAnsi="Verdana" w:cs="Times New Roman"/>
      <w:sz w:val="16"/>
      <w:szCs w:val="20"/>
      <w:lang w:val="nl-BE" w:eastAsia="nl-B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table" w:customStyle="1" w:styleId="ColorfulGrid-Accent51">
    <w:name w:val="Colorful Grid - Accent 51"/>
    <w:basedOn w:val="TableNormal"/>
    <w:next w:val="ColorfulGrid-Accent5"/>
    <w:uiPriority w:val="73"/>
    <w:rsid w:val="00A667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BookTitle">
    <w:name w:val="Book Title"/>
    <w:basedOn w:val="DefaultParagraphFont"/>
    <w:uiPriority w:val="33"/>
    <w:qFormat/>
    <w:rsid w:val="00B03F92"/>
    <w:rPr>
      <w:b/>
      <w:bCs/>
      <w:smallCaps/>
      <w:spacing w:val="5"/>
    </w:rPr>
  </w:style>
  <w:style w:type="paragraph" w:customStyle="1" w:styleId="Declassification">
    <w:name w:val="Declassification"/>
    <w:basedOn w:val="Normal"/>
    <w:next w:val="Normal"/>
    <w:rsid w:val="00450848"/>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450848"/>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45084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450848"/>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45084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CF"/>
  </w:style>
  <w:style w:type="paragraph" w:styleId="Heading1">
    <w:name w:val="heading 1"/>
    <w:basedOn w:val="Normal"/>
    <w:next w:val="Normal"/>
    <w:link w:val="Heading1Char"/>
    <w:uiPriority w:val="9"/>
    <w:qFormat/>
    <w:rsid w:val="000356B4"/>
    <w:pPr>
      <w:keepNext/>
      <w:keepLines/>
      <w:spacing w:after="0" w:line="240" w:lineRule="auto"/>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4609AA"/>
    <w:pPr>
      <w:keepNext/>
      <w:keepLines/>
      <w:spacing w:after="0" w:line="240" w:lineRule="auto"/>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3F6993"/>
    <w:pPr>
      <w:keepNext/>
      <w:keepLines/>
      <w:spacing w:after="0" w:line="240" w:lineRule="auto"/>
      <w:outlineLvl w:val="2"/>
    </w:pPr>
    <w:rPr>
      <w:rFonts w:ascii="Times New Roman" w:eastAsiaTheme="majorEastAsia" w:hAnsi="Times New Roman" w:cs="Times New Roman"/>
      <w:b/>
      <w:bCs/>
      <w:i/>
      <w:sz w:val="24"/>
      <w:szCs w:val="24"/>
    </w:rPr>
  </w:style>
  <w:style w:type="paragraph" w:styleId="Heading5">
    <w:name w:val="heading 5"/>
    <w:basedOn w:val="Normal"/>
    <w:next w:val="Normal"/>
    <w:link w:val="Heading5Char"/>
    <w:uiPriority w:val="9"/>
    <w:semiHidden/>
    <w:unhideWhenUsed/>
    <w:qFormat/>
    <w:rsid w:val="007221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471953"/>
    <w:rPr>
      <w:color w:val="0000FF"/>
      <w:shd w:val="clear" w:color="auto" w:fill="auto"/>
    </w:rPr>
  </w:style>
  <w:style w:type="paragraph" w:customStyle="1" w:styleId="Pagedecouverture">
    <w:name w:val="Page de couverture"/>
    <w:basedOn w:val="Normal"/>
    <w:next w:val="Normal"/>
    <w:rsid w:val="00471953"/>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450848"/>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450848"/>
    <w:rPr>
      <w:rFonts w:ascii="Times New Roman" w:hAnsi="Times New Roman" w:cs="Times New Roman"/>
      <w:sz w:val="24"/>
    </w:rPr>
  </w:style>
  <w:style w:type="paragraph" w:styleId="Footer">
    <w:name w:val="footer"/>
    <w:basedOn w:val="Normal"/>
    <w:link w:val="FooterChar"/>
    <w:uiPriority w:val="99"/>
    <w:unhideWhenUsed/>
    <w:rsid w:val="0045084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450848"/>
    <w:rPr>
      <w:rFonts w:ascii="Times New Roman" w:hAnsi="Times New Roman" w:cs="Times New Roman"/>
      <w:sz w:val="24"/>
    </w:rPr>
  </w:style>
  <w:style w:type="paragraph" w:customStyle="1" w:styleId="FooterCoverPage">
    <w:name w:val="Footer Cover Page"/>
    <w:basedOn w:val="Normal"/>
    <w:link w:val="FooterCoverPageChar"/>
    <w:rsid w:val="0047195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71953"/>
    <w:rPr>
      <w:rFonts w:ascii="Times New Roman" w:hAnsi="Times New Roman" w:cs="Times New Roman"/>
      <w:sz w:val="24"/>
    </w:rPr>
  </w:style>
  <w:style w:type="paragraph" w:customStyle="1" w:styleId="HeaderCoverPage">
    <w:name w:val="Header Cover Page"/>
    <w:basedOn w:val="Normal"/>
    <w:link w:val="HeaderCoverPageChar"/>
    <w:rsid w:val="0047195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71953"/>
    <w:rPr>
      <w:rFonts w:ascii="Times New Roman" w:hAnsi="Times New Roman" w:cs="Times New Roman"/>
      <w:sz w:val="24"/>
    </w:rPr>
  </w:style>
  <w:style w:type="paragraph" w:styleId="ListParagraph">
    <w:name w:val="List Paragraph"/>
    <w:basedOn w:val="Normal"/>
    <w:link w:val="ListParagraphChar"/>
    <w:uiPriority w:val="34"/>
    <w:qFormat/>
    <w:rsid w:val="00BF189B"/>
    <w:pPr>
      <w:ind w:left="720"/>
      <w:contextualSpacing/>
    </w:pPr>
    <w:rPr>
      <w:lang w:val="fr-BE"/>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fn,Fußnotentextf,ft,Nbpage Moens,single space"/>
    <w:basedOn w:val="Normal"/>
    <w:link w:val="FootnoteTextChar"/>
    <w:uiPriority w:val="99"/>
    <w:unhideWhenUsed/>
    <w:qFormat/>
    <w:rsid w:val="00BF189B"/>
    <w:pPr>
      <w:spacing w:after="0" w:line="240" w:lineRule="auto"/>
    </w:pPr>
    <w:rPr>
      <w:sz w:val="20"/>
      <w:szCs w:val="20"/>
      <w:lang w:val="fr-BE"/>
    </w:rPr>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fn Char"/>
    <w:basedOn w:val="DefaultParagraphFont"/>
    <w:link w:val="FootnoteText"/>
    <w:uiPriority w:val="99"/>
    <w:rsid w:val="00BF189B"/>
    <w:rPr>
      <w:sz w:val="20"/>
      <w:szCs w:val="20"/>
      <w:lang w:val="fr-BE"/>
    </w:rPr>
  </w:style>
  <w:style w:type="character" w:styleId="FootnoteReference">
    <w:name w:val="footnote reference"/>
    <w:aliases w:val="16 Point,Superscript 6 Point,de nota al pie,Ref,SUPERS,Footnote symbol,Times 10 Point,Exposant 3 Point,Odwołanie przypisu,Footnote Reference Number,Footnote Reference Superscript,BVI fnr, BVI fnr,ftref,Superscript 6 Point + 11 pt,fr,o"/>
    <w:basedOn w:val="DefaultParagraphFont"/>
    <w:uiPriority w:val="99"/>
    <w:unhideWhenUsed/>
    <w:rsid w:val="00BF189B"/>
    <w:rPr>
      <w:vertAlign w:val="superscript"/>
    </w:rPr>
  </w:style>
  <w:style w:type="character" w:styleId="Hyperlink">
    <w:name w:val="Hyperlink"/>
    <w:basedOn w:val="DefaultParagraphFont"/>
    <w:uiPriority w:val="99"/>
    <w:unhideWhenUsed/>
    <w:rsid w:val="00BF189B"/>
    <w:rPr>
      <w:color w:val="0000FF" w:themeColor="hyperlink"/>
      <w:u w:val="single"/>
    </w:rPr>
  </w:style>
  <w:style w:type="character" w:styleId="CommentReference">
    <w:name w:val="annotation reference"/>
    <w:basedOn w:val="DefaultParagraphFont"/>
    <w:semiHidden/>
    <w:unhideWhenUsed/>
    <w:rsid w:val="00BF189B"/>
    <w:rPr>
      <w:sz w:val="16"/>
      <w:szCs w:val="16"/>
    </w:rPr>
  </w:style>
  <w:style w:type="paragraph" w:styleId="CommentText">
    <w:name w:val="annotation text"/>
    <w:basedOn w:val="Normal"/>
    <w:link w:val="CommentTextChar"/>
    <w:uiPriority w:val="99"/>
    <w:unhideWhenUsed/>
    <w:rsid w:val="00BF189B"/>
    <w:pPr>
      <w:spacing w:line="240" w:lineRule="auto"/>
    </w:pPr>
    <w:rPr>
      <w:sz w:val="20"/>
      <w:szCs w:val="20"/>
      <w:lang w:val="fr-BE"/>
    </w:rPr>
  </w:style>
  <w:style w:type="character" w:customStyle="1" w:styleId="CommentTextChar">
    <w:name w:val="Comment Text Char"/>
    <w:basedOn w:val="DefaultParagraphFont"/>
    <w:link w:val="CommentText"/>
    <w:uiPriority w:val="99"/>
    <w:rsid w:val="00BF189B"/>
    <w:rPr>
      <w:sz w:val="20"/>
      <w:szCs w:val="20"/>
      <w:lang w:val="fr-BE"/>
    </w:rPr>
  </w:style>
  <w:style w:type="character" w:customStyle="1" w:styleId="CommentSubjectChar">
    <w:name w:val="Comment Subject Char"/>
    <w:basedOn w:val="CommentTextChar"/>
    <w:link w:val="CommentSubject"/>
    <w:uiPriority w:val="99"/>
    <w:semiHidden/>
    <w:rsid w:val="00BF189B"/>
    <w:rPr>
      <w:b/>
      <w:bCs/>
      <w:sz w:val="20"/>
      <w:szCs w:val="20"/>
      <w:lang w:val="fr-BE"/>
    </w:rPr>
  </w:style>
  <w:style w:type="paragraph" w:styleId="CommentSubject">
    <w:name w:val="annotation subject"/>
    <w:basedOn w:val="CommentText"/>
    <w:next w:val="CommentText"/>
    <w:link w:val="CommentSubjectChar"/>
    <w:uiPriority w:val="99"/>
    <w:semiHidden/>
    <w:unhideWhenUsed/>
    <w:rsid w:val="00BF189B"/>
    <w:rPr>
      <w:b/>
      <w:bCs/>
    </w:rPr>
  </w:style>
  <w:style w:type="paragraph" w:styleId="BalloonText">
    <w:name w:val="Balloon Text"/>
    <w:basedOn w:val="Normal"/>
    <w:link w:val="BalloonTextChar"/>
    <w:uiPriority w:val="99"/>
    <w:semiHidden/>
    <w:unhideWhenUsed/>
    <w:rsid w:val="00BF189B"/>
    <w:pPr>
      <w:spacing w:after="0" w:line="240" w:lineRule="auto"/>
    </w:pPr>
    <w:rPr>
      <w:rFonts w:ascii="Tahoma" w:hAnsi="Tahoma" w:cs="Tahoma"/>
      <w:sz w:val="16"/>
      <w:szCs w:val="16"/>
      <w:lang w:val="fr-BE"/>
    </w:rPr>
  </w:style>
  <w:style w:type="character" w:customStyle="1" w:styleId="BalloonTextChar">
    <w:name w:val="Balloon Text Char"/>
    <w:basedOn w:val="DefaultParagraphFont"/>
    <w:link w:val="BalloonText"/>
    <w:uiPriority w:val="99"/>
    <w:semiHidden/>
    <w:rsid w:val="00BF189B"/>
    <w:rPr>
      <w:rFonts w:ascii="Tahoma" w:hAnsi="Tahoma" w:cs="Tahoma"/>
      <w:sz w:val="16"/>
      <w:szCs w:val="16"/>
      <w:lang w:val="fr-BE"/>
    </w:rPr>
  </w:style>
  <w:style w:type="table" w:styleId="TableGrid">
    <w:name w:val="Table Grid"/>
    <w:aliases w:val="Document Table"/>
    <w:basedOn w:val="TableNormal"/>
    <w:uiPriority w:val="59"/>
    <w:rsid w:val="00BF189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F189B"/>
  </w:style>
  <w:style w:type="character" w:customStyle="1" w:styleId="Heading1Char">
    <w:name w:val="Heading 1 Char"/>
    <w:basedOn w:val="DefaultParagraphFont"/>
    <w:link w:val="Heading1"/>
    <w:uiPriority w:val="9"/>
    <w:rsid w:val="000356B4"/>
    <w:rPr>
      <w:rFonts w:ascii="Times New Roman" w:eastAsiaTheme="majorEastAsia" w:hAnsi="Times New Roman" w:cs="Times New Roman"/>
      <w:b/>
      <w:sz w:val="24"/>
      <w:szCs w:val="24"/>
    </w:rPr>
  </w:style>
  <w:style w:type="paragraph" w:styleId="TOCHeading">
    <w:name w:val="TOC Heading"/>
    <w:basedOn w:val="Heading1"/>
    <w:next w:val="Normal"/>
    <w:uiPriority w:val="39"/>
    <w:unhideWhenUsed/>
    <w:qFormat/>
    <w:rsid w:val="00F60E7E"/>
    <w:pPr>
      <w:outlineLvl w:val="9"/>
    </w:pPr>
    <w:rPr>
      <w:lang w:val="en-US" w:eastAsia="ja-JP"/>
    </w:rPr>
  </w:style>
  <w:style w:type="paragraph" w:styleId="TOC2">
    <w:name w:val="toc 2"/>
    <w:basedOn w:val="Normal"/>
    <w:next w:val="Normal"/>
    <w:autoRedefine/>
    <w:uiPriority w:val="39"/>
    <w:unhideWhenUsed/>
    <w:qFormat/>
    <w:rsid w:val="00F60E7E"/>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302A40"/>
    <w:pPr>
      <w:tabs>
        <w:tab w:val="left" w:pos="440"/>
        <w:tab w:val="right" w:leader="dot" w:pos="9062"/>
      </w:tabs>
      <w:spacing w:after="100"/>
      <w:jc w:val="center"/>
    </w:pPr>
    <w:rPr>
      <w:rFonts w:ascii="Times New Roman" w:eastAsiaTheme="minorEastAsia" w:hAnsi="Times New Roman" w:cs="Times New Roman"/>
      <w:caps/>
      <w:noProof/>
      <w:sz w:val="24"/>
      <w:szCs w:val="24"/>
      <w:lang w:val="en-US" w:eastAsia="ja-JP"/>
    </w:rPr>
  </w:style>
  <w:style w:type="paragraph" w:styleId="TOC3">
    <w:name w:val="toc 3"/>
    <w:basedOn w:val="Normal"/>
    <w:next w:val="Normal"/>
    <w:autoRedefine/>
    <w:uiPriority w:val="39"/>
    <w:unhideWhenUsed/>
    <w:qFormat/>
    <w:rsid w:val="00F60E7E"/>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4609AA"/>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3F6993"/>
    <w:rPr>
      <w:rFonts w:ascii="Times New Roman" w:eastAsiaTheme="majorEastAsia" w:hAnsi="Times New Roman" w:cs="Times New Roman"/>
      <w:b/>
      <w:bCs/>
      <w:i/>
      <w:sz w:val="24"/>
      <w:szCs w:val="24"/>
    </w:rPr>
  </w:style>
  <w:style w:type="character" w:styleId="FollowedHyperlink">
    <w:name w:val="FollowedHyperlink"/>
    <w:basedOn w:val="DefaultParagraphFont"/>
    <w:uiPriority w:val="99"/>
    <w:semiHidden/>
    <w:unhideWhenUsed/>
    <w:rsid w:val="009E4741"/>
    <w:rPr>
      <w:color w:val="800080" w:themeColor="followedHyperlink"/>
      <w:u w:val="single"/>
    </w:rPr>
  </w:style>
  <w:style w:type="paragraph" w:customStyle="1" w:styleId="Default">
    <w:name w:val="Default"/>
    <w:uiPriority w:val="99"/>
    <w:rsid w:val="0002322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6320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0670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4341"/>
    <w:pPr>
      <w:spacing w:after="0" w:line="240" w:lineRule="auto"/>
    </w:pPr>
  </w:style>
  <w:style w:type="paragraph" w:styleId="EndnoteText">
    <w:name w:val="endnote text"/>
    <w:basedOn w:val="Normal"/>
    <w:link w:val="EndnoteTextChar"/>
    <w:uiPriority w:val="99"/>
    <w:semiHidden/>
    <w:unhideWhenUsed/>
    <w:rsid w:val="00234D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4D19"/>
    <w:rPr>
      <w:sz w:val="20"/>
      <w:szCs w:val="20"/>
    </w:rPr>
  </w:style>
  <w:style w:type="character" w:styleId="EndnoteReference">
    <w:name w:val="endnote reference"/>
    <w:basedOn w:val="DefaultParagraphFont"/>
    <w:uiPriority w:val="99"/>
    <w:semiHidden/>
    <w:unhideWhenUsed/>
    <w:rsid w:val="00234D19"/>
    <w:rPr>
      <w:vertAlign w:val="superscript"/>
    </w:rPr>
  </w:style>
  <w:style w:type="numbering" w:customStyle="1" w:styleId="NoList1">
    <w:name w:val="No List1"/>
    <w:next w:val="NoList"/>
    <w:uiPriority w:val="99"/>
    <w:semiHidden/>
    <w:unhideWhenUsed/>
    <w:rsid w:val="00E606E2"/>
  </w:style>
  <w:style w:type="character" w:styleId="Strong">
    <w:name w:val="Strong"/>
    <w:basedOn w:val="DefaultParagraphFont"/>
    <w:uiPriority w:val="22"/>
    <w:qFormat/>
    <w:rsid w:val="00E606E2"/>
    <w:rPr>
      <w:b/>
      <w:bCs/>
    </w:rPr>
  </w:style>
  <w:style w:type="character" w:styleId="Emphasis">
    <w:name w:val="Emphasis"/>
    <w:basedOn w:val="DefaultParagraphFont"/>
    <w:uiPriority w:val="20"/>
    <w:qFormat/>
    <w:rsid w:val="00E606E2"/>
    <w:rPr>
      <w:i/>
      <w:iCs/>
    </w:rPr>
  </w:style>
  <w:style w:type="table" w:customStyle="1" w:styleId="DocumentTable1">
    <w:name w:val="Document Table1"/>
    <w:basedOn w:val="TableNormal"/>
    <w:next w:val="TableGrid"/>
    <w:uiPriority w:val="59"/>
    <w:rsid w:val="00E6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06E2"/>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E606E2"/>
    <w:rPr>
      <w:lang w:val="fr-BE"/>
    </w:rPr>
  </w:style>
  <w:style w:type="paragraph" w:customStyle="1" w:styleId="Body">
    <w:name w:val="Body"/>
    <w:basedOn w:val="Normal"/>
    <w:autoRedefine/>
    <w:qFormat/>
    <w:rsid w:val="00E606E2"/>
    <w:pPr>
      <w:spacing w:after="240" w:line="240" w:lineRule="auto"/>
      <w:jc w:val="both"/>
    </w:pPr>
    <w:rPr>
      <w:rFonts w:ascii="Verdana" w:eastAsia="Times New Roman" w:hAnsi="Verdana" w:cs="Times New Roman"/>
      <w:sz w:val="20"/>
    </w:rPr>
  </w:style>
  <w:style w:type="table" w:customStyle="1" w:styleId="Style2">
    <w:name w:val="Style2"/>
    <w:basedOn w:val="TableNormal"/>
    <w:uiPriority w:val="99"/>
    <w:rsid w:val="00E606E2"/>
    <w:pPr>
      <w:spacing w:after="0" w:line="240" w:lineRule="auto"/>
    </w:pPr>
    <w:rPr>
      <w:rFonts w:ascii="Verdana" w:eastAsia="Times New Roman" w:hAnsi="Verdana" w:cs="Times New Roman"/>
      <w:sz w:val="16"/>
      <w:szCs w:val="20"/>
      <w:lang w:val="nl-BE" w:eastAsia="nl-B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table" w:styleId="ColorfulGrid-Accent5">
    <w:name w:val="Colorful Grid Accent 5"/>
    <w:basedOn w:val="TableNormal"/>
    <w:uiPriority w:val="73"/>
    <w:rsid w:val="00E606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5Char">
    <w:name w:val="Heading 5 Char"/>
    <w:basedOn w:val="DefaultParagraphFont"/>
    <w:link w:val="Heading5"/>
    <w:uiPriority w:val="9"/>
    <w:semiHidden/>
    <w:rsid w:val="0072218C"/>
    <w:rPr>
      <w:rFonts w:asciiTheme="majorHAnsi" w:eastAsiaTheme="majorEastAsia" w:hAnsiTheme="majorHAnsi" w:cstheme="majorBidi"/>
      <w:color w:val="243F60" w:themeColor="accent1" w:themeShade="7F"/>
    </w:rPr>
  </w:style>
  <w:style w:type="table" w:customStyle="1" w:styleId="DocumentTable2">
    <w:name w:val="Document Table2"/>
    <w:basedOn w:val="TableNormal"/>
    <w:next w:val="TableGrid"/>
    <w:uiPriority w:val="59"/>
    <w:rsid w:val="00F0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6677D"/>
  </w:style>
  <w:style w:type="table" w:customStyle="1" w:styleId="DocumentTable3">
    <w:name w:val="Document Table3"/>
    <w:basedOn w:val="TableNormal"/>
    <w:next w:val="TableGrid"/>
    <w:uiPriority w:val="59"/>
    <w:rsid w:val="00A6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6677D"/>
  </w:style>
  <w:style w:type="table" w:customStyle="1" w:styleId="DocumentTable11">
    <w:name w:val="Document Table11"/>
    <w:basedOn w:val="TableNormal"/>
    <w:next w:val="TableGrid"/>
    <w:uiPriority w:val="59"/>
    <w:rsid w:val="00A6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Style21"/>
    <w:basedOn w:val="TableNormal"/>
    <w:uiPriority w:val="99"/>
    <w:rsid w:val="00A6677D"/>
    <w:pPr>
      <w:spacing w:after="0" w:line="240" w:lineRule="auto"/>
    </w:pPr>
    <w:rPr>
      <w:rFonts w:ascii="Verdana" w:eastAsia="Times New Roman" w:hAnsi="Verdana" w:cs="Times New Roman"/>
      <w:sz w:val="16"/>
      <w:szCs w:val="20"/>
      <w:lang w:val="nl-BE" w:eastAsia="nl-B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table" w:customStyle="1" w:styleId="ColorfulGrid-Accent51">
    <w:name w:val="Colorful Grid - Accent 51"/>
    <w:basedOn w:val="TableNormal"/>
    <w:next w:val="ColorfulGrid-Accent5"/>
    <w:uiPriority w:val="73"/>
    <w:rsid w:val="00A667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BookTitle">
    <w:name w:val="Book Title"/>
    <w:basedOn w:val="DefaultParagraphFont"/>
    <w:uiPriority w:val="33"/>
    <w:qFormat/>
    <w:rsid w:val="00B03F92"/>
    <w:rPr>
      <w:b/>
      <w:bCs/>
      <w:smallCaps/>
      <w:spacing w:val="5"/>
    </w:rPr>
  </w:style>
  <w:style w:type="paragraph" w:customStyle="1" w:styleId="Declassification">
    <w:name w:val="Declassification"/>
    <w:basedOn w:val="Normal"/>
    <w:next w:val="Normal"/>
    <w:rsid w:val="00450848"/>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450848"/>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45084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450848"/>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45084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9502">
      <w:bodyDiv w:val="1"/>
      <w:marLeft w:val="0"/>
      <w:marRight w:val="0"/>
      <w:marTop w:val="0"/>
      <w:marBottom w:val="0"/>
      <w:divBdr>
        <w:top w:val="none" w:sz="0" w:space="0" w:color="auto"/>
        <w:left w:val="none" w:sz="0" w:space="0" w:color="auto"/>
        <w:bottom w:val="none" w:sz="0" w:space="0" w:color="auto"/>
        <w:right w:val="none" w:sz="0" w:space="0" w:color="auto"/>
      </w:divBdr>
    </w:div>
    <w:div w:id="388505732">
      <w:bodyDiv w:val="1"/>
      <w:marLeft w:val="0"/>
      <w:marRight w:val="0"/>
      <w:marTop w:val="0"/>
      <w:marBottom w:val="0"/>
      <w:divBdr>
        <w:top w:val="none" w:sz="0" w:space="0" w:color="auto"/>
        <w:left w:val="none" w:sz="0" w:space="0" w:color="auto"/>
        <w:bottom w:val="none" w:sz="0" w:space="0" w:color="auto"/>
        <w:right w:val="none" w:sz="0" w:space="0" w:color="auto"/>
      </w:divBdr>
    </w:div>
    <w:div w:id="413085663">
      <w:bodyDiv w:val="1"/>
      <w:marLeft w:val="0"/>
      <w:marRight w:val="0"/>
      <w:marTop w:val="0"/>
      <w:marBottom w:val="0"/>
      <w:divBdr>
        <w:top w:val="none" w:sz="0" w:space="0" w:color="auto"/>
        <w:left w:val="none" w:sz="0" w:space="0" w:color="auto"/>
        <w:bottom w:val="none" w:sz="0" w:space="0" w:color="auto"/>
        <w:right w:val="none" w:sz="0" w:space="0" w:color="auto"/>
      </w:divBdr>
    </w:div>
    <w:div w:id="846866783">
      <w:bodyDiv w:val="1"/>
      <w:marLeft w:val="0"/>
      <w:marRight w:val="0"/>
      <w:marTop w:val="0"/>
      <w:marBottom w:val="0"/>
      <w:divBdr>
        <w:top w:val="none" w:sz="0" w:space="0" w:color="auto"/>
        <w:left w:val="none" w:sz="0" w:space="0" w:color="auto"/>
        <w:bottom w:val="none" w:sz="0" w:space="0" w:color="auto"/>
        <w:right w:val="none" w:sz="0" w:space="0" w:color="auto"/>
      </w:divBdr>
    </w:div>
    <w:div w:id="1104615822">
      <w:bodyDiv w:val="1"/>
      <w:marLeft w:val="0"/>
      <w:marRight w:val="0"/>
      <w:marTop w:val="0"/>
      <w:marBottom w:val="0"/>
      <w:divBdr>
        <w:top w:val="none" w:sz="0" w:space="0" w:color="auto"/>
        <w:left w:val="none" w:sz="0" w:space="0" w:color="auto"/>
        <w:bottom w:val="none" w:sz="0" w:space="0" w:color="auto"/>
        <w:right w:val="none" w:sz="0" w:space="0" w:color="auto"/>
      </w:divBdr>
    </w:div>
    <w:div w:id="1345207010">
      <w:bodyDiv w:val="1"/>
      <w:marLeft w:val="0"/>
      <w:marRight w:val="0"/>
      <w:marTop w:val="0"/>
      <w:marBottom w:val="0"/>
      <w:divBdr>
        <w:top w:val="none" w:sz="0" w:space="0" w:color="auto"/>
        <w:left w:val="none" w:sz="0" w:space="0" w:color="auto"/>
        <w:bottom w:val="none" w:sz="0" w:space="0" w:color="auto"/>
        <w:right w:val="none" w:sz="0" w:space="0" w:color="auto"/>
      </w:divBdr>
    </w:div>
    <w:div w:id="1354915980">
      <w:bodyDiv w:val="1"/>
      <w:marLeft w:val="0"/>
      <w:marRight w:val="0"/>
      <w:marTop w:val="0"/>
      <w:marBottom w:val="0"/>
      <w:divBdr>
        <w:top w:val="none" w:sz="0" w:space="0" w:color="auto"/>
        <w:left w:val="none" w:sz="0" w:space="0" w:color="auto"/>
        <w:bottom w:val="none" w:sz="0" w:space="0" w:color="auto"/>
        <w:right w:val="none" w:sz="0" w:space="0" w:color="auto"/>
      </w:divBdr>
    </w:div>
    <w:div w:id="1494836223">
      <w:bodyDiv w:val="1"/>
      <w:marLeft w:val="0"/>
      <w:marRight w:val="0"/>
      <w:marTop w:val="0"/>
      <w:marBottom w:val="0"/>
      <w:divBdr>
        <w:top w:val="none" w:sz="0" w:space="0" w:color="auto"/>
        <w:left w:val="none" w:sz="0" w:space="0" w:color="auto"/>
        <w:bottom w:val="none" w:sz="0" w:space="0" w:color="auto"/>
        <w:right w:val="none" w:sz="0" w:space="0" w:color="auto"/>
      </w:divBdr>
    </w:div>
    <w:div w:id="1757827925">
      <w:bodyDiv w:val="1"/>
      <w:marLeft w:val="0"/>
      <w:marRight w:val="0"/>
      <w:marTop w:val="0"/>
      <w:marBottom w:val="0"/>
      <w:divBdr>
        <w:top w:val="none" w:sz="0" w:space="0" w:color="auto"/>
        <w:left w:val="none" w:sz="0" w:space="0" w:color="auto"/>
        <w:bottom w:val="none" w:sz="0" w:space="0" w:color="auto"/>
        <w:right w:val="none" w:sz="0" w:space="0" w:color="auto"/>
      </w:divBdr>
    </w:div>
    <w:div w:id="1901362054">
      <w:bodyDiv w:val="1"/>
      <w:marLeft w:val="0"/>
      <w:marRight w:val="0"/>
      <w:marTop w:val="0"/>
      <w:marBottom w:val="0"/>
      <w:divBdr>
        <w:top w:val="none" w:sz="0" w:space="0" w:color="auto"/>
        <w:left w:val="none" w:sz="0" w:space="0" w:color="auto"/>
        <w:bottom w:val="none" w:sz="0" w:space="0" w:color="auto"/>
        <w:right w:val="none" w:sz="0" w:space="0" w:color="auto"/>
      </w:divBdr>
    </w:div>
    <w:div w:id="1925796932">
      <w:bodyDiv w:val="1"/>
      <w:marLeft w:val="0"/>
      <w:marRight w:val="0"/>
      <w:marTop w:val="0"/>
      <w:marBottom w:val="0"/>
      <w:divBdr>
        <w:top w:val="none" w:sz="0" w:space="0" w:color="auto"/>
        <w:left w:val="none" w:sz="0" w:space="0" w:color="auto"/>
        <w:bottom w:val="none" w:sz="0" w:space="0" w:color="auto"/>
        <w:right w:val="none" w:sz="0" w:space="0" w:color="auto"/>
      </w:divBdr>
    </w:div>
    <w:div w:id="2010449657">
      <w:bodyDiv w:val="1"/>
      <w:marLeft w:val="0"/>
      <w:marRight w:val="0"/>
      <w:marTop w:val="0"/>
      <w:marBottom w:val="0"/>
      <w:divBdr>
        <w:top w:val="none" w:sz="0" w:space="0" w:color="auto"/>
        <w:left w:val="none" w:sz="0" w:space="0" w:color="auto"/>
        <w:bottom w:val="none" w:sz="0" w:space="0" w:color="auto"/>
        <w:right w:val="none" w:sz="0" w:space="0" w:color="auto"/>
      </w:divBdr>
      <w:divsChild>
        <w:div w:id="14816274">
          <w:marLeft w:val="0"/>
          <w:marRight w:val="0"/>
          <w:marTop w:val="0"/>
          <w:marBottom w:val="0"/>
          <w:divBdr>
            <w:top w:val="none" w:sz="0" w:space="0" w:color="auto"/>
            <w:left w:val="none" w:sz="0" w:space="0" w:color="auto"/>
            <w:bottom w:val="none" w:sz="0" w:space="0" w:color="auto"/>
            <w:right w:val="none" w:sz="0" w:space="0" w:color="auto"/>
          </w:divBdr>
          <w:divsChild>
            <w:div w:id="1972831349">
              <w:marLeft w:val="0"/>
              <w:marRight w:val="0"/>
              <w:marTop w:val="0"/>
              <w:marBottom w:val="0"/>
              <w:divBdr>
                <w:top w:val="none" w:sz="0" w:space="0" w:color="auto"/>
                <w:left w:val="none" w:sz="0" w:space="0" w:color="auto"/>
                <w:bottom w:val="none" w:sz="0" w:space="0" w:color="auto"/>
                <w:right w:val="none" w:sz="0" w:space="0" w:color="auto"/>
              </w:divBdr>
              <w:divsChild>
                <w:div w:id="314919731">
                  <w:marLeft w:val="0"/>
                  <w:marRight w:val="0"/>
                  <w:marTop w:val="0"/>
                  <w:marBottom w:val="0"/>
                  <w:divBdr>
                    <w:top w:val="none" w:sz="0" w:space="0" w:color="auto"/>
                    <w:left w:val="none" w:sz="0" w:space="0" w:color="auto"/>
                    <w:bottom w:val="none" w:sz="0" w:space="0" w:color="auto"/>
                    <w:right w:val="none" w:sz="0" w:space="0" w:color="auto"/>
                  </w:divBdr>
                  <w:divsChild>
                    <w:div w:id="1828784296">
                      <w:marLeft w:val="0"/>
                      <w:marRight w:val="0"/>
                      <w:marTop w:val="0"/>
                      <w:marBottom w:val="0"/>
                      <w:divBdr>
                        <w:top w:val="none" w:sz="0" w:space="0" w:color="auto"/>
                        <w:left w:val="none" w:sz="0" w:space="0" w:color="auto"/>
                        <w:bottom w:val="none" w:sz="0" w:space="0" w:color="auto"/>
                        <w:right w:val="none" w:sz="0" w:space="0" w:color="auto"/>
                      </w:divBdr>
                      <w:divsChild>
                        <w:div w:id="109713939">
                          <w:marLeft w:val="0"/>
                          <w:marRight w:val="0"/>
                          <w:marTop w:val="0"/>
                          <w:marBottom w:val="0"/>
                          <w:divBdr>
                            <w:top w:val="none" w:sz="0" w:space="0" w:color="auto"/>
                            <w:left w:val="none" w:sz="0" w:space="0" w:color="auto"/>
                            <w:bottom w:val="none" w:sz="0" w:space="0" w:color="auto"/>
                            <w:right w:val="none" w:sz="0" w:space="0" w:color="auto"/>
                          </w:divBdr>
                          <w:divsChild>
                            <w:div w:id="1088768189">
                              <w:marLeft w:val="0"/>
                              <w:marRight w:val="0"/>
                              <w:marTop w:val="0"/>
                              <w:marBottom w:val="0"/>
                              <w:divBdr>
                                <w:top w:val="none" w:sz="0" w:space="0" w:color="auto"/>
                                <w:left w:val="none" w:sz="0" w:space="0" w:color="auto"/>
                                <w:bottom w:val="none" w:sz="0" w:space="0" w:color="auto"/>
                                <w:right w:val="none" w:sz="0" w:space="0" w:color="auto"/>
                              </w:divBdr>
                              <w:divsChild>
                                <w:div w:id="1130395378">
                                  <w:marLeft w:val="0"/>
                                  <w:marRight w:val="0"/>
                                  <w:marTop w:val="0"/>
                                  <w:marBottom w:val="0"/>
                                  <w:divBdr>
                                    <w:top w:val="none" w:sz="0" w:space="0" w:color="auto"/>
                                    <w:left w:val="none" w:sz="0" w:space="0" w:color="auto"/>
                                    <w:bottom w:val="none" w:sz="0" w:space="0" w:color="auto"/>
                                    <w:right w:val="none" w:sz="0" w:space="0" w:color="auto"/>
                                  </w:divBdr>
                                  <w:divsChild>
                                    <w:div w:id="529345948">
                                      <w:marLeft w:val="0"/>
                                      <w:marRight w:val="0"/>
                                      <w:marTop w:val="0"/>
                                      <w:marBottom w:val="0"/>
                                      <w:divBdr>
                                        <w:top w:val="none" w:sz="0" w:space="0" w:color="auto"/>
                                        <w:left w:val="none" w:sz="0" w:space="0" w:color="auto"/>
                                        <w:bottom w:val="none" w:sz="0" w:space="0" w:color="auto"/>
                                        <w:right w:val="none" w:sz="0" w:space="0" w:color="auto"/>
                                      </w:divBdr>
                                      <w:divsChild>
                                        <w:div w:id="1751803558">
                                          <w:marLeft w:val="0"/>
                                          <w:marRight w:val="0"/>
                                          <w:marTop w:val="0"/>
                                          <w:marBottom w:val="0"/>
                                          <w:divBdr>
                                            <w:top w:val="none" w:sz="0" w:space="0" w:color="auto"/>
                                            <w:left w:val="none" w:sz="0" w:space="0" w:color="auto"/>
                                            <w:bottom w:val="none" w:sz="0" w:space="0" w:color="auto"/>
                                            <w:right w:val="none" w:sz="0" w:space="0" w:color="auto"/>
                                          </w:divBdr>
                                          <w:divsChild>
                                            <w:div w:id="973560854">
                                              <w:marLeft w:val="0"/>
                                              <w:marRight w:val="0"/>
                                              <w:marTop w:val="0"/>
                                              <w:marBottom w:val="0"/>
                                              <w:divBdr>
                                                <w:top w:val="none" w:sz="0" w:space="0" w:color="auto"/>
                                                <w:left w:val="none" w:sz="0" w:space="0" w:color="auto"/>
                                                <w:bottom w:val="none" w:sz="0" w:space="0" w:color="auto"/>
                                                <w:right w:val="none" w:sz="0" w:space="0" w:color="auto"/>
                                              </w:divBdr>
                                              <w:divsChild>
                                                <w:div w:id="835194045">
                                                  <w:marLeft w:val="0"/>
                                                  <w:marRight w:val="0"/>
                                                  <w:marTop w:val="0"/>
                                                  <w:marBottom w:val="0"/>
                                                  <w:divBdr>
                                                    <w:top w:val="none" w:sz="0" w:space="0" w:color="auto"/>
                                                    <w:left w:val="none" w:sz="0" w:space="0" w:color="auto"/>
                                                    <w:bottom w:val="none" w:sz="0" w:space="0" w:color="auto"/>
                                                    <w:right w:val="none" w:sz="0" w:space="0" w:color="auto"/>
                                                  </w:divBdr>
                                                  <w:divsChild>
                                                    <w:div w:id="995768725">
                                                      <w:marLeft w:val="0"/>
                                                      <w:marRight w:val="0"/>
                                                      <w:marTop w:val="0"/>
                                                      <w:marBottom w:val="0"/>
                                                      <w:divBdr>
                                                        <w:top w:val="none" w:sz="0" w:space="0" w:color="auto"/>
                                                        <w:left w:val="none" w:sz="0" w:space="0" w:color="auto"/>
                                                        <w:bottom w:val="none" w:sz="0" w:space="0" w:color="auto"/>
                                                        <w:right w:val="none" w:sz="0" w:space="0" w:color="auto"/>
                                                      </w:divBdr>
                                                      <w:divsChild>
                                                        <w:div w:id="1468008203">
                                                          <w:marLeft w:val="0"/>
                                                          <w:marRight w:val="0"/>
                                                          <w:marTop w:val="0"/>
                                                          <w:marBottom w:val="0"/>
                                                          <w:divBdr>
                                                            <w:top w:val="none" w:sz="0" w:space="0" w:color="auto"/>
                                                            <w:left w:val="none" w:sz="0" w:space="0" w:color="auto"/>
                                                            <w:bottom w:val="none" w:sz="0" w:space="0" w:color="auto"/>
                                                            <w:right w:val="none" w:sz="0" w:space="0" w:color="auto"/>
                                                          </w:divBdr>
                                                          <w:divsChild>
                                                            <w:div w:id="9006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4921051">
      <w:bodyDiv w:val="1"/>
      <w:marLeft w:val="0"/>
      <w:marRight w:val="0"/>
      <w:marTop w:val="0"/>
      <w:marBottom w:val="0"/>
      <w:divBdr>
        <w:top w:val="none" w:sz="0" w:space="0" w:color="auto"/>
        <w:left w:val="none" w:sz="0" w:space="0" w:color="auto"/>
        <w:bottom w:val="none" w:sz="0" w:space="0" w:color="auto"/>
        <w:right w:val="none" w:sz="0" w:space="0" w:color="auto"/>
      </w:divBdr>
    </w:div>
    <w:div w:id="20427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trade.ec.europa.eu/doclib/html/155561.htm" TargetMode="Externa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Japan" TargetMode="External"/><Relationship Id="rId13" Type="http://schemas.openxmlformats.org/officeDocument/2006/relationships/hyperlink" Target="https://www.wto.org/english/tratop_e/tradfa_e/tradfa_e.htm" TargetMode="External"/><Relationship Id="rId18" Type="http://schemas.openxmlformats.org/officeDocument/2006/relationships/hyperlink" Target="http://ec.europa.eu/priorities/jobs-growth-investment/index_en.htm" TargetMode="External"/><Relationship Id="rId3" Type="http://schemas.openxmlformats.org/officeDocument/2006/relationships/hyperlink" Target="https://en.wikipedia.org/wiki/Chile" TargetMode="External"/><Relationship Id="rId21" Type="http://schemas.openxmlformats.org/officeDocument/2006/relationships/hyperlink" Target="http://ec.europa.eu/atwork/pdf/cwp_2017_annex_i_en.pdf" TargetMode="External"/><Relationship Id="rId7" Type="http://schemas.openxmlformats.org/officeDocument/2006/relationships/hyperlink" Target="https://en.wikipedia.org/wiki/Canada" TargetMode="External"/><Relationship Id="rId12" Type="http://schemas.openxmlformats.org/officeDocument/2006/relationships/hyperlink" Target="http://trade.ec.europa.eu/doclib/docs/2012/august/tradoc_149881.pdf" TargetMode="External"/><Relationship Id="rId17" Type="http://schemas.openxmlformats.org/officeDocument/2006/relationships/hyperlink" Target="http://trade.ec.europa.eu/doclib/docs/2010/november/tradoc_146955.pdf" TargetMode="External"/><Relationship Id="rId2" Type="http://schemas.openxmlformats.org/officeDocument/2006/relationships/hyperlink" Target="https://en.wikipedia.org/wiki/Brunei" TargetMode="External"/><Relationship Id="rId16" Type="http://schemas.openxmlformats.org/officeDocument/2006/relationships/hyperlink" Target="http://trade.ec.europa.eu/doclib/docs/2015/october/tradoc_153846.pdf" TargetMode="External"/><Relationship Id="rId20" Type="http://schemas.openxmlformats.org/officeDocument/2006/relationships/hyperlink" Target="http://ec.europa.eu/atwork/key-documents/index_en.htm" TargetMode="External"/><Relationship Id="rId1" Type="http://schemas.openxmlformats.org/officeDocument/2006/relationships/hyperlink" Target="http://trade.ec.europa.eu/doclib/docs/2015/october/tradoc_153846.pdf" TargetMode="External"/><Relationship Id="rId6" Type="http://schemas.openxmlformats.org/officeDocument/2006/relationships/hyperlink" Target="https://en.wikipedia.org/wiki/Australia" TargetMode="External"/><Relationship Id="rId11" Type="http://schemas.openxmlformats.org/officeDocument/2006/relationships/hyperlink" Target="https://en.wikipedia.org/wiki/Vietnam" TargetMode="External"/><Relationship Id="rId5" Type="http://schemas.openxmlformats.org/officeDocument/2006/relationships/hyperlink" Target="https://en.wikipedia.org/wiki/Singapore" TargetMode="External"/><Relationship Id="rId15" Type="http://schemas.openxmlformats.org/officeDocument/2006/relationships/hyperlink" Target="http://www.consilium.europa.eu/uedocs/cms_data/docs/pressdata/EN/foraff/145908.pdf" TargetMode="External"/><Relationship Id="rId23" Type="http://schemas.openxmlformats.org/officeDocument/2006/relationships/hyperlink" Target="https://ec.europa.eu/eusurvey/runner/EU_Chile_association_agreement" TargetMode="External"/><Relationship Id="rId10" Type="http://schemas.openxmlformats.org/officeDocument/2006/relationships/hyperlink" Target="https://en.wikipedia.org/wiki/Mexico" TargetMode="External"/><Relationship Id="rId19" Type="http://schemas.openxmlformats.org/officeDocument/2006/relationships/hyperlink" Target="http://ec.europa.eu/priorities/jobs-growth-investment/plan/index_en.htm" TargetMode="External"/><Relationship Id="rId4" Type="http://schemas.openxmlformats.org/officeDocument/2006/relationships/hyperlink" Target="https://en.wikipedia.org/wiki/New_Zealand" TargetMode="External"/><Relationship Id="rId9" Type="http://schemas.openxmlformats.org/officeDocument/2006/relationships/hyperlink" Target="https://en.wikipedia.org/wiki/Malaysia" TargetMode="External"/><Relationship Id="rId14" Type="http://schemas.openxmlformats.org/officeDocument/2006/relationships/hyperlink" Target="http://trade.ec.europa.eu/doclib/docs/2012/august/tradoc_149881.pdf" TargetMode="External"/><Relationship Id="rId22" Type="http://schemas.openxmlformats.org/officeDocument/2006/relationships/hyperlink" Target="http://trade.ec.europa.eu/consultations/index.cfm?consul_id=20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Respondents</c:v>
                </c:pt>
              </c:strCache>
            </c:strRef>
          </c:tx>
          <c:dLbls>
            <c:showLegendKey val="0"/>
            <c:showVal val="0"/>
            <c:showCatName val="0"/>
            <c:showSerName val="0"/>
            <c:showPercent val="1"/>
            <c:showBubbleSize val="0"/>
            <c:showLeaderLines val="1"/>
          </c:dLbls>
          <c:cat>
            <c:strRef>
              <c:f>Sheet1!$A$2:$A$6</c:f>
              <c:strCache>
                <c:ptCount val="5"/>
                <c:pt idx="0">
                  <c:v>Personal views as a citizen or private individual - 2 </c:v>
                </c:pt>
                <c:pt idx="1">
                  <c:v>Enterprise - 10</c:v>
                </c:pt>
                <c:pt idx="2">
                  <c:v>Business Association - 17</c:v>
                </c:pt>
                <c:pt idx="3">
                  <c:v>Public Administration (Government institution, regulatory authority) - 2</c:v>
                </c:pt>
                <c:pt idx="4">
                  <c:v>Consultancy/Professional Services - 1</c:v>
                </c:pt>
              </c:strCache>
            </c:strRef>
          </c:cat>
          <c:val>
            <c:numRef>
              <c:f>Sheet1!$B$2:$B$6</c:f>
              <c:numCache>
                <c:formatCode>General</c:formatCode>
                <c:ptCount val="5"/>
                <c:pt idx="0">
                  <c:v>2</c:v>
                </c:pt>
                <c:pt idx="1">
                  <c:v>9</c:v>
                </c:pt>
                <c:pt idx="2">
                  <c:v>17</c:v>
                </c:pt>
                <c:pt idx="3">
                  <c:v>2</c:v>
                </c:pt>
                <c:pt idx="4">
                  <c:v>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A586-4B0D-4569-870C-9DF52566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22425</Words>
  <Characters>127825</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2017-05-15T14:07:00Z</dcterms:created>
  <dcterms:modified xsi:type="dcterms:W3CDTF">2018-01-29T16:04:00Z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