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39E3B593-504A-4276-9E86-203F70AE277B" style="width:450.75pt;height:39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Решения на Комисията, приети през 2016 г.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2431"/>
        <w:gridCol w:w="2417"/>
        <w:gridCol w:w="1622"/>
      </w:tblGrid>
      <w:tr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OСT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(в милиони евро)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Възлов сектор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Прието решение на Комисията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Сен Пиер и Микелон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26,35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Устойчив туризъм и морска свързаност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C(2016) 5993 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Саба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3,55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Енергия от възобновяеми източници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C(2016) 8490 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Синт Еустациус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2,45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Енергетика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C(2016) 8493 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Острови Търкс и Кайкос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14,60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Образование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C(2016) 8291 </w:t>
            </w:r>
          </w:p>
        </w:tc>
      </w:tr>
      <w:tr>
        <w:trPr>
          <w:trHeight w:val="39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46,95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Решения на Комисията, приети през 2017 г.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2276"/>
        <w:gridCol w:w="2382"/>
        <w:gridCol w:w="1684"/>
      </w:tblGrid>
      <w:tr>
        <w:trPr>
          <w:trHeight w:val="36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OСT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(в милиони евро)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Възлов сектор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Прието решение на Комисията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Ангила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14,05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C(2017) 1107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Фолкландски острови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</w:rPr>
              <w:t>5,90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Свързаност и достъпност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C(2017) 7131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Френска Полинезия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29,95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Туризъм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C(2017) 7129</w:t>
            </w:r>
          </w:p>
        </w:tc>
      </w:tr>
      <w:tr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Нова Каледония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29,80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Заетост и професионално приобщаване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C(2017) 743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Питкерн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2,40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Туризъм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C(2017) 7847</w:t>
            </w:r>
            <w:r>
              <w:rPr>
                <w:rFonts w:ascii="Times New Roman" w:hAnsi="Times New Roman"/>
                <w:i/>
                <w:noProof/>
                <w:sz w:val="24"/>
              </w:rPr>
              <w:t> 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Острови Уолис и Футуна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19,60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Развитие на цифровите технологии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C(2017) 7130</w:t>
            </w:r>
          </w:p>
        </w:tc>
      </w:tr>
      <w:tr>
        <w:trPr>
          <w:trHeight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101,7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pStyle w:val="ListParagraph"/>
        <w:pageBreakBefore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 xml:space="preserve">Плащания, извършени по линия на 11-ия ЕФР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2431"/>
        <w:gridCol w:w="2417"/>
        <w:gridCol w:w="1622"/>
      </w:tblGrid>
      <w:tr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OСT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Средства </w:t>
            </w:r>
          </w:p>
          <w:p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(в милиони евро)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Възлов сектор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 отпуснати</w:t>
            </w:r>
          </w:p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(в милиони евро) 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Ангила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14,05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Образование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3,6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Нова Каледония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21,50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Свързаност и достъпност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5,76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Сен Пиер и Микелон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26,35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Устойчив туризъм и морска свързаност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Саба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3,55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Енергия от възобновяеми източници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1,9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Острови Търкс и Кайкос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14,60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Образование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</w:tr>
      <w:tr>
        <w:trPr>
          <w:trHeight w:val="39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28,26</w:t>
            </w:r>
          </w:p>
        </w:tc>
      </w:tr>
    </w:tbl>
    <w:p>
      <w:pPr>
        <w:pStyle w:val="ListParagraph"/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Решения на Комисията, които предстои да бъдат приети</w:t>
      </w:r>
    </w:p>
    <w:p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</w:rPr>
        <w:t>Индикативни териториални средства по линия на 11-ия ЕФР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984"/>
        <w:gridCol w:w="3969"/>
      </w:tblGrid>
      <w:tr>
        <w:trPr>
          <w:trHeight w:val="3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OСT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(в милиони евро)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Предложен възлов сектор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Аруба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Образование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Бонер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3,95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Социално развитие — Младеж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Кюрасао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16,95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Енергия от възобновяеми източници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Монтсерат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18,40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Устойчив растеж и икономическо развитие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Света Елена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21,50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Свързаност и достъпност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Синт Мартен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Водоснабдяване и канализация </w:t>
            </w:r>
          </w:p>
        </w:tc>
      </w:tr>
      <w:tr>
        <w:trPr>
          <w:trHeight w:val="3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80,85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pStyle w:val="ListParagraph"/>
        <w:pageBreakBefore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Индикативни регионални средства по линия на 11-ия ЕФР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3969"/>
      </w:tblGrid>
      <w:tr>
        <w:trPr>
          <w:trHeight w:val="2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Регион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(в милиони евро)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Предложен възлов сектор</w:t>
            </w:r>
          </w:p>
        </w:tc>
      </w:tr>
      <w:tr>
        <w:trPr>
          <w:trHeight w:val="385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Карибите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40,00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Устойчива енергия и морско биологично разнообразие</w:t>
            </w:r>
          </w:p>
        </w:tc>
      </w:tr>
      <w:tr>
        <w:trPr>
          <w:trHeight w:val="70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Тихоокеански басейн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36,00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Изменение на климата и биологично разнообразие</w:t>
            </w:r>
          </w:p>
        </w:tc>
      </w:tr>
      <w:tr>
        <w:trPr>
          <w:trHeight w:val="457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Индийски океан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4,00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Наблюдение, управление и опазване на сухоземните и морските екосистеми</w:t>
            </w:r>
          </w:p>
        </w:tc>
      </w:tr>
      <w:tr>
        <w:trPr>
          <w:trHeight w:val="566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Тематична програма (всички ОСТ)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17,8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Изменение на климата, включително намаляване на риска от бедствия, и устойчива енергия</w:t>
            </w:r>
          </w:p>
        </w:tc>
      </w:tr>
      <w:tr>
        <w:trPr>
          <w:trHeight w:val="566"/>
        </w:trPr>
        <w:tc>
          <w:tcPr>
            <w:tcW w:w="3119" w:type="dxa"/>
            <w:shd w:val="clear" w:color="auto" w:fill="FFFFF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Мерки за подкрепа за асоциирането на ОСТ (АOCT)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2,2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Първите оперативни безвъзмездни средства за 2018 г. и 2019 г. ще бъдат в размер на 1,1 милиона евро</w:t>
            </w:r>
          </w:p>
        </w:tc>
      </w:tr>
      <w:tr>
        <w:trPr>
          <w:trHeight w:val="566"/>
        </w:trPr>
        <w:tc>
          <w:tcPr>
            <w:tcW w:w="3119" w:type="dxa"/>
            <w:shd w:val="clear" w:color="auto" w:fill="BFBFBF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1984" w:type="dxa"/>
            <w:shd w:val="clear" w:color="auto" w:fill="BFBFBF"/>
            <w:vAlign w:val="center"/>
          </w:tcPr>
          <w:p>
            <w:pPr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100,00</w:t>
            </w:r>
          </w:p>
        </w:tc>
        <w:tc>
          <w:tcPr>
            <w:tcW w:w="3969" w:type="dxa"/>
            <w:shd w:val="clear" w:color="auto" w:fill="BFBFBF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keepNext/>
        <w:keepLines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 xml:space="preserve">Инструмент за техническо сътрудничество на 11-ия ЕФР (ИТС) </w:t>
      </w:r>
    </w:p>
    <w:p>
      <w:pPr>
        <w:pStyle w:val="ListParagraph"/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9"/>
        <w:gridCol w:w="2146"/>
        <w:gridCol w:w="3827"/>
      </w:tblGrid>
      <w:tr>
        <w:trPr>
          <w:trHeight w:val="806"/>
        </w:trPr>
        <w:tc>
          <w:tcPr>
            <w:tcW w:w="3099" w:type="dxa"/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Инструмент за техническо сътрудничество (ИТС)</w:t>
            </w:r>
          </w:p>
        </w:tc>
        <w:tc>
          <w:tcPr>
            <w:tcW w:w="2146" w:type="dxa"/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(в милиони евро)</w:t>
            </w:r>
          </w:p>
        </w:tc>
        <w:tc>
          <w:tcPr>
            <w:tcW w:w="3827" w:type="dxa"/>
            <w:shd w:val="clear" w:color="auto" w:fill="BFBF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Коментар</w:t>
            </w:r>
          </w:p>
        </w:tc>
      </w:tr>
      <w:tr>
        <w:trPr>
          <w:trHeight w:val="806"/>
        </w:trPr>
        <w:tc>
          <w:tcPr>
            <w:tcW w:w="3099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2146" w:type="dxa"/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8,50</w:t>
            </w:r>
          </w:p>
        </w:tc>
        <w:tc>
          <w:tcPr>
            <w:tcW w:w="3827" w:type="dxa"/>
            <w:vAlign w:val="center"/>
          </w:tcPr>
          <w:p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Сключени договори на стойност 2,71 милиона евро през 2015 г. и 2016 г. (ИТС I)</w:t>
            </w:r>
          </w:p>
          <w:p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Сключени договори на стойност 934 071 милиона евро до края на 2017 г.</w:t>
            </w:r>
          </w:p>
        </w:tc>
      </w:tr>
    </w:tbl>
    <w:p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Решението за отвъдморско асоцииране са посочени общите суми, отпуснати за териториалните и регионалните програми и за техническа помощ. </w:t>
      </w:r>
    </w:p>
    <w:p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 индикативното разпределение на конкретните териториални средства се вземат предвид броят на населението, размерът на брутния вътрешен продукт, размерът на предходните средства, отпуснати по линия на ЕФР, и ограниченията, произтичащи от географската изолираност, съгласно член 9 от Решението за отвъдморско асоцииране.</w:t>
      </w:r>
      <w:r>
        <w:rPr>
          <w:rFonts w:ascii="Times New Roman" w:hAnsi="Times New Roman"/>
          <w:noProof/>
          <w:color w:val="000000"/>
          <w:sz w:val="24"/>
        </w:rPr>
        <w:t xml:space="preserve"> </w:t>
      </w:r>
    </w:p>
    <w:p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Индикативното разпределение на конкретните регионални средства отразява необходимостта от критична маса, за да се гарантира въздействието, и необходимостта да се насърчи сътрудничеството между ОСТ, най-отдалечените региони и държавите от АКТБ, както и трети държави.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EA9"/>
    <w:multiLevelType w:val="hybridMultilevel"/>
    <w:tmpl w:val="8F8EC686"/>
    <w:lvl w:ilvl="0" w:tplc="BC7A2B4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73AD"/>
    <w:multiLevelType w:val="hybridMultilevel"/>
    <w:tmpl w:val="5A2845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4741"/>
    <w:multiLevelType w:val="hybridMultilevel"/>
    <w:tmpl w:val="367CC4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D3FD5"/>
    <w:multiLevelType w:val="hybridMultilevel"/>
    <w:tmpl w:val="3F4C9F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39E3B593-504A-4276-9E86-203F70AE277B"/>
    <w:docVar w:name="LW_COVERPAGE_TYPE" w:val="1"/>
    <w:docVar w:name="LW_CROSSREFERENCE" w:val="&lt;UNUSED&gt;"/>
    <w:docVar w:name="LW_DocType" w:val="NORMAL"/>
    <w:docVar w:name="LW_EMISSION" w:val="22.2.2018"/>
    <w:docVar w:name="LW_EMISSION_ISODATE" w:val="2018-02-22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2017 \u1075?. \u1086?\u1090?\u1085?\u1086?\u1089?\u1085?\u1086? \u1080?\u1079?\u1087?\u1098?\u1083?\u1085?\u1077?\u1085?\u1080?\u1077?\u1090?\u1086? \u1085?\u1072? \u1092?\u1080?\u1085?\u1072?\u1085?\u1089?\u1086?\u1074?\u1072?\u1090?\u1072? \u1087?\u1086?\u1084?\u1086?\u1097?, \u1087?\u1088?\u1077?\u1076?\u1086?\u1089?\u1090?\u1072?\u1074?\u1077?\u1085?\u1072? \u1085?\u1072? \u1086?\u1090?\u1074?\u1098?\u1076?\u1084?\u1086?\u1088?\u1089?\u1082?\u1080?\u1090?\u1077? \u1089?\u1090?\u1088?\u1072?\u1085?\u1080? \u1080? \u1090?\u1077?\u1088?\u1080?\u1090?\u1086?\u1088?\u1080?\u1080? \u1087?\u1086? \u1083?\u1080?\u1085?\u1080?\u1103? \u1085?\u1072? 11-\u1080?\u1103? \u1045?\u1074?\u1088?\u1086?\u1087?\u1077?\u1081?\u1089?\u1082?\u1080? \u1092?\u1086?\u1085?\u1076? \u1079?\u1072? \u1088?\u1072?\u1079?\u1074?\u1080?\u1090?\u108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8) 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B921-53A1-4671-AFE3-A107F477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477</Words>
  <Characters>2805</Characters>
  <Application>Microsoft Office Word</Application>
  <DocSecurity>0</DocSecurity>
  <Lines>215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LADAGE Thomas</dc:creator>
  <cp:lastModifiedBy>DIGIT/A3</cp:lastModifiedBy>
  <cp:revision>12</cp:revision>
  <cp:lastPrinted>2017-12-05T11:08:00Z</cp:lastPrinted>
  <dcterms:created xsi:type="dcterms:W3CDTF">2018-01-26T10:34:00Z</dcterms:created>
  <dcterms:modified xsi:type="dcterms:W3CDTF">2018-02-22T08:38:00Z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