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123C2FB0-14F6-46B6-A9CC-C24E7C7704A0" style="width:450pt;height:321pt">
            <v:imagedata r:id="rId9" o:title=""/>
          </v:shape>
        </w:pict>
      </w:r>
    </w:p>
    <w:bookmarkEnd w:id="0"/>
    <w:p>
      <w:pPr>
        <w:spacing w:after="120" w:line="240" w:lineRule="auto"/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2"/>
          <w:cols w:space="720"/>
          <w:docGrid w:linePitch="360"/>
        </w:sectPr>
      </w:pPr>
    </w:p>
    <w:p>
      <w:pPr>
        <w:keepNext/>
        <w:keepLines/>
        <w:spacing w:after="12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  <w:u w:val="single"/>
        </w:rPr>
        <w:lastRenderedPageBreak/>
        <w:t>Въведение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С Решението за отвъдморско асоцииране</w:t>
      </w:r>
      <w:r>
        <w:rPr>
          <w:rFonts w:ascii="Times New Roman" w:hAnsi="Times New Roman"/>
          <w:noProof/>
          <w:sz w:val="24"/>
          <w:vertAlign w:val="superscript"/>
        </w:rPr>
        <w:footnoteReference w:id="1"/>
      </w:r>
      <w:r>
        <w:rPr>
          <w:rFonts w:ascii="Times New Roman" w:hAnsi="Times New Roman"/>
          <w:noProof/>
          <w:sz w:val="24"/>
        </w:rPr>
        <w:t xml:space="preserve"> се създава правната рамка за отношенията между отвъдморските страни и територии</w:t>
      </w:r>
      <w:r>
        <w:rPr>
          <w:rFonts w:ascii="Times New Roman" w:hAnsi="Times New Roman"/>
          <w:noProof/>
          <w:sz w:val="24"/>
          <w:vertAlign w:val="superscript"/>
        </w:rPr>
        <w:footnoteReference w:id="2"/>
      </w:r>
      <w:r>
        <w:rPr>
          <w:rFonts w:ascii="Times New Roman" w:hAnsi="Times New Roman"/>
          <w:noProof/>
          <w:sz w:val="24"/>
        </w:rPr>
        <w:t xml:space="preserve"> (ОСТ), държавите членки, с които те са свързани, и Европейския съюз. В съответствие с Договора за функционирането на Европейския съюз</w:t>
      </w:r>
      <w:r>
        <w:rPr>
          <w:rFonts w:ascii="Times New Roman" w:hAnsi="Times New Roman"/>
          <w:noProof/>
          <w:sz w:val="24"/>
          <w:vertAlign w:val="superscript"/>
        </w:rPr>
        <w:footnoteReference w:id="3"/>
      </w:r>
      <w:r>
        <w:rPr>
          <w:rFonts w:ascii="Times New Roman" w:hAnsi="Times New Roman"/>
          <w:noProof/>
          <w:sz w:val="24"/>
        </w:rPr>
        <w:t xml:space="preserve"> (ДФЕС) целта на Решението за отвъдморско асоцииране е да подкрепи устойчивото развитие на ОСТ и да популяризира ценностите на Съюза по света.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Финансова помощ за ОСТ се предоставя основно чрез Европейския фонд за развитие (ЕФР), като в рамките на 11-ия ЕФР за периода на програмиране 2014—2020 г.</w:t>
      </w:r>
      <w:r>
        <w:rPr>
          <w:rFonts w:ascii="Times New Roman" w:hAnsi="Times New Roman"/>
          <w:noProof/>
          <w:sz w:val="24"/>
          <w:vertAlign w:val="superscript"/>
        </w:rPr>
        <w:footnoteReference w:id="4"/>
      </w:r>
      <w:r>
        <w:rPr>
          <w:rFonts w:ascii="Times New Roman" w:hAnsi="Times New Roman"/>
          <w:noProof/>
          <w:sz w:val="24"/>
        </w:rPr>
        <w:t xml:space="preserve"> за тях е предвидена сума в размер на 364,5 милиона евро.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В съответствие с член 91 от Решението за отвъдморско асоцииране в настоящия доклад се представя напредъкът, постигнат във връзка с изпълнението на средствата за OCT от 11-ия ЕФР за 2017 г.</w:t>
      </w:r>
    </w:p>
    <w:p>
      <w:pPr>
        <w:keepNext/>
        <w:keepLines/>
        <w:spacing w:after="12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 xml:space="preserve">Финансови средства по 11-ия ЕФР—ОСТ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В съответствие с приложение 2 към Решението за отвъдморско асоцииране заделените за ОСТ средства от 11-ия ЕФР се разпределят, както следва:</w:t>
      </w:r>
    </w:p>
    <w:p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229,5 милиона евро за териториалните (двустранни) отпуснати средства;</w:t>
      </w:r>
    </w:p>
    <w:p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100 милиона евро за регионално сътрудничество и интеграция;</w:t>
      </w:r>
    </w:p>
    <w:p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21,5 милиона евро за финансиране на хуманитарна и спешна помощ или помощ за колебания в приходите от износ;</w:t>
      </w:r>
    </w:p>
    <w:p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5 милиона евро за финансиране на лихвени субсидии и техническа помощ чрез Инвестиционния механизъм на ЕИБ за ОСТ;</w:t>
      </w:r>
    </w:p>
    <w:p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8,5 милиона евро за проучвания и техническа помощ в съответствие с член 81 от Решението за отвъдморско асоцииране.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В съответствие с критериите, определени в Решението за отвъдморско асоцииране, </w:t>
      </w:r>
      <w:r>
        <w:rPr>
          <w:rFonts w:ascii="Times New Roman" w:hAnsi="Times New Roman"/>
          <w:b/>
          <w:noProof/>
          <w:sz w:val="24"/>
        </w:rPr>
        <w:t>счита се, че шестнадесет OCT отговарят на условията за получаване на териториални средства от 11-ия ЕФР</w:t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noProof/>
          <w:sz w:val="24"/>
          <w:vertAlign w:val="superscript"/>
        </w:rPr>
        <w:footnoteReference w:id="5"/>
      </w:r>
      <w:r>
        <w:rPr>
          <w:rFonts w:ascii="Times New Roman" w:hAnsi="Times New Roman"/>
          <w:noProof/>
          <w:sz w:val="24"/>
        </w:rPr>
        <w:t xml:space="preserve"> Следва да се отбележи, че Гренландия се финансира пряко от общия бюджет на ЕС въз основа на „Решението за Гренландия“</w:t>
      </w:r>
      <w:r>
        <w:rPr>
          <w:rFonts w:ascii="Times New Roman" w:hAnsi="Times New Roman"/>
          <w:noProof/>
          <w:sz w:val="24"/>
          <w:vertAlign w:val="superscript"/>
        </w:rPr>
        <w:footnoteReference w:id="6"/>
      </w:r>
      <w:r>
        <w:rPr>
          <w:rFonts w:ascii="Times New Roman" w:hAnsi="Times New Roman"/>
          <w:noProof/>
          <w:sz w:val="24"/>
        </w:rPr>
        <w:t>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Четирите регионални програми</w:t>
      </w:r>
      <w:r>
        <w:rPr>
          <w:rFonts w:ascii="Times New Roman" w:hAnsi="Times New Roman"/>
          <w:noProof/>
          <w:sz w:val="24"/>
        </w:rPr>
        <w:t xml:space="preserve"> са насочени към насърчаване на сътрудничеството между ОСТ от един и същ регион, изправени пред сходни предизвикателства и имащи сходни приоритети. С действията, финансирани с регионални средства, се подпомагат разработването и изпълнението на всеобхватни регионални програми и проекти за справяне с тези предизвикателства. Активно се насърчават партньорства с други източници на финансиране, включително други финансови инструменти на Европейския съюз, чрез сътрудничество със съседните държави от Африка, Карибите и Тихоокеанския басейн (АКТБ) и/или трети държави, както и с най-отдалечените региони на ЕС.</w:t>
      </w:r>
    </w:p>
    <w:p>
      <w:pPr>
        <w:keepNext/>
        <w:keepLines/>
        <w:spacing w:after="12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>Процес на програмиране за 11-ия ЕФР—ОСТ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С Решението за отвъдморско асоцииране</w:t>
      </w:r>
      <w:r>
        <w:rPr>
          <w:rFonts w:ascii="Times New Roman" w:hAnsi="Times New Roman"/>
          <w:noProof/>
          <w:sz w:val="24"/>
          <w:vertAlign w:val="superscript"/>
        </w:rPr>
        <w:footnoteReference w:id="7"/>
      </w:r>
      <w:r>
        <w:rPr>
          <w:rFonts w:ascii="Times New Roman" w:hAnsi="Times New Roman"/>
          <w:noProof/>
          <w:sz w:val="24"/>
        </w:rPr>
        <w:t xml:space="preserve"> се въвежда </w:t>
      </w:r>
      <w:r>
        <w:rPr>
          <w:rFonts w:ascii="Times New Roman" w:hAnsi="Times New Roman"/>
          <w:b/>
          <w:noProof/>
          <w:sz w:val="24"/>
        </w:rPr>
        <w:t>процес на програмиране, който е специфичен за ОСТ</w:t>
      </w:r>
      <w:r>
        <w:rPr>
          <w:rFonts w:ascii="Times New Roman" w:hAnsi="Times New Roman"/>
          <w:noProof/>
          <w:sz w:val="24"/>
        </w:rPr>
        <w:t xml:space="preserve">. За разлика от държавите от Африка, Карибите и Тихоокеанския басейн (АКТБ), програмирането не се основава на националните индикативни програми, а е организирано около </w:t>
      </w:r>
      <w:r>
        <w:rPr>
          <w:rFonts w:ascii="Times New Roman" w:hAnsi="Times New Roman"/>
          <w:b/>
          <w:noProof/>
          <w:sz w:val="24"/>
        </w:rPr>
        <w:t>изготвянето на документ за програмиране, който се състои от два компонента</w:t>
      </w:r>
      <w:r>
        <w:rPr>
          <w:rFonts w:ascii="Times New Roman" w:hAnsi="Times New Roman"/>
          <w:noProof/>
          <w:sz w:val="24"/>
        </w:rPr>
        <w:t>:</w:t>
      </w:r>
      <w:r>
        <w:rPr>
          <w:rFonts w:ascii="Times New Roman" w:hAnsi="Times New Roman"/>
          <w:b/>
          <w:noProof/>
          <w:sz w:val="24"/>
        </w:rPr>
        <w:t xml:space="preserve"> а) стратегията на ЕС за реакция (част А) и б) документа за действие (част Б).</w:t>
      </w:r>
      <w:r>
        <w:rPr>
          <w:rFonts w:ascii="Times New Roman" w:hAnsi="Times New Roman"/>
          <w:noProof/>
          <w:sz w:val="24"/>
        </w:rPr>
        <w:t xml:space="preserve">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За одобряването на всеки документ за програмиране на ОСТ се взема само </w:t>
      </w:r>
      <w:r>
        <w:rPr>
          <w:rFonts w:ascii="Times New Roman" w:hAnsi="Times New Roman"/>
          <w:b/>
          <w:noProof/>
          <w:sz w:val="24"/>
        </w:rPr>
        <w:t>едно официално решение на Комисията</w:t>
      </w:r>
      <w:r>
        <w:rPr>
          <w:rFonts w:ascii="Times New Roman" w:hAnsi="Times New Roman"/>
          <w:noProof/>
          <w:sz w:val="24"/>
        </w:rPr>
        <w:t xml:space="preserve">, което обхваща както стратегическите насоки, така и подробната структура на програмата. Това означава, че документ за програмиране не може да бъде приет преди разработването и официалното одобряване на стратегията и на документ за действие. </w:t>
      </w:r>
      <w:r>
        <w:rPr>
          <w:rFonts w:ascii="Times New Roman" w:hAnsi="Times New Roman"/>
          <w:b/>
          <w:noProof/>
          <w:sz w:val="24"/>
        </w:rPr>
        <w:t>Бюджетната подкрепа</w:t>
      </w:r>
      <w:r>
        <w:rPr>
          <w:rFonts w:ascii="Times New Roman" w:hAnsi="Times New Roman"/>
          <w:noProof/>
          <w:sz w:val="24"/>
        </w:rPr>
        <w:t xml:space="preserve"> е предпочитаният начин за изпълнение по отношение на териториалните отпускани средства в ОСТ.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ОСТ носят основната отговорност за изготвянето на документи за програмиране</w:t>
      </w:r>
      <w:r>
        <w:rPr>
          <w:rFonts w:ascii="Times New Roman" w:hAnsi="Times New Roman"/>
          <w:noProof/>
          <w:sz w:val="24"/>
        </w:rPr>
        <w:t xml:space="preserve">, като включват приоритетите, на които се основават техните стратегии, и осигуряват необходимите консултации на местно равнище. В съответствие с член 81 от Решението за отвъдморско асоцииране по искане на ОСТ беше предоставена техническа помощ на ОСТ в процеса на програмиране.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  <w:shd w:val="clear" w:color="auto" w:fill="auto"/>
          </w:tcPr>
          <w:p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На ОСТ бяха предоставени конкретни насоки в подкрепа на различни аспекти на процеса на програмиране за периода 2014—2020 г.:</w:t>
            </w:r>
          </w:p>
          <w:p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Бяха изготвени подробни </w:t>
            </w:r>
            <w:r>
              <w:rPr>
                <w:rFonts w:ascii="Times New Roman" w:hAnsi="Times New Roman"/>
                <w:b/>
                <w:noProof/>
                <w:sz w:val="24"/>
              </w:rPr>
              <w:t>указания за програмирането</w:t>
            </w:r>
            <w:r>
              <w:rPr>
                <w:rFonts w:ascii="Times New Roman" w:hAnsi="Times New Roman"/>
                <w:noProof/>
                <w:sz w:val="24"/>
              </w:rPr>
              <w:t>, специално предназначени за ОСТ, които послужиха като основа за напътстване на страните и териториите. Тези насоки включват както ориентация, така и специални образци за различните етапи на изготвянето на документа за програмиране.</w:t>
            </w:r>
          </w:p>
          <w:p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Насоките за бюджетна подкрепа на ЕС</w:t>
            </w:r>
            <w:r>
              <w:rPr>
                <w:rFonts w:ascii="Times New Roman" w:hAnsi="Times New Roman"/>
                <w:noProof/>
                <w:sz w:val="24"/>
              </w:rPr>
              <w:t xml:space="preserve"> (приложение 10), които бяха преразгледани през 2017 г., включват специфични по-гъвкави насоки относно одобряването и управлението на операциите за бюджетна подкрепа в ОСТ, както и в други развиващи се малки островни държави. </w:t>
            </w:r>
          </w:p>
          <w:p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За да се насърчи сътрудничеството между ОСТ, държавите от АКТБ/съседните държави и най-отдалечените региони, беше изготвена </w:t>
            </w:r>
            <w:r>
              <w:rPr>
                <w:rFonts w:ascii="Times New Roman" w:hAnsi="Times New Roman"/>
                <w:b/>
                <w:noProof/>
                <w:sz w:val="24"/>
              </w:rPr>
              <w:t>разяснителна бележка</w:t>
            </w:r>
            <w:r>
              <w:rPr>
                <w:rFonts w:ascii="Times New Roman" w:hAnsi="Times New Roman"/>
                <w:noProof/>
                <w:sz w:val="24"/>
              </w:rPr>
              <w:t xml:space="preserve"> с цел стимулиране на изготвянето на общи проекти, финансирани от ЕФР и Европейския фонд за регионално развитие (ЕФРР).</w:t>
            </w:r>
          </w:p>
        </w:tc>
      </w:tr>
    </w:tbl>
    <w:p>
      <w:pPr>
        <w:spacing w:before="240"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Що се отнася до териториалните средства, повечето ОСТ предложиха бюджетната подкрепа като начин за изпълнение</w:t>
      </w:r>
      <w:r>
        <w:rPr>
          <w:rFonts w:ascii="Times New Roman" w:hAnsi="Times New Roman"/>
          <w:noProof/>
          <w:sz w:val="24"/>
        </w:rPr>
        <w:t>, като в няколко случая това представлява положителна промяна в сравнение с използвания преди това проектен способ, а именно за Кюрасао, Френска Полинезия, Синт Еустациус, Уолис и Футуна. Бюджетната подкрепа предлага ефикасен начин за преодоляване на хоризонталните, дългосрочните и структурните предизвикателства и заплахи.</w:t>
      </w:r>
    </w:p>
    <w:p>
      <w:pPr>
        <w:keepNext/>
        <w:keepLines/>
        <w:spacing w:after="12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 xml:space="preserve">Положение през 2017 г. </w:t>
      </w:r>
    </w:p>
    <w:p>
      <w:pPr>
        <w:pStyle w:val="ListParagraph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Урагани в Карибския регион</w:t>
      </w:r>
    </w:p>
    <w:p>
      <w:pPr>
        <w:spacing w:after="12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През септември 2017 г. два урагана от категория 5 — Ирма и Мария, връхлетяха върху няколко карибски отвъдморски страни и територии с животозастрашаващи ветрове (300 km/ч), бури и обилни валежи, нанасяйки огромни щети на жилищата и основната инфраструктура. Най-тежко засегнатите ОСТ са островите Ангила, Синт Мартен, Търкс и Кайкос и Сен Бартелеми и Британските Вирджински острови. Пострадаха също Монтсерат, Саба и Синт Еустациус.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След края на ураганите Европейската комисия и пострадалите ОСТ и техните държави членки организираха няколко срещи, за да споделят незабавно цялата необходима информация за спешната и хуманитарната помощ с ОСТ и държавите членки.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Генерална дирекция „Европейска гражданска защита и европейски операции за хуманитарна помощ“ предостави незабавна помощ на </w:t>
      </w:r>
      <w:r>
        <w:rPr>
          <w:rFonts w:ascii="Times New Roman" w:hAnsi="Times New Roman"/>
          <w:b/>
          <w:noProof/>
          <w:sz w:val="24"/>
        </w:rPr>
        <w:t>островите Търкс и Кайкос</w:t>
      </w:r>
      <w:r>
        <w:rPr>
          <w:rFonts w:ascii="Times New Roman" w:hAnsi="Times New Roman"/>
          <w:noProof/>
          <w:sz w:val="24"/>
        </w:rPr>
        <w:t xml:space="preserve"> (60 000 EUR) и </w:t>
      </w:r>
      <w:r>
        <w:rPr>
          <w:rFonts w:ascii="Times New Roman" w:hAnsi="Times New Roman"/>
          <w:b/>
          <w:noProof/>
          <w:sz w:val="24"/>
        </w:rPr>
        <w:t>Синт Мартен</w:t>
      </w:r>
      <w:r>
        <w:rPr>
          <w:rFonts w:ascii="Times New Roman" w:hAnsi="Times New Roman"/>
          <w:noProof/>
          <w:sz w:val="24"/>
        </w:rPr>
        <w:t xml:space="preserve"> (80 000 EUR) чрез регионална програма с Панамериканската здравна организация (PAHO). Интервенциите представляват предимно малки ремонтни дейности в засегнатите </w:t>
      </w:r>
      <w:r>
        <w:rPr>
          <w:rFonts w:ascii="Times New Roman" w:hAnsi="Times New Roman"/>
          <w:b/>
          <w:noProof/>
          <w:sz w:val="24"/>
        </w:rPr>
        <w:t>здравни инфраструктури</w:t>
      </w:r>
      <w:r>
        <w:rPr>
          <w:rFonts w:ascii="Times New Roman" w:hAnsi="Times New Roman"/>
          <w:noProof/>
          <w:sz w:val="24"/>
        </w:rPr>
        <w:t xml:space="preserve"> с цел възстановяване на незабавните услуги, осигуряване на достъп до безопасна питейна вода в здравните заведения и епидемиологично наблюдение на уязвимите общности.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Освен това Нидерландия задейства Европейския механизъм за гражданска защита за Синт Мартен за евакуацията по въздуха от Синт Мартен, както и за плащането на транспортните разходи за нидерландски кораб, чрез който бе превозена помощ в натура от Нидерландия за Синт Мартен, включително леки автомобили, камиони и тежки машини.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Генерална дирекция „Международно сътрудничество и развитие“ работи активно с органите, за да гарантира, че териториалните и регионалните програми по линия на 11-ия ЕФР ще бъдат адаптирани с цел справяне с положението в ОСТ след Ирма и за да подкрепи органите в усилията им да подобрят устойчивостта си. Във връзка с това и като част от усилията за оказване на помощ бяха незабавно отпуснати </w:t>
      </w:r>
      <w:r>
        <w:rPr>
          <w:rFonts w:ascii="Times New Roman" w:hAnsi="Times New Roman"/>
          <w:b/>
          <w:noProof/>
          <w:sz w:val="24"/>
        </w:rPr>
        <w:t>3,6 милиона евро</w:t>
      </w:r>
      <w:r>
        <w:rPr>
          <w:rFonts w:ascii="Times New Roman" w:hAnsi="Times New Roman"/>
          <w:noProof/>
          <w:sz w:val="24"/>
        </w:rPr>
        <w:t xml:space="preserve"> и </w:t>
      </w:r>
      <w:r>
        <w:rPr>
          <w:rFonts w:ascii="Times New Roman" w:hAnsi="Times New Roman"/>
          <w:b/>
          <w:noProof/>
          <w:sz w:val="24"/>
        </w:rPr>
        <w:t>4 милиона евро</w:t>
      </w:r>
      <w:r>
        <w:rPr>
          <w:rFonts w:ascii="Times New Roman" w:hAnsi="Times New Roman"/>
          <w:noProof/>
          <w:sz w:val="24"/>
        </w:rPr>
        <w:t xml:space="preserve"> по линия на програмите за бюджетна подкрепа по 11-ия ЕФР. Тези средства са предназначени за образователния сектор в </w:t>
      </w:r>
      <w:r>
        <w:rPr>
          <w:rFonts w:ascii="Times New Roman" w:hAnsi="Times New Roman"/>
          <w:b/>
          <w:noProof/>
          <w:sz w:val="24"/>
        </w:rPr>
        <w:t>Ангила</w:t>
      </w:r>
      <w:r>
        <w:rPr>
          <w:rFonts w:ascii="Times New Roman" w:hAnsi="Times New Roman"/>
          <w:noProof/>
          <w:sz w:val="24"/>
        </w:rPr>
        <w:t xml:space="preserve"> и </w:t>
      </w:r>
      <w:r>
        <w:rPr>
          <w:rFonts w:ascii="Times New Roman" w:hAnsi="Times New Roman"/>
          <w:b/>
          <w:noProof/>
          <w:sz w:val="24"/>
        </w:rPr>
        <w:t>островите Търкс и Кайкос</w:t>
      </w:r>
      <w:r>
        <w:rPr>
          <w:rFonts w:ascii="Times New Roman" w:hAnsi="Times New Roman"/>
          <w:noProof/>
          <w:sz w:val="24"/>
        </w:rPr>
        <w:t xml:space="preserve">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Освен това ще бъде добавен нов хоризонтален компонент за устойчивостта </w:t>
      </w:r>
      <w:r>
        <w:rPr>
          <w:rFonts w:ascii="Times New Roman" w:hAnsi="Times New Roman"/>
          <w:b/>
          <w:noProof/>
          <w:sz w:val="24"/>
        </w:rPr>
        <w:t>в рамките на регионалната програма за Карибите по 11-ия ЕФР</w:t>
      </w:r>
      <w:r>
        <w:rPr>
          <w:rFonts w:ascii="Times New Roman" w:hAnsi="Times New Roman"/>
          <w:noProof/>
          <w:sz w:val="24"/>
        </w:rPr>
        <w:t xml:space="preserve"> с цел подпомагане на изграждането на дългосрочна устойчивост в ОСТ в съответствие с Европейския консенсус за развитие, в който се подчертава ангажиментът за изграждане на устойчивост.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Що се отнася до евентуалното мобилизиране на неразпределения резерв Б (21,5 милиона евро) в рамките на 11-ия ЕФР, генерална дирекция „Международно сътрудничество и развитие“ разглежда исканията, внесени от най-пострадалите ОСТ. Във връзка с това бе заделен индикативен финансов пакет от 5 милиона евро като част от финансовия пакет от 60,5 милиона евро, обещани от комисаря на ЕС по въпросите на международното сътрудничество и развитието, от името на Европейския съюз, за подпомагане на усилията за възстановяване в засегнатите територии и страни по време на донорска конференция на високо равнище, която се проведе в Ню Йорк на 21 ноември 2017 г.</w:t>
      </w:r>
    </w:p>
    <w:p>
      <w:pPr>
        <w:pStyle w:val="ListParagraph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Проведени консултации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От началото на процеса на програмиране през декември 2013 г. Европейската комисия активно подкрепя OCT през целия процес на програмиране чрез финансиране и/или подпомагане на организацията на специални семинари, работни срещи и конференции с цел да се даде възможност за размисъл относно общите приоритети и цели. Тези обмени бяха многобройни и особено ползотворни през цялата 2017 г.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Въз основа на резултатите от различните срещи за консултации през 2016 г., седмицата, през която се проведе 15-ият форум ОСТ—ЕС (22—26 февруари 2017 г.), бе отлична възможност за ОСТ да се срещнат на регионално равнище и да постигнат напредък в процеса на програмиране, което позволи на карибските и тихоокеанските ОСТ съответно да напреднат и приключат етапа на определяне на регионалните си програми.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Впоследствие на това </w:t>
      </w:r>
      <w:r>
        <w:rPr>
          <w:rFonts w:ascii="Times New Roman" w:hAnsi="Times New Roman"/>
          <w:b/>
          <w:noProof/>
          <w:sz w:val="24"/>
        </w:rPr>
        <w:t>регионалният семинар, проведен на 2 и 3 април 2017 г.,</w:t>
      </w:r>
      <w:r>
        <w:rPr>
          <w:rFonts w:ascii="Times New Roman" w:hAnsi="Times New Roman"/>
          <w:noProof/>
          <w:sz w:val="24"/>
        </w:rPr>
        <w:t xml:space="preserve"> и </w:t>
      </w:r>
      <w:r>
        <w:rPr>
          <w:rFonts w:ascii="Times New Roman" w:hAnsi="Times New Roman"/>
          <w:b/>
          <w:noProof/>
          <w:sz w:val="24"/>
        </w:rPr>
        <w:t>работните срещи в рамките на друг семинар, насочени към тихоокеанските ОСТ</w:t>
      </w:r>
      <w:r>
        <w:rPr>
          <w:rStyle w:val="FootnoteReference"/>
          <w:rFonts w:ascii="Times New Roman" w:hAnsi="Times New Roman"/>
          <w:b/>
          <w:noProof/>
          <w:sz w:val="24"/>
        </w:rPr>
        <w:footnoteReference w:id="8"/>
      </w:r>
      <w:r>
        <w:rPr>
          <w:rFonts w:ascii="Times New Roman" w:hAnsi="Times New Roman"/>
          <w:b/>
          <w:noProof/>
          <w:sz w:val="24"/>
        </w:rPr>
        <w:t xml:space="preserve"> и проведени на 24—27 октомври в Нумея,</w:t>
      </w:r>
      <w:r>
        <w:rPr>
          <w:rFonts w:ascii="Times New Roman" w:hAnsi="Times New Roman"/>
          <w:noProof/>
          <w:sz w:val="24"/>
        </w:rPr>
        <w:t xml:space="preserve"> позволиха да бъде приключен етапът на формулиране. По време на семинара беше обърнато специално внимание на определянето на възможни синергии между регионалната програма за АКТБ и по-нататъшния напредък по отношение на регионалната интеграция и сътрудничеството със съседните държави от АКТБ.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Що се отнася до </w:t>
      </w:r>
      <w:r>
        <w:rPr>
          <w:rFonts w:ascii="Times New Roman" w:hAnsi="Times New Roman"/>
          <w:b/>
          <w:noProof/>
          <w:sz w:val="24"/>
        </w:rPr>
        <w:t>регионалната програма за Карибите</w:t>
      </w:r>
      <w:r>
        <w:rPr>
          <w:rFonts w:ascii="Times New Roman" w:hAnsi="Times New Roman"/>
          <w:noProof/>
          <w:sz w:val="24"/>
        </w:rPr>
        <w:t xml:space="preserve">, </w:t>
      </w:r>
      <w:r>
        <w:rPr>
          <w:rFonts w:ascii="Times New Roman" w:hAnsi="Times New Roman"/>
          <w:b/>
          <w:noProof/>
          <w:sz w:val="24"/>
        </w:rPr>
        <w:t>регионалната работна среща</w:t>
      </w:r>
      <w:r>
        <w:rPr>
          <w:rFonts w:ascii="Times New Roman" w:hAnsi="Times New Roman"/>
          <w:noProof/>
          <w:sz w:val="24"/>
        </w:rPr>
        <w:t xml:space="preserve">, която се проведе в края на ноември 2017 г. в Бонер, допринесе за конструктивния напредък по отношение на етапа на формулиране след ураганите, които засегнаха региона. Благодарение на работната среща не само бе добавен нов хоризонтален компонент за устойчивостта, но и бе постигнат напредък по избора на партньора по изпълнението и по индикативното разпределение на бюджета за всеки компонент.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Осъществен бе и ползотворен обмен между OCT и службите на Европейската комисия във връзка с тематичната програма в рамките на OCT. По-специално </w:t>
      </w:r>
      <w:r>
        <w:rPr>
          <w:rFonts w:ascii="Times New Roman" w:hAnsi="Times New Roman"/>
          <w:b/>
          <w:noProof/>
          <w:sz w:val="24"/>
        </w:rPr>
        <w:t>работната група по партньорството (РГП) в областта на околната среда и изменението на климата от юли 2017 г.</w:t>
      </w:r>
      <w:r>
        <w:rPr>
          <w:rFonts w:ascii="Times New Roman" w:hAnsi="Times New Roman"/>
          <w:noProof/>
          <w:sz w:val="24"/>
        </w:rPr>
        <w:t xml:space="preserve"> предостави възможност за постигане на допълнителен напредък по програмирането на </w:t>
      </w:r>
      <w:r>
        <w:rPr>
          <w:rFonts w:ascii="Times New Roman" w:hAnsi="Times New Roman"/>
          <w:b/>
          <w:noProof/>
          <w:sz w:val="24"/>
        </w:rPr>
        <w:t>компонента за изменението на климата на тематичната програма по линия на 11-ия ЕФР</w:t>
      </w:r>
      <w:r>
        <w:rPr>
          <w:rFonts w:ascii="Times New Roman" w:hAnsi="Times New Roman"/>
          <w:noProof/>
          <w:sz w:val="24"/>
        </w:rPr>
        <w:t xml:space="preserve">. На тази среща бяха използвани и допълнени резултатите от срещата на РГП в областта на околната среда и изменението на климата от юли 2016 г., която бе съсредоточена върху </w:t>
      </w:r>
      <w:r>
        <w:rPr>
          <w:rFonts w:ascii="Times New Roman" w:hAnsi="Times New Roman"/>
          <w:i/>
          <w:noProof/>
          <w:sz w:val="24"/>
        </w:rPr>
        <w:t>другия компонент</w:t>
      </w:r>
      <w:r>
        <w:rPr>
          <w:rFonts w:ascii="Times New Roman" w:hAnsi="Times New Roman"/>
          <w:noProof/>
          <w:sz w:val="24"/>
        </w:rPr>
        <w:t xml:space="preserve"> на тематичния пакет — </w:t>
      </w:r>
      <w:r>
        <w:rPr>
          <w:rFonts w:ascii="Times New Roman" w:hAnsi="Times New Roman"/>
          <w:b/>
          <w:noProof/>
          <w:sz w:val="24"/>
        </w:rPr>
        <w:t>устойчивата енергия</w:t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b/>
          <w:i/>
          <w:noProof/>
          <w:sz w:val="24"/>
        </w:rPr>
        <w:t xml:space="preserve">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ОСТ и Европейският съюз също така отново потвърдиха твърдия си ангажимент по отношение на енергията от възобновяеми източници по повод на</w:t>
      </w:r>
      <w:r>
        <w:rPr>
          <w:rFonts w:ascii="Times New Roman" w:hAnsi="Times New Roman"/>
          <w:b/>
          <w:noProof/>
          <w:sz w:val="24"/>
        </w:rPr>
        <w:t xml:space="preserve"> 3-тата среща на върха на министрите на енергетиката и работната среща относно морската енергия</w:t>
      </w:r>
      <w:r>
        <w:rPr>
          <w:rFonts w:ascii="Times New Roman" w:hAnsi="Times New Roman"/>
          <w:noProof/>
          <w:sz w:val="24"/>
        </w:rPr>
        <w:t>, проведени в Брюксел на 6 и 7 декември 2017 г.</w:t>
      </w:r>
      <w:r>
        <w:rPr>
          <w:rStyle w:val="FootnoteReference"/>
          <w:rFonts w:ascii="Times New Roman" w:hAnsi="Times New Roman"/>
          <w:noProof/>
          <w:sz w:val="24"/>
        </w:rPr>
        <w:footnoteReference w:id="9"/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Освен това размислите относно общите стратегически приоритети напреднаха благодарение на органите за диалог на асоциирането, създадени по силата на Решението за отвъдморско асоцииране. </w:t>
      </w:r>
      <w:r>
        <w:rPr>
          <w:rFonts w:ascii="Times New Roman" w:hAnsi="Times New Roman"/>
          <w:b/>
          <w:noProof/>
          <w:sz w:val="24"/>
        </w:rPr>
        <w:t>На техническо равнище през 2017 г. бяха организирани четири тристранни срещи между Комисията, представители на ОСТ и държавите членки, свързани с тях</w:t>
      </w:r>
      <w:r>
        <w:rPr>
          <w:rFonts w:ascii="Times New Roman" w:hAnsi="Times New Roman"/>
          <w:noProof/>
          <w:sz w:val="24"/>
        </w:rPr>
        <w:t xml:space="preserve">, създавайки възможност за диалог между Комисията, ОСТ и представителите на държавите членки и за наблюдение на напредъка, изпълнението и програмирането на средствата, с които разполага 11-ият ЕФР.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На политическо равнище по време на </w:t>
      </w:r>
      <w:r>
        <w:rPr>
          <w:rFonts w:ascii="Times New Roman" w:hAnsi="Times New Roman"/>
          <w:b/>
          <w:noProof/>
          <w:sz w:val="24"/>
        </w:rPr>
        <w:t>15-ия форум ОСТ—ЕС, който бе проведен през февруари 2017 г.</w:t>
      </w:r>
      <w:r>
        <w:rPr>
          <w:rFonts w:ascii="Times New Roman" w:hAnsi="Times New Roman"/>
          <w:noProof/>
          <w:sz w:val="24"/>
        </w:rPr>
        <w:t xml:space="preserve"> и се опря на заключенията от 14-ия форум ОСТ—ЕС от 2016 г., ЕС, ОСТ и техните държави членки отново потвърдиха твърдия си ангажимент за изграждане на устойчивост и жизнеспособност с цел намиране на трайни решения за сложните и общи предизвикателства, като изменението на климата, намаляването на рисковете от бедствия и енергията от възобновяеми източници, и признаха значението на регионалното сътрудничество, като по този начин захраниха тематичните и регионалните програми.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И накрая, </w:t>
      </w:r>
      <w:r>
        <w:rPr>
          <w:rFonts w:ascii="Times New Roman" w:hAnsi="Times New Roman"/>
          <w:b/>
          <w:noProof/>
          <w:sz w:val="24"/>
        </w:rPr>
        <w:t>тристранните срещи</w:t>
      </w:r>
      <w:r>
        <w:rPr>
          <w:rFonts w:ascii="Times New Roman" w:hAnsi="Times New Roman"/>
          <w:noProof/>
          <w:sz w:val="24"/>
        </w:rPr>
        <w:t xml:space="preserve"> между Комисията, териториалните/регионалните разпоредители с бюджетни кредити на OCT и държавите членки, с които са свързани ОСТ, проведени успоредно с 15-ия форум ОСТ—ЕС, предоставиха възможност за обсъждане и решаване на всички евентуални въпроси, свързани с програмирането и изпълнението на финансовите ресурси, както и за конкретно планиране на следващите стъпки.</w:t>
      </w:r>
    </w:p>
    <w:p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Териториални и регионални програми по 11-ия ЕФР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Благодарение на общата ангажираност на всички заинтересовани страни бяха постигнати значителни резултати по отношение на програмирането на ресурсите на 11-ия ЕФР през 2016 г. и 2017 г.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В съответствие с член 81 от Решението за отвъдморско асоцииране през 2016 г. и 2017 г. беше извършено пълно </w:t>
      </w:r>
      <w:r>
        <w:rPr>
          <w:rFonts w:ascii="Times New Roman" w:hAnsi="Times New Roman"/>
          <w:b/>
          <w:noProof/>
          <w:sz w:val="24"/>
        </w:rPr>
        <w:t>мобилизиране на техническата помощ (ТП)</w:t>
      </w:r>
      <w:r>
        <w:rPr>
          <w:rFonts w:ascii="Times New Roman" w:hAnsi="Times New Roman"/>
          <w:noProof/>
          <w:sz w:val="24"/>
        </w:rPr>
        <w:t xml:space="preserve"> в подкрепа на териториалните и регионалните разпоредители с бюджетни кредити в процеса на програмиране. В края на 2017 г. бяха възложени договори за ТП или за проучвания с цел определяне на секторните стратегии на ОСТ или установяване на това дали ОСТ отговарят на условията за получаване на бюджетна подкрепа. Общата стойност на договорите е 3,64 милиона евро, като тези средства са отпуснати по линия на инструменти за техническо сътрудничество I и II на 11-ия ЕФР.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На териториално равнище бяха одобрени </w:t>
      </w:r>
      <w:r>
        <w:rPr>
          <w:rFonts w:ascii="Times New Roman" w:hAnsi="Times New Roman"/>
          <w:b/>
          <w:noProof/>
          <w:sz w:val="24"/>
        </w:rPr>
        <w:t>всички стратегии за реакция на ЕС</w:t>
      </w:r>
      <w:r>
        <w:rPr>
          <w:rFonts w:ascii="Times New Roman" w:hAnsi="Times New Roman"/>
          <w:noProof/>
          <w:sz w:val="24"/>
        </w:rPr>
        <w:t xml:space="preserve"> (с изключение на Кюрасао и Синт Мартен), докато </w:t>
      </w:r>
      <w:r>
        <w:rPr>
          <w:rFonts w:ascii="Times New Roman" w:hAnsi="Times New Roman"/>
          <w:b/>
          <w:noProof/>
          <w:sz w:val="24"/>
        </w:rPr>
        <w:t>Света Елена</w:t>
      </w:r>
      <w:r>
        <w:rPr>
          <w:rFonts w:ascii="Times New Roman" w:hAnsi="Times New Roman"/>
          <w:noProof/>
          <w:sz w:val="24"/>
        </w:rPr>
        <w:t xml:space="preserve"> приключи етапа на определяне през второто тримесечие на 2017 г., а етапа на формулиране — през декември 2017 г.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В допълнение към документите за програмиране на </w:t>
      </w:r>
      <w:r>
        <w:rPr>
          <w:rFonts w:ascii="Times New Roman" w:hAnsi="Times New Roman"/>
          <w:b/>
          <w:noProof/>
          <w:sz w:val="24"/>
        </w:rPr>
        <w:t>Сен Пиер и Микелон</w:t>
      </w:r>
      <w:r>
        <w:rPr>
          <w:rFonts w:ascii="Times New Roman" w:hAnsi="Times New Roman"/>
          <w:noProof/>
          <w:sz w:val="24"/>
        </w:rPr>
        <w:t xml:space="preserve">, които бяха подписани през есента на 2016 г., петте документа за програмиране за </w:t>
      </w:r>
      <w:r>
        <w:rPr>
          <w:rFonts w:ascii="Times New Roman" w:hAnsi="Times New Roman"/>
          <w:b/>
          <w:noProof/>
          <w:sz w:val="24"/>
        </w:rPr>
        <w:t>Нова Каледония, островите Търкс и Кайкос, Саба, Синт Еустациус и Ангила</w:t>
      </w:r>
      <w:r>
        <w:rPr>
          <w:rFonts w:ascii="Times New Roman" w:hAnsi="Times New Roman"/>
          <w:noProof/>
          <w:sz w:val="24"/>
        </w:rPr>
        <w:t xml:space="preserve"> бяха подписани с комисар Невен Мимица на 15-ия форум ОСТ—ЕС, проведен през февруари 2017 г. в Аруба.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Освен това в края на годината бяха приети четири други документа за програмиране — за </w:t>
      </w:r>
      <w:r>
        <w:rPr>
          <w:rFonts w:ascii="Times New Roman" w:hAnsi="Times New Roman"/>
          <w:b/>
          <w:noProof/>
          <w:sz w:val="24"/>
        </w:rPr>
        <w:t>Фолкландските острови, Питкерн, Уолис и Футуна и Френска Полинезия</w:t>
      </w:r>
      <w:r>
        <w:rPr>
          <w:rFonts w:ascii="Times New Roman" w:hAnsi="Times New Roman"/>
          <w:noProof/>
          <w:sz w:val="24"/>
        </w:rPr>
        <w:t xml:space="preserve">. Процедурата за приемане на документа за програмиране за </w:t>
      </w:r>
      <w:r>
        <w:rPr>
          <w:rFonts w:ascii="Times New Roman" w:hAnsi="Times New Roman"/>
          <w:b/>
          <w:noProof/>
          <w:sz w:val="24"/>
        </w:rPr>
        <w:t>Монтсерат</w:t>
      </w:r>
      <w:r>
        <w:rPr>
          <w:rFonts w:ascii="Times New Roman" w:hAnsi="Times New Roman"/>
          <w:noProof/>
          <w:sz w:val="24"/>
        </w:rPr>
        <w:t xml:space="preserve"> започна през декември 2017 г., като бе предвидено той да бъде приет през втората седмица на януари 2018 г.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Във финансово изражение това представлява почти 75 % от общия размер на териториалните ресурси за финансиране.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На регионално равнище, както е посочено по-горе, </w:t>
      </w:r>
      <w:r>
        <w:rPr>
          <w:rFonts w:ascii="Times New Roman" w:hAnsi="Times New Roman"/>
          <w:b/>
          <w:noProof/>
          <w:sz w:val="24"/>
        </w:rPr>
        <w:t>регионалната програма за Тихоокеанския регион</w:t>
      </w:r>
      <w:r>
        <w:rPr>
          <w:rFonts w:ascii="Times New Roman" w:hAnsi="Times New Roman"/>
          <w:noProof/>
          <w:sz w:val="24"/>
        </w:rPr>
        <w:t xml:space="preserve"> е първата регионална програма, която приключи етапа на формулиране, докато </w:t>
      </w:r>
      <w:r>
        <w:rPr>
          <w:rFonts w:ascii="Times New Roman" w:hAnsi="Times New Roman"/>
          <w:b/>
          <w:noProof/>
          <w:sz w:val="24"/>
        </w:rPr>
        <w:t>регионалната програма за Карибите</w:t>
      </w:r>
      <w:r>
        <w:rPr>
          <w:rFonts w:ascii="Times New Roman" w:hAnsi="Times New Roman"/>
          <w:noProof/>
          <w:sz w:val="24"/>
        </w:rPr>
        <w:t xml:space="preserve"> приключи успешно етапа на определяне.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Що се отнася до регионалната програма за Карибите, трябва да се отбележи, както бе посочено по-горе, че след преминаването на ураганите Ирма и Мария през Карибския басейн, ОСТ се договориха по време на работната среща в Бонер през ноември 2017 г. да се намали обхватът на енергийния компонент, като същевременно около 20 милиона евро бъдат пренасочени за изграждане на устойчивост.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Що се отнася до </w:t>
      </w:r>
      <w:r>
        <w:rPr>
          <w:rFonts w:ascii="Times New Roman" w:hAnsi="Times New Roman"/>
          <w:b/>
          <w:noProof/>
          <w:sz w:val="24"/>
        </w:rPr>
        <w:t>Индийския океан</w:t>
      </w:r>
      <w:r>
        <w:rPr>
          <w:rFonts w:ascii="Times New Roman" w:hAnsi="Times New Roman"/>
          <w:noProof/>
          <w:sz w:val="24"/>
        </w:rPr>
        <w:t xml:space="preserve"> и </w:t>
      </w:r>
      <w:r>
        <w:rPr>
          <w:rFonts w:ascii="Times New Roman" w:hAnsi="Times New Roman"/>
          <w:b/>
          <w:noProof/>
          <w:sz w:val="24"/>
        </w:rPr>
        <w:t>тематичната регионална програма в рамките на OCT</w:t>
      </w:r>
      <w:r>
        <w:rPr>
          <w:rFonts w:ascii="Times New Roman" w:hAnsi="Times New Roman"/>
          <w:noProof/>
          <w:sz w:val="24"/>
        </w:rPr>
        <w:t>, етапът на определяне е в процес на изпълнение.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На последно място, през 2017 г. приключи също програмирането за </w:t>
      </w:r>
      <w:r>
        <w:rPr>
          <w:rFonts w:ascii="Times New Roman" w:hAnsi="Times New Roman"/>
          <w:b/>
          <w:noProof/>
          <w:sz w:val="24"/>
        </w:rPr>
        <w:t>мерките за подкрепа на асоциирането на ОСТ (АОСТ) по линия на 11-ия ЕФР</w:t>
      </w:r>
      <w:r>
        <w:rPr>
          <w:rFonts w:ascii="Times New Roman" w:hAnsi="Times New Roman"/>
          <w:noProof/>
          <w:sz w:val="24"/>
        </w:rPr>
        <w:t xml:space="preserve"> на обща стойност 1,1 милиона евро за 2018 г. и 2019 г. Тези мерки ще подпомогнат институционалното функциониране на АОСТ, което осигурява форум за ефективни работни отношения с ЕС и подкрепя колективните интереси на държавите му членки в няколко области на взаимен интерес в рамките на асоциирането ЕС—ОСТ.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Въз основа на постигнатия през 2016 г. напредък 2017 г. бе решаваща за партньорството между ЕС и OCT, при което се ускори значително програмирането на 11-ия ЕФР, що се отнася до регионалните средства, наред с другото чрез засилена координация и почти приключи програмирането на териториалните финансови пакети.</w:t>
      </w:r>
    </w:p>
    <w:p>
      <w:pPr>
        <w:pStyle w:val="ListParagraph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Изпълнение на 11-ия ЕФР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Изпълнението на програмите за реформи на отрасловата ефективност по 11-ия ЕФР за Сен Пиер и Микелон, Нова Каледония, Ангила, Саба, Синт Еустациус и островите Търкс и Кайкос понястоящем се изпълняват по план, докато споразумението за финансиране за Фолкландските острови бе подписано на 4 декември 2017 г. В този контекст специален акцент бе поставен върху диалога с партньорските ОСТ.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По-конкретно през юни 2017 г. Комисията успешно отпусна втория транш от 6 милиона евро на </w:t>
      </w:r>
      <w:r>
        <w:rPr>
          <w:rFonts w:ascii="Times New Roman" w:hAnsi="Times New Roman"/>
          <w:b/>
          <w:noProof/>
          <w:sz w:val="24"/>
        </w:rPr>
        <w:t>Сен Пиер и Микелон</w:t>
      </w:r>
      <w:r>
        <w:rPr>
          <w:rFonts w:ascii="Times New Roman" w:hAnsi="Times New Roman"/>
          <w:noProof/>
          <w:sz w:val="24"/>
        </w:rPr>
        <w:t xml:space="preserve">, които заедно с извършеното през 2016 г. плащане на 7 милиона евро представляват почти 50 % от изпълнението на общия финансов пакет от 26,35 милиона евро в подкрепа на сектора на устойчивия туризъм и морските услуги. Това е резултат, наред с друго, от конструктивен диалог в областта на политиката между Сен Пиер и Микелон и Европейската комисия, който започна през октомври 2016 г. и продължи през 2017 г. на техническо равнище.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В допълнение към плащанията на първите траншове за програмите за бюджетна подкрепа по 11-ия ЕФР за </w:t>
      </w:r>
      <w:r>
        <w:rPr>
          <w:rFonts w:ascii="Times New Roman" w:hAnsi="Times New Roman"/>
          <w:b/>
          <w:noProof/>
          <w:sz w:val="24"/>
        </w:rPr>
        <w:t>островите Търкс и Кайкос</w:t>
      </w:r>
      <w:r>
        <w:rPr>
          <w:rFonts w:ascii="Times New Roman" w:hAnsi="Times New Roman"/>
          <w:noProof/>
          <w:sz w:val="24"/>
        </w:rPr>
        <w:t xml:space="preserve"> (4 милиона евро) и </w:t>
      </w:r>
      <w:r>
        <w:rPr>
          <w:rFonts w:ascii="Times New Roman" w:hAnsi="Times New Roman"/>
          <w:b/>
          <w:noProof/>
          <w:sz w:val="24"/>
        </w:rPr>
        <w:t>Ангила</w:t>
      </w:r>
      <w:r>
        <w:rPr>
          <w:rFonts w:ascii="Times New Roman" w:hAnsi="Times New Roman"/>
          <w:noProof/>
          <w:sz w:val="24"/>
        </w:rPr>
        <w:t xml:space="preserve"> (3,6 милиона евро) в рамките на незабавните усилия за осигуряване на бързи ответни мерки след преминаването на ураганите Ирма и Мария, посочени по-горе. Първият транш от 5,76 милиона евро по линия на 11-ия ЕФР бе отпуснат през декември 2017 г. на </w:t>
      </w:r>
      <w:r>
        <w:rPr>
          <w:rFonts w:ascii="Times New Roman" w:hAnsi="Times New Roman"/>
          <w:b/>
          <w:noProof/>
          <w:sz w:val="24"/>
        </w:rPr>
        <w:t>Нова Каледония</w:t>
      </w:r>
      <w:r>
        <w:rPr>
          <w:rFonts w:ascii="Times New Roman" w:hAnsi="Times New Roman"/>
          <w:noProof/>
          <w:sz w:val="24"/>
        </w:rPr>
        <w:t xml:space="preserve"> в подкрепа на сектора на заетостта и професионалното интегриране. По този повод диалогът в областта на политиката, провеждан редовно с правителството на Нова Каледония през цялата 2017 г., позволи да бъдат разгледани важни приоритети, особено във връзка с политиката за заетостта и нейното изпълнение.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На последно място, постигнат бе задоволителен напредък и в изпълнението на стратегията за енергийния сектор на </w:t>
      </w:r>
      <w:r>
        <w:rPr>
          <w:rFonts w:ascii="Times New Roman" w:hAnsi="Times New Roman"/>
          <w:b/>
          <w:noProof/>
          <w:sz w:val="24"/>
        </w:rPr>
        <w:t>Саба</w:t>
      </w:r>
      <w:r>
        <w:rPr>
          <w:rFonts w:ascii="Times New Roman" w:hAnsi="Times New Roman"/>
          <w:noProof/>
          <w:sz w:val="24"/>
        </w:rPr>
        <w:t>, за която първият фиксиран транш в размер на 1,9 милиона евро по 11-ия ЕФР бе изцяло отпуснат през декември 2017 г.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>Европейска инвестиционна банка (ЕИБ)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По линия на Инвестиционния механизъм за ОСТ от управлявания от ЕИБ финансов пакет на стойност 5 милиона евро от финансирането по 11-ия ЕФР, предназначено за лихвени субсидии и техническа помощ за ОСТ, 25 500 EUR бяха използвани за лихвена субсидия за операция в Таити (Френска Полинезия) вследствие на отмяна на непогасената част от заема.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По Инвестиционния механизъм за ОСТ през 2017 г. бяха подписани две нови операции: кредитна линия с Banque Caledonienne d’Investissement за сума в размер на 20 милиона евро за частично финансиране на проекти, предприети от частни предприятия и субекти на публичния сектор в Нова Каледония. По линия на рамковия заем, сключен с Банката за развитие на Карибите и насочен към отпускането на заеми за смекчаване на последиците от изменението на климата, за адаптиране към изменението на климата и за устойчивост по отношение на изменението на климата, за ОСТ бяха заделени 3,8 милиона евро.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Съгласно Решението за отвъдморско асоцииране се предвижда също така допълнително финансиране (до 100 милиона евро за периода 2014—2020 г.) от собствените ресурси на ЕИБ</w:t>
      </w:r>
      <w:r>
        <w:rPr>
          <w:rStyle w:val="FootnoteReference"/>
          <w:rFonts w:ascii="Times New Roman" w:hAnsi="Times New Roman"/>
          <w:noProof/>
          <w:sz w:val="24"/>
        </w:rPr>
        <w:footnoteReference w:id="10"/>
      </w:r>
      <w:r>
        <w:rPr>
          <w:rFonts w:ascii="Times New Roman" w:hAnsi="Times New Roman"/>
          <w:noProof/>
          <w:sz w:val="24"/>
        </w:rPr>
        <w:t>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В рамките на пакета от собствени ресурси за OCT през 2015 г. ЕИБ сключи споразумение за заем с Нова Каледония, като предостави инвестиционен заем в размер на 20 милиона евро за строителството на нова болница, която да бъде централната болница за цялата територия, като замени четири съществуващи болници. Проектът се осъществява в тясно сътрудничество с Френската агенция за развитие (Agence Française de Developpement). След приключването на процеса на ратифициране на Споразумението за гаранции от всички държави членки заемът беше отпуснат в пълен размер на 1 септември 2016 г.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>Перспективи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2018 г. ще бъде особено важна за ОСТ за ефективно приключване на програмирането за регионалните им програми, като се обръща особено внимание на създаването на синергии чрез увеличен и по-добър обмен между ОСТ и между ОСТ, страните от АКТБ и най-отдалечените региони.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Същевременно Европейската комисия ще продължи да подкрепя ОСТ, пострадали от ураганите Ирма и Мария, в усилията им за възстановяване и работи в тясно сътрудничество с тях за задоволяване на нуждите им по възможно най-добрия начин.</w:t>
      </w:r>
    </w:p>
    <w:p>
      <w:pPr>
        <w:keepLines/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В по-глобален аспект следващата година също ще бъде от решаващо значение за по-нататъшния напредък в размислите относно финансовото сътрудничество на ЕС с OCT, като се имат предвид резултатите от дискусиите в рамките на 16-ия форум ОСТ—ЕС и предстоящата оценка на въздействието за следващите инструменти за външно финансиране за периода след 2020 г. и съответните законодателни предложения. 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>
        <w:rPr>
          <w:rStyle w:val="FootnoteReference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auto"/>
          <w:sz w:val="20"/>
        </w:rPr>
        <w:t>Решение 2013/755/ЕС на Съвета за асоцииране на отвъдморските страни и територии към Европейския съюз.</w:t>
      </w:r>
    </w:p>
  </w:footnote>
  <w:footnote w:id="2">
    <w:p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Отвъдморските страни и територии на ЕС са Гренландия, Нова Каледония и зависимите територии, Френска Полинезия, Френските южни и антарктически територии, островите Уолис и Футуна, Сен Пиер и Микелон, Сен Бартелеми, Аруба, Бонер, Кюрасао, Саба, Синт Еустациус, Синт Мартен, Ангила, Каймановите острови, Фолкландските острови, Южна Джорджия и Южни Сандвичеви острови, Монтсерат, островите Питкерн, остров Света Елена и зависимите територии (с настоящо наименование Света Елена, Възнесение и Тристан да Куня), Британската антарктическа територия, Британските територии в Индийския океан, Търкс и Кайкос, Британските Вирджински острови, Бермуда.</w:t>
      </w:r>
    </w:p>
  </w:footnote>
  <w:footnote w:id="3">
    <w:p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Част четвърта от Договора за функционирането на Европейския съюз (ОВ С 326, 26.10.2012 г., стр. 47).</w:t>
      </w:r>
    </w:p>
  </w:footnote>
  <w:footnote w:id="4"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Вътрешно споразумение между представителите на правителствата на държавите — членки на Европейския съюз, заседаващи в рамките на Съвета, относно финансирането на помощта от Европейския съюз съгласно многогодишната финансова рамка за периода 2014—2020 г. в съответствие със Споразумението за партньорство АКТБ—ЕС и за разпределението на финансовата помощ за отвъдморските страни и територии, за които се прилага част четвърта от Договора за функционирането на Европейския съюз (ОВ L 210, 6.8.2013 г., стр. 1). </w:t>
      </w:r>
    </w:p>
  </w:footnote>
  <w:footnote w:id="5">
    <w:p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Приложение 1 към настоящия доклад съдържа списък на индикативните териториални и регионални средства за отделните отвъдморски страни и територии.</w:t>
      </w:r>
    </w:p>
  </w:footnote>
  <w:footnote w:id="6"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С Решение 2014/137/ЕС на Съвета за отношенията между ЕС, от една страна, и Гренландия и Кралство Дания, от друга страна, се отпускат 217,8 милиона евро за периода 2014—2020 г. за сътрудничество между Съюза и Гренландия в област от взаимен интерес. </w:t>
      </w:r>
    </w:p>
  </w:footnote>
  <w:footnote w:id="7">
    <w:p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Част четвърта от Решението за отвъдморско асоцииране. </w:t>
      </w:r>
    </w:p>
  </w:footnote>
  <w:footnote w:id="8">
    <w:p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Нова Каледония, Уолис и Футуна, Френска Полинезия и Питкерн.</w:t>
      </w:r>
    </w:p>
  </w:footnote>
  <w:footnote w:id="9">
    <w:p>
      <w:pPr>
        <w:pStyle w:val="FootnoteText"/>
        <w:spacing w:after="0" w:line="240" w:lineRule="auto"/>
        <w:jc w:val="both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Събитията бяха финансирани съответно по линия на Инструмента за техническо сътрудничество на 11-ия ЕФР и Инструмента на ЕС за техническа помощ за устойчива енергия.</w:t>
      </w:r>
    </w:p>
  </w:footnote>
  <w:footnote w:id="10">
    <w:p>
      <w:pPr>
        <w:pStyle w:val="FootnoteText"/>
        <w:spacing w:after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секторите за енергия от възобновяеми източници и ИКТ бяха подготвени три проекта на обща стойност около 80 милиона евро.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EA9"/>
    <w:multiLevelType w:val="hybridMultilevel"/>
    <w:tmpl w:val="1BA4B8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36CE9"/>
    <w:multiLevelType w:val="hybridMultilevel"/>
    <w:tmpl w:val="F95262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8798B"/>
    <w:multiLevelType w:val="hybridMultilevel"/>
    <w:tmpl w:val="25A8F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B5624"/>
    <w:multiLevelType w:val="hybridMultilevel"/>
    <w:tmpl w:val="D788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A5166"/>
    <w:multiLevelType w:val="hybridMultilevel"/>
    <w:tmpl w:val="5D40D56C"/>
    <w:lvl w:ilvl="0" w:tplc="BC7A2B4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B0680"/>
    <w:multiLevelType w:val="hybridMultilevel"/>
    <w:tmpl w:val="FFACF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94F1C"/>
    <w:multiLevelType w:val="hybridMultilevel"/>
    <w:tmpl w:val="AF22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80440"/>
    <w:multiLevelType w:val="hybridMultilevel"/>
    <w:tmpl w:val="EE92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90469"/>
    <w:multiLevelType w:val="hybridMultilevel"/>
    <w:tmpl w:val="DF1A72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E01C5"/>
    <w:multiLevelType w:val="hybridMultilevel"/>
    <w:tmpl w:val="1FA6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ce Fracchia">
    <w15:presenceInfo w15:providerId="Windows Live" w15:userId="0001d19853aa16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123C2FB0-14F6-46B6-A9CC-C24E7C7704A0"/>
    <w:docVar w:name="LW_COVERPAGE_TYPE" w:val="1"/>
    <w:docVar w:name="LW_CROSSREFERENCE" w:val="&lt;UNUSED&gt;"/>
    <w:docVar w:name="LW_DocType" w:val="NORMAL"/>
    <w:docVar w:name="LW_EMISSION" w:val="22.2.2018"/>
    <w:docVar w:name="LW_EMISSION_ISODATE" w:val="2018-02-22"/>
    <w:docVar w:name="LW_EMISSION_LOCATION" w:val="BRX"/>
    <w:docVar w:name="LW_EMISSION_PREFIX" w:val="Брюксел, "/>
    <w:docVar w:name="LW_EMISSION_SUFFIX" w:val="\u1075?."/>
    <w:docVar w:name="LW_ID_DOCTYPE_NONLW" w:val="CP-004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8) 7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\u1079?\u1072? 2017 \u1075?. \u1086?\u1090?\u1085?\u1086?\u1089?\u1085?\u1086? \u1080?\u1079?\u1087?\u1098?\u1083?\u1085?\u1077?\u1085?\u1080?\u1077?\u1090?\u1086? \u1085?\u1072? \u1092?\u1080?\u1085?\u1072?\u1085?\u1089?\u1086?\u1074?\u1072?\u1090?\u1072? \u1087?\u1086?\u1084?\u1086?\u1097?, \u1087?\u1088?\u1077?\u1076?\u1086?\u1089?\u1090?\u1072?\u1074?\u1077?\u1085?\u1072? \u1085?\u1072? \u1086?\u1090?\u1074?\u1098?\u1076?\u1084?\u1086?\u1088?\u1089?\u1082?\u1080?\u1090?\u1077? \u1089?\u1090?\u1088?\u1072?\u1085?\u1080? \u1080? \u1090?\u1077?\u1088?\u1080?\u1090?\u1086?\u1088?\u1080?\u1080? \u1087?\u1086? \u1083?\u1080?\u1085?\u1080?\u1103? \u1085?\u1072? 11-\u1080?\u1103? \u1045?\u1074?\u1088?\u1086?\u1087?\u1077?\u1081?\u1089?\u1082?\u1080? \u1092?\u1086?\u1085?\u1076? \u1079?\u1072? \u1088?\u1072?\u1079?\u1074?\u1080?\u1090?\u1080?\u1077?"/>
    <w:docVar w:name="LW_TYPE.DOC.CP" w:val="\u1044?\u1054?\u1050?\u1051?\u1040?\u1044? \u1053?\u1040? \u1050?\u1054?\u1052?\u1048?\u1057?\u1048?\u1071?\u1058?\u1040? \u1044?\u1054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8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3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63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4021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68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1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E8A2-D994-456F-9E5C-5B4E343A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3041</Words>
  <Characters>17187</Characters>
  <Application>Microsoft Office Word</Application>
  <DocSecurity>0</DocSecurity>
  <Lines>296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DIGIT/A3</cp:lastModifiedBy>
  <cp:revision>17</cp:revision>
  <cp:lastPrinted>2018-01-17T14:05:00Z</cp:lastPrinted>
  <dcterms:created xsi:type="dcterms:W3CDTF">2018-01-26T10:37:00Z</dcterms:created>
  <dcterms:modified xsi:type="dcterms:W3CDTF">2018-02-22T08:36:00Z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Level of sensitivity">
    <vt:lpwstr>Standard treatment</vt:lpwstr>
  </property>
</Properties>
</file>