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CDD216E-306D-401D-AF4B-026D4450BE04" style="width:450.75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before="100" w:beforeAutospacing="1" w:after="100" w:afterAutospacing="1"/>
        <w:jc w:val="both"/>
        <w:rPr>
          <w:rFonts w:ascii="Times New Roman" w:eastAsia="Calibri"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Décisions de la Commission adoptées en 2016</w:t>
      </w:r>
    </w:p>
    <w:tbl>
      <w:tblPr>
        <w:tblW w:w="0" w:type="auto"/>
        <w:tblInd w:w="55" w:type="dxa"/>
        <w:tblCellMar>
          <w:left w:w="70" w:type="dxa"/>
          <w:right w:w="70" w:type="dxa"/>
        </w:tblCellMar>
        <w:tblLook w:val="04A0" w:firstRow="1" w:lastRow="0" w:firstColumn="1" w:lastColumn="0" w:noHBand="0" w:noVBand="1"/>
      </w:tblPr>
      <w:tblGrid>
        <w:gridCol w:w="2687"/>
        <w:gridCol w:w="2431"/>
        <w:gridCol w:w="2417"/>
        <w:gridCol w:w="1622"/>
      </w:tblGrid>
      <w:tr>
        <w:trPr>
          <w:trHeight w:val="361"/>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PTOM</w:t>
            </w:r>
          </w:p>
        </w:tc>
        <w:tc>
          <w:tcPr>
            <w:tcW w:w="2431" w:type="dxa"/>
            <w:tcBorders>
              <w:top w:val="single" w:sz="4" w:space="0" w:color="auto"/>
              <w:left w:val="nil"/>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2417" w:type="dxa"/>
            <w:tcBorders>
              <w:top w:val="single" w:sz="4" w:space="0" w:color="auto"/>
              <w:left w:val="nil"/>
              <w:bottom w:val="single" w:sz="4" w:space="0" w:color="auto"/>
              <w:right w:val="single" w:sz="4" w:space="0" w:color="auto"/>
            </w:tcBorders>
            <w:shd w:val="clear" w:color="auto" w:fill="BFBFBF"/>
            <w:vAlign w:val="center"/>
          </w:tcPr>
          <w:p>
            <w:pPr>
              <w:jc w:val="center"/>
              <w:rPr>
                <w:rFonts w:ascii="Times New Roman" w:eastAsia="Calibri" w:hAnsi="Times New Roman" w:cs="Times New Roman"/>
                <w:b/>
                <w:noProof/>
                <w:sz w:val="24"/>
                <w:szCs w:val="24"/>
              </w:rPr>
            </w:pPr>
            <w:r>
              <w:rPr>
                <w:rFonts w:ascii="Times New Roman" w:hAnsi="Times New Roman"/>
                <w:b/>
                <w:noProof/>
                <w:sz w:val="24"/>
              </w:rPr>
              <w:t>Secteur de concentration</w:t>
            </w:r>
          </w:p>
        </w:tc>
        <w:tc>
          <w:tcPr>
            <w:tcW w:w="1622" w:type="dxa"/>
            <w:tcBorders>
              <w:top w:val="single" w:sz="4" w:space="0" w:color="auto"/>
              <w:left w:val="nil"/>
              <w:bottom w:val="single" w:sz="4" w:space="0" w:color="auto"/>
              <w:right w:val="single" w:sz="4" w:space="0" w:color="auto"/>
            </w:tcBorders>
            <w:shd w:val="clear" w:color="auto" w:fill="BFBFBF"/>
            <w:vAlign w:val="center"/>
          </w:tcPr>
          <w:p>
            <w:pPr>
              <w:jc w:val="center"/>
              <w:rPr>
                <w:rFonts w:ascii="Times New Roman" w:eastAsia="Calibri" w:hAnsi="Times New Roman" w:cs="Times New Roman"/>
                <w:b/>
                <w:noProof/>
                <w:sz w:val="24"/>
                <w:szCs w:val="24"/>
              </w:rPr>
            </w:pPr>
            <w:r>
              <w:rPr>
                <w:rFonts w:ascii="Times New Roman" w:hAnsi="Times New Roman"/>
                <w:b/>
                <w:noProof/>
                <w:sz w:val="24"/>
              </w:rPr>
              <w:t>Décision de la Commission adoptée</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Saint-Pierre-et-Miquelon</w:t>
            </w:r>
          </w:p>
        </w:tc>
        <w:tc>
          <w:tcPr>
            <w:tcW w:w="2431"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26,35</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Tourisme durable et connectivité maritime</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 xml:space="preserve">C(2016) 5993 </w:t>
            </w:r>
          </w:p>
        </w:tc>
      </w:tr>
      <w:tr>
        <w:trPr>
          <w:trHeight w:val="397"/>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Saba</w:t>
            </w:r>
          </w:p>
        </w:tc>
        <w:tc>
          <w:tcPr>
            <w:tcW w:w="2431"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3,55</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Énergies renouvelables</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 xml:space="preserve">C(2016) 8490 </w:t>
            </w:r>
          </w:p>
        </w:tc>
      </w:tr>
      <w:tr>
        <w:trPr>
          <w:trHeight w:val="397"/>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Saint-Eustache</w:t>
            </w:r>
          </w:p>
        </w:tc>
        <w:tc>
          <w:tcPr>
            <w:tcW w:w="2431"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2,45</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Énergie </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 xml:space="preserve">C(2016) 8493 </w:t>
            </w:r>
          </w:p>
        </w:tc>
      </w:tr>
      <w:tr>
        <w:trPr>
          <w:trHeight w:val="397"/>
        </w:trPr>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Îles Turks-et-Caïcos</w:t>
            </w:r>
          </w:p>
        </w:tc>
        <w:tc>
          <w:tcPr>
            <w:tcW w:w="2431"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14,60</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Enseignement </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 xml:space="preserve">C(2016) 8291 </w:t>
            </w:r>
          </w:p>
        </w:tc>
      </w:tr>
      <w:tr>
        <w:trPr>
          <w:trHeight w:val="397"/>
        </w:trPr>
        <w:tc>
          <w:tcPr>
            <w:tcW w:w="2687" w:type="dxa"/>
            <w:tcBorders>
              <w:top w:val="single" w:sz="4" w:space="0" w:color="auto"/>
              <w:left w:val="single" w:sz="4" w:space="0" w:color="auto"/>
              <w:bottom w:val="single" w:sz="4" w:space="0" w:color="auto"/>
              <w:right w:val="single" w:sz="4" w:space="0" w:color="auto"/>
            </w:tcBorders>
            <w:shd w:val="clear" w:color="auto" w:fill="BFBFBF"/>
            <w:noWrap/>
            <w:vAlign w:val="center"/>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Total</w:t>
            </w:r>
          </w:p>
        </w:tc>
        <w:tc>
          <w:tcPr>
            <w:tcW w:w="2431" w:type="dxa"/>
            <w:tcBorders>
              <w:top w:val="single" w:sz="4" w:space="0" w:color="auto"/>
              <w:left w:val="nil"/>
              <w:bottom w:val="single" w:sz="4" w:space="0" w:color="auto"/>
              <w:right w:val="single" w:sz="4" w:space="0" w:color="auto"/>
            </w:tcBorders>
            <w:shd w:val="clear" w:color="auto" w:fill="BFBFBF"/>
            <w:noWrap/>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r>
              <w:rPr>
                <w:rFonts w:ascii="Times New Roman" w:hAnsi="Times New Roman"/>
                <w:b/>
                <w:noProof/>
                <w:sz w:val="24"/>
              </w:rPr>
              <w:t>46,95</w:t>
            </w:r>
          </w:p>
        </w:tc>
        <w:tc>
          <w:tcPr>
            <w:tcW w:w="2417" w:type="dxa"/>
            <w:tcBorders>
              <w:top w:val="single" w:sz="4" w:space="0" w:color="auto"/>
              <w:left w:val="nil"/>
              <w:bottom w:val="single" w:sz="4" w:space="0" w:color="auto"/>
              <w:right w:val="single" w:sz="4" w:space="0" w:color="auto"/>
            </w:tcBorders>
            <w:shd w:val="clear" w:color="auto" w:fill="BFBFBF"/>
            <w:vAlign w:val="center"/>
          </w:tcPr>
          <w:p>
            <w:pPr>
              <w:spacing w:before="100" w:beforeAutospacing="1" w:after="100" w:afterAutospacing="1" w:line="240" w:lineRule="auto"/>
              <w:rPr>
                <w:rFonts w:ascii="Times New Roman" w:eastAsia="Calibri" w:hAnsi="Times New Roman" w:cs="Times New Roman"/>
                <w:b/>
                <w:noProof/>
                <w:sz w:val="24"/>
                <w:szCs w:val="24"/>
              </w:rPr>
            </w:pPr>
          </w:p>
        </w:tc>
        <w:tc>
          <w:tcPr>
            <w:tcW w:w="1622" w:type="dxa"/>
            <w:tcBorders>
              <w:top w:val="single" w:sz="4" w:space="0" w:color="auto"/>
              <w:left w:val="nil"/>
              <w:bottom w:val="single" w:sz="4" w:space="0" w:color="auto"/>
              <w:right w:val="single" w:sz="4" w:space="0" w:color="auto"/>
            </w:tcBorders>
            <w:shd w:val="clear" w:color="auto" w:fill="BFBFBF"/>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p>
        </w:tc>
      </w:tr>
    </w:tbl>
    <w:p>
      <w:pPr>
        <w:pStyle w:val="ListParagraph"/>
        <w:numPr>
          <w:ilvl w:val="0"/>
          <w:numId w:val="2"/>
        </w:numPr>
        <w:spacing w:before="100" w:beforeAutospacing="1" w:after="100" w:afterAutospacing="1"/>
        <w:jc w:val="both"/>
        <w:rPr>
          <w:rFonts w:ascii="Times New Roman" w:eastAsia="Calibri" w:hAnsi="Times New Roman" w:cs="Times New Roman"/>
          <w:b/>
          <w:noProof/>
          <w:sz w:val="24"/>
          <w:szCs w:val="24"/>
          <w:u w:val="single"/>
        </w:rPr>
      </w:pPr>
      <w:r>
        <w:rPr>
          <w:rFonts w:ascii="Times New Roman" w:hAnsi="Times New Roman"/>
          <w:b/>
          <w:noProof/>
          <w:sz w:val="24"/>
          <w:u w:val="single"/>
        </w:rPr>
        <w:t>Décisions de la Commission adoptées en 2017</w:t>
      </w:r>
    </w:p>
    <w:tbl>
      <w:tblPr>
        <w:tblW w:w="9229" w:type="dxa"/>
        <w:tblInd w:w="55" w:type="dxa"/>
        <w:tblCellMar>
          <w:left w:w="70" w:type="dxa"/>
          <w:right w:w="70" w:type="dxa"/>
        </w:tblCellMar>
        <w:tblLook w:val="04A0" w:firstRow="1" w:lastRow="0" w:firstColumn="1" w:lastColumn="0" w:noHBand="0" w:noVBand="1"/>
      </w:tblPr>
      <w:tblGrid>
        <w:gridCol w:w="2842"/>
        <w:gridCol w:w="2276"/>
        <w:gridCol w:w="2412"/>
        <w:gridCol w:w="1699"/>
      </w:tblGrid>
      <w:tr>
        <w:trPr>
          <w:trHeight w:val="361"/>
        </w:trPr>
        <w:tc>
          <w:tcPr>
            <w:tcW w:w="2842"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PTOM</w:t>
            </w:r>
          </w:p>
        </w:tc>
        <w:tc>
          <w:tcPr>
            <w:tcW w:w="2276" w:type="dxa"/>
            <w:tcBorders>
              <w:top w:val="single" w:sz="4" w:space="0" w:color="auto"/>
              <w:left w:val="nil"/>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2412" w:type="dxa"/>
            <w:tcBorders>
              <w:top w:val="single" w:sz="4" w:space="0" w:color="auto"/>
              <w:left w:val="nil"/>
              <w:bottom w:val="single" w:sz="4" w:space="0" w:color="auto"/>
              <w:right w:val="single" w:sz="4" w:space="0" w:color="auto"/>
            </w:tcBorders>
            <w:shd w:val="clear" w:color="auto" w:fill="BFBFBF"/>
            <w:vAlign w:val="center"/>
          </w:tcPr>
          <w:p>
            <w:pPr>
              <w:jc w:val="center"/>
              <w:rPr>
                <w:rFonts w:ascii="Times New Roman" w:eastAsia="Calibri" w:hAnsi="Times New Roman" w:cs="Times New Roman"/>
                <w:b/>
                <w:noProof/>
                <w:sz w:val="24"/>
                <w:szCs w:val="24"/>
              </w:rPr>
            </w:pPr>
            <w:r>
              <w:rPr>
                <w:rFonts w:ascii="Times New Roman" w:hAnsi="Times New Roman"/>
                <w:b/>
                <w:noProof/>
                <w:sz w:val="24"/>
              </w:rPr>
              <w:t>Secteur de concentration</w:t>
            </w:r>
          </w:p>
        </w:tc>
        <w:tc>
          <w:tcPr>
            <w:tcW w:w="1699" w:type="dxa"/>
            <w:tcBorders>
              <w:top w:val="single" w:sz="4" w:space="0" w:color="auto"/>
              <w:left w:val="nil"/>
              <w:bottom w:val="single" w:sz="4" w:space="0" w:color="auto"/>
              <w:right w:val="single" w:sz="4" w:space="0" w:color="auto"/>
            </w:tcBorders>
            <w:shd w:val="clear" w:color="auto" w:fill="BFBFBF"/>
            <w:vAlign w:val="center"/>
          </w:tcPr>
          <w:p>
            <w:pPr>
              <w:spacing w:after="0"/>
              <w:jc w:val="center"/>
              <w:rPr>
                <w:rFonts w:ascii="Times New Roman" w:eastAsia="Calibri" w:hAnsi="Times New Roman" w:cs="Times New Roman"/>
                <w:b/>
                <w:noProof/>
                <w:sz w:val="24"/>
                <w:szCs w:val="24"/>
              </w:rPr>
            </w:pPr>
            <w:r>
              <w:rPr>
                <w:rFonts w:ascii="Times New Roman" w:hAnsi="Times New Roman"/>
                <w:b/>
                <w:noProof/>
                <w:sz w:val="24"/>
              </w:rPr>
              <w:t>Décision de la Commission adoptée</w:t>
            </w:r>
          </w:p>
        </w:tc>
      </w:tr>
      <w:tr>
        <w:trPr>
          <w:trHeight w:val="397"/>
        </w:trPr>
        <w:tc>
          <w:tcPr>
            <w:tcW w:w="2842"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Anguilla</w:t>
            </w:r>
          </w:p>
        </w:tc>
        <w:tc>
          <w:tcPr>
            <w:tcW w:w="2276"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14,05</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Enseignement</w:t>
            </w:r>
          </w:p>
        </w:tc>
        <w:tc>
          <w:tcPr>
            <w:tcW w:w="1699"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C(2017) 1107</w:t>
            </w:r>
          </w:p>
        </w:tc>
      </w:tr>
      <w:tr>
        <w:trPr>
          <w:trHeight w:val="397"/>
        </w:trPr>
        <w:tc>
          <w:tcPr>
            <w:tcW w:w="2842"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u w:val="single"/>
              </w:rPr>
            </w:pPr>
            <w:r>
              <w:rPr>
                <w:rFonts w:ascii="Times New Roman" w:hAnsi="Times New Roman"/>
                <w:b/>
                <w:noProof/>
                <w:sz w:val="24"/>
              </w:rPr>
              <w:t>Îles Falkland</w:t>
            </w:r>
          </w:p>
        </w:tc>
        <w:tc>
          <w:tcPr>
            <w:tcW w:w="2276"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b/>
                <w:noProof/>
                <w:sz w:val="24"/>
                <w:szCs w:val="24"/>
                <w:u w:val="single"/>
              </w:rPr>
            </w:pPr>
            <w:r>
              <w:rPr>
                <w:rFonts w:ascii="Times New Roman" w:hAnsi="Times New Roman"/>
                <w:noProof/>
                <w:sz w:val="24"/>
              </w:rPr>
              <w:t>5,90</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Connectivité et accessibilité</w:t>
            </w:r>
          </w:p>
        </w:tc>
        <w:tc>
          <w:tcPr>
            <w:tcW w:w="1699" w:type="dxa"/>
            <w:tcBorders>
              <w:bottom w:val="single" w:sz="4" w:space="0" w:color="auto"/>
              <w:right w:val="single" w:sz="4" w:space="0" w:color="auto"/>
            </w:tcBorders>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C(2017) 7131</w:t>
            </w:r>
          </w:p>
        </w:tc>
      </w:tr>
      <w:tr>
        <w:trPr>
          <w:trHeight w:val="397"/>
        </w:trPr>
        <w:tc>
          <w:tcPr>
            <w:tcW w:w="2842"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Polynésie française</w:t>
            </w:r>
          </w:p>
        </w:tc>
        <w:tc>
          <w:tcPr>
            <w:tcW w:w="2276"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29,95</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Tourisme</w:t>
            </w:r>
          </w:p>
        </w:tc>
        <w:tc>
          <w:tcPr>
            <w:tcW w:w="1699" w:type="dxa"/>
            <w:tcBorders>
              <w:bottom w:val="single" w:sz="4" w:space="0" w:color="auto"/>
              <w:right w:val="single" w:sz="4" w:space="0" w:color="auto"/>
            </w:tcBorders>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C(2017) 7129</w:t>
            </w:r>
          </w:p>
        </w:tc>
      </w:tr>
      <w:tr>
        <w:trPr>
          <w:trHeight w:val="300"/>
        </w:trPr>
        <w:tc>
          <w:tcPr>
            <w:tcW w:w="2842"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 xml:space="preserve">Nouvelle-Calédonie </w:t>
            </w:r>
          </w:p>
        </w:tc>
        <w:tc>
          <w:tcPr>
            <w:tcW w:w="2276"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29,80</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Emploi et insertion professionnelle</w:t>
            </w:r>
          </w:p>
        </w:tc>
        <w:tc>
          <w:tcPr>
            <w:tcW w:w="1699" w:type="dxa"/>
            <w:tcBorders>
              <w:top w:val="single" w:sz="4" w:space="0" w:color="auto"/>
              <w:bottom w:val="single" w:sz="4" w:space="0" w:color="auto"/>
              <w:right w:val="single" w:sz="4" w:space="0" w:color="auto"/>
            </w:tcBorders>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C(2017) 743</w:t>
            </w:r>
          </w:p>
        </w:tc>
      </w:tr>
      <w:tr>
        <w:trPr>
          <w:trHeight w:val="397"/>
        </w:trPr>
        <w:tc>
          <w:tcPr>
            <w:tcW w:w="2842"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Îles Pitcairn</w:t>
            </w:r>
          </w:p>
        </w:tc>
        <w:tc>
          <w:tcPr>
            <w:tcW w:w="2276"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2,40</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Tourisme </w:t>
            </w:r>
          </w:p>
        </w:tc>
        <w:tc>
          <w:tcPr>
            <w:tcW w:w="1699" w:type="dxa"/>
            <w:tcBorders>
              <w:top w:val="single" w:sz="4" w:space="0" w:color="auto"/>
              <w:bottom w:val="single" w:sz="4" w:space="0" w:color="auto"/>
              <w:right w:val="single" w:sz="4" w:space="0" w:color="auto"/>
            </w:tcBorders>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C(2017) 7847</w:t>
            </w:r>
            <w:r>
              <w:rPr>
                <w:rFonts w:ascii="Times New Roman" w:hAnsi="Times New Roman"/>
                <w:i/>
                <w:noProof/>
                <w:sz w:val="24"/>
              </w:rPr>
              <w:t> </w:t>
            </w:r>
          </w:p>
        </w:tc>
      </w:tr>
      <w:tr>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Wallis-et-Futuna</w:t>
            </w:r>
          </w:p>
        </w:tc>
        <w:tc>
          <w:tcPr>
            <w:tcW w:w="2276" w:type="dxa"/>
            <w:tcBorders>
              <w:top w:val="single" w:sz="4" w:space="0" w:color="auto"/>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19,60</w:t>
            </w:r>
          </w:p>
        </w:tc>
        <w:tc>
          <w:tcPr>
            <w:tcW w:w="2412"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Développement numérique </w:t>
            </w:r>
          </w:p>
        </w:tc>
        <w:tc>
          <w:tcPr>
            <w:tcW w:w="1699" w:type="dxa"/>
            <w:tcBorders>
              <w:top w:val="single" w:sz="4" w:space="0" w:color="auto"/>
              <w:bottom w:val="single" w:sz="4" w:space="0" w:color="auto"/>
              <w:right w:val="single" w:sz="4" w:space="0" w:color="auto"/>
            </w:tcBorders>
            <w:shd w:val="clear" w:color="auto" w:fill="auto"/>
            <w:vAlign w:val="center"/>
          </w:tcPr>
          <w:p>
            <w:pPr>
              <w:jc w:val="right"/>
              <w:rPr>
                <w:rFonts w:ascii="Times New Roman" w:eastAsia="Calibri" w:hAnsi="Times New Roman" w:cs="Times New Roman"/>
                <w:noProof/>
                <w:sz w:val="24"/>
                <w:szCs w:val="24"/>
              </w:rPr>
            </w:pPr>
            <w:r>
              <w:rPr>
                <w:rFonts w:ascii="Times New Roman" w:hAnsi="Times New Roman"/>
                <w:noProof/>
                <w:sz w:val="24"/>
              </w:rPr>
              <w:t>C(2017) 7130</w:t>
            </w:r>
          </w:p>
        </w:tc>
      </w:tr>
      <w:tr>
        <w:trPr>
          <w:trHeight w:val="397"/>
        </w:trPr>
        <w:tc>
          <w:tcPr>
            <w:tcW w:w="2842" w:type="dxa"/>
            <w:tcBorders>
              <w:top w:val="single" w:sz="4" w:space="0" w:color="auto"/>
              <w:left w:val="single" w:sz="4" w:space="0" w:color="auto"/>
              <w:bottom w:val="single" w:sz="4" w:space="0" w:color="auto"/>
              <w:right w:val="single" w:sz="4" w:space="0" w:color="auto"/>
            </w:tcBorders>
            <w:shd w:val="clear" w:color="auto" w:fill="BFBFBF"/>
            <w:noWrap/>
            <w:vAlign w:val="center"/>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Total</w:t>
            </w:r>
          </w:p>
        </w:tc>
        <w:tc>
          <w:tcPr>
            <w:tcW w:w="2276" w:type="dxa"/>
            <w:tcBorders>
              <w:top w:val="single" w:sz="4" w:space="0" w:color="auto"/>
              <w:left w:val="nil"/>
              <w:bottom w:val="single" w:sz="4" w:space="0" w:color="auto"/>
              <w:right w:val="single" w:sz="4" w:space="0" w:color="auto"/>
            </w:tcBorders>
            <w:shd w:val="clear" w:color="auto" w:fill="BFBFBF"/>
            <w:noWrap/>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r>
              <w:rPr>
                <w:rFonts w:ascii="Times New Roman" w:hAnsi="Times New Roman"/>
                <w:b/>
                <w:noProof/>
                <w:sz w:val="24"/>
              </w:rPr>
              <w:t>101,70</w:t>
            </w:r>
          </w:p>
        </w:tc>
        <w:tc>
          <w:tcPr>
            <w:tcW w:w="2412" w:type="dxa"/>
            <w:tcBorders>
              <w:top w:val="single" w:sz="4" w:space="0" w:color="auto"/>
              <w:left w:val="nil"/>
              <w:bottom w:val="single" w:sz="4" w:space="0" w:color="auto"/>
              <w:right w:val="single" w:sz="4" w:space="0" w:color="auto"/>
            </w:tcBorders>
            <w:shd w:val="clear" w:color="auto" w:fill="BFBFBF"/>
            <w:vAlign w:val="center"/>
          </w:tcPr>
          <w:p>
            <w:pPr>
              <w:spacing w:before="100" w:beforeAutospacing="1" w:after="100" w:afterAutospacing="1" w:line="240" w:lineRule="auto"/>
              <w:rPr>
                <w:rFonts w:ascii="Times New Roman" w:eastAsia="Calibri" w:hAnsi="Times New Roman" w:cs="Times New Roman"/>
                <w:b/>
                <w:noProof/>
                <w:sz w:val="24"/>
                <w:szCs w:val="24"/>
              </w:rPr>
            </w:pPr>
          </w:p>
        </w:tc>
        <w:tc>
          <w:tcPr>
            <w:tcW w:w="1699" w:type="dxa"/>
            <w:tcBorders>
              <w:top w:val="single" w:sz="4" w:space="0" w:color="auto"/>
              <w:left w:val="nil"/>
              <w:bottom w:val="single" w:sz="4" w:space="0" w:color="auto"/>
              <w:right w:val="single" w:sz="4" w:space="0" w:color="auto"/>
            </w:tcBorders>
            <w:shd w:val="clear" w:color="auto" w:fill="BFBFBF"/>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p>
        </w:tc>
      </w:tr>
    </w:tbl>
    <w:p>
      <w:pPr>
        <w:pStyle w:val="ListParagraph"/>
        <w:pageBreakBefore/>
        <w:numPr>
          <w:ilvl w:val="0"/>
          <w:numId w:val="2"/>
        </w:numPr>
        <w:spacing w:before="100" w:beforeAutospacing="1" w:after="100" w:afterAutospacing="1"/>
        <w:ind w:left="357" w:hanging="357"/>
        <w:jc w:val="both"/>
        <w:rPr>
          <w:rFonts w:ascii="Times New Roman" w:eastAsia="Calibri" w:hAnsi="Times New Roman" w:cs="Times New Roman"/>
          <w:b/>
          <w:noProof/>
          <w:sz w:val="24"/>
          <w:szCs w:val="24"/>
          <w:u w:val="single"/>
        </w:rPr>
      </w:pPr>
      <w:r>
        <w:rPr>
          <w:rFonts w:ascii="Times New Roman" w:hAnsi="Times New Roman"/>
          <w:b/>
          <w:noProof/>
          <w:sz w:val="24"/>
          <w:u w:val="single"/>
        </w:rPr>
        <w:t>Versements effectués au titre du 11</w:t>
      </w:r>
      <w:r>
        <w:rPr>
          <w:rFonts w:ascii="Times New Roman" w:hAnsi="Times New Roman"/>
          <w:b/>
          <w:noProof/>
          <w:sz w:val="24"/>
          <w:u w:val="single"/>
          <w:vertAlign w:val="superscript"/>
        </w:rPr>
        <w:t>e</w:t>
      </w:r>
      <w:r>
        <w:rPr>
          <w:rFonts w:ascii="Times New Roman" w:hAnsi="Times New Roman"/>
          <w:b/>
          <w:noProof/>
          <w:sz w:val="24"/>
          <w:u w:val="single"/>
        </w:rPr>
        <w:t xml:space="preserve"> FED </w:t>
      </w:r>
    </w:p>
    <w:tbl>
      <w:tblPr>
        <w:tblW w:w="0" w:type="auto"/>
        <w:tblInd w:w="55" w:type="dxa"/>
        <w:tblCellMar>
          <w:left w:w="70" w:type="dxa"/>
          <w:right w:w="70" w:type="dxa"/>
        </w:tblCellMar>
        <w:tblLook w:val="04A0" w:firstRow="1" w:lastRow="0" w:firstColumn="1" w:lastColumn="0" w:noHBand="0" w:noVBand="1"/>
      </w:tblPr>
      <w:tblGrid>
        <w:gridCol w:w="2687"/>
        <w:gridCol w:w="2431"/>
        <w:gridCol w:w="2417"/>
        <w:gridCol w:w="1622"/>
      </w:tblGrid>
      <w:tr>
        <w:trPr>
          <w:trHeight w:val="361"/>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PTOM</w:t>
            </w:r>
          </w:p>
        </w:tc>
        <w:tc>
          <w:tcPr>
            <w:tcW w:w="2431" w:type="dxa"/>
            <w:tcBorders>
              <w:top w:val="single" w:sz="4" w:space="0" w:color="auto"/>
              <w:left w:val="nil"/>
              <w:bottom w:val="single" w:sz="4" w:space="0" w:color="auto"/>
              <w:right w:val="single" w:sz="4" w:space="0" w:color="auto"/>
            </w:tcBorders>
            <w:shd w:val="clear" w:color="auto" w:fill="BFBFBF"/>
            <w:vAlign w:val="center"/>
            <w:hideMark/>
          </w:tcPr>
          <w:p>
            <w:pPr>
              <w:spacing w:after="0"/>
              <w:jc w:val="center"/>
              <w:rPr>
                <w:rFonts w:ascii="Times New Roman" w:eastAsia="Calibri" w:hAnsi="Times New Roman" w:cs="Times New Roman"/>
                <w:b/>
                <w:noProof/>
                <w:sz w:val="24"/>
                <w:szCs w:val="24"/>
              </w:rPr>
            </w:pPr>
            <w:r>
              <w:rPr>
                <w:rFonts w:ascii="Times New Roman" w:hAnsi="Times New Roman"/>
                <w:b/>
                <w:noProof/>
                <w:sz w:val="24"/>
              </w:rPr>
              <w:t xml:space="preserve">Dotation </w:t>
            </w:r>
          </w:p>
          <w:p>
            <w:pPr>
              <w:spacing w:after="0"/>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2417" w:type="dxa"/>
            <w:tcBorders>
              <w:top w:val="single" w:sz="4" w:space="0" w:color="auto"/>
              <w:left w:val="nil"/>
              <w:bottom w:val="single" w:sz="4" w:space="0" w:color="auto"/>
              <w:right w:val="single" w:sz="4" w:space="0" w:color="auto"/>
            </w:tcBorders>
            <w:shd w:val="clear" w:color="auto" w:fill="BFBFBF"/>
            <w:vAlign w:val="center"/>
          </w:tcPr>
          <w:p>
            <w:pPr>
              <w:jc w:val="center"/>
              <w:rPr>
                <w:rFonts w:ascii="Times New Roman" w:eastAsia="Calibri" w:hAnsi="Times New Roman" w:cs="Times New Roman"/>
                <w:b/>
                <w:noProof/>
                <w:sz w:val="24"/>
                <w:szCs w:val="24"/>
              </w:rPr>
            </w:pPr>
            <w:r>
              <w:rPr>
                <w:rFonts w:ascii="Times New Roman" w:hAnsi="Times New Roman"/>
                <w:b/>
                <w:noProof/>
                <w:sz w:val="24"/>
              </w:rPr>
              <w:t>Secteur de concentration</w:t>
            </w:r>
          </w:p>
        </w:tc>
        <w:tc>
          <w:tcPr>
            <w:tcW w:w="1622" w:type="dxa"/>
            <w:tcBorders>
              <w:top w:val="single" w:sz="4" w:space="0" w:color="auto"/>
              <w:left w:val="nil"/>
              <w:bottom w:val="single" w:sz="4" w:space="0" w:color="auto"/>
              <w:right w:val="single" w:sz="4" w:space="0" w:color="auto"/>
            </w:tcBorders>
            <w:shd w:val="clear" w:color="auto" w:fill="BFBFBF"/>
            <w:vAlign w:val="center"/>
          </w:tcPr>
          <w:p>
            <w:pPr>
              <w:spacing w:after="0" w:line="240" w:lineRule="auto"/>
              <w:jc w:val="center"/>
              <w:rPr>
                <w:rFonts w:ascii="Times New Roman" w:eastAsia="Calibri" w:hAnsi="Times New Roman" w:cs="Times New Roman"/>
                <w:b/>
                <w:noProof/>
                <w:sz w:val="24"/>
                <w:szCs w:val="24"/>
              </w:rPr>
            </w:pPr>
            <w:r>
              <w:rPr>
                <w:rFonts w:ascii="Times New Roman" w:hAnsi="Times New Roman"/>
                <w:b/>
                <w:noProof/>
                <w:sz w:val="24"/>
              </w:rPr>
              <w:t>Total des décaissements</w:t>
            </w:r>
          </w:p>
          <w:p>
            <w:pPr>
              <w:spacing w:after="0" w:line="240" w:lineRule="auto"/>
              <w:jc w:val="center"/>
              <w:rPr>
                <w:rFonts w:ascii="Times New Roman" w:eastAsia="Calibri" w:hAnsi="Times New Roman" w:cs="Times New Roman"/>
                <w:b/>
                <w:noProof/>
                <w:sz w:val="24"/>
                <w:szCs w:val="24"/>
              </w:rPr>
            </w:pPr>
            <w:r>
              <w:rPr>
                <w:rFonts w:ascii="Times New Roman" w:hAnsi="Times New Roman"/>
                <w:b/>
                <w:noProof/>
                <w:sz w:val="24"/>
              </w:rPr>
              <w:t xml:space="preserve">(en millions d’EUR) </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Anguilla</w:t>
            </w:r>
          </w:p>
        </w:tc>
        <w:tc>
          <w:tcPr>
            <w:tcW w:w="2431" w:type="dxa"/>
            <w:tcBorders>
              <w:top w:val="nil"/>
              <w:left w:val="nil"/>
              <w:bottom w:val="single" w:sz="4" w:space="0" w:color="auto"/>
              <w:right w:val="single" w:sz="4" w:space="0" w:color="auto"/>
            </w:tcBorders>
            <w:shd w:val="clear" w:color="000000" w:fill="FFFFFF"/>
            <w:noWrap/>
            <w:vAlign w:val="center"/>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14,05</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Enseignement </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3,60</w:t>
            </w:r>
          </w:p>
        </w:tc>
      </w:tr>
      <w:tr>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Nouvelle-Calédonie</w:t>
            </w:r>
          </w:p>
        </w:tc>
        <w:tc>
          <w:tcPr>
            <w:tcW w:w="2431" w:type="dxa"/>
            <w:tcBorders>
              <w:top w:val="nil"/>
              <w:left w:val="nil"/>
              <w:bottom w:val="single" w:sz="4" w:space="0" w:color="auto"/>
              <w:right w:val="single" w:sz="4" w:space="0" w:color="auto"/>
            </w:tcBorders>
            <w:shd w:val="clear" w:color="000000" w:fill="FFFFFF"/>
            <w:noWrap/>
            <w:vAlign w:val="center"/>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21,50</w:t>
            </w:r>
          </w:p>
        </w:tc>
        <w:tc>
          <w:tcPr>
            <w:tcW w:w="2417"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Connectivité et accessibilité</w:t>
            </w:r>
          </w:p>
        </w:tc>
        <w:tc>
          <w:tcPr>
            <w:tcW w:w="1622"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5,76</w:t>
            </w: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Saint-Pierre-et-Miquelon</w:t>
            </w:r>
          </w:p>
        </w:tc>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26,35</w:t>
            </w:r>
          </w:p>
        </w:tc>
        <w:tc>
          <w:tcPr>
            <w:tcW w:w="2417"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Tourisme durable et connectivité maritime</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13,00</w:t>
            </w:r>
          </w:p>
        </w:tc>
      </w:tr>
      <w:tr>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Saba</w:t>
            </w:r>
          </w:p>
        </w:tc>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3,55</w:t>
            </w:r>
          </w:p>
        </w:tc>
        <w:tc>
          <w:tcPr>
            <w:tcW w:w="2417"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Énergies renouvelables</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1,90</w:t>
            </w:r>
          </w:p>
        </w:tc>
      </w:tr>
      <w:tr>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Îles Turks-et-Caïcos</w:t>
            </w:r>
          </w:p>
        </w:tc>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14,60</w:t>
            </w:r>
          </w:p>
        </w:tc>
        <w:tc>
          <w:tcPr>
            <w:tcW w:w="2417"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rPr>
                <w:rFonts w:ascii="Times New Roman" w:eastAsia="Calibri" w:hAnsi="Times New Roman" w:cs="Times New Roman"/>
                <w:noProof/>
                <w:sz w:val="24"/>
                <w:szCs w:val="24"/>
              </w:rPr>
            </w:pPr>
            <w:r>
              <w:rPr>
                <w:rFonts w:ascii="Times New Roman" w:hAnsi="Times New Roman"/>
                <w:noProof/>
                <w:sz w:val="24"/>
              </w:rPr>
              <w:t xml:space="preserve">Enseignement </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40" w:lineRule="auto"/>
              <w:jc w:val="right"/>
              <w:rPr>
                <w:rFonts w:ascii="Times New Roman" w:eastAsia="Calibri" w:hAnsi="Times New Roman" w:cs="Times New Roman"/>
                <w:noProof/>
                <w:sz w:val="24"/>
                <w:szCs w:val="24"/>
              </w:rPr>
            </w:pPr>
            <w:r>
              <w:rPr>
                <w:rFonts w:ascii="Times New Roman" w:hAnsi="Times New Roman"/>
                <w:noProof/>
                <w:sz w:val="24"/>
              </w:rPr>
              <w:t>4,00</w:t>
            </w:r>
          </w:p>
        </w:tc>
      </w:tr>
      <w:tr>
        <w:trPr>
          <w:trHeight w:val="397"/>
        </w:trPr>
        <w:tc>
          <w:tcPr>
            <w:tcW w:w="2687" w:type="dxa"/>
            <w:tcBorders>
              <w:top w:val="single" w:sz="4" w:space="0" w:color="auto"/>
              <w:left w:val="single" w:sz="4" w:space="0" w:color="auto"/>
              <w:bottom w:val="single" w:sz="4" w:space="0" w:color="auto"/>
              <w:right w:val="single" w:sz="4" w:space="0" w:color="auto"/>
            </w:tcBorders>
            <w:shd w:val="clear" w:color="auto" w:fill="BFBFBF"/>
            <w:noWrap/>
            <w:vAlign w:val="center"/>
          </w:tcPr>
          <w:p>
            <w:pPr>
              <w:spacing w:before="100" w:beforeAutospacing="1" w:after="100" w:afterAutospacing="1" w:line="240" w:lineRule="auto"/>
              <w:rPr>
                <w:rFonts w:ascii="Times New Roman" w:eastAsia="Calibri" w:hAnsi="Times New Roman" w:cs="Times New Roman"/>
                <w:b/>
                <w:noProof/>
                <w:sz w:val="24"/>
                <w:szCs w:val="24"/>
              </w:rPr>
            </w:pPr>
            <w:r>
              <w:rPr>
                <w:rFonts w:ascii="Times New Roman" w:hAnsi="Times New Roman"/>
                <w:b/>
                <w:noProof/>
                <w:sz w:val="24"/>
              </w:rPr>
              <w:t>Total</w:t>
            </w:r>
          </w:p>
        </w:tc>
        <w:tc>
          <w:tcPr>
            <w:tcW w:w="2431" w:type="dxa"/>
            <w:tcBorders>
              <w:top w:val="single" w:sz="4" w:space="0" w:color="auto"/>
              <w:left w:val="single" w:sz="4" w:space="0" w:color="auto"/>
              <w:bottom w:val="single" w:sz="4" w:space="0" w:color="auto"/>
              <w:right w:val="single" w:sz="4" w:space="0" w:color="auto"/>
            </w:tcBorders>
            <w:shd w:val="clear" w:color="auto" w:fill="BFBFBF"/>
            <w:noWrap/>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BFBFBF"/>
            <w:vAlign w:val="center"/>
          </w:tcPr>
          <w:p>
            <w:pPr>
              <w:spacing w:before="100" w:beforeAutospacing="1" w:after="100" w:afterAutospacing="1" w:line="240" w:lineRule="auto"/>
              <w:rPr>
                <w:rFonts w:ascii="Times New Roman" w:eastAsia="Calibri" w:hAnsi="Times New Roman" w:cs="Times New Roman"/>
                <w:b/>
                <w:noProof/>
                <w:sz w:val="24"/>
                <w:szCs w:val="24"/>
              </w:rPr>
            </w:pPr>
          </w:p>
        </w:tc>
        <w:tc>
          <w:tcPr>
            <w:tcW w:w="1622" w:type="dxa"/>
            <w:tcBorders>
              <w:top w:val="single" w:sz="4" w:space="0" w:color="auto"/>
              <w:left w:val="single" w:sz="4" w:space="0" w:color="auto"/>
              <w:bottom w:val="single" w:sz="4" w:space="0" w:color="auto"/>
              <w:right w:val="single" w:sz="4" w:space="0" w:color="auto"/>
            </w:tcBorders>
            <w:shd w:val="clear" w:color="auto" w:fill="BFBFBF"/>
            <w:vAlign w:val="center"/>
          </w:tcPr>
          <w:p>
            <w:pPr>
              <w:spacing w:before="100" w:beforeAutospacing="1" w:after="100" w:afterAutospacing="1" w:line="240" w:lineRule="auto"/>
              <w:jc w:val="right"/>
              <w:rPr>
                <w:rFonts w:ascii="Times New Roman" w:eastAsia="Calibri" w:hAnsi="Times New Roman" w:cs="Times New Roman"/>
                <w:b/>
                <w:noProof/>
                <w:sz w:val="24"/>
                <w:szCs w:val="24"/>
              </w:rPr>
            </w:pPr>
            <w:r>
              <w:rPr>
                <w:rFonts w:ascii="Times New Roman" w:hAnsi="Times New Roman"/>
                <w:b/>
                <w:noProof/>
                <w:sz w:val="24"/>
              </w:rPr>
              <w:t>28,26</w:t>
            </w:r>
          </w:p>
        </w:tc>
      </w:tr>
    </w:tbl>
    <w:p>
      <w:pPr>
        <w:pStyle w:val="ListParagraph"/>
        <w:spacing w:before="100" w:beforeAutospacing="1" w:after="100" w:afterAutospacing="1"/>
        <w:ind w:left="360"/>
        <w:jc w:val="both"/>
        <w:rPr>
          <w:rFonts w:ascii="Times New Roman" w:eastAsia="Calibri" w:hAnsi="Times New Roman" w:cs="Times New Roman"/>
          <w:b/>
          <w:noProof/>
          <w:sz w:val="24"/>
          <w:szCs w:val="24"/>
          <w:u w:val="single"/>
        </w:rPr>
      </w:pPr>
    </w:p>
    <w:p>
      <w:pPr>
        <w:pStyle w:val="ListParagraph"/>
        <w:numPr>
          <w:ilvl w:val="0"/>
          <w:numId w:val="2"/>
        </w:numPr>
        <w:spacing w:before="100" w:beforeAutospacing="1" w:after="100" w:afterAutospacing="1"/>
        <w:jc w:val="both"/>
        <w:rPr>
          <w:rFonts w:ascii="Times New Roman" w:eastAsia="Calibri" w:hAnsi="Times New Roman" w:cs="Times New Roman"/>
          <w:b/>
          <w:noProof/>
          <w:sz w:val="24"/>
          <w:szCs w:val="24"/>
          <w:u w:val="single"/>
        </w:rPr>
      </w:pPr>
      <w:r>
        <w:rPr>
          <w:rFonts w:ascii="Times New Roman" w:hAnsi="Times New Roman"/>
          <w:b/>
          <w:noProof/>
          <w:sz w:val="24"/>
          <w:u w:val="single"/>
        </w:rPr>
        <w:t>Décision de la Commission à adopter</w:t>
      </w:r>
    </w:p>
    <w:p>
      <w:pPr>
        <w:numPr>
          <w:ilvl w:val="0"/>
          <w:numId w:val="1"/>
        </w:numPr>
        <w:spacing w:before="100" w:beforeAutospacing="1" w:after="100" w:afterAutospacing="1"/>
        <w:jc w:val="both"/>
        <w:rPr>
          <w:rFonts w:ascii="Times New Roman" w:eastAsia="Calibri" w:hAnsi="Times New Roman" w:cs="Times New Roman"/>
          <w:b/>
          <w:noProof/>
          <w:sz w:val="24"/>
          <w:szCs w:val="24"/>
          <w:u w:val="single"/>
        </w:rPr>
      </w:pPr>
      <w:r>
        <w:rPr>
          <w:rFonts w:ascii="Times New Roman" w:hAnsi="Times New Roman"/>
          <w:b/>
          <w:noProof/>
          <w:sz w:val="24"/>
        </w:rPr>
        <w:t>Dotations territoriales indicatives du 11</w:t>
      </w:r>
      <w:r>
        <w:rPr>
          <w:rFonts w:ascii="Times New Roman" w:hAnsi="Times New Roman"/>
          <w:b/>
          <w:noProof/>
          <w:sz w:val="24"/>
          <w:vertAlign w:val="superscript"/>
        </w:rPr>
        <w:t>e</w:t>
      </w:r>
      <w:r>
        <w:rPr>
          <w:rFonts w:ascii="Times New Roman" w:hAnsi="Times New Roman"/>
          <w:b/>
          <w:noProof/>
          <w:sz w:val="24"/>
        </w:rPr>
        <w:t> FED</w:t>
      </w:r>
    </w:p>
    <w:tbl>
      <w:tblPr>
        <w:tblW w:w="0" w:type="auto"/>
        <w:tblInd w:w="55" w:type="dxa"/>
        <w:tblCellMar>
          <w:left w:w="70" w:type="dxa"/>
          <w:right w:w="70" w:type="dxa"/>
        </w:tblCellMar>
        <w:tblLook w:val="04A0" w:firstRow="1" w:lastRow="0" w:firstColumn="1" w:lastColumn="0" w:noHBand="0" w:noVBand="1"/>
      </w:tblPr>
      <w:tblGrid>
        <w:gridCol w:w="3134"/>
        <w:gridCol w:w="1984"/>
        <w:gridCol w:w="3969"/>
      </w:tblGrid>
      <w:tr>
        <w:trPr>
          <w:trHeight w:val="361"/>
        </w:trPr>
        <w:tc>
          <w:tcPr>
            <w:tcW w:w="3134"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PTOM</w:t>
            </w:r>
          </w:p>
        </w:tc>
        <w:tc>
          <w:tcPr>
            <w:tcW w:w="1984" w:type="dxa"/>
            <w:tcBorders>
              <w:top w:val="single" w:sz="4" w:space="0" w:color="auto"/>
              <w:left w:val="nil"/>
              <w:bottom w:val="single" w:sz="4" w:space="0" w:color="auto"/>
              <w:right w:val="single" w:sz="4" w:space="0" w:color="auto"/>
            </w:tcBorders>
            <w:shd w:val="clear" w:color="auto" w:fill="BFBFBF"/>
            <w:vAlign w:val="center"/>
            <w:hideMark/>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3969" w:type="dxa"/>
            <w:tcBorders>
              <w:top w:val="single" w:sz="4" w:space="0" w:color="auto"/>
              <w:left w:val="nil"/>
              <w:bottom w:val="single" w:sz="4" w:space="0" w:color="auto"/>
              <w:right w:val="single" w:sz="4" w:space="0" w:color="auto"/>
            </w:tcBorders>
            <w:shd w:val="clear" w:color="auto" w:fill="BFBFBF"/>
            <w:vAlign w:val="center"/>
          </w:tcPr>
          <w:p>
            <w:pPr>
              <w:jc w:val="center"/>
              <w:rPr>
                <w:rFonts w:ascii="Times New Roman" w:eastAsia="Calibri" w:hAnsi="Times New Roman" w:cs="Times New Roman"/>
                <w:b/>
                <w:noProof/>
                <w:sz w:val="24"/>
                <w:szCs w:val="24"/>
              </w:rPr>
            </w:pPr>
            <w:r>
              <w:rPr>
                <w:rFonts w:ascii="Times New Roman" w:hAnsi="Times New Roman"/>
                <w:b/>
                <w:noProof/>
                <w:sz w:val="24"/>
              </w:rPr>
              <w:t>Secteur de concentration proposé</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Aruba</w:t>
            </w:r>
          </w:p>
        </w:tc>
        <w:tc>
          <w:tcPr>
            <w:tcW w:w="1984"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13,05</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Enseignement</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Bonaire</w:t>
            </w:r>
          </w:p>
        </w:tc>
        <w:tc>
          <w:tcPr>
            <w:tcW w:w="1984"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3,95</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 xml:space="preserve">Développement social – Jeunesse </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Curaçao</w:t>
            </w:r>
          </w:p>
        </w:tc>
        <w:tc>
          <w:tcPr>
            <w:tcW w:w="1984"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16,95</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 xml:space="preserve">Énergies renouvelables </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Montserrat</w:t>
            </w:r>
          </w:p>
        </w:tc>
        <w:tc>
          <w:tcPr>
            <w:tcW w:w="1984" w:type="dxa"/>
            <w:tcBorders>
              <w:top w:val="nil"/>
              <w:left w:val="nil"/>
              <w:bottom w:val="single" w:sz="4" w:space="0" w:color="auto"/>
              <w:right w:val="single" w:sz="4" w:space="0" w:color="auto"/>
            </w:tcBorders>
            <w:shd w:val="clear" w:color="000000" w:fill="FFFFFF"/>
            <w:noWrap/>
            <w:vAlign w:val="center"/>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18,40</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rPr>
              <w:t>Croissance durable et développement économique</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Sainte-Hélène </w:t>
            </w:r>
          </w:p>
        </w:tc>
        <w:tc>
          <w:tcPr>
            <w:tcW w:w="1984"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21,50</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 xml:space="preserve">Connectivité et accessibilité </w:t>
            </w:r>
          </w:p>
        </w:tc>
      </w:tr>
      <w:tr>
        <w:trPr>
          <w:trHeight w:val="3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Saint-Martin</w:t>
            </w:r>
          </w:p>
        </w:tc>
        <w:tc>
          <w:tcPr>
            <w:tcW w:w="1984" w:type="dxa"/>
            <w:tcBorders>
              <w:top w:val="nil"/>
              <w:left w:val="nil"/>
              <w:bottom w:val="single" w:sz="4" w:space="0" w:color="auto"/>
              <w:right w:val="single" w:sz="4" w:space="0" w:color="auto"/>
            </w:tcBorders>
            <w:shd w:val="clear" w:color="000000" w:fill="FFFFFF"/>
            <w:noWrap/>
            <w:vAlign w:val="center"/>
            <w:hideMark/>
          </w:tcPr>
          <w:p>
            <w:pPr>
              <w:spacing w:before="100" w:beforeAutospacing="1" w:after="100" w:afterAutospacing="1" w:line="240" w:lineRule="auto"/>
              <w:jc w:val="right"/>
              <w:rPr>
                <w:rFonts w:ascii="Times New Roman" w:eastAsia="Calibri" w:hAnsi="Times New Roman" w:cs="Times New Roman"/>
                <w:noProof/>
                <w:sz w:val="24"/>
                <w:szCs w:val="24"/>
              </w:rPr>
            </w:pPr>
            <w:r>
              <w:rPr>
                <w:rFonts w:ascii="Times New Roman" w:hAnsi="Times New Roman"/>
                <w:noProof/>
                <w:sz w:val="24"/>
              </w:rPr>
              <w:t>7,00</w:t>
            </w:r>
          </w:p>
        </w:tc>
        <w:tc>
          <w:tcPr>
            <w:tcW w:w="3969" w:type="dxa"/>
            <w:tcBorders>
              <w:top w:val="single" w:sz="4" w:space="0" w:color="auto"/>
              <w:left w:val="nil"/>
              <w:bottom w:val="single" w:sz="4" w:space="0" w:color="auto"/>
              <w:right w:val="single" w:sz="4" w:space="0" w:color="auto"/>
            </w:tcBorders>
            <w:shd w:val="clear" w:color="000000" w:fill="FFFFFF"/>
            <w:vAlign w:val="center"/>
          </w:tcPr>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 xml:space="preserve">Eau et assainissement </w:t>
            </w:r>
          </w:p>
        </w:tc>
      </w:tr>
      <w:tr>
        <w:trPr>
          <w:trHeight w:val="397"/>
        </w:trPr>
        <w:tc>
          <w:tcPr>
            <w:tcW w:w="3134"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before="100" w:beforeAutospacing="1" w:after="100" w:afterAutospacing="1" w:line="240" w:lineRule="auto"/>
              <w:jc w:val="both"/>
              <w:rPr>
                <w:rFonts w:ascii="Times New Roman" w:eastAsia="Calibri" w:hAnsi="Times New Roman" w:cs="Times New Roman"/>
                <w:b/>
                <w:noProof/>
                <w:sz w:val="24"/>
                <w:szCs w:val="24"/>
              </w:rPr>
            </w:pPr>
            <w:r>
              <w:rPr>
                <w:rFonts w:ascii="Times New Roman" w:hAnsi="Times New Roman"/>
                <w:b/>
                <w:noProof/>
                <w:sz w:val="24"/>
              </w:rPr>
              <w:t>Total</w:t>
            </w:r>
          </w:p>
        </w:tc>
        <w:tc>
          <w:tcPr>
            <w:tcW w:w="1984" w:type="dxa"/>
            <w:tcBorders>
              <w:top w:val="single" w:sz="4" w:space="0" w:color="auto"/>
              <w:left w:val="nil"/>
              <w:bottom w:val="single" w:sz="4" w:space="0" w:color="auto"/>
              <w:right w:val="single" w:sz="4" w:space="0" w:color="auto"/>
            </w:tcBorders>
            <w:shd w:val="clear" w:color="auto" w:fill="BFBFBF"/>
            <w:noWrap/>
            <w:vAlign w:val="bottom"/>
          </w:tcPr>
          <w:p>
            <w:pPr>
              <w:spacing w:before="100" w:beforeAutospacing="1" w:after="100" w:afterAutospacing="1" w:line="240" w:lineRule="auto"/>
              <w:jc w:val="right"/>
              <w:rPr>
                <w:rFonts w:ascii="Times New Roman" w:eastAsia="Calibri" w:hAnsi="Times New Roman" w:cs="Times New Roman"/>
                <w:b/>
                <w:noProof/>
                <w:sz w:val="24"/>
                <w:szCs w:val="24"/>
              </w:rPr>
            </w:pPr>
            <w:r>
              <w:rPr>
                <w:rFonts w:ascii="Times New Roman" w:hAnsi="Times New Roman"/>
                <w:b/>
                <w:noProof/>
                <w:sz w:val="24"/>
              </w:rPr>
              <w:t>80,85</w:t>
            </w:r>
          </w:p>
        </w:tc>
        <w:tc>
          <w:tcPr>
            <w:tcW w:w="3969" w:type="dxa"/>
            <w:tcBorders>
              <w:top w:val="single" w:sz="4" w:space="0" w:color="auto"/>
              <w:left w:val="nil"/>
              <w:bottom w:val="single" w:sz="4" w:space="0" w:color="auto"/>
              <w:right w:val="single" w:sz="4" w:space="0" w:color="auto"/>
            </w:tcBorders>
            <w:shd w:val="clear" w:color="auto" w:fill="BFBFBF"/>
          </w:tcPr>
          <w:p>
            <w:pPr>
              <w:spacing w:before="100" w:beforeAutospacing="1" w:after="100" w:afterAutospacing="1" w:line="240" w:lineRule="auto"/>
              <w:jc w:val="both"/>
              <w:rPr>
                <w:rFonts w:ascii="Times New Roman" w:eastAsia="Calibri" w:hAnsi="Times New Roman" w:cs="Times New Roman"/>
                <w:b/>
                <w:noProof/>
                <w:sz w:val="24"/>
                <w:szCs w:val="24"/>
              </w:rPr>
            </w:pPr>
          </w:p>
        </w:tc>
      </w:tr>
    </w:tbl>
    <w:p>
      <w:pPr>
        <w:pStyle w:val="ListParagraph"/>
        <w:pageBreakBefore/>
        <w:numPr>
          <w:ilvl w:val="0"/>
          <w:numId w:val="1"/>
        </w:numPr>
        <w:spacing w:before="100" w:beforeAutospacing="1" w:after="100" w:afterAutospacing="1"/>
        <w:ind w:left="714" w:hanging="357"/>
        <w:jc w:val="both"/>
        <w:rPr>
          <w:rFonts w:ascii="Times New Roman" w:eastAsia="Calibri" w:hAnsi="Times New Roman" w:cs="Times New Roman"/>
          <w:b/>
          <w:noProof/>
          <w:sz w:val="24"/>
          <w:szCs w:val="24"/>
          <w:u w:val="single"/>
        </w:rPr>
      </w:pPr>
      <w:r>
        <w:rPr>
          <w:rFonts w:ascii="Times New Roman" w:hAnsi="Times New Roman"/>
          <w:b/>
          <w:noProof/>
          <w:sz w:val="24"/>
          <w:u w:val="single"/>
        </w:rPr>
        <w:t>Dotations régionales indicatives du 11</w:t>
      </w:r>
      <w:r>
        <w:rPr>
          <w:rFonts w:ascii="Times New Roman" w:hAnsi="Times New Roman"/>
          <w:b/>
          <w:noProof/>
          <w:sz w:val="24"/>
          <w:u w:val="single"/>
          <w:vertAlign w:val="superscript"/>
        </w:rPr>
        <w:t>e</w:t>
      </w:r>
      <w:r>
        <w:rPr>
          <w:rFonts w:ascii="Times New Roman" w:hAnsi="Times New Roman"/>
          <w:b/>
          <w:noProof/>
          <w:sz w:val="24"/>
          <w:u w:val="single"/>
        </w:rPr>
        <w:t xml:space="preserve"> FED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3969"/>
      </w:tblGrid>
      <w:tr>
        <w:trPr>
          <w:trHeight w:val="205"/>
        </w:trPr>
        <w:tc>
          <w:tcPr>
            <w:tcW w:w="3119" w:type="dxa"/>
            <w:tcBorders>
              <w:top w:val="single" w:sz="4" w:space="0" w:color="auto"/>
              <w:left w:val="single" w:sz="4" w:space="0" w:color="auto"/>
              <w:bottom w:val="nil"/>
            </w:tcBorders>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Région</w:t>
            </w:r>
          </w:p>
        </w:tc>
        <w:tc>
          <w:tcPr>
            <w:tcW w:w="1984" w:type="dxa"/>
            <w:tcBorders>
              <w:top w:val="single" w:sz="4" w:space="0" w:color="auto"/>
              <w:bottom w:val="nil"/>
            </w:tcBorders>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3969" w:type="dxa"/>
            <w:tcBorders>
              <w:top w:val="single" w:sz="4" w:space="0" w:color="auto"/>
              <w:bottom w:val="nil"/>
            </w:tcBorders>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Secteur de concentration proposé</w:t>
            </w:r>
          </w:p>
        </w:tc>
      </w:tr>
      <w:tr>
        <w:trPr>
          <w:trHeight w:val="385"/>
        </w:trPr>
        <w:tc>
          <w:tcPr>
            <w:tcW w:w="3119" w:type="dxa"/>
            <w:shd w:val="clear" w:color="auto" w:fill="FFFFFF"/>
            <w:vAlign w:val="center"/>
          </w:tcPr>
          <w:p>
            <w:pPr>
              <w:rPr>
                <w:rFonts w:ascii="Times New Roman" w:eastAsia="Calibri" w:hAnsi="Times New Roman" w:cs="Times New Roman"/>
                <w:b/>
                <w:noProof/>
                <w:sz w:val="24"/>
                <w:szCs w:val="24"/>
              </w:rPr>
            </w:pPr>
            <w:r>
              <w:rPr>
                <w:rFonts w:ascii="Times New Roman" w:hAnsi="Times New Roman"/>
                <w:b/>
                <w:noProof/>
                <w:sz w:val="24"/>
              </w:rPr>
              <w:t>Caraïbes</w:t>
            </w:r>
          </w:p>
        </w:tc>
        <w:tc>
          <w:tcPr>
            <w:tcW w:w="1984" w:type="dxa"/>
            <w:shd w:val="clear" w:color="auto" w:fill="auto"/>
            <w:vAlign w:val="center"/>
          </w:tcPr>
          <w:p>
            <w:pPr>
              <w:jc w:val="right"/>
              <w:rPr>
                <w:rFonts w:ascii="Times New Roman" w:eastAsia="Calibri" w:hAnsi="Times New Roman" w:cs="Times New Roman"/>
                <w:bCs/>
                <w:noProof/>
                <w:sz w:val="24"/>
                <w:szCs w:val="24"/>
              </w:rPr>
            </w:pPr>
            <w:r>
              <w:rPr>
                <w:rFonts w:ascii="Times New Roman" w:hAnsi="Times New Roman"/>
                <w:noProof/>
                <w:sz w:val="24"/>
              </w:rPr>
              <w:t>40,00</w:t>
            </w:r>
          </w:p>
        </w:tc>
        <w:tc>
          <w:tcPr>
            <w:tcW w:w="3969" w:type="dxa"/>
            <w:shd w:val="clear" w:color="auto" w:fill="auto"/>
            <w:vAlign w:val="center"/>
          </w:tcPr>
          <w:p>
            <w:pPr>
              <w:rPr>
                <w:rFonts w:ascii="Times New Roman" w:eastAsia="Calibri" w:hAnsi="Times New Roman" w:cs="Times New Roman"/>
                <w:noProof/>
                <w:sz w:val="24"/>
                <w:szCs w:val="24"/>
              </w:rPr>
            </w:pPr>
            <w:r>
              <w:rPr>
                <w:rFonts w:ascii="Times New Roman" w:hAnsi="Times New Roman"/>
                <w:noProof/>
                <w:sz w:val="24"/>
              </w:rPr>
              <w:t>Énergie durable et biodiversité marine</w:t>
            </w:r>
          </w:p>
        </w:tc>
      </w:tr>
      <w:tr>
        <w:trPr>
          <w:trHeight w:val="70"/>
        </w:trPr>
        <w:tc>
          <w:tcPr>
            <w:tcW w:w="3119" w:type="dxa"/>
            <w:shd w:val="clear" w:color="auto" w:fill="FFFFFF"/>
            <w:vAlign w:val="center"/>
          </w:tcPr>
          <w:p>
            <w:pPr>
              <w:rPr>
                <w:rFonts w:ascii="Times New Roman" w:eastAsia="Calibri" w:hAnsi="Times New Roman" w:cs="Times New Roman"/>
                <w:b/>
                <w:noProof/>
                <w:sz w:val="24"/>
                <w:szCs w:val="24"/>
              </w:rPr>
            </w:pPr>
            <w:r>
              <w:rPr>
                <w:rFonts w:ascii="Times New Roman" w:hAnsi="Times New Roman"/>
                <w:b/>
                <w:noProof/>
                <w:sz w:val="24"/>
              </w:rPr>
              <w:t>Pacifique</w:t>
            </w:r>
          </w:p>
        </w:tc>
        <w:tc>
          <w:tcPr>
            <w:tcW w:w="1984" w:type="dxa"/>
            <w:shd w:val="clear" w:color="auto" w:fill="auto"/>
            <w:vAlign w:val="center"/>
          </w:tcPr>
          <w:p>
            <w:pPr>
              <w:jc w:val="right"/>
              <w:rPr>
                <w:rFonts w:ascii="Times New Roman" w:eastAsia="Calibri" w:hAnsi="Times New Roman" w:cs="Times New Roman"/>
                <w:bCs/>
                <w:noProof/>
                <w:sz w:val="24"/>
                <w:szCs w:val="24"/>
              </w:rPr>
            </w:pPr>
            <w:r>
              <w:rPr>
                <w:rFonts w:ascii="Times New Roman" w:hAnsi="Times New Roman"/>
                <w:noProof/>
                <w:sz w:val="24"/>
              </w:rPr>
              <w:t>36,00</w:t>
            </w:r>
          </w:p>
        </w:tc>
        <w:tc>
          <w:tcPr>
            <w:tcW w:w="3969" w:type="dxa"/>
            <w:shd w:val="clear" w:color="auto" w:fill="auto"/>
            <w:vAlign w:val="center"/>
          </w:tcPr>
          <w:p>
            <w:pPr>
              <w:rPr>
                <w:rFonts w:ascii="Times New Roman" w:eastAsia="Calibri" w:hAnsi="Times New Roman" w:cs="Times New Roman"/>
                <w:noProof/>
                <w:sz w:val="24"/>
                <w:szCs w:val="24"/>
              </w:rPr>
            </w:pPr>
            <w:r>
              <w:rPr>
                <w:rFonts w:ascii="Times New Roman" w:hAnsi="Times New Roman"/>
                <w:noProof/>
                <w:sz w:val="24"/>
              </w:rPr>
              <w:t>Changement climatique et biodiversité</w:t>
            </w:r>
          </w:p>
        </w:tc>
      </w:tr>
      <w:tr>
        <w:trPr>
          <w:trHeight w:val="457"/>
        </w:trPr>
        <w:tc>
          <w:tcPr>
            <w:tcW w:w="3119" w:type="dxa"/>
            <w:shd w:val="clear" w:color="auto" w:fill="FFFFFF"/>
            <w:vAlign w:val="center"/>
          </w:tcPr>
          <w:p>
            <w:pPr>
              <w:rPr>
                <w:rFonts w:ascii="Times New Roman" w:eastAsia="Calibri" w:hAnsi="Times New Roman" w:cs="Times New Roman"/>
                <w:b/>
                <w:noProof/>
                <w:sz w:val="24"/>
                <w:szCs w:val="24"/>
              </w:rPr>
            </w:pPr>
            <w:r>
              <w:rPr>
                <w:rFonts w:ascii="Times New Roman" w:hAnsi="Times New Roman"/>
                <w:b/>
                <w:noProof/>
                <w:sz w:val="24"/>
              </w:rPr>
              <w:t>Océan Indien</w:t>
            </w:r>
          </w:p>
        </w:tc>
        <w:tc>
          <w:tcPr>
            <w:tcW w:w="1984" w:type="dxa"/>
            <w:shd w:val="clear" w:color="auto" w:fill="auto"/>
            <w:vAlign w:val="center"/>
          </w:tcPr>
          <w:p>
            <w:pPr>
              <w:jc w:val="right"/>
              <w:rPr>
                <w:rFonts w:ascii="Times New Roman" w:eastAsia="Calibri" w:hAnsi="Times New Roman" w:cs="Times New Roman"/>
                <w:bCs/>
                <w:noProof/>
                <w:sz w:val="24"/>
                <w:szCs w:val="24"/>
              </w:rPr>
            </w:pPr>
            <w:r>
              <w:rPr>
                <w:rFonts w:ascii="Times New Roman" w:hAnsi="Times New Roman"/>
                <w:noProof/>
                <w:sz w:val="24"/>
              </w:rPr>
              <w:t>4,00</w:t>
            </w:r>
          </w:p>
        </w:tc>
        <w:tc>
          <w:tcPr>
            <w:tcW w:w="3969" w:type="dxa"/>
            <w:shd w:val="clear" w:color="auto" w:fill="auto"/>
            <w:vAlign w:val="center"/>
          </w:tcPr>
          <w:p>
            <w:pPr>
              <w:rPr>
                <w:rFonts w:ascii="Times New Roman" w:eastAsia="Calibri" w:hAnsi="Times New Roman" w:cs="Times New Roman"/>
                <w:noProof/>
                <w:sz w:val="24"/>
                <w:szCs w:val="24"/>
              </w:rPr>
            </w:pPr>
            <w:r>
              <w:rPr>
                <w:rFonts w:ascii="Times New Roman" w:hAnsi="Times New Roman"/>
                <w:noProof/>
                <w:sz w:val="24"/>
              </w:rPr>
              <w:t>Observation, gestion, conservation des écosystèmes terrestre et marin</w:t>
            </w:r>
          </w:p>
        </w:tc>
      </w:tr>
      <w:tr>
        <w:trPr>
          <w:trHeight w:val="566"/>
        </w:trPr>
        <w:tc>
          <w:tcPr>
            <w:tcW w:w="3119" w:type="dxa"/>
            <w:shd w:val="clear" w:color="auto" w:fill="FFFFFF"/>
            <w:vAlign w:val="center"/>
          </w:tcPr>
          <w:p>
            <w:pPr>
              <w:rPr>
                <w:rFonts w:ascii="Times New Roman" w:eastAsia="Calibri" w:hAnsi="Times New Roman" w:cs="Times New Roman"/>
                <w:b/>
                <w:noProof/>
                <w:sz w:val="24"/>
                <w:szCs w:val="24"/>
              </w:rPr>
            </w:pPr>
            <w:r>
              <w:rPr>
                <w:rFonts w:ascii="Times New Roman" w:hAnsi="Times New Roman"/>
                <w:b/>
                <w:noProof/>
                <w:sz w:val="24"/>
              </w:rPr>
              <w:t>Programme thématique (tous PTOM)</w:t>
            </w:r>
          </w:p>
        </w:tc>
        <w:tc>
          <w:tcPr>
            <w:tcW w:w="1984" w:type="dxa"/>
            <w:shd w:val="clear" w:color="auto" w:fill="auto"/>
            <w:vAlign w:val="center"/>
          </w:tcPr>
          <w:p>
            <w:pPr>
              <w:jc w:val="right"/>
              <w:rPr>
                <w:rFonts w:ascii="Times New Roman" w:eastAsia="Calibri" w:hAnsi="Times New Roman" w:cs="Times New Roman"/>
                <w:bCs/>
                <w:noProof/>
                <w:sz w:val="24"/>
                <w:szCs w:val="24"/>
              </w:rPr>
            </w:pPr>
            <w:r>
              <w:rPr>
                <w:rFonts w:ascii="Times New Roman" w:hAnsi="Times New Roman"/>
                <w:noProof/>
                <w:sz w:val="24"/>
              </w:rPr>
              <w:t>17,80</w:t>
            </w:r>
          </w:p>
        </w:tc>
        <w:tc>
          <w:tcPr>
            <w:tcW w:w="3969" w:type="dxa"/>
            <w:shd w:val="clear" w:color="auto" w:fill="auto"/>
            <w:vAlign w:val="center"/>
          </w:tcPr>
          <w:p>
            <w:pPr>
              <w:rPr>
                <w:rFonts w:ascii="Times New Roman" w:eastAsia="Calibri" w:hAnsi="Times New Roman" w:cs="Times New Roman"/>
                <w:noProof/>
                <w:sz w:val="24"/>
                <w:szCs w:val="24"/>
              </w:rPr>
            </w:pPr>
            <w:r>
              <w:rPr>
                <w:rFonts w:ascii="Times New Roman" w:hAnsi="Times New Roman"/>
                <w:noProof/>
                <w:sz w:val="24"/>
              </w:rPr>
              <w:t>Changement climatique, dont réduction des risques de catastrophe, et énergie durable</w:t>
            </w:r>
          </w:p>
        </w:tc>
      </w:tr>
      <w:tr>
        <w:trPr>
          <w:trHeight w:val="566"/>
        </w:trPr>
        <w:tc>
          <w:tcPr>
            <w:tcW w:w="3119" w:type="dxa"/>
            <w:shd w:val="clear" w:color="auto" w:fill="FFFFFF"/>
            <w:vAlign w:val="center"/>
          </w:tcPr>
          <w:p>
            <w:pPr>
              <w:rPr>
                <w:rFonts w:ascii="Times New Roman" w:eastAsia="Calibri" w:hAnsi="Times New Roman" w:cs="Times New Roman"/>
                <w:b/>
                <w:bCs/>
                <w:noProof/>
                <w:sz w:val="24"/>
                <w:szCs w:val="24"/>
              </w:rPr>
            </w:pPr>
            <w:r>
              <w:rPr>
                <w:rFonts w:ascii="Times New Roman" w:hAnsi="Times New Roman"/>
                <w:b/>
                <w:noProof/>
                <w:sz w:val="24"/>
              </w:rPr>
              <w:t>Mesures de soutien à l’association des PTOM</w:t>
            </w:r>
          </w:p>
        </w:tc>
        <w:tc>
          <w:tcPr>
            <w:tcW w:w="1984" w:type="dxa"/>
            <w:shd w:val="clear" w:color="auto" w:fill="auto"/>
            <w:vAlign w:val="center"/>
          </w:tcPr>
          <w:p>
            <w:pPr>
              <w:jc w:val="right"/>
              <w:rPr>
                <w:rFonts w:ascii="Times New Roman" w:eastAsia="Calibri" w:hAnsi="Times New Roman" w:cs="Times New Roman"/>
                <w:bCs/>
                <w:noProof/>
                <w:sz w:val="24"/>
                <w:szCs w:val="24"/>
              </w:rPr>
            </w:pPr>
            <w:r>
              <w:rPr>
                <w:rFonts w:ascii="Times New Roman" w:hAnsi="Times New Roman"/>
                <w:noProof/>
                <w:sz w:val="24"/>
              </w:rPr>
              <w:t>2,20</w:t>
            </w:r>
          </w:p>
        </w:tc>
        <w:tc>
          <w:tcPr>
            <w:tcW w:w="3969" w:type="dxa"/>
            <w:shd w:val="clear" w:color="auto" w:fill="auto"/>
            <w:vAlign w:val="center"/>
          </w:tcPr>
          <w:p>
            <w:pPr>
              <w:rPr>
                <w:rFonts w:ascii="Times New Roman" w:eastAsia="Calibri" w:hAnsi="Times New Roman" w:cs="Times New Roman"/>
                <w:noProof/>
                <w:sz w:val="24"/>
                <w:szCs w:val="24"/>
              </w:rPr>
            </w:pPr>
            <w:r>
              <w:rPr>
                <w:rFonts w:ascii="Times New Roman" w:hAnsi="Times New Roman"/>
                <w:noProof/>
                <w:sz w:val="24"/>
              </w:rPr>
              <w:t>La première subvention de fonctionnement pour la période 2018-2019 s’élèvera à 1,1 million d’EUR.</w:t>
            </w:r>
          </w:p>
        </w:tc>
      </w:tr>
      <w:tr>
        <w:trPr>
          <w:trHeight w:val="566"/>
        </w:trPr>
        <w:tc>
          <w:tcPr>
            <w:tcW w:w="3119" w:type="dxa"/>
            <w:shd w:val="clear" w:color="auto" w:fill="BFBFBF"/>
            <w:vAlign w:val="center"/>
          </w:tcPr>
          <w:p>
            <w:pPr>
              <w:rPr>
                <w:rFonts w:ascii="Times New Roman" w:eastAsia="Calibri" w:hAnsi="Times New Roman" w:cs="Times New Roman"/>
                <w:b/>
                <w:bCs/>
                <w:noProof/>
                <w:sz w:val="24"/>
                <w:szCs w:val="24"/>
              </w:rPr>
            </w:pPr>
            <w:r>
              <w:rPr>
                <w:rFonts w:ascii="Times New Roman" w:hAnsi="Times New Roman"/>
                <w:b/>
                <w:noProof/>
                <w:sz w:val="24"/>
              </w:rPr>
              <w:t>Total</w:t>
            </w:r>
          </w:p>
        </w:tc>
        <w:tc>
          <w:tcPr>
            <w:tcW w:w="1984" w:type="dxa"/>
            <w:shd w:val="clear" w:color="auto" w:fill="BFBFBF"/>
            <w:vAlign w:val="center"/>
          </w:tcPr>
          <w:p>
            <w:pPr>
              <w:jc w:val="right"/>
              <w:rPr>
                <w:rFonts w:ascii="Times New Roman" w:eastAsia="Calibri" w:hAnsi="Times New Roman" w:cs="Times New Roman"/>
                <w:b/>
                <w:bCs/>
                <w:noProof/>
                <w:sz w:val="24"/>
                <w:szCs w:val="24"/>
              </w:rPr>
            </w:pPr>
            <w:r>
              <w:rPr>
                <w:rFonts w:ascii="Times New Roman" w:hAnsi="Times New Roman"/>
                <w:b/>
                <w:noProof/>
                <w:sz w:val="24"/>
              </w:rPr>
              <w:t>100,00</w:t>
            </w:r>
          </w:p>
        </w:tc>
        <w:tc>
          <w:tcPr>
            <w:tcW w:w="3969" w:type="dxa"/>
            <w:shd w:val="clear" w:color="auto" w:fill="BFBFBF"/>
            <w:vAlign w:val="center"/>
          </w:tcPr>
          <w:p>
            <w:pPr>
              <w:rPr>
                <w:rFonts w:ascii="Times New Roman" w:eastAsia="Calibri" w:hAnsi="Times New Roman" w:cs="Times New Roman"/>
                <w:noProof/>
                <w:sz w:val="24"/>
                <w:szCs w:val="24"/>
              </w:rPr>
            </w:pPr>
          </w:p>
        </w:tc>
      </w:tr>
    </w:tbl>
    <w:p>
      <w:pPr>
        <w:rPr>
          <w:rFonts w:ascii="Times New Roman" w:eastAsia="Calibri" w:hAnsi="Times New Roman" w:cs="Times New Roman"/>
          <w:b/>
          <w:noProof/>
          <w:sz w:val="24"/>
          <w:szCs w:val="24"/>
          <w:u w:val="single"/>
        </w:rPr>
      </w:pPr>
    </w:p>
    <w:p>
      <w:pPr>
        <w:pStyle w:val="ListParagraph"/>
        <w:keepNext/>
        <w:keepLines/>
        <w:numPr>
          <w:ilvl w:val="0"/>
          <w:numId w:val="2"/>
        </w:numPr>
        <w:spacing w:before="100" w:beforeAutospacing="1" w:after="100" w:afterAutospacing="1"/>
        <w:jc w:val="both"/>
        <w:rPr>
          <w:rFonts w:ascii="Times New Roman" w:eastAsia="Calibri" w:hAnsi="Times New Roman" w:cs="Times New Roman"/>
          <w:b/>
          <w:noProof/>
          <w:sz w:val="24"/>
          <w:szCs w:val="24"/>
          <w:u w:val="single"/>
        </w:rPr>
      </w:pPr>
      <w:r>
        <w:rPr>
          <w:rFonts w:ascii="Times New Roman" w:hAnsi="Times New Roman"/>
          <w:b/>
          <w:noProof/>
          <w:sz w:val="24"/>
          <w:u w:val="single"/>
        </w:rPr>
        <w:t>Facilité de coopération technique (FCT) au titre du 11</w:t>
      </w:r>
      <w:r>
        <w:rPr>
          <w:rFonts w:ascii="Times New Roman" w:hAnsi="Times New Roman"/>
          <w:b/>
          <w:noProof/>
          <w:sz w:val="24"/>
          <w:u w:val="single"/>
          <w:vertAlign w:val="superscript"/>
        </w:rPr>
        <w:t>e</w:t>
      </w:r>
      <w:r>
        <w:rPr>
          <w:rFonts w:ascii="Times New Roman" w:hAnsi="Times New Roman"/>
          <w:b/>
          <w:noProof/>
          <w:sz w:val="24"/>
          <w:u w:val="single"/>
        </w:rPr>
        <w:t xml:space="preserve"> FED </w:t>
      </w:r>
    </w:p>
    <w:p>
      <w:pPr>
        <w:pStyle w:val="ListParagraph"/>
        <w:spacing w:before="100" w:beforeAutospacing="1" w:after="100" w:afterAutospacing="1"/>
        <w:ind w:left="360"/>
        <w:jc w:val="both"/>
        <w:rPr>
          <w:rFonts w:ascii="Times New Roman" w:eastAsia="Calibri" w:hAnsi="Times New Roman" w:cs="Times New Roman"/>
          <w:b/>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2146"/>
        <w:gridCol w:w="3827"/>
      </w:tblGrid>
      <w:tr>
        <w:trPr>
          <w:trHeight w:val="806"/>
        </w:trPr>
        <w:tc>
          <w:tcPr>
            <w:tcW w:w="3099" w:type="dxa"/>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Facilité de coopération technique (FCT)</w:t>
            </w:r>
          </w:p>
        </w:tc>
        <w:tc>
          <w:tcPr>
            <w:tcW w:w="2146" w:type="dxa"/>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(en millions d’EUR)</w:t>
            </w:r>
          </w:p>
        </w:tc>
        <w:tc>
          <w:tcPr>
            <w:tcW w:w="3827" w:type="dxa"/>
            <w:shd w:val="clear" w:color="auto" w:fill="BFBFBF"/>
            <w:vAlign w:val="center"/>
          </w:tcPr>
          <w:p>
            <w:pPr>
              <w:spacing w:before="100" w:beforeAutospacing="1" w:after="100" w:afterAutospacing="1"/>
              <w:jc w:val="center"/>
              <w:rPr>
                <w:rFonts w:ascii="Times New Roman" w:eastAsia="Calibri" w:hAnsi="Times New Roman" w:cs="Times New Roman"/>
                <w:b/>
                <w:noProof/>
                <w:sz w:val="24"/>
                <w:szCs w:val="24"/>
              </w:rPr>
            </w:pPr>
            <w:r>
              <w:rPr>
                <w:rFonts w:ascii="Times New Roman" w:hAnsi="Times New Roman"/>
                <w:b/>
                <w:noProof/>
                <w:sz w:val="24"/>
              </w:rPr>
              <w:t>Commentaire</w:t>
            </w:r>
          </w:p>
        </w:tc>
      </w:tr>
      <w:tr>
        <w:trPr>
          <w:trHeight w:val="806"/>
        </w:trPr>
        <w:tc>
          <w:tcPr>
            <w:tcW w:w="3099" w:type="dxa"/>
            <w:vAlign w:val="center"/>
          </w:tcPr>
          <w:p>
            <w:pPr>
              <w:spacing w:before="100" w:beforeAutospacing="1" w:after="100" w:afterAutospacing="1"/>
              <w:jc w:val="both"/>
              <w:rPr>
                <w:rFonts w:ascii="Times New Roman" w:eastAsia="Calibri" w:hAnsi="Times New Roman" w:cs="Times New Roman"/>
                <w:b/>
                <w:noProof/>
                <w:sz w:val="24"/>
                <w:szCs w:val="24"/>
              </w:rPr>
            </w:pPr>
            <w:r>
              <w:rPr>
                <w:rFonts w:ascii="Times New Roman" w:hAnsi="Times New Roman"/>
                <w:b/>
                <w:noProof/>
                <w:sz w:val="24"/>
              </w:rPr>
              <w:t>Total</w:t>
            </w:r>
          </w:p>
        </w:tc>
        <w:tc>
          <w:tcPr>
            <w:tcW w:w="2146" w:type="dxa"/>
            <w:vAlign w:val="center"/>
          </w:tcPr>
          <w:p>
            <w:pPr>
              <w:spacing w:before="100" w:beforeAutospacing="1" w:after="100" w:afterAutospacing="1"/>
              <w:jc w:val="right"/>
              <w:rPr>
                <w:rFonts w:ascii="Times New Roman" w:eastAsia="Calibri" w:hAnsi="Times New Roman" w:cs="Times New Roman"/>
                <w:noProof/>
                <w:sz w:val="24"/>
                <w:szCs w:val="24"/>
              </w:rPr>
            </w:pPr>
            <w:r>
              <w:rPr>
                <w:rFonts w:ascii="Times New Roman" w:hAnsi="Times New Roman"/>
                <w:noProof/>
                <w:sz w:val="24"/>
              </w:rPr>
              <w:t>8,50</w:t>
            </w:r>
          </w:p>
        </w:tc>
        <w:tc>
          <w:tcPr>
            <w:tcW w:w="3827" w:type="dxa"/>
            <w:vAlign w:val="center"/>
          </w:tcPr>
          <w:p>
            <w:pPr>
              <w:spacing w:before="100" w:beforeAutospacing="1" w:after="100" w:afterAutospacing="1"/>
              <w:rPr>
                <w:rFonts w:ascii="Times New Roman" w:eastAsia="Calibri" w:hAnsi="Times New Roman" w:cs="Times New Roman"/>
                <w:noProof/>
                <w:sz w:val="24"/>
                <w:szCs w:val="24"/>
              </w:rPr>
            </w:pPr>
            <w:r>
              <w:rPr>
                <w:rFonts w:ascii="Times New Roman" w:hAnsi="Times New Roman"/>
                <w:noProof/>
                <w:sz w:val="24"/>
              </w:rPr>
              <w:t>2,71 millions d’EUR engagés en 2015-2016 (FCT I)</w:t>
            </w:r>
          </w:p>
          <w:p>
            <w:pPr>
              <w:spacing w:before="100" w:beforeAutospacing="1" w:after="100" w:afterAutospacing="1"/>
              <w:rPr>
                <w:rFonts w:ascii="Times New Roman" w:eastAsia="Calibri" w:hAnsi="Times New Roman" w:cs="Times New Roman"/>
                <w:noProof/>
                <w:sz w:val="24"/>
                <w:szCs w:val="24"/>
              </w:rPr>
            </w:pPr>
            <w:r>
              <w:rPr>
                <w:rFonts w:ascii="Times New Roman" w:hAnsi="Times New Roman"/>
                <w:noProof/>
                <w:sz w:val="24"/>
              </w:rPr>
              <w:t>934 071 EUR engagés à la fin 2017</w:t>
            </w:r>
          </w:p>
        </w:tc>
      </w:tr>
    </w:tbl>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 xml:space="preserve">La décision d’association outre-mer précise les montants totaux alloués pour les programmes territoriaux et régionaux, ainsi que pour l’assistance technique. </w:t>
      </w:r>
    </w:p>
    <w:p>
      <w:pPr>
        <w:autoSpaceDE w:val="0"/>
        <w:autoSpaceDN w:val="0"/>
        <w:adjustRightInd w:val="0"/>
        <w:spacing w:before="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répartition indicative des dotations territoriales spécifiques tient compte de </w:t>
      </w:r>
      <w:r>
        <w:rPr>
          <w:rFonts w:ascii="Times New Roman" w:hAnsi="Times New Roman"/>
          <w:noProof/>
          <w:color w:val="000000"/>
          <w:sz w:val="24"/>
        </w:rPr>
        <w:t xml:space="preserve">l’importance de la population, du niveau du produit intérieur brut, du niveau des dotations FED antérieures et des contraintes liées à l’isolement géographique, ainsi que prévu à l’article 9 de la décision d’association outre-mer. </w:t>
      </w:r>
    </w:p>
    <w:p>
      <w:pPr>
        <w:jc w:val="both"/>
        <w:rPr>
          <w:rFonts w:ascii="Times New Roman" w:eastAsia="Calibri" w:hAnsi="Times New Roman" w:cs="Times New Roman"/>
          <w:noProof/>
          <w:sz w:val="24"/>
          <w:szCs w:val="24"/>
        </w:rPr>
      </w:pPr>
      <w:r>
        <w:rPr>
          <w:rFonts w:ascii="Times New Roman" w:hAnsi="Times New Roman"/>
          <w:noProof/>
          <w:sz w:val="24"/>
        </w:rPr>
        <w:t xml:space="preserve">La répartition indicative des dotations régionales spécifiques reflète la nécessité d’une masse critique pour garantir l’impact recherché et la nécessité d’encourager la coopération entre les PTOM, les régions ultrapériphériques et les ACP, ainsi que les pays tiers.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A9"/>
    <w:multiLevelType w:val="hybridMultilevel"/>
    <w:tmpl w:val="19FA07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773AD"/>
    <w:multiLevelType w:val="hybridMultilevel"/>
    <w:tmpl w:val="5A284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844741"/>
    <w:multiLevelType w:val="hybridMultilevel"/>
    <w:tmpl w:val="367CC4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5D3FD5"/>
    <w:multiLevelType w:val="hybridMultilevel"/>
    <w:tmpl w:val="3F4C9FE2"/>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0"/>
    <w:docVar w:name="LW_CORRIGENDUM" w:val="&lt;UNUSED&gt;"/>
    <w:docVar w:name="LW_COVERPAGE_EXISTS" w:val="True"/>
    <w:docVar w:name="LW_COVERPAGE_GUID" w:val="3CDD216E-306D-401D-AF4B-026D4450BE04"/>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pour 2017 concernant la mise en \u339?uvre de l\u8217?aide financière allouée aux pays _x000b_et territoires d\u8217?outre-mer au titre du 11&lt;FMT:Superscript&gt;e&lt;/FMT&gt; Fonds européen de développement_x000b__x000b_"/>
    <w:docVar w:name="LW_PART_NBR" w:val="1"/>
    <w:docVar w:name="LW_PART_NBR_TOTAL" w:val="1"/>
    <w:docVar w:name="LW_REF.INST.NEW" w:val="COM"/>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B944-4097-4428-B291-DF766441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439</Words>
  <Characters>2843</Characters>
  <Application>Microsoft Office Word</Application>
  <DocSecurity>0</DocSecurity>
  <Lines>203</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LADAGE Thomas</dc:creator>
  <cp:lastModifiedBy>DIGIT/A3</cp:lastModifiedBy>
  <cp:revision>12</cp:revision>
  <cp:lastPrinted>2017-12-05T11:08:00Z</cp:lastPrinted>
  <dcterms:created xsi:type="dcterms:W3CDTF">2018-01-26T10:34:00Z</dcterms:created>
  <dcterms:modified xsi:type="dcterms:W3CDTF">2018-02-22T08:37:00Z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