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4F84A2A3-2D1F-41D6-9242-CDEEF590079C" style="width:450.75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Commission Decisions adopted in 2016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2431"/>
        <w:gridCol w:w="2417"/>
        <w:gridCol w:w="1622"/>
      </w:tblGrid>
      <w:tr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OCT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Commission Decision adopted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Saint-Pierre et Miquelon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26.35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tourism and maritime connectivity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(2016) 5993 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Saba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3.55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Renewable energy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2016) 8490 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Sint Eustatius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2.45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Energy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2016) 8493 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Turks and Caicos Islands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14.60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Education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C(2016) 8291 </w:t>
            </w:r>
          </w:p>
        </w:tc>
      </w:tr>
      <w:tr>
        <w:trPr>
          <w:trHeight w:val="39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Total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46.95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Commission Decisions adopted in 2017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2276"/>
        <w:gridCol w:w="2412"/>
        <w:gridCol w:w="1699"/>
      </w:tblGrid>
      <w:tr>
        <w:trPr>
          <w:trHeight w:val="36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OCT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Commission Decision adopted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Anguilla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14.05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  <w:t>Education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1107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Falkland Islands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5.90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  <w:t>Connectivity and Accessibility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C(2017) 7131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French Polynesia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29.95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Tourism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7129</w:t>
            </w:r>
          </w:p>
        </w:tc>
      </w:tr>
      <w:tr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 xml:space="preserve">New Caledonia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29.80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  <w:t>Employment and professional inclusion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C(2017) 743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Pitcairn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2.40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Tourism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7847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 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pt-PT"/>
              </w:rPr>
              <w:t>Wallis and Futuna Islands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19.60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Digital development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7130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Total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101.7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</w:tr>
    </w:tbl>
    <w:p>
      <w:pPr>
        <w:pStyle w:val="ListParagraph"/>
        <w:pageBreakBefore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Payments made under the 11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vertAlign w:val="superscript"/>
        </w:rPr>
        <w:t>th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 EDF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2431"/>
        <w:gridCol w:w="2417"/>
        <w:gridCol w:w="1622"/>
      </w:tblGrid>
      <w:tr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OCT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 xml:space="preserve">Allocation in </w:t>
            </w:r>
          </w:p>
          <w:p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 disbursed</w:t>
            </w:r>
          </w:p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Anguilla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14.05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Education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3.6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New Caledonia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21.50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Connectivity and accessibility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5.76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Saint-Pierre et Miquelon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26.35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tourism and maritime connectivity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Saba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3.55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Renewable energy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1.9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Turks and Caicos Islands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14.60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Education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>
        <w:trPr>
          <w:trHeight w:val="39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Total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28.26</w:t>
            </w:r>
          </w:p>
        </w:tc>
      </w:tr>
    </w:tbl>
    <w:p>
      <w:pPr>
        <w:pStyle w:val="ListParagraph"/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Commission Decisions to be adopted</w:t>
      </w:r>
    </w:p>
    <w:p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"/>
        </w:rPr>
        <w:t>11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vertAlign w:val="superscript"/>
          <w:lang w:val="en"/>
        </w:rPr>
        <w:t>th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"/>
        </w:rPr>
        <w:t xml:space="preserve"> EDF indicative Territorial allocations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984"/>
        <w:gridCol w:w="3969"/>
      </w:tblGrid>
      <w:tr>
        <w:trPr>
          <w:trHeight w:val="3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OCT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Proposed sector of Concentration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Aruba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13.05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Education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Bonaire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3.95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Social Development - Youth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Curaçao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16.95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Renewable energy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Montserrat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18.40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Sustainable growth and economic development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pt-PT"/>
              </w:rPr>
              <w:t xml:space="preserve">Saint Helena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21.50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Connectivity and accessibility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Sint Maarten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7.00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Water and sanitation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80.85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</w:p>
        </w:tc>
      </w:tr>
    </w:tbl>
    <w:p>
      <w:pPr>
        <w:pStyle w:val="ListParagraph"/>
        <w:pageBreakBefore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n"/>
        </w:rPr>
        <w:t>11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vertAlign w:val="superscript"/>
          <w:lang w:val="en"/>
        </w:rPr>
        <w:t>th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n"/>
        </w:rPr>
        <w:t xml:space="preserve"> EDF indicative Regional allocations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3969"/>
      </w:tblGrid>
      <w:tr>
        <w:trPr>
          <w:trHeight w:val="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Region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Proposed sector of concentration</w:t>
            </w:r>
          </w:p>
        </w:tc>
      </w:tr>
      <w:tr>
        <w:trPr>
          <w:trHeight w:val="385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Caribbean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40.00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energy and marine biodiversity</w:t>
            </w:r>
          </w:p>
        </w:tc>
      </w:tr>
      <w:tr>
        <w:trPr>
          <w:trHeight w:val="70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Pacific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36.00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Climate change and biodiversity</w:t>
            </w:r>
          </w:p>
        </w:tc>
      </w:tr>
      <w:tr>
        <w:trPr>
          <w:trHeight w:val="457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Indian Ocean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4.00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Observation, management, conservation of terrestrial and marine ecosystem</w:t>
            </w:r>
          </w:p>
        </w:tc>
      </w:tr>
      <w:tr>
        <w:trPr>
          <w:trHeight w:val="566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Thematic programme (all-OCT)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17.8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Climate Change, including disaster risk reduction, and Sustainable Energy</w:t>
            </w:r>
          </w:p>
        </w:tc>
      </w:tr>
      <w:tr>
        <w:trPr>
          <w:trHeight w:val="566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Support measures to the Association of OCTs (OCTA)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The first operating grant covering years 2018 – 2019 will be of EUR 1.1 million</w:t>
            </w:r>
          </w:p>
        </w:tc>
      </w:tr>
      <w:tr>
        <w:trPr>
          <w:trHeight w:val="566"/>
        </w:trPr>
        <w:tc>
          <w:tcPr>
            <w:tcW w:w="3119" w:type="dxa"/>
            <w:shd w:val="clear" w:color="auto" w:fill="BFBFB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1984" w:type="dxa"/>
            <w:shd w:val="clear" w:color="auto" w:fill="BFBFBF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100.00</w:t>
            </w:r>
          </w:p>
        </w:tc>
        <w:tc>
          <w:tcPr>
            <w:tcW w:w="3969" w:type="dxa"/>
            <w:shd w:val="clear" w:color="auto" w:fill="BFBFBF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GB"/>
        </w:rPr>
      </w:pPr>
    </w:p>
    <w:p>
      <w:pPr>
        <w:pStyle w:val="ListParagraph"/>
        <w:keepNext/>
        <w:keepLines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n"/>
        </w:rPr>
        <w:t>11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vertAlign w:val="superscript"/>
          <w:lang w:val="en"/>
        </w:rPr>
        <w:t>th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n"/>
        </w:rPr>
        <w:t xml:space="preserve"> EDF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GB"/>
        </w:rPr>
        <w:t xml:space="preserve">Technical Cooperation Facility (TCF) </w:t>
      </w:r>
    </w:p>
    <w:p>
      <w:pPr>
        <w:pStyle w:val="ListParagraph"/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9"/>
        <w:gridCol w:w="2146"/>
        <w:gridCol w:w="3827"/>
      </w:tblGrid>
      <w:tr>
        <w:trPr>
          <w:trHeight w:val="806"/>
        </w:trPr>
        <w:tc>
          <w:tcPr>
            <w:tcW w:w="3099" w:type="dxa"/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Technical Cooperation Facility (TCF)</w:t>
            </w:r>
          </w:p>
        </w:tc>
        <w:tc>
          <w:tcPr>
            <w:tcW w:w="2146" w:type="dxa"/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(in million EUR)</w:t>
            </w:r>
          </w:p>
        </w:tc>
        <w:tc>
          <w:tcPr>
            <w:tcW w:w="3827" w:type="dxa"/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"/>
              </w:rPr>
              <w:t>Comment</w:t>
            </w:r>
          </w:p>
        </w:tc>
      </w:tr>
      <w:tr>
        <w:trPr>
          <w:trHeight w:val="806"/>
        </w:trPr>
        <w:tc>
          <w:tcPr>
            <w:tcW w:w="3099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46" w:type="dxa"/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8.50</w:t>
            </w:r>
          </w:p>
        </w:tc>
        <w:tc>
          <w:tcPr>
            <w:tcW w:w="3827" w:type="dxa"/>
            <w:vAlign w:val="center"/>
          </w:tcPr>
          <w:p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EUR 2.71 million contracted in 2015-2016 (TCF I)</w:t>
            </w:r>
          </w:p>
          <w:p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EUR 934 071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"/>
              </w:rPr>
              <w:t>contracted by end-2017</w:t>
            </w:r>
          </w:p>
        </w:tc>
      </w:tr>
    </w:tbl>
    <w:p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The OAD stipulates the overall amounts allocated for the territorial and for the regional programmes, as well as for technical assistance. </w:t>
      </w:r>
    </w:p>
    <w:p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The indicative distribution of specific territorial allocations takes into account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t xml:space="preserve">the size of the population, the level of Gross Domestic Product, the level of previous EDF allocations and constraints due to the geographical isolation, as stipulated in Article 9 of the OAD. </w:t>
      </w:r>
    </w:p>
    <w:p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The indicative distribution of specific regional allocations reflects the need for critical mass to ensure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impact and the need to encourage cooperation between OCTs, Outermost Regions and ACP, as well as third countries.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EA9"/>
    <w:multiLevelType w:val="hybridMultilevel"/>
    <w:tmpl w:val="19FA07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73AD"/>
    <w:multiLevelType w:val="hybridMultilevel"/>
    <w:tmpl w:val="5A2845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4741"/>
    <w:multiLevelType w:val="hybridMultilevel"/>
    <w:tmpl w:val="367CC4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D3FD5"/>
    <w:multiLevelType w:val="hybridMultilevel"/>
    <w:tmpl w:val="3F4C9F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4F84A2A3-2D1F-41D6-9242-CDEEF590079C"/>
    <w:docVar w:name="LW_COVERPAGE_TYPE" w:val="1"/>
    <w:docVar w:name="LW_CROSSREFERENCE" w:val="&lt;UNUSED&gt;"/>
    <w:docVar w:name="LW_DocType" w:val="NORMAL"/>
    <w:docVar w:name="LW_EMISSION" w:val="22.2.2018"/>
    <w:docVar w:name="LW_EMISSION_ISODATE" w:val="2018-02-22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for 2017 on the implementation of the financial assistance provided to the Overseas Countries and Territories under the 11th European Development Fund"/>
    <w:docVar w:name="LW_PART_NBR" w:val="1"/>
    <w:docVar w:name="LW_PART_NBR_TOTAL" w:val="1"/>
    <w:docVar w:name="LW_REF.INST.NEW" w:val="COM"/>
    <w:docVar w:name="LW_REF.INST.NEW_ADOPTED" w:val="final"/>
    <w:docVar w:name="LW_REF.INST.NEW_TEXT" w:val="(2018) 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0CDB-38A8-4D83-BE0B-3D534344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2587</Characters>
  <Application>Microsoft Office Word</Application>
  <DocSecurity>0</DocSecurity>
  <Lines>199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LADAGE Thomas</dc:creator>
  <cp:lastModifiedBy>DIGIT/A3</cp:lastModifiedBy>
  <cp:revision>9</cp:revision>
  <cp:lastPrinted>2017-12-05T11:08:00Z</cp:lastPrinted>
  <dcterms:created xsi:type="dcterms:W3CDTF">2018-01-26T10:34:00Z</dcterms:created>
  <dcterms:modified xsi:type="dcterms:W3CDTF">2018-02-22T08:37:00Z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