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047B87A-DAB3-44F3-8DE0-95B71BBA9721" style="width:450.35pt;height:320.6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p>
    <w:p>
      <w:pPr>
        <w:jc w:val="center"/>
        <w:rPr>
          <w:rFonts w:ascii="Times New Roman" w:hAnsi="Times New Roman" w:cs="Times New Roman"/>
          <w:b/>
          <w:noProof/>
          <w:sz w:val="24"/>
          <w:szCs w:val="24"/>
        </w:rPr>
      </w:pPr>
      <w:r>
        <w:rPr>
          <w:rFonts w:ascii="Times New Roman" w:hAnsi="Times New Roman"/>
          <w:b/>
          <w:noProof/>
          <w:sz w:val="24"/>
        </w:rPr>
        <w:t>Доклад относно изпълнението на плана за действие на ЕС в областта на митниците за борба с нарушенията на правата върху интелектуална</w:t>
      </w:r>
      <w:r>
        <w:rPr>
          <w:rFonts w:ascii="Times New Roman" w:hAnsi="Times New Roman"/>
          <w:b/>
          <w:noProof/>
          <w:sz w:val="24"/>
        </w:rPr>
        <w:br/>
        <w:t>собственост за 2013—2017 г.</w:t>
      </w:r>
    </w:p>
    <w:p>
      <w:pPr>
        <w:jc w:val="center"/>
        <w:rPr>
          <w:rFonts w:ascii="Times New Roman" w:hAnsi="Times New Roman" w:cs="Times New Roman"/>
          <w:b/>
          <w:noProof/>
          <w:sz w:val="24"/>
          <w:szCs w:val="24"/>
        </w:rPr>
      </w:pPr>
      <w:r>
        <w:rPr>
          <w:rFonts w:ascii="Times New Roman" w:hAnsi="Times New Roman"/>
          <w:b/>
          <w:noProof/>
          <w:sz w:val="24"/>
        </w:rPr>
        <w:t>СЪДЪРЖАНИЕ</w:t>
      </w:r>
    </w:p>
    <w:sdt>
      <w:sdtPr>
        <w:rPr>
          <w:noProof/>
        </w:rPr>
        <w:id w:val="-1572570424"/>
        <w:docPartObj>
          <w:docPartGallery w:val="Table of Contents"/>
          <w:docPartUnique/>
        </w:docPartObj>
      </w:sdtPr>
      <w:sdtEndPr>
        <w:rPr>
          <w:b/>
          <w:bCs/>
        </w:rPr>
      </w:sdtEndPr>
      <w:sdtContent>
        <w:p>
          <w:pPr>
            <w:pStyle w:val="TOC1"/>
            <w:tabs>
              <w:tab w:val="right" w:leader="dot" w:pos="9062"/>
            </w:tabs>
            <w:rPr>
              <w:rFonts w:eastAsiaTheme="minorEastAsia"/>
              <w:noProof/>
              <w:lang w:val="en-GB" w:eastAsia="en-GB" w:bidi="ar-SA"/>
            </w:rPr>
          </w:pPr>
          <w:r>
            <w:rPr>
              <w:noProof/>
            </w:rPr>
            <w:fldChar w:fldCharType="begin"/>
          </w:r>
          <w:r>
            <w:rPr>
              <w:noProof/>
            </w:rPr>
            <w:instrText xml:space="preserve"> TOC \o "1-3" \h \z \u </w:instrText>
          </w:r>
          <w:r>
            <w:rPr>
              <w:noProof/>
            </w:rPr>
            <w:fldChar w:fldCharType="separate"/>
          </w:r>
          <w:hyperlink w:anchor="_Toc504756090" w:history="1">
            <w:r>
              <w:rPr>
                <w:rStyle w:val="Hyperlink"/>
                <w:noProof/>
              </w:rPr>
              <w:t>ВЪВЕДЕНИЕ</w:t>
            </w:r>
            <w:r>
              <w:rPr>
                <w:noProof/>
                <w:webHidden/>
              </w:rPr>
              <w:tab/>
            </w:r>
            <w:r>
              <w:rPr>
                <w:noProof/>
                <w:webHidden/>
              </w:rPr>
              <w:fldChar w:fldCharType="begin"/>
            </w:r>
            <w:r>
              <w:rPr>
                <w:noProof/>
                <w:webHidden/>
              </w:rPr>
              <w:instrText xml:space="preserve"> PAGEREF _Toc504756090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9062"/>
            </w:tabs>
            <w:rPr>
              <w:rFonts w:eastAsiaTheme="minorEastAsia"/>
              <w:noProof/>
              <w:lang w:val="en-GB" w:eastAsia="en-GB" w:bidi="ar-SA"/>
            </w:rPr>
          </w:pPr>
          <w:hyperlink w:anchor="_Toc504756091" w:history="1">
            <w:r>
              <w:rPr>
                <w:rStyle w:val="Hyperlink"/>
                <w:noProof/>
              </w:rPr>
              <w:t>1 — Ефективно прилагане и мониторинг на новото законодателство на ЕС относно защитата на ПИС, осъществявана от митническите органи</w:t>
            </w:r>
            <w:r>
              <w:rPr>
                <w:noProof/>
                <w:webHidden/>
              </w:rPr>
              <w:tab/>
            </w:r>
            <w:r>
              <w:rPr>
                <w:noProof/>
                <w:webHidden/>
              </w:rPr>
              <w:fldChar w:fldCharType="begin"/>
            </w:r>
            <w:r>
              <w:rPr>
                <w:noProof/>
                <w:webHidden/>
              </w:rPr>
              <w:instrText xml:space="preserve"> PAGEREF _Toc504756091 \h </w:instrText>
            </w:r>
            <w:r>
              <w:rPr>
                <w:noProof/>
                <w:webHidden/>
              </w:rPr>
            </w:r>
            <w:r>
              <w:rPr>
                <w:noProof/>
                <w:webHidden/>
              </w:rPr>
              <w:fldChar w:fldCharType="separate"/>
            </w:r>
            <w:r>
              <w:rPr>
                <w:noProof/>
                <w:webHidden/>
              </w:rPr>
              <w:t>3</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092" w:history="1">
            <w:r>
              <w:rPr>
                <w:rStyle w:val="Hyperlink"/>
                <w:noProof/>
              </w:rPr>
              <w:t>1.1 Законодателство/Разработване на инструменти за прилагане на новия регламент на ЕС</w:t>
            </w:r>
            <w:r>
              <w:rPr>
                <w:noProof/>
                <w:webHidden/>
              </w:rPr>
              <w:tab/>
            </w:r>
            <w:r>
              <w:rPr>
                <w:noProof/>
                <w:webHidden/>
              </w:rPr>
              <w:fldChar w:fldCharType="begin"/>
            </w:r>
            <w:r>
              <w:rPr>
                <w:noProof/>
                <w:webHidden/>
              </w:rPr>
              <w:instrText xml:space="preserve"> PAGEREF _Toc504756092 \h </w:instrText>
            </w:r>
            <w:r>
              <w:rPr>
                <w:noProof/>
                <w:webHidden/>
              </w:rPr>
            </w:r>
            <w:r>
              <w:rPr>
                <w:noProof/>
                <w:webHidden/>
              </w:rPr>
              <w:fldChar w:fldCharType="separate"/>
            </w:r>
            <w:r>
              <w:rPr>
                <w:noProof/>
                <w:webHidden/>
              </w:rPr>
              <w:t>3</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093" w:history="1">
            <w:r>
              <w:rPr>
                <w:rStyle w:val="Hyperlink"/>
                <w:noProof/>
              </w:rPr>
              <w:t>1.2 Пълноценно използване на функциите на COPIS</w:t>
            </w:r>
            <w:r>
              <w:rPr>
                <w:noProof/>
                <w:webHidden/>
              </w:rPr>
              <w:tab/>
            </w:r>
            <w:r>
              <w:rPr>
                <w:noProof/>
                <w:webHidden/>
              </w:rPr>
              <w:fldChar w:fldCharType="begin"/>
            </w:r>
            <w:r>
              <w:rPr>
                <w:noProof/>
                <w:webHidden/>
              </w:rPr>
              <w:instrText xml:space="preserve"> PAGEREF _Toc504756093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094" w:history="1">
            <w:r>
              <w:rPr>
                <w:rStyle w:val="Hyperlink"/>
                <w:noProof/>
              </w:rPr>
              <w:t>1.3 Ангажиране на носителите на права и заинтересованите страни</w:t>
            </w:r>
            <w:r>
              <w:rPr>
                <w:noProof/>
                <w:webHidden/>
              </w:rPr>
              <w:tab/>
            </w:r>
            <w:r>
              <w:rPr>
                <w:noProof/>
                <w:webHidden/>
              </w:rPr>
              <w:fldChar w:fldCharType="begin"/>
            </w:r>
            <w:r>
              <w:rPr>
                <w:noProof/>
                <w:webHidden/>
              </w:rPr>
              <w:instrText xml:space="preserve"> PAGEREF _Toc504756094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095" w:history="1">
            <w:r>
              <w:rPr>
                <w:rStyle w:val="Hyperlink"/>
                <w:noProof/>
              </w:rPr>
              <w:t>1.3 — Ежегодно публикуване на статистически данни</w:t>
            </w:r>
            <w:r>
              <w:rPr>
                <w:noProof/>
                <w:webHidden/>
              </w:rPr>
              <w:tab/>
            </w:r>
            <w:r>
              <w:rPr>
                <w:noProof/>
                <w:webHidden/>
              </w:rPr>
              <w:fldChar w:fldCharType="begin"/>
            </w:r>
            <w:r>
              <w:rPr>
                <w:noProof/>
                <w:webHidden/>
              </w:rPr>
              <w:instrText xml:space="preserve"> PAGEREF _Toc504756095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eastAsiaTheme="minorEastAsia"/>
              <w:noProof/>
              <w:lang w:val="en-GB" w:eastAsia="en-GB" w:bidi="ar-SA"/>
            </w:rPr>
          </w:pPr>
          <w:hyperlink w:anchor="_Toc504756096" w:history="1">
            <w:r>
              <w:rPr>
                <w:rStyle w:val="Hyperlink"/>
                <w:noProof/>
              </w:rPr>
              <w:t>2 — Борба срещу основните тенденции в търговията със стоки, нарушаващи ПИС</w:t>
            </w:r>
            <w:r>
              <w:rPr>
                <w:noProof/>
                <w:webHidden/>
              </w:rPr>
              <w:tab/>
            </w:r>
            <w:r>
              <w:rPr>
                <w:noProof/>
                <w:webHidden/>
              </w:rPr>
              <w:fldChar w:fldCharType="begin"/>
            </w:r>
            <w:r>
              <w:rPr>
                <w:noProof/>
                <w:webHidden/>
              </w:rPr>
              <w:instrText xml:space="preserve"> PAGEREF _Toc504756096 \h </w:instrText>
            </w:r>
            <w:r>
              <w:rPr>
                <w:noProof/>
                <w:webHidden/>
              </w:rPr>
            </w:r>
            <w:r>
              <w:rPr>
                <w:noProof/>
                <w:webHidden/>
              </w:rPr>
              <w:fldChar w:fldCharType="separate"/>
            </w:r>
            <w:r>
              <w:rPr>
                <w:noProof/>
                <w:webHidden/>
              </w:rPr>
              <w:t>7</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097" w:history="1">
            <w:r>
              <w:rPr>
                <w:rStyle w:val="Hyperlink"/>
                <w:noProof/>
              </w:rPr>
              <w:t>2.1 Разработване на специфичен подход за пощенските и куриерските пратки</w:t>
            </w:r>
            <w:r>
              <w:rPr>
                <w:noProof/>
                <w:webHidden/>
              </w:rPr>
              <w:tab/>
            </w:r>
            <w:r>
              <w:rPr>
                <w:noProof/>
                <w:webHidden/>
              </w:rPr>
              <w:fldChar w:fldCharType="begin"/>
            </w:r>
            <w:r>
              <w:rPr>
                <w:noProof/>
                <w:webHidden/>
              </w:rPr>
              <w:instrText xml:space="preserve"> PAGEREF _Toc504756097 \h </w:instrText>
            </w:r>
            <w:r>
              <w:rPr>
                <w:noProof/>
                <w:webHidden/>
              </w:rPr>
            </w:r>
            <w:r>
              <w:rPr>
                <w:noProof/>
                <w:webHidden/>
              </w:rPr>
              <w:fldChar w:fldCharType="separate"/>
            </w:r>
            <w:r>
              <w:rPr>
                <w:noProof/>
                <w:webHidden/>
              </w:rPr>
              <w:t>7</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098" w:history="1">
            <w:r>
              <w:rPr>
                <w:rStyle w:val="Hyperlink"/>
                <w:noProof/>
              </w:rPr>
              <w:t>2.2 Укрепване на митническите системи за управление на риска</w:t>
            </w:r>
            <w:r>
              <w:rPr>
                <w:noProof/>
                <w:webHidden/>
              </w:rPr>
              <w:tab/>
            </w:r>
            <w:r>
              <w:rPr>
                <w:noProof/>
                <w:webHidden/>
              </w:rPr>
              <w:fldChar w:fldCharType="begin"/>
            </w:r>
            <w:r>
              <w:rPr>
                <w:noProof/>
                <w:webHidden/>
              </w:rPr>
              <w:instrText xml:space="preserve"> PAGEREF _Toc504756098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eastAsiaTheme="minorEastAsia"/>
              <w:noProof/>
              <w:lang w:val="en-GB" w:eastAsia="en-GB" w:bidi="ar-SA"/>
            </w:rPr>
          </w:pPr>
          <w:hyperlink w:anchor="_Toc504756099" w:history="1">
            <w:r>
              <w:rPr>
                <w:rStyle w:val="Hyperlink"/>
                <w:noProof/>
              </w:rPr>
              <w:t>3 — Борба срещу търговията със стоки, нарушаващи ПИС, чрез международни вериги за доставка</w:t>
            </w:r>
            <w:r>
              <w:rPr>
                <w:noProof/>
                <w:webHidden/>
              </w:rPr>
              <w:tab/>
            </w:r>
            <w:r>
              <w:rPr>
                <w:noProof/>
                <w:webHidden/>
              </w:rPr>
              <w:fldChar w:fldCharType="begin"/>
            </w:r>
            <w:r>
              <w:rPr>
                <w:noProof/>
                <w:webHidden/>
              </w:rPr>
              <w:instrText xml:space="preserve"> PAGEREF _Toc504756099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100" w:history="1">
            <w:r>
              <w:rPr>
                <w:rStyle w:val="Hyperlink"/>
                <w:noProof/>
              </w:rPr>
              <w:t>3.1 Укрепване на сътрудничеството с основните държави на произход, транзитно преминаване и местоназначение</w:t>
            </w:r>
            <w:r>
              <w:rPr>
                <w:noProof/>
                <w:webHidden/>
              </w:rPr>
              <w:tab/>
            </w:r>
            <w:r>
              <w:rPr>
                <w:noProof/>
                <w:webHidden/>
              </w:rPr>
              <w:fldChar w:fldCharType="begin"/>
            </w:r>
            <w:r>
              <w:rPr>
                <w:noProof/>
                <w:webHidden/>
              </w:rPr>
              <w:instrText xml:space="preserve"> PAGEREF _Toc504756100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101" w:history="1">
            <w:r>
              <w:rPr>
                <w:rStyle w:val="Hyperlink"/>
                <w:noProof/>
              </w:rPr>
              <w:t>3.2 Изграждане на капацитет във връзка със защитата на ПИС в страните кандидатки и съседните на ЕС държави</w:t>
            </w:r>
            <w:r>
              <w:rPr>
                <w:noProof/>
                <w:webHidden/>
              </w:rPr>
              <w:tab/>
            </w:r>
            <w:r>
              <w:rPr>
                <w:noProof/>
                <w:webHidden/>
              </w:rPr>
              <w:fldChar w:fldCharType="begin"/>
            </w:r>
            <w:r>
              <w:rPr>
                <w:noProof/>
                <w:webHidden/>
              </w:rPr>
              <w:instrText xml:space="preserve"> PAGEREF _Toc504756101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eastAsiaTheme="minorEastAsia"/>
              <w:noProof/>
              <w:lang w:val="en-GB" w:eastAsia="en-GB" w:bidi="ar-SA"/>
            </w:rPr>
          </w:pPr>
          <w:hyperlink w:anchor="_Toc504756102" w:history="1">
            <w:r>
              <w:rPr>
                <w:rStyle w:val="Hyperlink"/>
                <w:noProof/>
              </w:rPr>
              <w:t>4 — Укрепване на сътрудничеството с Европейската обсерватория за нарушенията на ПИС и с правоприлагащите органи</w:t>
            </w:r>
            <w:r>
              <w:rPr>
                <w:noProof/>
                <w:webHidden/>
              </w:rPr>
              <w:tab/>
            </w:r>
            <w:r>
              <w:rPr>
                <w:noProof/>
                <w:webHidden/>
              </w:rPr>
              <w:fldChar w:fldCharType="begin"/>
            </w:r>
            <w:r>
              <w:rPr>
                <w:noProof/>
                <w:webHidden/>
              </w:rPr>
              <w:instrText xml:space="preserve"> PAGEREF _Toc504756102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103" w:history="1">
            <w:r>
              <w:rPr>
                <w:rStyle w:val="Hyperlink"/>
                <w:noProof/>
              </w:rPr>
              <w:t>4.1 Установяване на партньорство с Европейската обсерватория за нарушенията на ПИС</w:t>
            </w:r>
            <w:r>
              <w:rPr>
                <w:noProof/>
                <w:webHidden/>
              </w:rPr>
              <w:tab/>
            </w:r>
            <w:r>
              <w:rPr>
                <w:noProof/>
                <w:webHidden/>
              </w:rPr>
              <w:fldChar w:fldCharType="begin"/>
            </w:r>
            <w:r>
              <w:rPr>
                <w:noProof/>
                <w:webHidden/>
              </w:rPr>
              <w:instrText xml:space="preserve"> PAGEREF _Toc504756103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9062"/>
            </w:tabs>
            <w:rPr>
              <w:rFonts w:eastAsiaTheme="minorEastAsia"/>
              <w:noProof/>
              <w:lang w:val="en-GB" w:eastAsia="en-GB" w:bidi="ar-SA"/>
            </w:rPr>
          </w:pPr>
          <w:hyperlink w:anchor="_Toc504756104" w:history="1">
            <w:r>
              <w:rPr>
                <w:rStyle w:val="Hyperlink"/>
                <w:noProof/>
              </w:rPr>
              <w:t>4.2 Подобряване на взаимното разбиране и сътрудничеството между митническите, полицейските и съдебните органи</w:t>
            </w:r>
            <w:r>
              <w:rPr>
                <w:noProof/>
                <w:webHidden/>
              </w:rPr>
              <w:tab/>
            </w:r>
            <w:r>
              <w:rPr>
                <w:noProof/>
                <w:webHidden/>
              </w:rPr>
              <w:fldChar w:fldCharType="begin"/>
            </w:r>
            <w:r>
              <w:rPr>
                <w:noProof/>
                <w:webHidden/>
              </w:rPr>
              <w:instrText xml:space="preserve"> PAGEREF _Toc504756104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062"/>
            </w:tabs>
            <w:rPr>
              <w:rFonts w:eastAsiaTheme="minorEastAsia"/>
              <w:noProof/>
              <w:lang w:val="en-GB" w:eastAsia="en-GB" w:bidi="ar-SA"/>
            </w:rPr>
          </w:pPr>
          <w:hyperlink w:anchor="_Toc504756105" w:history="1">
            <w:r>
              <w:rPr>
                <w:rStyle w:val="Hyperlink"/>
                <w:noProof/>
              </w:rPr>
              <w:t>ЗАКЛЮЧЕНИЕ</w:t>
            </w:r>
            <w:r>
              <w:rPr>
                <w:noProof/>
                <w:webHidden/>
              </w:rPr>
              <w:tab/>
            </w:r>
            <w:r>
              <w:rPr>
                <w:noProof/>
                <w:webHidden/>
              </w:rPr>
              <w:fldChar w:fldCharType="begin"/>
            </w:r>
            <w:r>
              <w:rPr>
                <w:noProof/>
                <w:webHidden/>
              </w:rPr>
              <w:instrText xml:space="preserve"> PAGEREF _Toc504756105 \h </w:instrText>
            </w:r>
            <w:r>
              <w:rPr>
                <w:noProof/>
                <w:webHidden/>
              </w:rPr>
            </w:r>
            <w:r>
              <w:rPr>
                <w:noProof/>
                <w:webHidden/>
              </w:rPr>
              <w:fldChar w:fldCharType="separate"/>
            </w:r>
            <w:r>
              <w:rPr>
                <w:noProof/>
                <w:webHidden/>
              </w:rPr>
              <w:t>15</w:t>
            </w:r>
            <w:r>
              <w:rPr>
                <w:noProof/>
                <w:webHidden/>
              </w:rPr>
              <w:fldChar w:fldCharType="end"/>
            </w:r>
          </w:hyperlink>
        </w:p>
        <w:p>
          <w:pPr>
            <w:pStyle w:val="TOC1"/>
            <w:tabs>
              <w:tab w:val="right" w:leader="dot" w:pos="9062"/>
            </w:tabs>
            <w:rPr>
              <w:rFonts w:eastAsiaTheme="minorEastAsia"/>
              <w:noProof/>
              <w:lang w:val="en-GB" w:eastAsia="en-GB" w:bidi="ar-SA"/>
            </w:rPr>
          </w:pPr>
          <w:hyperlink w:anchor="_Toc504756106" w:history="1">
            <w:r>
              <w:rPr>
                <w:rStyle w:val="Hyperlink"/>
                <w:noProof/>
              </w:rPr>
              <w:t>ПРЕПОРЪКИ</w:t>
            </w:r>
            <w:r>
              <w:rPr>
                <w:noProof/>
                <w:webHidden/>
              </w:rPr>
              <w:tab/>
            </w:r>
            <w:r>
              <w:rPr>
                <w:noProof/>
                <w:webHidden/>
              </w:rPr>
              <w:fldChar w:fldCharType="begin"/>
            </w:r>
            <w:r>
              <w:rPr>
                <w:noProof/>
                <w:webHidden/>
              </w:rPr>
              <w:instrText xml:space="preserve"> PAGEREF _Toc504756106 \h </w:instrText>
            </w:r>
            <w:r>
              <w:rPr>
                <w:noProof/>
                <w:webHidden/>
              </w:rPr>
            </w:r>
            <w:r>
              <w:rPr>
                <w:noProof/>
                <w:webHidden/>
              </w:rPr>
              <w:fldChar w:fldCharType="separate"/>
            </w:r>
            <w:r>
              <w:rPr>
                <w:noProof/>
                <w:webHidden/>
              </w:rPr>
              <w:t>16</w:t>
            </w:r>
            <w:r>
              <w:rPr>
                <w:noProof/>
                <w:webHidden/>
              </w:rPr>
              <w:fldChar w:fldCharType="end"/>
            </w:r>
          </w:hyperlink>
        </w:p>
        <w:p>
          <w:pPr>
            <w:rPr>
              <w:noProof/>
            </w:rPr>
          </w:pPr>
          <w:r>
            <w:rPr>
              <w:b/>
              <w:bCs/>
              <w:noProof/>
            </w:rPr>
            <w:fldChar w:fldCharType="end"/>
          </w:r>
        </w:p>
      </w:sdtContent>
    </w:sdt>
    <w:p>
      <w:pPr>
        <w:rPr>
          <w:rFonts w:ascii="Times New Roman" w:hAnsi="Times New Roman" w:cs="Times New Roman"/>
          <w:noProof/>
          <w:sz w:val="24"/>
          <w:szCs w:val="24"/>
        </w:rPr>
      </w:pPr>
      <w:r>
        <w:rPr>
          <w:noProof/>
        </w:rPr>
        <w:br w:type="page"/>
      </w:r>
    </w:p>
    <w:p>
      <w:pPr>
        <w:pStyle w:val="Heading1"/>
        <w:rPr>
          <w:noProof/>
        </w:rPr>
      </w:pPr>
      <w:bookmarkStart w:id="2" w:name="_Toc497921433"/>
      <w:bookmarkStart w:id="3" w:name="_Toc504756090"/>
      <w:r>
        <w:rPr>
          <w:noProof/>
        </w:rPr>
        <w:t>ВЪВЕДЕНИЕ</w:t>
      </w:r>
      <w:bookmarkEnd w:id="2"/>
      <w:bookmarkEnd w:id="3"/>
    </w:p>
    <w:p>
      <w:pPr>
        <w:rPr>
          <w:noProof/>
        </w:rPr>
      </w:pPr>
    </w:p>
    <w:p>
      <w:pPr>
        <w:jc w:val="both"/>
        <w:rPr>
          <w:rFonts w:ascii="Times New Roman" w:hAnsi="Times New Roman" w:cs="Times New Roman"/>
          <w:noProof/>
          <w:sz w:val="24"/>
          <w:szCs w:val="24"/>
        </w:rPr>
      </w:pPr>
      <w:r>
        <w:rPr>
          <w:rFonts w:ascii="Times New Roman" w:hAnsi="Times New Roman"/>
          <w:noProof/>
          <w:sz w:val="24"/>
        </w:rPr>
        <w:t>Митническите администрации на Европейския съюз имат правомощията да задържат стоки, за които се подозира, че нарушават права върху интелектуалната собственост (ПИС), защитени от правото на ЕС и националното право. Митниците работят в партньорство със заинтересованите страни, като например носителите на права, други национални органи и институции, отговарящи за изпълнението и прилагането на законодателството в областта на интелектуалната собственост, и Европейската комисия.</w:t>
      </w:r>
    </w:p>
    <w:p>
      <w:pPr>
        <w:jc w:val="both"/>
        <w:rPr>
          <w:rFonts w:ascii="Times New Roman" w:hAnsi="Times New Roman" w:cs="Times New Roman"/>
          <w:noProof/>
          <w:sz w:val="24"/>
          <w:szCs w:val="24"/>
        </w:rPr>
      </w:pPr>
      <w:r>
        <w:rPr>
          <w:rFonts w:ascii="Times New Roman" w:hAnsi="Times New Roman"/>
          <w:noProof/>
          <w:sz w:val="24"/>
        </w:rPr>
        <w:t>Първият план за действие на ЕС в областта на митниците за борба с нарушенията на правата върху интелектуална собственост (ПИС) беше одобрен от Съвета през 2009 г.</w:t>
      </w:r>
      <w:r>
        <w:rPr>
          <w:rStyle w:val="FootnoteReference"/>
          <w:rFonts w:ascii="Times New Roman" w:hAnsi="Times New Roman"/>
          <w:noProof/>
          <w:sz w:val="24"/>
        </w:rPr>
        <w:footnoteReference w:id="1"/>
      </w:r>
      <w:r>
        <w:rPr>
          <w:rFonts w:ascii="Times New Roman" w:hAnsi="Times New Roman"/>
          <w:noProof/>
          <w:sz w:val="24"/>
        </w:rPr>
        <w:t xml:space="preserve"> Целта беше да се даде възможност на митниците да възприемат общ подход при осигуряването на защита на ПИС и да се съсредоточат върху областите, представляващи най-голям риск.</w:t>
      </w:r>
    </w:p>
    <w:p>
      <w:pPr>
        <w:jc w:val="both"/>
        <w:rPr>
          <w:rFonts w:ascii="Times New Roman" w:hAnsi="Times New Roman" w:cs="Times New Roman"/>
          <w:noProof/>
          <w:sz w:val="24"/>
          <w:szCs w:val="24"/>
        </w:rPr>
      </w:pPr>
      <w:r>
        <w:rPr>
          <w:rFonts w:ascii="Times New Roman" w:hAnsi="Times New Roman"/>
          <w:noProof/>
          <w:sz w:val="24"/>
        </w:rPr>
        <w:t>Признавайки необходимостта да се предоставят на митническите органи нужните инструменти за справяне с предизвикателствата, свързани с новите тенденции в международната търговия със стоки, които нарушават тези права, през декември 2012 г. Съветът прие Резолюция относно план за действие на ЕС в областта на митниците за борба с нарушенията на ПИС за 2013—2017 г.</w:t>
      </w:r>
      <w:r>
        <w:rPr>
          <w:rStyle w:val="FootnoteReference"/>
          <w:rFonts w:ascii="Times New Roman" w:hAnsi="Times New Roman"/>
          <w:noProof/>
          <w:sz w:val="24"/>
        </w:rPr>
        <w:footnoteReference w:id="2"/>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Вторият план за действие на ЕС съдържаше четири стратегически цели:</w:t>
      </w:r>
    </w:p>
    <w:p>
      <w:pPr>
        <w:ind w:left="720" w:hanging="72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 xml:space="preserve">ефективно прилагане и мониторинг на новото законодателство на ЕС относно защитата на ПИС, осъществявана от митническите органи; </w:t>
      </w:r>
    </w:p>
    <w:p>
      <w:pPr>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борба срещу основните тенденции в търговията със стоки, нарушаващи ПИС;</w:t>
      </w:r>
    </w:p>
    <w:p>
      <w:pPr>
        <w:ind w:left="720" w:hanging="72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борба срещу търговията със стоки, нарушаващи ПИС, чрез международни вериги за доставка;</w:t>
      </w:r>
    </w:p>
    <w:p>
      <w:pPr>
        <w:ind w:left="720" w:hanging="720"/>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укрепване на сътрудничеството с Европейската обсерватория за нарушенията на ПИС, която е част от Службата на Европейския съюз за интелектуална собственост (EUIPO), и с правоприлагащите органи.</w:t>
      </w:r>
    </w:p>
    <w:p>
      <w:pPr>
        <w:jc w:val="both"/>
        <w:rPr>
          <w:rFonts w:ascii="Times New Roman" w:hAnsi="Times New Roman" w:cs="Times New Roman"/>
          <w:noProof/>
          <w:sz w:val="24"/>
          <w:szCs w:val="24"/>
        </w:rPr>
      </w:pPr>
      <w:r>
        <w:rPr>
          <w:rFonts w:ascii="Times New Roman" w:hAnsi="Times New Roman"/>
          <w:noProof/>
          <w:sz w:val="24"/>
        </w:rPr>
        <w:t xml:space="preserve">В плана за действие Комисията се приканва, в сътрудничество с държавите членки, да извършва годишни прегледи на неговото прилагане и да представи на Съвета окончателен доклад през 2017 г. </w:t>
      </w:r>
    </w:p>
    <w:p>
      <w:pPr>
        <w:jc w:val="both"/>
        <w:rPr>
          <w:rFonts w:ascii="Times New Roman" w:hAnsi="Times New Roman" w:cs="Times New Roman"/>
          <w:noProof/>
          <w:sz w:val="24"/>
          <w:szCs w:val="24"/>
        </w:rPr>
      </w:pPr>
      <w:r>
        <w:rPr>
          <w:rFonts w:ascii="Times New Roman" w:hAnsi="Times New Roman"/>
          <w:noProof/>
          <w:sz w:val="24"/>
        </w:rPr>
        <w:t>Настоящият окончателен доклад е изготвен от службите на Комисията в сътрудничество с митнически експерти от държавите членки. Той следва общата структура на плана за действие и включва набор от препоръки за последващи стъпки.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ОСНОВНИ РЕЗУЛТАТИ</w:t>
      </w:r>
    </w:p>
    <w:p>
      <w:pPr>
        <w:pStyle w:val="Heading2"/>
        <w:rPr>
          <w:noProof/>
        </w:rPr>
      </w:pPr>
      <w:bookmarkStart w:id="4" w:name="_Toc497921434"/>
      <w:bookmarkStart w:id="5" w:name="_Toc504756091"/>
      <w:r>
        <w:rPr>
          <w:noProof/>
        </w:rPr>
        <w:t>1 — Ефективно прилагане и мониторинг на новото законодателство на ЕС относно защитата на ПИС, осъществявана от митническите органи</w:t>
      </w:r>
      <w:bookmarkEnd w:id="4"/>
      <w:bookmarkEnd w:id="5"/>
    </w:p>
    <w:p>
      <w:pPr>
        <w:pStyle w:val="Heading3"/>
        <w:rPr>
          <w:noProof/>
        </w:rPr>
      </w:pPr>
      <w:bookmarkStart w:id="6" w:name="_Toc497921435"/>
      <w:bookmarkStart w:id="7" w:name="_Toc504756092"/>
      <w:r>
        <w:rPr>
          <w:noProof/>
        </w:rPr>
        <w:t>1.1 Законодателство/Разработване на инструменти за прилагане на новия регламент на ЕС</w:t>
      </w:r>
      <w:bookmarkEnd w:id="6"/>
      <w:bookmarkEnd w:id="7"/>
    </w:p>
    <w:p>
      <w:pPr>
        <w:jc w:val="both"/>
        <w:rPr>
          <w:noProof/>
        </w:rPr>
      </w:pPr>
      <w:r>
        <w:rPr>
          <w:rFonts w:ascii="Times New Roman" w:hAnsi="Times New Roman"/>
          <w:noProof/>
          <w:sz w:val="24"/>
        </w:rPr>
        <w:t>На 12 юни 2013 г. беше приет нов Регламент (ЕС) № 608/2013 относно защитата на правата върху интелектуалната собственост, осъществявана от митническите органи</w:t>
      </w:r>
      <w:r>
        <w:rPr>
          <w:rStyle w:val="FootnoteReference"/>
          <w:rFonts w:ascii="Times New Roman" w:hAnsi="Times New Roman"/>
          <w:noProof/>
          <w:sz w:val="24"/>
        </w:rPr>
        <w:footnoteReference w:id="3"/>
      </w:r>
      <w:r>
        <w:rPr>
          <w:rFonts w:ascii="Times New Roman" w:hAnsi="Times New Roman"/>
          <w:noProof/>
          <w:sz w:val="24"/>
        </w:rPr>
        <w:t>, който започна да се прилага на 1 януари 2014 г.</w:t>
      </w:r>
      <w:r>
        <w:rPr>
          <w:noProof/>
        </w:rPr>
        <w:t xml:space="preserve"> </w:t>
      </w:r>
    </w:p>
    <w:p>
      <w:pPr>
        <w:jc w:val="both"/>
        <w:rPr>
          <w:rFonts w:ascii="Times New Roman" w:hAnsi="Times New Roman" w:cs="Times New Roman"/>
          <w:b/>
          <w:noProof/>
          <w:sz w:val="24"/>
          <w:szCs w:val="24"/>
        </w:rPr>
      </w:pPr>
      <w:r>
        <w:rPr>
          <w:rFonts w:ascii="Times New Roman" w:hAnsi="Times New Roman"/>
          <w:noProof/>
          <w:sz w:val="24"/>
        </w:rPr>
        <w:t>Той беше допълнен с Регламент за изпълнение (ЕС) № 1352/2013 на Комисията от 4 декември 2013 г.</w:t>
      </w:r>
      <w:r>
        <w:rPr>
          <w:rStyle w:val="FootnoteReference"/>
          <w:rFonts w:ascii="Times New Roman" w:hAnsi="Times New Roman"/>
          <w:noProof/>
          <w:sz w:val="24"/>
        </w:rPr>
        <w:footnoteReference w:id="4"/>
      </w:r>
      <w:r>
        <w:rPr>
          <w:rFonts w:ascii="Times New Roman" w:hAnsi="Times New Roman"/>
          <w:noProof/>
          <w:sz w:val="24"/>
        </w:rPr>
        <w:t xml:space="preserve"> във връзка с формулярите на заявленията на носителите на права за намеса.</w:t>
      </w:r>
    </w:p>
    <w:p>
      <w:pPr>
        <w:jc w:val="both"/>
        <w:rPr>
          <w:noProof/>
        </w:rPr>
      </w:pPr>
      <w:r>
        <w:rPr>
          <w:rFonts w:ascii="Times New Roman" w:hAnsi="Times New Roman"/>
          <w:noProof/>
          <w:sz w:val="24"/>
        </w:rPr>
        <w:t>С цел да се улесни прилагането на тези нови законодателни актове, заедно с експерти от държавите членки и Службата за хармонизация във вътрешния пазар (марки и дизайни) (OHIM)/Службата на Европейския съюз за интелектуална собственост (EUIPO) Комисията разработи курс за електронно обучение относно промените в резултат на новото законодателство за митниците в областта на ПИС. Курсът беше въведен през 2014 г. и е достъпен на уебсайта Europa на Комисията (на страницата на ГД „Данъчно облагане и митнически съюз“).</w:t>
      </w:r>
      <w:r>
        <w:rPr>
          <w:noProof/>
        </w:rPr>
        <w:t xml:space="preserve"> </w:t>
      </w:r>
    </w:p>
    <w:p>
      <w:pPr>
        <w:jc w:val="both"/>
        <w:rPr>
          <w:noProof/>
        </w:rPr>
      </w:pPr>
      <w:r>
        <w:rPr>
          <w:rFonts w:ascii="Times New Roman" w:hAnsi="Times New Roman"/>
          <w:noProof/>
          <w:sz w:val="24"/>
        </w:rPr>
        <w:t xml:space="preserve">Беше приет </w:t>
      </w:r>
      <w:r>
        <w:rPr>
          <w:rFonts w:ascii="Times New Roman" w:hAnsi="Times New Roman"/>
          <w:b/>
          <w:noProof/>
          <w:sz w:val="24"/>
        </w:rPr>
        <w:t>координиран план на ЕС за обучение.</w:t>
      </w:r>
      <w:r>
        <w:rPr>
          <w:rFonts w:ascii="Times New Roman" w:hAnsi="Times New Roman"/>
          <w:noProof/>
          <w:sz w:val="24"/>
        </w:rPr>
        <w:t xml:space="preserve"> Комисията координира отблизо тази дейност заедно с Обсерваторията за нарушенията на правата на интелектуална собственост, чийто принос е въвеждането на материалното право в областта на интелектуалната собственост (ИС) в модулите за обучение.</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В периода 2015—2017 г. беше проведена кампания от </w:t>
      </w:r>
      <w:r>
        <w:rPr>
          <w:rFonts w:ascii="Times New Roman" w:hAnsi="Times New Roman"/>
          <w:b/>
          <w:noProof/>
          <w:sz w:val="24"/>
        </w:rPr>
        <w:t>посещения за подкрепа във всички държави членки</w:t>
      </w:r>
      <w:r>
        <w:rPr>
          <w:rFonts w:ascii="Times New Roman" w:hAnsi="Times New Roman"/>
          <w:noProof/>
          <w:sz w:val="24"/>
        </w:rPr>
        <w:t>. Посещенията за подкрепа бяха идеалният инструмент за провеждане на задълбочен диалог с митническите служби, прилагащи Регламент (ЕС) № 608/2013, с цел изчистване на евентуалните съмнения относно практическото прилагане, улесняване на обмяната на опит между различните държави членки и предоставяне на необходимите съвети.</w:t>
      </w:r>
    </w:p>
    <w:p>
      <w:pPr>
        <w:jc w:val="both"/>
        <w:rPr>
          <w:rFonts w:ascii="Times New Roman" w:hAnsi="Times New Roman" w:cs="Times New Roman"/>
          <w:noProof/>
          <w:sz w:val="24"/>
          <w:szCs w:val="24"/>
        </w:rPr>
      </w:pPr>
      <w:r>
        <w:rPr>
          <w:rFonts w:ascii="Times New Roman" w:hAnsi="Times New Roman"/>
          <w:noProof/>
          <w:sz w:val="24"/>
        </w:rPr>
        <w:t>Всяко посещение се извършваше от двама представители от Комисията (ГД „Данъчно облагане и митнически съюз“) и от двама експерти от държавите членки, участващи на доброволни начала в тази инициатива.</w:t>
      </w:r>
    </w:p>
    <w:p>
      <w:pPr>
        <w:jc w:val="both"/>
        <w:rPr>
          <w:rFonts w:ascii="Times New Roman" w:hAnsi="Times New Roman" w:cs="Times New Roman"/>
          <w:noProof/>
          <w:sz w:val="24"/>
          <w:szCs w:val="24"/>
        </w:rPr>
      </w:pPr>
      <w:r>
        <w:rPr>
          <w:rFonts w:ascii="Times New Roman" w:hAnsi="Times New Roman"/>
          <w:noProof/>
          <w:sz w:val="24"/>
        </w:rPr>
        <w:t>Преди посещението до държавите членки беше разпратен въпросник със стандартен набор от въпроси, който послужи за основа на проведените дискусии. Въпросникът обхващаше всички аспекти на Регламент № 608/2013, като същите бяха обсъдени по време на посещенията. След приключването на всички посещения ще бъде изготвен окончателен цялостен доклад, който ще бъде споделен с държавите членки.</w:t>
      </w:r>
    </w:p>
    <w:p>
      <w:pPr>
        <w:jc w:val="both"/>
        <w:rPr>
          <w:rFonts w:ascii="Times New Roman" w:hAnsi="Times New Roman" w:cs="Times New Roman"/>
          <w:noProof/>
          <w:sz w:val="24"/>
          <w:szCs w:val="24"/>
        </w:rPr>
      </w:pPr>
      <w:r>
        <w:rPr>
          <w:rFonts w:ascii="Times New Roman" w:hAnsi="Times New Roman"/>
          <w:noProof/>
          <w:sz w:val="24"/>
        </w:rPr>
        <w:t>Митническите експерти в областта на ПИС от държавите членки подчертаха полезността на тази инициатива като възможност за експертите от различни държави членки да обсъдят практиките по прилагането.</w:t>
      </w:r>
    </w:p>
    <w:p>
      <w:pPr>
        <w:jc w:val="both"/>
        <w:rPr>
          <w:rFonts w:ascii="Times New Roman" w:hAnsi="Times New Roman" w:cs="Times New Roman"/>
          <w:noProof/>
          <w:sz w:val="24"/>
          <w:szCs w:val="24"/>
        </w:rPr>
      </w:pPr>
      <w:r>
        <w:rPr>
          <w:rFonts w:ascii="Times New Roman" w:hAnsi="Times New Roman"/>
          <w:noProof/>
          <w:sz w:val="24"/>
        </w:rPr>
        <w:t xml:space="preserve">По инициатива на германските митнически органи през октомври 2016 г. в Мюнхен беше организиран </w:t>
      </w:r>
      <w:r>
        <w:rPr>
          <w:rFonts w:ascii="Times New Roman" w:hAnsi="Times New Roman"/>
          <w:b/>
          <w:noProof/>
          <w:sz w:val="24"/>
        </w:rPr>
        <w:t>семинар „Митници 2020“</w:t>
      </w:r>
      <w:r>
        <w:rPr>
          <w:rFonts w:ascii="Times New Roman" w:hAnsi="Times New Roman"/>
          <w:noProof/>
          <w:sz w:val="24"/>
        </w:rPr>
        <w:t xml:space="preserve"> по въпросите на защитата на ПИС, осъществявана от митническите органи/хармонизирането на процеса на удовлетворяване и разглеждане на заявленията за намеса (ЗН). ПИС е частно право, чието зачитане се осигурява от митническите органи, но нарушенията на ПИС спрямо него са все по-голяма заплаха също за икономиката, гражданите и сигурността. Какъв е най-добрият подход към такава нетипична ситуация за правоприлагащ орган и по какъв начин митническите органи могат да поемат/посрещнат отговорността в определени случаи, бяха обсъжданите през двата дни теми. Административната система за защита от страна на митническите органи, въведена с Регламент (ЕС) № 608/2013, функционира въз основа на искането, което носителите на права трябва да подадат до митническите органи. Намесата от страна на митническите органи произтича изцяло от тези ЗН. Поради това е изключително важно качеството на съдържащата се в ЗН информация да бъде достатъчно високо, за да позволява ефективна намеса от страна на митническите органи. Острата нужда да се гарантира високо качество на удовлетворените ЗН, и по-специално на заявленията за намеса на равнището на Съюза, заемаше централно място в обсъжданията.  </w:t>
      </w:r>
    </w:p>
    <w:p>
      <w:pPr>
        <w:jc w:val="both"/>
        <w:rPr>
          <w:rFonts w:ascii="Times New Roman" w:hAnsi="Times New Roman" w:cs="Times New Roman"/>
          <w:noProof/>
          <w:sz w:val="24"/>
          <w:szCs w:val="24"/>
        </w:rPr>
      </w:pPr>
      <w:r>
        <w:rPr>
          <w:rFonts w:ascii="Times New Roman" w:hAnsi="Times New Roman"/>
          <w:noProof/>
          <w:sz w:val="24"/>
        </w:rPr>
        <w:t xml:space="preserve">На 5 юли 2016 г. в Официален вестник, а впоследствие и на уебсайта на ГД „Данъчно облагане и митнически съюз“, беше публикувано </w:t>
      </w:r>
      <w:r>
        <w:rPr>
          <w:rFonts w:ascii="Times New Roman" w:hAnsi="Times New Roman"/>
          <w:b/>
          <w:noProof/>
          <w:sz w:val="24"/>
        </w:rPr>
        <w:t>Известие на Комисията</w:t>
      </w:r>
      <w:r>
        <w:rPr>
          <w:rFonts w:ascii="Times New Roman" w:hAnsi="Times New Roman"/>
          <w:noProof/>
          <w:sz w:val="24"/>
        </w:rPr>
        <w:t>. С него се заменят „Насоките на Европейската комисия във връзка с прилагането от митническите органи на ЕС на правата върху интелектуалната собственост по отношение на стоки, по-специално лекарства, преминаващи транзитно през ЕС“ от 2012 г. То има за цел по-специално да предоставя насоки и разяснения на митническите органи относно прилагането на разпоредбите за търговските марки във връзка със стоки, които не са допуснати за свободно обращение (включително в режим на транзит), съдържащи се в пакета за реформа на марката (Регламент (ЕС) № 2015/2424 относно марката на ЕС, и Директива (ЕС) № 2015/2436 относно националните марки).</w:t>
      </w:r>
    </w:p>
    <w:p>
      <w:pPr>
        <w:jc w:val="both"/>
        <w:rPr>
          <w:rFonts w:ascii="Times New Roman" w:hAnsi="Times New Roman" w:cs="Times New Roman"/>
          <w:noProof/>
          <w:sz w:val="24"/>
          <w:szCs w:val="24"/>
        </w:rPr>
      </w:pPr>
      <w:r>
        <w:rPr>
          <w:rFonts w:ascii="Times New Roman" w:hAnsi="Times New Roman"/>
          <w:noProof/>
          <w:sz w:val="24"/>
        </w:rPr>
        <w:t xml:space="preserve">На 15 май 2017 г. Комисията прие </w:t>
      </w:r>
      <w:r>
        <w:rPr>
          <w:rFonts w:ascii="Times New Roman" w:hAnsi="Times New Roman"/>
          <w:b/>
          <w:noProof/>
          <w:sz w:val="24"/>
        </w:rPr>
        <w:t>доклад до Европейския парламент и Съвета за прилагането на Регламент (ЕС) № 608/2013 на Съвета (COM (2017) 233 final).</w:t>
      </w:r>
      <w:r>
        <w:rPr>
          <w:rFonts w:ascii="Times New Roman" w:hAnsi="Times New Roman"/>
          <w:noProof/>
          <w:sz w:val="24"/>
        </w:rPr>
        <w:t xml:space="preserve"> В неговото заключение се посочва, че прилагането на Регламент (ЕС) № 608/2013 се извършва по удовлетворителен начин. В този регламент са предвидени широк обхват на закрила и процедури, които се използват правилно във всичките 28 държави членки.</w:t>
      </w:r>
    </w:p>
    <w:p>
      <w:pPr>
        <w:pStyle w:val="Heading3"/>
        <w:rPr>
          <w:noProof/>
        </w:rPr>
      </w:pPr>
      <w:bookmarkStart w:id="8" w:name="_Toc497921436"/>
      <w:bookmarkStart w:id="9" w:name="_Toc504756093"/>
      <w:r>
        <w:rPr>
          <w:noProof/>
        </w:rPr>
        <w:t>1.2 Пълноценно използване на функциите на COPIS</w:t>
      </w:r>
      <w:bookmarkEnd w:id="8"/>
      <w:bookmarkEnd w:id="9"/>
    </w:p>
    <w:p>
      <w:pPr>
        <w:jc w:val="both"/>
        <w:rPr>
          <w:rFonts w:ascii="Times New Roman" w:hAnsi="Times New Roman" w:cs="Times New Roman"/>
          <w:noProof/>
          <w:sz w:val="24"/>
          <w:szCs w:val="24"/>
        </w:rPr>
      </w:pPr>
      <w:r>
        <w:rPr>
          <w:rFonts w:ascii="Times New Roman" w:hAnsi="Times New Roman"/>
          <w:b/>
          <w:noProof/>
          <w:sz w:val="24"/>
        </w:rPr>
        <w:t>COPIS (информационна система за борба с фалшифицирането и пиратството)</w:t>
      </w:r>
      <w:r>
        <w:rPr>
          <w:noProof/>
        </w:rPr>
        <w:t xml:space="preserve"> —</w:t>
      </w:r>
      <w:r>
        <w:rPr>
          <w:rFonts w:ascii="Times New Roman" w:hAnsi="Times New Roman"/>
          <w:noProof/>
          <w:sz w:val="24"/>
        </w:rPr>
        <w:t xml:space="preserve"> базата данни на ЕС за регистриране на ЗН и разпространяването им до митническите органи, регистриране на информация относно случаи на задържане и осигуряване на функция за търсене във връзка със ЗН и случаи на задържане, започна да се използва на 1 януари 2014 г. Митническите органи все повече се приспособяват към системата, която ще продължи да бъде адаптирана, за да удовлетворява потребностите на администрациите.</w:t>
      </w:r>
    </w:p>
    <w:p>
      <w:pPr>
        <w:jc w:val="both"/>
        <w:rPr>
          <w:rFonts w:ascii="Times New Roman" w:hAnsi="Times New Roman" w:cs="Times New Roman"/>
          <w:noProof/>
          <w:sz w:val="24"/>
          <w:szCs w:val="24"/>
        </w:rPr>
      </w:pPr>
      <w:r>
        <w:rPr>
          <w:rFonts w:ascii="Times New Roman" w:hAnsi="Times New Roman"/>
          <w:noProof/>
          <w:sz w:val="24"/>
        </w:rPr>
        <w:t xml:space="preserve">Преди пускането в експлоатация на системата беше организирано </w:t>
      </w:r>
      <w:r>
        <w:rPr>
          <w:rFonts w:ascii="Times New Roman" w:hAnsi="Times New Roman"/>
          <w:b/>
          <w:noProof/>
          <w:sz w:val="24"/>
        </w:rPr>
        <w:t>обучение за работа с COPIS,</w:t>
      </w:r>
      <w:r>
        <w:rPr>
          <w:rFonts w:ascii="Times New Roman" w:hAnsi="Times New Roman"/>
          <w:noProof/>
          <w:sz w:val="24"/>
        </w:rPr>
        <w:t xml:space="preserve"> което беше повторено през есента на 2017 г. за митническите експерти от държавите членки (насочено както към регистрирането на ЗН, така и към подаването на информация относно задържания).</w:t>
      </w:r>
    </w:p>
    <w:p>
      <w:pPr>
        <w:jc w:val="both"/>
        <w:rPr>
          <w:rFonts w:ascii="Times New Roman" w:hAnsi="Times New Roman" w:cs="Times New Roman"/>
          <w:noProof/>
          <w:sz w:val="24"/>
          <w:szCs w:val="24"/>
        </w:rPr>
      </w:pPr>
      <w:r>
        <w:rPr>
          <w:rFonts w:ascii="Times New Roman" w:hAnsi="Times New Roman"/>
          <w:noProof/>
          <w:sz w:val="24"/>
        </w:rPr>
        <w:t>Европейската обсерватория за нарушенията на ПИС и Комисията също така стартираха проект за интегриране между базата данни за защита на ПИС (EDB)</w:t>
      </w:r>
      <w:r>
        <w:rPr>
          <w:rStyle w:val="FootnoteReference"/>
          <w:rFonts w:ascii="Times New Roman" w:hAnsi="Times New Roman"/>
          <w:noProof/>
          <w:sz w:val="24"/>
        </w:rPr>
        <w:footnoteReference w:id="5"/>
      </w:r>
      <w:r>
        <w:rPr>
          <w:rFonts w:ascii="Times New Roman" w:hAnsi="Times New Roman"/>
          <w:noProof/>
          <w:sz w:val="24"/>
        </w:rPr>
        <w:t xml:space="preserve"> и COPIS, който позволява на носителите на права да предават по електронен път информацията от своите ЗН до администрациите на въпросните държави членки посредством EDB до COPIS (</w:t>
      </w:r>
      <w:r>
        <w:rPr>
          <w:rFonts w:ascii="Times New Roman" w:hAnsi="Times New Roman"/>
          <w:i/>
          <w:noProof/>
          <w:sz w:val="24"/>
        </w:rPr>
        <w:t>вж. 4.1 — Установяване на партньорство с Европейската обсерватория за нарушенията на ПИС</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Връзка между </w:t>
      </w:r>
      <w:r>
        <w:rPr>
          <w:rFonts w:ascii="Times New Roman" w:hAnsi="Times New Roman"/>
          <w:b/>
          <w:noProof/>
          <w:sz w:val="24"/>
        </w:rPr>
        <w:t>COPIS и информационната система за борба с измамите (AFIS)</w:t>
      </w:r>
      <w:r>
        <w:rPr>
          <w:rFonts w:ascii="Times New Roman" w:hAnsi="Times New Roman"/>
          <w:noProof/>
          <w:sz w:val="24"/>
        </w:rPr>
        <w:t>, разработена от Европейската служба за борба с измамите (OLAF), се очаква да бъде пусната в експлоатация до края на 2017 г. Тя ще даде възможност за автоматично предаване на резултатите от задържания, регистрирани в COPIS, към AFIS (с което ще се спести двойното записване на резултати от задържания, свързани с ПИС, от митническите органи на държавите членки).</w:t>
      </w:r>
    </w:p>
    <w:p>
      <w:pPr>
        <w:pStyle w:val="Heading3"/>
        <w:rPr>
          <w:noProof/>
        </w:rPr>
      </w:pPr>
      <w:bookmarkStart w:id="10" w:name="_Toc497921437"/>
      <w:bookmarkStart w:id="11" w:name="_Toc504756094"/>
      <w:r>
        <w:rPr>
          <w:noProof/>
        </w:rPr>
        <w:t>1.3 Ангажиране на носителите на права и заинтересованите страни</w:t>
      </w:r>
      <w:bookmarkEnd w:id="10"/>
      <w:bookmarkEnd w:id="11"/>
    </w:p>
    <w:p>
      <w:pPr>
        <w:jc w:val="both"/>
        <w:rPr>
          <w:rFonts w:ascii="Times New Roman" w:hAnsi="Times New Roman" w:cs="Times New Roman"/>
          <w:noProof/>
          <w:sz w:val="24"/>
          <w:szCs w:val="24"/>
        </w:rPr>
      </w:pPr>
      <w:r>
        <w:rPr>
          <w:rFonts w:ascii="Times New Roman" w:hAnsi="Times New Roman"/>
          <w:noProof/>
          <w:sz w:val="24"/>
        </w:rPr>
        <w:t xml:space="preserve">С цел да се гарантира, че носителите на права и заинтересованите страни са адекватно информирани за новия регламент на ЕС, през юни 2013 г. Комисията организира специална среща с избрани заинтересовани страни и представители на митническите администрации на ЕС, за да представи новия регламент и да обсъди определени практически аспекти. Относимата информация беше доведена до знанието на заинтересованите страни и чрез обсерваторията на ЕС за нарушенията на ПИС, както и по време на </w:t>
      </w:r>
      <w:r>
        <w:rPr>
          <w:rFonts w:ascii="Times New Roman" w:hAnsi="Times New Roman"/>
          <w:i/>
          <w:noProof/>
          <w:sz w:val="24"/>
        </w:rPr>
        <w:t>ad-hoc</w:t>
      </w:r>
      <w:r>
        <w:rPr>
          <w:rFonts w:ascii="Times New Roman" w:hAnsi="Times New Roman"/>
          <w:noProof/>
          <w:sz w:val="24"/>
        </w:rPr>
        <w:t xml:space="preserve"> срещи с националните федерации на носителите на права, на които Комисията беше поканена. </w:t>
      </w:r>
    </w:p>
    <w:p>
      <w:pPr>
        <w:jc w:val="both"/>
        <w:rPr>
          <w:rFonts w:ascii="Times New Roman" w:hAnsi="Times New Roman" w:cs="Times New Roman"/>
          <w:noProof/>
          <w:sz w:val="24"/>
          <w:szCs w:val="24"/>
        </w:rPr>
      </w:pPr>
      <w:r>
        <w:rPr>
          <w:rFonts w:ascii="Times New Roman" w:hAnsi="Times New Roman"/>
          <w:noProof/>
          <w:sz w:val="24"/>
        </w:rPr>
        <w:t xml:space="preserve">Информацията на уебсайта Europa на Комисията (ГД „Данъчно облагане и митнически съюз“) също беше актуализирана, а администраторите на порталите на бюрата в помощ на малките и средните предприятия (МСП), на трансатлантическите портали, на Европейското патентно ведомство и на EUIPO бяха приканени да улеснят достъпа до тази информация чрез техните уеб портали. </w:t>
      </w:r>
    </w:p>
    <w:p>
      <w:pPr>
        <w:jc w:val="both"/>
        <w:rPr>
          <w:rFonts w:ascii="Times New Roman" w:hAnsi="Times New Roman" w:cs="Times New Roman"/>
          <w:noProof/>
          <w:sz w:val="24"/>
          <w:szCs w:val="24"/>
        </w:rPr>
      </w:pPr>
      <w:r>
        <w:rPr>
          <w:rFonts w:ascii="Times New Roman" w:hAnsi="Times New Roman"/>
          <w:noProof/>
          <w:sz w:val="24"/>
        </w:rPr>
        <w:t>В началото на 2014 г. ръководството за носителите на права беше актуализирано и публикувано на уебсайта на ГД „Данъчно облагане и митнически съюз“. Митническите органи на много държави членки също предоставиха достъп до формуляра на ЗН и ръководството за носителите на права на своите национални уебсайтове.</w:t>
      </w:r>
    </w:p>
    <w:p>
      <w:pPr>
        <w:jc w:val="both"/>
        <w:rPr>
          <w:rFonts w:ascii="Times New Roman" w:hAnsi="Times New Roman" w:cs="Times New Roman"/>
          <w:noProof/>
          <w:sz w:val="24"/>
          <w:szCs w:val="24"/>
        </w:rPr>
      </w:pPr>
      <w:r>
        <w:rPr>
          <w:rFonts w:ascii="Times New Roman" w:hAnsi="Times New Roman"/>
          <w:noProof/>
          <w:sz w:val="24"/>
        </w:rPr>
        <w:t>Беше въведена практиката да се провежда съвместна среща на митническите органи в ЕС и заинтересованите страни, която се свиква веднъж годишно. Тя се утвърди като много добър форум за обсъждане на въпроси от общ интерес за митниците и заинтересованите страни.</w:t>
      </w:r>
    </w:p>
    <w:p>
      <w:pPr>
        <w:pStyle w:val="Heading3"/>
        <w:rPr>
          <w:noProof/>
        </w:rPr>
      </w:pPr>
      <w:bookmarkStart w:id="12" w:name="_Toc497921438"/>
      <w:bookmarkStart w:id="13" w:name="_Toc504756095"/>
      <w:r>
        <w:rPr>
          <w:noProof/>
        </w:rPr>
        <w:t>1.3 — Ежегодно публикуване на статистически данни</w:t>
      </w:r>
      <w:bookmarkEnd w:id="12"/>
      <w:bookmarkEnd w:id="13"/>
    </w:p>
    <w:p>
      <w:pPr>
        <w:jc w:val="both"/>
        <w:rPr>
          <w:rFonts w:ascii="Times New Roman" w:hAnsi="Times New Roman" w:cs="Times New Roman"/>
          <w:noProof/>
          <w:sz w:val="24"/>
          <w:szCs w:val="24"/>
        </w:rPr>
      </w:pPr>
      <w:r>
        <w:rPr>
          <w:rFonts w:ascii="Times New Roman" w:hAnsi="Times New Roman"/>
          <w:b/>
          <w:noProof/>
          <w:sz w:val="24"/>
        </w:rPr>
        <w:t>Годишният доклад със статистически данни</w:t>
      </w:r>
      <w:r>
        <w:rPr>
          <w:rFonts w:ascii="Times New Roman" w:hAnsi="Times New Roman"/>
          <w:noProof/>
          <w:sz w:val="24"/>
        </w:rPr>
        <w:t xml:space="preserve"> относно защитата на правата върху интелектуалната собственост, осъществявана от митническите органи по външните граници на ЕС, се изготвя от Комисията въз основа на данните, предадени от администрациите на държавите членки (от 2015 г. насам данните се извличат непосредствено от COPIS).</w:t>
      </w:r>
    </w:p>
    <w:p>
      <w:pPr>
        <w:jc w:val="both"/>
        <w:rPr>
          <w:rFonts w:ascii="Times New Roman" w:hAnsi="Times New Roman" w:cs="Times New Roman"/>
          <w:noProof/>
          <w:sz w:val="24"/>
          <w:szCs w:val="24"/>
        </w:rPr>
      </w:pPr>
      <w:r>
        <w:rPr>
          <w:rFonts w:ascii="Times New Roman" w:hAnsi="Times New Roman"/>
          <w:noProof/>
          <w:sz w:val="24"/>
        </w:rPr>
        <w:t>Подаваните от държавите членки статистически данни се споделят всяка година с обсерваторията на ЕС за нарушенията на ПИС, за да бъдат включени в Инструмента в подкрепа на разузнавателните сведения в сферата на борбата с фалшифицирането (Anti-Counterfeiting Intelligence Support Tool — ACIST). Този инструмент представлява централно хранилище за събиране на статистически данни относно задържанията, извършени по границите на ЕС и в рамките на вътрешния пазар.</w:t>
      </w:r>
    </w:p>
    <w:p>
      <w:pPr>
        <w:jc w:val="both"/>
        <w:rPr>
          <w:rFonts w:ascii="Times New Roman" w:hAnsi="Times New Roman" w:cs="Times New Roman"/>
          <w:noProof/>
          <w:sz w:val="24"/>
          <w:szCs w:val="24"/>
        </w:rPr>
      </w:pPr>
      <w:r>
        <w:rPr>
          <w:rFonts w:ascii="Times New Roman" w:hAnsi="Times New Roman"/>
          <w:noProof/>
          <w:sz w:val="24"/>
        </w:rPr>
        <w:t>Данните бяха споделени също така с EUIPO и с Организацията за икономическо сътрудничество и развитие (ОИСР) за целите на проучването на ОИСР/EUIPO от 2016 г. относно „Търговията с фалшифицирани и пиратски стоки“</w:t>
      </w:r>
      <w:r>
        <w:rPr>
          <w:rStyle w:val="FootnoteReference"/>
          <w:rFonts w:ascii="Times New Roman" w:hAnsi="Times New Roman"/>
          <w:noProof/>
          <w:sz w:val="24"/>
        </w:rPr>
        <w:footnoteReference w:id="6"/>
      </w:r>
      <w:r>
        <w:rPr>
          <w:rFonts w:ascii="Times New Roman" w:hAnsi="Times New Roman"/>
          <w:noProof/>
          <w:sz w:val="24"/>
        </w:rPr>
        <w:t xml:space="preserve">. </w:t>
      </w:r>
    </w:p>
    <w:p>
      <w:pPr>
        <w:pStyle w:val="Heading2"/>
        <w:rPr>
          <w:noProof/>
        </w:rPr>
      </w:pPr>
      <w:bookmarkStart w:id="14" w:name="_Toc497921439"/>
      <w:bookmarkStart w:id="15" w:name="_Toc504756096"/>
      <w:r>
        <w:rPr>
          <w:noProof/>
        </w:rPr>
        <w:t>2 — Борба срещу основните тенденции в търговията със стоки, нарушаващи ПИС</w:t>
      </w:r>
      <w:bookmarkEnd w:id="14"/>
      <w:bookmarkEnd w:id="15"/>
    </w:p>
    <w:p>
      <w:pPr>
        <w:pStyle w:val="Heading3"/>
        <w:rPr>
          <w:noProof/>
        </w:rPr>
      </w:pPr>
      <w:bookmarkStart w:id="16" w:name="_Toc497921440"/>
      <w:bookmarkStart w:id="17" w:name="_Toc504756097"/>
      <w:r>
        <w:rPr>
          <w:noProof/>
        </w:rPr>
        <w:t>2.1 Разработване на специфичен подход за пощенските и куриерските пратки</w:t>
      </w:r>
      <w:bookmarkEnd w:id="16"/>
      <w:bookmarkEnd w:id="17"/>
    </w:p>
    <w:p>
      <w:pPr>
        <w:jc w:val="both"/>
        <w:rPr>
          <w:rFonts w:ascii="Times New Roman" w:hAnsi="Times New Roman" w:cs="Times New Roman"/>
          <w:noProof/>
          <w:sz w:val="24"/>
          <w:szCs w:val="24"/>
        </w:rPr>
      </w:pPr>
      <w:r>
        <w:rPr>
          <w:rFonts w:ascii="Times New Roman" w:hAnsi="Times New Roman"/>
          <w:noProof/>
          <w:sz w:val="24"/>
        </w:rPr>
        <w:t xml:space="preserve">Борбата с пратките в резултат на продажби по интернет на стоки, нарушаващи ПИС, е ключово предизвикателство за митниците и вече беше определена като такова в плана за действие на ЕС в областта на митниците за 2009—2012 г. В съответствие с предвиденото в плана за действие за 2013—2017 г., беше създадена проектна група по защитата на ПИС, осъществявана от митническите органи, във връзка с </w:t>
      </w:r>
      <w:r>
        <w:rPr>
          <w:rFonts w:ascii="Times New Roman" w:hAnsi="Times New Roman"/>
          <w:b/>
          <w:noProof/>
          <w:sz w:val="24"/>
        </w:rPr>
        <w:t>малки пратки</w:t>
      </w:r>
      <w:r>
        <w:rPr>
          <w:rFonts w:ascii="Times New Roman" w:hAnsi="Times New Roman"/>
          <w:noProof/>
          <w:sz w:val="24"/>
        </w:rPr>
        <w:t xml:space="preserve">, чиято първа задача беше да подпомага митническите администрации при проверките на малки колети, а след нея — и обсъждането на прилагането на процедурата. </w:t>
      </w:r>
    </w:p>
    <w:p>
      <w:pPr>
        <w:jc w:val="both"/>
        <w:rPr>
          <w:rFonts w:ascii="Times New Roman" w:hAnsi="Times New Roman" w:cs="Times New Roman"/>
          <w:noProof/>
          <w:sz w:val="24"/>
          <w:szCs w:val="24"/>
        </w:rPr>
      </w:pPr>
      <w:r>
        <w:rPr>
          <w:rFonts w:ascii="Times New Roman" w:hAnsi="Times New Roman"/>
          <w:noProof/>
          <w:sz w:val="24"/>
        </w:rPr>
        <w:t xml:space="preserve">В член 26 от Регламент (ЕС) № 608/2013 е предвидена нова процедура, приложима при поискване от притежателя на решение, с което се удовлетворява заявление за намеса от страна на митническите органи, във връзка с изпратени в малки пратки по пощата и куриер фалшифицирани и пиратски стоки. В рамките на тази процедура стоките, за които се предполага, че нарушават права върху интелектуалната собственост, могат да бъдат унищожени без ангажирането на носителите на права върху интелектуална собственост, ако деклараторът или държателят на стоките са се съгласили, или е счетено, че са се съгласили. Целта на процедурата е „да се сведат до минимум административната тежест и разходите“. </w:t>
      </w:r>
    </w:p>
    <w:p>
      <w:pPr>
        <w:jc w:val="both"/>
        <w:rPr>
          <w:rFonts w:ascii="Times New Roman" w:hAnsi="Times New Roman" w:cs="Times New Roman"/>
          <w:noProof/>
          <w:sz w:val="24"/>
          <w:szCs w:val="24"/>
        </w:rPr>
      </w:pPr>
      <w:r>
        <w:rPr>
          <w:rFonts w:ascii="Times New Roman" w:hAnsi="Times New Roman"/>
          <w:noProof/>
          <w:sz w:val="24"/>
        </w:rPr>
        <w:t>Проектната група проведе четири заседания. Първото заседание, което бе проведено през ноември 2013 г. в Брюксел преди да стане приложим Регламент (ЕС) № 608/2013, подготви началото на прилагането на процедурата. Шест месеца след започване на прилагането проектната група проведе второ заседание във Виена (2014 г.), за да обмени опит на ранен етап и да идентифицира ползите и проблемите, срещани при всекидневното прилагане на процедурата за малки колетни пратки. През 2017 г. групата проведе следващо заседание за обсъждане на резултатите от задържанията, извършени по линия на процедурата за малки пратки, за 2014 г. и 2015 г., както и следните специфични аспекти на процедурата:</w:t>
      </w:r>
    </w:p>
    <w:p>
      <w:pPr>
        <w:jc w:val="both"/>
        <w:rPr>
          <w:rFonts w:ascii="Times New Roman" w:hAnsi="Times New Roman" w:cs="Times New Roman"/>
          <w:noProof/>
          <w:sz w:val="24"/>
          <w:szCs w:val="24"/>
        </w:rPr>
      </w:pPr>
      <w:r>
        <w:rPr>
          <w:rFonts w:ascii="Times New Roman" w:hAnsi="Times New Roman"/>
          <w:noProof/>
          <w:sz w:val="24"/>
        </w:rPr>
        <w:t>— участието на носителите на права,</w:t>
      </w:r>
    </w:p>
    <w:p>
      <w:pPr>
        <w:jc w:val="both"/>
        <w:rPr>
          <w:rFonts w:ascii="Times New Roman" w:hAnsi="Times New Roman" w:cs="Times New Roman"/>
          <w:noProof/>
          <w:sz w:val="24"/>
          <w:szCs w:val="24"/>
        </w:rPr>
      </w:pPr>
      <w:r>
        <w:rPr>
          <w:rFonts w:ascii="Times New Roman" w:hAnsi="Times New Roman"/>
          <w:noProof/>
          <w:sz w:val="24"/>
        </w:rPr>
        <w:t>— човешките ресурси, предвидени за изпълнение на процедурата,</w:t>
      </w:r>
    </w:p>
    <w:p>
      <w:pPr>
        <w:jc w:val="both"/>
        <w:rPr>
          <w:rFonts w:ascii="Times New Roman" w:hAnsi="Times New Roman" w:cs="Times New Roman"/>
          <w:noProof/>
          <w:sz w:val="24"/>
          <w:szCs w:val="24"/>
        </w:rPr>
      </w:pPr>
      <w:r>
        <w:rPr>
          <w:rFonts w:ascii="Times New Roman" w:hAnsi="Times New Roman"/>
          <w:noProof/>
          <w:sz w:val="24"/>
        </w:rPr>
        <w:t>— определението за „малка пратка“ в Регламент (ЕС) № 608/2013,</w:t>
      </w:r>
    </w:p>
    <w:p>
      <w:pPr>
        <w:jc w:val="both"/>
        <w:rPr>
          <w:rFonts w:ascii="Times New Roman" w:hAnsi="Times New Roman" w:cs="Times New Roman"/>
          <w:noProof/>
          <w:sz w:val="24"/>
          <w:szCs w:val="24"/>
        </w:rPr>
      </w:pPr>
      <w:r>
        <w:rPr>
          <w:rFonts w:ascii="Times New Roman" w:hAnsi="Times New Roman"/>
          <w:noProof/>
          <w:sz w:val="24"/>
        </w:rPr>
        <w:t>— практиките на уведомяване,</w:t>
      </w:r>
    </w:p>
    <w:p>
      <w:pPr>
        <w:jc w:val="both"/>
        <w:rPr>
          <w:rFonts w:ascii="Times New Roman" w:hAnsi="Times New Roman" w:cs="Times New Roman"/>
          <w:noProof/>
          <w:sz w:val="24"/>
          <w:szCs w:val="24"/>
        </w:rPr>
      </w:pPr>
      <w:r>
        <w:rPr>
          <w:rFonts w:ascii="Times New Roman" w:hAnsi="Times New Roman"/>
          <w:noProof/>
          <w:sz w:val="24"/>
        </w:rPr>
        <w:t xml:space="preserve">— разходите, съхранението и унищожаването, </w:t>
      </w:r>
    </w:p>
    <w:p>
      <w:pPr>
        <w:jc w:val="both"/>
        <w:rPr>
          <w:rFonts w:ascii="Times New Roman" w:hAnsi="Times New Roman" w:cs="Times New Roman"/>
          <w:noProof/>
          <w:sz w:val="24"/>
          <w:szCs w:val="24"/>
        </w:rPr>
      </w:pPr>
      <w:r>
        <w:rPr>
          <w:rFonts w:ascii="Times New Roman" w:hAnsi="Times New Roman"/>
          <w:noProof/>
          <w:sz w:val="24"/>
        </w:rPr>
        <w:t>— регистрирането на данни относно задържания в COPIS.</w:t>
      </w:r>
    </w:p>
    <w:p>
      <w:pPr>
        <w:jc w:val="both"/>
        <w:rPr>
          <w:rFonts w:ascii="Times New Roman" w:hAnsi="Times New Roman" w:cs="Times New Roman"/>
          <w:noProof/>
          <w:sz w:val="24"/>
          <w:szCs w:val="24"/>
        </w:rPr>
      </w:pPr>
      <w:r>
        <w:rPr>
          <w:rFonts w:ascii="Times New Roman" w:hAnsi="Times New Roman"/>
          <w:noProof/>
          <w:sz w:val="24"/>
        </w:rPr>
        <w:t>Резултатите от дискусията показаха, че тъй като по усреднена оценка носителите на права все още сравнително рядко прибягват до процедурата, следва да се предвидят действия за повишаване на осведомеността, които да бъдат насочени към самите носители на права, вместо към техните представители (за да се подчертае добавената стойност за тях от такава процедура).</w:t>
      </w:r>
    </w:p>
    <w:p>
      <w:pPr>
        <w:jc w:val="both"/>
        <w:rPr>
          <w:rFonts w:ascii="Times New Roman" w:hAnsi="Times New Roman" w:cs="Times New Roman"/>
          <w:noProof/>
          <w:sz w:val="24"/>
          <w:szCs w:val="24"/>
        </w:rPr>
      </w:pPr>
      <w:r>
        <w:rPr>
          <w:rFonts w:ascii="Times New Roman" w:hAnsi="Times New Roman"/>
          <w:noProof/>
          <w:sz w:val="24"/>
        </w:rPr>
        <w:t>Групата заключи, че за момента е необходимо процедурата да се използва в пълния ѝ потенциал и по еднакъв начин.</w:t>
      </w:r>
    </w:p>
    <w:p>
      <w:pPr>
        <w:pStyle w:val="Heading3"/>
        <w:rPr>
          <w:noProof/>
        </w:rPr>
      </w:pPr>
      <w:bookmarkStart w:id="18" w:name="_Toc497921441"/>
      <w:bookmarkStart w:id="19" w:name="_Toc504756098"/>
      <w:r>
        <w:rPr>
          <w:noProof/>
        </w:rPr>
        <w:t>2.2 Укрепване на митническите системи за управление на риска</w:t>
      </w:r>
      <w:bookmarkEnd w:id="18"/>
      <w:bookmarkEnd w:id="19"/>
    </w:p>
    <w:p>
      <w:pPr>
        <w:jc w:val="both"/>
        <w:rPr>
          <w:rFonts w:ascii="Times New Roman" w:hAnsi="Times New Roman" w:cs="Times New Roman"/>
          <w:noProof/>
          <w:sz w:val="24"/>
          <w:szCs w:val="24"/>
        </w:rPr>
      </w:pPr>
      <w:r>
        <w:rPr>
          <w:rFonts w:ascii="Times New Roman" w:hAnsi="Times New Roman"/>
          <w:noProof/>
          <w:sz w:val="24"/>
        </w:rPr>
        <w:t>В контекста на укрепването на управлението на митническите системи за управление на риска искането за редовно предоставяне на подходяща информация относно риска от нарушаване на ПИС и митническия контрол посредством общата система за управление на риска (CRMS) доведе до обмена между държавите членки на информация относно риска посредством обичаен информационен формуляр за риска (RIF) — като се посочват новите тенденции и конфискации — във връзка с 224 случая през 2014 г., 228 случая през 2015 г. и 358 случая през 2016 г., което показва явно увеличение.</w:t>
      </w:r>
    </w:p>
    <w:p>
      <w:pPr>
        <w:jc w:val="both"/>
        <w:rPr>
          <w:rFonts w:ascii="Times New Roman" w:hAnsi="Times New Roman" w:cs="Times New Roman"/>
          <w:noProof/>
          <w:sz w:val="24"/>
          <w:szCs w:val="24"/>
        </w:rPr>
      </w:pPr>
      <w:r>
        <w:rPr>
          <w:rFonts w:ascii="Times New Roman" w:hAnsi="Times New Roman"/>
          <w:b/>
          <w:noProof/>
          <w:sz w:val="24"/>
        </w:rPr>
        <w:t>Проектната група „Митници 2020“ изготви доклад относно анализа на RIF</w:t>
      </w:r>
      <w:r>
        <w:rPr>
          <w:rFonts w:ascii="Times New Roman" w:hAnsi="Times New Roman"/>
          <w:noProof/>
          <w:sz w:val="24"/>
        </w:rPr>
        <w:t xml:space="preserve"> във връзка с фалшифицирани стоки за 2014 г, който се издава и обменя чрез CRMS. Той отразява новите тенденции в областта на фалшифицираните стоки, извлечени от информацията, съдържаща се в съответните RIF, издадени през 2014 г., във връзка с рисковете от фалшифицирани стоки. Докладът е достъпен в новинарския раздел на CRMS (за ползване само от митниците).</w:t>
      </w:r>
    </w:p>
    <w:p>
      <w:pPr>
        <w:jc w:val="both"/>
        <w:rPr>
          <w:rFonts w:ascii="Times New Roman" w:hAnsi="Times New Roman" w:cs="Times New Roman"/>
          <w:noProof/>
          <w:sz w:val="24"/>
          <w:szCs w:val="24"/>
        </w:rPr>
      </w:pPr>
      <w:r>
        <w:rPr>
          <w:rFonts w:ascii="Times New Roman" w:hAnsi="Times New Roman"/>
          <w:noProof/>
          <w:sz w:val="24"/>
        </w:rPr>
        <w:t xml:space="preserve">В периода 2013—2017 г. набелязаните и приети от държавите членки приоритети за извършване на </w:t>
      </w:r>
      <w:r>
        <w:rPr>
          <w:rFonts w:ascii="Times New Roman" w:hAnsi="Times New Roman"/>
          <w:b/>
          <w:noProof/>
          <w:sz w:val="24"/>
        </w:rPr>
        <w:t>действия в приоритетни области за контрол (ПОК)</w:t>
      </w:r>
      <w:r>
        <w:rPr>
          <w:rFonts w:ascii="Times New Roman" w:hAnsi="Times New Roman"/>
          <w:noProof/>
          <w:sz w:val="24"/>
        </w:rPr>
        <w:t xml:space="preserve"> бяха съсредоточени върху цигарите/транзитно преминаващите стоки, стоките с двойна употреба и огнестрелните оръжия. Не бяха извършени действия във връзка с нарушения на ПИС.</w:t>
      </w:r>
    </w:p>
    <w:p>
      <w:pPr>
        <w:jc w:val="both"/>
        <w:rPr>
          <w:rFonts w:ascii="Times New Roman" w:hAnsi="Times New Roman" w:cs="Times New Roman"/>
          <w:noProof/>
          <w:sz w:val="24"/>
          <w:szCs w:val="24"/>
        </w:rPr>
      </w:pPr>
      <w:r>
        <w:rPr>
          <w:rFonts w:ascii="Times New Roman" w:hAnsi="Times New Roman"/>
          <w:noProof/>
          <w:sz w:val="24"/>
        </w:rPr>
        <w:t>Поради липсата на ресурси, до този момент не са разработени конкретни общи критерии за риска (ОКР).</w:t>
      </w:r>
    </w:p>
    <w:p>
      <w:pPr>
        <w:jc w:val="both"/>
        <w:rPr>
          <w:rFonts w:ascii="Times New Roman" w:hAnsi="Times New Roman" w:cs="Times New Roman"/>
          <w:b/>
          <w:noProof/>
          <w:sz w:val="24"/>
          <w:szCs w:val="24"/>
        </w:rPr>
      </w:pPr>
      <w:r>
        <w:rPr>
          <w:rFonts w:ascii="Times New Roman" w:hAnsi="Times New Roman"/>
          <w:noProof/>
          <w:sz w:val="24"/>
        </w:rPr>
        <w:t xml:space="preserve">Що се отнася до </w:t>
      </w:r>
      <w:r>
        <w:rPr>
          <w:rFonts w:ascii="Times New Roman" w:hAnsi="Times New Roman"/>
          <w:b/>
          <w:noProof/>
          <w:sz w:val="24"/>
        </w:rPr>
        <w:t>съвместните митнически операции (СМО) в областта на ПИС</w:t>
      </w:r>
      <w:r>
        <w:rPr>
          <w:rFonts w:ascii="Times New Roman" w:hAnsi="Times New Roman"/>
          <w:noProof/>
          <w:sz w:val="24"/>
        </w:rPr>
        <w:t>, през периода 2014—2017 г. бяха организирани пет такива операции от държавите членки в сътрудничество с Комисията или от Комисията. Операция ERMIS през 2014 г. беше предназначена за колетни пратки, постъпващи в ЕС от държави извън ЕС по пощата. Тя беше проведена от гръцката митническа администрация и OLAF с участието на митнически експерти от различни държави членки и трети държави. Операция REPLICA, проведена също през 2014 г. в рамките на срещата „Азия—Европа“ (АСЕМ), беше насочена срещу вноса на фалшифицирани стоки по море. OLAF координираше операцията, в която взеха участие всички държави — членки на ЕС, Норвегия, Швейцария заедно с други международни партньори на АСЕМ, както и Интерпол, Европол и Световната митническа организация (WCO). През 2016 г. операция Wafers беше фокусирана върху фалшифицирани полупроводници, внесени в Европейския съюз от Китай и Хонконг, Китай, чрез пощенски/експресни куриерски услуги. Операцията беше координирана от нидерландските митнически органи и OLAF с участието на 12 държави членки и подкрепата на Европол. Операция RENEGADE беше организирана в рамките на срещата Азия—Европа (АСЕМ) в контекста на съвместните усилия за борба с фалшифицираните стоки. Тя беше координирана от OLAF и в нейния прицел беше по-специално международната търговия с фалшифицирани резервни части за автомобили чрез контейнери по море. Съвместната митническа операция POSTBOX, проведена през 2017 г. под ръководството на белгийските, германските и шведските митнически органи по линия на действието „Митници срещу онлайн престъпленията“ в рамките на работната група „Митническо сътрудничество“, беше съсредоточена върху борбата срещу измамите с акцизи и незаконната търговия с фалшифицирани стоки, наркотици и оръжия в пратки, транспортирани с пощенски и експресни куриерски услуги.</w:t>
      </w:r>
      <w:r>
        <w:rPr>
          <w:rFonts w:ascii="Times New Roman" w:hAnsi="Times New Roman"/>
          <w:b/>
          <w:noProof/>
          <w:sz w:val="24"/>
        </w:rPr>
        <w:t xml:space="preserve"> </w:t>
      </w:r>
    </w:p>
    <w:p>
      <w:pPr>
        <w:pStyle w:val="Heading2"/>
        <w:rPr>
          <w:noProof/>
        </w:rPr>
      </w:pPr>
      <w:bookmarkStart w:id="20" w:name="_Toc497921442"/>
      <w:bookmarkStart w:id="21" w:name="_Toc504756099"/>
      <w:r>
        <w:rPr>
          <w:noProof/>
        </w:rPr>
        <w:t>3 — Борба срещу търговията със стоки, нарушаващи ПИС, чрез международни вериги за доставка</w:t>
      </w:r>
      <w:bookmarkEnd w:id="20"/>
      <w:bookmarkEnd w:id="21"/>
    </w:p>
    <w:p>
      <w:pPr>
        <w:pStyle w:val="Heading3"/>
        <w:rPr>
          <w:noProof/>
        </w:rPr>
      </w:pPr>
      <w:bookmarkStart w:id="22" w:name="_Toc497921443"/>
      <w:bookmarkStart w:id="23" w:name="_Toc504756100"/>
      <w:r>
        <w:rPr>
          <w:noProof/>
        </w:rPr>
        <w:t>3.1 Укрепване на сътрудничеството с основните държави на произход, транзитно преминаване и местоназначение</w:t>
      </w:r>
      <w:bookmarkEnd w:id="22"/>
      <w:bookmarkEnd w:id="23"/>
    </w:p>
    <w:p>
      <w:pPr>
        <w:pStyle w:val="Heading4"/>
        <w:rPr>
          <w:noProof/>
        </w:rPr>
      </w:pPr>
      <w:bookmarkStart w:id="24" w:name="_Toc497921444"/>
      <w:r>
        <w:rPr>
          <w:noProof/>
        </w:rPr>
        <w:t>3.1.1 Китайска народна република</w:t>
      </w:r>
      <w:bookmarkEnd w:id="24"/>
    </w:p>
    <w:p>
      <w:pPr>
        <w:jc w:val="both"/>
        <w:rPr>
          <w:rFonts w:ascii="Times New Roman" w:hAnsi="Times New Roman" w:cs="Times New Roman"/>
          <w:noProof/>
          <w:sz w:val="24"/>
          <w:szCs w:val="24"/>
        </w:rPr>
      </w:pPr>
      <w:r>
        <w:rPr>
          <w:rFonts w:ascii="Times New Roman" w:hAnsi="Times New Roman"/>
          <w:noProof/>
          <w:sz w:val="24"/>
        </w:rPr>
        <w:t>На 16 май 2014 г. Комисията и Главната митническа администрация на Китай („GACC“) подписаха подновен план за действие по въпросите на митническото сътрудничество между ЕС и Китай в областта на ПИС  (2014—2017 г.) като един от приоритетите на Стратегическата рамка за митническо сътрудничество между ЕС и Китай (2014—2017 г.), която те подписаха в същия ден. Това позволи да се възобнови оперативното сътрудничество между службите на Комисията и представителите на 16 морски пристанища и летища в ЕС, от една страна, и GACC и представители на 11 местни китайски митници, от друга.</w:t>
      </w:r>
    </w:p>
    <w:p>
      <w:pPr>
        <w:jc w:val="both"/>
        <w:rPr>
          <w:rFonts w:ascii="Times New Roman" w:hAnsi="Times New Roman" w:cs="Times New Roman"/>
          <w:noProof/>
          <w:sz w:val="24"/>
          <w:szCs w:val="24"/>
        </w:rPr>
      </w:pPr>
      <w:r>
        <w:rPr>
          <w:rFonts w:ascii="Times New Roman" w:hAnsi="Times New Roman"/>
          <w:noProof/>
          <w:sz w:val="24"/>
        </w:rPr>
        <w:t>Финансова и логистична подкрепа се предоставя главно чрез ключовата програма на ЕС в областта на интелектуалната собственост, управлявана от OHIM/EUIPO.</w:t>
      </w:r>
    </w:p>
    <w:p>
      <w:pPr>
        <w:jc w:val="both"/>
        <w:rPr>
          <w:rFonts w:ascii="Times New Roman" w:hAnsi="Times New Roman" w:cs="Times New Roman"/>
          <w:noProof/>
          <w:sz w:val="24"/>
          <w:szCs w:val="24"/>
        </w:rPr>
      </w:pPr>
      <w:r>
        <w:rPr>
          <w:rFonts w:ascii="Times New Roman" w:hAnsi="Times New Roman"/>
          <w:noProof/>
          <w:sz w:val="24"/>
        </w:rPr>
        <w:t>По време на разглеждания период работната група ЕС—Китай относно защитата на ПИС, осъществявана от митническите органи, проведе шест заседания за обсъждане на всички ключови действия:</w:t>
      </w:r>
    </w:p>
    <w:p>
      <w:pPr>
        <w:tabs>
          <w:tab w:val="left" w:pos="142"/>
          <w:tab w:val="left" w:pos="1701"/>
        </w:tabs>
        <w:jc w:val="both"/>
        <w:rPr>
          <w:rFonts w:ascii="Times New Roman" w:hAnsi="Times New Roman" w:cs="Times New Roman"/>
          <w:noProof/>
          <w:sz w:val="24"/>
          <w:szCs w:val="24"/>
        </w:rPr>
      </w:pPr>
      <w:r>
        <w:rPr>
          <w:rFonts w:ascii="Times New Roman" w:hAnsi="Times New Roman"/>
          <w:noProof/>
          <w:sz w:val="24"/>
        </w:rPr>
        <w:t xml:space="preserve">– Ключово действие 1 — Съвместен анализ на статистическите данни относно конфискации с цел установяване на общите тенденции и рискове </w:t>
      </w:r>
    </w:p>
    <w:p>
      <w:pPr>
        <w:tabs>
          <w:tab w:val="left" w:pos="142"/>
          <w:tab w:val="left" w:pos="1701"/>
        </w:tabs>
        <w:jc w:val="both"/>
        <w:rPr>
          <w:rFonts w:ascii="Times New Roman" w:hAnsi="Times New Roman" w:cs="Times New Roman"/>
          <w:noProof/>
          <w:sz w:val="24"/>
          <w:szCs w:val="24"/>
        </w:rPr>
      </w:pPr>
      <w:r>
        <w:rPr>
          <w:rFonts w:ascii="Times New Roman" w:hAnsi="Times New Roman"/>
          <w:noProof/>
          <w:sz w:val="24"/>
        </w:rPr>
        <w:t>– Ключово действие 2 — Фокусиране върху високорисковите пратки в ключови пристанища</w:t>
      </w:r>
    </w:p>
    <w:p>
      <w:pPr>
        <w:tabs>
          <w:tab w:val="left" w:pos="0"/>
          <w:tab w:val="left" w:pos="142"/>
        </w:tabs>
        <w:jc w:val="both"/>
        <w:rPr>
          <w:rFonts w:ascii="Times New Roman" w:hAnsi="Times New Roman" w:cs="Times New Roman"/>
          <w:noProof/>
          <w:sz w:val="24"/>
          <w:szCs w:val="24"/>
        </w:rPr>
      </w:pPr>
      <w:r>
        <w:rPr>
          <w:rFonts w:ascii="Times New Roman" w:hAnsi="Times New Roman"/>
          <w:noProof/>
          <w:sz w:val="24"/>
        </w:rPr>
        <w:t>–</w:t>
      </w:r>
      <w:r>
        <w:rPr>
          <w:noProof/>
        </w:rPr>
        <w:tab/>
        <w:t xml:space="preserve">   </w:t>
      </w:r>
      <w:r>
        <w:rPr>
          <w:rFonts w:ascii="Times New Roman" w:hAnsi="Times New Roman"/>
          <w:noProof/>
          <w:sz w:val="24"/>
        </w:rPr>
        <w:t>Ключово действие 3 — Насърчаване на сътрудничеството между митническите и други правоприлагащи агенции и органи с цел спиране на производството и ликвидиране на мрежите за разпространение</w:t>
      </w:r>
    </w:p>
    <w:p>
      <w:pPr>
        <w:tabs>
          <w:tab w:val="left" w:pos="0"/>
          <w:tab w:val="left" w:pos="142"/>
        </w:tabs>
        <w:jc w:val="both"/>
        <w:rPr>
          <w:rFonts w:ascii="Times New Roman" w:hAnsi="Times New Roman" w:cs="Times New Roman"/>
          <w:noProof/>
          <w:sz w:val="24"/>
          <w:szCs w:val="24"/>
        </w:rPr>
      </w:pPr>
      <w:r>
        <w:rPr>
          <w:rFonts w:ascii="Times New Roman" w:hAnsi="Times New Roman"/>
          <w:noProof/>
          <w:sz w:val="24"/>
        </w:rPr>
        <w:t>–</w:t>
      </w:r>
      <w:r>
        <w:rPr>
          <w:noProof/>
        </w:rPr>
        <w:tab/>
        <w:t xml:space="preserve">  </w:t>
      </w:r>
      <w:r>
        <w:rPr>
          <w:rFonts w:ascii="Times New Roman" w:hAnsi="Times New Roman"/>
          <w:noProof/>
          <w:sz w:val="24"/>
        </w:rPr>
        <w:t>Ключово действие 4 — Съвместно развиване на партньорства с деловите среди в ЕС и Китай</w:t>
      </w:r>
    </w:p>
    <w:p>
      <w:pPr>
        <w:tabs>
          <w:tab w:val="left" w:pos="0"/>
          <w:tab w:val="left" w:pos="142"/>
        </w:tabs>
        <w:jc w:val="both"/>
        <w:rPr>
          <w:rFonts w:ascii="Times New Roman" w:hAnsi="Times New Roman" w:cs="Times New Roman"/>
          <w:noProof/>
          <w:sz w:val="24"/>
          <w:szCs w:val="24"/>
        </w:rPr>
      </w:pPr>
      <w:r>
        <w:rPr>
          <w:rFonts w:ascii="Times New Roman" w:hAnsi="Times New Roman"/>
          <w:noProof/>
          <w:sz w:val="24"/>
        </w:rPr>
        <w:t>– Ключово действие 5 —</w:t>
      </w:r>
      <w:r>
        <w:rPr>
          <w:noProof/>
        </w:rPr>
        <w:tab/>
      </w:r>
      <w:r>
        <w:rPr>
          <w:rFonts w:ascii="Times New Roman" w:hAnsi="Times New Roman"/>
          <w:noProof/>
          <w:sz w:val="24"/>
        </w:rPr>
        <w:t>Взаимен обмен на знания и опит относно политиките и практиките в областта на защитата на ПИС.</w:t>
      </w:r>
    </w:p>
    <w:p>
      <w:pPr>
        <w:jc w:val="both"/>
        <w:rPr>
          <w:rFonts w:ascii="Times New Roman" w:hAnsi="Times New Roman" w:cs="Times New Roman"/>
          <w:noProof/>
          <w:sz w:val="24"/>
          <w:szCs w:val="24"/>
        </w:rPr>
      </w:pPr>
      <w:r>
        <w:rPr>
          <w:rFonts w:ascii="Times New Roman" w:hAnsi="Times New Roman"/>
          <w:noProof/>
          <w:sz w:val="24"/>
        </w:rPr>
        <w:t>Планът за действие за 2014—2017 г. даде началото на нова ера в митническото сътрудничество между ЕС и Китай в областта на защитата на ПИС. То придоби повече практическа насоченост и се възползва от поуките, извлечени в рамките на предходната схема на сътрудничество. Бяха въведени няколко практически решения и бяха в значителна степен опростени работните механизми.</w:t>
      </w:r>
    </w:p>
    <w:p>
      <w:pPr>
        <w:jc w:val="both"/>
        <w:rPr>
          <w:rFonts w:ascii="Times New Roman" w:hAnsi="Times New Roman" w:cs="Times New Roman"/>
          <w:noProof/>
          <w:sz w:val="24"/>
          <w:szCs w:val="24"/>
        </w:rPr>
      </w:pPr>
      <w:r>
        <w:rPr>
          <w:rFonts w:ascii="Times New Roman" w:hAnsi="Times New Roman"/>
          <w:noProof/>
          <w:sz w:val="24"/>
        </w:rPr>
        <w:t>На 2 юни 2017 г. ЕС и Китай подписаха нова Стратегическа рамка за митническо сътрудничество, обхващаща периода 2018—2020 г. Новият план за действие за митническо сътрудничество в областта на ПИС за 2018—2020 г., който е в процес на изготвяне, е част от тази нова стратегическа рамка.</w:t>
      </w:r>
    </w:p>
    <w:p>
      <w:pPr>
        <w:pStyle w:val="Heading4"/>
        <w:rPr>
          <w:noProof/>
        </w:rPr>
      </w:pPr>
      <w:bookmarkStart w:id="25" w:name="_Toc497921445"/>
      <w:r>
        <w:rPr>
          <w:noProof/>
        </w:rPr>
        <w:t>3.1.2 Хонконг, Китай</w:t>
      </w:r>
      <w:bookmarkEnd w:id="25"/>
    </w:p>
    <w:p>
      <w:pPr>
        <w:jc w:val="both"/>
        <w:rPr>
          <w:rFonts w:ascii="Times New Roman" w:hAnsi="Times New Roman" w:cs="Times New Roman"/>
          <w:noProof/>
          <w:sz w:val="24"/>
          <w:szCs w:val="24"/>
        </w:rPr>
      </w:pPr>
      <w:r>
        <w:rPr>
          <w:rFonts w:ascii="Times New Roman" w:hAnsi="Times New Roman"/>
          <w:noProof/>
          <w:sz w:val="24"/>
        </w:rPr>
        <w:t xml:space="preserve">На 27 април 2015 г. Комисията и управление „Митници и акцизи“ на </w:t>
      </w:r>
      <w:r>
        <w:rPr>
          <w:rFonts w:ascii="Times New Roman" w:hAnsi="Times New Roman"/>
          <w:b/>
          <w:noProof/>
          <w:sz w:val="24"/>
        </w:rPr>
        <w:t>Хонконг, Китай</w:t>
      </w:r>
      <w:r>
        <w:rPr>
          <w:rFonts w:ascii="Times New Roman" w:hAnsi="Times New Roman"/>
          <w:noProof/>
          <w:sz w:val="24"/>
        </w:rPr>
        <w:t>, подписаха плана за действие за сътрудничество в областта на защитата на правата върху интелектуалната собственост, осъществявана от митническите органи.</w:t>
      </w:r>
    </w:p>
    <w:p>
      <w:pPr>
        <w:jc w:val="both"/>
        <w:rPr>
          <w:rFonts w:ascii="Times New Roman" w:hAnsi="Times New Roman" w:cs="Times New Roman"/>
          <w:noProof/>
          <w:sz w:val="24"/>
          <w:szCs w:val="24"/>
        </w:rPr>
      </w:pPr>
      <w:r>
        <w:rPr>
          <w:rFonts w:ascii="Times New Roman" w:hAnsi="Times New Roman"/>
          <w:noProof/>
          <w:sz w:val="24"/>
        </w:rPr>
        <w:t>Той е съсредоточен върху споделянето на статистически данни относно задържания на стоки, нарушаващи ПИС, на обща информация за риска и на специфична за конкретните случаи информация, като в него се предвижда чрез съвместния анализ на такава информация да се подобри управлението на митническите системи за управление на риска. С цел тестване на работните механизми за сътрудничество, включени в плана за действие, на 1 октомври 2015 г. стартира шестмесечен пилотен проект. Той беше съсредоточен върху въздушните превози, с участието на пет летища в ЕС.</w:t>
      </w:r>
    </w:p>
    <w:p>
      <w:pPr>
        <w:jc w:val="both"/>
        <w:rPr>
          <w:rFonts w:ascii="Times New Roman" w:hAnsi="Times New Roman" w:cs="Times New Roman"/>
          <w:noProof/>
          <w:sz w:val="24"/>
          <w:szCs w:val="24"/>
        </w:rPr>
      </w:pPr>
      <w:r>
        <w:rPr>
          <w:rFonts w:ascii="Times New Roman" w:hAnsi="Times New Roman"/>
          <w:noProof/>
          <w:sz w:val="24"/>
        </w:rPr>
        <w:t>Основното заключение от пилотния проект беше, че планът за действие следва да продължи със следните препоръки:</w:t>
      </w:r>
    </w:p>
    <w:p>
      <w:pPr>
        <w:jc w:val="both"/>
        <w:rPr>
          <w:rFonts w:ascii="Times New Roman" w:hAnsi="Times New Roman" w:cs="Times New Roman"/>
          <w:noProof/>
          <w:sz w:val="24"/>
          <w:szCs w:val="24"/>
        </w:rPr>
      </w:pPr>
      <w:r>
        <w:rPr>
          <w:rFonts w:ascii="Times New Roman" w:hAnsi="Times New Roman"/>
          <w:noProof/>
          <w:sz w:val="24"/>
        </w:rPr>
        <w:t>* планът за действие да разшири своя обхват, така че да обхване всички въздушни оператори за експресни пратки в Хонконг;</w:t>
      </w:r>
    </w:p>
    <w:p>
      <w:pPr>
        <w:ind w:left="182" w:hanging="182"/>
        <w:jc w:val="both"/>
        <w:rPr>
          <w:rFonts w:ascii="Times New Roman" w:hAnsi="Times New Roman" w:cs="Times New Roman"/>
          <w:noProof/>
          <w:sz w:val="24"/>
          <w:szCs w:val="24"/>
        </w:rPr>
      </w:pPr>
      <w:r>
        <w:rPr>
          <w:rFonts w:ascii="Times New Roman" w:hAnsi="Times New Roman"/>
          <w:noProof/>
          <w:sz w:val="24"/>
        </w:rPr>
        <w:t xml:space="preserve">* да се обменя спонтанна информация относно неподлежащи на оспорване марки и неподлежащи на оспорване стоки, като например етикети или опаковъчен материал; </w:t>
      </w:r>
    </w:p>
    <w:p>
      <w:pPr>
        <w:jc w:val="both"/>
        <w:rPr>
          <w:rFonts w:ascii="Times New Roman" w:hAnsi="Times New Roman" w:cs="Times New Roman"/>
          <w:noProof/>
          <w:sz w:val="24"/>
          <w:szCs w:val="24"/>
        </w:rPr>
      </w:pPr>
      <w:r>
        <w:rPr>
          <w:rFonts w:ascii="Times New Roman" w:hAnsi="Times New Roman"/>
          <w:noProof/>
          <w:sz w:val="24"/>
        </w:rPr>
        <w:t>* в плана за действие да се включат повече летища в ЕС;</w:t>
      </w:r>
    </w:p>
    <w:p>
      <w:pPr>
        <w:jc w:val="both"/>
        <w:rPr>
          <w:rFonts w:ascii="Times New Roman" w:hAnsi="Times New Roman" w:cs="Times New Roman"/>
          <w:noProof/>
          <w:sz w:val="24"/>
          <w:szCs w:val="24"/>
        </w:rPr>
      </w:pPr>
      <w:r>
        <w:rPr>
          <w:rFonts w:ascii="Times New Roman" w:hAnsi="Times New Roman"/>
          <w:noProof/>
          <w:sz w:val="24"/>
        </w:rPr>
        <w:t>* в участващата държава членка по местоназначение да се включи по-широк набор от местни летища;</w:t>
      </w:r>
    </w:p>
    <w:p>
      <w:pPr>
        <w:jc w:val="both"/>
        <w:rPr>
          <w:rFonts w:ascii="Times New Roman" w:hAnsi="Times New Roman" w:cs="Times New Roman"/>
          <w:noProof/>
          <w:sz w:val="24"/>
          <w:szCs w:val="24"/>
        </w:rPr>
      </w:pPr>
      <w:r>
        <w:rPr>
          <w:rFonts w:ascii="Times New Roman" w:hAnsi="Times New Roman"/>
          <w:noProof/>
          <w:sz w:val="24"/>
        </w:rPr>
        <w:t>* да се координира на централно равнище обменът на сезирания, особено с множество летища;</w:t>
      </w:r>
    </w:p>
    <w:p>
      <w:pPr>
        <w:jc w:val="both"/>
        <w:rPr>
          <w:rFonts w:ascii="Times New Roman" w:hAnsi="Times New Roman" w:cs="Times New Roman"/>
          <w:noProof/>
          <w:sz w:val="24"/>
          <w:szCs w:val="24"/>
        </w:rPr>
      </w:pPr>
      <w:r>
        <w:rPr>
          <w:rFonts w:ascii="Times New Roman" w:hAnsi="Times New Roman"/>
          <w:noProof/>
          <w:sz w:val="24"/>
        </w:rPr>
        <w:t>* да се включи спонтанна информация относно задържанията към и от неучастваща държава членка;</w:t>
      </w:r>
    </w:p>
    <w:p>
      <w:pPr>
        <w:jc w:val="both"/>
        <w:rPr>
          <w:rFonts w:ascii="Times New Roman" w:hAnsi="Times New Roman" w:cs="Times New Roman"/>
          <w:noProof/>
          <w:sz w:val="24"/>
          <w:szCs w:val="24"/>
        </w:rPr>
      </w:pPr>
      <w:r>
        <w:rPr>
          <w:rFonts w:ascii="Times New Roman" w:hAnsi="Times New Roman"/>
          <w:noProof/>
          <w:sz w:val="24"/>
        </w:rPr>
        <w:t>* ежегодно да се извършва по-задълбочен сравнителен анализ на статистическите данни относно задържанията.</w:t>
      </w:r>
    </w:p>
    <w:p>
      <w:pPr>
        <w:pStyle w:val="Heading4"/>
        <w:rPr>
          <w:noProof/>
        </w:rPr>
      </w:pPr>
      <w:bookmarkStart w:id="26" w:name="_Toc497921446"/>
      <w:r>
        <w:rPr>
          <w:noProof/>
        </w:rPr>
        <w:t>3.1.3 Международно сътрудничество</w:t>
      </w:r>
      <w:bookmarkEnd w:id="26"/>
    </w:p>
    <w:p>
      <w:pPr>
        <w:jc w:val="both"/>
        <w:rPr>
          <w:rFonts w:ascii="Times New Roman" w:hAnsi="Times New Roman" w:cs="Times New Roman"/>
          <w:noProof/>
          <w:sz w:val="24"/>
          <w:szCs w:val="24"/>
        </w:rPr>
      </w:pPr>
      <w:r>
        <w:rPr>
          <w:rFonts w:ascii="Times New Roman" w:hAnsi="Times New Roman"/>
          <w:noProof/>
          <w:sz w:val="24"/>
        </w:rPr>
        <w:t xml:space="preserve">Що се отнася до засилването на обмена на информация между държавите — членки на ЕС, и службите на Комисията, от една страна, и трети държави, от друга, през годините значително се интензифицира </w:t>
      </w:r>
      <w:r>
        <w:rPr>
          <w:rFonts w:ascii="Times New Roman" w:hAnsi="Times New Roman"/>
          <w:b/>
          <w:noProof/>
          <w:sz w:val="24"/>
        </w:rPr>
        <w:t>административната взаимопомощ по митническите въпроси</w:t>
      </w:r>
      <w:r>
        <w:rPr>
          <w:rFonts w:ascii="Times New Roman" w:hAnsi="Times New Roman"/>
          <w:noProof/>
          <w:sz w:val="24"/>
        </w:rPr>
        <w:t xml:space="preserve"> с Украйна; Хонконг, Китай; Виетнам и САЩ във връзка с разследвания, извършвани от OLAF в сектора на ПИС. </w:t>
      </w:r>
    </w:p>
    <w:p>
      <w:pPr>
        <w:jc w:val="both"/>
        <w:rPr>
          <w:rFonts w:ascii="Times New Roman" w:hAnsi="Times New Roman" w:cs="Times New Roman"/>
          <w:noProof/>
          <w:sz w:val="24"/>
          <w:szCs w:val="24"/>
        </w:rPr>
      </w:pPr>
      <w:r>
        <w:rPr>
          <w:rFonts w:ascii="Times New Roman" w:hAnsi="Times New Roman"/>
          <w:noProof/>
          <w:sz w:val="24"/>
        </w:rPr>
        <w:t xml:space="preserve">През 2016 г. в Пекин беше назначен </w:t>
      </w:r>
      <w:r>
        <w:rPr>
          <w:rFonts w:ascii="Times New Roman" w:hAnsi="Times New Roman"/>
          <w:b/>
          <w:noProof/>
          <w:sz w:val="24"/>
        </w:rPr>
        <w:t>служител за връзка на OLAF</w:t>
      </w:r>
      <w:r>
        <w:rPr>
          <w:rFonts w:ascii="Times New Roman" w:hAnsi="Times New Roman"/>
          <w:noProof/>
          <w:sz w:val="24"/>
        </w:rPr>
        <w:t>, по-специално с цел укрепване на сътрудничеството с органите на Китай и Хонконг, свързано с разследванията относно цигари и фалшифицирани стоки. Служителят за връзка на OLAF в Киев също улесни обмена на информация с украинските органи във връзка с няколко разследвания в областта на ПИС.</w:t>
      </w:r>
    </w:p>
    <w:p>
      <w:pPr>
        <w:jc w:val="both"/>
        <w:rPr>
          <w:rFonts w:ascii="Times New Roman" w:hAnsi="Times New Roman" w:cs="Times New Roman"/>
          <w:noProof/>
          <w:sz w:val="24"/>
          <w:szCs w:val="24"/>
        </w:rPr>
      </w:pPr>
      <w:r>
        <w:rPr>
          <w:rFonts w:ascii="Times New Roman" w:hAnsi="Times New Roman"/>
          <w:noProof/>
          <w:sz w:val="24"/>
        </w:rPr>
        <w:t xml:space="preserve">През септември 2016 г. </w:t>
      </w:r>
      <w:r>
        <w:rPr>
          <w:rFonts w:ascii="Times New Roman" w:hAnsi="Times New Roman"/>
          <w:b/>
          <w:noProof/>
          <w:sz w:val="24"/>
        </w:rPr>
        <w:t>Европол и OLAF</w:t>
      </w:r>
      <w:r>
        <w:rPr>
          <w:rFonts w:ascii="Times New Roman" w:hAnsi="Times New Roman"/>
          <w:noProof/>
          <w:sz w:val="24"/>
        </w:rPr>
        <w:t xml:space="preserve"> подписаха споразумение относно участието на експерти от OLAF в дейностите на аналитичната група COPY, съсредоточена върху всички престъпления, свързани с права върху интелектуална собственост, с оглед укрепване на сътрудничеството с Европол и други правоприлагащи органи. </w:t>
      </w:r>
    </w:p>
    <w:p>
      <w:pPr>
        <w:jc w:val="both"/>
        <w:rPr>
          <w:rFonts w:ascii="Times New Roman" w:hAnsi="Times New Roman" w:cs="Times New Roman"/>
          <w:noProof/>
          <w:sz w:val="24"/>
          <w:szCs w:val="24"/>
        </w:rPr>
      </w:pPr>
      <w:r>
        <w:rPr>
          <w:rFonts w:ascii="Times New Roman" w:hAnsi="Times New Roman"/>
          <w:noProof/>
          <w:sz w:val="24"/>
        </w:rPr>
        <w:t xml:space="preserve">В определен брой наскоро подписани и сключени </w:t>
      </w:r>
      <w:r>
        <w:rPr>
          <w:rFonts w:ascii="Times New Roman" w:hAnsi="Times New Roman"/>
          <w:b/>
          <w:noProof/>
          <w:sz w:val="24"/>
        </w:rPr>
        <w:t>двустранни търговски споразумения</w:t>
      </w:r>
      <w:r>
        <w:rPr>
          <w:rFonts w:ascii="Times New Roman" w:hAnsi="Times New Roman"/>
          <w:noProof/>
          <w:sz w:val="24"/>
        </w:rPr>
        <w:t xml:space="preserve">, благодарение на преговорите, водени от Европейския съюз, успешно бяха включени глави относно защитата и упражняването на интелектуалната собственост с член относно граничните мерки, който отразява подхода на ЕС и ще укрепи защитата на ПИС в трети държави (например Грузия, Молдова и Виетнам). </w:t>
      </w:r>
    </w:p>
    <w:p>
      <w:pPr>
        <w:jc w:val="both"/>
        <w:rPr>
          <w:rFonts w:ascii="Times New Roman" w:hAnsi="Times New Roman" w:cs="Times New Roman"/>
          <w:noProof/>
          <w:sz w:val="24"/>
          <w:szCs w:val="24"/>
        </w:rPr>
      </w:pPr>
      <w:r>
        <w:rPr>
          <w:rFonts w:ascii="Times New Roman" w:hAnsi="Times New Roman"/>
          <w:noProof/>
          <w:sz w:val="24"/>
        </w:rPr>
        <w:t>Борбата с фалшифицирането и защитата на правата върху интелектуалната собственост, осъществявана от митническите органи, също бяха приоритет в контекста на АСЕМ.</w:t>
      </w:r>
    </w:p>
    <w:p>
      <w:pPr>
        <w:jc w:val="both"/>
        <w:rPr>
          <w:rFonts w:ascii="Times New Roman" w:hAnsi="Times New Roman" w:cs="Times New Roman"/>
          <w:noProof/>
          <w:sz w:val="24"/>
          <w:szCs w:val="24"/>
        </w:rPr>
      </w:pPr>
      <w:r>
        <w:rPr>
          <w:rFonts w:ascii="Times New Roman" w:hAnsi="Times New Roman"/>
          <w:noProof/>
          <w:sz w:val="24"/>
        </w:rPr>
        <w:t xml:space="preserve">Комисията и митническите администрации на държавите членки взеха участие в няколко </w:t>
      </w:r>
      <w:r>
        <w:rPr>
          <w:rFonts w:ascii="Times New Roman" w:hAnsi="Times New Roman"/>
          <w:b/>
          <w:noProof/>
          <w:sz w:val="24"/>
        </w:rPr>
        <w:t>международни събития</w:t>
      </w:r>
      <w:r>
        <w:rPr>
          <w:rFonts w:ascii="Times New Roman" w:hAnsi="Times New Roman"/>
          <w:noProof/>
          <w:sz w:val="24"/>
        </w:rPr>
        <w:t xml:space="preserve"> с цел разширяване на осведомеността за новия регламент на ЕС и плана за действие в областта на митниците, както и  с цел придобиване на информация за ситуацията със защитата на ПИС по света, като например:</w:t>
      </w:r>
    </w:p>
    <w:p>
      <w:pPr>
        <w:tabs>
          <w:tab w:val="left" w:pos="142"/>
        </w:tabs>
        <w:jc w:val="both"/>
        <w:rPr>
          <w:rFonts w:ascii="Times New Roman" w:hAnsi="Times New Roman" w:cs="Times New Roman"/>
          <w:noProof/>
          <w:sz w:val="24"/>
          <w:szCs w:val="24"/>
        </w:rPr>
      </w:pPr>
      <w:r>
        <w:rPr>
          <w:rFonts w:ascii="Times New Roman" w:hAnsi="Times New Roman"/>
          <w:noProof/>
          <w:sz w:val="24"/>
        </w:rPr>
        <w:t>– Седмия световен конгрес, посветен на борбата с фалшифицирането и пиратството (Истанбул, 2013 г.);</w:t>
      </w:r>
    </w:p>
    <w:p>
      <w:pPr>
        <w:tabs>
          <w:tab w:val="left" w:pos="142"/>
        </w:tabs>
        <w:jc w:val="both"/>
        <w:rPr>
          <w:rFonts w:ascii="Times New Roman" w:hAnsi="Times New Roman" w:cs="Times New Roman"/>
          <w:noProof/>
          <w:sz w:val="24"/>
          <w:szCs w:val="24"/>
        </w:rPr>
      </w:pPr>
      <w:r>
        <w:rPr>
          <w:rFonts w:ascii="Times New Roman" w:hAnsi="Times New Roman"/>
          <w:noProof/>
          <w:sz w:val="24"/>
        </w:rPr>
        <w:t>– Конференцията в Дъблин, посветена на съвместното изграждане на устойчиви отговори на ЕС на фалшифицирането (2013 г.);</w:t>
      </w:r>
    </w:p>
    <w:p>
      <w:pPr>
        <w:tabs>
          <w:tab w:val="left" w:pos="142"/>
        </w:tabs>
        <w:jc w:val="both"/>
        <w:rPr>
          <w:rFonts w:ascii="Times New Roman" w:hAnsi="Times New Roman" w:cs="Times New Roman"/>
          <w:noProof/>
          <w:sz w:val="24"/>
          <w:szCs w:val="24"/>
        </w:rPr>
      </w:pPr>
      <w:r>
        <w:rPr>
          <w:rFonts w:ascii="Times New Roman" w:hAnsi="Times New Roman"/>
          <w:noProof/>
          <w:sz w:val="24"/>
        </w:rPr>
        <w:t>–</w:t>
      </w:r>
      <w:r>
        <w:rPr>
          <w:noProof/>
        </w:rPr>
        <w:tab/>
        <w:t xml:space="preserve">  </w:t>
      </w:r>
      <w:r>
        <w:rPr>
          <w:rFonts w:ascii="Times New Roman" w:hAnsi="Times New Roman"/>
          <w:noProof/>
          <w:sz w:val="24"/>
        </w:rPr>
        <w:t xml:space="preserve">Международната среща на високо равнище в областта на защитата на интелектуалната собственост, проведена през 2014 г. в Лондон по инициатива на Службата за хармонизация във вътрешния пазар, Комисията и Службата на Обединеното кралство за интелектуална собственост (вж. 4.1 Установяване на партньорство с Европейската обсерватория за нарушенията на ПИС); второто издание на това събитие беше организирано съвместно от германското Министерство на правосъдието и защитата на потребителите и EUIPO през 2017 г. в Берлин. </w:t>
      </w:r>
    </w:p>
    <w:p>
      <w:pPr>
        <w:pStyle w:val="Heading3"/>
        <w:rPr>
          <w:noProof/>
        </w:rPr>
      </w:pPr>
      <w:bookmarkStart w:id="27" w:name="_Toc497921447"/>
      <w:bookmarkStart w:id="28" w:name="_Toc504756101"/>
      <w:r>
        <w:rPr>
          <w:noProof/>
        </w:rPr>
        <w:t>3.2 Изграждане на капацитет във връзка със защитата на ПИС в страните кандидатки и съседните на ЕС държави</w:t>
      </w:r>
      <w:bookmarkEnd w:id="27"/>
      <w:bookmarkEnd w:id="28"/>
    </w:p>
    <w:p>
      <w:pPr>
        <w:jc w:val="both"/>
        <w:rPr>
          <w:rFonts w:ascii="Times New Roman" w:hAnsi="Times New Roman" w:cs="Times New Roman"/>
          <w:noProof/>
          <w:sz w:val="24"/>
          <w:szCs w:val="24"/>
        </w:rPr>
      </w:pPr>
      <w:r>
        <w:rPr>
          <w:rFonts w:ascii="Times New Roman" w:hAnsi="Times New Roman"/>
          <w:noProof/>
          <w:sz w:val="24"/>
        </w:rPr>
        <w:t xml:space="preserve">Държавите членки взеха участие в много на брой действия, насочени към страните кандидатки и съседни държави, в рамките на проекта на ЕС за техническо сътрудничество или Програмата за техническа помощ и обмен на информация (TAIEX) (което даде възможност съответно за учебни посещения на експерти от страните кандидатки и съседни държави по темата за защитата на ПИС в страни от ЕС или за изпращане на експерти от ЕС в страните кандидатки и съседни държави посредством туининг проекти). </w:t>
      </w:r>
    </w:p>
    <w:p>
      <w:pPr>
        <w:jc w:val="both"/>
        <w:rPr>
          <w:rFonts w:ascii="Times New Roman" w:hAnsi="Times New Roman" w:cs="Times New Roman"/>
          <w:noProof/>
          <w:sz w:val="24"/>
          <w:szCs w:val="24"/>
        </w:rPr>
      </w:pPr>
      <w:r>
        <w:rPr>
          <w:rFonts w:ascii="Times New Roman" w:hAnsi="Times New Roman"/>
          <w:noProof/>
          <w:sz w:val="24"/>
        </w:rPr>
        <w:t>Комисията, заедно с експерти от Германия и Хърватия, участва в семинар, организиран в Сърбия (2013 г.) от Европейския институт за публична администрация (EIPA), посветен на митническите аспекти на нарушенията на ПИС и граничния контрол.</w:t>
      </w:r>
    </w:p>
    <w:p>
      <w:pPr>
        <w:jc w:val="both"/>
        <w:rPr>
          <w:rFonts w:ascii="Times New Roman" w:hAnsi="Times New Roman" w:cs="Times New Roman"/>
          <w:noProof/>
          <w:sz w:val="24"/>
          <w:szCs w:val="24"/>
        </w:rPr>
      </w:pPr>
      <w:r>
        <w:rPr>
          <w:rFonts w:ascii="Times New Roman" w:hAnsi="Times New Roman"/>
          <w:noProof/>
          <w:sz w:val="24"/>
        </w:rPr>
        <w:t xml:space="preserve">Мисията на Европейския съюз за оказване на съдействие в областта на граничния контрол в Молдова и Украйна (EUBAM) — организира среща в Молдова за представяне на Регламент (ЕС) № 608/2013 (април 2014 г.). </w:t>
      </w:r>
    </w:p>
    <w:p>
      <w:pPr>
        <w:jc w:val="both"/>
        <w:rPr>
          <w:rFonts w:ascii="Times New Roman" w:hAnsi="Times New Roman" w:cs="Times New Roman"/>
          <w:noProof/>
          <w:sz w:val="24"/>
          <w:szCs w:val="24"/>
          <w:highlight w:val="yellow"/>
        </w:rPr>
      </w:pPr>
      <w:r>
        <w:rPr>
          <w:rFonts w:ascii="Times New Roman" w:hAnsi="Times New Roman"/>
          <w:noProof/>
          <w:sz w:val="24"/>
        </w:rPr>
        <w:t>Комисията се възползва също от семинара относно ПИС за евро-средиземноморските държави, посветен на борбата срещу пиратството и фалшифицирането (Брюксел, 2013 г.), и от семинара на високо равнище относно митническото сътрудничество по източната граница на ЕС (Литва, 2013 г.), за да повиши осведомеността на съседните държави за значението, което има въвеждането на стабилна процедура за гарантиране на ефективна защита на правата върху интелектуалната собственост, осъществявана от митническите органи по границата.</w:t>
      </w:r>
    </w:p>
    <w:p>
      <w:pPr>
        <w:jc w:val="both"/>
        <w:rPr>
          <w:rFonts w:ascii="Times New Roman" w:hAnsi="Times New Roman" w:cs="Times New Roman"/>
          <w:noProof/>
          <w:sz w:val="24"/>
          <w:szCs w:val="24"/>
        </w:rPr>
      </w:pPr>
      <w:r>
        <w:rPr>
          <w:rFonts w:ascii="Times New Roman" w:hAnsi="Times New Roman"/>
          <w:noProof/>
          <w:sz w:val="24"/>
        </w:rPr>
        <w:t>Възможна причина за недостатъчно продуктивните усилия на ЕС да изгради необходимия капацитет в съседните държави в областта на защитата на ПИС е ограниченото наличие на експерти от страна на ЕС. На разрешаването на този проблем ще трябва да се отдели повече внимание в бъдеще.</w:t>
      </w:r>
    </w:p>
    <w:p>
      <w:pPr>
        <w:pStyle w:val="Heading2"/>
        <w:rPr>
          <w:noProof/>
        </w:rPr>
      </w:pPr>
      <w:bookmarkStart w:id="29" w:name="_Toc497921448"/>
      <w:bookmarkStart w:id="30" w:name="_Toc504756102"/>
      <w:r>
        <w:rPr>
          <w:noProof/>
        </w:rPr>
        <w:t>4 — Укрепване на сътрудничеството с Европейската обсерватория за нарушенията на ПИС и с правоприлагащите органи</w:t>
      </w:r>
      <w:bookmarkEnd w:id="29"/>
      <w:bookmarkEnd w:id="30"/>
    </w:p>
    <w:p>
      <w:pPr>
        <w:pStyle w:val="Heading3"/>
        <w:rPr>
          <w:noProof/>
        </w:rPr>
      </w:pPr>
      <w:bookmarkStart w:id="31" w:name="_Toc497921449"/>
      <w:bookmarkStart w:id="32" w:name="_Toc504756103"/>
      <w:r>
        <w:rPr>
          <w:noProof/>
        </w:rPr>
        <w:t>4.1 Установяване на партньорство с Европейската обсерватория за нарушенията на ПИС</w:t>
      </w:r>
      <w:bookmarkEnd w:id="31"/>
      <w:bookmarkEnd w:id="32"/>
    </w:p>
    <w:p>
      <w:pPr>
        <w:jc w:val="both"/>
        <w:rPr>
          <w:rFonts w:ascii="Times New Roman" w:hAnsi="Times New Roman" w:cs="Times New Roman"/>
          <w:noProof/>
          <w:sz w:val="24"/>
          <w:szCs w:val="24"/>
        </w:rPr>
      </w:pPr>
      <w:r>
        <w:rPr>
          <w:rFonts w:ascii="Times New Roman" w:hAnsi="Times New Roman"/>
          <w:noProof/>
          <w:sz w:val="24"/>
        </w:rPr>
        <w:t xml:space="preserve">Сътрудничеството, касаещо свързаните с митниците дейности на Европейската обсерватория за нарушенията на правата върху интелектуална собственост, беше допълнително развито. В допълнение към участието си в дейностите на митниците, посочени в ежегодната работна програма на обсерваторията, Комисията присъства на повечето значими заседания на обсерваторията, като например пленарното заседание, публични срещи със заинтересовани страни и заседанията на работната група по въпроси, свързани с прилагането, обществената осведоменост и статистическите данни. </w:t>
      </w:r>
    </w:p>
    <w:p>
      <w:pPr>
        <w:jc w:val="both"/>
        <w:rPr>
          <w:rFonts w:ascii="Times New Roman" w:hAnsi="Times New Roman" w:cs="Times New Roman"/>
          <w:noProof/>
          <w:sz w:val="24"/>
          <w:szCs w:val="24"/>
        </w:rPr>
      </w:pPr>
      <w:r>
        <w:rPr>
          <w:rFonts w:ascii="Times New Roman" w:hAnsi="Times New Roman"/>
          <w:noProof/>
          <w:sz w:val="24"/>
        </w:rPr>
        <w:t>Комисията участва и в новосъздадената по инициатива на обсерваторията „техническа група“ с цел идентифициране на съществуващите бази данни в ЕС, които имат роля за защитата на ПИС, описване на тяхното съдържание и определяне на най-добрия начин за предаване с цел обмен на информация/данни между тях. По този начин техническата група ще допринесе за проправяне на пътя към допълнително укрепване на сътрудничеството между органите.</w:t>
      </w:r>
    </w:p>
    <w:p>
      <w:pPr>
        <w:jc w:val="both"/>
        <w:rPr>
          <w:rFonts w:ascii="Times New Roman" w:hAnsi="Times New Roman" w:cs="Times New Roman"/>
          <w:noProof/>
          <w:sz w:val="24"/>
          <w:szCs w:val="24"/>
        </w:rPr>
      </w:pPr>
      <w:r>
        <w:rPr>
          <w:rFonts w:ascii="Times New Roman" w:hAnsi="Times New Roman"/>
          <w:noProof/>
          <w:sz w:val="24"/>
        </w:rPr>
        <w:t xml:space="preserve">Комисията и някои митнически администрации заедно с полицията и съдебните органи участваха също в </w:t>
      </w:r>
      <w:r>
        <w:rPr>
          <w:rFonts w:ascii="Times New Roman" w:hAnsi="Times New Roman"/>
          <w:i/>
          <w:noProof/>
          <w:sz w:val="24"/>
        </w:rPr>
        <w:t>ad-hoc</w:t>
      </w:r>
      <w:r>
        <w:rPr>
          <w:rFonts w:ascii="Times New Roman" w:hAnsi="Times New Roman"/>
          <w:noProof/>
          <w:sz w:val="24"/>
        </w:rPr>
        <w:t xml:space="preserve"> събития, като например „Конференцията за изграждане на знания и повишаване на осведомеността относно нарушенията на правата върху интелектуална собственост в интернет“ на OHIM/Европол (ноември 2014 г.).</w:t>
      </w:r>
    </w:p>
    <w:p>
      <w:pPr>
        <w:jc w:val="both"/>
        <w:rPr>
          <w:rFonts w:ascii="Times New Roman" w:hAnsi="Times New Roman" w:cs="Times New Roman"/>
          <w:noProof/>
          <w:sz w:val="24"/>
          <w:szCs w:val="24"/>
        </w:rPr>
      </w:pPr>
      <w:r>
        <w:rPr>
          <w:rFonts w:ascii="Times New Roman" w:hAnsi="Times New Roman"/>
          <w:noProof/>
          <w:sz w:val="24"/>
        </w:rPr>
        <w:t>Обсерваторията получава редовно покани за участие в заседанията на експертната група в областта на митниците във връзка със защитата на ПИС, за да гарантира координирането на общите свързани с митниците дейности.</w:t>
      </w:r>
    </w:p>
    <w:p>
      <w:pPr>
        <w:jc w:val="both"/>
        <w:rPr>
          <w:rFonts w:ascii="Times New Roman" w:hAnsi="Times New Roman" w:cs="Times New Roman"/>
          <w:noProof/>
          <w:sz w:val="24"/>
          <w:szCs w:val="24"/>
        </w:rPr>
      </w:pPr>
      <w:r>
        <w:rPr>
          <w:rFonts w:ascii="Times New Roman" w:hAnsi="Times New Roman"/>
          <w:noProof/>
          <w:sz w:val="24"/>
        </w:rPr>
        <w:t>Постигнато е споразумение за предоставяне на достъп на митническите органи до базата данни за защита на ПИС (EDB) на обсерваторията чрез мрежата CCN/CSI (обща комуникационна мрежа/общ системен интерфейс). EDB е изградена на основата на съществуващите бази данни на OHIM/EUIPO в областта на интелектуалната собственост, като например TM view (Trade Mark view), Designview и CESTO (Общ помощен инструмент за експерти). Чрез справка в EDB митническите органи могат да намерят актуализирана информация относно валидността на правата или да търсят носителите на права в случай на служебни задържания.</w:t>
      </w:r>
    </w:p>
    <w:p>
      <w:pPr>
        <w:jc w:val="both"/>
        <w:rPr>
          <w:rFonts w:ascii="Times New Roman" w:hAnsi="Times New Roman" w:cs="Times New Roman"/>
          <w:noProof/>
          <w:sz w:val="24"/>
          <w:szCs w:val="24"/>
        </w:rPr>
      </w:pPr>
      <w:r>
        <w:rPr>
          <w:rFonts w:ascii="Times New Roman" w:hAnsi="Times New Roman"/>
          <w:noProof/>
          <w:sz w:val="24"/>
        </w:rPr>
        <w:t>През цялата продължителност на проекта COPIS бяха отправяни искания системата да позволява електронно подаване на ЗН. Тъй като EDB съдържа относимата информация за подаването на ЗН, беше преценено, че тази база данни е най-подходящият източник за осигуряване на необходимата за ЗН информация в електронен формат. В резултат на контактите между Комисията и Европейската обсерватория за нарушенията на ПИС беше разработено предложение за въвеждане на функция за етапа преди подаването на ЗН в COPIS с цел улесняване на работата както на заявителите, така и на митническите органи.</w:t>
      </w:r>
    </w:p>
    <w:p>
      <w:pPr>
        <w:jc w:val="both"/>
        <w:rPr>
          <w:rFonts w:ascii="Times New Roman" w:hAnsi="Times New Roman" w:cs="Times New Roman"/>
          <w:noProof/>
          <w:sz w:val="24"/>
          <w:szCs w:val="24"/>
        </w:rPr>
      </w:pPr>
      <w:r>
        <w:rPr>
          <w:rFonts w:ascii="Times New Roman" w:hAnsi="Times New Roman"/>
          <w:noProof/>
          <w:sz w:val="24"/>
        </w:rPr>
        <w:t>Оперативната връзка между COPIS и EDB функционира от 1 юли 2015 г. Националните координатори на общата комуникационна мрежа (CCN) предоставиха наръчник за потребителя и друга допълнителна информация.</w:t>
      </w:r>
    </w:p>
    <w:p>
      <w:pPr>
        <w:jc w:val="both"/>
        <w:rPr>
          <w:rFonts w:ascii="Times New Roman" w:hAnsi="Times New Roman" w:cs="Times New Roman"/>
          <w:noProof/>
          <w:sz w:val="24"/>
          <w:szCs w:val="24"/>
        </w:rPr>
      </w:pPr>
      <w:r>
        <w:rPr>
          <w:rFonts w:ascii="Times New Roman" w:hAnsi="Times New Roman"/>
          <w:noProof/>
          <w:sz w:val="24"/>
        </w:rPr>
        <w:t>През 2016 г. чрез този инструмент беше изпратено първото ЗН по електронен път, а през 2017 г. няколко големи дружества започнаха да използват EDB за подаване на своите национални и обхващащи територията на Съюза ЗН.</w:t>
      </w:r>
    </w:p>
    <w:p>
      <w:pPr>
        <w:jc w:val="both"/>
        <w:rPr>
          <w:rFonts w:ascii="Times New Roman" w:hAnsi="Times New Roman" w:cs="Times New Roman"/>
          <w:noProof/>
          <w:sz w:val="24"/>
          <w:szCs w:val="24"/>
        </w:rPr>
      </w:pPr>
      <w:r>
        <w:rPr>
          <w:rFonts w:ascii="Times New Roman" w:hAnsi="Times New Roman"/>
          <w:noProof/>
          <w:sz w:val="24"/>
        </w:rPr>
        <w:t>Що се отнася до заявителя, тази връзка ще спомогне да се намали тежестта, свързана с множество подавания на информация, а за митническите органи — събирането на данни от ЗН на хартиен носител.</w:t>
      </w:r>
    </w:p>
    <w:p>
      <w:pPr>
        <w:pStyle w:val="Heading3"/>
        <w:rPr>
          <w:noProof/>
        </w:rPr>
      </w:pPr>
      <w:bookmarkStart w:id="33" w:name="_Toc497921450"/>
      <w:bookmarkStart w:id="34" w:name="_Toc504756104"/>
      <w:r>
        <w:rPr>
          <w:noProof/>
        </w:rPr>
        <w:t>4.2 Подобряване на взаимното разбиране и сътрудничеството между митническите, полицейските и съдебните органи</w:t>
      </w:r>
      <w:bookmarkEnd w:id="33"/>
      <w:bookmarkEnd w:id="34"/>
    </w:p>
    <w:p>
      <w:pPr>
        <w:jc w:val="both"/>
        <w:rPr>
          <w:rFonts w:ascii="Times New Roman" w:hAnsi="Times New Roman" w:cs="Times New Roman"/>
          <w:noProof/>
          <w:sz w:val="24"/>
          <w:szCs w:val="24"/>
        </w:rPr>
      </w:pPr>
      <w:r>
        <w:rPr>
          <w:rFonts w:ascii="Times New Roman" w:hAnsi="Times New Roman"/>
          <w:noProof/>
          <w:sz w:val="24"/>
        </w:rPr>
        <w:t xml:space="preserve">През 2013 г. заедно с полицейските и съдебните органи </w:t>
      </w:r>
      <w:r>
        <w:rPr>
          <w:rFonts w:ascii="Times New Roman" w:hAnsi="Times New Roman"/>
          <w:b/>
          <w:noProof/>
          <w:sz w:val="24"/>
        </w:rPr>
        <w:t>Комисията и някои митнически администрации на държавите членки участваха в различни събития, организирани от OHIM/Европол</w:t>
      </w:r>
      <w:r>
        <w:rPr>
          <w:rFonts w:ascii="Times New Roman" w:hAnsi="Times New Roman"/>
          <w:noProof/>
          <w:sz w:val="24"/>
        </w:rPr>
        <w:t xml:space="preserve">, като например семинарите за подобряване на информираността относно фалшивите пестициди и лекарствени продукти (на които се разглеждаха както ПИС, така и продуктовата сигурност) и Международната конференция на Интерпол относно правоприлагането в случаите на престъпления срещу интелектуалната собственост. </w:t>
      </w:r>
    </w:p>
    <w:p>
      <w:pPr>
        <w:jc w:val="both"/>
        <w:rPr>
          <w:rFonts w:ascii="Times New Roman" w:hAnsi="Times New Roman" w:cs="Times New Roman"/>
          <w:noProof/>
          <w:sz w:val="24"/>
          <w:szCs w:val="24"/>
        </w:rPr>
      </w:pPr>
      <w:r>
        <w:rPr>
          <w:rFonts w:ascii="Times New Roman" w:hAnsi="Times New Roman"/>
          <w:noProof/>
          <w:sz w:val="24"/>
        </w:rPr>
        <w:t xml:space="preserve">Обсерваторията, Службата на Обединеното кралство за интелектуална собственост и Комисията организираха съвместно през юни 2014 г. в Лондон </w:t>
      </w:r>
      <w:r>
        <w:rPr>
          <w:rFonts w:ascii="Times New Roman" w:hAnsi="Times New Roman"/>
          <w:b/>
          <w:noProof/>
          <w:sz w:val="24"/>
        </w:rPr>
        <w:t>среща на високо равнище относно защитата на интелектуалната собственост.</w:t>
      </w:r>
      <w:r>
        <w:rPr>
          <w:rFonts w:ascii="Times New Roman" w:hAnsi="Times New Roman"/>
          <w:noProof/>
          <w:sz w:val="24"/>
        </w:rPr>
        <w:t xml:space="preserve"> Част от тази среща на високо равнище беше посветена на „предизвикателствата пред защитата на интелектуалната собственост по границата“ и включваше семинари, посветени на малките пратки в резултат на интернет поръчки и на използването на разузнавателни сведения. Дискусията позволи да бъдат отчетени следните по-важни аспекти:</w:t>
      </w:r>
    </w:p>
    <w:p>
      <w:pPr>
        <w:tabs>
          <w:tab w:val="left" w:pos="142"/>
        </w:tabs>
        <w:ind w:left="142" w:hanging="142"/>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критичното значение на получаването на адекватна информация и споделянето ѝ с полицията и другите правоприлагащи органи;</w:t>
      </w:r>
    </w:p>
    <w:p>
      <w:pPr>
        <w:tabs>
          <w:tab w:val="left" w:pos="142"/>
        </w:tabs>
        <w:ind w:left="142" w:hanging="142"/>
        <w:jc w:val="both"/>
        <w:rPr>
          <w:rFonts w:ascii="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засилващата се нужда от сътрудничество и действия в международен план за справяне с международните вериги за доставка на фалшификати.</w:t>
      </w:r>
    </w:p>
    <w:p>
      <w:pPr>
        <w:jc w:val="both"/>
        <w:rPr>
          <w:rFonts w:ascii="Times New Roman" w:hAnsi="Times New Roman" w:cs="Times New Roman"/>
          <w:b/>
          <w:noProof/>
          <w:sz w:val="24"/>
          <w:szCs w:val="24"/>
        </w:rPr>
      </w:pPr>
      <w:r>
        <w:rPr>
          <w:rFonts w:ascii="Times New Roman" w:hAnsi="Times New Roman"/>
          <w:noProof/>
          <w:sz w:val="24"/>
        </w:rPr>
        <w:t xml:space="preserve">Като продължение на срещата на високо равнище през февруари 2016 г. в сътрудничество с OHIM/EUIPO Комисията организира </w:t>
      </w:r>
      <w:r>
        <w:rPr>
          <w:rFonts w:ascii="Times New Roman" w:hAnsi="Times New Roman"/>
          <w:b/>
          <w:noProof/>
          <w:sz w:val="24"/>
        </w:rPr>
        <w:t>Конференция на високо равнище относно сътрудничеството между митническите и други органи в борбата срещу нарушенията на ПИС.</w:t>
      </w:r>
    </w:p>
    <w:p>
      <w:pPr>
        <w:jc w:val="both"/>
        <w:rPr>
          <w:rFonts w:ascii="Times New Roman" w:hAnsi="Times New Roman" w:cs="Times New Roman"/>
          <w:noProof/>
          <w:sz w:val="24"/>
          <w:szCs w:val="24"/>
        </w:rPr>
      </w:pPr>
      <w:r>
        <w:rPr>
          <w:rFonts w:ascii="Times New Roman" w:hAnsi="Times New Roman"/>
          <w:noProof/>
          <w:sz w:val="24"/>
        </w:rPr>
        <w:t xml:space="preserve">Събитието послужи като платформа за дискусия, дебат и установяване на полезни контакти с оглед работа в мрежа между митническите, полицейските и съдебните органи, с цел засилване на сътрудничеството и взаимното разбиране за съответните роли и отговорности на всеки правоприлагащ орган в борбата срещу нарушенията на ПИС. Представители от частния сектор също участваха в конференцията. </w:t>
      </w:r>
    </w:p>
    <w:p>
      <w:pPr>
        <w:jc w:val="both"/>
        <w:rPr>
          <w:rFonts w:ascii="Times New Roman" w:hAnsi="Times New Roman" w:cs="Times New Roman"/>
          <w:noProof/>
          <w:sz w:val="24"/>
          <w:szCs w:val="24"/>
        </w:rPr>
      </w:pPr>
      <w:r>
        <w:rPr>
          <w:rFonts w:ascii="Times New Roman" w:hAnsi="Times New Roman"/>
          <w:noProof/>
          <w:sz w:val="24"/>
        </w:rPr>
        <w:t>В първия ден дискусията беше съсредоточена върху значението и ползите от обмена на информация и разузнавателни сведения между правоприлагащите органи, пречките и предизвикателствата пред всеки орган в практически аспект, необходимостта от своевременно съобщаване на необходимата информация от частния сектор до правоприлагащите органи, което също би помогнало на правоприлагащите органи да извършват по-ефективен анализ на риска.</w:t>
      </w:r>
    </w:p>
    <w:p>
      <w:pPr>
        <w:jc w:val="both"/>
        <w:rPr>
          <w:rFonts w:ascii="Times New Roman" w:hAnsi="Times New Roman" w:cs="Times New Roman"/>
          <w:noProof/>
          <w:sz w:val="24"/>
          <w:szCs w:val="24"/>
        </w:rPr>
      </w:pPr>
      <w:r>
        <w:rPr>
          <w:rFonts w:ascii="Times New Roman" w:hAnsi="Times New Roman"/>
          <w:noProof/>
          <w:sz w:val="24"/>
        </w:rPr>
        <w:t>На втория ден от събитието, когато присъстваха и представители на китайските органи, в центъра на разискванията беше значението на насърчаването на международното сътрудничество между ЕС и всички китайски органи, участващи в защитата на ПИС, като например митниците, полицията и Народната прокуратура.</w:t>
      </w:r>
    </w:p>
    <w:p>
      <w:pPr>
        <w:jc w:val="both"/>
        <w:rPr>
          <w:rFonts w:ascii="Times New Roman" w:hAnsi="Times New Roman" w:cs="Times New Roman"/>
          <w:noProof/>
          <w:sz w:val="24"/>
          <w:szCs w:val="24"/>
        </w:rPr>
      </w:pPr>
      <w:r>
        <w:rPr>
          <w:rFonts w:ascii="Times New Roman" w:hAnsi="Times New Roman"/>
          <w:noProof/>
          <w:sz w:val="24"/>
        </w:rPr>
        <w:t xml:space="preserve">В сътрудничество с Европейската обсерватория за нарушенията на правата върху интелектуална собственост бяха организирани последващи действия. Те включват картографирането на съществуващите бази данни относно случаи на нарушения и събитие за подобряване на осведомеността, което се проведе през октомври 2017 г., на което на оперативно равнище се събраха митнически органи, полицейски органи и органи за надзор на пазара, за да обсъдят ключовата информация, която е необходимо да се обменя сред правоприлагащите органи с цел борба с фалшифицирането на общо за ЕС равнище. </w:t>
      </w:r>
    </w:p>
    <w:p>
      <w:pPr>
        <w:pStyle w:val="Heading1"/>
        <w:rPr>
          <w:noProof/>
        </w:rPr>
      </w:pPr>
      <w:bookmarkStart w:id="35" w:name="_Toc497921451"/>
      <w:bookmarkStart w:id="36" w:name="_Toc504756105"/>
      <w:r>
        <w:rPr>
          <w:noProof/>
        </w:rPr>
        <w:t>ЗАКЛЮЧЕНИЕ</w:t>
      </w:r>
      <w:bookmarkEnd w:id="35"/>
      <w:bookmarkEnd w:id="36"/>
    </w:p>
    <w:p>
      <w:pPr>
        <w:jc w:val="both"/>
        <w:rPr>
          <w:rFonts w:ascii="Times New Roman" w:hAnsi="Times New Roman" w:cs="Times New Roman"/>
          <w:noProof/>
          <w:sz w:val="24"/>
          <w:szCs w:val="24"/>
        </w:rPr>
      </w:pPr>
      <w:r>
        <w:rPr>
          <w:rFonts w:ascii="Times New Roman" w:hAnsi="Times New Roman"/>
          <w:noProof/>
          <w:sz w:val="24"/>
        </w:rPr>
        <w:t>Като цяло митническите администрации на държавите членки и Комисията вложиха значителни усилия и работят проактивно за преодоляване на предизвикателствата, свързани със защитата на ПИС, осъществявана от митническите органи, и ограничаване на притока в ЕС на стоки, нарушаващи ПИС.</w:t>
      </w:r>
    </w:p>
    <w:p>
      <w:pPr>
        <w:jc w:val="both"/>
        <w:rPr>
          <w:rFonts w:ascii="Times New Roman" w:hAnsi="Times New Roman" w:cs="Times New Roman"/>
          <w:noProof/>
          <w:sz w:val="24"/>
          <w:szCs w:val="24"/>
        </w:rPr>
      </w:pPr>
      <w:r>
        <w:rPr>
          <w:rFonts w:ascii="Times New Roman" w:hAnsi="Times New Roman"/>
          <w:noProof/>
          <w:sz w:val="24"/>
        </w:rPr>
        <w:t>Ангажирани са всички средства, така че Регламент (ЕС) № 608/2013 да бъде представен пред всички заинтересовани страни от публичния и частния сектор и да бъде използван пълният му потенциал. Посещенията за подкрепа се оказаха особено полезни за експертите от различните държави членки, за да обсъдят практиките по прилагането, а за Комисията — да изгради обща картина за прилагането.</w:t>
      </w:r>
    </w:p>
    <w:p>
      <w:pPr>
        <w:jc w:val="both"/>
        <w:rPr>
          <w:rFonts w:ascii="Times New Roman" w:hAnsi="Times New Roman" w:cs="Times New Roman"/>
          <w:noProof/>
          <w:sz w:val="24"/>
          <w:szCs w:val="24"/>
        </w:rPr>
      </w:pPr>
      <w:r>
        <w:rPr>
          <w:rFonts w:ascii="Times New Roman" w:hAnsi="Times New Roman"/>
          <w:noProof/>
          <w:sz w:val="24"/>
        </w:rPr>
        <w:t xml:space="preserve">Броят на удовлетворените от митническите администрации ЗН отбеляза стабилен ръст (от 26 865 през 2013 г. на 35 815 през 2016 г.). </w:t>
      </w:r>
    </w:p>
    <w:p>
      <w:pPr>
        <w:jc w:val="both"/>
        <w:rPr>
          <w:rFonts w:ascii="Times New Roman" w:hAnsi="Times New Roman" w:cs="Times New Roman"/>
          <w:noProof/>
          <w:sz w:val="24"/>
          <w:szCs w:val="24"/>
        </w:rPr>
      </w:pPr>
      <w:r>
        <w:rPr>
          <w:rFonts w:ascii="Times New Roman" w:hAnsi="Times New Roman"/>
          <w:noProof/>
          <w:sz w:val="24"/>
        </w:rPr>
        <w:t>Митническите действия доведоха до следните резултати по отношение на задържанията.</w:t>
      </w:r>
    </w:p>
    <w:tbl>
      <w:tblPr>
        <w:tblStyle w:val="TableGrid"/>
        <w:tblW w:w="0" w:type="auto"/>
        <w:tblLook w:val="04A0" w:firstRow="1" w:lastRow="0" w:firstColumn="1" w:lastColumn="0" w:noHBand="0" w:noVBand="1"/>
      </w:tblPr>
      <w:tblGrid>
        <w:gridCol w:w="1969"/>
        <w:gridCol w:w="1829"/>
        <w:gridCol w:w="1830"/>
        <w:gridCol w:w="1830"/>
        <w:gridCol w:w="1830"/>
      </w:tblGrid>
      <w:tr>
        <w:tc>
          <w:tcPr>
            <w:tcW w:w="1857" w:type="dxa"/>
          </w:tcPr>
          <w:p>
            <w:pPr>
              <w:jc w:val="both"/>
              <w:rPr>
                <w:rFonts w:ascii="Times New Roman" w:hAnsi="Times New Roman" w:cs="Times New Roman"/>
                <w:b/>
                <w:noProof/>
                <w:sz w:val="24"/>
                <w:szCs w:val="24"/>
              </w:rPr>
            </w:pPr>
            <w:r>
              <w:rPr>
                <w:rFonts w:ascii="Times New Roman" w:hAnsi="Times New Roman"/>
                <w:b/>
                <w:noProof/>
                <w:sz w:val="24"/>
              </w:rPr>
              <w:t>ЗАДЪРЖАНИЯ</w:t>
            </w:r>
          </w:p>
        </w:tc>
        <w:tc>
          <w:tcPr>
            <w:tcW w:w="1857" w:type="dxa"/>
          </w:tcPr>
          <w:p>
            <w:pPr>
              <w:jc w:val="both"/>
              <w:rPr>
                <w:rFonts w:ascii="Times New Roman" w:hAnsi="Times New Roman" w:cs="Times New Roman"/>
                <w:b/>
                <w:noProof/>
                <w:sz w:val="24"/>
                <w:szCs w:val="24"/>
              </w:rPr>
            </w:pPr>
            <w:r>
              <w:rPr>
                <w:rFonts w:ascii="Times New Roman" w:hAnsi="Times New Roman"/>
                <w:b/>
                <w:noProof/>
                <w:sz w:val="24"/>
              </w:rPr>
              <w:t>2013 г.</w:t>
            </w:r>
          </w:p>
        </w:tc>
        <w:tc>
          <w:tcPr>
            <w:tcW w:w="1858" w:type="dxa"/>
          </w:tcPr>
          <w:p>
            <w:pPr>
              <w:jc w:val="both"/>
              <w:rPr>
                <w:rFonts w:ascii="Times New Roman" w:hAnsi="Times New Roman" w:cs="Times New Roman"/>
                <w:b/>
                <w:noProof/>
                <w:sz w:val="24"/>
                <w:szCs w:val="24"/>
              </w:rPr>
            </w:pPr>
            <w:r>
              <w:rPr>
                <w:rFonts w:ascii="Times New Roman" w:hAnsi="Times New Roman"/>
                <w:b/>
                <w:noProof/>
                <w:sz w:val="24"/>
              </w:rPr>
              <w:t>2014 г.</w:t>
            </w:r>
          </w:p>
        </w:tc>
        <w:tc>
          <w:tcPr>
            <w:tcW w:w="1858" w:type="dxa"/>
          </w:tcPr>
          <w:p>
            <w:pPr>
              <w:jc w:val="both"/>
              <w:rPr>
                <w:rFonts w:ascii="Times New Roman" w:hAnsi="Times New Roman" w:cs="Times New Roman"/>
                <w:b/>
                <w:noProof/>
                <w:sz w:val="24"/>
                <w:szCs w:val="24"/>
              </w:rPr>
            </w:pPr>
            <w:r>
              <w:rPr>
                <w:rFonts w:ascii="Times New Roman" w:hAnsi="Times New Roman"/>
                <w:b/>
                <w:noProof/>
                <w:sz w:val="24"/>
              </w:rPr>
              <w:t>2015 г.</w:t>
            </w:r>
          </w:p>
        </w:tc>
        <w:tc>
          <w:tcPr>
            <w:tcW w:w="1858" w:type="dxa"/>
          </w:tcPr>
          <w:p>
            <w:pPr>
              <w:jc w:val="both"/>
              <w:rPr>
                <w:rFonts w:ascii="Times New Roman" w:hAnsi="Times New Roman" w:cs="Times New Roman"/>
                <w:b/>
                <w:noProof/>
                <w:sz w:val="24"/>
                <w:szCs w:val="24"/>
              </w:rPr>
            </w:pPr>
            <w:r>
              <w:rPr>
                <w:rFonts w:ascii="Times New Roman" w:hAnsi="Times New Roman"/>
                <w:b/>
                <w:noProof/>
                <w:sz w:val="24"/>
              </w:rPr>
              <w:t>2016 г.</w:t>
            </w:r>
          </w:p>
        </w:tc>
      </w:tr>
      <w:tr>
        <w:tc>
          <w:tcPr>
            <w:tcW w:w="1857" w:type="dxa"/>
          </w:tcPr>
          <w:p>
            <w:pPr>
              <w:jc w:val="both"/>
              <w:rPr>
                <w:rFonts w:ascii="Times New Roman" w:hAnsi="Times New Roman" w:cs="Times New Roman"/>
                <w:b/>
                <w:noProof/>
                <w:sz w:val="24"/>
                <w:szCs w:val="24"/>
              </w:rPr>
            </w:pPr>
            <w:r>
              <w:rPr>
                <w:rFonts w:ascii="Times New Roman" w:hAnsi="Times New Roman"/>
                <w:b/>
                <w:noProof/>
                <w:sz w:val="24"/>
              </w:rPr>
              <w:t>Случаи</w:t>
            </w:r>
          </w:p>
        </w:tc>
        <w:tc>
          <w:tcPr>
            <w:tcW w:w="1857" w:type="dxa"/>
          </w:tcPr>
          <w:p>
            <w:pPr>
              <w:jc w:val="both"/>
              <w:rPr>
                <w:rFonts w:ascii="Times New Roman" w:hAnsi="Times New Roman" w:cs="Times New Roman"/>
                <w:noProof/>
                <w:sz w:val="24"/>
                <w:szCs w:val="24"/>
              </w:rPr>
            </w:pPr>
            <w:r>
              <w:rPr>
                <w:rFonts w:ascii="Times New Roman" w:hAnsi="Times New Roman"/>
                <w:noProof/>
                <w:sz w:val="24"/>
              </w:rPr>
              <w:t xml:space="preserve">86 854 </w:t>
            </w:r>
          </w:p>
        </w:tc>
        <w:tc>
          <w:tcPr>
            <w:tcW w:w="1858" w:type="dxa"/>
          </w:tcPr>
          <w:p>
            <w:pPr>
              <w:jc w:val="both"/>
              <w:rPr>
                <w:rFonts w:ascii="Times New Roman" w:hAnsi="Times New Roman" w:cs="Times New Roman"/>
                <w:noProof/>
                <w:sz w:val="24"/>
                <w:szCs w:val="24"/>
              </w:rPr>
            </w:pPr>
            <w:r>
              <w:rPr>
                <w:rFonts w:ascii="Times New Roman" w:hAnsi="Times New Roman"/>
                <w:noProof/>
                <w:sz w:val="24"/>
              </w:rPr>
              <w:t>95 194</w:t>
            </w:r>
          </w:p>
        </w:tc>
        <w:tc>
          <w:tcPr>
            <w:tcW w:w="1858" w:type="dxa"/>
          </w:tcPr>
          <w:p>
            <w:pPr>
              <w:jc w:val="both"/>
              <w:rPr>
                <w:rFonts w:ascii="Times New Roman" w:hAnsi="Times New Roman" w:cs="Times New Roman"/>
                <w:noProof/>
                <w:sz w:val="24"/>
                <w:szCs w:val="24"/>
              </w:rPr>
            </w:pPr>
            <w:r>
              <w:rPr>
                <w:rFonts w:ascii="Times New Roman" w:hAnsi="Times New Roman"/>
                <w:noProof/>
                <w:sz w:val="24"/>
              </w:rPr>
              <w:t>81 098</w:t>
            </w:r>
          </w:p>
        </w:tc>
        <w:tc>
          <w:tcPr>
            <w:tcW w:w="1858" w:type="dxa"/>
          </w:tcPr>
          <w:p>
            <w:pPr>
              <w:jc w:val="both"/>
              <w:rPr>
                <w:rFonts w:ascii="Times New Roman" w:hAnsi="Times New Roman" w:cs="Times New Roman"/>
                <w:noProof/>
                <w:sz w:val="24"/>
                <w:szCs w:val="24"/>
              </w:rPr>
            </w:pPr>
            <w:r>
              <w:rPr>
                <w:rFonts w:ascii="Times New Roman" w:hAnsi="Times New Roman"/>
                <w:noProof/>
                <w:sz w:val="24"/>
              </w:rPr>
              <w:t>63 184</w:t>
            </w:r>
          </w:p>
        </w:tc>
      </w:tr>
      <w:tr>
        <w:tc>
          <w:tcPr>
            <w:tcW w:w="1857" w:type="dxa"/>
          </w:tcPr>
          <w:p>
            <w:pPr>
              <w:jc w:val="both"/>
              <w:rPr>
                <w:rFonts w:ascii="Times New Roman" w:hAnsi="Times New Roman" w:cs="Times New Roman"/>
                <w:b/>
                <w:noProof/>
                <w:sz w:val="24"/>
                <w:szCs w:val="24"/>
              </w:rPr>
            </w:pPr>
            <w:r>
              <w:rPr>
                <w:rFonts w:ascii="Times New Roman" w:hAnsi="Times New Roman"/>
                <w:b/>
                <w:noProof/>
                <w:sz w:val="24"/>
              </w:rPr>
              <w:t>Процедури</w:t>
            </w:r>
          </w:p>
        </w:tc>
        <w:tc>
          <w:tcPr>
            <w:tcW w:w="1857" w:type="dxa"/>
          </w:tcPr>
          <w:p>
            <w:pPr>
              <w:jc w:val="both"/>
              <w:rPr>
                <w:rFonts w:ascii="Times New Roman" w:hAnsi="Times New Roman" w:cs="Times New Roman"/>
                <w:noProof/>
                <w:sz w:val="24"/>
                <w:szCs w:val="24"/>
              </w:rPr>
            </w:pPr>
            <w:r>
              <w:rPr>
                <w:rFonts w:ascii="Times New Roman" w:hAnsi="Times New Roman"/>
                <w:noProof/>
                <w:sz w:val="24"/>
              </w:rPr>
              <w:t>не са налични</w:t>
            </w:r>
          </w:p>
        </w:tc>
        <w:tc>
          <w:tcPr>
            <w:tcW w:w="1858" w:type="dxa"/>
          </w:tcPr>
          <w:p>
            <w:pPr>
              <w:jc w:val="both"/>
              <w:rPr>
                <w:rFonts w:ascii="Times New Roman" w:hAnsi="Times New Roman" w:cs="Times New Roman"/>
                <w:noProof/>
                <w:sz w:val="24"/>
                <w:szCs w:val="24"/>
              </w:rPr>
            </w:pPr>
            <w:r>
              <w:rPr>
                <w:rFonts w:ascii="Times New Roman" w:hAnsi="Times New Roman"/>
                <w:noProof/>
                <w:sz w:val="24"/>
              </w:rPr>
              <w:t>не са налични</w:t>
            </w:r>
          </w:p>
        </w:tc>
        <w:tc>
          <w:tcPr>
            <w:tcW w:w="1858" w:type="dxa"/>
          </w:tcPr>
          <w:p>
            <w:pPr>
              <w:jc w:val="both"/>
              <w:rPr>
                <w:rFonts w:ascii="Times New Roman" w:hAnsi="Times New Roman" w:cs="Times New Roman"/>
                <w:noProof/>
                <w:sz w:val="24"/>
                <w:szCs w:val="24"/>
              </w:rPr>
            </w:pPr>
            <w:r>
              <w:rPr>
                <w:rFonts w:ascii="Times New Roman" w:hAnsi="Times New Roman"/>
                <w:noProof/>
                <w:sz w:val="24"/>
              </w:rPr>
              <w:t>105 488</w:t>
            </w:r>
          </w:p>
        </w:tc>
        <w:tc>
          <w:tcPr>
            <w:tcW w:w="1858" w:type="dxa"/>
          </w:tcPr>
          <w:p>
            <w:pPr>
              <w:jc w:val="both"/>
              <w:rPr>
                <w:rFonts w:ascii="Times New Roman" w:hAnsi="Times New Roman" w:cs="Times New Roman"/>
                <w:noProof/>
                <w:sz w:val="24"/>
                <w:szCs w:val="24"/>
              </w:rPr>
            </w:pPr>
            <w:r>
              <w:rPr>
                <w:rFonts w:ascii="Times New Roman" w:hAnsi="Times New Roman"/>
                <w:noProof/>
                <w:sz w:val="24"/>
              </w:rPr>
              <w:t>77 705</w:t>
            </w:r>
          </w:p>
        </w:tc>
      </w:tr>
      <w:tr>
        <w:tc>
          <w:tcPr>
            <w:tcW w:w="1857" w:type="dxa"/>
          </w:tcPr>
          <w:p>
            <w:pPr>
              <w:jc w:val="both"/>
              <w:rPr>
                <w:rFonts w:ascii="Times New Roman" w:hAnsi="Times New Roman" w:cs="Times New Roman"/>
                <w:b/>
                <w:noProof/>
                <w:sz w:val="24"/>
                <w:szCs w:val="24"/>
              </w:rPr>
            </w:pPr>
            <w:r>
              <w:rPr>
                <w:rFonts w:ascii="Times New Roman" w:hAnsi="Times New Roman"/>
                <w:b/>
                <w:noProof/>
                <w:sz w:val="24"/>
              </w:rPr>
              <w:t>Артикули</w:t>
            </w:r>
          </w:p>
        </w:tc>
        <w:tc>
          <w:tcPr>
            <w:tcW w:w="1857" w:type="dxa"/>
          </w:tcPr>
          <w:p>
            <w:pPr>
              <w:jc w:val="both"/>
              <w:rPr>
                <w:rFonts w:ascii="Times New Roman" w:hAnsi="Times New Roman" w:cs="Times New Roman"/>
                <w:noProof/>
                <w:sz w:val="24"/>
                <w:szCs w:val="24"/>
              </w:rPr>
            </w:pPr>
            <w:r>
              <w:rPr>
                <w:rFonts w:ascii="Times New Roman" w:hAnsi="Times New Roman"/>
                <w:noProof/>
                <w:sz w:val="24"/>
              </w:rPr>
              <w:t>39 917 445</w:t>
            </w:r>
          </w:p>
        </w:tc>
        <w:tc>
          <w:tcPr>
            <w:tcW w:w="1858" w:type="dxa"/>
          </w:tcPr>
          <w:p>
            <w:pPr>
              <w:jc w:val="both"/>
              <w:rPr>
                <w:rFonts w:ascii="Times New Roman" w:hAnsi="Times New Roman" w:cs="Times New Roman"/>
                <w:noProof/>
                <w:sz w:val="24"/>
                <w:szCs w:val="24"/>
              </w:rPr>
            </w:pPr>
            <w:r>
              <w:rPr>
                <w:rFonts w:ascii="Times New Roman" w:hAnsi="Times New Roman"/>
                <w:noProof/>
                <w:sz w:val="24"/>
              </w:rPr>
              <w:t>35 940 294</w:t>
            </w:r>
          </w:p>
        </w:tc>
        <w:tc>
          <w:tcPr>
            <w:tcW w:w="1858" w:type="dxa"/>
          </w:tcPr>
          <w:p>
            <w:pPr>
              <w:jc w:val="both"/>
              <w:rPr>
                <w:rFonts w:ascii="Times New Roman" w:hAnsi="Times New Roman" w:cs="Times New Roman"/>
                <w:noProof/>
                <w:sz w:val="24"/>
                <w:szCs w:val="24"/>
              </w:rPr>
            </w:pPr>
            <w:r>
              <w:rPr>
                <w:rFonts w:ascii="Times New Roman" w:hAnsi="Times New Roman"/>
                <w:noProof/>
                <w:sz w:val="24"/>
              </w:rPr>
              <w:t>35 568 982</w:t>
            </w:r>
          </w:p>
        </w:tc>
        <w:tc>
          <w:tcPr>
            <w:tcW w:w="1858" w:type="dxa"/>
          </w:tcPr>
          <w:p>
            <w:pPr>
              <w:jc w:val="both"/>
              <w:rPr>
                <w:rFonts w:ascii="Times New Roman" w:hAnsi="Times New Roman" w:cs="Times New Roman"/>
                <w:noProof/>
                <w:sz w:val="24"/>
                <w:szCs w:val="24"/>
              </w:rPr>
            </w:pPr>
            <w:r>
              <w:rPr>
                <w:rFonts w:ascii="Times New Roman" w:hAnsi="Times New Roman"/>
                <w:noProof/>
                <w:sz w:val="24"/>
              </w:rPr>
              <w:t>41 387 132</w:t>
            </w:r>
          </w:p>
        </w:tc>
      </w:tr>
      <w:tr>
        <w:tc>
          <w:tcPr>
            <w:tcW w:w="1857" w:type="dxa"/>
          </w:tcPr>
          <w:p>
            <w:pPr>
              <w:jc w:val="both"/>
              <w:rPr>
                <w:rFonts w:ascii="Times New Roman" w:hAnsi="Times New Roman" w:cs="Times New Roman"/>
                <w:b/>
                <w:noProof/>
                <w:sz w:val="24"/>
                <w:szCs w:val="24"/>
              </w:rPr>
            </w:pPr>
            <w:r>
              <w:rPr>
                <w:rFonts w:ascii="Times New Roman" w:hAnsi="Times New Roman"/>
                <w:b/>
                <w:noProof/>
                <w:sz w:val="24"/>
              </w:rPr>
              <w:t>Стойност на националния пазар на дребно</w:t>
            </w:r>
          </w:p>
        </w:tc>
        <w:tc>
          <w:tcPr>
            <w:tcW w:w="1857" w:type="dxa"/>
          </w:tcPr>
          <w:p>
            <w:pPr>
              <w:jc w:val="both"/>
              <w:rPr>
                <w:rFonts w:ascii="Times New Roman" w:hAnsi="Times New Roman" w:cs="Times New Roman"/>
                <w:noProof/>
                <w:sz w:val="24"/>
                <w:szCs w:val="24"/>
              </w:rPr>
            </w:pPr>
            <w:r>
              <w:rPr>
                <w:rFonts w:ascii="Times New Roman" w:hAnsi="Times New Roman"/>
                <w:noProof/>
                <w:sz w:val="24"/>
              </w:rPr>
              <w:t>768 млн. евро</w:t>
            </w:r>
          </w:p>
        </w:tc>
        <w:tc>
          <w:tcPr>
            <w:tcW w:w="1858" w:type="dxa"/>
          </w:tcPr>
          <w:p>
            <w:pPr>
              <w:jc w:val="both"/>
              <w:rPr>
                <w:rFonts w:ascii="Times New Roman" w:hAnsi="Times New Roman" w:cs="Times New Roman"/>
                <w:noProof/>
                <w:sz w:val="24"/>
                <w:szCs w:val="24"/>
              </w:rPr>
            </w:pPr>
            <w:r>
              <w:rPr>
                <w:rFonts w:ascii="Times New Roman" w:hAnsi="Times New Roman"/>
                <w:noProof/>
                <w:sz w:val="24"/>
              </w:rPr>
              <w:t>617 млн. евро</w:t>
            </w:r>
          </w:p>
        </w:tc>
        <w:tc>
          <w:tcPr>
            <w:tcW w:w="1858" w:type="dxa"/>
          </w:tcPr>
          <w:p>
            <w:pPr>
              <w:jc w:val="both"/>
              <w:rPr>
                <w:rFonts w:ascii="Times New Roman" w:hAnsi="Times New Roman" w:cs="Times New Roman"/>
                <w:noProof/>
                <w:sz w:val="24"/>
                <w:szCs w:val="24"/>
              </w:rPr>
            </w:pPr>
            <w:r>
              <w:rPr>
                <w:rFonts w:ascii="Times New Roman" w:hAnsi="Times New Roman"/>
                <w:noProof/>
                <w:sz w:val="24"/>
              </w:rPr>
              <w:t>642 млн. евро</w:t>
            </w:r>
          </w:p>
        </w:tc>
        <w:tc>
          <w:tcPr>
            <w:tcW w:w="1858" w:type="dxa"/>
          </w:tcPr>
          <w:p>
            <w:pPr>
              <w:jc w:val="both"/>
              <w:rPr>
                <w:rFonts w:ascii="Times New Roman" w:hAnsi="Times New Roman" w:cs="Times New Roman"/>
                <w:noProof/>
                <w:sz w:val="24"/>
                <w:szCs w:val="24"/>
              </w:rPr>
            </w:pPr>
            <w:r>
              <w:rPr>
                <w:rFonts w:ascii="Times New Roman" w:hAnsi="Times New Roman"/>
                <w:noProof/>
                <w:sz w:val="24"/>
              </w:rPr>
              <w:t>672 млн. евро</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Всяко задържане се разглежда като случай, който може да се отнася за един или повече артикули. Всеки случай може да съдържа артикули от различни продуктови категории и на различни носители на права. В COPIS държавите членки регистрират всеки случай с информация по категории стоки и поотделно за всеки носител на права. Процедура за задържане се образува за всяка категория стоки и всеки носител на права, с което се обяснява наличието на повече процедури, отколкото случаи.</w:t>
      </w:r>
    </w:p>
    <w:p>
      <w:pPr>
        <w:spacing w:after="120"/>
        <w:jc w:val="both"/>
        <w:rPr>
          <w:rFonts w:ascii="Times New Roman" w:hAnsi="Times New Roman" w:cs="Times New Roman"/>
          <w:noProof/>
          <w:sz w:val="24"/>
          <w:szCs w:val="24"/>
        </w:rPr>
      </w:pPr>
      <w:r>
        <w:rPr>
          <w:rFonts w:ascii="Times New Roman" w:hAnsi="Times New Roman"/>
          <w:noProof/>
          <w:sz w:val="24"/>
        </w:rPr>
        <w:t>Сътрудничеството беше допълнително засилено в следните три насоки:</w:t>
      </w:r>
    </w:p>
    <w:p>
      <w:pPr>
        <w:spacing w:after="120"/>
        <w:jc w:val="both"/>
        <w:rPr>
          <w:rFonts w:ascii="Times New Roman" w:hAnsi="Times New Roman" w:cs="Times New Roman"/>
          <w:noProof/>
          <w:sz w:val="24"/>
          <w:szCs w:val="24"/>
        </w:rPr>
      </w:pPr>
      <w:r>
        <w:rPr>
          <w:rFonts w:ascii="Times New Roman" w:hAnsi="Times New Roman"/>
          <w:noProof/>
          <w:sz w:val="24"/>
        </w:rPr>
        <w:t xml:space="preserve">— със заинтересованите страни; </w:t>
      </w:r>
    </w:p>
    <w:p>
      <w:pPr>
        <w:spacing w:after="120"/>
        <w:jc w:val="both"/>
        <w:rPr>
          <w:rFonts w:ascii="Times New Roman" w:hAnsi="Times New Roman" w:cs="Times New Roman"/>
          <w:noProof/>
          <w:sz w:val="24"/>
          <w:szCs w:val="24"/>
        </w:rPr>
      </w:pPr>
      <w:r>
        <w:rPr>
          <w:rFonts w:ascii="Times New Roman" w:hAnsi="Times New Roman"/>
          <w:noProof/>
          <w:sz w:val="24"/>
        </w:rPr>
        <w:t xml:space="preserve">— с обсерваторията на ЕС;   </w:t>
      </w:r>
    </w:p>
    <w:p>
      <w:pPr>
        <w:jc w:val="both"/>
        <w:rPr>
          <w:rFonts w:ascii="Times New Roman" w:hAnsi="Times New Roman" w:cs="Times New Roman"/>
          <w:noProof/>
          <w:sz w:val="24"/>
          <w:szCs w:val="24"/>
        </w:rPr>
      </w:pPr>
      <w:r>
        <w:rPr>
          <w:rFonts w:ascii="Times New Roman" w:hAnsi="Times New Roman"/>
          <w:noProof/>
          <w:sz w:val="24"/>
        </w:rPr>
        <w:t>— с трети държави.</w:t>
      </w:r>
    </w:p>
    <w:p>
      <w:pPr>
        <w:jc w:val="both"/>
        <w:rPr>
          <w:rFonts w:ascii="Times New Roman" w:hAnsi="Times New Roman" w:cs="Times New Roman"/>
          <w:noProof/>
          <w:sz w:val="24"/>
          <w:szCs w:val="24"/>
        </w:rPr>
      </w:pPr>
      <w:r>
        <w:rPr>
          <w:rFonts w:ascii="Times New Roman" w:hAnsi="Times New Roman"/>
          <w:noProof/>
          <w:sz w:val="24"/>
        </w:rPr>
        <w:t xml:space="preserve">Предизвикателствата, свързани със сътрудничеството между правоприлагащите органи, участващи в борбата срещу нарушенията на ПИС, също бяха разгледани и установеният диалог показа колко важно би било да се положат усилия в тази връзка. </w:t>
      </w:r>
    </w:p>
    <w:p>
      <w:pPr>
        <w:jc w:val="both"/>
        <w:rPr>
          <w:rFonts w:ascii="Times New Roman" w:hAnsi="Times New Roman" w:cs="Times New Roman"/>
          <w:noProof/>
          <w:sz w:val="24"/>
          <w:szCs w:val="24"/>
        </w:rPr>
      </w:pPr>
      <w:r>
        <w:rPr>
          <w:rFonts w:ascii="Times New Roman" w:hAnsi="Times New Roman"/>
          <w:noProof/>
          <w:sz w:val="24"/>
        </w:rPr>
        <w:t>Трафикът на стоки, нарушаващи ПИС, обаче остава широкоразпространено и все по-засилващо се явление. Международната търговия с фалшифицирани продукти съставлява до 2,5 % от световната търговия, което се равнява на 338 милиарда евро според най-актуалните налични данни от 2013 г.</w:t>
      </w:r>
      <w:r>
        <w:rPr>
          <w:rStyle w:val="FootnoteReference"/>
          <w:rFonts w:ascii="Times New Roman" w:hAnsi="Times New Roman"/>
          <w:noProof/>
          <w:sz w:val="24"/>
        </w:rPr>
        <w:footnoteReference w:id="7"/>
      </w:r>
      <w:r>
        <w:rPr>
          <w:rFonts w:ascii="Times New Roman" w:hAnsi="Times New Roman"/>
          <w:noProof/>
          <w:sz w:val="24"/>
        </w:rPr>
        <w:t xml:space="preserve"> Въздействието на фалшифицирането в Европейския съюз е изключително силно, като фалшифицираните и пиратските продукти съставляват до 5 % от вноса, което се равнява на 85 милиарда евро.</w:t>
      </w:r>
    </w:p>
    <w:p>
      <w:pPr>
        <w:spacing w:after="120"/>
        <w:jc w:val="both"/>
        <w:rPr>
          <w:rFonts w:ascii="Times New Roman" w:hAnsi="Times New Roman" w:cs="Times New Roman"/>
          <w:noProof/>
          <w:sz w:val="24"/>
          <w:szCs w:val="24"/>
        </w:rPr>
      </w:pPr>
      <w:r>
        <w:rPr>
          <w:rFonts w:ascii="Times New Roman" w:hAnsi="Times New Roman"/>
          <w:noProof/>
          <w:sz w:val="24"/>
        </w:rPr>
        <w:t>Необходимо е по-нататъшно развитие с цел:</w:t>
      </w:r>
    </w:p>
    <w:p>
      <w:pPr>
        <w:spacing w:after="120"/>
        <w:jc w:val="both"/>
        <w:rPr>
          <w:rFonts w:ascii="Times New Roman" w:hAnsi="Times New Roman" w:cs="Times New Roman"/>
          <w:noProof/>
          <w:sz w:val="24"/>
          <w:szCs w:val="24"/>
        </w:rPr>
      </w:pPr>
      <w:r>
        <w:rPr>
          <w:rFonts w:ascii="Times New Roman" w:hAnsi="Times New Roman"/>
          <w:noProof/>
          <w:sz w:val="24"/>
        </w:rPr>
        <w:t>— гарантиране на хомогенна защита на ПИС при граничния контрол в целия Съюз;</w:t>
      </w:r>
    </w:p>
    <w:p>
      <w:pPr>
        <w:spacing w:after="120"/>
        <w:jc w:val="both"/>
        <w:rPr>
          <w:rFonts w:ascii="Times New Roman" w:hAnsi="Times New Roman" w:cs="Times New Roman"/>
          <w:noProof/>
          <w:sz w:val="24"/>
          <w:szCs w:val="24"/>
        </w:rPr>
      </w:pPr>
      <w:r>
        <w:rPr>
          <w:rFonts w:ascii="Times New Roman" w:hAnsi="Times New Roman"/>
          <w:noProof/>
          <w:sz w:val="24"/>
        </w:rPr>
        <w:t>— разработване на инструменти за управление на риска в областта на ПИС;</w:t>
      </w:r>
    </w:p>
    <w:p>
      <w:pPr>
        <w:jc w:val="both"/>
        <w:rPr>
          <w:rFonts w:ascii="Times New Roman" w:hAnsi="Times New Roman" w:cs="Times New Roman"/>
          <w:noProof/>
          <w:sz w:val="24"/>
          <w:szCs w:val="24"/>
        </w:rPr>
      </w:pPr>
      <w:r>
        <w:rPr>
          <w:rFonts w:ascii="Times New Roman" w:hAnsi="Times New Roman"/>
          <w:noProof/>
          <w:sz w:val="24"/>
        </w:rPr>
        <w:t>— засилване на митническото сътрудничество с полицията (включително Европол) и други правоприлагащи органи.</w:t>
      </w:r>
    </w:p>
    <w:p>
      <w:pPr>
        <w:jc w:val="both"/>
        <w:rPr>
          <w:rFonts w:ascii="Times New Roman" w:hAnsi="Times New Roman" w:cs="Times New Roman"/>
          <w:noProof/>
          <w:sz w:val="24"/>
          <w:szCs w:val="24"/>
        </w:rPr>
      </w:pPr>
      <w:r>
        <w:rPr>
          <w:rFonts w:ascii="Times New Roman" w:hAnsi="Times New Roman"/>
          <w:noProof/>
          <w:sz w:val="24"/>
        </w:rPr>
        <w:t>Тези приоритети следва да са в основата на последващите действия от страна на Комисията и държавите членки.</w:t>
      </w:r>
    </w:p>
    <w:p>
      <w:pPr>
        <w:pStyle w:val="Heading1"/>
        <w:rPr>
          <w:noProof/>
        </w:rPr>
      </w:pPr>
      <w:bookmarkStart w:id="37" w:name="_Toc497921452"/>
      <w:bookmarkStart w:id="38" w:name="_Toc504756106"/>
      <w:r>
        <w:rPr>
          <w:noProof/>
        </w:rPr>
        <w:t>ПРЕПОРЪКИ</w:t>
      </w:r>
      <w:bookmarkEnd w:id="37"/>
      <w:bookmarkEnd w:id="38"/>
    </w:p>
    <w:p>
      <w:pPr>
        <w:jc w:val="both"/>
        <w:rPr>
          <w:rFonts w:ascii="Times New Roman" w:hAnsi="Times New Roman" w:cs="Times New Roman"/>
          <w:noProof/>
          <w:sz w:val="24"/>
          <w:szCs w:val="24"/>
        </w:rPr>
      </w:pPr>
      <w:r>
        <w:rPr>
          <w:rFonts w:ascii="Times New Roman" w:hAnsi="Times New Roman"/>
          <w:noProof/>
          <w:sz w:val="24"/>
        </w:rPr>
        <w:t>Нарушенията на ПИС продължават да бъдат все по-голяма заплаха и трудно за преодоляване предизвикателство. Тъй като вече е доказано, че координирането на митническите дейности носи добавена стойност за допълнително подобряване на резултатите, планът за действие в областта на митниците за борба с нарушенията на ПИС непременно следва да бъде подновен за следващите години.</w:t>
      </w:r>
    </w:p>
    <w:p>
      <w:pPr>
        <w:jc w:val="both"/>
        <w:rPr>
          <w:rFonts w:ascii="Times New Roman" w:hAnsi="Times New Roman" w:cs="Times New Roman"/>
          <w:noProof/>
          <w:sz w:val="24"/>
          <w:szCs w:val="24"/>
        </w:rPr>
      </w:pPr>
      <w:r>
        <w:rPr>
          <w:rFonts w:ascii="Times New Roman" w:hAnsi="Times New Roman"/>
          <w:noProof/>
          <w:sz w:val="24"/>
        </w:rPr>
        <w:t>На 29 ноември 2017 г. Комисията прие всеобхватен пакет от мерки за допълнително подобряване на прилагането и защитата на ПИС в рамките на държавите — членки на ЕС, по границите на ЕС и на международно равнище. В Съобщение COM (2017) 707 от 29 ноември 2017 г., озаглавено „Балансирана система за осигуряване на прилагането на правата върху интелектуална собственост, отговаряща на днешните предизвикателства пред обществото“, което е част от пакета, се посочва, че Комисията ще предложи на националните митнически органи по-целенасочено съдействие въз основа на резултата от текущия план за действие на ЕС в областта на митниците и ще работи със Съвета за изготвяне на нов план за действие през 2018 г.</w:t>
      </w:r>
    </w:p>
    <w:p>
      <w:pPr>
        <w:jc w:val="both"/>
        <w:rPr>
          <w:rFonts w:ascii="Times New Roman" w:hAnsi="Times New Roman" w:cs="Times New Roman"/>
          <w:noProof/>
          <w:sz w:val="24"/>
          <w:szCs w:val="24"/>
        </w:rPr>
      </w:pPr>
      <w:r>
        <w:rPr>
          <w:rFonts w:ascii="Times New Roman" w:hAnsi="Times New Roman"/>
          <w:noProof/>
          <w:sz w:val="24"/>
        </w:rPr>
        <w:t>Препоръчва се в бъдещия план за действие да залегнат следните аспекти:</w:t>
      </w:r>
    </w:p>
    <w:p>
      <w:pPr>
        <w:jc w:val="both"/>
        <w:rPr>
          <w:rFonts w:ascii="Times New Roman" w:hAnsi="Times New Roman" w:cs="Times New Roman"/>
          <w:noProof/>
          <w:sz w:val="24"/>
          <w:szCs w:val="24"/>
        </w:rPr>
      </w:pPr>
      <w:r>
        <w:rPr>
          <w:rFonts w:ascii="Times New Roman" w:hAnsi="Times New Roman"/>
          <w:noProof/>
          <w:sz w:val="24"/>
          <w:u w:val="single"/>
        </w:rPr>
        <w:t>Относно законодателството</w:t>
      </w:r>
      <w:r>
        <w:rPr>
          <w:noProof/>
        </w:rPr>
        <w:t>:</w:t>
      </w:r>
    </w:p>
    <w:p>
      <w:pPr>
        <w:tabs>
          <w:tab w:val="left" w:pos="284"/>
        </w:tabs>
        <w:ind w:left="284" w:hanging="284"/>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Да се измени Регламент за изпълнение (ЕС) № 1352/2013 на Комисията от 4 декември 2013 г. за установяване на формулярите, предвидени в Регламент (ЕС) № 608/2013 на Европейския парламент и на Съвета относно защитата на правата върху интелектуалната собственост, осъществявана от митническите органи (ОВ L 341, 18.12.2013 г., стр. 10), така че да се адаптира към Пакета относно търговските марки и към развитията в COPIS</w:t>
      </w:r>
    </w:p>
    <w:p>
      <w:pPr>
        <w:jc w:val="both"/>
        <w:rPr>
          <w:rFonts w:ascii="Times New Roman" w:hAnsi="Times New Roman" w:cs="Times New Roman"/>
          <w:noProof/>
          <w:sz w:val="24"/>
          <w:szCs w:val="24"/>
          <w:u w:val="single"/>
        </w:rPr>
      </w:pPr>
      <w:r>
        <w:rPr>
          <w:rFonts w:ascii="Times New Roman" w:hAnsi="Times New Roman"/>
          <w:noProof/>
          <w:sz w:val="24"/>
          <w:u w:val="single"/>
        </w:rPr>
        <w:t>Относно оперативното изпълнение:</w:t>
      </w:r>
    </w:p>
    <w:p>
      <w:pPr>
        <w:tabs>
          <w:tab w:val="left" w:pos="284"/>
        </w:tabs>
        <w:jc w:val="both"/>
        <w:rPr>
          <w:rFonts w:ascii="Times New Roman" w:hAnsi="Times New Roman" w:cs="Times New Roman"/>
          <w:noProof/>
          <w:sz w:val="24"/>
          <w:szCs w:val="24"/>
        </w:rPr>
      </w:pPr>
      <w:r>
        <w:rPr>
          <w:rFonts w:ascii="Times New Roman" w:hAnsi="Times New Roman"/>
          <w:noProof/>
          <w:sz w:val="24"/>
        </w:rPr>
        <w:t>● Да се разработи управление на риска в областта на нарушенията на ПИС</w:t>
      </w:r>
    </w:p>
    <w:p>
      <w:pPr>
        <w:tabs>
          <w:tab w:val="left" w:pos="0"/>
        </w:tabs>
        <w:jc w:val="both"/>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Да се насърчи съвместното използване от държавите членки на анализа на риска, разузнавателните сведения относно риска и митническите операции</w:t>
      </w:r>
    </w:p>
    <w:p>
      <w:pPr>
        <w:tabs>
          <w:tab w:val="left" w:pos="0"/>
        </w:tabs>
        <w:jc w:val="both"/>
        <w:rPr>
          <w:rFonts w:ascii="Times New Roman" w:hAnsi="Times New Roman" w:cs="Times New Roman"/>
          <w:noProof/>
          <w:sz w:val="24"/>
          <w:szCs w:val="24"/>
        </w:rPr>
      </w:pPr>
      <w:r>
        <w:rPr>
          <w:rFonts w:ascii="Times New Roman" w:hAnsi="Times New Roman"/>
          <w:noProof/>
          <w:sz w:val="24"/>
        </w:rPr>
        <w:t>● Да се гарантира адекватна защита на наборите от данни и базите данни, правата на трети страни, неприкосновеността и поверителността и да се прилагат защитни мерки при създаване, набавяне и разпространение на данни</w:t>
      </w:r>
    </w:p>
    <w:p>
      <w:pPr>
        <w:jc w:val="both"/>
        <w:rPr>
          <w:rFonts w:ascii="Times New Roman" w:hAnsi="Times New Roman" w:cs="Times New Roman"/>
          <w:noProof/>
          <w:sz w:val="24"/>
          <w:szCs w:val="24"/>
        </w:rPr>
      </w:pPr>
      <w:r>
        <w:rPr>
          <w:rFonts w:ascii="Times New Roman" w:hAnsi="Times New Roman"/>
          <w:noProof/>
          <w:sz w:val="24"/>
        </w:rPr>
        <w:t>●</w:t>
      </w:r>
      <w:r>
        <w:rPr>
          <w:noProof/>
        </w:rPr>
        <w:t xml:space="preserve"> </w:t>
      </w:r>
      <w:r>
        <w:rPr>
          <w:rFonts w:ascii="Times New Roman" w:hAnsi="Times New Roman"/>
          <w:noProof/>
          <w:sz w:val="24"/>
        </w:rPr>
        <w:t>Да се установят възможните пропуски в прилагането на правилата относно защитата на ПИС, осъществявана от митническите органи,</w:t>
      </w:r>
    </w:p>
    <w:p>
      <w:pPr>
        <w:jc w:val="both"/>
        <w:rPr>
          <w:rFonts w:ascii="Times New Roman" w:hAnsi="Times New Roman" w:cs="Times New Roman"/>
          <w:noProof/>
          <w:sz w:val="24"/>
          <w:szCs w:val="24"/>
          <w:u w:val="single"/>
        </w:rPr>
      </w:pPr>
      <w:r>
        <w:rPr>
          <w:rFonts w:ascii="Times New Roman" w:hAnsi="Times New Roman"/>
          <w:noProof/>
          <w:sz w:val="24"/>
          <w:u w:val="single"/>
        </w:rPr>
        <w:t>Относно сътрудничеството в стопанската сфера:</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Да се повиши осведомеността на носителите на права относно процедурата за малки пратки</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Да продължи да се провежда ежегодно срещата на общата група на митниците/заинтересованите страни</w:t>
      </w:r>
    </w:p>
    <w:p>
      <w:pPr>
        <w:jc w:val="both"/>
        <w:rPr>
          <w:rFonts w:ascii="Times New Roman" w:hAnsi="Times New Roman" w:cs="Times New Roman"/>
          <w:noProof/>
          <w:sz w:val="24"/>
          <w:szCs w:val="24"/>
          <w:u w:val="single"/>
        </w:rPr>
      </w:pPr>
      <w:r>
        <w:rPr>
          <w:rFonts w:ascii="Times New Roman" w:hAnsi="Times New Roman"/>
          <w:noProof/>
          <w:sz w:val="24"/>
          <w:u w:val="single"/>
        </w:rPr>
        <w:t>Относно международното сътрудничество:</w:t>
      </w:r>
    </w:p>
    <w:p>
      <w:pPr>
        <w:tabs>
          <w:tab w:val="left" w:pos="284"/>
        </w:tabs>
        <w:jc w:val="both"/>
        <w:rPr>
          <w:rFonts w:ascii="Times New Roman" w:hAnsi="Times New Roman" w:cs="Times New Roman"/>
          <w:noProof/>
          <w:sz w:val="24"/>
          <w:szCs w:val="24"/>
        </w:rPr>
      </w:pPr>
      <w:r>
        <w:rPr>
          <w:rFonts w:ascii="Times New Roman" w:hAnsi="Times New Roman"/>
          <w:noProof/>
          <w:sz w:val="24"/>
        </w:rPr>
        <w:t xml:space="preserve">● </w:t>
      </w:r>
      <w:r>
        <w:rPr>
          <w:noProof/>
        </w:rPr>
        <w:tab/>
      </w:r>
      <w:r>
        <w:rPr>
          <w:rFonts w:ascii="Times New Roman" w:hAnsi="Times New Roman"/>
          <w:noProof/>
          <w:sz w:val="24"/>
        </w:rPr>
        <w:t>Да продължи сътрудничеството с ключови партньори, като например Китай и Хонконг, Китай</w:t>
      </w:r>
    </w:p>
    <w:p>
      <w:pPr>
        <w:jc w:val="both"/>
        <w:rPr>
          <w:rFonts w:ascii="Times New Roman" w:hAnsi="Times New Roman" w:cs="Times New Roman"/>
          <w:noProof/>
          <w:sz w:val="24"/>
          <w:szCs w:val="24"/>
          <w:u w:val="single"/>
        </w:rPr>
      </w:pPr>
      <w:r>
        <w:rPr>
          <w:rFonts w:ascii="Times New Roman" w:hAnsi="Times New Roman"/>
          <w:noProof/>
          <w:sz w:val="24"/>
          <w:u w:val="single"/>
        </w:rPr>
        <w:t>Да се укрепи координацията с агенциите на ЕС:</w:t>
      </w:r>
    </w:p>
    <w:p>
      <w:pPr>
        <w:tabs>
          <w:tab w:val="left" w:pos="284"/>
        </w:tabs>
        <w:jc w:val="both"/>
        <w:rPr>
          <w:rFonts w:ascii="Times New Roman" w:hAnsi="Times New Roman" w:cs="Times New Roman"/>
          <w:noProof/>
          <w:sz w:val="24"/>
          <w:szCs w:val="24"/>
        </w:rPr>
      </w:pPr>
      <w:r>
        <w:rPr>
          <w:rFonts w:ascii="Times New Roman" w:hAnsi="Times New Roman"/>
          <w:noProof/>
          <w:sz w:val="24"/>
        </w:rPr>
        <w:t>● EUIPO — обсерватория на ЕС</w:t>
      </w:r>
    </w:p>
    <w:p>
      <w:pPr>
        <w:tabs>
          <w:tab w:val="left" w:pos="284"/>
        </w:tabs>
        <w:jc w:val="both"/>
        <w:rPr>
          <w:rFonts w:ascii="Times New Roman" w:hAnsi="Times New Roman" w:cs="Times New Roman"/>
          <w:noProof/>
          <w:sz w:val="24"/>
          <w:szCs w:val="24"/>
        </w:rPr>
      </w:pPr>
      <w:r>
        <w:rPr>
          <w:noProof/>
        </w:rPr>
        <w:tab/>
      </w:r>
      <w:r>
        <w:rPr>
          <w:rFonts w:ascii="Times New Roman" w:hAnsi="Times New Roman"/>
          <w:noProof/>
          <w:sz w:val="24"/>
        </w:rPr>
        <w:t xml:space="preserve">— Допълнително да се задълбочи анализът на тенденциите </w:t>
      </w:r>
    </w:p>
    <w:p>
      <w:pPr>
        <w:tabs>
          <w:tab w:val="left" w:pos="284"/>
        </w:tabs>
        <w:jc w:val="both"/>
        <w:rPr>
          <w:rFonts w:ascii="Times New Roman" w:hAnsi="Times New Roman" w:cs="Times New Roman"/>
          <w:noProof/>
          <w:sz w:val="24"/>
          <w:szCs w:val="24"/>
        </w:rPr>
      </w:pPr>
      <w:r>
        <w:rPr>
          <w:noProof/>
        </w:rPr>
        <w:tab/>
      </w:r>
      <w:r>
        <w:rPr>
          <w:rFonts w:ascii="Times New Roman" w:hAnsi="Times New Roman"/>
          <w:noProof/>
          <w:sz w:val="24"/>
        </w:rPr>
        <w:t>— Да се хармонизират ИТ разработките, като например електронно попълване на ЗН</w:t>
      </w:r>
    </w:p>
    <w:p>
      <w:pPr>
        <w:tabs>
          <w:tab w:val="left" w:pos="284"/>
        </w:tabs>
        <w:jc w:val="both"/>
        <w:rPr>
          <w:rFonts w:ascii="Times New Roman" w:hAnsi="Times New Roman" w:cs="Times New Roman"/>
          <w:noProof/>
          <w:sz w:val="24"/>
          <w:szCs w:val="24"/>
        </w:rPr>
      </w:pPr>
      <w:r>
        <w:rPr>
          <w:rFonts w:ascii="Times New Roman" w:hAnsi="Times New Roman"/>
          <w:noProof/>
          <w:sz w:val="24"/>
        </w:rPr>
        <w:t>● Европол</w:t>
      </w:r>
    </w:p>
    <w:p>
      <w:pPr>
        <w:tabs>
          <w:tab w:val="left" w:pos="284"/>
        </w:tabs>
        <w:jc w:val="both"/>
        <w:rPr>
          <w:rFonts w:ascii="Times New Roman" w:hAnsi="Times New Roman" w:cs="Times New Roman"/>
          <w:noProof/>
          <w:sz w:val="24"/>
          <w:szCs w:val="24"/>
        </w:rPr>
      </w:pPr>
      <w:r>
        <w:rPr>
          <w:noProof/>
        </w:rPr>
        <w:tab/>
      </w:r>
      <w:r>
        <w:rPr>
          <w:rFonts w:ascii="Times New Roman" w:hAnsi="Times New Roman"/>
          <w:noProof/>
          <w:sz w:val="24"/>
        </w:rPr>
        <w:t>— Да се укрепи митническото сътрудничество с полицията.</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76844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Резолюция 2009/C 71/01 на Съвета от 16 март 2009 г. относно плана за действие на ЕС в областта на митниците за борба с нарушенията на правата върху интелектуална собственост за 2009—2012 г. </w:t>
      </w:r>
    </w:p>
  </w:footnote>
  <w:footnote w:id="2">
    <w:p>
      <w:pPr>
        <w:pStyle w:val="FootnoteText"/>
      </w:pPr>
      <w:r>
        <w:rPr>
          <w:rStyle w:val="FootnoteReference"/>
        </w:rPr>
        <w:footnoteRef/>
      </w:r>
      <w:r>
        <w:t xml:space="preserve"> Резолюция 2013/C 80/01 на Съвета от 10 декември 2012 г. относно плана за действие на ЕС в областта на митниците за борба с нарушенията на правата върху интелектуална собственост за 2013—2017 г.</w:t>
      </w:r>
    </w:p>
  </w:footnote>
  <w:footnote w:id="3">
    <w:p>
      <w:pPr>
        <w:pStyle w:val="FootnoteText"/>
      </w:pPr>
      <w:r>
        <w:rPr>
          <w:rStyle w:val="FootnoteReference"/>
        </w:rPr>
        <w:footnoteRef/>
      </w:r>
      <w:r>
        <w:t xml:space="preserve"> Регламент (ЕС) № 608/2013 на Европейския парламент и на Съвета от 12 юни 2013 г. относно защитата на правата върху интелектуалната собственост, осъществявана от митническите органи, и за отмяна на Регламент (ЕО) № 1383/2003 на Съвета (ОВ L 181, 29.6.2013 г., стр. 15).</w:t>
      </w:r>
    </w:p>
  </w:footnote>
  <w:footnote w:id="4">
    <w:p>
      <w:pPr>
        <w:pStyle w:val="FootnoteText"/>
      </w:pPr>
      <w:r>
        <w:rPr>
          <w:rStyle w:val="FootnoteReference"/>
        </w:rPr>
        <w:footnoteRef/>
      </w:r>
      <w:r>
        <w:t xml:space="preserve"> Регламент за изпълнение(ЕС) № 1352/2013 на Комисията от 4 декември 2013 г. за установяване на формулярите, предвидени в Регламент (ЕС) № 608/2016 на Европейския парламент и на Съвета относно защитата на правата върху интелектуалната собственост, осъществявана от митническите органи (ОВ L 341, 18.12.2013 г., стр. 10).</w:t>
      </w:r>
    </w:p>
  </w:footnote>
  <w:footnote w:id="5">
    <w:p>
      <w:pPr>
        <w:pStyle w:val="FootnoteText"/>
      </w:pPr>
      <w:r>
        <w:rPr>
          <w:rStyle w:val="FootnoteReference"/>
        </w:rPr>
        <w:footnoteRef/>
      </w:r>
      <w:r>
        <w:t xml:space="preserve"> База данни за защита на ПИС (EDB): база данни, разработена от Европейската обсерватория за нарушенията на ПИС, с цел да подпомогне правоприлагащите органи да разпознават фалшифицираните стоки, като даде възможност на носителите на права да осъществяват защитен обмен на информация относно продукти и логистика с тези органи.</w:t>
      </w:r>
    </w:p>
  </w:footnote>
  <w:footnote w:id="6">
    <w:p>
      <w:pPr>
        <w:pStyle w:val="FootnoteText"/>
      </w:pPr>
      <w:r>
        <w:rPr>
          <w:rStyle w:val="FootnoteReference"/>
        </w:rPr>
        <w:footnoteRef/>
      </w:r>
      <w:r>
        <w:t xml:space="preserve"> Търговията с фалшифицирани и пиратски стоки: обзорен преглед на икономическото въздействие, ОИСР/EUIPO (2016 г.).</w:t>
      </w:r>
    </w:p>
    <w:p>
      <w:pPr>
        <w:pStyle w:val="FootnoteText"/>
      </w:pPr>
      <w:hyperlink r:id="rId1">
        <w:r>
          <w:rPr>
            <w:rStyle w:val="Hyperlink"/>
          </w:rPr>
          <w:t>https://euipo.europa.eu/tunnelweb/secure/webdav/guest/document_library/observatory/documents/Mapping_the_Economic_Impact_study/Mapping_the_Economic_Impact_en.pdf</w:t>
        </w:r>
      </w:hyperlink>
    </w:p>
    <w:p>
      <w:pPr>
        <w:pStyle w:val="FootnoteText"/>
      </w:pPr>
    </w:p>
  </w:footnote>
  <w:footnote w:id="7">
    <w:p>
      <w:pPr>
        <w:pStyle w:val="FootnoteText"/>
      </w:pPr>
      <w:r>
        <w:rPr>
          <w:rStyle w:val="FootnoteReference"/>
        </w:rPr>
        <w:footnoteRef/>
      </w:r>
      <w:r>
        <w:t xml:space="preserve"> Търговията с фалшифицирани и пиратски стоки: обзорен преглед на икономическото въздействие, ОИСР/EUIPO (2016 г.).</w:t>
      </w:r>
    </w:p>
    <w:p>
      <w:pPr>
        <w:pStyle w:val="FootnoteText"/>
      </w:pPr>
      <w:hyperlink r:id="rId2">
        <w:r>
          <w:rPr>
            <w:rStyle w:val="Hyperlink"/>
          </w:rPr>
          <w:t>https://euipo.europa.eu/tunnel-web/secure/webdav/guest/document_library/observatory/documents/Mapping_the_Economic_Impact_study/Mapping_the_Economic_Impact_en.pdf</w:t>
        </w:r>
      </w:hyperlink>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047B87A-DAB3-44F3-8DE0-95B71BBA9721"/>
    <w:docVar w:name="LW_COVERPAGE_TYPE" w:val="1"/>
    <w:docVar w:name="LW_CROSSREFERENCE" w:val="&lt;UNUSED&gt;"/>
    <w:docVar w:name="LW_DocType" w:val="NORMAL"/>
    <w:docVar w:name="LW_EMISSION" w:val="22.2.2018"/>
    <w:docVar w:name="LW_EMISSION_ISODATE" w:val="2018-02-22"/>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4?\u1086?\u1082?\u1083?\u1072?\u1076? \u1086?\u1090?\u1085?\u1086?\u1089?\u1085?\u1086? \u1080?\u1079?\u1087?\u1098?\u1083?\u1085?\u1077?\u1085?\u1080?\u1077?\u1090?\u1086? \u1085?\u1072? \u1087?\u1083?\u1072?\u1085?\u1072? \u1079?\u1072? \u1076?\u1077?\u1081?\u1089?\u1090?\u1074?\u1080?\u1077? \u1085?\u1072? \u1045?\u1057? \u1074? \u1086?\u1073?\u1083?\u1072?\u1089?\u1090?\u1090?\u1072? \u1085?\u1072? \u1084?\u1080?\u1090?\u1085?\u1080?\u1094?\u1080?\u1090?\u1077? \u1079?\u1072? \u1073?\u1086?\u1088?\u1073?\u1072? \u1089? \u1085?\u1072?\u1088?\u1091?\u1096?\u1077?\u1085?\u1080?\u1103?\u1090?\u1072? \u1085?\u1072? \u1087?\u1088?\u1072?\u1074?\u1072?\u1090?\u1072? \u1074?\u1098?\u1088?\u1093?\u1091? \u1080?\u1085?\u1090?\u1077?\u1083?\u1077?\u1082?\u1090?\u1091?\u1072?\u1083?\u1085?\u1072?&lt;/FMT&gt;_x000b_&lt;FMT:Bold&gt;\u1089?\u1086?\u1073?\u1089?\u1090?\u1074?\u1077?\u1085?\u1086?\u1089?\u1090? \u1079?\u1072? 2013\u8212?2017 \u1075?.&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pPr>
      <w:keepNext/>
      <w:keepLines/>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spacing w:before="200" w:after="12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TOCHeading">
    <w:name w:val="TOC Heading"/>
    <w:basedOn w:val="Heading1"/>
    <w:next w:val="Normal"/>
    <w:uiPriority w:val="39"/>
    <w:unhideWhenUsed/>
    <w:qFormat/>
    <w:pPr>
      <w:spacing w:after="0"/>
      <w:outlineLvl w:val="9"/>
    </w:pPr>
    <w:rPr>
      <w:color w:val="365F91" w:themeColor="accent1" w:themeShade="BF"/>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pPr>
      <w:keepNext/>
      <w:keepLines/>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spacing w:before="200" w:after="12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TOCHeading">
    <w:name w:val="TOC Heading"/>
    <w:basedOn w:val="Heading1"/>
    <w:next w:val="Normal"/>
    <w:uiPriority w:val="39"/>
    <w:unhideWhenUsed/>
    <w:qFormat/>
    <w:pPr>
      <w:spacing w:after="0"/>
      <w:outlineLvl w:val="9"/>
    </w:pPr>
    <w:rPr>
      <w:color w:val="365F91" w:themeColor="accent1" w:themeShade="BF"/>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ipo.europa.eu/tunnel-web/secure/webdav/guest/document_library/observatory/documents/Mapping_the_Economic_Impact_study/Mapping_the_Economic_Impact_en.pdf" TargetMode="External"/><Relationship Id="rId1" Type="http://schemas.openxmlformats.org/officeDocument/2006/relationships/hyperlink" Target="https://euipo.europa.eu/tunnelweb/secure/webdav/guest/document_library/observatory/documents/Mapping_the_Economic_Impact_study/Mapping_the_Economic_Impac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3578-5295-4843-A17B-DF54A4ED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6039</Words>
  <Characters>35332</Characters>
  <Application>Microsoft Office Word</Application>
  <DocSecurity>0</DocSecurity>
  <Lines>654</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2017-12-21T10:08:00Z</cp:lastPrinted>
  <dcterms:created xsi:type="dcterms:W3CDTF">2017-12-20T10:58:00Z</dcterms:created>
  <dcterms:modified xsi:type="dcterms:W3CDTF">2018-02-22T08:35:00Z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