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3A46BDC-3E19-49CF-B63E-95C0EF1D7570" style="width:450.75pt;height:393.7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autoSpaceDE w:val="0"/>
        <w:autoSpaceDN w:val="0"/>
        <w:adjustRightInd w:val="0"/>
        <w:spacing w:after="240" w:line="240" w:lineRule="auto"/>
        <w:jc w:val="both"/>
        <w:rPr>
          <w:rFonts w:ascii="Times New Roman" w:eastAsia="Calibri" w:hAnsi="Times New Roman" w:cs="Times New Roman"/>
          <w:noProof/>
          <w:sz w:val="24"/>
          <w:szCs w:val="24"/>
        </w:rPr>
      </w:pPr>
      <w:bookmarkStart w:id="1" w:name="_GoBack"/>
      <w:bookmarkEnd w:id="1"/>
      <w:r>
        <w:rPr>
          <w:rFonts w:ascii="Times New Roman" w:hAnsi="Times New Roman"/>
          <w:noProof/>
          <w:sz w:val="24"/>
        </w:rPr>
        <w:lastRenderedPageBreak/>
        <w:t xml:space="preserve">Annexe – recettes annuelles de la CECA en liquidation transférées au FRCA </w:t>
      </w:r>
    </w:p>
    <w:p>
      <w:pPr>
        <w:autoSpaceDE w:val="0"/>
        <w:autoSpaceDN w:val="0"/>
        <w:adjustRightInd w:val="0"/>
        <w:spacing w:after="240" w:line="240" w:lineRule="auto"/>
        <w:jc w:val="both"/>
        <w:rPr>
          <w:rFonts w:ascii="Times New Roman" w:eastAsia="Calibri" w:hAnsi="Times New Roman" w:cs="Times New Roman"/>
          <w:noProof/>
          <w:sz w:val="24"/>
          <w:szCs w:val="24"/>
        </w:rPr>
      </w:pPr>
    </w:p>
    <w:tbl>
      <w:tblPr>
        <w:tblStyle w:val="MediumShading1-Accent5"/>
        <w:tblW w:w="0" w:type="auto"/>
        <w:tblLook w:val="04A0" w:firstRow="1" w:lastRow="0" w:firstColumn="1" w:lastColumn="0" w:noHBand="0" w:noVBand="1"/>
      </w:tblPr>
      <w:tblGrid>
        <w:gridCol w:w="4068"/>
        <w:gridCol w:w="4440"/>
      </w:tblGrid>
      <w:tr>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sz w:val="24"/>
                <w:szCs w:val="20"/>
              </w:rPr>
            </w:pPr>
            <w:r>
              <w:rPr>
                <w:rFonts w:ascii="Times New Roman" w:hAnsi="Times New Roman"/>
                <w:noProof/>
                <w:sz w:val="24"/>
              </w:rPr>
              <w:t>Année</w:t>
            </w:r>
          </w:p>
        </w:tc>
        <w:tc>
          <w:tcPr>
            <w:tcW w:w="4440" w:type="dxa"/>
            <w:tcBorders>
              <w:left w:val="single" w:sz="4" w:space="0" w:color="FFFFFF" w:themeColor="background1"/>
            </w:tcBorders>
          </w:tcPr>
          <w:p>
            <w:pPr>
              <w:spacing w:after="24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0"/>
              </w:rPr>
            </w:pPr>
            <w:r>
              <w:rPr>
                <w:rFonts w:ascii="Times New Roman" w:hAnsi="Times New Roman"/>
                <w:noProof/>
                <w:sz w:val="24"/>
              </w:rPr>
              <w:t>Budget FRCA — décisions de financement</w:t>
            </w:r>
          </w:p>
        </w:tc>
      </w:tr>
      <w:tr>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color w:val="1F497D" w:themeColor="text2"/>
                <w:sz w:val="24"/>
                <w:szCs w:val="20"/>
              </w:rPr>
            </w:pPr>
            <w:r>
              <w:rPr>
                <w:rFonts w:ascii="Times New Roman" w:hAnsi="Times New Roman"/>
                <w:noProof/>
                <w:color w:val="1F497D" w:themeColor="text2"/>
                <w:sz w:val="24"/>
              </w:rPr>
              <w:t>2011</w:t>
            </w:r>
          </w:p>
        </w:tc>
        <w:tc>
          <w:tcPr>
            <w:tcW w:w="4440" w:type="dxa"/>
            <w:tcBorders>
              <w:left w:val="single" w:sz="4" w:space="0" w:color="FFFFFF" w:themeColor="background1"/>
            </w:tcBorders>
          </w:tcPr>
          <w:p>
            <w:pPr>
              <w:spacing w:after="240"/>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noProof/>
                <w:color w:val="1F497D" w:themeColor="text2"/>
              </w:rPr>
            </w:pPr>
            <w:r>
              <w:rPr>
                <w:b/>
                <w:i/>
                <w:noProof/>
                <w:color w:val="1F497D" w:themeColor="text2"/>
                <w:w w:val="120"/>
              </w:rPr>
              <w:t>60 929 750 EUR</w:t>
            </w:r>
          </w:p>
        </w:tc>
      </w:tr>
      <w:tr>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color w:val="1F497D" w:themeColor="text2"/>
                <w:sz w:val="24"/>
                <w:szCs w:val="20"/>
              </w:rPr>
            </w:pPr>
            <w:r>
              <w:rPr>
                <w:rFonts w:ascii="Times New Roman" w:hAnsi="Times New Roman"/>
                <w:noProof/>
                <w:color w:val="1F497D" w:themeColor="text2"/>
                <w:sz w:val="24"/>
              </w:rPr>
              <w:t>2012</w:t>
            </w:r>
          </w:p>
        </w:tc>
        <w:tc>
          <w:tcPr>
            <w:tcW w:w="4440" w:type="dxa"/>
            <w:tcBorders>
              <w:left w:val="single" w:sz="4" w:space="0" w:color="FFFFFF" w:themeColor="background1"/>
            </w:tcBorders>
          </w:tcPr>
          <w:p>
            <w:pPr>
              <w:spacing w:after="240"/>
              <w:jc w:val="both"/>
              <w:cnfStyle w:val="000000010000" w:firstRow="0" w:lastRow="0" w:firstColumn="0" w:lastColumn="0" w:oddVBand="0" w:evenVBand="0" w:oddHBand="0" w:evenHBand="1" w:firstRowFirstColumn="0" w:firstRowLastColumn="0" w:lastRowFirstColumn="0" w:lastRowLastColumn="0"/>
              <w:rPr>
                <w:rFonts w:eastAsia="Times New Roman" w:cs="Times New Roman"/>
                <w:b/>
                <w:noProof/>
                <w:color w:val="1F497D" w:themeColor="text2"/>
              </w:rPr>
            </w:pPr>
            <w:r>
              <w:rPr>
                <w:b/>
                <w:i/>
                <w:noProof/>
                <w:color w:val="1F497D" w:themeColor="text2"/>
                <w:w w:val="120"/>
              </w:rPr>
              <w:t>58</w:t>
            </w:r>
            <w:r>
              <w:rPr>
                <w:i/>
                <w:noProof/>
                <w:color w:val="1F497D" w:themeColor="text2"/>
              </w:rPr>
              <w:t xml:space="preserve"> </w:t>
            </w:r>
            <w:r>
              <w:rPr>
                <w:b/>
                <w:i/>
                <w:noProof/>
                <w:color w:val="1F497D" w:themeColor="text2"/>
                <w:w w:val="120"/>
              </w:rPr>
              <w:t>464 875</w:t>
            </w:r>
            <w:r>
              <w:rPr>
                <w:i/>
                <w:noProof/>
                <w:color w:val="1F497D" w:themeColor="text2"/>
              </w:rPr>
              <w:t xml:space="preserve"> </w:t>
            </w:r>
            <w:r>
              <w:rPr>
                <w:b/>
                <w:i/>
                <w:noProof/>
                <w:color w:val="1F497D" w:themeColor="text2"/>
              </w:rPr>
              <w:t>EUR</w:t>
            </w:r>
          </w:p>
        </w:tc>
      </w:tr>
      <w:tr>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color w:val="1F497D" w:themeColor="text2"/>
                <w:sz w:val="24"/>
                <w:szCs w:val="20"/>
              </w:rPr>
            </w:pPr>
            <w:r>
              <w:rPr>
                <w:rFonts w:ascii="Times New Roman" w:hAnsi="Times New Roman"/>
                <w:noProof/>
                <w:color w:val="1F497D" w:themeColor="text2"/>
                <w:sz w:val="24"/>
              </w:rPr>
              <w:t>2013</w:t>
            </w:r>
          </w:p>
        </w:tc>
        <w:tc>
          <w:tcPr>
            <w:tcW w:w="4440" w:type="dxa"/>
            <w:tcBorders>
              <w:left w:val="single" w:sz="4" w:space="0" w:color="FFFFFF" w:themeColor="background1"/>
            </w:tcBorders>
          </w:tcPr>
          <w:p>
            <w:pPr>
              <w:spacing w:after="240"/>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noProof/>
                <w:color w:val="1F497D" w:themeColor="text2"/>
              </w:rPr>
            </w:pPr>
            <w:r>
              <w:rPr>
                <w:b/>
                <w:i/>
                <w:noProof/>
                <w:color w:val="1F497D" w:themeColor="text2"/>
                <w:w w:val="120"/>
              </w:rPr>
              <w:t>51</w:t>
            </w:r>
            <w:r>
              <w:rPr>
                <w:i/>
                <w:noProof/>
                <w:color w:val="1F497D" w:themeColor="text2"/>
              </w:rPr>
              <w:t xml:space="preserve"> </w:t>
            </w:r>
            <w:r>
              <w:rPr>
                <w:b/>
                <w:i/>
                <w:noProof/>
                <w:color w:val="1F497D" w:themeColor="text2"/>
                <w:w w:val="120"/>
              </w:rPr>
              <w:t>732 500</w:t>
            </w:r>
            <w:r>
              <w:rPr>
                <w:i/>
                <w:noProof/>
                <w:color w:val="1F497D" w:themeColor="text2"/>
              </w:rPr>
              <w:t xml:space="preserve"> </w:t>
            </w:r>
            <w:r>
              <w:rPr>
                <w:b/>
                <w:i/>
                <w:noProof/>
                <w:color w:val="1F497D" w:themeColor="text2"/>
              </w:rPr>
              <w:t>EUR</w:t>
            </w:r>
          </w:p>
        </w:tc>
      </w:tr>
      <w:tr>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color w:val="1F497D" w:themeColor="text2"/>
                <w:sz w:val="24"/>
                <w:szCs w:val="20"/>
              </w:rPr>
            </w:pPr>
            <w:r>
              <w:rPr>
                <w:rFonts w:ascii="Times New Roman" w:hAnsi="Times New Roman"/>
                <w:noProof/>
                <w:color w:val="1F497D" w:themeColor="text2"/>
                <w:sz w:val="24"/>
              </w:rPr>
              <w:t>2014</w:t>
            </w:r>
          </w:p>
        </w:tc>
        <w:tc>
          <w:tcPr>
            <w:tcW w:w="4440" w:type="dxa"/>
            <w:tcBorders>
              <w:left w:val="single" w:sz="4" w:space="0" w:color="FFFFFF" w:themeColor="background1"/>
            </w:tcBorders>
          </w:tcPr>
          <w:p>
            <w:pPr>
              <w:spacing w:after="240"/>
              <w:jc w:val="both"/>
              <w:cnfStyle w:val="000000010000" w:firstRow="0" w:lastRow="0" w:firstColumn="0" w:lastColumn="0" w:oddVBand="0" w:evenVBand="0" w:oddHBand="0" w:evenHBand="1" w:firstRowFirstColumn="0" w:firstRowLastColumn="0" w:lastRowFirstColumn="0" w:lastRowLastColumn="0"/>
              <w:rPr>
                <w:rFonts w:eastAsia="Times New Roman" w:cs="Times New Roman"/>
                <w:b/>
                <w:noProof/>
                <w:color w:val="1F497D" w:themeColor="text2"/>
              </w:rPr>
            </w:pPr>
            <w:r>
              <w:rPr>
                <w:b/>
                <w:i/>
                <w:noProof/>
                <w:color w:val="1F497D" w:themeColor="text2"/>
                <w:w w:val="120"/>
              </w:rPr>
              <w:t>48</w:t>
            </w:r>
            <w:r>
              <w:rPr>
                <w:i/>
                <w:noProof/>
                <w:color w:val="1F497D" w:themeColor="text2"/>
              </w:rPr>
              <w:t xml:space="preserve"> </w:t>
            </w:r>
            <w:r>
              <w:rPr>
                <w:b/>
                <w:i/>
                <w:noProof/>
                <w:color w:val="1F497D" w:themeColor="text2"/>
                <w:w w:val="120"/>
              </w:rPr>
              <w:t>366 250</w:t>
            </w:r>
            <w:r>
              <w:rPr>
                <w:i/>
                <w:noProof/>
                <w:color w:val="1F497D" w:themeColor="text2"/>
              </w:rPr>
              <w:t xml:space="preserve"> </w:t>
            </w:r>
            <w:r>
              <w:rPr>
                <w:b/>
                <w:i/>
                <w:noProof/>
                <w:color w:val="1F497D" w:themeColor="text2"/>
              </w:rPr>
              <w:t>EUR</w:t>
            </w:r>
          </w:p>
        </w:tc>
      </w:tr>
      <w:tr>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color w:val="1F497D" w:themeColor="text2"/>
                <w:sz w:val="24"/>
                <w:szCs w:val="20"/>
              </w:rPr>
            </w:pPr>
            <w:r>
              <w:rPr>
                <w:rFonts w:ascii="Times New Roman" w:hAnsi="Times New Roman"/>
                <w:noProof/>
                <w:color w:val="1F497D" w:themeColor="text2"/>
                <w:sz w:val="24"/>
              </w:rPr>
              <w:t>2015</w:t>
            </w:r>
          </w:p>
        </w:tc>
        <w:tc>
          <w:tcPr>
            <w:tcW w:w="4440" w:type="dxa"/>
            <w:tcBorders>
              <w:left w:val="single" w:sz="4" w:space="0" w:color="FFFFFF" w:themeColor="background1"/>
            </w:tcBorders>
          </w:tcPr>
          <w:p>
            <w:pPr>
              <w:spacing w:after="240"/>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noProof/>
                <w:color w:val="1F497D" w:themeColor="text2"/>
              </w:rPr>
            </w:pPr>
            <w:r>
              <w:rPr>
                <w:b/>
                <w:i/>
                <w:noProof/>
                <w:color w:val="1F497D" w:themeColor="text2"/>
                <w:w w:val="120"/>
              </w:rPr>
              <w:t>47</w:t>
            </w:r>
            <w:r>
              <w:rPr>
                <w:i/>
                <w:noProof/>
                <w:color w:val="1F497D" w:themeColor="text2"/>
              </w:rPr>
              <w:t xml:space="preserve"> </w:t>
            </w:r>
            <w:r>
              <w:rPr>
                <w:b/>
                <w:i/>
                <w:noProof/>
                <w:color w:val="1F497D" w:themeColor="text2"/>
                <w:w w:val="120"/>
              </w:rPr>
              <w:t>700 000</w:t>
            </w:r>
            <w:r>
              <w:rPr>
                <w:i/>
                <w:noProof/>
                <w:color w:val="1F497D" w:themeColor="text2"/>
              </w:rPr>
              <w:t xml:space="preserve"> </w:t>
            </w:r>
            <w:r>
              <w:rPr>
                <w:b/>
                <w:i/>
                <w:noProof/>
                <w:color w:val="1F497D" w:themeColor="text2"/>
              </w:rPr>
              <w:t>EUR</w:t>
            </w:r>
          </w:p>
        </w:tc>
      </w:tr>
      <w:tr>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color w:val="1F497D" w:themeColor="text2"/>
                <w:sz w:val="24"/>
                <w:szCs w:val="20"/>
              </w:rPr>
            </w:pPr>
            <w:r>
              <w:rPr>
                <w:rFonts w:ascii="Times New Roman" w:hAnsi="Times New Roman"/>
                <w:noProof/>
                <w:color w:val="1F497D" w:themeColor="text2"/>
                <w:sz w:val="24"/>
              </w:rPr>
              <w:t>2016</w:t>
            </w:r>
          </w:p>
        </w:tc>
        <w:tc>
          <w:tcPr>
            <w:tcW w:w="4440" w:type="dxa"/>
            <w:tcBorders>
              <w:left w:val="single" w:sz="4" w:space="0" w:color="FFFFFF" w:themeColor="background1"/>
            </w:tcBorders>
          </w:tcPr>
          <w:p>
            <w:pPr>
              <w:spacing w:after="240"/>
              <w:jc w:val="both"/>
              <w:cnfStyle w:val="000000010000" w:firstRow="0" w:lastRow="0" w:firstColumn="0" w:lastColumn="0" w:oddVBand="0" w:evenVBand="0" w:oddHBand="0" w:evenHBand="1" w:firstRowFirstColumn="0" w:firstRowLastColumn="0" w:lastRowFirstColumn="0" w:lastRowLastColumn="0"/>
              <w:rPr>
                <w:rFonts w:eastAsia="Times New Roman" w:cs="Times New Roman"/>
                <w:b/>
                <w:noProof/>
                <w:color w:val="1F497D" w:themeColor="text2"/>
              </w:rPr>
            </w:pPr>
            <w:r>
              <w:rPr>
                <w:b/>
                <w:i/>
                <w:noProof/>
                <w:color w:val="1F497D" w:themeColor="text2"/>
                <w:w w:val="120"/>
              </w:rPr>
              <w:t>43</w:t>
            </w:r>
            <w:r>
              <w:rPr>
                <w:i/>
                <w:noProof/>
                <w:color w:val="1F497D" w:themeColor="text2"/>
              </w:rPr>
              <w:t xml:space="preserve"> </w:t>
            </w:r>
            <w:r>
              <w:rPr>
                <w:b/>
                <w:i/>
                <w:noProof/>
                <w:color w:val="1F497D" w:themeColor="text2"/>
                <w:w w:val="120"/>
              </w:rPr>
              <w:t>100 000</w:t>
            </w:r>
            <w:r>
              <w:rPr>
                <w:i/>
                <w:noProof/>
                <w:color w:val="1F497D" w:themeColor="text2"/>
              </w:rPr>
              <w:t xml:space="preserve"> </w:t>
            </w:r>
            <w:r>
              <w:rPr>
                <w:b/>
                <w:i/>
                <w:noProof/>
                <w:color w:val="1F497D" w:themeColor="text2"/>
              </w:rPr>
              <w:t>EUR</w:t>
            </w:r>
          </w:p>
        </w:tc>
      </w:tr>
      <w:tr>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color w:val="1F497D" w:themeColor="text2"/>
                <w:sz w:val="24"/>
                <w:szCs w:val="20"/>
              </w:rPr>
            </w:pPr>
            <w:r>
              <w:rPr>
                <w:rFonts w:ascii="Times New Roman" w:hAnsi="Times New Roman"/>
                <w:noProof/>
                <w:color w:val="1F497D" w:themeColor="text2"/>
                <w:sz w:val="24"/>
              </w:rPr>
              <w:t>2017</w:t>
            </w:r>
          </w:p>
        </w:tc>
        <w:tc>
          <w:tcPr>
            <w:tcW w:w="4440" w:type="dxa"/>
            <w:tcBorders>
              <w:left w:val="single" w:sz="4" w:space="0" w:color="FFFFFF" w:themeColor="background1"/>
            </w:tcBorders>
          </w:tcPr>
          <w:p>
            <w:pPr>
              <w:spacing w:after="240"/>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noProof/>
                <w:color w:val="1F497D" w:themeColor="text2"/>
              </w:rPr>
            </w:pPr>
            <w:r>
              <w:rPr>
                <w:b/>
                <w:i/>
                <w:noProof/>
                <w:color w:val="1F497D" w:themeColor="text2"/>
                <w:w w:val="120"/>
              </w:rPr>
              <w:t>42</w:t>
            </w:r>
            <w:r>
              <w:rPr>
                <w:i/>
                <w:noProof/>
                <w:color w:val="1F497D" w:themeColor="text2"/>
              </w:rPr>
              <w:t xml:space="preserve"> </w:t>
            </w:r>
            <w:r>
              <w:rPr>
                <w:b/>
                <w:i/>
                <w:noProof/>
                <w:color w:val="1F497D" w:themeColor="text2"/>
                <w:w w:val="120"/>
              </w:rPr>
              <w:t>100 000</w:t>
            </w:r>
            <w:r>
              <w:rPr>
                <w:i/>
                <w:noProof/>
                <w:color w:val="1F497D" w:themeColor="text2"/>
              </w:rPr>
              <w:t xml:space="preserve"> </w:t>
            </w:r>
            <w:r>
              <w:rPr>
                <w:b/>
                <w:i/>
                <w:noProof/>
                <w:color w:val="1F497D" w:themeColor="text2"/>
              </w:rPr>
              <w:t>EUR</w:t>
            </w:r>
          </w:p>
        </w:tc>
      </w:tr>
      <w:tr>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color w:val="1F497D" w:themeColor="text2"/>
                <w:sz w:val="24"/>
                <w:szCs w:val="20"/>
              </w:rPr>
            </w:pPr>
            <w:r>
              <w:rPr>
                <w:rFonts w:ascii="Times New Roman" w:hAnsi="Times New Roman"/>
                <w:noProof/>
                <w:color w:val="1F497D" w:themeColor="text2"/>
                <w:sz w:val="24"/>
              </w:rPr>
              <w:t>2018 (appel actuel)</w:t>
            </w:r>
          </w:p>
        </w:tc>
        <w:tc>
          <w:tcPr>
            <w:tcW w:w="4440" w:type="dxa"/>
            <w:tcBorders>
              <w:left w:val="single" w:sz="4" w:space="0" w:color="FFFFFF" w:themeColor="background1"/>
            </w:tcBorders>
          </w:tcPr>
          <w:p>
            <w:pPr>
              <w:spacing w:after="240"/>
              <w:jc w:val="both"/>
              <w:cnfStyle w:val="000000010000" w:firstRow="0" w:lastRow="0" w:firstColumn="0" w:lastColumn="0" w:oddVBand="0" w:evenVBand="0" w:oddHBand="0" w:evenHBand="1" w:firstRowFirstColumn="0" w:firstRowLastColumn="0" w:lastRowFirstColumn="0" w:lastRowLastColumn="0"/>
              <w:rPr>
                <w:rFonts w:eastAsia="Times New Roman" w:cs="Times New Roman"/>
                <w:b/>
                <w:noProof/>
                <w:color w:val="1F497D" w:themeColor="text2"/>
              </w:rPr>
            </w:pPr>
            <w:r>
              <w:rPr>
                <w:b/>
                <w:i/>
                <w:noProof/>
                <w:color w:val="1F497D" w:themeColor="text2"/>
                <w:w w:val="120"/>
              </w:rPr>
              <w:t>27</w:t>
            </w:r>
            <w:r>
              <w:rPr>
                <w:i/>
                <w:noProof/>
                <w:color w:val="1F497D" w:themeColor="text2"/>
              </w:rPr>
              <w:t xml:space="preserve"> </w:t>
            </w:r>
            <w:r>
              <w:rPr>
                <w:b/>
                <w:i/>
                <w:noProof/>
                <w:color w:val="1F497D" w:themeColor="text2"/>
                <w:w w:val="120"/>
              </w:rPr>
              <w:t>400 000</w:t>
            </w:r>
            <w:r>
              <w:rPr>
                <w:i/>
                <w:noProof/>
                <w:color w:val="1F497D" w:themeColor="text2"/>
              </w:rPr>
              <w:t xml:space="preserve"> </w:t>
            </w:r>
            <w:r>
              <w:rPr>
                <w:b/>
                <w:i/>
                <w:noProof/>
                <w:color w:val="1F497D" w:themeColor="text2"/>
              </w:rPr>
              <w:t>EUR</w:t>
            </w:r>
          </w:p>
        </w:tc>
      </w:tr>
      <w:tr>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sz w:val="24"/>
                <w:szCs w:val="20"/>
              </w:rPr>
            </w:pPr>
          </w:p>
        </w:tc>
        <w:tc>
          <w:tcPr>
            <w:tcW w:w="4440" w:type="dxa"/>
            <w:tcBorders>
              <w:left w:val="single" w:sz="4" w:space="0" w:color="FFFFFF" w:themeColor="background1"/>
            </w:tcBorders>
          </w:tcPr>
          <w:p>
            <w:pPr>
              <w:spacing w:after="240"/>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noProof/>
                <w:color w:val="1F497D" w:themeColor="text2"/>
              </w:rPr>
            </w:pPr>
          </w:p>
        </w:tc>
      </w:tr>
      <w:tr>
        <w:trPr>
          <w:cnfStyle w:val="000000010000" w:firstRow="0" w:lastRow="0" w:firstColumn="0" w:lastColumn="0" w:oddVBand="0" w:evenVBand="0" w:oddHBand="0" w:evenHBand="1"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4068" w:type="dxa"/>
            <w:tcBorders>
              <w:right w:val="single" w:sz="4" w:space="0" w:color="FFFFFF" w:themeColor="background1"/>
            </w:tcBorders>
          </w:tcPr>
          <w:p>
            <w:pPr>
              <w:spacing w:after="240"/>
              <w:jc w:val="both"/>
              <w:rPr>
                <w:rFonts w:ascii="Times New Roman" w:eastAsia="Times New Roman" w:hAnsi="Times New Roman" w:cs="Times New Roman"/>
                <w:noProof/>
                <w:color w:val="FF0000"/>
                <w:sz w:val="24"/>
                <w:szCs w:val="20"/>
              </w:rPr>
            </w:pPr>
            <w:r>
              <w:rPr>
                <w:rFonts w:ascii="Times New Roman" w:hAnsi="Times New Roman"/>
                <w:noProof/>
                <w:color w:val="FF0000"/>
                <w:sz w:val="24"/>
              </w:rPr>
              <w:t>2019 (estimation de la DG ECFIN)</w:t>
            </w:r>
          </w:p>
        </w:tc>
        <w:tc>
          <w:tcPr>
            <w:tcW w:w="4440" w:type="dxa"/>
            <w:tcBorders>
              <w:left w:val="single" w:sz="4" w:space="0" w:color="FFFFFF" w:themeColor="background1"/>
            </w:tcBorders>
          </w:tcPr>
          <w:p>
            <w:pPr>
              <w:spacing w:after="240"/>
              <w:jc w:val="both"/>
              <w:cnfStyle w:val="000000010000" w:firstRow="0" w:lastRow="0" w:firstColumn="0" w:lastColumn="0" w:oddVBand="0" w:evenVBand="0" w:oddHBand="0" w:evenHBand="1" w:firstRowFirstColumn="0" w:firstRowLastColumn="0" w:lastRowFirstColumn="0" w:lastRowLastColumn="0"/>
              <w:rPr>
                <w:rFonts w:eastAsia="Times New Roman" w:cs="Times New Roman"/>
                <w:b/>
                <w:noProof/>
                <w:color w:val="FF0000"/>
              </w:rPr>
            </w:pPr>
            <w:r>
              <w:rPr>
                <w:b/>
                <w:i/>
                <w:noProof/>
                <w:color w:val="FF0000"/>
                <w:w w:val="120"/>
              </w:rPr>
              <w:t>22</w:t>
            </w:r>
            <w:r>
              <w:rPr>
                <w:i/>
                <w:noProof/>
                <w:color w:val="FF0000"/>
              </w:rPr>
              <w:t xml:space="preserve"> </w:t>
            </w:r>
            <w:r>
              <w:rPr>
                <w:b/>
                <w:i/>
                <w:noProof/>
                <w:color w:val="FF0000"/>
                <w:w w:val="120"/>
              </w:rPr>
              <w:t>000 000</w:t>
            </w:r>
            <w:r>
              <w:rPr>
                <w:i/>
                <w:noProof/>
                <w:color w:val="FF0000"/>
              </w:rPr>
              <w:t xml:space="preserve"> </w:t>
            </w:r>
            <w:r>
              <w:rPr>
                <w:b/>
                <w:i/>
                <w:noProof/>
                <w:color w:val="FF0000"/>
              </w:rPr>
              <w:t>EUR</w:t>
            </w:r>
          </w:p>
        </w:tc>
      </w:tr>
    </w:tbl>
    <w:p>
      <w:pPr>
        <w:autoSpaceDE w:val="0"/>
        <w:autoSpaceDN w:val="0"/>
        <w:adjustRightInd w:val="0"/>
        <w:spacing w:after="240" w:line="240" w:lineRule="auto"/>
        <w:jc w:val="center"/>
        <w:rPr>
          <w:rFonts w:ascii="Times New Roman" w:eastAsia="Calibri" w:hAnsi="Times New Roman" w:cs="Times New Roman"/>
          <w:noProof/>
          <w:sz w:val="24"/>
          <w:szCs w:val="24"/>
        </w:rPr>
      </w:pPr>
    </w:p>
    <w:p>
      <w:pPr>
        <w:autoSpaceDE w:val="0"/>
        <w:autoSpaceDN w:val="0"/>
        <w:adjustRightInd w:val="0"/>
        <w:spacing w:after="240" w:line="240" w:lineRule="auto"/>
        <w:jc w:val="both"/>
        <w:rPr>
          <w:rFonts w:ascii="Times New Roman" w:eastAsia="Calibri" w:hAnsi="Times New Roman" w:cs="Times New Roman"/>
          <w:noProof/>
          <w:sz w:val="24"/>
          <w:szCs w:val="24"/>
        </w:rPr>
      </w:pP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993"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7956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1"/>
    <w:docVar w:name="LW_ANNEX_UNIQUE" w:val="1"/>
    <w:docVar w:name="LW_CORRIGENDUM" w:val="&lt;UNUSED&gt;"/>
    <w:docVar w:name="LW_COVERPAGE_EXISTS" w:val="True"/>
    <w:docVar w:name="LW_COVERPAGE_GUID" w:val="73A46BDC-3E19-49CF-B63E-95C0EF1D7570"/>
    <w:docVar w:name="LW_COVERPAGE_TYPE" w:val="1"/>
    <w:docVar w:name="LW_CROSSREFERENCE" w:val="&lt;UNUSED&gt;"/>
    <w:docVar w:name="LW_DocType" w:val="NORMAL"/>
    <w:docVar w:name="LW_EMISSION" w:val="2.3.2018"/>
    <w:docVar w:name="LW_EMISSION_ISODATE" w:val="2018-03-02"/>
    <w:docVar w:name="LW_EMISSION_LOCATION" w:val="BRX"/>
    <w:docVar w:name="LW_EMISSION_PREFIX" w:val="Bruxelles, le "/>
    <w:docVar w:name="LW_EMISSION_SUFFIX" w:val="&lt;EMPTY&gt;"/>
    <w:docVar w:name="LW_ID_DOCTYPE_NONLW" w:val="CP-039"/>
    <w:docVar w:name="LW_LANGUE" w:val="FR"/>
    <w:docVar w:name="LW_LEVEL_OF_SENSITIVITY" w:val="Standard treatment"/>
    <w:docVar w:name="LW_NOM.INST" w:val="COMMISSION EUROPÉENNE"/>
    <w:docVar w:name="LW_NOM.INST_JOINTDOC" w:val="&lt;EMPTY&gt;"/>
    <w:docVar w:name="LW_OBJETACTEPRINCIPAL.CP" w:val="concernant la cinquième réévaluation annuelle des lignes directrices financières pluriannuelles pour la gestion des avoirs de la CECA en liquidation et, après clôture de la liquidation, des avoirs du Fonds de recherche du charbon et de l'acier"/>
    <w:docVar w:name="LW_PART_NBR" w:val="1"/>
    <w:docVar w:name="LW_PART_NBR_TOTAL" w:val="1"/>
    <w:docVar w:name="LW_REF.INST.NEW" w:val="COM"/>
    <w:docVar w:name="LW_REF.INST.NEW_ADOPTED" w:val="final"/>
    <w:docVar w:name="LW_REF.INST.NEW_TEXT" w:val="(2018) 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MediumShading1-Accent5">
    <w:name w:val="Medium Shading 1 Accent 5"/>
    <w:basedOn w:val="TableNormal"/>
    <w:uiPriority w:val="6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MediumShading1-Accent5">
    <w:name w:val="Medium Shading 1 Accent 5"/>
    <w:basedOn w:val="TableNormal"/>
    <w:uiPriority w:val="6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73</Words>
  <Characters>290</Characters>
  <Application>Microsoft Office Word</Application>
  <DocSecurity>0</DocSecurity>
  <Lines>32</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DIGIT/A3</cp:lastModifiedBy>
  <cp:revision>14</cp:revision>
  <cp:lastPrinted>2018-02-19T16:06:00Z</cp:lastPrinted>
  <dcterms:created xsi:type="dcterms:W3CDTF">2018-02-05T14:13:00Z</dcterms:created>
  <dcterms:modified xsi:type="dcterms:W3CDTF">2018-03-02T09:08:00Z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