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80CA654-473A-4FE8-A904-BEC7590A8D15" style="width:450.7pt;height:392.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autoSpaceDE w:val="0"/>
        <w:autoSpaceDN w:val="0"/>
        <w:adjustRightInd w:val="0"/>
        <w:spacing w:after="240" w:line="240" w:lineRule="auto"/>
        <w:jc w:val="both"/>
        <w:rPr>
          <w:rFonts w:ascii="Times New Roman" w:eastAsia="Calibri" w:hAnsi="Times New Roman" w:cs="Times New Roman"/>
          <w:noProof/>
          <w:sz w:val="24"/>
          <w:szCs w:val="24"/>
        </w:rPr>
      </w:pPr>
      <w:bookmarkStart w:id="1" w:name="_GoBack"/>
      <w:bookmarkEnd w:id="1"/>
      <w:r>
        <w:rPr>
          <w:rFonts w:ascii="Times New Roman" w:eastAsia="Calibri" w:hAnsi="Times New Roman" w:cs="Times New Roman"/>
          <w:noProof/>
          <w:sz w:val="24"/>
          <w:szCs w:val="24"/>
        </w:rPr>
        <w:lastRenderedPageBreak/>
        <w:t xml:space="preserve">Annex – Annual revenues of the ECSC in liquidation transferred to the RFCS </w:t>
      </w:r>
    </w:p>
    <w:p>
      <w:pPr>
        <w:autoSpaceDE w:val="0"/>
        <w:autoSpaceDN w:val="0"/>
        <w:adjustRightInd w:val="0"/>
        <w:spacing w:after="240" w:line="240" w:lineRule="auto"/>
        <w:jc w:val="both"/>
        <w:rPr>
          <w:rFonts w:ascii="Times New Roman" w:eastAsia="Calibri" w:hAnsi="Times New Roman" w:cs="Times New Roman"/>
          <w:noProof/>
          <w:sz w:val="24"/>
          <w:szCs w:val="24"/>
        </w:rPr>
      </w:pPr>
    </w:p>
    <w:tbl>
      <w:tblPr>
        <w:tblStyle w:val="MediumShading1-Accent5"/>
        <w:tblW w:w="0" w:type="auto"/>
        <w:tblLook w:val="04A0" w:firstRow="1" w:lastRow="0" w:firstColumn="1" w:lastColumn="0" w:noHBand="0" w:noVBand="1"/>
      </w:tblPr>
      <w:tblGrid>
        <w:gridCol w:w="4068"/>
        <w:gridCol w:w="4440"/>
      </w:tblGrid>
      <w:tr>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Year</w:t>
            </w:r>
          </w:p>
        </w:tc>
        <w:tc>
          <w:tcPr>
            <w:tcW w:w="4440" w:type="dxa"/>
            <w:tcBorders>
              <w:left w:val="single" w:sz="4" w:space="0" w:color="FFFFFF" w:themeColor="background1"/>
            </w:tcBorders>
          </w:tcPr>
          <w:p>
            <w:pPr>
              <w:spacing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RFCS Budget – financing decisions</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2011</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rFonts w:eastAsia="Times New Roman" w:cs="Times New Roman"/>
                <w:b/>
                <w:i/>
                <w:iCs/>
                <w:noProof/>
                <w:color w:val="1F497D" w:themeColor="text2"/>
                <w:w w:val="120"/>
                <w:lang w:val="en-US" w:bidi="en-US"/>
              </w:rPr>
              <w:t>60.929.750 €</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2012</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rFonts w:eastAsia="Times New Roman" w:cs="Times New Roman"/>
                <w:b/>
                <w:i/>
                <w:noProof/>
                <w:color w:val="1F497D" w:themeColor="text2"/>
                <w:w w:val="120"/>
                <w:lang w:val="de-DE" w:eastAsia="de-DE" w:bidi="de-DE"/>
              </w:rPr>
              <w:t>58</w:t>
            </w:r>
            <w:r>
              <w:rPr>
                <w:rFonts w:eastAsia="Times New Roman" w:cs="Times New Roman"/>
                <w:bCs/>
                <w:i/>
                <w:noProof/>
                <w:color w:val="1F497D" w:themeColor="text2"/>
                <w:lang w:val="de-DE" w:eastAsia="de-DE" w:bidi="de-DE"/>
              </w:rPr>
              <w:t>.</w:t>
            </w:r>
            <w:r>
              <w:rPr>
                <w:rFonts w:eastAsia="Times New Roman" w:cs="Times New Roman"/>
                <w:b/>
                <w:i/>
                <w:noProof/>
                <w:color w:val="1F497D" w:themeColor="text2"/>
                <w:w w:val="120"/>
                <w:lang w:val="de-DE" w:eastAsia="de-DE" w:bidi="de-DE"/>
              </w:rPr>
              <w:t>464.875</w:t>
            </w:r>
            <w:r>
              <w:rPr>
                <w:rFonts w:eastAsia="Times New Roman" w:cs="Times New Roman"/>
                <w:bCs/>
                <w:i/>
                <w:noProof/>
                <w:color w:val="1F497D" w:themeColor="text2"/>
                <w:lang w:val="de-DE" w:eastAsia="de-DE" w:bidi="de-DE"/>
              </w:rPr>
              <w:t xml:space="preserve"> €</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2013</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rFonts w:eastAsia="Times New Roman" w:cs="Times New Roman"/>
                <w:b/>
                <w:i/>
                <w:noProof/>
                <w:color w:val="1F497D" w:themeColor="text2"/>
                <w:w w:val="120"/>
                <w:lang w:val="de-DE" w:eastAsia="de-DE" w:bidi="de-DE"/>
              </w:rPr>
              <w:t>51</w:t>
            </w:r>
            <w:r>
              <w:rPr>
                <w:rFonts w:eastAsia="Times New Roman" w:cs="Times New Roman"/>
                <w:bCs/>
                <w:i/>
                <w:noProof/>
                <w:color w:val="1F497D" w:themeColor="text2"/>
                <w:lang w:val="de-DE" w:eastAsia="de-DE" w:bidi="de-DE"/>
              </w:rPr>
              <w:t>.</w:t>
            </w:r>
            <w:r>
              <w:rPr>
                <w:rFonts w:eastAsia="Times New Roman" w:cs="Times New Roman"/>
                <w:b/>
                <w:i/>
                <w:noProof/>
                <w:color w:val="1F497D" w:themeColor="text2"/>
                <w:w w:val="120"/>
                <w:lang w:val="de-DE" w:eastAsia="de-DE" w:bidi="de-DE"/>
              </w:rPr>
              <w:t>732.500</w:t>
            </w:r>
            <w:r>
              <w:rPr>
                <w:rFonts w:eastAsia="Times New Roman" w:cs="Times New Roman"/>
                <w:bCs/>
                <w:i/>
                <w:noProof/>
                <w:color w:val="1F497D" w:themeColor="text2"/>
                <w:lang w:val="de-DE" w:eastAsia="de-DE" w:bidi="de-DE"/>
              </w:rPr>
              <w:t xml:space="preserve"> €</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2014</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rFonts w:eastAsia="Times New Roman" w:cs="Times New Roman"/>
                <w:b/>
                <w:i/>
                <w:noProof/>
                <w:color w:val="1F497D" w:themeColor="text2"/>
                <w:w w:val="120"/>
                <w:lang w:val="de-DE" w:eastAsia="de-DE" w:bidi="de-DE"/>
              </w:rPr>
              <w:t>48</w:t>
            </w:r>
            <w:r>
              <w:rPr>
                <w:rFonts w:eastAsia="Times New Roman" w:cs="Times New Roman"/>
                <w:bCs/>
                <w:i/>
                <w:noProof/>
                <w:color w:val="1F497D" w:themeColor="text2"/>
                <w:lang w:val="de-DE" w:eastAsia="de-DE" w:bidi="de-DE"/>
              </w:rPr>
              <w:t>.</w:t>
            </w:r>
            <w:r>
              <w:rPr>
                <w:rFonts w:eastAsia="Times New Roman" w:cs="Times New Roman"/>
                <w:b/>
                <w:i/>
                <w:noProof/>
                <w:color w:val="1F497D" w:themeColor="text2"/>
                <w:w w:val="120"/>
                <w:lang w:val="de-DE" w:eastAsia="de-DE" w:bidi="de-DE"/>
              </w:rPr>
              <w:t>366.250</w:t>
            </w:r>
            <w:r>
              <w:rPr>
                <w:rFonts w:eastAsia="Times New Roman" w:cs="Times New Roman"/>
                <w:bCs/>
                <w:i/>
                <w:noProof/>
                <w:color w:val="1F497D" w:themeColor="text2"/>
                <w:lang w:val="de-DE" w:eastAsia="de-DE" w:bidi="de-DE"/>
              </w:rPr>
              <w:t xml:space="preserve"> €</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2015</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rFonts w:cs="Times New Roman"/>
                <w:b/>
                <w:i/>
                <w:noProof/>
                <w:color w:val="1F497D" w:themeColor="text2"/>
                <w:w w:val="120"/>
                <w:lang w:eastAsia="de-DE" w:bidi="de-DE"/>
              </w:rPr>
              <w:t>47</w:t>
            </w:r>
            <w:r>
              <w:rPr>
                <w:rFonts w:eastAsia="Times New Roman" w:cs="Times New Roman"/>
                <w:bCs/>
                <w:i/>
                <w:noProof/>
                <w:color w:val="1F497D" w:themeColor="text2"/>
                <w:lang w:eastAsia="de-DE" w:bidi="de-DE"/>
              </w:rPr>
              <w:t>.</w:t>
            </w:r>
            <w:r>
              <w:rPr>
                <w:rFonts w:cs="Times New Roman"/>
                <w:b/>
                <w:i/>
                <w:noProof/>
                <w:color w:val="1F497D" w:themeColor="text2"/>
                <w:w w:val="120"/>
                <w:lang w:val="de-DE" w:eastAsia="de-DE" w:bidi="de-DE"/>
              </w:rPr>
              <w:t>700.000</w:t>
            </w:r>
            <w:r>
              <w:rPr>
                <w:rFonts w:eastAsia="Times New Roman" w:cs="Times New Roman"/>
                <w:bCs/>
                <w:i/>
                <w:noProof/>
                <w:color w:val="1F497D" w:themeColor="text2"/>
                <w:lang w:eastAsia="de-DE" w:bidi="de-DE"/>
              </w:rPr>
              <w:t xml:space="preserve"> €</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2016</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rFonts w:cs="Times New Roman"/>
                <w:b/>
                <w:i/>
                <w:noProof/>
                <w:color w:val="1F497D" w:themeColor="text2"/>
                <w:w w:val="120"/>
                <w:lang w:val="de-DE" w:eastAsia="de-DE" w:bidi="de-DE"/>
              </w:rPr>
              <w:t>43</w:t>
            </w:r>
            <w:r>
              <w:rPr>
                <w:rFonts w:eastAsia="Times New Roman" w:cs="Times New Roman"/>
                <w:bCs/>
                <w:i/>
                <w:noProof/>
                <w:color w:val="1F497D" w:themeColor="text2"/>
                <w:lang w:eastAsia="de-DE" w:bidi="de-DE"/>
              </w:rPr>
              <w:t>.</w:t>
            </w:r>
            <w:r>
              <w:rPr>
                <w:rFonts w:cs="Times New Roman"/>
                <w:b/>
                <w:i/>
                <w:noProof/>
                <w:color w:val="1F497D" w:themeColor="text2"/>
                <w:w w:val="120"/>
                <w:lang w:val="de-DE" w:eastAsia="de-DE" w:bidi="de-DE"/>
              </w:rPr>
              <w:t>100.000</w:t>
            </w:r>
            <w:r>
              <w:rPr>
                <w:rFonts w:eastAsia="Times New Roman" w:cs="Times New Roman"/>
                <w:bCs/>
                <w:i/>
                <w:noProof/>
                <w:color w:val="1F497D" w:themeColor="text2"/>
                <w:lang w:eastAsia="de-DE" w:bidi="de-DE"/>
              </w:rPr>
              <w:t xml:space="preserve"> €</w:t>
            </w:r>
          </w:p>
        </w:tc>
      </w:tr>
      <w:tr>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2017</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rFonts w:cs="Times New Roman"/>
                <w:b/>
                <w:i/>
                <w:noProof/>
                <w:color w:val="1F497D" w:themeColor="text2"/>
                <w:w w:val="120"/>
                <w:lang w:val="de-DE" w:eastAsia="de-DE" w:bidi="de-DE"/>
              </w:rPr>
              <w:t>42</w:t>
            </w:r>
            <w:r>
              <w:rPr>
                <w:rFonts w:eastAsia="Times New Roman" w:cs="Times New Roman"/>
                <w:bCs/>
                <w:i/>
                <w:noProof/>
                <w:color w:val="1F497D" w:themeColor="text2"/>
                <w:lang w:eastAsia="de-DE" w:bidi="de-DE"/>
              </w:rPr>
              <w:t>.</w:t>
            </w:r>
            <w:r>
              <w:rPr>
                <w:rFonts w:cs="Times New Roman"/>
                <w:b/>
                <w:i/>
                <w:noProof/>
                <w:color w:val="1F497D" w:themeColor="text2"/>
                <w:w w:val="120"/>
                <w:lang w:val="de-DE" w:eastAsia="de-DE" w:bidi="de-DE"/>
              </w:rPr>
              <w:t>100.000</w:t>
            </w:r>
            <w:r>
              <w:rPr>
                <w:rFonts w:eastAsia="Times New Roman" w:cs="Times New Roman"/>
                <w:bCs/>
                <w:i/>
                <w:noProof/>
                <w:color w:val="1F497D" w:themeColor="text2"/>
                <w:lang w:eastAsia="de-DE" w:bidi="de-DE"/>
              </w:rPr>
              <w:t xml:space="preserve"> €</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eastAsia="Times New Roman" w:hAnsi="Times New Roman" w:cs="Times New Roman"/>
                <w:noProof/>
                <w:color w:val="1F497D" w:themeColor="text2"/>
                <w:sz w:val="24"/>
                <w:szCs w:val="20"/>
              </w:rPr>
              <w:t>2018 (current call)</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rFonts w:cs="Times New Roman"/>
                <w:b/>
                <w:i/>
                <w:noProof/>
                <w:color w:val="1F497D" w:themeColor="text2"/>
                <w:w w:val="120"/>
                <w:lang w:val="de-DE" w:eastAsia="de-DE" w:bidi="de-DE"/>
              </w:rPr>
              <w:t>27</w:t>
            </w:r>
            <w:r>
              <w:rPr>
                <w:rFonts w:eastAsia="Times New Roman" w:cs="Times New Roman"/>
                <w:bCs/>
                <w:i/>
                <w:noProof/>
                <w:color w:val="1F497D" w:themeColor="text2"/>
                <w:lang w:eastAsia="de-DE" w:bidi="de-DE"/>
              </w:rPr>
              <w:t>.</w:t>
            </w:r>
            <w:r>
              <w:rPr>
                <w:rFonts w:cs="Times New Roman"/>
                <w:b/>
                <w:i/>
                <w:noProof/>
                <w:color w:val="1F497D" w:themeColor="text2"/>
                <w:w w:val="120"/>
                <w:lang w:val="de-DE" w:eastAsia="de-DE" w:bidi="de-DE"/>
              </w:rPr>
              <w:t>400.000</w:t>
            </w:r>
            <w:r>
              <w:rPr>
                <w:rFonts w:eastAsia="Times New Roman" w:cs="Times New Roman"/>
                <w:bCs/>
                <w:i/>
                <w:noProof/>
                <w:color w:val="1F497D" w:themeColor="text2"/>
                <w:lang w:eastAsia="de-DE" w:bidi="de-DE"/>
              </w:rPr>
              <w:t xml:space="preserve"> €</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sz w:val="24"/>
                <w:szCs w:val="20"/>
              </w:rPr>
            </w:pP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p>
        </w:tc>
      </w:tr>
      <w:tr>
        <w:trPr>
          <w:cnfStyle w:val="000000010000" w:firstRow="0" w:lastRow="0" w:firstColumn="0" w:lastColumn="0" w:oddVBand="0" w:evenVBand="0" w:oddHBand="0" w:evenHBand="1"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FF0000"/>
                <w:sz w:val="24"/>
                <w:szCs w:val="20"/>
              </w:rPr>
            </w:pPr>
            <w:r>
              <w:rPr>
                <w:rFonts w:ascii="Times New Roman" w:eastAsia="Times New Roman" w:hAnsi="Times New Roman" w:cs="Times New Roman"/>
                <w:noProof/>
                <w:color w:val="FF0000"/>
                <w:sz w:val="24"/>
                <w:szCs w:val="20"/>
              </w:rPr>
              <w:t>2019 (estimation from DG ECFIN)</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FF0000"/>
              </w:rPr>
            </w:pPr>
            <w:r>
              <w:rPr>
                <w:rFonts w:cs="Times New Roman"/>
                <w:b/>
                <w:i/>
                <w:noProof/>
                <w:color w:val="FF0000"/>
                <w:w w:val="120"/>
                <w:lang w:val="de-DE" w:eastAsia="de-DE" w:bidi="de-DE"/>
              </w:rPr>
              <w:t>22</w:t>
            </w:r>
            <w:r>
              <w:rPr>
                <w:rFonts w:eastAsia="Times New Roman" w:cs="Times New Roman"/>
                <w:bCs/>
                <w:i/>
                <w:noProof/>
                <w:color w:val="FF0000"/>
                <w:lang w:eastAsia="de-DE" w:bidi="de-DE"/>
              </w:rPr>
              <w:t>.</w:t>
            </w:r>
            <w:r>
              <w:rPr>
                <w:rFonts w:cs="Times New Roman"/>
                <w:b/>
                <w:i/>
                <w:noProof/>
                <w:color w:val="FF0000"/>
                <w:w w:val="120"/>
                <w:lang w:val="de-DE" w:eastAsia="de-DE" w:bidi="de-DE"/>
              </w:rPr>
              <w:t>000.000</w:t>
            </w:r>
            <w:r>
              <w:rPr>
                <w:rFonts w:eastAsia="Times New Roman" w:cs="Times New Roman"/>
                <w:bCs/>
                <w:i/>
                <w:noProof/>
                <w:color w:val="FF0000"/>
                <w:lang w:eastAsia="de-DE" w:bidi="de-DE"/>
              </w:rPr>
              <w:t xml:space="preserve"> €</w:t>
            </w:r>
          </w:p>
        </w:tc>
      </w:tr>
    </w:tbl>
    <w:p>
      <w:pPr>
        <w:autoSpaceDE w:val="0"/>
        <w:autoSpaceDN w:val="0"/>
        <w:adjustRightInd w:val="0"/>
        <w:spacing w:after="240" w:line="240" w:lineRule="auto"/>
        <w:jc w:val="center"/>
        <w:rPr>
          <w:rFonts w:ascii="Times New Roman" w:eastAsia="Calibri" w:hAnsi="Times New Roman" w:cs="Times New Roman"/>
          <w:noProof/>
          <w:sz w:val="24"/>
          <w:szCs w:val="24"/>
        </w:rPr>
      </w:pPr>
    </w:p>
    <w:p>
      <w:pPr>
        <w:autoSpaceDE w:val="0"/>
        <w:autoSpaceDN w:val="0"/>
        <w:adjustRightInd w:val="0"/>
        <w:spacing w:after="240" w:line="240" w:lineRule="auto"/>
        <w:jc w:val="both"/>
        <w:rPr>
          <w:rFonts w:ascii="Times New Roman" w:eastAsia="Calibri" w:hAnsi="Times New Roman" w:cs="Times New Roman"/>
          <w:noProof/>
          <w:sz w:val="24"/>
          <w:szCs w:val="24"/>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956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680CA654-473A-4FE8-A904-BEC7590A8D15"/>
    <w:docVar w:name="LW_COVERPAGE_TYPE" w:val="1"/>
    <w:docVar w:name="LW_CROSSREFERENCE" w:val="&lt;UNUSED&gt;"/>
    <w:docVar w:name="LW_DocType" w:val="NORMAL"/>
    <w:docVar w:name="LW_EMISSION" w:val="2.3.2018"/>
    <w:docVar w:name="LW_EMISSION_ISODATE" w:val="2018-03-02"/>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on the five yearly review of the multiannual financial guidelines for managing the assets of the ECSC in liquidation and, on completion of the liquidation, the Assets of the Research Fund for Coal and Steel"/>
    <w:docVar w:name="LW_PART_NBR" w:val="1"/>
    <w:docVar w:name="LW_PART_NBR_TOTAL" w:val="1"/>
    <w:docVar w:name="LW_REF.INST.NEW" w:val="COM"/>
    <w:docVar w:name="LW_REF.INST.NEW_ADOPTED" w:val="final"/>
    <w:docVar w:name="LW_REF.INST.NEW_TEXT" w:val="(2018)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Words>
  <Characters>286</Characters>
  <Application>Microsoft Office Word</Application>
  <DocSecurity>0</DocSecurity>
  <Lines>31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12</cp:revision>
  <dcterms:created xsi:type="dcterms:W3CDTF">2018-02-05T14:13:00Z</dcterms:created>
  <dcterms:modified xsi:type="dcterms:W3CDTF">2018-03-02T09:09:00Z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