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FDD6E8F-EA60-484E-82BA-75370CBC8496" style="width:450.8pt;height:410.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 xml:space="preserve">РЕШЕНИЕ НА СЪВМЕСТНИЯ КОМИТЕТ НА ЕИП 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№ 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 XXII (Дружествено право) и Протокол 37 (съдържащ списъка, предвиден в член 101)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Регламент (ЕС) № 537/2014 на Европейския парламент и на Съвета от 16 април 2014 г. относно специфични изисквания по отношение на задължителния одит на предприятия от обществен интерес и за отмяна на Решение 2005/909/ЕО на Комисията</w:t>
      </w:r>
      <w:r>
        <w:rPr>
          <w:rStyle w:val="FootnoteReference"/>
          <w:noProof/>
        </w:rPr>
        <w:footnoteReference w:id="1"/>
      </w:r>
      <w:r>
        <w:rPr>
          <w:noProof/>
        </w:rPr>
        <w:t>, поправен с ОВ L 170, 11.6.2014 г., стр. 66, следва да бъде включен в Споразумението за ЕИП.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Директива 2014/56/ЕС на Европейския парламент и на Съвета от 16 април 2014 г. за изменение на Директива 2006/43/ЕО относно задължителния одит на годишните счетоводни отчети и консолидираните счетоводни отчети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следва да бъде включена в Споразумението за ЕИП.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За да функционира добре Споразумението за ЕИП, Протокол 37 към Споразумението за ЕИП следва да се разшири така, че да включи Комитета на европейските органи за надзор на одита (КЕОНО), създаден с Регламент (ЕС) № 537/2014, а приложение XXII към Споразумението за ЕИП следва да бъде изменено с цел уточняване на процедурите за асоцииране към този комитет.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Поради това приложение XXII и Протокол 37 към Споразумението за ЕИП следва да бъдат съответно изменени,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 XXII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точка 10е (Директива 2006/43/ЕО на Европейския парламент и на Съвета) се добавя следното:</w:t>
      </w:r>
    </w:p>
    <w:p>
      <w:pPr>
        <w:pStyle w:val="Point1"/>
        <w:rPr>
          <w:noProof/>
        </w:rPr>
      </w:pPr>
      <w:r>
        <w:rPr>
          <w:noProof/>
        </w:rPr>
        <w:t>„-</w:t>
      </w:r>
      <w:r>
        <w:rPr>
          <w:noProof/>
        </w:rPr>
        <w:tab/>
      </w:r>
      <w:r>
        <w:rPr>
          <w:b/>
          <w:noProof/>
        </w:rPr>
        <w:t>32014 L 0056</w:t>
      </w:r>
      <w:r>
        <w:rPr>
          <w:noProof/>
        </w:rPr>
        <w:t>: Директива 2014/56/ЕС на Европейския парламент и на Съвета от 16 април 2014 г. (ОВ L 158, 27.5.2014 г., стр. 196).</w:t>
      </w:r>
    </w:p>
    <w:p>
      <w:pPr>
        <w:pStyle w:val="Text1"/>
        <w:rPr>
          <w:noProof/>
        </w:rPr>
      </w:pPr>
      <w:r>
        <w:rPr>
          <w:noProof/>
        </w:rPr>
        <w:t>За целите на настоящото споразумение разпоредбите на посочената директива се четат със следната адаптация:</w:t>
      </w:r>
    </w:p>
    <w:p>
      <w:pPr>
        <w:pStyle w:val="Text1"/>
        <w:rPr>
          <w:noProof/>
        </w:rPr>
      </w:pPr>
      <w:r>
        <w:rPr>
          <w:noProof/>
        </w:rPr>
        <w:t>В член 30в, параграф 3 думите „както са определени в Хартата на основните права на Европейския съюз“ не се прилагат по отношение на държавите от ЕАСТ.“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След точка 10и (Директива 2013/34/ЕС на Европейския парламент и на Съвета) се вмъква следното:</w:t>
      </w:r>
    </w:p>
    <w:p>
      <w:pPr>
        <w:pStyle w:val="Point1"/>
        <w:rPr>
          <w:noProof/>
        </w:rPr>
      </w:pPr>
      <w:r>
        <w:rPr>
          <w:noProof/>
        </w:rPr>
        <w:t>„10й.</w:t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</w:rPr>
        <w:t>32014 R 0537</w:t>
      </w:r>
      <w:r>
        <w:rPr>
          <w:noProof/>
        </w:rPr>
        <w:t>: Регламент (ЕС) № 537/2014 на Европейския парламент и на Съвета от 16 април 2014 г. относно специфични изисквания по отношение на задължителния одит на предприятия от обществен интерес и за отмяна на Решение 2005/909/ЕО на Комисията (ОВ L 158, 27.5.2014 г., стр. 77), поправен с ОВ L 170, 11.6.2014 г., стр. 66.</w:t>
      </w:r>
    </w:p>
    <w:p>
      <w:pPr>
        <w:pStyle w:val="Text2"/>
        <w:ind w:left="1418"/>
        <w:rPr>
          <w:noProof/>
        </w:rPr>
      </w:pPr>
      <w:r>
        <w:rPr>
          <w:noProof/>
        </w:rPr>
        <w:t>Условия за асоциирането на държавите от ЕАСТ в съответствие с член 101 от Споразумението:</w:t>
      </w:r>
    </w:p>
    <w:p>
      <w:pPr>
        <w:pStyle w:val="Text1"/>
        <w:ind w:left="1418"/>
        <w:rPr>
          <w:noProof/>
        </w:rPr>
      </w:pPr>
      <w:r>
        <w:rPr>
          <w:noProof/>
        </w:rPr>
        <w:t>Компетентните органи на държавите от ЕАСТ, посочени в член 32, параграф 1 от Директива 2006/43/ЕО, имат право на пълноправно участие в Комитета на европейските органи за надзор на одита (КЕОНО) при същите условия, които се прилагат за компетентните органи на държавите — членки на ЕС, но без право на глас. Членове от държавите от ЕАСТ не могат да бъдат избирани за председател на КЕОНО съгласно член 30, параграф 6.</w:t>
      </w:r>
    </w:p>
    <w:p>
      <w:pPr>
        <w:pStyle w:val="Text1"/>
        <w:ind w:left="1418"/>
        <w:rPr>
          <w:noProof/>
        </w:rPr>
      </w:pPr>
      <w:r>
        <w:rPr>
          <w:noProof/>
        </w:rPr>
        <w:t>За целите на настоящото споразумение разпоредбите на посочения регламент се четат със следните адаптации: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Думите „законодателството на Съюза и националното законодателство“ се заменят с думите „Споразумението за ЕИП или националното законодателство“, а думите „правото на Съюза или националното право“ и „правото на Съюза или по националното право“ се заменят с думите „Споразумението за ЕИП или националното право“.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 41 по отношение на държавите от ЕАСТ:</w:t>
      </w:r>
    </w:p>
    <w:p>
      <w:pPr>
        <w:pStyle w:val="Point3"/>
        <w:rPr>
          <w:noProof/>
        </w:rPr>
      </w:pPr>
      <w:r>
        <w:rPr>
          <w:noProof/>
        </w:rPr>
        <w:t>i)</w:t>
      </w:r>
      <w:r>
        <w:rPr>
          <w:noProof/>
        </w:rPr>
        <w:tab/>
        <w:t>думите „17 юни 2020 г.“ се четат „шест години след датата на влизане в сила на Решение на Съвместния комитет на ЕИП № …/… от … [настоящото решение]“;</w:t>
      </w:r>
    </w:p>
    <w:p>
      <w:pPr>
        <w:pStyle w:val="Point3"/>
        <w:rPr>
          <w:noProof/>
        </w:rPr>
      </w:pPr>
      <w:r>
        <w:rPr>
          <w:noProof/>
        </w:rPr>
        <w:t>ii)</w:t>
      </w:r>
      <w:r>
        <w:rPr>
          <w:noProof/>
        </w:rPr>
        <w:tab/>
        <w:t>думите „17 юни 2023 г.“ се четат „девет години след датата на влизане в сила на Решение на Съвместния комитет на ЕИП № …/… от … [настоящото решение]“;</w:t>
      </w:r>
    </w:p>
    <w:p>
      <w:pPr>
        <w:pStyle w:val="Point3"/>
        <w:rPr>
          <w:noProof/>
        </w:rPr>
      </w:pPr>
      <w:r>
        <w:rPr>
          <w:noProof/>
        </w:rPr>
        <w:t>iii)</w:t>
      </w:r>
      <w:r>
        <w:rPr>
          <w:noProof/>
        </w:rPr>
        <w:tab/>
        <w:t>думите „16 юни 2014 г.“ се четат „датата на влизане в сила на Решение на Съвместния комитет на ЕИП № .../... от ... [настоящото решение]“;</w:t>
      </w:r>
    </w:p>
    <w:p>
      <w:pPr>
        <w:pStyle w:val="Point3"/>
        <w:rPr>
          <w:noProof/>
        </w:rPr>
      </w:pPr>
      <w:r>
        <w:rPr>
          <w:noProof/>
        </w:rPr>
        <w:t>iv)</w:t>
      </w:r>
      <w:r>
        <w:rPr>
          <w:noProof/>
        </w:rPr>
        <w:tab/>
        <w:t>думите „на 17 юни 2016 г.“ се четат „две години след датата на влизане в сила на Решение на Съвместния комитет на ЕИП № …/… от … [настоящото решение]“.</w:t>
      </w:r>
    </w:p>
    <w:p>
      <w:pPr>
        <w:pStyle w:val="Point2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член 44 по отношение на държавите от ЕАСТ думите „17 юни 2017 г.“ се четат „една година след датата на влизане в сила на Решение на Съвместния комитет на ЕИП № …/… от … [настоящото решение]“.“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В Протокол 37 към Споразумението за ЕИП се добавя следната точка:</w:t>
      </w:r>
    </w:p>
    <w:p>
      <w:pPr>
        <w:pStyle w:val="Point0"/>
        <w:rPr>
          <w:noProof/>
        </w:rPr>
      </w:pPr>
      <w:r>
        <w:rPr>
          <w:noProof/>
        </w:rPr>
        <w:t>„40.</w:t>
      </w:r>
      <w:r>
        <w:rPr>
          <w:noProof/>
        </w:rPr>
        <w:tab/>
        <w:t>Комитет на европейските органи за надзор на одита (КЕОНО) (Регламент (ЕС) № 537/2014 на Европейския парламент и на Съвета)“.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Текстовете на Регламент (ЕС) № 537/2014, поправен с ОВ L 170, 11.6.2014 г., стр. 66, и на Директива 2014/56/ЕС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Настоящото решение влиза в сила на […] 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noProof/>
        </w:rPr>
        <w:footnoteReference w:customMarkFollows="1" w:id="3"/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5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 158, 27.5.2014 г., стр. 77.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158, 27.5.2014 г., стр. 196.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EB2C4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670C5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54C2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66F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9F04A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EBE77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00434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EB68C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1 14:25:5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FDD6E8F-EA60-484E-82BA-75370CBC8496"/>
    <w:docVar w:name="LW_COVERPAGE_TYPE" w:val="1"/>
    <w:docVar w:name="LW_CROSSREFERENCE" w:val="&lt;UNUSED&gt;"/>
    <w:docVar w:name="LW_DocType" w:val="ANNEX"/>
    <w:docVar w:name="LW_EMISSION" w:val="2.3.2018"/>
    <w:docVar w:name="LW_EMISSION_ISODATE" w:val="2018-03-0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XII (\u1044?\u1088?\u1091?\u1078?\u1077?\u1089?\u1090?\u1074?\u1077?\u1085?\u1086? \u1087?\u1088?\u1072?\u1074?\u1086?) \u1080? \u1055?\u1088?\u1086?\u1090?\u1086?\u1082?\u1086?\u1083? 37 (\u1089?\u1098?\u1076?\u1098?\u1088?\u1078?\u1072?\u1097? \u1089?\u1087?\u1080?\u1089?\u1098?\u1082?\u1072?, \u1087?\u1088?\u1077?\u1076?\u1074?\u1080?\u1076?\u1077?\u1085? \u1074? \u1095?\u1083?\u1077?\u1085?&lt;LWCR:NBS&gt;101) \u1082?\u1098?\u1084? \u1057?\u1087?\u1086?\u1088?\u1072?\u1079?\u1091?\u1084?\u1077?\u1085?\u1080?\u1077?\u1090?\u1086? \u1079?\u1072? \u1045?\u1048?\u1055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XII (\u1044?\u1088?\u1091?\u1078?\u1077?\u1089?\u1090?\u1074?\u1077?\u1085?\u1086? \u1087?\u1088?\u1072?\u1074?\u1086?) \u1080? \u1055?\u1088?\u1086?\u1090?\u1086?\u1082?\u1086?\u1083? 37 (\u1089?\u1098?\u1076?\u1098?\u1088?\u1078?\u1072?\u1097? \u1089?\u1087?\u1080?\u1089?\u1098?\u1082?\u1072?, \u1087?\u1088?\u1077?\u1076?\u1074?\u1080?\u1076?\u1077?\u1085? \u1074? \u1095?\u1083?\u1077?\u1085? 101) \u1082?\u1098?\u1084? \u1057?\u1087?\u1086?\u1088?\u1072?\u1079?\u1091?\u1084?\u1077?\u1085?\u1080?\u1077?\u1090?\u1086? \u1079?\u1072? \u1045?\u104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18) 8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EF98-D507-4996-9B49-8193FA68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830</Words>
  <Characters>4245</Characters>
  <Application>Microsoft Office Word</Application>
  <DocSecurity>0</DocSecurity>
  <Lines>106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JANTUNEN Johanna (EEAS)</dc:creator>
  <cp:lastModifiedBy>DIGIT/A3</cp:lastModifiedBy>
  <cp:revision>7</cp:revision>
  <dcterms:created xsi:type="dcterms:W3CDTF">2018-01-26T09:42:00Z</dcterms:created>
  <dcterms:modified xsi:type="dcterms:W3CDTF">2018-03-01T13:25:00Z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