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8722E932-8617-4F23-8810-AA45B5DB518E"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Като взе предвид:</w:t>
      </w:r>
    </w:p>
    <w:p>
      <w:pPr>
        <w:pStyle w:val="Tiret0"/>
        <w:tabs>
          <w:tab w:val="clear" w:pos="850"/>
          <w:tab w:val="num" w:pos="1004"/>
        </w:tabs>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tabs>
          <w:tab w:val="clear" w:pos="850"/>
          <w:tab w:val="num" w:pos="927"/>
        </w:tabs>
        <w:rPr>
          <w:rFonts w:cs="Arial"/>
          <w:noProof/>
          <w:szCs w:val="18"/>
        </w:rPr>
      </w:pPr>
      <w:r>
        <w:rPr>
          <w:noProof/>
        </w:rPr>
        <w:t>Регламент (ЕС, Евратом) № 966/2012 на Европейския парламент и на Съвета от 25 октомври 2012 г. относно финансовите правила, приложими за общия бюджет на Съюза</w:t>
      </w:r>
      <w:r>
        <w:rPr>
          <w:rStyle w:val="FootnoteReference"/>
          <w:noProof/>
        </w:rPr>
        <w:footnoteReference w:id="2"/>
      </w:r>
      <w:r>
        <w:rPr>
          <w:noProof/>
        </w:rPr>
        <w:t>, и по-специално член 41 от него,</w:t>
      </w:r>
    </w:p>
    <w:p>
      <w:pPr>
        <w:pStyle w:val="Tiret0"/>
        <w:tabs>
          <w:tab w:val="clear" w:pos="850"/>
          <w:tab w:val="num" w:pos="927"/>
        </w:tabs>
        <w:rPr>
          <w:noProof/>
        </w:rPr>
      </w:pPr>
      <w:r>
        <w:rPr>
          <w:noProof/>
        </w:rPr>
        <w:t>общия бюджет на Европейския съюз за 2018 финансова година, приет на 30 ноември 2017 г.</w:t>
      </w:r>
      <w:r>
        <w:rPr>
          <w:rStyle w:val="FootnoteReference"/>
          <w:noProof/>
        </w:rPr>
        <w:footnoteReference w:id="3"/>
      </w:r>
    </w:p>
    <w:p>
      <w:pPr>
        <w:pStyle w:val="Tiret0"/>
        <w:numPr>
          <w:ilvl w:val="0"/>
          <w:numId w:val="0"/>
        </w:numPr>
        <w:spacing w:after="600"/>
        <w:rPr>
          <w:noProof/>
        </w:rPr>
      </w:pPr>
      <w:r>
        <w:rPr>
          <w:noProof/>
        </w:rPr>
        <w:t>С настоящото Европейската комисия представя на Европейския парламент и на Съвета проект на коригиращ бюджет № 1 към общия бюджет за 2018 г.</w:t>
      </w:r>
    </w:p>
    <w:p>
      <w:pPr>
        <w:spacing w:after="240"/>
        <w:jc w:val="both"/>
        <w:rPr>
          <w:b/>
          <w:noProof/>
          <w:u w:val="single"/>
        </w:rPr>
      </w:pPr>
      <w:r>
        <w:rPr>
          <w:b/>
          <w:noProof/>
          <w:u w:val="single"/>
        </w:rPr>
        <w:t>ПРОМЕНИ В ПРИХОДНАТА И РАЗХОДНАТА ЧАСТ НА БЮДЖЕТА ПО РАЗДЕЛИ</w:t>
      </w:r>
    </w:p>
    <w:p>
      <w:pPr>
        <w:jc w:val="both"/>
        <w:rPr>
          <w:noProof/>
        </w:rPr>
      </w:pPr>
      <w:r>
        <w:rPr>
          <w:noProof/>
        </w:rPr>
        <w:t>Промените в приходната и разходната част на бюджета по раздели са достъпни в EUR-Lex (</w:t>
      </w:r>
      <w:hyperlink r:id="rId16">
        <w:r>
          <w:rPr>
            <w:rStyle w:val="Hyperlink"/>
            <w:noProof/>
            <w:color w:val="auto"/>
          </w:rPr>
          <w:t>http://eur-lex.europa.eu/budget/www/index-bg.htm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2"/>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СЪДЪРЖАНИЕ</w:t>
      </w:r>
    </w:p>
    <w:sdt>
      <w:sdtPr>
        <w:rPr>
          <w:b w:val="0"/>
          <w:noProof/>
          <w:sz w:val="24"/>
        </w:rPr>
        <w:id w:val="2029912794"/>
        <w:docPartObj>
          <w:docPartGallery w:val="Table of Contents"/>
          <w:docPartUnique/>
        </w:docPartObj>
      </w:sdtPr>
      <w:sdtEndPr>
        <w:rPr>
          <w:bCs/>
        </w:rPr>
      </w:sdtEndPr>
      <w:sdtContent>
        <w:p>
          <w:pPr>
            <w:pStyle w:val="TOCHeading"/>
            <w:spacing w:before="0" w:after="0"/>
            <w:jc w:val="left"/>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07508065"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_Toc507508065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07508066"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Финансиране със средствата на ФСЕС за 2017 г. и 2018 г.</w:t>
            </w:r>
            <w:r>
              <w:rPr>
                <w:noProof/>
                <w:webHidden/>
              </w:rPr>
              <w:tab/>
            </w:r>
            <w:r>
              <w:rPr>
                <w:noProof/>
                <w:webHidden/>
              </w:rPr>
              <w:fldChar w:fldCharType="begin"/>
            </w:r>
            <w:r>
              <w:rPr>
                <w:noProof/>
                <w:webHidden/>
              </w:rPr>
              <w:instrText xml:space="preserve"> PAGEREF _Toc507508066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07508067" w:history="1">
            <w:r>
              <w:rPr>
                <w:rStyle w:val="Hyperlink"/>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Поискани бюджетни кредити в бюджета за 2018 г.</w:t>
            </w:r>
            <w:r>
              <w:rPr>
                <w:noProof/>
                <w:webHidden/>
              </w:rPr>
              <w:tab/>
            </w:r>
            <w:r>
              <w:rPr>
                <w:noProof/>
                <w:webHidden/>
              </w:rPr>
              <w:fldChar w:fldCharType="begin"/>
            </w:r>
            <w:r>
              <w:rPr>
                <w:noProof/>
                <w:webHidden/>
              </w:rPr>
              <w:instrText xml:space="preserve"> PAGEREF _Toc507508067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07508068" w:history="1">
            <w:r>
              <w:rPr>
                <w:rStyle w:val="Hyperlink"/>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_Toc507508068 \h </w:instrText>
            </w:r>
            <w:r>
              <w:rPr>
                <w:noProof/>
                <w:webHidden/>
              </w:rPr>
            </w:r>
            <w:r>
              <w:rPr>
                <w:noProof/>
                <w:webHidden/>
              </w:rPr>
              <w:fldChar w:fldCharType="separate"/>
            </w:r>
            <w:r>
              <w:rPr>
                <w:noProof/>
                <w:webHidden/>
              </w:rPr>
              <w:t>5</w:t>
            </w:r>
            <w:r>
              <w:rPr>
                <w:noProof/>
                <w:webHidden/>
              </w:rPr>
              <w:fldChar w:fldCharType="end"/>
            </w:r>
          </w:hyperlink>
        </w:p>
        <w:p>
          <w:pPr>
            <w:rPr>
              <w:rFonts w:asciiTheme="minorHAnsi" w:eastAsiaTheme="minorEastAsia" w:hAnsiTheme="minorHAnsi" w:cstheme="minorBid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pgNumType w:start="3"/>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505626921"/>
      <w:bookmarkStart w:id="12" w:name="_Toc507508065"/>
      <w:bookmarkStart w:id="13" w:name="_Toc351469332"/>
      <w:bookmarkStart w:id="14" w:name="_Toc361649879"/>
      <w:r>
        <w:t>1.</w:t>
      </w:r>
      <w:r>
        <w:tab/>
        <w:t>Въведение</w:t>
      </w:r>
      <w:bookmarkEnd w:id="8"/>
      <w:bookmarkEnd w:id="9"/>
      <w:bookmarkEnd w:id="10"/>
      <w:bookmarkEnd w:id="11"/>
      <w:bookmarkEnd w:id="12"/>
    </w:p>
    <w:p>
      <w:pPr>
        <w:spacing w:before="120" w:after="120"/>
        <w:jc w:val="both"/>
        <w:rPr>
          <w:noProof/>
          <w:spacing w:val="-2"/>
        </w:rPr>
      </w:pPr>
      <w:r>
        <w:rPr>
          <w:noProof/>
          <w:spacing w:val="-2"/>
        </w:rPr>
        <w:t>Проект на коригиращ бюджет (ПКБ) № 1 за 2018 г. придружава предложението за мобилизиране на средства от фонд „Солидарност“ на Европейския съюз (ФСЕС) в размер на 104 166 951 EUR с цел предоставяне на помощ на Гърция във връзка със земетресенията в Лесбос, на Франция във връзка с ураганите в Сен Мартен и Гваделупа, както и на Португалия и Испания във връзка с горските пожари, разразили се в Centro и в Галисия през 2017 г.</w:t>
      </w:r>
      <w:r>
        <w:rPr>
          <w:rStyle w:val="FootnoteReference"/>
          <w:noProof/>
          <w:spacing w:val="-2"/>
        </w:rPr>
        <w:footnoteReference w:id="4"/>
      </w:r>
    </w:p>
    <w:p>
      <w:pPr>
        <w:spacing w:before="120" w:after="120"/>
        <w:jc w:val="both"/>
        <w:rPr>
          <w:noProof/>
        </w:rPr>
      </w:pPr>
      <w:r>
        <w:rPr>
          <w:noProof/>
        </w:rPr>
        <w:t>С ПКБ № 1/2018 се предлага да се впишат необходимите бюджетни кредити в общия бюджет за 2018 г., както като бюджетни кредити за поети задължения, така и като бюджетни кредити за плащания, след приспадане на авансовите средства, вече изплатени на Гърция, Франция и Португалия (6 520 846 EUR).</w:t>
      </w:r>
    </w:p>
    <w:p>
      <w:pPr>
        <w:keepNext/>
        <w:tabs>
          <w:tab w:val="left" w:pos="850"/>
        </w:tabs>
        <w:spacing w:before="240" w:after="120"/>
        <w:ind w:left="851" w:hanging="851"/>
        <w:jc w:val="both"/>
        <w:outlineLvl w:val="0"/>
        <w:rPr>
          <w:b/>
          <w:smallCaps/>
          <w:noProof/>
        </w:rPr>
      </w:pPr>
      <w:bookmarkStart w:id="15" w:name="_Toc505626922"/>
      <w:bookmarkStart w:id="16" w:name="_Toc507508066"/>
      <w:bookmarkStart w:id="17" w:name="_Toc462410050"/>
      <w:bookmarkStart w:id="18" w:name="_Toc430865947"/>
      <w:bookmarkStart w:id="19" w:name="_Toc430867525"/>
      <w:r>
        <w:rPr>
          <w:b/>
          <w:smallCaps/>
          <w:noProof/>
        </w:rPr>
        <w:t>2.</w:t>
      </w:r>
      <w:r>
        <w:rPr>
          <w:noProof/>
        </w:rPr>
        <w:tab/>
      </w:r>
      <w:r>
        <w:rPr>
          <w:b/>
          <w:smallCaps/>
          <w:noProof/>
        </w:rPr>
        <w:t>Финансиране със средствата на ФСЕС за 2017 г. и 2018 г.</w:t>
      </w:r>
      <w:bookmarkEnd w:id="15"/>
      <w:bookmarkEnd w:id="16"/>
    </w:p>
    <w:p>
      <w:pPr>
        <w:spacing w:before="120" w:after="120"/>
        <w:jc w:val="both"/>
        <w:rPr>
          <w:noProof/>
          <w:spacing w:val="-4"/>
        </w:rPr>
      </w:pPr>
      <w:bookmarkStart w:id="20" w:name="_Toc460335328"/>
      <w:bookmarkStart w:id="21" w:name="_Toc430865948"/>
      <w:bookmarkStart w:id="22" w:name="_Toc430867526"/>
      <w:bookmarkEnd w:id="17"/>
      <w:r>
        <w:rPr>
          <w:noProof/>
          <w:spacing w:val="-4"/>
        </w:rPr>
        <w:t>В съответствие с член 10, параграф 1 от Регламента за многогодишната финансова рамка (МФР)</w:t>
      </w:r>
      <w:r>
        <w:rPr>
          <w:rStyle w:val="FootnoteReference"/>
          <w:noProof/>
          <w:spacing w:val="-4"/>
        </w:rPr>
        <w:footnoteReference w:id="5"/>
      </w:r>
      <w:r>
        <w:rPr>
          <w:noProof/>
          <w:spacing w:val="-4"/>
        </w:rPr>
        <w:t xml:space="preserve"> (наричан по-нататък „Регламентът за МФР“) общата налична сума за мобилизиране на ФСЕС в началото на 2018 г. бе 421 142 057 EUR. Тя представлява сборът от останалите средства за 2018 г. в размер на 280 371 754 EUR (т.е. 574 342 834 EUR минус 293 971 080 EUR, които вече бяха мобилизирани през 2017 г.</w:t>
      </w:r>
      <w:r>
        <w:rPr>
          <w:noProof/>
          <w:spacing w:val="-4"/>
          <w:vertAlign w:val="superscript"/>
        </w:rPr>
        <w:footnoteReference w:id="6"/>
      </w:r>
      <w:r>
        <w:rPr>
          <w:noProof/>
          <w:spacing w:val="-4"/>
        </w:rPr>
        <w:t>) и останалите средства за 2017 г. в размер на 140 770 303 EUR, които останаха неизразходени и бяха пренесени за 2018 г.</w:t>
      </w:r>
    </w:p>
    <w:p>
      <w:pPr>
        <w:spacing w:before="120" w:after="120"/>
        <w:jc w:val="both"/>
        <w:rPr>
          <w:noProof/>
        </w:rPr>
      </w:pPr>
      <w:r>
        <w:rPr>
          <w:noProof/>
        </w:rPr>
        <w:t>Сумата, която може да бъде мобилизирана на този етап за 2018 г., е 277 556 348 EUR. Тя съответства на общата сума, налична за мобилизиране на ФСЕС в началото на 2018 г. (421 142 057 EUR), минус запазените средства в размер на 143 585 709 EUR за спазване на задължението за заделяне на 25 % от годишните отпуснати средства за 2018 г. до 1 октомври 2018 г., както е предвидено в член 10, параграф 1 от Регламента за МФР.</w:t>
      </w:r>
    </w:p>
    <w:p>
      <w:pPr>
        <w:pStyle w:val="ManualHeading1"/>
      </w:pPr>
      <w:bookmarkStart w:id="23" w:name="_Toc484781561"/>
      <w:bookmarkStart w:id="24" w:name="_Toc505626923"/>
      <w:bookmarkStart w:id="25" w:name="_Toc507508067"/>
      <w:r>
        <w:t>3.</w:t>
      </w:r>
      <w:r>
        <w:tab/>
        <w:t xml:space="preserve">Поискани бюджетни кредити в бюджета за </w:t>
      </w:r>
      <w:bookmarkEnd w:id="23"/>
      <w:r>
        <w:t>2018 г.</w:t>
      </w:r>
      <w:bookmarkEnd w:id="24"/>
      <w:bookmarkEnd w:id="25"/>
    </w:p>
    <w:p>
      <w:pPr>
        <w:spacing w:before="120"/>
        <w:jc w:val="both"/>
        <w:rPr>
          <w:noProof/>
        </w:rPr>
      </w:pPr>
      <w:r>
        <w:rPr>
          <w:noProof/>
        </w:rPr>
        <w:t>Като се има предвид сумата от 6 520 846 EUR, вече изплатена авансово за тези случаи по линия на ФСЕС, Комисията предлага бюджетът за 2018 г. да бъде изменен, като средствата по бюджетен ред 13 06 01 „Подпомагане на държавите членки в случай на мащабно природно бедствие със сериозно отражение върху условията на живот, околната среда или икономиката“ се увеличат с 97 646 105 EUR бюджетни кредити за поети задължения и бюджетни кредити за плащания (вж. таблицата по-долу).</w:t>
      </w:r>
    </w:p>
    <w:p>
      <w:pPr>
        <w:jc w:val="both"/>
        <w:rPr>
          <w:noProof/>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tc>
          <w:tcPr>
            <w:tcW w:w="9781"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2"/>
                <w:szCs w:val="22"/>
              </w:rPr>
            </w:pPr>
            <w:r>
              <w:rPr>
                <w:i/>
                <w:noProof/>
                <w:sz w:val="22"/>
              </w:rPr>
              <w:t>Суми в EUR</w:t>
            </w:r>
          </w:p>
        </w:tc>
      </w:tr>
      <w:tr>
        <w:tc>
          <w:tcPr>
            <w:tcW w:w="1276"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Бюджетен ред</w:t>
            </w:r>
          </w:p>
        </w:tc>
        <w:tc>
          <w:tcPr>
            <w:tcW w:w="5103"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Наименование</w:t>
            </w:r>
          </w:p>
        </w:tc>
        <w:tc>
          <w:tcPr>
            <w:tcW w:w="1701" w:type="dxa"/>
            <w:tcBorders>
              <w:top w:val="single" w:sz="4" w:space="0" w:color="auto"/>
            </w:tcBorders>
            <w:shd w:val="clear" w:color="auto" w:fill="D9D9D9"/>
          </w:tcPr>
          <w:p>
            <w:pPr>
              <w:widowControl w:val="0"/>
              <w:spacing w:before="15" w:after="15"/>
              <w:jc w:val="center"/>
              <w:rPr>
                <w:b/>
                <w:noProof/>
                <w:sz w:val="22"/>
                <w:szCs w:val="22"/>
              </w:rPr>
            </w:pPr>
            <w:r>
              <w:rPr>
                <w:b/>
                <w:noProof/>
                <w:sz w:val="22"/>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Бюджетни кредити за плащания</w:t>
            </w:r>
          </w:p>
        </w:tc>
      </w:tr>
      <w:tr>
        <w:tc>
          <w:tcPr>
            <w:tcW w:w="1276" w:type="dxa"/>
          </w:tcPr>
          <w:p>
            <w:pPr>
              <w:widowControl w:val="0"/>
              <w:spacing w:before="15" w:after="15"/>
              <w:ind w:right="-113"/>
              <w:jc w:val="both"/>
              <w:rPr>
                <w:noProof/>
                <w:sz w:val="22"/>
                <w:szCs w:val="22"/>
              </w:rPr>
            </w:pPr>
            <w:r>
              <w:rPr>
                <w:noProof/>
                <w:sz w:val="22"/>
              </w:rPr>
              <w:t>13 06 01</w:t>
            </w:r>
          </w:p>
        </w:tc>
        <w:tc>
          <w:tcPr>
            <w:tcW w:w="5103" w:type="dxa"/>
          </w:tcPr>
          <w:p>
            <w:pPr>
              <w:widowControl w:val="0"/>
              <w:spacing w:before="15" w:after="15"/>
              <w:ind w:right="-113"/>
              <w:jc w:val="both"/>
              <w:rPr>
                <w:noProof/>
                <w:spacing w:val="-6"/>
                <w:sz w:val="22"/>
                <w:szCs w:val="22"/>
              </w:rPr>
            </w:pPr>
            <w:r>
              <w:rPr>
                <w:noProof/>
                <w:spacing w:val="-6"/>
                <w:sz w:val="22"/>
              </w:rPr>
              <w:t>Подпомагане на държавите членки в случай на мащабно природно бедствие със сериозно отражение върху условията на живот, околната среда или икономиката</w:t>
            </w:r>
          </w:p>
        </w:tc>
        <w:tc>
          <w:tcPr>
            <w:tcW w:w="1701" w:type="dxa"/>
          </w:tcPr>
          <w:p>
            <w:pPr>
              <w:widowControl w:val="0"/>
              <w:spacing w:before="15" w:after="15"/>
              <w:jc w:val="right"/>
              <w:rPr>
                <w:noProof/>
                <w:sz w:val="22"/>
                <w:szCs w:val="22"/>
              </w:rPr>
            </w:pPr>
            <w:r>
              <w:rPr>
                <w:noProof/>
                <w:sz w:val="22"/>
              </w:rPr>
              <w:t>97 646 105</w:t>
            </w:r>
          </w:p>
        </w:tc>
        <w:tc>
          <w:tcPr>
            <w:tcW w:w="1701" w:type="dxa"/>
          </w:tcPr>
          <w:p>
            <w:pPr>
              <w:widowControl w:val="0"/>
              <w:spacing w:before="15" w:after="15"/>
              <w:jc w:val="right"/>
              <w:rPr>
                <w:noProof/>
                <w:sz w:val="22"/>
                <w:szCs w:val="22"/>
              </w:rPr>
            </w:pPr>
            <w:r>
              <w:rPr>
                <w:noProof/>
                <w:sz w:val="22"/>
              </w:rPr>
              <w:t>97 646 105</w:t>
            </w:r>
          </w:p>
        </w:tc>
      </w:tr>
      <w:tr>
        <w:tc>
          <w:tcPr>
            <w:tcW w:w="6379" w:type="dxa"/>
            <w:gridSpan w:val="2"/>
            <w:shd w:val="clear" w:color="auto" w:fill="D9D9D9"/>
          </w:tcPr>
          <w:p>
            <w:pPr>
              <w:widowControl w:val="0"/>
              <w:tabs>
                <w:tab w:val="left" w:pos="975"/>
              </w:tabs>
              <w:spacing w:before="15" w:after="15"/>
              <w:jc w:val="both"/>
              <w:rPr>
                <w:b/>
                <w:noProof/>
                <w:sz w:val="22"/>
                <w:szCs w:val="22"/>
              </w:rPr>
            </w:pPr>
            <w:r>
              <w:rPr>
                <w:b/>
                <w:noProof/>
                <w:sz w:val="22"/>
              </w:rPr>
              <w:t>Общо</w:t>
            </w:r>
            <w:r>
              <w:rPr>
                <w:noProof/>
              </w:rPr>
              <w:tab/>
            </w:r>
          </w:p>
        </w:tc>
        <w:tc>
          <w:tcPr>
            <w:tcW w:w="1701" w:type="dxa"/>
            <w:shd w:val="clear" w:color="auto" w:fill="D9D9D9"/>
          </w:tcPr>
          <w:p>
            <w:pPr>
              <w:widowControl w:val="0"/>
              <w:spacing w:before="15" w:after="15"/>
              <w:jc w:val="right"/>
              <w:rPr>
                <w:b/>
                <w:noProof/>
                <w:sz w:val="22"/>
                <w:szCs w:val="22"/>
              </w:rPr>
            </w:pPr>
            <w:r>
              <w:rPr>
                <w:b/>
                <w:noProof/>
                <w:sz w:val="22"/>
              </w:rPr>
              <w:t>97 646 105</w:t>
            </w:r>
          </w:p>
        </w:tc>
        <w:tc>
          <w:tcPr>
            <w:tcW w:w="1701" w:type="dxa"/>
            <w:shd w:val="clear" w:color="auto" w:fill="D9D9D9"/>
          </w:tcPr>
          <w:p>
            <w:pPr>
              <w:widowControl w:val="0"/>
              <w:spacing w:before="15" w:after="15"/>
              <w:jc w:val="right"/>
              <w:rPr>
                <w:b/>
                <w:noProof/>
                <w:sz w:val="22"/>
                <w:szCs w:val="22"/>
              </w:rPr>
            </w:pPr>
            <w:r>
              <w:rPr>
                <w:b/>
                <w:noProof/>
                <w:sz w:val="22"/>
              </w:rPr>
              <w:t>97 646 105</w:t>
            </w:r>
          </w:p>
        </w:tc>
      </w:tr>
    </w:tbl>
    <w:p>
      <w:pPr>
        <w:pStyle w:val="ManualHeading1"/>
        <w:pageBreakBefore/>
      </w:pPr>
      <w:bookmarkStart w:id="26" w:name="_Toc505626924"/>
      <w:bookmarkStart w:id="27" w:name="_Toc507508068"/>
      <w:bookmarkEnd w:id="20"/>
      <w:bookmarkEnd w:id="21"/>
      <w:bookmarkEnd w:id="22"/>
      <w:r>
        <w:t>4.</w:t>
      </w:r>
      <w:r>
        <w:tab/>
        <w:t>Обобщаваща таблица по функции от МФР</w:t>
      </w:r>
      <w:bookmarkEnd w:id="26"/>
      <w:bookmarkEnd w:id="27"/>
    </w:p>
    <w:tbl>
      <w:tblPr>
        <w:tblW w:w="11057" w:type="dxa"/>
        <w:tblInd w:w="-459" w:type="dxa"/>
        <w:tblLook w:val="04A0" w:firstRow="1" w:lastRow="0" w:firstColumn="1" w:lastColumn="0" w:noHBand="0" w:noVBand="1"/>
      </w:tblPr>
      <w:tblGrid>
        <w:gridCol w:w="358"/>
        <w:gridCol w:w="2777"/>
        <w:gridCol w:w="1543"/>
        <w:gridCol w:w="1408"/>
        <w:gridCol w:w="1144"/>
        <w:gridCol w:w="1134"/>
        <w:gridCol w:w="1275"/>
        <w:gridCol w:w="1418"/>
      </w:tblGrid>
      <w:tr>
        <w:trPr>
          <w:trHeight w:val="210"/>
        </w:trPr>
        <w:tc>
          <w:tcPr>
            <w:tcW w:w="3134"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3"/>
          <w:bookmarkEnd w:id="14"/>
          <w:bookmarkEnd w:id="18"/>
          <w:bookmarkEnd w:id="19"/>
          <w:p>
            <w:pPr>
              <w:jc w:val="center"/>
              <w:rPr>
                <w:b/>
                <w:bCs/>
                <w:noProof/>
                <w:color w:val="000000"/>
                <w:sz w:val="14"/>
                <w:szCs w:val="14"/>
              </w:rPr>
            </w:pPr>
            <w:r>
              <w:rPr>
                <w:b/>
                <w:noProof/>
                <w:color w:val="000000"/>
                <w:sz w:val="14"/>
              </w:rPr>
              <w:t>Функция</w:t>
            </w:r>
          </w:p>
        </w:tc>
        <w:tc>
          <w:tcPr>
            <w:tcW w:w="2952"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Бюджет за 2018 г.</w:t>
            </w:r>
          </w:p>
        </w:tc>
        <w:tc>
          <w:tcPr>
            <w:tcW w:w="227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Проект на коригиращ бюджет 1/2018</w:t>
            </w:r>
          </w:p>
        </w:tc>
        <w:tc>
          <w:tcPr>
            <w:tcW w:w="2693"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Бюджет за 2018 г.</w:t>
            </w:r>
          </w:p>
        </w:tc>
      </w:tr>
      <w:tr>
        <w:trPr>
          <w:trHeight w:val="210"/>
        </w:trPr>
        <w:tc>
          <w:tcPr>
            <w:tcW w:w="3134"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952"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 </w:t>
            </w:r>
          </w:p>
        </w:tc>
        <w:tc>
          <w:tcPr>
            <w:tcW w:w="2278"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693"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(вкл. ПВК 1/2018)</w:t>
            </w:r>
          </w:p>
        </w:tc>
      </w:tr>
      <w:tr>
        <w:trPr>
          <w:trHeight w:val="210"/>
        </w:trPr>
        <w:tc>
          <w:tcPr>
            <w:tcW w:w="3134"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544"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40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c>
          <w:tcPr>
            <w:tcW w:w="114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13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c>
          <w:tcPr>
            <w:tcW w:w="1275"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41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r>
      <w:tr>
        <w:trPr>
          <w:trHeight w:val="225"/>
        </w:trPr>
        <w:tc>
          <w:tcPr>
            <w:tcW w:w="356"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2778"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Интелигентен и приобщаващ растеж</w:t>
            </w:r>
          </w:p>
        </w:tc>
        <w:tc>
          <w:tcPr>
            <w:tcW w:w="1544" w:type="dxa"/>
            <w:tcBorders>
              <w:top w:val="single" w:sz="4" w:space="0" w:color="auto"/>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77 533 697 652</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66 624 486 101</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77 533 697 652</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66 624 486 101</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1 113 697 652</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1 113 697 652</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Таван </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76 420 000 000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Марж</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1a</w:t>
            </w:r>
          </w:p>
        </w:tc>
        <w:tc>
          <w:tcPr>
            <w:tcW w:w="2778"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Конкурентоспособност за растеж и заетост</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22 001 452 724</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20 097 167 844</w:t>
            </w:r>
          </w:p>
        </w:tc>
        <w:tc>
          <w:tcPr>
            <w:tcW w:w="114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22 001 452 724</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20 097 167 844</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762 452 724</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762 452 724</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21 239 000 000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1б </w:t>
            </w:r>
          </w:p>
        </w:tc>
        <w:tc>
          <w:tcPr>
            <w:tcW w:w="2778"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Икономическо, социално и териториално сближаване</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55 532 244 928</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46 527 318 257</w:t>
            </w:r>
          </w:p>
        </w:tc>
        <w:tc>
          <w:tcPr>
            <w:tcW w:w="114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55 532 244 928</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46 527 318 257</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351 244 928</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351 244 928</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55 181 000 000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Марж</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Устойчив растеж: природни ресурси</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59 285 323 122</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56 083 793 633</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59 285 323 122</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56 083 793 633</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60 267 000 000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981 676 878</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981 676 878</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От които: Европейски фонд за гарантиране на земеделието (ЕФГЗ) — Разходи, свързани с пазара, и преки плащания</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43 234 516 899</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43 188 677 466</w:t>
            </w:r>
          </w:p>
        </w:tc>
        <w:tc>
          <w:tcPr>
            <w:tcW w:w="114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43 234 516 899</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43 188 677 466</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Подтаван</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44 163 000 000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 за ЕФГЗ</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927 833 101</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927 833 101</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Сигурност и гражданство</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3 493 241 199</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2 980 707 175</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3 493 241 199</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2 980 707 175</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по Инструмента за гъвкавост</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837 241 199</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837 241 199</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2 656 000 000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Глобална Европа</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9 568 842 411</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8 906 075 154</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9 568 842 411</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8 906 075 154</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9 825 000 000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256 157 589</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256 157 589</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Администрация</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9 665 513 627</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9 666 318 627</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9 665 513 627</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9 666 318 627</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10 346 000 000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компенсирани от маржа за непредвидени обстоятелства</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- 318 000 000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362 486 373</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362 486 373</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От които: Административни разходи на институциите</w:t>
            </w:r>
          </w:p>
        </w:tc>
        <w:tc>
          <w:tcPr>
            <w:tcW w:w="1544" w:type="dxa"/>
            <w:tcBorders>
              <w:top w:val="single" w:sz="4" w:space="0" w:color="auto"/>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7 579 920 627</w:t>
            </w:r>
          </w:p>
        </w:tc>
        <w:tc>
          <w:tcPr>
            <w:tcW w:w="1408" w:type="dxa"/>
            <w:tcBorders>
              <w:top w:val="single" w:sz="4" w:space="0" w:color="auto"/>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7 580 725 627</w:t>
            </w:r>
          </w:p>
        </w:tc>
        <w:tc>
          <w:tcPr>
            <w:tcW w:w="1144"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134"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7 579 920 627</w:t>
            </w:r>
          </w:p>
        </w:tc>
        <w:tc>
          <w:tcPr>
            <w:tcW w:w="1418"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7 580 725 627</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Подтаван</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8 360 000 000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компенсирани от маржа за непредвидени обстоятелства</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- 318 000 000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462 079 373</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462 079 373</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6.</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Компенсации</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Отрицателен резерв</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r>
      <w:tr>
        <w:trPr>
          <w:trHeight w:val="225"/>
        </w:trPr>
        <w:tc>
          <w:tcPr>
            <w:tcW w:w="3134"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Общо</w:t>
            </w:r>
          </w:p>
        </w:tc>
        <w:tc>
          <w:tcPr>
            <w:tcW w:w="1544"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159 546 618 011</w:t>
            </w:r>
          </w:p>
        </w:tc>
        <w:tc>
          <w:tcPr>
            <w:tcW w:w="1408"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144 261 380 690</w:t>
            </w:r>
          </w:p>
        </w:tc>
        <w:tc>
          <w:tcPr>
            <w:tcW w:w="1144"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134"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275"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159 546 618 011</w:t>
            </w:r>
          </w:p>
        </w:tc>
        <w:tc>
          <w:tcPr>
            <w:tcW w:w="1418"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144 261 380 690</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по Инструмента за гъвкавост</w:t>
            </w:r>
          </w:p>
        </w:tc>
        <w:tc>
          <w:tcPr>
            <w:tcW w:w="15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408" w:type="dxa"/>
            <w:tcBorders>
              <w:top w:val="nil"/>
              <w:left w:val="nil"/>
              <w:bottom w:val="dotted" w:sz="4" w:space="0" w:color="auto"/>
              <w:right w:val="single" w:sz="4" w:space="0" w:color="auto"/>
            </w:tcBorders>
            <w:shd w:val="clear" w:color="000000" w:fill="D9D9D9"/>
            <w:vAlign w:val="center"/>
            <w:hideMark/>
          </w:tcPr>
          <w:p>
            <w:pPr>
              <w:jc w:val="right"/>
              <w:rPr>
                <w:i/>
                <w:iCs/>
                <w:noProof/>
                <w:color w:val="000000"/>
                <w:sz w:val="14"/>
                <w:szCs w:val="14"/>
              </w:rPr>
            </w:pPr>
            <w:r>
              <w:rPr>
                <w:i/>
                <w:noProof/>
                <w:color w:val="000000"/>
                <w:sz w:val="14"/>
              </w:rPr>
              <w:t xml:space="preserve"> 678 340 197</w:t>
            </w:r>
          </w:p>
        </w:tc>
        <w:tc>
          <w:tcPr>
            <w:tcW w:w="11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7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678 340 197</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в общия марж за поетите задължения</w:t>
            </w:r>
          </w:p>
        </w:tc>
        <w:tc>
          <w:tcPr>
            <w:tcW w:w="15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1 113 697 652</w:t>
            </w:r>
          </w:p>
        </w:tc>
        <w:tc>
          <w:tcPr>
            <w:tcW w:w="140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1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7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1 113 697 652</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по маржа за непредвидени обстоятелства</w:t>
            </w:r>
          </w:p>
        </w:tc>
        <w:tc>
          <w:tcPr>
            <w:tcW w:w="15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40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1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7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Таван</w:t>
            </w:r>
          </w:p>
        </w:tc>
        <w:tc>
          <w:tcPr>
            <w:tcW w:w="15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40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c>
          <w:tcPr>
            <w:tcW w:w="11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7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компенсирани от маржа за непредвидени обстоятелства</w:t>
            </w:r>
          </w:p>
        </w:tc>
        <w:tc>
          <w:tcPr>
            <w:tcW w:w="15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40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1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7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trPr>
        <w:tc>
          <w:tcPr>
            <w:tcW w:w="3134"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Марж</w:t>
            </w:r>
          </w:p>
        </w:tc>
        <w:tc>
          <w:tcPr>
            <w:tcW w:w="154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1 600 320 840</w:t>
            </w:r>
          </w:p>
        </w:tc>
        <w:tc>
          <w:tcPr>
            <w:tcW w:w="140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10 981 959 507</w:t>
            </w:r>
          </w:p>
        </w:tc>
        <w:tc>
          <w:tcPr>
            <w:tcW w:w="114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75"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1 600 320 840</w:t>
            </w:r>
          </w:p>
        </w:tc>
        <w:tc>
          <w:tcPr>
            <w:tcW w:w="141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10 981 959 507</w:t>
            </w:r>
          </w:p>
        </w:tc>
      </w:tr>
      <w:tr>
        <w:trPr>
          <w:trHeight w:val="225"/>
        </w:trPr>
        <w:tc>
          <w:tcPr>
            <w:tcW w:w="356"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778" w:type="dxa"/>
            <w:tcBorders>
              <w:top w:val="single" w:sz="4" w:space="0" w:color="auto"/>
              <w:left w:val="nil"/>
              <w:bottom w:val="single" w:sz="4" w:space="0" w:color="auto"/>
              <w:right w:val="single" w:sz="4" w:space="0" w:color="auto"/>
            </w:tcBorders>
            <w:shd w:val="clear" w:color="000000" w:fill="FFFFFF"/>
            <w:vAlign w:val="center"/>
            <w:hideMark/>
          </w:tcPr>
          <w:p>
            <w:pPr>
              <w:rPr>
                <w:b/>
                <w:bCs/>
                <w:noProof/>
                <w:color w:val="000000"/>
                <w:sz w:val="14"/>
                <w:szCs w:val="14"/>
              </w:rPr>
            </w:pPr>
            <w:r>
              <w:rPr>
                <w:b/>
                <w:noProof/>
                <w:color w:val="000000"/>
                <w:sz w:val="14"/>
              </w:rPr>
              <w:t>Други специални инструменти</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566 902 000</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419 600 000</w:t>
            </w:r>
          </w:p>
        </w:tc>
        <w:tc>
          <w:tcPr>
            <w:tcW w:w="114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97 646 105</w:t>
            </w:r>
          </w:p>
        </w:tc>
        <w:tc>
          <w:tcPr>
            <w:tcW w:w="113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97 646 105</w:t>
            </w:r>
          </w:p>
        </w:tc>
        <w:tc>
          <w:tcPr>
            <w:tcW w:w="1275"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664 548 105</w:t>
            </w:r>
          </w:p>
        </w:tc>
        <w:tc>
          <w:tcPr>
            <w:tcW w:w="141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517 246 105</w:t>
            </w:r>
          </w:p>
        </w:tc>
      </w:tr>
      <w:tr>
        <w:trPr>
          <w:trHeight w:val="225"/>
        </w:trPr>
        <w:tc>
          <w:tcPr>
            <w:tcW w:w="3134"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Всичко общо</w:t>
            </w:r>
          </w:p>
        </w:tc>
        <w:tc>
          <w:tcPr>
            <w:tcW w:w="154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160 113 520 011</w:t>
            </w:r>
          </w:p>
        </w:tc>
        <w:tc>
          <w:tcPr>
            <w:tcW w:w="140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144 680 980 690</w:t>
            </w:r>
          </w:p>
        </w:tc>
        <w:tc>
          <w:tcPr>
            <w:tcW w:w="114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97 646 105</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97 646 105</w:t>
            </w:r>
          </w:p>
        </w:tc>
        <w:tc>
          <w:tcPr>
            <w:tcW w:w="1275"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160 211 166 116</w:t>
            </w:r>
          </w:p>
        </w:tc>
        <w:tc>
          <w:tcPr>
            <w:tcW w:w="141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144 778 626 795</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347"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9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9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05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tab/>
      </w:r>
      <w:r>
        <w:rPr>
          <w:sz w:val="18"/>
        </w:rPr>
        <w:t>ОВ L 298, 26.10.2012 г., стр. 1.</w:t>
      </w:r>
    </w:p>
  </w:footnote>
  <w:footnote w:id="3">
    <w:p>
      <w:pPr>
        <w:pStyle w:val="FootnoteText"/>
        <w:rPr>
          <w:lang w:val="pl-PL"/>
        </w:rPr>
      </w:pPr>
      <w:r>
        <w:rPr>
          <w:rStyle w:val="FootnoteReference"/>
        </w:rPr>
        <w:footnoteRef/>
      </w:r>
      <w:r>
        <w:tab/>
      </w:r>
      <w:r>
        <w:rPr>
          <w:sz w:val="18"/>
        </w:rPr>
        <w:t>ОВ L XX, XX.2.2018 г.</w:t>
      </w:r>
    </w:p>
  </w:footnote>
  <w:footnote w:id="4">
    <w:p>
      <w:pPr>
        <w:pStyle w:val="FootnoteText"/>
      </w:pPr>
      <w:r>
        <w:rPr>
          <w:rStyle w:val="FootnoteReference"/>
        </w:rPr>
        <w:footnoteRef/>
      </w:r>
      <w:r>
        <w:t xml:space="preserve"> </w:t>
      </w:r>
      <w:r>
        <w:tab/>
        <w:t>COM(2018) 150, 22.2.2018 г.</w:t>
      </w:r>
    </w:p>
  </w:footnote>
  <w:footnote w:id="5">
    <w:p>
      <w:pPr>
        <w:pStyle w:val="FootnoteText"/>
      </w:pPr>
      <w:r>
        <w:rPr>
          <w:rStyle w:val="FootnoteReference"/>
        </w:rPr>
        <w:footnoteRef/>
      </w:r>
      <w:r>
        <w:t xml:space="preserve"> </w:t>
      </w:r>
      <w:r>
        <w:tab/>
        <w:t>Регламент (ЕС, Евратом) № 1311/2013 на Съвета от 2 декември 2013 г. за определяне на многогодишната финансова рамка за годините 2014—2020 (ОВ L 347, 20.12.2013 г., стр. 884).</w:t>
      </w:r>
    </w:p>
  </w:footnote>
  <w:footnote w:id="6">
    <w:p>
      <w:pPr>
        <w:ind w:left="709" w:hanging="709"/>
        <w:jc w:val="both"/>
        <w:rPr>
          <w:sz w:val="20"/>
          <w:szCs w:val="20"/>
        </w:rPr>
      </w:pPr>
      <w:r>
        <w:rPr>
          <w:rStyle w:val="FootnoteReference"/>
          <w:sz w:val="20"/>
          <w:szCs w:val="20"/>
        </w:rPr>
        <w:footnoteRef/>
      </w:r>
      <w:r>
        <w:rPr>
          <w:sz w:val="20"/>
          <w:szCs w:val="20"/>
        </w:rPr>
        <w:tab/>
        <w:t>Решение (ЕС) 2017/1599 на Европейския парламент и на Съвета от 13 септември 2017 г. относно мобилизирането на средства от фонд „Солидарност“ на Европейския съюз за оказване на помощ на Италия.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A1A9734"/>
    <w:lvl w:ilvl="0">
      <w:start w:val="1"/>
      <w:numFmt w:val="decimal"/>
      <w:lvlText w:val="%1."/>
      <w:lvlJc w:val="left"/>
      <w:pPr>
        <w:tabs>
          <w:tab w:val="num" w:pos="360"/>
        </w:tabs>
        <w:ind w:left="360" w:hanging="360"/>
      </w:pPr>
    </w:lvl>
  </w:abstractNum>
  <w:abstractNum w:abstractNumId="3">
    <w:nsid w:val="04D63873"/>
    <w:multiLevelType w:val="multilevel"/>
    <w:tmpl w:val="86FE23B4"/>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8BE211A"/>
    <w:multiLevelType w:val="hybridMultilevel"/>
    <w:tmpl w:val="B8AAEDF2"/>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99C6FA8"/>
    <w:multiLevelType w:val="hybridMultilevel"/>
    <w:tmpl w:val="D7D82866"/>
    <w:lvl w:ilvl="0" w:tplc="70981A52">
      <w:start w:val="1"/>
      <w:numFmt w:val="bullet"/>
      <w:lvlText w:val=""/>
      <w:lvlJc w:val="left"/>
      <w:pPr>
        <w:ind w:left="525" w:hanging="52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E46741"/>
    <w:multiLevelType w:val="hybridMultilevel"/>
    <w:tmpl w:val="CF8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2">
    <w:nsid w:val="34AF67B3"/>
    <w:multiLevelType w:val="hybridMultilevel"/>
    <w:tmpl w:val="206672F4"/>
    <w:lvl w:ilvl="0" w:tplc="5FD4A2D4">
      <w:start w:val="2"/>
      <w:numFmt w:val="bullet"/>
      <w:lvlText w:val="·"/>
      <w:lvlJc w:val="left"/>
      <w:pPr>
        <w:ind w:left="885" w:hanging="52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5">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290503"/>
    <w:multiLevelType w:val="hybridMultilevel"/>
    <w:tmpl w:val="ADD2FC7E"/>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E76506"/>
    <w:multiLevelType w:val="hybridMultilevel"/>
    <w:tmpl w:val="9AFA166C"/>
    <w:lvl w:ilvl="0" w:tplc="49467B3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8C3B69"/>
    <w:multiLevelType w:val="multilevel"/>
    <w:tmpl w:val="C18A497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AC004F"/>
    <w:multiLevelType w:val="multilevel"/>
    <w:tmpl w:val="57CA7644"/>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AC94459"/>
    <w:multiLevelType w:val="hybridMultilevel"/>
    <w:tmpl w:val="AB8E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1"/>
  </w:num>
  <w:num w:numId="4">
    <w:abstractNumId w:val="13"/>
  </w:num>
  <w:num w:numId="5">
    <w:abstractNumId w:val="8"/>
  </w:num>
  <w:num w:numId="6">
    <w:abstractNumId w:val="19"/>
  </w:num>
  <w:num w:numId="7">
    <w:abstractNumId w:val="6"/>
  </w:num>
  <w:num w:numId="8">
    <w:abstractNumId w:val="20"/>
  </w:num>
  <w:num w:numId="9">
    <w:abstractNumId w:val="0"/>
  </w:num>
  <w:num w:numId="10">
    <w:abstractNumId w:val="1"/>
  </w:num>
  <w:num w:numId="11">
    <w:abstractNumId w:val="10"/>
  </w:num>
  <w:num w:numId="12">
    <w:abstractNumId w:val="14"/>
  </w:num>
  <w:num w:numId="13">
    <w:abstractNumId w:val="15"/>
  </w:num>
  <w:num w:numId="14">
    <w:abstractNumId w:val="14"/>
  </w:num>
  <w:num w:numId="15">
    <w:abstractNumId w:val="14"/>
  </w:num>
  <w:num w:numId="16">
    <w:abstractNumId w:val="14"/>
  </w:num>
  <w:num w:numId="17">
    <w:abstractNumId w:val="5"/>
  </w:num>
  <w:num w:numId="18">
    <w:abstractNumId w:val="16"/>
  </w:num>
  <w:num w:numId="19">
    <w:abstractNumId w:val="22"/>
  </w:num>
  <w:num w:numId="20">
    <w:abstractNumId w:val="19"/>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num>
  <w:num w:numId="25">
    <w:abstractNumId w:val="19"/>
  </w:num>
  <w:num w:numId="26">
    <w:abstractNumId w:val="19"/>
  </w:num>
  <w:num w:numId="27">
    <w:abstractNumId w:val="23"/>
  </w:num>
  <w:num w:numId="28">
    <w:abstractNumId w:val="3"/>
  </w:num>
  <w:num w:numId="29">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2">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17"/>
  </w:num>
  <w:num w:numId="34">
    <w:abstractNumId w:val="4"/>
  </w:num>
  <w:num w:numId="35">
    <w:abstractNumId w:val="9"/>
  </w:num>
  <w:num w:numId="36">
    <w:abstractNumId w:val="11"/>
  </w:num>
  <w:num w:numId="37">
    <w:abstractNumId w:val="18"/>
  </w:num>
  <w:num w:numId="38">
    <w:abstractNumId w:val="24"/>
  </w:num>
  <w:num w:numId="39">
    <w:abstractNumId w:val="12"/>
  </w:num>
  <w:num w:numId="4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722E932-8617-4F23-8810-AA45B5DB518E"/>
    <w:docVar w:name="LW_COVERPAGE_TYPE" w:val="1"/>
    <w:docVar w:name="LW_CROSSREFERENCE" w:val="&lt;UNUSED&gt;"/>
    <w:docVar w:name="LW_DocType" w:val="NORMAL"/>
    <w:docVar w:name="LW_EMISSION" w:val="22.2.2018"/>
    <w:docVar w:name="LW_EMISSION_ISODATE" w:val="2018-02-22"/>
    <w:docVar w:name="LW_EMISSION_LOCATION" w:val="BRX"/>
    <w:docVar w:name="LW_EMISSION_PREFIX" w:val="Брюксел, "/>
    <w:docVar w:name="LW_EMISSION_SUFFIX" w:val="\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7?\u1098?\u1087?\u1098?\u1090?\u1089?\u1090?\u1074?\u1072?\u1097? \u1087?\u1088?\u1077?\u1076?\u1083?\u1086?\u1078?\u1077?\u1085?\u1080?\u1077?\u1090?\u1086? \u1079?\u1072? \u1084?\u1086?\u1073?\u1080?\u1083?\u1080?\u1079?\u1080?\u1088?\u1072?\u1085?\u1077? \u1085?\u1072? \u1089?\u1088?\u1077?\u1076?\u1089?\u1090?\u1074?\u1072? \u1086?\u1090? \u1092?\u1086?\u1085?\u1076? \u8222?\u1057?\u1086?\u1083?\u1080?\u1076?\u1072?\u1088?\u1085?\u1086?\u1089?\u1090?\u8220? \u1085?\u1072? \u1045?\u1074?\u1088?\u1086?\u1087?\u1077?\u1081?\u1089?\u1082?\u1080?\u1103? \u1089?\u1098?\u1102?\u1079? \u1089? \u1094?\u1077?\u1083? \u1087?\u1088?\u1077?\u1076?\u1086?\u1089?\u1090?\u1072?\u1074?\u1103?\u1085?\u1077? \u1085?\u1072? \u1087?\u1086?\u1084?\u1086?\u1097? \u1085?\u1072? \u1043?\u1098?\u1088?\u1094?\u1080?\u1103?, \u1048?\u1089?\u1087?\u1072?\u1085?\u1080?\u1103?, \u1060?\u1088?\u1072?\u1085?\u1094?\u1080?\u1103? \u1080? \u1055?\u1086?\u1088?\u1090?\u1091?\u1075?\u1072?\u1083?\u1080?\u1103?"/>
    <w:docVar w:name="LW_TITRE.OBJ.CP_PREVIOUS" w:val="&lt;UNUSED&gt;"/>
    <w:docVar w:name="LW_TYPE.DOC.CP" w:val="\u1055?\u1056?\u1054?\u1045?\u1050?\u1058? \u1053?\u1040? \u1050?\u1054?\u1056?\u1048?\u1043?\u1048?\u1056?\u1040?\u1065? \u1041?\u1070?\u1044?\u1046?\u1045?\u1058? \u8470? 1_x000b_\u1050?\u1066?\u1052? \u1054?\u1041?\u1065?\u1048?\u1071? \u1041?\u1070?\u1044?\u1046?\u1045?\u1058? \u1047?\u1040? 2018 \u1043?."/>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semiHidden="1" w:unhideWhenUsed="1" w:qFormat="1"/>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bg-BG"/>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semiHidden="1" w:unhideWhenUsed="1" w:qFormat="1"/>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bg-BG"/>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5918">
      <w:bodyDiv w:val="1"/>
      <w:marLeft w:val="0"/>
      <w:marRight w:val="0"/>
      <w:marTop w:val="0"/>
      <w:marBottom w:val="0"/>
      <w:divBdr>
        <w:top w:val="none" w:sz="0" w:space="0" w:color="auto"/>
        <w:left w:val="none" w:sz="0" w:space="0" w:color="auto"/>
        <w:bottom w:val="none" w:sz="0" w:space="0" w:color="auto"/>
        <w:right w:val="none" w:sz="0" w:space="0" w:color="auto"/>
      </w:divBdr>
    </w:div>
    <w:div w:id="53091381">
      <w:bodyDiv w:val="1"/>
      <w:marLeft w:val="0"/>
      <w:marRight w:val="0"/>
      <w:marTop w:val="0"/>
      <w:marBottom w:val="0"/>
      <w:divBdr>
        <w:top w:val="none" w:sz="0" w:space="0" w:color="auto"/>
        <w:left w:val="none" w:sz="0" w:space="0" w:color="auto"/>
        <w:bottom w:val="none" w:sz="0" w:space="0" w:color="auto"/>
        <w:right w:val="none" w:sz="0" w:space="0" w:color="auto"/>
      </w:divBdr>
    </w:div>
    <w:div w:id="65807294">
      <w:bodyDiv w:val="1"/>
      <w:marLeft w:val="0"/>
      <w:marRight w:val="0"/>
      <w:marTop w:val="0"/>
      <w:marBottom w:val="0"/>
      <w:divBdr>
        <w:top w:val="none" w:sz="0" w:space="0" w:color="auto"/>
        <w:left w:val="none" w:sz="0" w:space="0" w:color="auto"/>
        <w:bottom w:val="none" w:sz="0" w:space="0" w:color="auto"/>
        <w:right w:val="none" w:sz="0" w:space="0" w:color="auto"/>
      </w:divBdr>
    </w:div>
    <w:div w:id="77798609">
      <w:bodyDiv w:val="1"/>
      <w:marLeft w:val="0"/>
      <w:marRight w:val="0"/>
      <w:marTop w:val="0"/>
      <w:marBottom w:val="0"/>
      <w:divBdr>
        <w:top w:val="none" w:sz="0" w:space="0" w:color="auto"/>
        <w:left w:val="none" w:sz="0" w:space="0" w:color="auto"/>
        <w:bottom w:val="none" w:sz="0" w:space="0" w:color="auto"/>
        <w:right w:val="none" w:sz="0" w:space="0" w:color="auto"/>
      </w:divBdr>
    </w:div>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3713">
      <w:bodyDiv w:val="1"/>
      <w:marLeft w:val="0"/>
      <w:marRight w:val="0"/>
      <w:marTop w:val="0"/>
      <w:marBottom w:val="0"/>
      <w:divBdr>
        <w:top w:val="none" w:sz="0" w:space="0" w:color="auto"/>
        <w:left w:val="none" w:sz="0" w:space="0" w:color="auto"/>
        <w:bottom w:val="none" w:sz="0" w:space="0" w:color="auto"/>
        <w:right w:val="none" w:sz="0" w:space="0" w:color="auto"/>
      </w:divBdr>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03250459">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280889594">
      <w:bodyDiv w:val="1"/>
      <w:marLeft w:val="0"/>
      <w:marRight w:val="0"/>
      <w:marTop w:val="0"/>
      <w:marBottom w:val="0"/>
      <w:divBdr>
        <w:top w:val="none" w:sz="0" w:space="0" w:color="auto"/>
        <w:left w:val="none" w:sz="0" w:space="0" w:color="auto"/>
        <w:bottom w:val="none" w:sz="0" w:space="0" w:color="auto"/>
        <w:right w:val="none" w:sz="0" w:space="0" w:color="auto"/>
      </w:divBdr>
    </w:div>
    <w:div w:id="330136016">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71955280">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778990717">
      <w:bodyDiv w:val="1"/>
      <w:marLeft w:val="0"/>
      <w:marRight w:val="0"/>
      <w:marTop w:val="0"/>
      <w:marBottom w:val="0"/>
      <w:divBdr>
        <w:top w:val="none" w:sz="0" w:space="0" w:color="auto"/>
        <w:left w:val="none" w:sz="0" w:space="0" w:color="auto"/>
        <w:bottom w:val="none" w:sz="0" w:space="0" w:color="auto"/>
        <w:right w:val="none" w:sz="0" w:space="0" w:color="auto"/>
      </w:divBdr>
    </w:div>
    <w:div w:id="788663921">
      <w:bodyDiv w:val="1"/>
      <w:marLeft w:val="0"/>
      <w:marRight w:val="0"/>
      <w:marTop w:val="0"/>
      <w:marBottom w:val="0"/>
      <w:divBdr>
        <w:top w:val="none" w:sz="0" w:space="0" w:color="auto"/>
        <w:left w:val="none" w:sz="0" w:space="0" w:color="auto"/>
        <w:bottom w:val="none" w:sz="0" w:space="0" w:color="auto"/>
        <w:right w:val="none" w:sz="0" w:space="0" w:color="auto"/>
      </w:divBdr>
    </w:div>
    <w:div w:id="794904518">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64634236">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3854170">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269513">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58623561">
      <w:bodyDiv w:val="1"/>
      <w:marLeft w:val="0"/>
      <w:marRight w:val="0"/>
      <w:marTop w:val="0"/>
      <w:marBottom w:val="0"/>
      <w:divBdr>
        <w:top w:val="none" w:sz="0" w:space="0" w:color="auto"/>
        <w:left w:val="none" w:sz="0" w:space="0" w:color="auto"/>
        <w:bottom w:val="none" w:sz="0" w:space="0" w:color="auto"/>
        <w:right w:val="none" w:sz="0" w:space="0" w:color="auto"/>
      </w:divBdr>
    </w:div>
    <w:div w:id="1073502690">
      <w:bodyDiv w:val="1"/>
      <w:marLeft w:val="0"/>
      <w:marRight w:val="0"/>
      <w:marTop w:val="0"/>
      <w:marBottom w:val="0"/>
      <w:divBdr>
        <w:top w:val="none" w:sz="0" w:space="0" w:color="auto"/>
        <w:left w:val="none" w:sz="0" w:space="0" w:color="auto"/>
        <w:bottom w:val="none" w:sz="0" w:space="0" w:color="auto"/>
        <w:right w:val="none" w:sz="0" w:space="0" w:color="auto"/>
      </w:divBdr>
    </w:div>
    <w:div w:id="1083726096">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291863010">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358434127">
      <w:bodyDiv w:val="1"/>
      <w:marLeft w:val="0"/>
      <w:marRight w:val="0"/>
      <w:marTop w:val="0"/>
      <w:marBottom w:val="0"/>
      <w:divBdr>
        <w:top w:val="none" w:sz="0" w:space="0" w:color="auto"/>
        <w:left w:val="none" w:sz="0" w:space="0" w:color="auto"/>
        <w:bottom w:val="none" w:sz="0" w:space="0" w:color="auto"/>
        <w:right w:val="none" w:sz="0" w:space="0" w:color="auto"/>
      </w:divBdr>
    </w:div>
    <w:div w:id="1383212917">
      <w:bodyDiv w:val="1"/>
      <w:marLeft w:val="0"/>
      <w:marRight w:val="0"/>
      <w:marTop w:val="0"/>
      <w:marBottom w:val="0"/>
      <w:divBdr>
        <w:top w:val="none" w:sz="0" w:space="0" w:color="auto"/>
        <w:left w:val="none" w:sz="0" w:space="0" w:color="auto"/>
        <w:bottom w:val="none" w:sz="0" w:space="0" w:color="auto"/>
        <w:right w:val="none" w:sz="0" w:space="0" w:color="auto"/>
      </w:divBdr>
    </w:div>
    <w:div w:id="1420981910">
      <w:bodyDiv w:val="1"/>
      <w:marLeft w:val="0"/>
      <w:marRight w:val="0"/>
      <w:marTop w:val="0"/>
      <w:marBottom w:val="0"/>
      <w:divBdr>
        <w:top w:val="none" w:sz="0" w:space="0" w:color="auto"/>
        <w:left w:val="none" w:sz="0" w:space="0" w:color="auto"/>
        <w:bottom w:val="none" w:sz="0" w:space="0" w:color="auto"/>
        <w:right w:val="none" w:sz="0" w:space="0" w:color="auto"/>
      </w:divBdr>
    </w:div>
    <w:div w:id="1433477716">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570267285">
      <w:bodyDiv w:val="1"/>
      <w:marLeft w:val="0"/>
      <w:marRight w:val="0"/>
      <w:marTop w:val="0"/>
      <w:marBottom w:val="0"/>
      <w:divBdr>
        <w:top w:val="none" w:sz="0" w:space="0" w:color="auto"/>
        <w:left w:val="none" w:sz="0" w:space="0" w:color="auto"/>
        <w:bottom w:val="none" w:sz="0" w:space="0" w:color="auto"/>
        <w:right w:val="none" w:sz="0" w:space="0" w:color="auto"/>
      </w:divBdr>
    </w:div>
    <w:div w:id="1576627459">
      <w:bodyDiv w:val="1"/>
      <w:marLeft w:val="0"/>
      <w:marRight w:val="0"/>
      <w:marTop w:val="0"/>
      <w:marBottom w:val="0"/>
      <w:divBdr>
        <w:top w:val="none" w:sz="0" w:space="0" w:color="auto"/>
        <w:left w:val="none" w:sz="0" w:space="0" w:color="auto"/>
        <w:bottom w:val="none" w:sz="0" w:space="0" w:color="auto"/>
        <w:right w:val="none" w:sz="0" w:space="0" w:color="auto"/>
      </w:divBdr>
    </w:div>
    <w:div w:id="1626277762">
      <w:bodyDiv w:val="1"/>
      <w:marLeft w:val="0"/>
      <w:marRight w:val="0"/>
      <w:marTop w:val="0"/>
      <w:marBottom w:val="0"/>
      <w:divBdr>
        <w:top w:val="none" w:sz="0" w:space="0" w:color="auto"/>
        <w:left w:val="none" w:sz="0" w:space="0" w:color="auto"/>
        <w:bottom w:val="none" w:sz="0" w:space="0" w:color="auto"/>
        <w:right w:val="none" w:sz="0" w:space="0" w:color="auto"/>
      </w:divBdr>
    </w:div>
    <w:div w:id="1713536956">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796096263">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09738884">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1914198131">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089960601">
      <w:bodyDiv w:val="1"/>
      <w:marLeft w:val="0"/>
      <w:marRight w:val="0"/>
      <w:marTop w:val="0"/>
      <w:marBottom w:val="0"/>
      <w:divBdr>
        <w:top w:val="none" w:sz="0" w:space="0" w:color="auto"/>
        <w:left w:val="none" w:sz="0" w:space="0" w:color="auto"/>
        <w:bottom w:val="none" w:sz="0" w:space="0" w:color="auto"/>
        <w:right w:val="none" w:sz="0" w:space="0" w:color="auto"/>
      </w:divBdr>
    </w:div>
    <w:div w:id="2120029748">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bg.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5DE0F-F465-4299-91BD-92341D2E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5897</Characters>
  <Application>Microsoft Office Word</Application>
  <DocSecurity>0</DocSecurity>
  <Lines>536</Lines>
  <Paragraphs>280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7001</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2018-02-19T15:29:00Z</dcterms:created>
  <dcterms:modified xsi:type="dcterms:W3CDTF">2018-03-02T13:20:00Z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