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378D00-C272-43B0-BCB5-A910D6DFF82C" style="width:450.7pt;height:443.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СЪОБЩЕНИЕ НА КОМИСИЯТА ДО ЕВРОПЕЙСКИЯ ПАРЛАМЕНТ, СЪВЕТА И ЕВРОПЕЙСКИЯ ИКОНОМИЧЕСКИ И СОЦИАЛЕН КОМИТЕТ</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Общ доклад на Комисията относно функционирането на REACH и преглед на някои елементи </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rPr>
        <w:t>Заключения и действия</w:t>
      </w:r>
    </w:p>
    <w:p>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(текст от значение за ЕИП)</w:t>
      </w:r>
    </w:p>
    <w:p>
      <w:pPr>
        <w:pStyle w:val="ManualHeading1"/>
        <w:rPr>
          <w:noProof/>
        </w:rPr>
      </w:pPr>
      <w:r>
        <w:t>1.</w:t>
      </w:r>
      <w:r>
        <w:tab/>
      </w:r>
      <w:r>
        <w:rPr>
          <w:noProof/>
        </w:rPr>
        <w:t>Въведение</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Регламентът на ЕС относно регистрацията, оценката, разрешаването и ограничаването на химикали (наричан по-надолу „REACH“)</w:t>
      </w:r>
      <w:r>
        <w:rPr>
          <w:rStyle w:val="FootnoteReference"/>
          <w:rFonts w:ascii="Times New Roman" w:hAnsi="Times New Roman"/>
          <w:noProof/>
          <w:sz w:val="24"/>
        </w:rPr>
        <w:footnoteReference w:id="1"/>
      </w:r>
      <w:r>
        <w:rPr>
          <w:rFonts w:ascii="Times New Roman" w:hAnsi="Times New Roman"/>
          <w:noProof/>
          <w:sz w:val="24"/>
        </w:rPr>
        <w:t xml:space="preserve"> влезе в сила през 2007 г.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REACH налага задължения на промишлеността да събира информация за безопасността на химичните вещества, да използва тази информация за разработване и прилагане на подходящи мерки за управление на риска, да съобщава за тези мерки на потребителите на химикали и накрая да документира това в регистрационни досиета, които се представят на Европейската агенция по химикали (ECHA). ECHA или държавите членки преценяват дали информацията за безопасността е достатъчна и, ако не е, изискват допълнителна информация.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С REACH също така се установяват два отделни подхода на ЕС за управление на риска: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а) </w:t>
      </w:r>
      <w:r>
        <w:rPr>
          <w:rFonts w:ascii="Times New Roman" w:hAnsi="Times New Roman"/>
          <w:i/>
          <w:noProof/>
          <w:sz w:val="24"/>
        </w:rPr>
        <w:t>ограниченията</w:t>
      </w:r>
      <w:r>
        <w:rPr>
          <w:rFonts w:ascii="Times New Roman" w:hAnsi="Times New Roman"/>
          <w:noProof/>
          <w:sz w:val="24"/>
        </w:rPr>
        <w:t xml:space="preserve"> позволяват на ЕС да налага условия по отношение на производството, пускането на пазара и употребата на вещества;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б) </w:t>
      </w:r>
      <w:r>
        <w:rPr>
          <w:rFonts w:ascii="Times New Roman" w:hAnsi="Times New Roman"/>
          <w:i/>
          <w:noProof/>
          <w:sz w:val="24"/>
        </w:rPr>
        <w:t>разрешаването</w:t>
      </w:r>
      <w:r>
        <w:rPr>
          <w:rFonts w:ascii="Times New Roman" w:hAnsi="Times New Roman"/>
          <w:noProof/>
          <w:sz w:val="24"/>
        </w:rPr>
        <w:t xml:space="preserve"> цели да гарантира, че веществата, пораждащи сериозно безпокойство (SVHC), се използват по безопасен начин, като същевременно се насърчава заместването с подходящи алтернативи.</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Един от първоначалните двигатели на политиката</w:t>
      </w:r>
      <w:r>
        <w:rPr>
          <w:rStyle w:val="FootnoteReference"/>
          <w:rFonts w:ascii="Times New Roman" w:hAnsi="Times New Roman"/>
          <w:noProof/>
          <w:sz w:val="24"/>
        </w:rPr>
        <w:footnoteReference w:id="2"/>
      </w:r>
      <w:r>
        <w:rPr>
          <w:rFonts w:ascii="Times New Roman" w:hAnsi="Times New Roman"/>
          <w:noProof/>
          <w:sz w:val="24"/>
        </w:rPr>
        <w:t xml:space="preserve"> за REACH беше бавният напредък при извършването на оценки на ЕС на риска и прилагането на стратегиите за намаляване на риска за съществуващите химикали</w:t>
      </w:r>
      <w:r>
        <w:rPr>
          <w:rStyle w:val="FootnoteReference"/>
          <w:rFonts w:ascii="Times New Roman" w:hAnsi="Times New Roman"/>
          <w:noProof/>
          <w:sz w:val="24"/>
        </w:rPr>
        <w:footnoteReference w:id="3"/>
      </w:r>
      <w:r>
        <w:rPr>
          <w:rFonts w:ascii="Times New Roman" w:hAnsi="Times New Roman"/>
          <w:noProof/>
          <w:sz w:val="24"/>
        </w:rPr>
        <w:t>. В допълнение към това за едва 20 % от тези вещества беше налична публично достъпна съвкупност от данни, която да позволява минимален скрининг за оценка на риска. В съответствие с принципа „замърсителят плаща“</w:t>
      </w:r>
      <w:r>
        <w:rPr>
          <w:rStyle w:val="FootnoteReference"/>
          <w:rFonts w:ascii="Times New Roman" w:hAnsi="Times New Roman"/>
          <w:noProof/>
          <w:sz w:val="24"/>
        </w:rPr>
        <w:footnoteReference w:id="4"/>
      </w:r>
      <w:r>
        <w:rPr>
          <w:rFonts w:ascii="Times New Roman" w:hAnsi="Times New Roman"/>
          <w:noProof/>
          <w:sz w:val="24"/>
        </w:rPr>
        <w:t xml:space="preserve"> REACH прехвърли доказателствената тежест върху промишлеността, като я направи отговорна за безопасността на химикалите по веригата на доставки. В допълнение към това органите следва да се съсредоточат върху онези рискове, които промишлеността не може да управлява по подходящ начин или не го прави. Защитата на околната среда и на здравето на човека бе друг първоначален двигател за REACH, който бе допълнен от целите да се гарантира свободното движение на химикали в ЕС, като така се подобрява конкурентоспособността и иновацията на промишлеността на ЕС и се насърчават методи за провеждане на изпитвания без използване на животни. Регулаторното предложение беше изготвено при следване на последователността от предварителната оценка и оценката на въздействието — подобно на цикъла на политиката, прилаган понастоящем в насоките на Комисията за по-добро регулиране</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също така допринася за изпълнението от страна на ЕС на целта за 2020 г., договорена на Световната среща на високо равнище по въпросите на устойчивото развитие (WSSD)</w:t>
      </w:r>
      <w:r>
        <w:rPr>
          <w:rStyle w:val="FootnoteReference"/>
          <w:rFonts w:ascii="Times New Roman" w:hAnsi="Times New Roman"/>
          <w:noProof/>
          <w:sz w:val="24"/>
        </w:rPr>
        <w:footnoteReference w:id="6"/>
      </w:r>
      <w:r>
        <w:rPr>
          <w:rFonts w:ascii="Times New Roman" w:hAnsi="Times New Roman"/>
          <w:noProof/>
          <w:sz w:val="24"/>
        </w:rPr>
        <w:t>. REACH обедини и съгласува корпуса от законодателни актове в областта на химикалите, приети през предходните десетилетия, като замени 40 различни законодателни акта с един-единствен регламент.</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
          <w:iCs/>
          <w:noProof/>
          <w:color w:val="00B050"/>
          <w:sz w:val="24"/>
          <w:szCs w:val="24"/>
        </w:rPr>
      </w:pPr>
      <w:r>
        <w:rPr>
          <w:rFonts w:ascii="Times New Roman" w:hAnsi="Times New Roman"/>
          <w:noProof/>
          <w:sz w:val="24"/>
        </w:rPr>
        <w:t>Държавите членки, ECHA и Комисията са длъжни редовно да докладват относно функционирането на регламента</w:t>
      </w:r>
      <w:r>
        <w:rPr>
          <w:rStyle w:val="FootnoteReference"/>
          <w:rFonts w:ascii="Times New Roman" w:hAnsi="Times New Roman"/>
          <w:noProof/>
          <w:sz w:val="24"/>
        </w:rPr>
        <w:footnoteReference w:id="7"/>
      </w:r>
      <w:r>
        <w:rPr>
          <w:rFonts w:ascii="Times New Roman" w:hAnsi="Times New Roman"/>
          <w:noProof/>
          <w:sz w:val="24"/>
        </w:rPr>
        <w:t>. Комисията също така трябва да извършва редица прегледи в рамките на различни срокове</w:t>
      </w:r>
      <w:r>
        <w:rPr>
          <w:rStyle w:val="FootnoteReference"/>
          <w:rFonts w:ascii="Times New Roman" w:hAnsi="Times New Roman"/>
          <w:noProof/>
          <w:sz w:val="24"/>
        </w:rPr>
        <w:footnoteReference w:id="8"/>
      </w:r>
      <w:r>
        <w:rPr>
          <w:rFonts w:ascii="Times New Roman" w:hAnsi="Times New Roman"/>
          <w:noProof/>
          <w:sz w:val="24"/>
        </w:rPr>
        <w:t>. През 2013 г. Комисията представи първия доклад, който обхваща първите пет години от функционирането на REACH и включва някои прегледи</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Настоящият документ представлява вторият доклад на Комисията относно функционирането на REACH. Оценката беше извършена като част от програмата за пригодност и резултатност на регулаторната рамка (REFIT) в съответствие с насоките на Комисията за по-добро регулиране</w:t>
      </w:r>
      <w:r>
        <w:rPr>
          <w:rFonts w:ascii="Times New Roman" w:hAnsi="Times New Roman"/>
          <w:noProof/>
          <w:sz w:val="24"/>
          <w:vertAlign w:val="superscript"/>
        </w:rPr>
        <w:t>2</w:t>
      </w:r>
      <w:r>
        <w:rPr>
          <w:rFonts w:ascii="Times New Roman" w:hAnsi="Times New Roman"/>
          <w:noProof/>
          <w:sz w:val="24"/>
        </w:rPr>
        <w:t xml:space="preserve"> и се придружава от работен документ на службите на Комисията</w:t>
      </w:r>
      <w:r>
        <w:rPr>
          <w:rStyle w:val="FootnoteReference"/>
          <w:rFonts w:ascii="Times New Roman" w:hAnsi="Times New Roman"/>
          <w:noProof/>
          <w:sz w:val="24"/>
        </w:rPr>
        <w:footnoteReference w:id="10"/>
      </w:r>
      <w:r>
        <w:rPr>
          <w:rFonts w:ascii="Times New Roman" w:hAnsi="Times New Roman"/>
          <w:noProof/>
          <w:sz w:val="24"/>
        </w:rPr>
        <w:t>. Настоящият доклад включва три прегледа: един преглед относно евентуалната регистрация на полимери</w:t>
      </w:r>
      <w:r>
        <w:rPr>
          <w:rStyle w:val="FootnoteReference"/>
          <w:rFonts w:ascii="Times New Roman" w:hAnsi="Times New Roman"/>
          <w:noProof/>
          <w:sz w:val="24"/>
        </w:rPr>
        <w:footnoteReference w:id="11"/>
      </w:r>
      <w:r>
        <w:rPr>
          <w:rFonts w:ascii="Times New Roman" w:hAnsi="Times New Roman"/>
          <w:noProof/>
          <w:sz w:val="24"/>
        </w:rPr>
        <w:t xml:space="preserve"> и два относно минималните изисквания за информация по отношение на вещества с нисък тонаж (1—10 тона годишно)</w:t>
      </w:r>
      <w:r>
        <w:rPr>
          <w:rStyle w:val="FootnoteReference"/>
          <w:rFonts w:ascii="Times New Roman" w:hAnsi="Times New Roman"/>
          <w:noProof/>
          <w:sz w:val="24"/>
        </w:rPr>
        <w:footnoteReference w:id="12"/>
      </w:r>
      <w:r>
        <w:rPr>
          <w:rFonts w:ascii="Times New Roman" w:hAnsi="Times New Roman"/>
          <w:noProof/>
          <w:sz w:val="24"/>
        </w:rPr>
        <w:t xml:space="preserve">. </w:t>
      </w:r>
    </w:p>
    <w:p>
      <w:pPr>
        <w:pStyle w:val="ManualHeading1"/>
        <w:rPr>
          <w:noProof/>
        </w:rPr>
      </w:pPr>
      <w:r>
        <w:t>2.</w:t>
      </w:r>
      <w:r>
        <w:tab/>
      </w:r>
      <w:r>
        <w:rPr>
          <w:noProof/>
        </w:rPr>
        <w:t>Констатации от оценката</w:t>
      </w:r>
    </w:p>
    <w:p>
      <w:pPr>
        <w:pStyle w:val="ManualHeading2"/>
        <w:rPr>
          <w:noProof/>
        </w:rPr>
      </w:pPr>
      <w:r>
        <w:t>2.1.</w:t>
      </w:r>
      <w:r>
        <w:tab/>
      </w:r>
      <w:r>
        <w:rPr>
          <w:noProof/>
        </w:rPr>
        <w:t>Постигане на целите на REACH</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Около 10 години след влизането му в сила REACH се прилага изцяло и води до резултати, които допринасят за постигането на неговите цели. Въпреки че напредъкът към постигането на целите е по-бавен от първоначалните очаквания, той постепенно се подобрява с натрупването на повече опит.</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осигурява всеобхватна система за генериране и оценка на данни за химикалите, които се произвеждат и използват в ЕС, като предназначението ѝ е да подобри защитата на здравето на човека и околната среда и да изведе ЕС на водещо място по отношение на постигането на определената за 2020 г. цел на Световната среща на високо равнище по въпросите на устойчивото развитие. REACH също така повлия на законодателството в трети държави (например Корея или Китай), макар че все още са налице съществени различия и съществува възможност за по-пълно използване на потенциала на REACH да служи като глобален модел за законодателство в областта на химикалите.</w:t>
      </w:r>
    </w:p>
    <w:p>
      <w:pPr>
        <w:pStyle w:val="ListNumber"/>
        <w:ind w:left="0" w:firstLine="0"/>
        <w:rPr>
          <w:iCs/>
          <w:noProof/>
        </w:rPr>
      </w:pPr>
      <w:r>
        <w:rPr>
          <w:noProof/>
        </w:rPr>
        <w:t xml:space="preserve">Основните преки разходи, понесени досега във връзка с REACH, са свързани с регистрацията и съобщаването на информация по веригата на доставки. Тези разходи се изчисляват на 2,3—2,6 милиарда евро за първите два крайни срока за регистрация. Разходите се оказаха по-високи от очакваното (1,7 милиарда евро), особено за крайния срок за първата регистрация. Допълнителни разходи произтичат от оценката, разрешаването и ограниченията. Предполагаемият мащаб на потенциалните ползи за здравето на човека и за околната среда продължава да бъде от порядъка на 100 милиарда евро за период от 25—30 години. Общите разходи изглеждат оправдани с оглед на отчетените резултати и ползите, които започват да се проявяват. </w:t>
      </w:r>
    </w:p>
    <w:p>
      <w:pPr>
        <w:pStyle w:val="ListNumber"/>
        <w:ind w:left="0" w:firstLine="0"/>
        <w:rPr>
          <w:iCs/>
          <w:noProof/>
        </w:rPr>
      </w:pPr>
      <w:r>
        <w:rPr>
          <w:noProof/>
        </w:rPr>
        <w:t>При оценката бяха установени редица пропуски и ключови въпроси, които възпрепятстват постигането на целите на REACH</w:t>
      </w:r>
      <w:r>
        <w:rPr>
          <w:rStyle w:val="FootnoteReference"/>
          <w:noProof/>
        </w:rPr>
        <w:footnoteReference w:id="13"/>
      </w:r>
      <w:r>
        <w:rPr>
          <w:noProof/>
        </w:rPr>
        <w:t xml:space="preserve">. От 2013 г. насам бяха изпълнени или се разработват редица подобрения в ефикасността на процесите по REACH; въпреки това бяха установени допълнителни възможности за подобряване и опростяване, по-специално за разширените информационни листове за безопасност, както и за оценката, разрешаването и ограничаването. Въпросите, по които е необходимо най-спешно действие, са: </w:t>
      </w:r>
    </w:p>
    <w:p>
      <w:pPr>
        <w:pStyle w:val="ListNumber"/>
        <w:numPr>
          <w:ilvl w:val="0"/>
          <w:numId w:val="48"/>
        </w:numPr>
        <w:rPr>
          <w:iCs/>
          <w:noProof/>
        </w:rPr>
      </w:pPr>
      <w:r>
        <w:rPr>
          <w:noProof/>
        </w:rPr>
        <w:t xml:space="preserve">несъответствие на регистрационните досиета; </w:t>
      </w:r>
    </w:p>
    <w:p>
      <w:pPr>
        <w:pStyle w:val="ListNumber"/>
        <w:numPr>
          <w:ilvl w:val="0"/>
          <w:numId w:val="48"/>
        </w:numPr>
        <w:rPr>
          <w:iCs/>
          <w:noProof/>
        </w:rPr>
      </w:pPr>
      <w:r>
        <w:rPr>
          <w:noProof/>
        </w:rPr>
        <w:t xml:space="preserve">опростяване на процеса на разрешаване; </w:t>
      </w:r>
    </w:p>
    <w:p>
      <w:pPr>
        <w:pStyle w:val="ListNumber"/>
        <w:numPr>
          <w:ilvl w:val="0"/>
          <w:numId w:val="48"/>
        </w:numPr>
        <w:rPr>
          <w:iCs/>
          <w:noProof/>
        </w:rPr>
      </w:pPr>
      <w:r>
        <w:rPr>
          <w:noProof/>
        </w:rPr>
        <w:t xml:space="preserve">осигуряване на условия на равнопоставеност с дружествата извън ЕС чрез ефективни ограничения и прилагане; </w:t>
      </w:r>
    </w:p>
    <w:p>
      <w:pPr>
        <w:pStyle w:val="ListNumber"/>
        <w:numPr>
          <w:ilvl w:val="0"/>
          <w:numId w:val="48"/>
        </w:numPr>
        <w:rPr>
          <w:iCs/>
          <w:noProof/>
        </w:rPr>
      </w:pPr>
      <w:r>
        <w:rPr>
          <w:noProof/>
        </w:rPr>
        <w:t xml:space="preserve">поясняване на взаимодействието между REACH и останалото законодателство на ЕС, по-специално в областта на здравословните и безопасни условия на труд (ЗБУТ) и в областта на отпадъците. </w:t>
      </w:r>
    </w:p>
    <w:p>
      <w:pPr>
        <w:pStyle w:val="ManualHeading2"/>
        <w:rPr>
          <w:noProof/>
        </w:rPr>
      </w:pPr>
      <w:r>
        <w:t>2.2.</w:t>
      </w:r>
      <w:r>
        <w:tab/>
      </w:r>
      <w:r>
        <w:rPr>
          <w:noProof/>
        </w:rPr>
        <w:t>Отговорност на промишлеността</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Производителите и вносителите изпълниха задълженията за регистрация за съществуващи</w:t>
      </w:r>
      <w:r>
        <w:rPr>
          <w:rStyle w:val="FootnoteReference"/>
          <w:rFonts w:ascii="Times New Roman" w:hAnsi="Times New Roman"/>
          <w:noProof/>
          <w:sz w:val="24"/>
        </w:rPr>
        <w:footnoteReference w:id="14"/>
      </w:r>
      <w:r>
        <w:rPr>
          <w:rFonts w:ascii="Times New Roman" w:hAnsi="Times New Roman"/>
          <w:noProof/>
          <w:sz w:val="24"/>
        </w:rPr>
        <w:t xml:space="preserve"> вещества, като попълниха своите регистрационни досиета навреме и без сериозни сътресения на пазара. При все това не са въведени стимули за дружествата да актуализират своите регистрационни досиета и са необходими допълнителни усилия за отстраняването на значими пропуски в данните или на случаи на неподходящо адаптиране на изпитванията. Мерките за подкрепа на МСП във връзка с техните задължения за регистрация са ефективни, макар че може да се постигне повече.</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Спазването на изискванията за информация от страна на регистрантите се счита за недостатъчно. Това е свързано с две основни причини: i) възможно е правните изисквания за избягване на изпитванията върху животни да принуждават регистрантите да използват алтернативни методи, вместо изпитвания върху животни, дори когато това не е оправдано; и ii) разликата в оценката на опасностите между регистрантите и органите. В допълнение към това следва да се подобри допълнително настоящият подход за оценка, включително процедурите на ECHA за вземане на решения.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Информацията, която се предава по веригата на доставки, непрекъснато се увеличава, но трябва да се повиши нейната ефикасност (например да се намалят разходите за изготвяне и предоставяне на информационни листове за безопасност), особено за МСП. Необходими са подобрения и по отношение на способността на дружествата да изготвят конкретни сценарии на експозиция, по-специално за смеси, както и да им се помогне да изпълняват задължението за уведомяване относно веществата, пораждащи сериозно безпокойство, които се съдържат в изделията.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REACH се прилага основан на тонажа подход към изискванията за информация, съгласно който по-големият тонаж води до по-всеобхватни изпитвания. Този подход се доказа като пропорционален по отношение на вече пуснатите на пазара вещества. Доказателствата обаче сочат, че е възможно да е обоснована допълнителна оценка доколко са достъпни изискванията за регистрация на вещества с нисък тонаж и на някои полимери</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В сравнение с предишното законодателство (т.е. преди REACH) по-широкообхватното изключение на научноизследователски и развойни дейности и понижените изисквания за информация за нови вещества под 10 тона годишно стимулираха разработването на нови вещества.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позволява на гражданите да отправят въпроси до дружествата дали доставяните от тях изделия съдържат SVHC, но използването на тази разпоредба е ограничено. В случаите, когато се използва, дружествата срещат трудности при изпълнението ѝ.</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Разрешаването изпълнява своите цели за гарантиране на подходящ контрол и насърчаване на заместването, когато съществуват икономически и технически възможни алтернативи. Следва допълнително да се повиши ефикасността при изпълнението и да се заложи цел за допълнително намаляване на административната тежест и стопанската несигурност за дружествата, кандидатстващи за разрешение, особено за МСП.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Възможно е изискванията за получаване на разрешение да вредят на конкурентоспособността на дружествата в ЕС, тъй като внасяните в ЕС изделия са освободени от задълженията за получаване на разрешение. Подобрената координация и синхронизация на действията при въвеждането в действие на разрешенията и ограниченията биха могли допълнително да подобрят изпълнението.</w:t>
      </w:r>
    </w:p>
    <w:p>
      <w:pPr>
        <w:pStyle w:val="ManualHeading2"/>
        <w:rPr>
          <w:noProof/>
        </w:rPr>
      </w:pPr>
      <w:r>
        <w:t>2.3.</w:t>
      </w:r>
      <w:r>
        <w:tab/>
      </w:r>
      <w:r>
        <w:rPr>
          <w:noProof/>
        </w:rPr>
        <w:t>Действия от държавите членки и Комисията</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Държавите членки се възползваха от правото си да предприемат действия във връзка с оценката, разрешаването и ограничаването, но дейностите им са ограничени поради недостатъчни ресурси. Така се намалява броят на веществата, които се оценяват и регулират, и процесът се забавя. Държавите членки следва да гарантират по-ефективно и хармонизирано прилагане на REACH, докато системата за бърз обмен на информация (RAPEX) гарантира безопасността на потребителските продукти. Макар че бяха извършени подобрения посредством съгласувани усилия в рамките на форума на ECHA</w:t>
      </w:r>
      <w:r>
        <w:rPr>
          <w:rStyle w:val="FootnoteReference"/>
          <w:rFonts w:ascii="Times New Roman" w:hAnsi="Times New Roman"/>
          <w:noProof/>
          <w:sz w:val="24"/>
        </w:rPr>
        <w:footnoteReference w:id="16"/>
      </w:r>
      <w:r>
        <w:rPr>
          <w:rFonts w:ascii="Times New Roman" w:hAnsi="Times New Roman"/>
          <w:noProof/>
          <w:sz w:val="24"/>
        </w:rPr>
        <w:t>, националните дейности по прилагане следва да бъдат укрепени, включително контролът върху вносните стоки.</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Напредъкът при работата по пътната карта по отношение на SVHC</w:t>
      </w:r>
      <w:r>
        <w:rPr>
          <w:rStyle w:val="FootnoteReference"/>
          <w:rFonts w:ascii="Times New Roman" w:hAnsi="Times New Roman"/>
          <w:noProof/>
          <w:sz w:val="24"/>
        </w:rPr>
        <w:footnoteReference w:id="17"/>
      </w:r>
      <w:r>
        <w:rPr>
          <w:rFonts w:ascii="Times New Roman" w:hAnsi="Times New Roman"/>
          <w:noProof/>
          <w:sz w:val="24"/>
        </w:rPr>
        <w:t xml:space="preserve"> надхвърля очакванията. Вече са оценени повечето вещества с потвърдени свойства на SVHC, например веществата, които са устойчиви, биоакумулиращи и токсични (РВТ), както и канцерогенни, мутагенни или токсични за репродукцията (CMR). Отстраняването на пропуските в данните от регистрацията и подобряването на оценката на веществата ще позволи набелязването на нови SVHC; същевременно оценяването на групи от подобни вещества би могло допълнително да ускори процеса.</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Процедурата по ограничаване като цяло функционира добре, макар че са необходими допълнителни подобрения по отношение на ефикасността, както се предлага в действията по-долу. </w:t>
      </w:r>
    </w:p>
    <w:p>
      <w:pPr>
        <w:spacing w:before="120" w:after="120" w:line="240" w:lineRule="auto"/>
        <w:jc w:val="both"/>
        <w:rPr>
          <w:rFonts w:ascii="Times New Roman" w:hAnsi="Times New Roman"/>
          <w:bCs/>
          <w:noProof/>
          <w:sz w:val="24"/>
          <w:szCs w:val="24"/>
        </w:rPr>
      </w:pPr>
      <w:r>
        <w:rPr>
          <w:rFonts w:ascii="Times New Roman" w:hAnsi="Times New Roman"/>
          <w:noProof/>
          <w:sz w:val="24"/>
        </w:rPr>
        <w:t>При анализа на съгласуваността между REACH и останалото законодателство на ЕС Комисията разгледа някои критични елементи</w:t>
      </w:r>
      <w:r>
        <w:rPr>
          <w:rFonts w:ascii="Times New Roman" w:hAnsi="Times New Roman"/>
          <w:noProof/>
          <w:sz w:val="24"/>
          <w:vertAlign w:val="superscript"/>
        </w:rPr>
        <w:footnoteReference w:id="18"/>
      </w:r>
      <w:r>
        <w:rPr>
          <w:rFonts w:ascii="Times New Roman" w:hAnsi="Times New Roman"/>
          <w:noProof/>
          <w:sz w:val="24"/>
        </w:rPr>
        <w:t xml:space="preserve"> в рамките на взаимодействието с Директивата относно ограничението на опасни вещества (ДООВ)</w:t>
      </w:r>
      <w:r>
        <w:rPr>
          <w:rFonts w:ascii="Times New Roman" w:hAnsi="Times New Roman"/>
          <w:noProof/>
          <w:sz w:val="24"/>
          <w:vertAlign w:val="superscript"/>
        </w:rPr>
        <w:footnoteReference w:id="19"/>
      </w:r>
      <w:r>
        <w:rPr>
          <w:rFonts w:ascii="Times New Roman" w:hAnsi="Times New Roman"/>
          <w:noProof/>
          <w:sz w:val="24"/>
        </w:rPr>
        <w:t xml:space="preserve"> и с Регламента относно устойчивите органични замърсители (РУОЗ)</w:t>
      </w:r>
      <w:r>
        <w:rPr>
          <w:rFonts w:ascii="Times New Roman" w:hAnsi="Times New Roman"/>
          <w:noProof/>
          <w:sz w:val="24"/>
          <w:vertAlign w:val="superscript"/>
        </w:rPr>
        <w:footnoteReference w:id="20"/>
      </w:r>
      <w:r>
        <w:rPr>
          <w:rFonts w:ascii="Times New Roman" w:hAnsi="Times New Roman"/>
          <w:noProof/>
          <w:sz w:val="24"/>
        </w:rPr>
        <w:t xml:space="preserve">. Взаимодействието между REACH и законодателството в областта на ЗБУТ изисква системни решения за преодоляване на основните случаи на припокриване и на несъответствията. </w:t>
      </w:r>
    </w:p>
    <w:p>
      <w:pPr>
        <w:spacing w:before="120" w:after="120" w:line="240" w:lineRule="auto"/>
        <w:jc w:val="both"/>
        <w:rPr>
          <w:rFonts w:ascii="Times New Roman" w:hAnsi="Times New Roman"/>
          <w:bCs/>
          <w:noProof/>
          <w:sz w:val="24"/>
          <w:szCs w:val="24"/>
        </w:rPr>
      </w:pPr>
      <w:r>
        <w:rPr>
          <w:rFonts w:ascii="Times New Roman" w:hAnsi="Times New Roman"/>
          <w:noProof/>
          <w:sz w:val="24"/>
        </w:rPr>
        <w:t>Понастоящем се предприемат мерки за удовлетворяването на потребностите от информация за наноматериалите чрез предложените изменения на приложенията към REACH. В допълнение към това Комисията подкрепя научните изследвания с цел разработване на алтернативни методи</w:t>
      </w:r>
      <w:r>
        <w:rPr>
          <w:rStyle w:val="FootnoteReference"/>
          <w:rFonts w:ascii="Times New Roman" w:hAnsi="Times New Roman"/>
          <w:noProof/>
          <w:sz w:val="24"/>
        </w:rPr>
        <w:footnoteReference w:id="21"/>
      </w:r>
      <w:r>
        <w:rPr>
          <w:rFonts w:ascii="Times New Roman" w:hAnsi="Times New Roman"/>
          <w:noProof/>
          <w:sz w:val="24"/>
        </w:rPr>
        <w:t xml:space="preserve"> и насърчава използването на човешки биомониторинг при оценката и управлението на риска от химикали чрез инициативи като Европейската инициатива за човешки биомониторинг</w:t>
      </w:r>
      <w:r>
        <w:rPr>
          <w:rStyle w:val="FootnoteReference"/>
          <w:rFonts w:ascii="Times New Roman" w:hAnsi="Times New Roman"/>
          <w:noProof/>
          <w:sz w:val="24"/>
        </w:rPr>
        <w:footnoteReference w:id="22"/>
      </w:r>
      <w:r>
        <w:rPr>
          <w:rFonts w:ascii="Times New Roman" w:hAnsi="Times New Roman"/>
          <w:noProof/>
          <w:sz w:val="24"/>
        </w:rPr>
        <w:t xml:space="preserve"> и Информационната платформа за химичен мониторинг</w:t>
      </w:r>
      <w:r>
        <w:rPr>
          <w:rStyle w:val="FootnoteReference"/>
          <w:rFonts w:ascii="Times New Roman" w:hAnsi="Times New Roman"/>
          <w:noProof/>
          <w:sz w:val="24"/>
        </w:rPr>
        <w:footnoteReference w:id="23"/>
      </w:r>
      <w:r>
        <w:rPr>
          <w:rFonts w:ascii="Times New Roman" w:hAnsi="Times New Roman"/>
          <w:noProof/>
          <w:sz w:val="24"/>
        </w:rPr>
        <w:t xml:space="preserve">. </w:t>
      </w:r>
    </w:p>
    <w:p>
      <w:pPr>
        <w:pStyle w:val="ManualHeading2"/>
        <w:rPr>
          <w:noProof/>
        </w:rPr>
      </w:pPr>
      <w:r>
        <w:t>2.4.</w:t>
      </w:r>
      <w:r>
        <w:tab/>
      </w:r>
      <w:r>
        <w:rPr>
          <w:noProof/>
        </w:rPr>
        <w:t>ECHA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ECHA изигра важна роля при прилагането на REACH и понастоящем вече разполага със значителна компетентност при управлението на химикали. ECHA създаде лесен за използване уебсайт, който позволява на заинтересованите страни лесно да осъществяват достъп до най-голямата в света база данни за химикали. ECHA също така установи научно сътрудничество с Европейския орган за безопасност на храните (ЕОБХ) и Европейската агенция по лекарствата (EMA), както и с други агенции извън ЕС, като това сътрудничество следва да се доразвие, за да се осигури съгласуваност и ползи от взаимодействията.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Около 2020 г. приходите от такси на ECHA значително ще намалеят</w:t>
      </w:r>
      <w:r>
        <w:rPr>
          <w:rStyle w:val="FootnoteReference"/>
          <w:rFonts w:ascii="Times New Roman" w:hAnsi="Times New Roman"/>
          <w:noProof/>
          <w:sz w:val="24"/>
        </w:rPr>
        <w:footnoteReference w:id="24"/>
      </w:r>
      <w:r>
        <w:rPr>
          <w:rFonts w:ascii="Times New Roman" w:hAnsi="Times New Roman"/>
          <w:noProof/>
          <w:sz w:val="24"/>
        </w:rPr>
        <w:t xml:space="preserve"> и Комисията ще трябва да прецени как да запази експертния опит и независимостта на ECHA, включително контрола над работните методи на комитетите и смекчаването на конфликтите на интереси.</w:t>
      </w:r>
    </w:p>
    <w:p>
      <w:pPr>
        <w:pStyle w:val="ManualHeading2"/>
        <w:rPr>
          <w:noProof/>
        </w:rPr>
      </w:pPr>
      <w:r>
        <w:t>2.5.</w:t>
      </w:r>
      <w:r>
        <w:tab/>
      </w:r>
      <w:r>
        <w:rPr>
          <w:noProof/>
        </w:rPr>
        <w:t>Потенциал за опростяване и за намаляване на тежестта</w:t>
      </w:r>
    </w:p>
    <w:p>
      <w:pPr>
        <w:pStyle w:val="ListNumber"/>
        <w:ind w:left="0" w:firstLine="0"/>
        <w:rPr>
          <w:noProof/>
        </w:rPr>
      </w:pPr>
      <w:r>
        <w:rPr>
          <w:noProof/>
        </w:rPr>
        <w:t>Като цяло при оценката на REACH не бяха установени ненужни правни изисквания и задължения с оглед на преследваните нужди и цели. Налице са възможности за опростяване и за намаляване на тежестта във връзка с начина, по който се прилагат тези изисквания, и по-специално при поясняването как следва да се изпълняват от отговорните лица. При все това опростяването не следва да води до понижаване на нивото на защита на здравето на човека и околната среда.</w:t>
      </w:r>
    </w:p>
    <w:p>
      <w:pPr>
        <w:pStyle w:val="ListNumber"/>
        <w:ind w:left="0" w:firstLine="0"/>
        <w:rPr>
          <w:noProof/>
        </w:rPr>
      </w:pPr>
      <w:r>
        <w:rPr>
          <w:noProof/>
        </w:rPr>
        <w:t>Бяха установени известни възможности за допълнително опростяване в няколко области, във връзка с изискванията за информация, разширените информационни листове за безопасност, процеса за кандидатстване за разрешения и изискванията за веществата в изделията. В следващата глава са посочени подходящи действия.</w:t>
      </w:r>
    </w:p>
    <w:p>
      <w:pPr>
        <w:pStyle w:val="ManualHeading1"/>
        <w:rPr>
          <w:noProof/>
        </w:rPr>
      </w:pPr>
      <w:r>
        <w:t>3.</w:t>
      </w:r>
      <w:r>
        <w:tab/>
      </w:r>
      <w:r>
        <w:rPr>
          <w:noProof/>
        </w:rPr>
        <w:t>Действия</w:t>
      </w:r>
    </w:p>
    <w:p>
      <w:pPr>
        <w:pStyle w:val="ManualHeading2"/>
        <w:rPr>
          <w:noProof/>
        </w:rPr>
      </w:pPr>
      <w:r>
        <w:t>3.1.</w:t>
      </w:r>
      <w:r>
        <w:tab/>
      </w:r>
      <w:r>
        <w:rPr>
          <w:noProof/>
        </w:rPr>
        <w:t>Знания за и управление на химикалите в цялата верига на доставки</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Липсата на информация относно съществуващите химикали беше един от двата основни двигатели на политиката, които доведоха до разработването на REACH. След влизането в сила на REACH вече е налице повече информация относно свойствата и употребите на химикалите (например към декември 2017 г. ECHA е получила 65 000 досиета за приблизително 17 000 уникални регистрирани вещества), която се използва за оценката и управлението на рисковете от химикали. Въпреки тази положителна тенденция липсата на отговаряща на изискванията информация в </w:t>
      </w:r>
      <w:r>
        <w:rPr>
          <w:rFonts w:ascii="Times New Roman" w:hAnsi="Times New Roman"/>
          <w:b/>
          <w:noProof/>
          <w:sz w:val="24"/>
        </w:rPr>
        <w:t>регистрационните</w:t>
      </w:r>
      <w:r>
        <w:rPr>
          <w:rFonts w:ascii="Times New Roman" w:hAnsi="Times New Roman"/>
          <w:noProof/>
          <w:sz w:val="24"/>
        </w:rPr>
        <w:t xml:space="preserve"> досиета възпрепятства изпълнението на други процеси по REACH и забавя постигането на целите на REACH във връзка със здравето на човека и околната среда.</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Трябва да се подобри ефикасността и ефективността на процедурите по </w:t>
      </w:r>
      <w:r>
        <w:rPr>
          <w:rFonts w:ascii="Times New Roman" w:hAnsi="Times New Roman"/>
          <w:b/>
          <w:noProof/>
          <w:sz w:val="24"/>
        </w:rPr>
        <w:t>оценка</w:t>
      </w:r>
      <w:r>
        <w:rPr>
          <w:rFonts w:ascii="Times New Roman" w:hAnsi="Times New Roman"/>
          <w:noProof/>
          <w:sz w:val="24"/>
        </w:rPr>
        <w:t>, прилагани от ECHA, нейните комитети, държавите членки и Комисията. Така ще се осигурят по-сериозни стимули за дружествата да актуализират и приведат в съответствие своите регистрационни досиета, както се изисква съгласно REACH.</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Действие 1</w:t>
      </w:r>
      <w:r>
        <w:rPr>
          <w:rFonts w:ascii="Times New Roman" w:hAnsi="Times New Roman"/>
          <w:noProof/>
          <w:sz w:val="24"/>
        </w:rPr>
        <w:t xml:space="preserve">: </w:t>
      </w:r>
      <w:r>
        <w:rPr>
          <w:rFonts w:ascii="Times New Roman" w:hAnsi="Times New Roman"/>
          <w:i/>
          <w:noProof/>
          <w:sz w:val="24"/>
        </w:rPr>
        <w:t>Да се насърчи актуализирането на регистрационните досиета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в сътрудничество с ECHA, държавите членки и промишлеността, ще определи защо регистрантите не актуализират своите досиета и, ако е целесъобразно, до първото тримесечие на 2019 г. ще направи предложения за подобрения.</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Действие 2</w:t>
      </w:r>
      <w:r>
        <w:rPr>
          <w:rFonts w:ascii="Times New Roman" w:hAnsi="Times New Roman"/>
          <w:noProof/>
          <w:sz w:val="24"/>
        </w:rPr>
        <w:t xml:space="preserve">: </w:t>
      </w:r>
      <w:r>
        <w:rPr>
          <w:rFonts w:ascii="Times New Roman" w:hAnsi="Times New Roman"/>
          <w:i/>
          <w:noProof/>
          <w:sz w:val="24"/>
        </w:rPr>
        <w:t>Да се подобрят процедурите по оценка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От ECHA се иска до 2019 г. да подобри съществено ефикасността на процедурите по оценка посредством: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определяне на основните причини за несъответствието на регистрационните досиета и разработване на решения;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по целесъобразност — паралелно прилагане на различните процедури по оценка;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3) систематично прилагане на подход на групиране</w:t>
      </w:r>
      <w:r>
        <w:rPr>
          <w:rStyle w:val="FootnoteReference"/>
          <w:rFonts w:ascii="Times New Roman" w:hAnsi="Times New Roman"/>
          <w:noProof/>
          <w:sz w:val="24"/>
        </w:rPr>
        <w:footnoteReference w:id="25"/>
      </w:r>
      <w:r>
        <w:rPr>
          <w:rFonts w:ascii="Times New Roman" w:hAnsi="Times New Roman"/>
          <w:noProof/>
          <w:sz w:val="24"/>
        </w:rPr>
        <w:t xml:space="preserve">, когато е възможно;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4) подобряване на разпределението на работата с държавите членки във връзка с дейностите по оценка; както 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5) подобряване на процедурите за вземане на решения.</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REACH разшири вече съществуващите информационни листове за безопасност, като добави т. нар. сценарии на експозиция.  Това доведе до подобрения в </w:t>
      </w:r>
      <w:r>
        <w:rPr>
          <w:rFonts w:ascii="Times New Roman" w:hAnsi="Times New Roman"/>
          <w:b/>
          <w:noProof/>
          <w:sz w:val="24"/>
        </w:rPr>
        <w:t>комуникацията</w:t>
      </w:r>
      <w:r>
        <w:rPr>
          <w:rFonts w:ascii="Times New Roman" w:hAnsi="Times New Roman"/>
          <w:noProof/>
          <w:sz w:val="24"/>
        </w:rPr>
        <w:t xml:space="preserve"> и до повече прозрачност във веригата на доставки. При все това редица дружества, по-специално МСП, ги намират за твърде технически и тромави. В допълнение към това, ниското качество на сценариите на експозиция представлява пречка при предоставянето на информация за безопасността по отношение на смеси.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Действие 3: </w:t>
      </w:r>
      <w:r>
        <w:rPr>
          <w:rFonts w:ascii="Times New Roman" w:hAnsi="Times New Roman"/>
          <w:i/>
          <w:noProof/>
          <w:sz w:val="24"/>
        </w:rPr>
        <w:t>Да се подобри приложимостта и качеството на разширените информационни листове за безопасност</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1) Комисията насърчава повече сектори от промишлеността да разработят и използват хармонизирани формати</w:t>
      </w:r>
      <w:r>
        <w:rPr>
          <w:rStyle w:val="FootnoteReference"/>
          <w:rFonts w:ascii="Times New Roman" w:hAnsi="Times New Roman"/>
          <w:noProof/>
          <w:sz w:val="24"/>
        </w:rPr>
        <w:footnoteReference w:id="26"/>
      </w:r>
      <w:r>
        <w:rPr>
          <w:rFonts w:ascii="Times New Roman" w:hAnsi="Times New Roman"/>
          <w:noProof/>
          <w:sz w:val="24"/>
        </w:rPr>
        <w:t xml:space="preserve"> и ИТ инструменти, които биха осигурили повече насочена към потребителя информация и биха опростили изготвянето и използването на разширените информационни листове за безопасност, а също така биха улеснили тяхното разпространение по електронен път.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2) Комисията ще обмисли включването на минимални изисквания за сценариите на експозиция за вещества и смеси в информационните листове за безопасност и ще поиска от ECHA да разработи методология за информационните листове за безопасност относно смеси.</w:t>
      </w:r>
    </w:p>
    <w:p>
      <w:pPr>
        <w:spacing w:before="120" w:after="120" w:line="240" w:lineRule="auto"/>
        <w:jc w:val="both"/>
        <w:rPr>
          <w:rFonts w:ascii="Times New Roman" w:hAnsi="Times New Roman"/>
          <w:noProof/>
          <w:sz w:val="24"/>
          <w:szCs w:val="24"/>
        </w:rPr>
      </w:pPr>
      <w:r>
        <w:rPr>
          <w:rFonts w:ascii="Times New Roman" w:hAnsi="Times New Roman"/>
          <w:noProof/>
          <w:sz w:val="24"/>
        </w:rPr>
        <w:t>В съобщението относно химикалите, продуктите и отпадъците</w:t>
      </w:r>
      <w:r>
        <w:rPr>
          <w:rStyle w:val="FootnoteReference"/>
          <w:rFonts w:ascii="Times New Roman" w:hAnsi="Times New Roman"/>
          <w:noProof/>
          <w:sz w:val="24"/>
        </w:rPr>
        <w:footnoteReference w:id="27"/>
      </w:r>
      <w:r>
        <w:rPr>
          <w:rFonts w:ascii="Times New Roman" w:hAnsi="Times New Roman"/>
          <w:noProof/>
          <w:sz w:val="24"/>
        </w:rPr>
        <w:t xml:space="preserve"> — един от документите, които трябва да бъдат изготвени в рамките на Плана за действие за кръгова икономика — се обсъжда необходимостта от по-добро проследяване на химикалите, пораждащи безпокойство, в материалите и продуктите, за да се улесни рециклирането и да се подобри използването на вторични суровини. Това проследяване също така би могло да спомогне за преодоляването на сегашните трудности, с които се сблъскват участниците във веригата на доставки при изпълнението на изискванията за SVHC в изделията</w:t>
      </w:r>
      <w:r>
        <w:rPr>
          <w:rStyle w:val="FootnoteReference"/>
          <w:rFonts w:ascii="Times New Roman" w:hAnsi="Times New Roman"/>
          <w:noProof/>
          <w:sz w:val="24"/>
        </w:rPr>
        <w:footnoteReference w:id="28"/>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4</w:t>
      </w:r>
      <w:r>
        <w:rPr>
          <w:rFonts w:ascii="Times New Roman" w:hAnsi="Times New Roman"/>
          <w:noProof/>
          <w:sz w:val="24"/>
        </w:rPr>
        <w:t xml:space="preserve">: </w:t>
      </w:r>
      <w:r>
        <w:rPr>
          <w:rFonts w:ascii="Times New Roman" w:hAnsi="Times New Roman"/>
          <w:i/>
          <w:noProof/>
          <w:sz w:val="24"/>
        </w:rPr>
        <w:t>Да се проследяват веществата, пораждащи безпокойство, в рамките на веригата на доставки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ще събере доказателства и ще оцени вариантите за преодоляване на предизвикателствата, свързани с веществата, пораждащи безпокойство, както е посочено в съобщението относно химикалите, продуктите и отпадъците. Наред с другото, в рамките на оценката ще бъде проучено дали и как една система за проследяване би могла да допринесе за подобряване на приложимостта на изискванията за информация за SVHC в изделията.</w:t>
      </w:r>
    </w:p>
    <w:p>
      <w:pPr>
        <w:pStyle w:val="ManualHeading2"/>
        <w:rPr>
          <w:noProof/>
        </w:rPr>
      </w:pPr>
      <w:r>
        <w:t>3.2.</w:t>
      </w:r>
      <w:r>
        <w:tab/>
      </w:r>
      <w:r>
        <w:rPr>
          <w:noProof/>
        </w:rPr>
        <w:t>Подобрено управление на риска</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Бавният напредък при оценяването на риска и прилагането на мерки за управление на риска за съществуващи вещества беше друг основен двигател за разработването на REACH. В резултат на изискванията за регистрация и разрешаване в дружествата бяха въведени подобрени мерки за управление на риска. Въпреки това процесите по ограничаване и разрешаване трябва да се прилагат още по-ефикасно и с по-бързо вземане на решения. </w:t>
      </w:r>
    </w:p>
    <w:p>
      <w:pPr>
        <w:spacing w:before="120" w:after="120" w:line="240" w:lineRule="auto"/>
        <w:jc w:val="both"/>
        <w:rPr>
          <w:rFonts w:ascii="Times New Roman" w:hAnsi="Times New Roman"/>
          <w:noProof/>
          <w:sz w:val="24"/>
          <w:szCs w:val="24"/>
        </w:rPr>
      </w:pPr>
      <w:r>
        <w:rPr>
          <w:rFonts w:ascii="Times New Roman" w:hAnsi="Times New Roman"/>
          <w:noProof/>
          <w:sz w:val="24"/>
        </w:rPr>
        <w:t>Прилагането на пътната карта по отношение на SVHC и оценката на ранен етап на евентуални регулаторни мерки чрез доброволна оценка на вариантите за управление чрез регулиране (RMOA) се доказват като ефективни инструменти, с които до 2020 г. да се гарантира набелязване на всички известни съответни SVHC, както и на евентуалните регулаторни мерки. Акцентът при набелязването на SVHC се премества към вещества, които изискват оценка във всеки отделен случай на условието относно пораждането на еквивалентна степен на безпокойство</w:t>
      </w:r>
      <w:r>
        <w:rPr>
          <w:rStyle w:val="FootnoteReference"/>
          <w:rFonts w:ascii="Times New Roman" w:hAnsi="Times New Roman"/>
          <w:noProof/>
          <w:sz w:val="24"/>
        </w:rPr>
        <w:footnoteReference w:id="29"/>
      </w:r>
      <w:r>
        <w:rPr>
          <w:rFonts w:ascii="Times New Roman" w:hAnsi="Times New Roman"/>
          <w:noProof/>
          <w:sz w:val="24"/>
        </w:rPr>
        <w:t xml:space="preserve">. Заедно с ECHA и държавите членки, Комисията ще гарантира, че критериите за това набелязване се разработват и прилагат по последователен начин. </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rPr>
        <w:t xml:space="preserve">В допълнение към това процесът на разрешаване се счита за ефективен стимул за заместване на SVHC по цялата верига на доставки, макар че трябва да се увеличат усилията за насърчаване на заместването на SVHC, особено сред МСП.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5</w:t>
      </w:r>
      <w:r>
        <w:rPr>
          <w:rFonts w:ascii="Times New Roman" w:hAnsi="Times New Roman"/>
          <w:noProof/>
          <w:sz w:val="24"/>
        </w:rPr>
        <w:t xml:space="preserve">: </w:t>
      </w:r>
      <w:r>
        <w:rPr>
          <w:rFonts w:ascii="Times New Roman" w:hAnsi="Times New Roman"/>
          <w:i/>
          <w:noProof/>
          <w:sz w:val="24"/>
        </w:rPr>
        <w:t>Да се насърчи заместването на SVHC</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Комисията, ECHA и държавите членки ще увеличат действията за подкрепа, за да се улесни заместването на SVHC. Тези дейности могат да включват насърчаване на изграждането на капацитет и мрежи за сътрудничество, както и насърчаването на свързаните с НИРД (ресурси на ЕС и държавите членки) инвестиции в устойчиви химикали и технологични иновации.</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С въвеждането на процеса по </w:t>
      </w:r>
      <w:r>
        <w:rPr>
          <w:rFonts w:ascii="Times New Roman" w:hAnsi="Times New Roman"/>
          <w:b/>
          <w:noProof/>
          <w:color w:val="000000"/>
          <w:sz w:val="24"/>
        </w:rPr>
        <w:t>разрешаване</w:t>
      </w:r>
      <w:r>
        <w:rPr>
          <w:rFonts w:ascii="Times New Roman" w:hAnsi="Times New Roman"/>
          <w:noProof/>
          <w:color w:val="000000"/>
          <w:sz w:val="24"/>
        </w:rPr>
        <w:t xml:space="preserve"> възникнаха и редица практически предизвикателства и опасения, във връзка с които трябва да се предприемат мерки. Следва да продължат полаганите усилия за опростяване на процеса по разрешаване с цел да се пояснят изискванията и целият процес да стане по-лесен за прилагане и по-предвидим за заявителите. </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При извършването на RMOA са необходими доказателства, за да се разбере практическата приложимост на евентуалните регулаторни мерки (разрешаване или ограничаване) с цел осигуряване на информация за процеса на вземане на решения. Това включва наличната социално-икономическа информация, като например известните употреби, броя и размера на участниците във веригите на доставки, както и наличната информация относно техническата и икономическата приложимост на евентуалните по-безопасни алтернативни вещества или технологии.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rPr>
        <w:t>Действие 6</w:t>
      </w:r>
      <w:r>
        <w:rPr>
          <w:rFonts w:ascii="Times New Roman" w:hAnsi="Times New Roman"/>
          <w:noProof/>
          <w:color w:val="000000"/>
          <w:sz w:val="24"/>
        </w:rPr>
        <w:t xml:space="preserve">: </w:t>
      </w:r>
      <w:r>
        <w:rPr>
          <w:rFonts w:ascii="Times New Roman" w:hAnsi="Times New Roman"/>
          <w:i/>
          <w:noProof/>
          <w:color w:val="000000"/>
          <w:sz w:val="24"/>
        </w:rPr>
        <w:t>Опростяване за по-лесно приложим процес по разрешаване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ще продължи да полага усилия процесът по подаване на заявления за разрешаване да стане по-лесно приложим за операторите, включително за МСП, посредством:</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опростяване на заявленията за продължителна употреба на SVHC в резервни части за изделия, които вече не се произвеждат</w:t>
      </w:r>
      <w:r>
        <w:rPr>
          <w:rStyle w:val="FootnoteReference"/>
          <w:rFonts w:ascii="Times New Roman" w:hAnsi="Times New Roman"/>
          <w:noProof/>
          <w:sz w:val="24"/>
        </w:rPr>
        <w:footnoteReference w:id="30"/>
      </w:r>
      <w:r>
        <w:rPr>
          <w:rFonts w:ascii="Times New Roman" w:hAnsi="Times New Roman"/>
          <w:noProof/>
          <w:sz w:val="24"/>
        </w:rPr>
        <w:t>, и допълнително разглеждане през 2018 г. на случая със заявленията за малък обем;</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внимателно наблюдение и разглеждане на трудностите, свързани с подаването на заявления за разрешаване, които обхващат множество оператори;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3) намаляване на таксите за заявители със съвместни заявления за разрешаване, като същевременно се балансират нивата на таксите за всяка употреба, за да се отрази по-добре работното натоварване на комитетите на ECHA през 2018 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7</w:t>
      </w:r>
      <w:r>
        <w:rPr>
          <w:rFonts w:ascii="Times New Roman" w:hAnsi="Times New Roman"/>
          <w:noProof/>
          <w:sz w:val="24"/>
        </w:rPr>
        <w:t xml:space="preserve">: </w:t>
      </w:r>
      <w:r>
        <w:rPr>
          <w:rFonts w:ascii="Times New Roman" w:hAnsi="Times New Roman"/>
          <w:i/>
          <w:noProof/>
          <w:sz w:val="24"/>
        </w:rPr>
        <w:t>Социално-икономическа информация на ранен етап с оглед на евентуални регулаторни мерки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В сътрудничество с Комисията и държавите членки ECHA ще проучи варианти за доразвиване и използване на наличната социално-икономическа информация, която да бъде разгледана на етапа на RMOA.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Досега броят на новите </w:t>
      </w:r>
      <w:r>
        <w:rPr>
          <w:rFonts w:ascii="Times New Roman" w:hAnsi="Times New Roman"/>
          <w:b/>
          <w:noProof/>
          <w:sz w:val="24"/>
        </w:rPr>
        <w:t>ограничения</w:t>
      </w:r>
      <w:r>
        <w:rPr>
          <w:rFonts w:ascii="Times New Roman" w:hAnsi="Times New Roman"/>
          <w:noProof/>
          <w:sz w:val="24"/>
        </w:rPr>
        <w:t xml:space="preserve"> не е отговорил на първоначалните очаквания. Въпреки че процесът се подобри в резултат на действията, стартирани след прегледа на REACH през 2013 г., съществуват възможности за допълнителни подобрения, по-специално за определяне на съответните кандидати за ограничаване и за повишено участие на държавите членки.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Действие 8: </w:t>
      </w:r>
      <w:r>
        <w:rPr>
          <w:rFonts w:ascii="Times New Roman" w:hAnsi="Times New Roman"/>
          <w:i/>
          <w:noProof/>
          <w:sz w:val="24"/>
        </w:rPr>
        <w:t>Да се подобри процедурата по ограничаване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От ECHA се иска да поясни информацията, която е необходимо  да бъде получена от обществените консултации, включително минималната информация, която следва да бъде представена от промишлеността при подаване на искане за дерогация (временна или не) от ограниченията.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От ECHA се иска да определи съответните случаи за ограничаване като част от редовните си дейности по скрининг, като отчита и веществата, които са обхванати  само от националното законодателство.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3) Комисията ще продължи да полага усилия за определяне на подходящи случаи за ограничаване на CMR вещества в потребителски изделия чрез опростена процедура в съответствие с член 68, параграф 2.</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Действие 9: </w:t>
      </w:r>
      <w:r>
        <w:rPr>
          <w:rFonts w:ascii="Times New Roman" w:hAnsi="Times New Roman"/>
          <w:i/>
          <w:noProof/>
          <w:sz w:val="24"/>
        </w:rPr>
        <w:t>Да се повиши допълнително участието на държавите членки в процедурата по ограничаване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и ECHA ще работят с държавите членки за допълнително опростяване на изискванията за подаване на регистрационни досиета, за повишаване на капацитета на държавите членки да разработват досиета за нови ограничения и за осигуряване на конструктивни решения, като например насърчаване на изготвянето на съвместни досиета от няколко държави членки и/или в сътрудничество с 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10</w:t>
      </w:r>
      <w:r>
        <w:rPr>
          <w:rFonts w:ascii="Times New Roman" w:hAnsi="Times New Roman"/>
          <w:noProof/>
          <w:sz w:val="24"/>
        </w:rPr>
        <w:t xml:space="preserve">: </w:t>
      </w:r>
      <w:r>
        <w:rPr>
          <w:rFonts w:ascii="Times New Roman" w:hAnsi="Times New Roman"/>
          <w:i/>
          <w:noProof/>
          <w:sz w:val="24"/>
        </w:rPr>
        <w:t>Да се определи рамка за прилагането на принципа на предпазните мерки</w:t>
      </w:r>
      <w:r>
        <w:rPr>
          <w:rStyle w:val="FootnoteReference"/>
          <w:rFonts w:ascii="Times New Roman" w:hAnsi="Times New Roman"/>
          <w:i/>
          <w:noProof/>
          <w:sz w:val="24"/>
        </w:rPr>
        <w:footnoteReference w:id="31"/>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Комитетът за оценка на риска и комитетът за социално-икономически анализ на ECHA следва да гарантират, че в техните становища се посочва кога научните данни не позволяват да се извърши пълна оценка на риска. Това следва да включва и каква информация е необходима, за да се отстранят неяснотите, графика за генериране на такава информация, както и оценка на потенциалните последствия, ако не се предприемат действия, за да може Комисията да обмисли дали е оправдано да предприеме действие въз основа на принципа на предпазните мерки, залегнал в основата на правния текст на REACH.</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REACH е заложено такова взаимодействие между </w:t>
      </w:r>
      <w:r>
        <w:rPr>
          <w:rFonts w:ascii="Times New Roman" w:hAnsi="Times New Roman"/>
          <w:b/>
          <w:noProof/>
          <w:sz w:val="24"/>
        </w:rPr>
        <w:t>разрешаването и ограничаването</w:t>
      </w:r>
      <w:r>
        <w:rPr>
          <w:rFonts w:ascii="Times New Roman" w:hAnsi="Times New Roman"/>
          <w:noProof/>
          <w:sz w:val="24"/>
        </w:rPr>
        <w:t>. В него се предвижда, че по отношение на веществата, подлежащи на разрешаване, след датата на забрана ECHA следва да проучи дали използването им в изделия поражда риск за здравето на човека или околната среда, който не е контролиран адекватно, и, ако това е така, следва да започне процедура по ограничаване. Необходимо е да се ускори оценката на нуждата от ограничения по отношение на вносни изделия, които съдържат вещества, подлежащи на разрешаване</w:t>
      </w:r>
      <w:r>
        <w:rPr>
          <w:rStyle w:val="FootnoteReference"/>
          <w:rFonts w:ascii="Times New Roman" w:hAnsi="Times New Roman"/>
          <w:noProof/>
          <w:sz w:val="24"/>
        </w:rPr>
        <w:footnoteReference w:id="32"/>
      </w:r>
      <w:r>
        <w:rPr>
          <w:rFonts w:ascii="Times New Roman" w:hAnsi="Times New Roman"/>
          <w:noProof/>
          <w:sz w:val="24"/>
        </w:rPr>
        <w:t>, за да се гарантират условия на равнопоставеност между икономическите оператори във и извън ЕС. Следва да се проучи дали и как да се прилага процедурата по разрешаване към употребите на SVHC, които не подлежат на ограничения, за да се постигне съпоставимо управление на риска и заместване по по-ефикасен и предвидим начин.</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11</w:t>
      </w:r>
      <w:r>
        <w:rPr>
          <w:rFonts w:ascii="Times New Roman" w:hAnsi="Times New Roman"/>
          <w:noProof/>
          <w:sz w:val="24"/>
        </w:rPr>
        <w:t xml:space="preserve">: </w:t>
      </w:r>
      <w:r>
        <w:rPr>
          <w:rFonts w:ascii="Times New Roman" w:hAnsi="Times New Roman"/>
          <w:i/>
          <w:noProof/>
          <w:sz w:val="24"/>
        </w:rPr>
        <w:t>Взаимодействие между разрешаването и ограничаването</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От ECHA се иска да проучи систематично изготвянето на регистрационни досиета преди датата на забрана на всяко вещество, което подлежи на разрешаване и е налично в изделия, в съответствие с член 69, параграф 2.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Комисията, ECHA и държавите членки ще оценят взаимодействието между ограничаването и разрешаването с цел да се постигне съпоставимо намаляване на риска по по-ефикасен начин чрез управление на риска и заместване.</w:t>
      </w:r>
    </w:p>
    <w:p>
      <w:pPr>
        <w:pStyle w:val="ManualHeading2"/>
        <w:rPr>
          <w:noProof/>
        </w:rPr>
      </w:pPr>
      <w:r>
        <w:t>3.3.</w:t>
      </w:r>
      <w:r>
        <w:tab/>
      </w:r>
      <w:r>
        <w:rPr>
          <w:noProof/>
        </w:rPr>
        <w:t>Съгласуваност, прилагане и МСП</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Необходими са допълнителни действия, за да се поясни </w:t>
      </w:r>
      <w:r>
        <w:rPr>
          <w:rFonts w:ascii="Times New Roman" w:hAnsi="Times New Roman"/>
          <w:b/>
          <w:noProof/>
          <w:sz w:val="24"/>
        </w:rPr>
        <w:t>взаимодействието</w:t>
      </w:r>
      <w:r>
        <w:rPr>
          <w:rFonts w:ascii="Times New Roman" w:hAnsi="Times New Roman"/>
          <w:noProof/>
          <w:sz w:val="24"/>
        </w:rPr>
        <w:t xml:space="preserve"> между REACH и останалото законодателство на ЕС; по-специално следва да продължи да се работи по взаимодействието между REACH и законодателството в областта на ЗБУТ и в областта на отпадъците</w:t>
      </w:r>
      <w:r>
        <w:rPr>
          <w:rStyle w:val="FootnoteReference"/>
          <w:rFonts w:ascii="Times New Roman" w:hAnsi="Times New Roman"/>
          <w:noProof/>
          <w:sz w:val="24"/>
        </w:rPr>
        <w:footnoteReference w:id="3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Действие 12: </w:t>
      </w:r>
      <w:r>
        <w:rPr>
          <w:rFonts w:ascii="Times New Roman" w:hAnsi="Times New Roman"/>
          <w:i/>
          <w:noProof/>
          <w:sz w:val="24"/>
        </w:rPr>
        <w:t>Взаимодействие между REACH и законодателството в областта на ЗБУТ</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ще предложи следните конкретни стъпки, с които да се отстрани припокриването и да се поясни взаимодействието между REACH и ЗБУТ:</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Поясняване как да се използват инструментите по REACH (например сценарии на експозиция, информационни листове за безопасност), за да се повиши ефективността на законодателството в областта на ЗБУТ.</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Подобряване на координацията между националните органи, отговарящи за прилагането на REACH и на законодателството в областта на ЗБУТ.</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3) Съгласуване на методологиите за установяване на безопасни нива на експозиция на химикали на работното място — до първото тримесечие на 2019 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4) Разширяване на ролята на комитета за оценка на риска (КОР) на ECHA, като се включат и социалните партньори, с цел да се осигурят научни становища по законодателството в областта на ЗБУТ, като същевременно се зачита ролята на Консултативния комитет за безопасност и здраве на работното място.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Необходимо е да се укрепи </w:t>
      </w:r>
      <w:r>
        <w:rPr>
          <w:rFonts w:ascii="Times New Roman" w:hAnsi="Times New Roman"/>
          <w:b/>
          <w:noProof/>
          <w:sz w:val="24"/>
        </w:rPr>
        <w:t>изпълнението</w:t>
      </w:r>
      <w:r>
        <w:rPr>
          <w:rFonts w:ascii="Times New Roman" w:hAnsi="Times New Roman"/>
          <w:noProof/>
          <w:sz w:val="24"/>
        </w:rPr>
        <w:t xml:space="preserve"> на задълженията на всички участници, включително регистрантите, потребителите надолу по веригата и особено вносителите, за да се гарантират условия на равнопоставеност, да се изпълнят целите на REACH и да се осигури съгласуваност с предвидените действия за подобряване на спазването на законодателството и управлението в областта на околната среда</w:t>
      </w:r>
      <w:r>
        <w:rPr>
          <w:rStyle w:val="FootnoteReference"/>
          <w:rFonts w:ascii="Times New Roman" w:hAnsi="Times New Roman"/>
          <w:noProof/>
          <w:sz w:val="24"/>
        </w:rPr>
        <w:footnoteReference w:id="34"/>
      </w:r>
      <w:r>
        <w:rPr>
          <w:rFonts w:ascii="Times New Roman" w:hAnsi="Times New Roman"/>
          <w:noProof/>
          <w:sz w:val="24"/>
        </w:rPr>
        <w:t>. Последователното докладване за действията по прилагане от страна на държавите членки ще позволи да се извърши по-добра оценка на този важен аспект на REACH.</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Действие 13</w:t>
      </w:r>
      <w:r>
        <w:rPr>
          <w:rFonts w:ascii="Times New Roman" w:hAnsi="Times New Roman"/>
          <w:noProof/>
          <w:sz w:val="24"/>
        </w:rPr>
        <w:t xml:space="preserve">: </w:t>
      </w:r>
      <w:r>
        <w:rPr>
          <w:rFonts w:ascii="Times New Roman" w:hAnsi="Times New Roman"/>
          <w:i/>
          <w:noProof/>
          <w:sz w:val="24"/>
        </w:rPr>
        <w:t>Подобряване на прилагането</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До първото тримесечие на 2019 г. Комисията ще разгледа възможността за допълнителни мерки (като препоръки, документи с насоки, обучение и пилотни проекти) съгласно съответния законодателен инструмент, за да поясни и разшири ролята на органите, отговарящи за прилагането на REACH, както и на митническите органи при прилагането на REACH.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От форума на ECHA и от държавите членки се иска да определят съпоставими параметри относно прилагането. Въз основа на тези параметри държавите членки следва да докладват ежегодно на ECHA с цел наблюдение на осъществяваните от държавите членки дейности по прилагането.</w:t>
      </w:r>
    </w:p>
    <w:p>
      <w:pPr>
        <w:spacing w:before="120" w:after="120" w:line="240" w:lineRule="auto"/>
        <w:jc w:val="both"/>
        <w:rPr>
          <w:rFonts w:ascii="Times New Roman" w:hAnsi="Times New Roman"/>
          <w:noProof/>
          <w:sz w:val="24"/>
          <w:szCs w:val="24"/>
        </w:rPr>
      </w:pPr>
      <w:r>
        <w:rPr>
          <w:rFonts w:ascii="Times New Roman" w:hAnsi="Times New Roman"/>
          <w:b/>
          <w:noProof/>
          <w:sz w:val="24"/>
        </w:rPr>
        <w:t>МСП</w:t>
      </w:r>
      <w:r>
        <w:rPr>
          <w:rFonts w:ascii="Times New Roman" w:hAnsi="Times New Roman"/>
          <w:noProof/>
          <w:sz w:val="24"/>
        </w:rPr>
        <w:t xml:space="preserve"> продължават да са по-уязвими към въздействието на REACH в сравнение с големите дружества поради ограничените си финансови и човешки ресурси, особено с оглед на крайния срок за регистрация през 2018 г., във връзка с който се очаква участието на много повече МСП спрямо предишните крайни срокове за регистрация, както и поради предизвикателствата, пред които са изправени потребителите надолу по веригата.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 xml:space="preserve">Действие 14: </w:t>
      </w:r>
      <w:r>
        <w:rPr>
          <w:rFonts w:ascii="Times New Roman" w:hAnsi="Times New Roman"/>
          <w:i/>
          <w:noProof/>
          <w:sz w:val="24"/>
        </w:rPr>
        <w:t>Да се подкрепи спазването от страна на МСП</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От ECHA и държавите членки се иска да увеличат усилията за разработване на специално пригодени насоки и инструменти за подкрепа, насочени към нуждите на МСП, като използват информацията от доброволните действия на промишлените организации. Тези инструменти могат да включват събиране на най-добри практики, създаване на специфични за даден сектор решения и публикуване на документи на националните езици.</w:t>
      </w:r>
    </w:p>
    <w:p>
      <w:pPr>
        <w:pStyle w:val="ManualHeading2"/>
        <w:rPr>
          <w:noProof/>
        </w:rPr>
      </w:pPr>
      <w:r>
        <w:t>3.4.</w:t>
      </w:r>
      <w:r>
        <w:tab/>
      </w:r>
      <w:r>
        <w:rPr>
          <w:noProof/>
        </w:rPr>
        <w:t>Такси и бъдеще на ECHA</w:t>
      </w:r>
    </w:p>
    <w:p>
      <w:pPr>
        <w:spacing w:before="120" w:after="120" w:line="240" w:lineRule="auto"/>
        <w:jc w:val="both"/>
        <w:rPr>
          <w:rFonts w:ascii="Times New Roman" w:hAnsi="Times New Roman"/>
          <w:noProof/>
          <w:sz w:val="24"/>
          <w:szCs w:val="24"/>
        </w:rPr>
      </w:pPr>
      <w:r>
        <w:rPr>
          <w:rFonts w:ascii="Times New Roman" w:hAnsi="Times New Roman"/>
          <w:noProof/>
          <w:sz w:val="24"/>
        </w:rPr>
        <w:t>Добре функциониращото и ефикасно изпълнение на всички процеси по REACH изисква дългосрочна стабилност по отношение на финансите и ресурсите, за да могат да се поддържат необходимите компетентности и да се повишава ефикасността, като същевременно се отчитат бюджетните ограничения. Трябва да се обмисли финансирането на ECHA след 2020 г. и да се засили участието на държавите членки в работата на ECHA. В рамките на периода 2007—2020 г. финансирането на ECHA се осигурява от такси (70 %) и от изравнителна субсидия (30 %). След 2020 г. приходите от такси (по-специално от регистрация) се очаква рязко да намалеят. Поради това трябва да се преразгледа устойчивостта на финансирането на ECHA.</w:t>
      </w:r>
    </w:p>
    <w:p>
      <w:pPr>
        <w:spacing w:before="120" w:after="120" w:line="240" w:lineRule="auto"/>
        <w:jc w:val="both"/>
        <w:rPr>
          <w:rFonts w:ascii="Times New Roman" w:hAnsi="Times New Roman"/>
          <w:noProof/>
          <w:sz w:val="24"/>
          <w:szCs w:val="24"/>
        </w:rPr>
      </w:pPr>
      <w:r>
        <w:rPr>
          <w:rFonts w:ascii="Times New Roman" w:hAnsi="Times New Roman"/>
          <w:noProof/>
          <w:sz w:val="24"/>
        </w:rPr>
        <w:t>През следващите години се очаква ECHA да се превърне в европейски и световен референтен център за устойчиво управление на химикали, който е в състояние да подпомага прилагането на повече законодателни актове на ЕС, ако Комисията представи предложения в тази връзка.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Действие 15: </w:t>
      </w:r>
      <w:r>
        <w:rPr>
          <w:rFonts w:ascii="Times New Roman" w:hAnsi="Times New Roman"/>
          <w:i/>
          <w:noProof/>
          <w:sz w:val="24"/>
        </w:rPr>
        <w:t>Такси и бъдеще на 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Като се има предвид, че и в многогодишната финансова рамка след 2020 г. ще бъдат налице бюджетни ограничения, Комисията ще проучи начини, чрез които да се гарантира мисията и независимостта на ECHA, и ще прецени всички възможни варианти за финансиране в контекста на прогнозираните намалени приходи от такси, включително чрез ограничаване на разходите.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До 2019 г. ECHA се приканва: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 да преразпредели персонал към други области на работа след приключването на процеса по регистрация за въведените вещества с цел да се повиши научният и технически експертен опит във връзка с безопасността на химикалите и да се разработят методологии за тяхната оценка;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ii) да продължи да набелязва пропуски в ефикасността и да предлага цели за изпълнение.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С оглед на горепосочените ограничения Комисията внимателно ще оцени дали да възлага допълнителни задачи на ECHA и свързаните с това ресурси. </w:t>
      </w:r>
    </w:p>
    <w:p>
      <w:pPr>
        <w:pStyle w:val="ManualHeading2"/>
        <w:rPr>
          <w:noProof/>
        </w:rPr>
      </w:pPr>
      <w:r>
        <w:t>3.5.</w:t>
      </w:r>
      <w:r>
        <w:tab/>
      </w:r>
      <w:r>
        <w:rPr>
          <w:noProof/>
        </w:rPr>
        <w:t>Необходимост от допълнителна оценка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При прегледите, свързани с изискванията за регистрация на вещества с нисък тонаж и на полимери (член 138), беше установена необходимост от оценка доколко са достъпни допълнителните изисквания за регистрация за съответните дружества, особено с оглед на броя на МСП, които е възможно да бъдат засегнати.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Действие 16: </w:t>
      </w:r>
      <w:r>
        <w:rPr>
          <w:rFonts w:ascii="Times New Roman" w:hAnsi="Times New Roman"/>
          <w:i/>
          <w:noProof/>
          <w:sz w:val="24"/>
        </w:rPr>
        <w:t>Преглед на изискванията за регистрация на вещества с нисък тонаж и на полимери</w:t>
      </w:r>
      <w:r>
        <w:rPr>
          <w:rStyle w:val="FootnoteReference"/>
          <w:rFonts w:ascii="Times New Roman" w:hAnsi="Times New Roman"/>
          <w:i/>
          <w:noProof/>
          <w:sz w:val="24"/>
        </w:rPr>
        <w:footnoteReference w:id="35"/>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Комисията ще проучи допълнително информацията, която е необходима, за да се оцени доколко са достъпни допълнителните изисквания за информация за вещества с нисък тонаж или за определяне на съответните полимери, които е възможно да подлежат на регистрация.</w:t>
      </w:r>
    </w:p>
    <w:p>
      <w:pPr>
        <w:spacing w:before="120" w:after="120" w:line="240" w:lineRule="auto"/>
        <w:jc w:val="both"/>
        <w:rPr>
          <w:rFonts w:ascii="Times New Roman" w:hAnsi="Times New Roman"/>
          <w:noProof/>
          <w:sz w:val="24"/>
          <w:szCs w:val="24"/>
        </w:rPr>
      </w:pPr>
      <w:r>
        <w:rPr>
          <w:rFonts w:ascii="Times New Roman" w:hAnsi="Times New Roman"/>
          <w:noProof/>
          <w:sz w:val="24"/>
        </w:rPr>
        <w:t>Комисията ще продължи да наблюдава ефектите от задължението за регистрация до 2018 г. върху МСП, като ще обърне внимание на общите понесени разходи, наличието на химични вещества и евентуалните структурни промени на пазара на ЕС.</w:t>
      </w:r>
    </w:p>
    <w:p>
      <w:pPr>
        <w:spacing w:before="120" w:after="120" w:line="240" w:lineRule="auto"/>
        <w:jc w:val="both"/>
        <w:rPr>
          <w:rFonts w:ascii="Times New Roman" w:hAnsi="Times New Roman"/>
          <w:noProof/>
          <w:sz w:val="24"/>
          <w:szCs w:val="24"/>
        </w:rPr>
      </w:pPr>
      <w:r>
        <w:rPr>
          <w:rFonts w:ascii="Times New Roman" w:hAnsi="Times New Roman"/>
          <w:noProof/>
          <w:sz w:val="24"/>
        </w:rPr>
        <w:t>Комисията ще проучи различни варианти за отстраняване на пропуските в данните и за подобряване на качеството, надеждността и прозрачността на данните в контекста на REACH. Това е част от по-широкообхватната дискусия относно подхода на ЕС към прозрачността, качеството и независимостта на данните</w:t>
      </w:r>
      <w:r>
        <w:rPr>
          <w:rStyle w:val="FootnoteReference"/>
          <w:rFonts w:ascii="Times New Roman" w:hAnsi="Times New Roman"/>
          <w:noProof/>
          <w:sz w:val="24"/>
        </w:rPr>
        <w:footnoteReference w:id="36"/>
      </w:r>
      <w:r>
        <w:rPr>
          <w:rFonts w:ascii="Times New Roman" w:hAnsi="Times New Roman"/>
          <w:noProof/>
          <w:sz w:val="24"/>
          <w:vertAlign w:val="superscript"/>
        </w:rPr>
        <w:t>,</w:t>
      </w:r>
      <w:r>
        <w:rPr>
          <w:rStyle w:val="FootnoteReference"/>
          <w:rFonts w:ascii="Times New Roman" w:hAnsi="Times New Roman"/>
          <w:noProof/>
          <w:sz w:val="24"/>
        </w:rPr>
        <w:footnoteReference w:id="37"/>
      </w:r>
      <w:r>
        <w:rPr>
          <w:rFonts w:ascii="Times New Roman" w:hAnsi="Times New Roman"/>
          <w:noProof/>
          <w:sz w:val="24"/>
        </w:rPr>
        <w:t xml:space="preserve">, на който се основават оценките на риска и решенията за управление на риска. </w:t>
      </w:r>
    </w:p>
    <w:p>
      <w:pPr>
        <w:spacing w:before="120" w:after="120" w:line="240" w:lineRule="auto"/>
        <w:jc w:val="both"/>
        <w:rPr>
          <w:rFonts w:ascii="Times New Roman" w:hAnsi="Times New Roman"/>
          <w:noProof/>
          <w:sz w:val="24"/>
          <w:szCs w:val="24"/>
        </w:rPr>
      </w:pPr>
      <w:r>
        <w:rPr>
          <w:rFonts w:ascii="Times New Roman" w:hAnsi="Times New Roman"/>
          <w:noProof/>
          <w:sz w:val="24"/>
        </w:rPr>
        <w:t>По отношение на CMR вещества, за които не съществуват безопасни нива на експозиция, в ЕС няма консенсус какво ниво на риска би могло да се счита за приемливо. В допълнение към това правилата по REACH за определяне на подходящи мерки за управление на риска за такива вещества не включват понятието за приемлив риск. Ще продължи обмислянето на приемливи нива на риска и дали те могат да изпълняват определена роля в съответните процеси по REACH.</w:t>
      </w:r>
    </w:p>
    <w:p>
      <w:pPr>
        <w:pStyle w:val="ManualHeading1"/>
        <w:rPr>
          <w:noProof/>
        </w:rPr>
      </w:pPr>
      <w:r>
        <w:t>4.</w:t>
      </w:r>
      <w:r>
        <w:tab/>
      </w:r>
      <w:r>
        <w:rPr>
          <w:noProof/>
        </w:rPr>
        <w:t>Заключения</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В оценката на REACH като цяло се заключава, че REACH отговаря на днешните опасения на гражданите относно безопасността на химичните вещества</w:t>
      </w:r>
      <w:r>
        <w:rPr>
          <w:rStyle w:val="FootnoteReference"/>
          <w:rFonts w:ascii="Times New Roman" w:hAnsi="Times New Roman"/>
          <w:noProof/>
          <w:sz w:val="24"/>
        </w:rPr>
        <w:footnoteReference w:id="38"/>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е ефективен, но са установени възможности за допълнително подобряване, опростяване и намаляване на административната тежест, които могат да бъдат постигнати чрез изпълнение на посочените в доклада действия. Те следва да бъдат изпълнени в съответствие с подновената стратегия за промишлената политика на ЕС</w:t>
      </w:r>
      <w:r>
        <w:rPr>
          <w:rFonts w:ascii="Times New Roman" w:hAnsi="Times New Roman"/>
          <w:noProof/>
          <w:sz w:val="24"/>
          <w:vertAlign w:val="superscript"/>
        </w:rPr>
        <w:footnoteReference w:id="39"/>
      </w:r>
      <w:r>
        <w:rPr>
          <w:rFonts w:ascii="Times New Roman" w:hAnsi="Times New Roman"/>
          <w:noProof/>
          <w:sz w:val="24"/>
        </w:rPr>
        <w:t>, Плана за действие за кръгова икономика</w:t>
      </w:r>
      <w:r>
        <w:rPr>
          <w:rStyle w:val="FootnoteReference"/>
          <w:rFonts w:ascii="Times New Roman" w:hAnsi="Times New Roman"/>
          <w:noProof/>
          <w:sz w:val="24"/>
        </w:rPr>
        <w:footnoteReference w:id="40"/>
      </w:r>
      <w:r>
        <w:rPr>
          <w:rFonts w:ascii="Times New Roman" w:hAnsi="Times New Roman"/>
          <w:noProof/>
          <w:sz w:val="24"/>
        </w:rPr>
        <w:t xml:space="preserve"> и Седмата програма за действие за околната среда</w:t>
      </w:r>
      <w:r>
        <w:rPr>
          <w:rStyle w:val="FootnoteReference"/>
          <w:rFonts w:ascii="Times New Roman" w:hAnsi="Times New Roman"/>
          <w:noProof/>
          <w:sz w:val="24"/>
        </w:rPr>
        <w:footnoteReference w:id="41"/>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Счита се, че REACH като цяло е съгласуван с останалото законодателство на ЕС в областта на химикалите и че изпълнява международните цели, както е предвидено.</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Изпълнението все още продължава във всички области, като до юни 2018 г. предстои да бъдат приключени някои важни етапи, като например крайният срок за последната регистрация. Много от разходите по REACH вече са понесени и ползите започват да се проявяват.</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В оценката на REACH се заключава, че правните изисквания и задължения са добре пригодени за задоволяването на нуждите и постигането на преследваните цели. Макар в настоящото съобщение да са набелязани редица действия, които ще подобрят допълнително REACH, понастоящем няма нужда да се променя постановителната му част.</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(ЕО) № 1907/2006 относно регистрацията, оценката, разрешаването и ограничаването на химикали (REACH), ОВ L 396, 30.12.2006 г., стр. 1. Поправена версия в OВ L 136, 29.5.2007 г., стр. 3.</w:t>
      </w: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ОИСР (2015 г.). Preliminary analysis of policy drivers influencing decision making in chemicals management (Предварителен анализ на двигателите на политиката, влияещи на вземането на решения при управлението на химикали). Series on Risk Management № 28. Документ ENV/JM/MONO(2015)21. </w:t>
      </w:r>
      <w:hyperlink r:id="rId1">
        <w:r>
          <w:rPr>
            <w:rStyle w:val="Hyperlink"/>
            <w:rFonts w:ascii="Times New Roman" w:hAnsi="Times New Roman"/>
          </w:rPr>
          <w:t>Допълнение 6</w:t>
        </w:r>
      </w:hyperlink>
      <w:r>
        <w:rPr>
          <w:rStyle w:val="Hyperlink"/>
          <w:rFonts w:ascii="Times New Roman" w:hAnsi="Times New Roman"/>
        </w:rPr>
        <w:t xml:space="preserve"> се отнася до REACH</w:t>
      </w:r>
      <w:r>
        <w:t>.</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Преди 1981 г. на пазара в ЕС се предлагаха 100 106 вещества. Понастоящем те се наричат въведени вещества.</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191, параграф 2 от Договора за функционирането на Европейския съюз (ДФЕС).</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https://ec.europa.eu/commission/priorities/democratic-change/better-regulation_bg</w:t>
        </w:r>
      </w:hyperlink>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Цел на WSSD: До 2020 г. да се постигне екологосъобразно управление на химикалите и всички отпадъци през целия им жизнен цикъл в съответствие с договорените международни рамки и значително да се намали отделянето им във въздуха, водите и почвите с цел да се сведе до минимум неблагоприятното им въздействие върху здравето на човека и околната среда.</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член 117 от REACH.</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член 138 от REACH.</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COM(2013) 49 и SWD(2013) 25.</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SWD(2018)</w:t>
      </w:r>
      <w:r>
        <w:rPr>
          <w:rFonts w:ascii="Times New Roman" w:hAnsi="Times New Roman"/>
          <w:lang w:val="en-US"/>
        </w:rPr>
        <w:t>58</w:t>
      </w:r>
      <w:r>
        <w:rPr>
          <w:rFonts w:ascii="Times New Roman" w:hAnsi="Times New Roman"/>
        </w:rPr>
        <w:t>.</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член 138, параграф 2 от REACH. </w:t>
      </w:r>
    </w:p>
  </w:footnote>
  <w:footnote w:id="1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член 138, параграфи 1 и 3 от REACH.</w:t>
      </w:r>
    </w:p>
  </w:footnote>
  <w:footnote w:id="1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За допълнителни подробности вж. SWD(2018)</w:t>
      </w:r>
      <w:r>
        <w:rPr>
          <w:rFonts w:ascii="Times New Roman" w:hAnsi="Times New Roman"/>
          <w:lang w:val="en-US"/>
        </w:rPr>
        <w:t>58</w:t>
      </w:r>
      <w:r>
        <w:rPr>
          <w:rFonts w:ascii="Times New Roman" w:hAnsi="Times New Roman"/>
        </w:rPr>
        <w:t>.</w:t>
      </w:r>
    </w:p>
  </w:footnote>
  <w:footnote w:id="1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Под съществуващи вещества се има предвид „</w:t>
      </w:r>
      <w:r>
        <w:rPr>
          <w:rFonts w:ascii="Times New Roman" w:hAnsi="Times New Roman"/>
          <w:i/>
        </w:rPr>
        <w:t>въведени</w:t>
      </w:r>
      <w:r>
        <w:rPr>
          <w:rFonts w:ascii="Times New Roman" w:hAnsi="Times New Roman"/>
        </w:rPr>
        <w:t>“ вещества в съответствие с член 3, точка 20 от REACH.</w:t>
      </w:r>
    </w:p>
  </w:footnote>
  <w:footnote w:id="15">
    <w:p>
      <w:pPr>
        <w:pStyle w:val="FootnoteText"/>
      </w:pPr>
      <w:r>
        <w:rPr>
          <w:rStyle w:val="FootnoteReference"/>
        </w:rPr>
        <w:footnoteRef/>
      </w:r>
      <w:r>
        <w:t xml:space="preserve"> </w:t>
      </w:r>
      <w:r>
        <w:rPr>
          <w:rFonts w:ascii="Times New Roman" w:hAnsi="Times New Roman"/>
        </w:rPr>
        <w:t>За допълнителни подробности вж. SWD</w:t>
      </w:r>
      <w:r>
        <w:rPr>
          <w:rFonts w:ascii="Times New Roman" w:hAnsi="Times New Roman"/>
          <w:lang w:val="en-US"/>
        </w:rPr>
        <w:t>(</w:t>
      </w:r>
      <w:r>
        <w:rPr>
          <w:rFonts w:ascii="Times New Roman" w:hAnsi="Times New Roman"/>
        </w:rPr>
        <w:t>2018</w:t>
      </w:r>
      <w:r>
        <w:rPr>
          <w:rFonts w:ascii="Times New Roman" w:hAnsi="Times New Roman"/>
          <w:lang w:val="en-US"/>
        </w:rPr>
        <w:t>)58</w:t>
      </w:r>
      <w:r>
        <w:rPr>
          <w:rFonts w:ascii="Times New Roman" w:hAnsi="Times New Roman"/>
        </w:rPr>
        <w:t>.</w:t>
      </w:r>
      <w:r>
        <w:t xml:space="preserve"> </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Форум за обмен на информация за прилагането.</w:t>
      </w:r>
    </w:p>
  </w:footnote>
  <w:footnote w:id="17">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 xml:space="preserve">Пътна карта по отношение на веществата, пораждащи сериозно </w:t>
        </w:r>
        <w:r>
          <w:rPr>
            <w:rFonts w:ascii="Times New Roman" w:hAnsi="Times New Roman"/>
            <w:color w:val="0000FF"/>
            <w:szCs w:val="22"/>
            <w:u w:val="single"/>
          </w:rPr>
          <w:br/>
        </w:r>
        <w:r>
          <w:rPr>
            <w:rFonts w:ascii="Times New Roman" w:hAnsi="Times New Roman"/>
            <w:color w:val="0000FF"/>
            <w:u w:val="single"/>
          </w:rPr>
          <w:t>безпокойство</w:t>
        </w:r>
      </w:hyperlink>
      <w:r>
        <w:rPr>
          <w:rFonts w:ascii="Times New Roman" w:hAnsi="Times New Roman"/>
        </w:rPr>
        <w:t>, февруари 2013 г.</w:t>
      </w:r>
    </w:p>
  </w:footnote>
  <w:footnote w:id="18">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http://ec.europa.eu/growth/sectors/chemicals/reach/special-cases_en</w:t>
        </w:r>
      </w:hyperlink>
    </w:p>
  </w:footnote>
  <w:footnote w:id="19">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2011/65/ЕС относно ограничението за употребата на определени опасни вещества в електрическото и електронното оборудване.</w:t>
      </w:r>
    </w:p>
  </w:footnote>
  <w:footnote w:id="20">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850/2004 относно устойчивите органични замърсители, с който се изпълняват задълженията на Съюза по Стокхолмската конвенция.</w:t>
      </w:r>
    </w:p>
  </w:footnote>
  <w:footnote w:id="21">
    <w:p>
      <w:pPr>
        <w:pStyle w:val="FootnoteText"/>
      </w:pPr>
      <w:r>
        <w:rPr>
          <w:rStyle w:val="FootnoteReference"/>
        </w:rPr>
        <w:footnoteRef/>
      </w:r>
      <w:r>
        <w:t xml:space="preserve"> </w:t>
      </w:r>
      <w:r>
        <w:rPr>
          <w:rFonts w:ascii="Times New Roman" w:hAnsi="Times New Roman"/>
        </w:rPr>
        <w:t>За допълнителни подробности вж. приложение 4 към SWD(2018)58.</w:t>
      </w:r>
    </w:p>
  </w:footnote>
  <w:footnote w:id="2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HBM4EU.</w:t>
      </w:r>
    </w:p>
  </w:footnote>
  <w:footnote w:id="2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IPCHEM.</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След изтичането на крайния срок за последната регистрация през 2018 г.</w:t>
      </w:r>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Оценка на групи вещества със сходни свойства вместо на отделни вещества.</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Като разработените от мрежата за обмен на сценарии на експозиция (ENES).</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Варианти за решаване на въпросите, свързани с взаимодействието на законодателството в областта на химикалите, продуктите и отпадъците, COM(2018) 32 final и SWD(2018) 20 final.</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Членове 7 и 33 от REACH.</w:t>
      </w:r>
    </w:p>
  </w:footnote>
  <w:footnote w:id="2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 съответствие с член 57, буква е) от REACH.</w:t>
      </w:r>
    </w:p>
  </w:footnote>
  <w:footnote w:id="30">
    <w:p>
      <w:pPr>
        <w:pStyle w:val="FootnoteText"/>
      </w:pPr>
      <w:r>
        <w:rPr>
          <w:rStyle w:val="FootnoteReference"/>
        </w:rPr>
        <w:footnoteRef/>
      </w:r>
      <w:r>
        <w:t xml:space="preserve"> </w:t>
      </w:r>
      <w:r>
        <w:rPr>
          <w:rFonts w:ascii="Times New Roman" w:hAnsi="Times New Roman"/>
        </w:rPr>
        <w:t xml:space="preserve">Употреби на SVHC за производството на резервни части за поправка на изделия, които не се произвеждат след датата на забрана (например въздухоплавателни средства и моторни превозни средства). </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COM(2000) 1 относно принципа на предпазните мерки.</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 съответствие с член 69, параграф 2 от REACH.</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Тази точка е разгледана в действие 4 по-горе.</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COM(2018) 10 — Действия на ЕС за подобряване на спазването на законодателството и управлението в областта на околната среда.</w:t>
      </w:r>
    </w:p>
  </w:footnote>
  <w:footnote w:id="3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Преглед в съответствие с член 138, параграфи 1, 2 и 3 от REACH.</w:t>
      </w:r>
    </w:p>
  </w:footnote>
  <w:footnote w:id="36">
    <w:p>
      <w:pPr>
        <w:pStyle w:val="FootnoteText"/>
        <w:spacing w:after="0"/>
      </w:pPr>
      <w:r>
        <w:rPr>
          <w:rStyle w:val="FootnoteReference"/>
        </w:rPr>
        <w:footnoteRef/>
      </w:r>
      <w:r>
        <w:t xml:space="preserve"> </w:t>
      </w:r>
      <w:r>
        <w:rPr>
          <w:rFonts w:ascii="Times New Roman" w:hAnsi="Times New Roman"/>
        </w:rPr>
        <w:t>C(2017) 8414 final — Съобщение относно Европейската гражданска инициатива във връзка с използването на глифосат.</w:t>
      </w:r>
    </w:p>
  </w:footnote>
  <w:footnote w:id="37">
    <w:p>
      <w:pPr>
        <w:pStyle w:val="FootnoteText"/>
        <w:spacing w:after="0"/>
      </w:pPr>
      <w:r>
        <w:rPr>
          <w:rStyle w:val="FootnoteReference"/>
        </w:rPr>
        <w:footnoteRef/>
      </w:r>
      <w:r>
        <w:t xml:space="preserve"> </w:t>
      </w:r>
      <w:r>
        <w:rPr>
          <w:rFonts w:ascii="Times New Roman" w:hAnsi="Times New Roman"/>
        </w:rPr>
        <w:t>Пътна карта относно прозрачността и устойчивостта на модела на ЕС за оценка на риска в хранителната верига.</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Проучване на Евробарометър относно безопасността на химичните вещества.</w:t>
        </w:r>
      </w:hyperlink>
    </w:p>
  </w:footnote>
  <w:footnote w:id="39">
    <w:p>
      <w:pPr>
        <w:pStyle w:val="FootnoteText"/>
        <w:spacing w:after="0" w:line="240" w:lineRule="auto"/>
        <w:rPr>
          <w:rFonts w:ascii="Times New Roman" w:hAnsi="Times New Roman"/>
        </w:rPr>
      </w:pPr>
    </w:p>
  </w:footnote>
  <w:footnote w:id="40">
    <w:p/>
  </w:footnote>
  <w:footnote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44AA8"/>
    <w:lvl w:ilvl="0">
      <w:start w:val="1"/>
      <w:numFmt w:val="decimal"/>
      <w:lvlText w:val="%1."/>
      <w:lvlJc w:val="left"/>
      <w:pPr>
        <w:tabs>
          <w:tab w:val="num" w:pos="1492"/>
        </w:tabs>
        <w:ind w:left="1492" w:hanging="360"/>
      </w:pPr>
    </w:lvl>
  </w:abstractNum>
  <w:abstractNum w:abstractNumId="1">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2">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3">
    <w:nsid w:val="FFFFFF80"/>
    <w:multiLevelType w:val="singleLevel"/>
    <w:tmpl w:val="27900E18"/>
    <w:lvl w:ilvl="0">
      <w:start w:val="1"/>
      <w:numFmt w:val="bullet"/>
      <w:lvlText w:val=""/>
      <w:lvlJc w:val="left"/>
      <w:pPr>
        <w:tabs>
          <w:tab w:val="num" w:pos="1492"/>
        </w:tabs>
        <w:ind w:left="1492" w:hanging="360"/>
      </w:pPr>
      <w:rPr>
        <w:rFonts w:ascii="Symbol" w:hAnsi="Symbol" w:hint="default"/>
      </w:rPr>
    </w:lvl>
  </w:abstractNum>
  <w:abstractNum w:abstractNumId="4">
    <w:nsid w:val="03353EEC"/>
    <w:multiLevelType w:val="hybridMultilevel"/>
    <w:tmpl w:val="83D8741C"/>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05694990"/>
    <w:multiLevelType w:val="hybridMultilevel"/>
    <w:tmpl w:val="BBA40E00"/>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0C042BB8"/>
    <w:multiLevelType w:val="hybridMultilevel"/>
    <w:tmpl w:val="DB0AAF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7457808"/>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nsid w:val="198827F3"/>
    <w:multiLevelType w:val="hybridMultilevel"/>
    <w:tmpl w:val="B31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E233B6"/>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4">
    <w:nsid w:val="1E217CB2"/>
    <w:multiLevelType w:val="hybridMultilevel"/>
    <w:tmpl w:val="BFA24BB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22F83403"/>
    <w:multiLevelType w:val="hybridMultilevel"/>
    <w:tmpl w:val="9B66006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nsid w:val="25C11FD4"/>
    <w:multiLevelType w:val="hybridMultilevel"/>
    <w:tmpl w:val="9E0A5F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Garamond"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Garamond"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Garamond"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25DF0603"/>
    <w:multiLevelType w:val="hybridMultilevel"/>
    <w:tmpl w:val="3E6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2F12C5"/>
    <w:multiLevelType w:val="hybridMultilevel"/>
    <w:tmpl w:val="487E764A"/>
    <w:lvl w:ilvl="0" w:tplc="501482D8">
      <w:start w:val="1"/>
      <w:numFmt w:val="upperRoman"/>
      <w:lvlText w:val="Objective %1."/>
      <w:lvlJc w:val="left"/>
      <w:pPr>
        <w:ind w:left="177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32E62A3"/>
    <w:multiLevelType w:val="hybridMultilevel"/>
    <w:tmpl w:val="A02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41C04"/>
    <w:multiLevelType w:val="hybridMultilevel"/>
    <w:tmpl w:val="F8E8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3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778B552A"/>
    <w:multiLevelType w:val="hybridMultilevel"/>
    <w:tmpl w:val="487E764A"/>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3">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2"/>
  </w:num>
  <w:num w:numId="2">
    <w:abstractNumId w:val="1"/>
  </w:num>
  <w:num w:numId="3">
    <w:abstractNumId w:val="33"/>
  </w:num>
  <w:num w:numId="4">
    <w:abstractNumId w:val="8"/>
  </w:num>
  <w:num w:numId="5">
    <w:abstractNumId w:val="16"/>
  </w:num>
  <w:num w:numId="6">
    <w:abstractNumId w:val="29"/>
  </w:num>
  <w:num w:numId="7">
    <w:abstractNumId w:val="32"/>
  </w:num>
  <w:num w:numId="8">
    <w:abstractNumId w:val="7"/>
  </w:num>
  <w:num w:numId="9">
    <w:abstractNumId w:val="23"/>
  </w:num>
  <w:num w:numId="10">
    <w:abstractNumId w:val="20"/>
  </w:num>
  <w:num w:numId="11">
    <w:abstractNumId w:val="9"/>
  </w:num>
  <w:num w:numId="12">
    <w:abstractNumId w:val="22"/>
  </w:num>
  <w:num w:numId="13">
    <w:abstractNumId w:val="10"/>
  </w:num>
  <w:num w:numId="14">
    <w:abstractNumId w:val="30"/>
  </w:num>
  <w:num w:numId="15">
    <w:abstractNumId w:val="28"/>
  </w:num>
  <w:num w:numId="16">
    <w:abstractNumId w:val="27"/>
  </w:num>
  <w:num w:numId="17">
    <w:abstractNumId w:val="13"/>
  </w:num>
  <w:num w:numId="18">
    <w:abstractNumId w:val="6"/>
  </w:num>
  <w:num w:numId="19">
    <w:abstractNumId w:val="5"/>
  </w:num>
  <w:num w:numId="20">
    <w:abstractNumId w:val="4"/>
  </w:num>
  <w:num w:numId="21">
    <w:abstractNumId w:val="31"/>
  </w:num>
  <w:num w:numId="22">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3">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4">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5">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6">
    <w:abstractNumId w:val="19"/>
  </w:num>
  <w:num w:numId="27">
    <w:abstractNumId w:val="17"/>
  </w:num>
  <w:num w:numId="28">
    <w:abstractNumId w:val="25"/>
  </w:num>
  <w:num w:numId="29">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0">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1">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2">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3">
    <w:abstractNumId w:val="24"/>
  </w:num>
  <w:num w:numId="34">
    <w:abstractNumId w:val="12"/>
  </w:num>
  <w:num w:numId="35">
    <w:abstractNumId w:val="18"/>
  </w:num>
  <w:num w:numId="36">
    <w:abstractNumId w:val="11"/>
  </w:num>
  <w:num w:numId="37">
    <w:abstractNumId w:val="3"/>
  </w:num>
  <w:num w:numId="38">
    <w:abstractNumId w:val="0"/>
  </w:num>
  <w:num w:numId="39">
    <w:abstractNumId w:val="2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DateAndTime/>
  <w:hideSpellingErrors/>
  <w:hideGrammaticalErrors/>
  <w:revisionView w:markup="0"/>
  <w:doNotTrackMoves/>
  <w:defaultTabStop w:val="720"/>
  <w:characterSpacingControl w:val="doNotCompress"/>
  <w:hdrShapeDefaults>
    <o:shapedefaults v:ext="edit" spidmax="45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78378D00-C272-43B0-BCB5-A910D6DFF82C"/>
    <w:docVar w:name="LW_COVERPAGE_TYPE" w:val="1"/>
    <w:docVar w:name="LW_CROSSREFERENCE" w:val="{SWD(2018) 58 final}"/>
    <w:docVar w:name="LW_DocType" w:val="NORMAL"/>
    <w:docVar w:name="LW_EMISSION" w:val="5.3.2018"/>
    <w:docVar w:name="LW_EMISSION_ISODATE" w:val="2018-03-05"/>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clusions and Actions"/>
    <w:docVar w:name="LW_SOUS.TITRE.OBJ.CP" w:val="Conclusions and Actions"/>
    <w:docVar w:name="LW_SUPERTITRE" w:val="&lt;UNUSED&gt;"/>
    <w:docVar w:name="LW_TITRE.OBJ.CP" w:val="&lt;FMT:Bold&gt;\u1054?\u1073?\u1097? \u1076?\u1086?\u1082?\u1083?\u1072?\u1076? \u1085?\u1072? \u1050?\u1086?\u1084?\u1080?\u1089?\u1080?\u1103?\u1090?\u1072? \u1086?\u1090?\u1085?\u1086?\u1089?\u1085?\u1086? \u1092?\u1091?\u1085?\u1082?\u1094?\u1080?\u1086?\u1085?\u1080?\u1088?\u1072?\u1085?\u1077?\u1090?\u1086? \u1085?\u1072? REACH \u1080? \u1087?\u1088?\u1077?\u1075?\u1083?\u1077?\u1076? \u1085?\u1072? \u1085?\u1103?\u1082?\u1086?\u1080? \u1077?\u1083?\u1077?\u1084?\u1077?\u1085?\u1090?\u1080? &lt;/FMT&gt;_x000b__x000b_&lt;FMT:Bold&gt;\u1047?\u1072?\u1082?\u1083?\u1102?\u1095?\u1077?\u1085?\u1080?\u1103? \u1080? \u1076?\u1077?\u1081?\u1089?\u1090?\u1074?\u1080?\u1103?&lt;/FMT&gt;_x000b__x000b__x000b__x000b__x000b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bg-BG"/>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bg-BG"/>
    </w:rPr>
  </w:style>
  <w:style w:type="character" w:customStyle="1" w:styleId="Heading2Char">
    <w:name w:val="Heading 2 Char"/>
    <w:link w:val="Heading2"/>
    <w:uiPriority w:val="99"/>
    <w:rPr>
      <w:rFonts w:ascii="Times New Roman" w:eastAsia="Times New Roman" w:hAnsi="Times New Roman"/>
      <w:b/>
      <w:bCs/>
      <w:iCs/>
      <w:sz w:val="24"/>
      <w:szCs w:val="28"/>
      <w:lang w:val="bg-BG" w:eastAsia="bg-BG"/>
    </w:rPr>
  </w:style>
  <w:style w:type="character" w:customStyle="1" w:styleId="Heading3Char">
    <w:name w:val="Heading 3 Char"/>
    <w:link w:val="Heading3"/>
    <w:uiPriority w:val="99"/>
    <w:rPr>
      <w:rFonts w:ascii="Times New Roman" w:eastAsia="Times New Roman" w:hAnsi="Times New Roman"/>
      <w:bCs/>
      <w:i/>
      <w:sz w:val="24"/>
      <w:szCs w:val="26"/>
      <w:lang w:eastAsia="bg-BG"/>
    </w:rPr>
  </w:style>
  <w:style w:type="character" w:customStyle="1" w:styleId="Heading4Char">
    <w:name w:val="Heading 4 Char"/>
    <w:link w:val="Heading4"/>
    <w:uiPriority w:val="99"/>
    <w:rPr>
      <w:rFonts w:ascii="Times New Roman" w:eastAsia="Times New Roman" w:hAnsi="Times New Roman"/>
      <w:bCs/>
      <w:sz w:val="24"/>
      <w:szCs w:val="28"/>
      <w:lang w:eastAsia="bg-BG"/>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bg-BG" w:eastAsia="bg-BG"/>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bg-BG"/>
    </w:rPr>
  </w:style>
  <w:style w:type="paragraph" w:styleId="ListParagraph">
    <w:name w:val="List Paragraph"/>
    <w:basedOn w:val="Normal"/>
    <w:uiPriority w:val="34"/>
    <w:qFormat/>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bg-BG"/>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bg-BG"/>
    </w:rPr>
  </w:style>
  <w:style w:type="character" w:customStyle="1" w:styleId="Heading2Char">
    <w:name w:val="Heading 2 Char"/>
    <w:link w:val="Heading2"/>
    <w:uiPriority w:val="99"/>
    <w:rPr>
      <w:rFonts w:ascii="Times New Roman" w:eastAsia="Times New Roman" w:hAnsi="Times New Roman"/>
      <w:b/>
      <w:bCs/>
      <w:iCs/>
      <w:sz w:val="24"/>
      <w:szCs w:val="28"/>
      <w:lang w:val="bg-BG" w:eastAsia="bg-BG"/>
    </w:rPr>
  </w:style>
  <w:style w:type="character" w:customStyle="1" w:styleId="Heading3Char">
    <w:name w:val="Heading 3 Char"/>
    <w:link w:val="Heading3"/>
    <w:uiPriority w:val="99"/>
    <w:rPr>
      <w:rFonts w:ascii="Times New Roman" w:eastAsia="Times New Roman" w:hAnsi="Times New Roman"/>
      <w:bCs/>
      <w:i/>
      <w:sz w:val="24"/>
      <w:szCs w:val="26"/>
      <w:lang w:eastAsia="bg-BG"/>
    </w:rPr>
  </w:style>
  <w:style w:type="character" w:customStyle="1" w:styleId="Heading4Char">
    <w:name w:val="Heading 4 Char"/>
    <w:link w:val="Heading4"/>
    <w:uiPriority w:val="99"/>
    <w:rPr>
      <w:rFonts w:ascii="Times New Roman" w:eastAsia="Times New Roman" w:hAnsi="Times New Roman"/>
      <w:bCs/>
      <w:sz w:val="24"/>
      <w:szCs w:val="28"/>
      <w:lang w:eastAsia="bg-BG"/>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bg-BG" w:eastAsia="bg-BG"/>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bg-BG"/>
    </w:rPr>
  </w:style>
  <w:style w:type="paragraph" w:styleId="ListParagraph">
    <w:name w:val="List Paragraph"/>
    <w:basedOn w:val="Normal"/>
    <w:uiPriority w:val="34"/>
    <w:qFormat/>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957">
      <w:bodyDiv w:val="1"/>
      <w:marLeft w:val="0"/>
      <w:marRight w:val="0"/>
      <w:marTop w:val="0"/>
      <w:marBottom w:val="0"/>
      <w:divBdr>
        <w:top w:val="none" w:sz="0" w:space="0" w:color="auto"/>
        <w:left w:val="none" w:sz="0" w:space="0" w:color="auto"/>
        <w:bottom w:val="none" w:sz="0" w:space="0" w:color="auto"/>
        <w:right w:val="none" w:sz="0" w:space="0" w:color="auto"/>
      </w:divBdr>
    </w:div>
    <w:div w:id="894507947">
      <w:bodyDiv w:val="1"/>
      <w:marLeft w:val="0"/>
      <w:marRight w:val="0"/>
      <w:marTop w:val="0"/>
      <w:marBottom w:val="0"/>
      <w:divBdr>
        <w:top w:val="none" w:sz="0" w:space="0" w:color="auto"/>
        <w:left w:val="none" w:sz="0" w:space="0" w:color="auto"/>
        <w:bottom w:val="none" w:sz="0" w:space="0" w:color="auto"/>
        <w:right w:val="none" w:sz="0" w:space="0" w:color="auto"/>
      </w:divBdr>
    </w:div>
    <w:div w:id="1297301793">
      <w:bodyDiv w:val="1"/>
      <w:marLeft w:val="0"/>
      <w:marRight w:val="0"/>
      <w:marTop w:val="0"/>
      <w:marBottom w:val="0"/>
      <w:divBdr>
        <w:top w:val="none" w:sz="0" w:space="0" w:color="auto"/>
        <w:left w:val="none" w:sz="0" w:space="0" w:color="auto"/>
        <w:bottom w:val="none" w:sz="0" w:space="0" w:color="auto"/>
        <w:right w:val="none" w:sz="0" w:space="0" w:color="auto"/>
      </w:divBdr>
    </w:div>
    <w:div w:id="1640040085">
      <w:bodyDiv w:val="1"/>
      <w:marLeft w:val="0"/>
      <w:marRight w:val="0"/>
      <w:marTop w:val="0"/>
      <w:marBottom w:val="0"/>
      <w:divBdr>
        <w:top w:val="none" w:sz="0" w:space="0" w:color="auto"/>
        <w:left w:val="none" w:sz="0" w:space="0" w:color="auto"/>
        <w:bottom w:val="none" w:sz="0" w:space="0" w:color="auto"/>
        <w:right w:val="none" w:sz="0" w:space="0" w:color="auto"/>
      </w:divBdr>
      <w:divsChild>
        <w:div w:id="1548757501">
          <w:marLeft w:val="0"/>
          <w:marRight w:val="0"/>
          <w:marTop w:val="0"/>
          <w:marBottom w:val="0"/>
          <w:divBdr>
            <w:top w:val="none" w:sz="0" w:space="0" w:color="auto"/>
            <w:left w:val="none" w:sz="0" w:space="0" w:color="auto"/>
            <w:bottom w:val="none" w:sz="0" w:space="0" w:color="auto"/>
            <w:right w:val="none" w:sz="0" w:space="0" w:color="auto"/>
          </w:divBdr>
          <w:divsChild>
            <w:div w:id="180634634">
              <w:marLeft w:val="0"/>
              <w:marRight w:val="0"/>
              <w:marTop w:val="0"/>
              <w:marBottom w:val="0"/>
              <w:divBdr>
                <w:top w:val="none" w:sz="0" w:space="0" w:color="auto"/>
                <w:left w:val="none" w:sz="0" w:space="0" w:color="auto"/>
                <w:bottom w:val="none" w:sz="0" w:space="0" w:color="auto"/>
                <w:right w:val="none" w:sz="0" w:space="0" w:color="auto"/>
              </w:divBdr>
              <w:divsChild>
                <w:div w:id="1131901046">
                  <w:marLeft w:val="0"/>
                  <w:marRight w:val="0"/>
                  <w:marTop w:val="0"/>
                  <w:marBottom w:val="0"/>
                  <w:divBdr>
                    <w:top w:val="none" w:sz="0" w:space="0" w:color="auto"/>
                    <w:left w:val="none" w:sz="0" w:space="0" w:color="auto"/>
                    <w:bottom w:val="none" w:sz="0" w:space="0" w:color="auto"/>
                    <w:right w:val="none" w:sz="0" w:space="0" w:color="auto"/>
                  </w:divBdr>
                  <w:divsChild>
                    <w:div w:id="667830999">
                      <w:marLeft w:val="1"/>
                      <w:marRight w:val="1"/>
                      <w:marTop w:val="0"/>
                      <w:marBottom w:val="0"/>
                      <w:divBdr>
                        <w:top w:val="none" w:sz="0" w:space="0" w:color="auto"/>
                        <w:left w:val="none" w:sz="0" w:space="0" w:color="auto"/>
                        <w:bottom w:val="none" w:sz="0" w:space="0" w:color="auto"/>
                        <w:right w:val="none" w:sz="0" w:space="0" w:color="auto"/>
                      </w:divBdr>
                      <w:divsChild>
                        <w:div w:id="1372074015">
                          <w:marLeft w:val="0"/>
                          <w:marRight w:val="0"/>
                          <w:marTop w:val="0"/>
                          <w:marBottom w:val="0"/>
                          <w:divBdr>
                            <w:top w:val="none" w:sz="0" w:space="0" w:color="auto"/>
                            <w:left w:val="none" w:sz="0" w:space="0" w:color="auto"/>
                            <w:bottom w:val="none" w:sz="0" w:space="0" w:color="auto"/>
                            <w:right w:val="none" w:sz="0" w:space="0" w:color="auto"/>
                          </w:divBdr>
                          <w:divsChild>
                            <w:div w:id="77680447">
                              <w:marLeft w:val="0"/>
                              <w:marRight w:val="0"/>
                              <w:marTop w:val="0"/>
                              <w:marBottom w:val="360"/>
                              <w:divBdr>
                                <w:top w:val="none" w:sz="0" w:space="0" w:color="auto"/>
                                <w:left w:val="none" w:sz="0" w:space="0" w:color="auto"/>
                                <w:bottom w:val="none" w:sz="0" w:space="0" w:color="auto"/>
                                <w:right w:val="none" w:sz="0" w:space="0" w:color="auto"/>
                              </w:divBdr>
                              <w:divsChild>
                                <w:div w:id="637612579">
                                  <w:marLeft w:val="0"/>
                                  <w:marRight w:val="0"/>
                                  <w:marTop w:val="0"/>
                                  <w:marBottom w:val="0"/>
                                  <w:divBdr>
                                    <w:top w:val="none" w:sz="0" w:space="0" w:color="auto"/>
                                    <w:left w:val="none" w:sz="0" w:space="0" w:color="auto"/>
                                    <w:bottom w:val="none" w:sz="0" w:space="0" w:color="auto"/>
                                    <w:right w:val="none" w:sz="0" w:space="0" w:color="auto"/>
                                  </w:divBdr>
                                  <w:divsChild>
                                    <w:div w:id="2052654605">
                                      <w:marLeft w:val="0"/>
                                      <w:marRight w:val="0"/>
                                      <w:marTop w:val="0"/>
                                      <w:marBottom w:val="0"/>
                                      <w:divBdr>
                                        <w:top w:val="none" w:sz="0" w:space="0" w:color="auto"/>
                                        <w:left w:val="none" w:sz="0" w:space="0" w:color="auto"/>
                                        <w:bottom w:val="none" w:sz="0" w:space="0" w:color="auto"/>
                                        <w:right w:val="none" w:sz="0" w:space="0" w:color="auto"/>
                                      </w:divBdr>
                                      <w:divsChild>
                                        <w:div w:id="1259411090">
                                          <w:marLeft w:val="0"/>
                                          <w:marRight w:val="0"/>
                                          <w:marTop w:val="0"/>
                                          <w:marBottom w:val="0"/>
                                          <w:divBdr>
                                            <w:top w:val="none" w:sz="0" w:space="0" w:color="auto"/>
                                            <w:left w:val="none" w:sz="0" w:space="0" w:color="auto"/>
                                            <w:bottom w:val="none" w:sz="0" w:space="0" w:color="auto"/>
                                            <w:right w:val="none" w:sz="0" w:space="0" w:color="auto"/>
                                          </w:divBdr>
                                        </w:div>
                                        <w:div w:id="20787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doc/srv?l=BG&amp;f=ST%205867%202013%20INIT" TargetMode="External"/><Relationship Id="rId2" Type="http://schemas.openxmlformats.org/officeDocument/2006/relationships/hyperlink" Target="https://ec.europa.eu/commission/priorities/democratic-change/better-regulation_bg" TargetMode="External"/><Relationship Id="rId1" Type="http://schemas.openxmlformats.org/officeDocument/2006/relationships/hyperlink" Target="http://www.oecd.org/officialdocuments/publicdisplaydocumentpdf/?cote=env/jm/mono(2015)21&amp;doclanguage=en" TargetMode="External"/><Relationship Id="rId5" Type="http://schemas.openxmlformats.org/officeDocument/2006/relationships/hyperlink" Target="http://ec.europa.eu/commfrontoffice/publicopinion/index.cfm/Survey/getSurveyDetail/instruments/SPECIAL/surveyKy/2111" TargetMode="External"/><Relationship Id="rId4" Type="http://schemas.openxmlformats.org/officeDocument/2006/relationships/hyperlink" Target="http://ec.europa.eu/growth/sectors/chemicals/reach/special-cas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3A25-52B1-4BB6-98F3-049843AD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4886</Words>
  <Characters>28684</Characters>
  <Application>Microsoft Office Word</Application>
  <DocSecurity>0</DocSecurity>
  <Lines>503</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33419</CharactersWithSpaces>
  <SharedDoc>false</SharedDoc>
  <HLinks>
    <vt:vector size="30" baseType="variant">
      <vt:variant>
        <vt:i4>1179742</vt:i4>
      </vt:variant>
      <vt:variant>
        <vt:i4>15</vt:i4>
      </vt:variant>
      <vt:variant>
        <vt:i4>0</vt:i4>
      </vt:variant>
      <vt:variant>
        <vt:i4>5</vt:i4>
      </vt:variant>
      <vt:variant>
        <vt:lpwstr>http://ec.europa.eu/commfrontoffice/publicopinion/index.cfm/Survey/getSurveyDetail/instruments/SPECIAL/surveyKy/2111</vt:lpwstr>
      </vt:variant>
      <vt:variant>
        <vt:lpwstr/>
      </vt:variant>
      <vt:variant>
        <vt:i4>2293825</vt:i4>
      </vt:variant>
      <vt:variant>
        <vt:i4>12</vt:i4>
      </vt:variant>
      <vt:variant>
        <vt:i4>0</vt:i4>
      </vt:variant>
      <vt:variant>
        <vt:i4>5</vt:i4>
      </vt:variant>
      <vt:variant>
        <vt:lpwstr>http://ec.europa.eu/growth/sectors/chemicals/reach/special-cases_en</vt:lpwstr>
      </vt:variant>
      <vt:variant>
        <vt:lpwstr/>
      </vt:variant>
      <vt:variant>
        <vt:i4>7536686</vt:i4>
      </vt:variant>
      <vt:variant>
        <vt:i4>9</vt:i4>
      </vt:variant>
      <vt:variant>
        <vt:i4>0</vt:i4>
      </vt:variant>
      <vt:variant>
        <vt:i4>5</vt:i4>
      </vt:variant>
      <vt:variant>
        <vt:lpwstr>http://register.consilium.europa.eu/doc/srv?l=EN&amp;f=ST%205867%202013%20INIT</vt:lpwstr>
      </vt:variant>
      <vt:variant>
        <vt:lpwstr/>
      </vt:variant>
      <vt:variant>
        <vt:i4>1376354</vt:i4>
      </vt:variant>
      <vt:variant>
        <vt:i4>6</vt:i4>
      </vt:variant>
      <vt:variant>
        <vt:i4>0</vt:i4>
      </vt:variant>
      <vt:variant>
        <vt:i4>5</vt:i4>
      </vt:variant>
      <vt:variant>
        <vt:lpwstr>https://ec.europa.eu/commission/priorities/democratic-change/better-regulation_en</vt:lpwstr>
      </vt:variant>
      <vt:variant>
        <vt:lpwstr/>
      </vt:variant>
      <vt:variant>
        <vt:i4>7471202</vt:i4>
      </vt:variant>
      <vt:variant>
        <vt:i4>3</vt:i4>
      </vt:variant>
      <vt:variant>
        <vt:i4>0</vt:i4>
      </vt:variant>
      <vt:variant>
        <vt:i4>5</vt:i4>
      </vt:variant>
      <vt:variant>
        <vt:lpwstr>http://www.oecd.org/officialdocuments/publicdisplaydocumentpdf/?cote=env/jm/mono(2015)21&amp;doclanguage=en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47</cp:revision>
  <dcterms:created xsi:type="dcterms:W3CDTF">2018-02-13T08:48:00Z</dcterms:created>
  <dcterms:modified xsi:type="dcterms:W3CDTF">2018-02-28T16:04:00Z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