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8756391-A9A7-4686-A8A0-5E0EAAE25039" style="width:450.75pt;height:420.7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63"/>
        <w:tblW w:w="7796" w:type="dxa"/>
        <w:tblLook w:val="04A0" w:firstRow="1" w:lastRow="0" w:firstColumn="1" w:lastColumn="0" w:noHBand="0" w:noVBand="1"/>
      </w:tblPr>
      <w:tblGrid>
        <w:gridCol w:w="3685"/>
        <w:gridCol w:w="1418"/>
        <w:gridCol w:w="2693"/>
      </w:tblGrid>
      <w:tr>
        <w:trPr>
          <w:trHeight w:val="330"/>
        </w:trPr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bCs/>
                <w:noProof/>
                <w:color w:val="000000"/>
                <w:sz w:val="22"/>
                <w:szCs w:val="22"/>
              </w:rPr>
              <w:lastRenderedPageBreak/>
              <w:t>Total amount of payments done for EEPR projects (Eur) 30 June 2017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Interconnectors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360,855,255</w:t>
            </w:r>
          </w:p>
        </w:tc>
      </w:tr>
      <w:tr>
        <w:trPr>
          <w:trHeight w:val="80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224,168,978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129,803,681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126,931,210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105,405,090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368,316,520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171,413,396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-3,181,850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1,483,712,280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Carbon Capture Storage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193,746,615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192,003,912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-5,616,119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26,844,339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16,439,027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8,810,052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-8,187,324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424,040,501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OffShore Wind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146,307,028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41,300,325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15,624,304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11,990,156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19,996,656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-26,186,766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14,240,385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32,472,580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255,744,668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Energy efficiency Fund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30,000,000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934,251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24,892,027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42,726,026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14,651,461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3,000,000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116,203,765</w:t>
            </w:r>
          </w:p>
        </w:tc>
      </w:tr>
      <w:tr>
        <w:trPr>
          <w:trHeight w:val="2605"/>
        </w:trPr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700,908,898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487,473,215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140,746,117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190,657,732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184,566,799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365,591,267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188,653,781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21,103,406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2,279,701,215</w:t>
            </w: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Recovery orders have been deducted from payments</w:t>
            </w:r>
          </w:p>
        </w:tc>
      </w:tr>
    </w:tbl>
    <w:p>
      <w:pPr>
        <w:rPr>
          <w:noProof/>
          <w:color w:val="000000"/>
          <w:sz w:val="22"/>
          <w:szCs w:val="22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851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lang w:val="fr-BE"/>
      </w:rPr>
    </w:pPr>
    <w:r>
      <w:rPr>
        <w:lang w:val="fr-BE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lang w:val="fr-BE"/>
      </w:rPr>
    </w:pPr>
    <w:r>
      <w:rPr>
        <w:lang w:val="fr-B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8756391-A9A7-4686-A8A0-5E0EAAE25039"/>
    <w:docVar w:name="LW_COVERPAGE_TYPE" w:val="1"/>
    <w:docVar w:name="LW_CROSSREFERENCE" w:val="{SWD(2018) 48 final}"/>
    <w:docVar w:name="LW_DocType" w:val="NORMAL"/>
    <w:docVar w:name="LW_EMISSION" w:val="5.3.2018"/>
    <w:docVar w:name="LW_EMISSION_ISODATE" w:val="2018-03-05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of the European Energy Programme for Recovery and the European Energy Efficiency Fund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908</Characters>
  <Application>Microsoft Office Word</Application>
  <DocSecurity>0</DocSecurity>
  <Lines>181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9</cp:revision>
  <cp:lastPrinted>2017-08-29T15:27:00Z</cp:lastPrinted>
  <dcterms:created xsi:type="dcterms:W3CDTF">2018-01-11T10:36:00Z</dcterms:created>
  <dcterms:modified xsi:type="dcterms:W3CDTF">2018-02-26T09:59:00Z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</Properties>
</file>