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9101ED7-1058-44A7-A1B1-CE8EF3730492" style="width:450.4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center"/>
        <w:rPr>
          <w:rFonts w:ascii="Times New Roman" w:hAnsi="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after="0" w:line="240" w:lineRule="auto"/>
        <w:jc w:val="center"/>
        <w:rPr>
          <w:rFonts w:ascii="Times New Roman" w:hAnsi="Times New Roman"/>
          <w:b/>
          <w:noProof/>
          <w:sz w:val="24"/>
        </w:rPr>
      </w:pPr>
    </w:p>
    <w:p>
      <w:pPr>
        <w:spacing w:after="0" w:line="240" w:lineRule="auto"/>
        <w:jc w:val="center"/>
        <w:rPr>
          <w:rFonts w:ascii="Times New Roman" w:hAnsi="Times New Roman"/>
          <w:b/>
          <w:noProof/>
          <w:sz w:val="24"/>
        </w:rPr>
      </w:pPr>
      <w:r>
        <w:rPr>
          <w:rFonts w:ascii="Times New Roman" w:hAnsi="Times New Roman"/>
          <w:b/>
          <w:noProof/>
          <w:sz w:val="24"/>
        </w:rPr>
        <w:t>относно качеството на фискалните данни, отчетени от държавите членки през 2017 г.</w:t>
      </w:r>
    </w:p>
    <w:p>
      <w:pPr>
        <w:spacing w:after="0" w:line="240" w:lineRule="auto"/>
        <w:jc w:val="center"/>
        <w:rPr>
          <w:rFonts w:ascii="Times New Roman" w:hAnsi="Times New Roman"/>
          <w:b/>
          <w:noProof/>
          <w:sz w:val="24"/>
        </w:rPr>
      </w:pPr>
    </w:p>
    <w:p>
      <w:pPr>
        <w:spacing w:before="120" w:after="240" w:line="240" w:lineRule="auto"/>
        <w:jc w:val="center"/>
        <w:rPr>
          <w:rFonts w:ascii="Times New Roman" w:eastAsia="Times New Roman" w:hAnsi="Times New Roman"/>
          <w:b/>
          <w:noProof/>
          <w:sz w:val="28"/>
        </w:rPr>
      </w:pPr>
      <w:r>
        <w:rPr>
          <w:rFonts w:ascii="Times New Roman" w:hAnsi="Times New Roman"/>
          <w:b/>
          <w:noProof/>
          <w:sz w:val="28"/>
        </w:rPr>
        <w:t>СЪДЪРЖАНИЕ</w:t>
      </w:r>
    </w:p>
    <w:p>
      <w:pPr>
        <w:spacing w:before="120" w:after="240" w:line="240" w:lineRule="auto"/>
        <w:jc w:val="center"/>
        <w:rPr>
          <w:rFonts w:ascii="Times New Roman" w:eastAsia="Times New Roman" w:hAnsi="Times New Roman"/>
          <w:b/>
          <w:noProof/>
          <w:sz w:val="28"/>
        </w:rPr>
      </w:pPr>
    </w:p>
    <w:bookmarkStart w:id="2" w:name="_Toc342558477"/>
    <w:p>
      <w:pPr>
        <w:pStyle w:val="TOC1"/>
        <w:tabs>
          <w:tab w:val="left" w:pos="440"/>
          <w:tab w:val="right" w:leader="dot" w:pos="9016"/>
        </w:tabs>
        <w:rPr>
          <w:rFonts w:asciiTheme="minorHAnsi" w:eastAsiaTheme="minorEastAsia" w:hAnsiTheme="minorHAnsi" w:cstheme="minorBidi"/>
          <w:noProof/>
          <w:lang w:val="en-GB" w:eastAsia="en-GB" w:bidi="ar-SA"/>
        </w:rPr>
      </w:pPr>
      <w:r>
        <w:rPr>
          <w:rFonts w:ascii="Times New Roman" w:eastAsia="Times New Roman" w:hAnsi="Times New Roman"/>
          <w:noProof/>
        </w:rPr>
        <w:fldChar w:fldCharType="begin"/>
      </w:r>
      <w:r>
        <w:rPr>
          <w:rFonts w:ascii="Times New Roman" w:eastAsia="Times New Roman" w:hAnsi="Times New Roman"/>
          <w:noProof/>
        </w:rPr>
        <w:instrText xml:space="preserve"> TOC \o "1-3" \h \z \u </w:instrText>
      </w:r>
      <w:r>
        <w:rPr>
          <w:rFonts w:ascii="Times New Roman" w:eastAsia="Times New Roman" w:hAnsi="Times New Roman"/>
          <w:noProof/>
        </w:rPr>
        <w:fldChar w:fldCharType="separate"/>
      </w:r>
      <w:hyperlink w:anchor="_Toc507072151" w:history="1">
        <w:r>
          <w:rPr>
            <w:rStyle w:val="Hyperlink"/>
            <w:rFonts w:ascii="Times New Roman" w:eastAsia="Times New Roman" w:hAnsi="Times New Roman"/>
            <w:b/>
            <w:bCs/>
            <w:smallCaps/>
            <w:noProof/>
          </w:rPr>
          <w:t>1.</w:t>
        </w:r>
        <w:r>
          <w:rPr>
            <w:rFonts w:asciiTheme="minorHAnsi" w:eastAsiaTheme="minorEastAsia" w:hAnsiTheme="minorHAnsi" w:cstheme="minorBidi"/>
            <w:noProof/>
            <w:lang w:val="en-GB" w:eastAsia="en-GB" w:bidi="ar-SA"/>
          </w:rPr>
          <w:tab/>
        </w:r>
        <w:r>
          <w:rPr>
            <w:rStyle w:val="Hyperlink"/>
            <w:rFonts w:ascii="Times New Roman" w:hAnsi="Times New Roman"/>
            <w:b/>
            <w:smallCaps/>
            <w:noProof/>
          </w:rPr>
          <w:t>Контекст</w:t>
        </w:r>
        <w:r>
          <w:rPr>
            <w:noProof/>
            <w:webHidden/>
          </w:rPr>
          <w:tab/>
        </w:r>
        <w:r>
          <w:rPr>
            <w:noProof/>
            <w:webHidden/>
          </w:rPr>
          <w:fldChar w:fldCharType="begin"/>
        </w:r>
        <w:r>
          <w:rPr>
            <w:noProof/>
            <w:webHidden/>
          </w:rPr>
          <w:instrText xml:space="preserve"> PAGEREF _Toc507072151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16"/>
        </w:tabs>
        <w:rPr>
          <w:rFonts w:asciiTheme="minorHAnsi" w:eastAsiaTheme="minorEastAsia" w:hAnsiTheme="minorHAnsi" w:cstheme="minorBidi"/>
          <w:noProof/>
          <w:lang w:val="en-GB" w:eastAsia="en-GB" w:bidi="ar-SA"/>
        </w:rPr>
      </w:pPr>
      <w:hyperlink w:anchor="_Toc507072152" w:history="1">
        <w:r>
          <w:rPr>
            <w:rStyle w:val="Hyperlink"/>
            <w:rFonts w:ascii="Times New Roman" w:eastAsia="Times New Roman" w:hAnsi="Times New Roman"/>
            <w:b/>
            <w:bCs/>
            <w:smallCaps/>
            <w:noProof/>
          </w:rPr>
          <w:t>2.</w:t>
        </w:r>
        <w:r>
          <w:rPr>
            <w:rFonts w:asciiTheme="minorHAnsi" w:eastAsiaTheme="minorEastAsia" w:hAnsiTheme="minorHAnsi" w:cstheme="minorBidi"/>
            <w:noProof/>
            <w:lang w:val="en-GB" w:eastAsia="en-GB" w:bidi="ar-SA"/>
          </w:rPr>
          <w:tab/>
        </w:r>
        <w:r>
          <w:rPr>
            <w:rStyle w:val="Hyperlink"/>
            <w:rFonts w:ascii="Times New Roman" w:hAnsi="Times New Roman"/>
            <w:b/>
            <w:smallCaps/>
            <w:noProof/>
          </w:rPr>
          <w:t>Основни констатации за отчетените през 2017 г. равнища на държавния дефицит и дълг</w:t>
        </w:r>
        <w:r>
          <w:rPr>
            <w:noProof/>
            <w:webHidden/>
          </w:rPr>
          <w:tab/>
        </w:r>
        <w:r>
          <w:rPr>
            <w:noProof/>
            <w:webHidden/>
          </w:rPr>
          <w:fldChar w:fldCharType="begin"/>
        </w:r>
        <w:r>
          <w:rPr>
            <w:noProof/>
            <w:webHidden/>
          </w:rPr>
          <w:instrText xml:space="preserve"> PAGEREF _Toc507072152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b w:val="0"/>
          <w:lang w:val="en-GB" w:eastAsia="en-GB" w:bidi="ar-SA"/>
        </w:rPr>
      </w:pPr>
      <w:hyperlink w:anchor="_Toc507072153" w:history="1">
        <w:r>
          <w:rPr>
            <w:rStyle w:val="Hyperlink"/>
          </w:rPr>
          <w:t>2.1.</w:t>
        </w:r>
        <w:r>
          <w:rPr>
            <w:rFonts w:asciiTheme="minorHAnsi" w:eastAsiaTheme="minorEastAsia" w:hAnsiTheme="minorHAnsi" w:cstheme="minorBidi"/>
            <w:b w:val="0"/>
            <w:lang w:val="en-GB" w:eastAsia="en-GB" w:bidi="ar-SA"/>
          </w:rPr>
          <w:tab/>
        </w:r>
        <w:r>
          <w:rPr>
            <w:rStyle w:val="Hyperlink"/>
          </w:rPr>
          <w:t>Навременност, надеждност и пълнота</w:t>
        </w:r>
        <w:r>
          <w:rPr>
            <w:webHidden/>
          </w:rPr>
          <w:tab/>
        </w:r>
        <w:r>
          <w:rPr>
            <w:webHidden/>
          </w:rPr>
          <w:fldChar w:fldCharType="begin"/>
        </w:r>
        <w:r>
          <w:rPr>
            <w:webHidden/>
          </w:rPr>
          <w:instrText xml:space="preserve"> PAGEREF _Toc507072153 \h </w:instrText>
        </w:r>
        <w:r>
          <w:rPr>
            <w:webHidden/>
          </w:rPr>
        </w:r>
        <w:r>
          <w:rPr>
            <w:webHidden/>
          </w:rPr>
          <w:fldChar w:fldCharType="separate"/>
        </w:r>
        <w:r>
          <w:rPr>
            <w:webHidden/>
          </w:rPr>
          <w:t>2</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54" w:history="1">
        <w:r>
          <w:rPr>
            <w:rStyle w:val="Hyperlink"/>
          </w:rPr>
          <w:t>2.1.1.</w:t>
        </w:r>
        <w:r>
          <w:rPr>
            <w:rFonts w:asciiTheme="minorHAnsi" w:eastAsiaTheme="minorEastAsia" w:hAnsiTheme="minorHAnsi" w:cstheme="minorBidi"/>
            <w:i w:val="0"/>
            <w:lang w:val="en-GB" w:eastAsia="en-GB" w:bidi="ar-SA"/>
          </w:rPr>
          <w:tab/>
        </w:r>
        <w:r>
          <w:rPr>
            <w:rStyle w:val="Hyperlink"/>
          </w:rPr>
          <w:t>Навременност</w:t>
        </w:r>
        <w:r>
          <w:rPr>
            <w:webHidden/>
          </w:rPr>
          <w:tab/>
        </w:r>
        <w:r>
          <w:rPr>
            <w:webHidden/>
          </w:rPr>
          <w:fldChar w:fldCharType="begin"/>
        </w:r>
        <w:r>
          <w:rPr>
            <w:webHidden/>
          </w:rPr>
          <w:instrText xml:space="preserve"> PAGEREF _Toc507072154 \h </w:instrText>
        </w:r>
        <w:r>
          <w:rPr>
            <w:webHidden/>
          </w:rPr>
        </w:r>
        <w:r>
          <w:rPr>
            <w:webHidden/>
          </w:rPr>
          <w:fldChar w:fldCharType="separate"/>
        </w:r>
        <w:r>
          <w:rPr>
            <w:webHidden/>
          </w:rPr>
          <w:t>2</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55" w:history="1">
        <w:r>
          <w:rPr>
            <w:rStyle w:val="Hyperlink"/>
          </w:rPr>
          <w:t>2.1.2.</w:t>
        </w:r>
        <w:r>
          <w:rPr>
            <w:rFonts w:asciiTheme="minorHAnsi" w:eastAsiaTheme="minorEastAsia" w:hAnsiTheme="minorHAnsi" w:cstheme="minorBidi"/>
            <w:i w:val="0"/>
            <w:lang w:val="en-GB" w:eastAsia="en-GB" w:bidi="ar-SA"/>
          </w:rPr>
          <w:tab/>
        </w:r>
        <w:r>
          <w:rPr>
            <w:rStyle w:val="Hyperlink"/>
          </w:rPr>
          <w:t>Надеждност</w:t>
        </w:r>
        <w:r>
          <w:rPr>
            <w:webHidden/>
          </w:rPr>
          <w:tab/>
        </w:r>
        <w:r>
          <w:rPr>
            <w:webHidden/>
          </w:rPr>
          <w:fldChar w:fldCharType="begin"/>
        </w:r>
        <w:r>
          <w:rPr>
            <w:webHidden/>
          </w:rPr>
          <w:instrText xml:space="preserve"> PAGEREF _Toc507072155 \h </w:instrText>
        </w:r>
        <w:r>
          <w:rPr>
            <w:webHidden/>
          </w:rPr>
        </w:r>
        <w:r>
          <w:rPr>
            <w:webHidden/>
          </w:rPr>
          <w:fldChar w:fldCharType="separate"/>
        </w:r>
        <w:r>
          <w:rPr>
            <w:webHidden/>
          </w:rPr>
          <w:t>3</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56" w:history="1">
        <w:r>
          <w:rPr>
            <w:rStyle w:val="Hyperlink"/>
          </w:rPr>
          <w:t>2.1.3.</w:t>
        </w:r>
        <w:r>
          <w:rPr>
            <w:rFonts w:asciiTheme="minorHAnsi" w:eastAsiaTheme="minorEastAsia" w:hAnsiTheme="minorHAnsi" w:cstheme="minorBidi"/>
            <w:i w:val="0"/>
            <w:lang w:val="en-GB" w:eastAsia="en-GB" w:bidi="ar-SA"/>
          </w:rPr>
          <w:tab/>
        </w:r>
        <w:r>
          <w:rPr>
            <w:rStyle w:val="Hyperlink"/>
          </w:rPr>
          <w:t>Пълнота на таблиците и подкрепящата информация</w:t>
        </w:r>
        <w:r>
          <w:rPr>
            <w:webHidden/>
          </w:rPr>
          <w:tab/>
        </w:r>
        <w:r>
          <w:rPr>
            <w:webHidden/>
          </w:rPr>
          <w:fldChar w:fldCharType="begin"/>
        </w:r>
        <w:r>
          <w:rPr>
            <w:webHidden/>
          </w:rPr>
          <w:instrText xml:space="preserve"> PAGEREF _Toc507072156 \h </w:instrText>
        </w:r>
        <w:r>
          <w:rPr>
            <w:webHidden/>
          </w:rPr>
        </w:r>
        <w:r>
          <w:rPr>
            <w:webHidden/>
          </w:rPr>
          <w:fldChar w:fldCharType="separate"/>
        </w:r>
        <w:r>
          <w:rPr>
            <w:webHidden/>
          </w:rPr>
          <w:t>3</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57" w:history="1">
        <w:r>
          <w:rPr>
            <w:rStyle w:val="Hyperlink"/>
          </w:rPr>
          <w:t>2.1.4.</w:t>
        </w:r>
        <w:r>
          <w:rPr>
            <w:rFonts w:asciiTheme="minorHAnsi" w:eastAsiaTheme="minorEastAsia" w:hAnsiTheme="minorHAnsi" w:cstheme="minorBidi"/>
            <w:i w:val="0"/>
            <w:lang w:val="en-GB" w:eastAsia="en-GB" w:bidi="ar-SA"/>
          </w:rPr>
          <w:tab/>
        </w:r>
        <w:r>
          <w:rPr>
            <w:rStyle w:val="Hyperlink"/>
          </w:rPr>
          <w:t>Допълнителна таблица за отчитане за държавна намеса за подпомагане на финансови институции</w:t>
        </w:r>
        <w:r>
          <w:rPr>
            <w:webHidden/>
          </w:rPr>
          <w:tab/>
        </w:r>
        <w:r>
          <w:rPr>
            <w:webHidden/>
          </w:rPr>
          <w:fldChar w:fldCharType="begin"/>
        </w:r>
        <w:r>
          <w:rPr>
            <w:webHidden/>
          </w:rPr>
          <w:instrText xml:space="preserve"> PAGEREF _Toc507072157 \h </w:instrText>
        </w:r>
        <w:r>
          <w:rPr>
            <w:webHidden/>
          </w:rPr>
        </w:r>
        <w:r>
          <w:rPr>
            <w:webHidden/>
          </w:rPr>
          <w:fldChar w:fldCharType="separate"/>
        </w:r>
        <w:r>
          <w:rPr>
            <w:webHidden/>
          </w:rPr>
          <w:t>5</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58" w:history="1">
        <w:r>
          <w:rPr>
            <w:rStyle w:val="Hyperlink"/>
          </w:rPr>
          <w:t>2.1.5.</w:t>
        </w:r>
        <w:r>
          <w:rPr>
            <w:rFonts w:asciiTheme="minorHAnsi" w:eastAsiaTheme="minorEastAsia" w:hAnsiTheme="minorHAnsi" w:cstheme="minorBidi"/>
            <w:i w:val="0"/>
            <w:lang w:val="en-GB" w:eastAsia="en-GB" w:bidi="ar-SA"/>
          </w:rPr>
          <w:tab/>
        </w:r>
        <w:r>
          <w:rPr>
            <w:rStyle w:val="Hyperlink"/>
          </w:rPr>
          <w:t>Въпросник за междуправителственото кредитиране</w:t>
        </w:r>
        <w:r>
          <w:rPr>
            <w:webHidden/>
          </w:rPr>
          <w:tab/>
        </w:r>
        <w:r>
          <w:rPr>
            <w:webHidden/>
          </w:rPr>
          <w:fldChar w:fldCharType="begin"/>
        </w:r>
        <w:r>
          <w:rPr>
            <w:webHidden/>
          </w:rPr>
          <w:instrText xml:space="preserve"> PAGEREF _Toc507072158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b w:val="0"/>
          <w:lang w:val="en-GB" w:eastAsia="en-GB" w:bidi="ar-SA"/>
        </w:rPr>
      </w:pPr>
      <w:hyperlink w:anchor="_Toc507072159" w:history="1">
        <w:r>
          <w:rPr>
            <w:rStyle w:val="Hyperlink"/>
          </w:rPr>
          <w:t>2.2.</w:t>
        </w:r>
        <w:r>
          <w:rPr>
            <w:rFonts w:asciiTheme="minorHAnsi" w:eastAsiaTheme="minorEastAsia" w:hAnsiTheme="minorHAnsi" w:cstheme="minorBidi"/>
            <w:b w:val="0"/>
            <w:lang w:val="en-GB" w:eastAsia="en-GB" w:bidi="ar-SA"/>
          </w:rPr>
          <w:tab/>
        </w:r>
        <w:r>
          <w:rPr>
            <w:rStyle w:val="Hyperlink"/>
          </w:rPr>
          <w:t>Съблюдаване на счетоводните правила и съгласуваност на статистическите данни</w:t>
        </w:r>
        <w:r>
          <w:rPr>
            <w:webHidden/>
          </w:rPr>
          <w:tab/>
        </w:r>
        <w:r>
          <w:rPr>
            <w:webHidden/>
          </w:rPr>
          <w:fldChar w:fldCharType="begin"/>
        </w:r>
        <w:r>
          <w:rPr>
            <w:webHidden/>
          </w:rPr>
          <w:instrText xml:space="preserve"> PAGEREF _Toc507072159 \h </w:instrText>
        </w:r>
        <w:r>
          <w:rPr>
            <w:webHidden/>
          </w:rPr>
        </w:r>
        <w:r>
          <w:rPr>
            <w:webHidden/>
          </w:rPr>
          <w:fldChar w:fldCharType="separate"/>
        </w:r>
        <w:r>
          <w:rPr>
            <w:webHidden/>
          </w:rPr>
          <w:t>6</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60" w:history="1">
        <w:r>
          <w:rPr>
            <w:rStyle w:val="Hyperlink"/>
          </w:rPr>
          <w:t>2.2.1.</w:t>
        </w:r>
        <w:r>
          <w:rPr>
            <w:rFonts w:asciiTheme="minorHAnsi" w:eastAsiaTheme="minorEastAsia" w:hAnsiTheme="minorHAnsi" w:cstheme="minorBidi"/>
            <w:i w:val="0"/>
            <w:lang w:val="en-GB" w:eastAsia="en-GB" w:bidi="ar-SA"/>
          </w:rPr>
          <w:tab/>
        </w:r>
        <w:r>
          <w:rPr>
            <w:rStyle w:val="Hyperlink"/>
          </w:rPr>
          <w:t>Обмен на информация и разяснения</w:t>
        </w:r>
        <w:r>
          <w:rPr>
            <w:webHidden/>
          </w:rPr>
          <w:tab/>
        </w:r>
        <w:r>
          <w:rPr>
            <w:webHidden/>
          </w:rPr>
          <w:fldChar w:fldCharType="begin"/>
        </w:r>
        <w:r>
          <w:rPr>
            <w:webHidden/>
          </w:rPr>
          <w:instrText xml:space="preserve"> PAGEREF _Toc507072160 \h </w:instrText>
        </w:r>
        <w:r>
          <w:rPr>
            <w:webHidden/>
          </w:rPr>
        </w:r>
        <w:r>
          <w:rPr>
            <w:webHidden/>
          </w:rPr>
          <w:fldChar w:fldCharType="separate"/>
        </w:r>
        <w:r>
          <w:rPr>
            <w:webHidden/>
          </w:rPr>
          <w:t>6</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61" w:history="1">
        <w:r>
          <w:rPr>
            <w:rStyle w:val="Hyperlink"/>
          </w:rPr>
          <w:t>2.2.2.</w:t>
        </w:r>
        <w:r>
          <w:rPr>
            <w:rFonts w:asciiTheme="minorHAnsi" w:eastAsiaTheme="minorEastAsia" w:hAnsiTheme="minorHAnsi" w:cstheme="minorBidi"/>
            <w:i w:val="0"/>
            <w:lang w:val="en-GB" w:eastAsia="en-GB" w:bidi="ar-SA"/>
          </w:rPr>
          <w:tab/>
        </w:r>
        <w:r>
          <w:rPr>
            <w:rStyle w:val="Hyperlink"/>
          </w:rPr>
          <w:t>Посещения за водене на разговори и методологически посещения</w:t>
        </w:r>
        <w:r>
          <w:rPr>
            <w:webHidden/>
          </w:rPr>
          <w:tab/>
        </w:r>
        <w:r>
          <w:rPr>
            <w:webHidden/>
          </w:rPr>
          <w:fldChar w:fldCharType="begin"/>
        </w:r>
        <w:r>
          <w:rPr>
            <w:webHidden/>
          </w:rPr>
          <w:instrText xml:space="preserve"> PAGEREF _Toc507072161 \h </w:instrText>
        </w:r>
        <w:r>
          <w:rPr>
            <w:webHidden/>
          </w:rPr>
        </w:r>
        <w:r>
          <w:rPr>
            <w:webHidden/>
          </w:rPr>
          <w:fldChar w:fldCharType="separate"/>
        </w:r>
        <w:r>
          <w:rPr>
            <w:webHidden/>
          </w:rPr>
          <w:t>6</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62" w:history="1">
        <w:r>
          <w:rPr>
            <w:rStyle w:val="Hyperlink"/>
          </w:rPr>
          <w:t>2.2.3.</w:t>
        </w:r>
        <w:r>
          <w:rPr>
            <w:rFonts w:asciiTheme="minorHAnsi" w:eastAsiaTheme="minorEastAsia" w:hAnsiTheme="minorHAnsi" w:cstheme="minorBidi"/>
            <w:i w:val="0"/>
            <w:lang w:val="en-GB" w:eastAsia="en-GB" w:bidi="ar-SA"/>
          </w:rPr>
          <w:tab/>
        </w:r>
        <w:r>
          <w:rPr>
            <w:rStyle w:val="Hyperlink"/>
          </w:rPr>
          <w:t>Конкретни указания от Евростат</w:t>
        </w:r>
        <w:r>
          <w:rPr>
            <w:webHidden/>
          </w:rPr>
          <w:tab/>
        </w:r>
        <w:r>
          <w:rPr>
            <w:webHidden/>
          </w:rPr>
          <w:fldChar w:fldCharType="begin"/>
        </w:r>
        <w:r>
          <w:rPr>
            <w:webHidden/>
          </w:rPr>
          <w:instrText xml:space="preserve"> PAGEREF _Toc507072162 \h </w:instrText>
        </w:r>
        <w:r>
          <w:rPr>
            <w:webHidden/>
          </w:rPr>
        </w:r>
        <w:r>
          <w:rPr>
            <w:webHidden/>
          </w:rPr>
          <w:fldChar w:fldCharType="separate"/>
        </w:r>
        <w:r>
          <w:rPr>
            <w:webHidden/>
          </w:rPr>
          <w:t>7</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63" w:history="1">
        <w:r>
          <w:rPr>
            <w:rStyle w:val="Hyperlink"/>
          </w:rPr>
          <w:t>2.2.4.</w:t>
        </w:r>
        <w:r>
          <w:rPr>
            <w:rFonts w:asciiTheme="minorHAnsi" w:eastAsiaTheme="minorEastAsia" w:hAnsiTheme="minorHAnsi" w:cstheme="minorBidi"/>
            <w:i w:val="0"/>
            <w:lang w:val="en-GB" w:eastAsia="en-GB" w:bidi="ar-SA"/>
          </w:rPr>
          <w:tab/>
        </w:r>
        <w:r>
          <w:rPr>
            <w:rStyle w:val="Hyperlink"/>
          </w:rPr>
          <w:t>Актуални методологически въпроси</w:t>
        </w:r>
        <w:r>
          <w:rPr>
            <w:webHidden/>
          </w:rPr>
          <w:tab/>
        </w:r>
        <w:r>
          <w:rPr>
            <w:webHidden/>
          </w:rPr>
          <w:fldChar w:fldCharType="begin"/>
        </w:r>
        <w:r>
          <w:rPr>
            <w:webHidden/>
          </w:rPr>
          <w:instrText xml:space="preserve"> PAGEREF _Toc507072163 \h </w:instrText>
        </w:r>
        <w:r>
          <w:rPr>
            <w:webHidden/>
          </w:rPr>
        </w:r>
        <w:r>
          <w:rPr>
            <w:webHidden/>
          </w:rPr>
          <w:fldChar w:fldCharType="separate"/>
        </w:r>
        <w:r>
          <w:rPr>
            <w:webHidden/>
          </w:rPr>
          <w:t>7</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64" w:history="1">
        <w:r>
          <w:rPr>
            <w:rStyle w:val="Hyperlink"/>
          </w:rPr>
          <w:t>2.2.5.</w:t>
        </w:r>
        <w:r>
          <w:rPr>
            <w:rFonts w:asciiTheme="minorHAnsi" w:eastAsiaTheme="minorEastAsia" w:hAnsiTheme="minorHAnsi" w:cstheme="minorBidi"/>
            <w:i w:val="0"/>
            <w:lang w:val="en-GB" w:eastAsia="en-GB" w:bidi="ar-SA"/>
          </w:rPr>
          <w:tab/>
        </w:r>
        <w:r>
          <w:rPr>
            <w:rStyle w:val="Hyperlink"/>
          </w:rPr>
          <w:t>Съгласуваност с основните сметки на държавното управление</w:t>
        </w:r>
        <w:r>
          <w:rPr>
            <w:webHidden/>
          </w:rPr>
          <w:tab/>
        </w:r>
        <w:r>
          <w:rPr>
            <w:webHidden/>
          </w:rPr>
          <w:fldChar w:fldCharType="begin"/>
        </w:r>
        <w:r>
          <w:rPr>
            <w:webHidden/>
          </w:rPr>
          <w:instrText xml:space="preserve"> PAGEREF _Toc507072164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b w:val="0"/>
          <w:lang w:val="en-GB" w:eastAsia="en-GB" w:bidi="ar-SA"/>
        </w:rPr>
      </w:pPr>
      <w:hyperlink w:anchor="_Toc507072165" w:history="1">
        <w:r>
          <w:rPr>
            <w:rStyle w:val="Hyperlink"/>
          </w:rPr>
          <w:t>2.3.</w:t>
        </w:r>
        <w:r>
          <w:rPr>
            <w:rFonts w:asciiTheme="minorHAnsi" w:eastAsiaTheme="minorEastAsia" w:hAnsiTheme="minorHAnsi" w:cstheme="minorBidi"/>
            <w:b w:val="0"/>
            <w:lang w:val="en-GB" w:eastAsia="en-GB" w:bidi="ar-SA"/>
          </w:rPr>
          <w:tab/>
        </w:r>
        <w:r>
          <w:rPr>
            <w:rStyle w:val="Hyperlink"/>
          </w:rPr>
          <w:t>Публикуване</w:t>
        </w:r>
        <w:r>
          <w:rPr>
            <w:webHidden/>
          </w:rPr>
          <w:tab/>
        </w:r>
        <w:r>
          <w:rPr>
            <w:webHidden/>
          </w:rPr>
          <w:fldChar w:fldCharType="begin"/>
        </w:r>
        <w:r>
          <w:rPr>
            <w:webHidden/>
          </w:rPr>
          <w:instrText xml:space="preserve"> PAGEREF _Toc507072165 \h </w:instrText>
        </w:r>
        <w:r>
          <w:rPr>
            <w:webHidden/>
          </w:rPr>
        </w:r>
        <w:r>
          <w:rPr>
            <w:webHidden/>
          </w:rPr>
          <w:fldChar w:fldCharType="separate"/>
        </w:r>
        <w:r>
          <w:rPr>
            <w:webHidden/>
          </w:rPr>
          <w:t>9</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66" w:history="1">
        <w:r>
          <w:rPr>
            <w:rStyle w:val="Hyperlink"/>
          </w:rPr>
          <w:t>2.3.1.</w:t>
        </w:r>
        <w:r>
          <w:rPr>
            <w:rFonts w:asciiTheme="minorHAnsi" w:eastAsiaTheme="minorEastAsia" w:hAnsiTheme="minorHAnsi" w:cstheme="minorBidi"/>
            <w:i w:val="0"/>
            <w:lang w:val="en-GB" w:eastAsia="en-GB" w:bidi="ar-SA"/>
          </w:rPr>
          <w:tab/>
        </w:r>
        <w:r>
          <w:rPr>
            <w:rStyle w:val="Hyperlink"/>
          </w:rPr>
          <w:t>Публикуване на основните данни и подробните отчетни таблици</w:t>
        </w:r>
        <w:r>
          <w:rPr>
            <w:webHidden/>
          </w:rPr>
          <w:tab/>
        </w:r>
        <w:r>
          <w:rPr>
            <w:webHidden/>
          </w:rPr>
          <w:fldChar w:fldCharType="begin"/>
        </w:r>
        <w:r>
          <w:rPr>
            <w:webHidden/>
          </w:rPr>
          <w:instrText xml:space="preserve"> PAGEREF _Toc507072166 \h </w:instrText>
        </w:r>
        <w:r>
          <w:rPr>
            <w:webHidden/>
          </w:rPr>
        </w:r>
        <w:r>
          <w:rPr>
            <w:webHidden/>
          </w:rPr>
          <w:fldChar w:fldCharType="separate"/>
        </w:r>
        <w:r>
          <w:rPr>
            <w:webHidden/>
          </w:rPr>
          <w:t>9</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67" w:history="1">
        <w:r>
          <w:rPr>
            <w:rStyle w:val="Hyperlink"/>
          </w:rPr>
          <w:t>2.3.2.</w:t>
        </w:r>
        <w:r>
          <w:rPr>
            <w:rFonts w:asciiTheme="minorHAnsi" w:eastAsiaTheme="minorEastAsia" w:hAnsiTheme="minorHAnsi" w:cstheme="minorBidi"/>
            <w:i w:val="0"/>
            <w:lang w:val="en-GB" w:eastAsia="en-GB" w:bidi="ar-SA"/>
          </w:rPr>
          <w:tab/>
        </w:r>
        <w:r>
          <w:rPr>
            <w:rStyle w:val="Hyperlink"/>
          </w:rPr>
          <w:t>Резерви относно качеството на данните</w:t>
        </w:r>
        <w:r>
          <w:rPr>
            <w:webHidden/>
          </w:rPr>
          <w:tab/>
        </w:r>
        <w:r>
          <w:rPr>
            <w:webHidden/>
          </w:rPr>
          <w:fldChar w:fldCharType="begin"/>
        </w:r>
        <w:r>
          <w:rPr>
            <w:webHidden/>
          </w:rPr>
          <w:instrText xml:space="preserve"> PAGEREF _Toc507072167 \h </w:instrText>
        </w:r>
        <w:r>
          <w:rPr>
            <w:webHidden/>
          </w:rPr>
        </w:r>
        <w:r>
          <w:rPr>
            <w:webHidden/>
          </w:rPr>
          <w:fldChar w:fldCharType="separate"/>
        </w:r>
        <w:r>
          <w:rPr>
            <w:webHidden/>
          </w:rPr>
          <w:t>10</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68" w:history="1">
        <w:r>
          <w:rPr>
            <w:rStyle w:val="Hyperlink"/>
          </w:rPr>
          <w:t>2.3.3.</w:t>
        </w:r>
        <w:r>
          <w:rPr>
            <w:rFonts w:asciiTheme="minorHAnsi" w:eastAsiaTheme="minorEastAsia" w:hAnsiTheme="minorHAnsi" w:cstheme="minorBidi"/>
            <w:i w:val="0"/>
            <w:lang w:val="en-GB" w:eastAsia="en-GB" w:bidi="ar-SA"/>
          </w:rPr>
          <w:tab/>
        </w:r>
        <w:r>
          <w:rPr>
            <w:rStyle w:val="Hyperlink"/>
          </w:rPr>
          <w:t>Изменения на отчетените данни</w:t>
        </w:r>
        <w:r>
          <w:rPr>
            <w:webHidden/>
          </w:rPr>
          <w:tab/>
        </w:r>
        <w:r>
          <w:rPr>
            <w:webHidden/>
          </w:rPr>
          <w:fldChar w:fldCharType="begin"/>
        </w:r>
        <w:r>
          <w:rPr>
            <w:webHidden/>
          </w:rPr>
          <w:instrText xml:space="preserve"> PAGEREF _Toc507072168 \h </w:instrText>
        </w:r>
        <w:r>
          <w:rPr>
            <w:webHidden/>
          </w:rPr>
        </w:r>
        <w:r>
          <w:rPr>
            <w:webHidden/>
          </w:rPr>
          <w:fldChar w:fldCharType="separate"/>
        </w:r>
        <w:r>
          <w:rPr>
            <w:webHidden/>
          </w:rPr>
          <w:t>10</w:t>
        </w:r>
        <w:r>
          <w:rPr>
            <w:webHidden/>
          </w:rPr>
          <w:fldChar w:fldCharType="end"/>
        </w:r>
      </w:hyperlink>
    </w:p>
    <w:p>
      <w:pPr>
        <w:pStyle w:val="TOC3"/>
        <w:rPr>
          <w:rFonts w:asciiTheme="minorHAnsi" w:eastAsiaTheme="minorEastAsia" w:hAnsiTheme="minorHAnsi" w:cstheme="minorBidi"/>
          <w:i w:val="0"/>
          <w:lang w:val="en-GB" w:eastAsia="en-GB" w:bidi="ar-SA"/>
        </w:rPr>
      </w:pPr>
      <w:hyperlink w:anchor="_Toc507072169" w:history="1">
        <w:r>
          <w:rPr>
            <w:rStyle w:val="Hyperlink"/>
          </w:rPr>
          <w:t>2.3.4.</w:t>
        </w:r>
        <w:r>
          <w:rPr>
            <w:rFonts w:asciiTheme="minorHAnsi" w:eastAsiaTheme="minorEastAsia" w:hAnsiTheme="minorHAnsi" w:cstheme="minorBidi"/>
            <w:i w:val="0"/>
            <w:lang w:val="en-GB" w:eastAsia="en-GB" w:bidi="ar-SA"/>
          </w:rPr>
          <w:tab/>
        </w:r>
        <w:r>
          <w:rPr>
            <w:rStyle w:val="Hyperlink"/>
          </w:rPr>
          <w:t>Публикуване на метаданни (списъци)</w:t>
        </w:r>
        <w:r>
          <w:rPr>
            <w:webHidden/>
          </w:rPr>
          <w:tab/>
        </w:r>
        <w:r>
          <w:rPr>
            <w:webHidden/>
          </w:rPr>
          <w:fldChar w:fldCharType="begin"/>
        </w:r>
        <w:r>
          <w:rPr>
            <w:webHidden/>
          </w:rPr>
          <w:instrText xml:space="preserve"> PAGEREF _Toc507072169 \h </w:instrText>
        </w:r>
        <w:r>
          <w:rPr>
            <w:webHidden/>
          </w:rPr>
        </w:r>
        <w:r>
          <w:rPr>
            <w:webHidden/>
          </w:rPr>
          <w:fldChar w:fldCharType="separate"/>
        </w:r>
        <w:r>
          <w:rPr>
            <w:webHidden/>
          </w:rPr>
          <w:t>10</w:t>
        </w:r>
        <w:r>
          <w:rPr>
            <w:webHidden/>
          </w:rPr>
          <w:fldChar w:fldCharType="end"/>
        </w:r>
      </w:hyperlink>
    </w:p>
    <w:p>
      <w:pPr>
        <w:pStyle w:val="TOC1"/>
        <w:tabs>
          <w:tab w:val="left" w:pos="440"/>
          <w:tab w:val="right" w:leader="dot" w:pos="9016"/>
        </w:tabs>
        <w:rPr>
          <w:rFonts w:asciiTheme="minorHAnsi" w:eastAsiaTheme="minorEastAsia" w:hAnsiTheme="minorHAnsi" w:cstheme="minorBidi"/>
          <w:noProof/>
          <w:lang w:val="en-GB" w:eastAsia="en-GB" w:bidi="ar-SA"/>
        </w:rPr>
      </w:pPr>
      <w:hyperlink w:anchor="_Toc507072170" w:history="1">
        <w:r>
          <w:rPr>
            <w:rStyle w:val="Hyperlink"/>
            <w:rFonts w:ascii="Times New Roman" w:eastAsia="Times New Roman" w:hAnsi="Times New Roman"/>
            <w:b/>
            <w:bCs/>
            <w:smallCaps/>
            <w:noProof/>
          </w:rPr>
          <w:t>3.</w:t>
        </w:r>
        <w:r>
          <w:rPr>
            <w:rFonts w:asciiTheme="minorHAnsi" w:eastAsiaTheme="minorEastAsia" w:hAnsiTheme="minorHAnsi" w:cstheme="minorBidi"/>
            <w:noProof/>
            <w:lang w:val="en-GB" w:eastAsia="en-GB" w:bidi="ar-SA"/>
          </w:rPr>
          <w:tab/>
        </w:r>
        <w:r>
          <w:rPr>
            <w:rStyle w:val="Hyperlink"/>
            <w:rFonts w:ascii="Times New Roman" w:hAnsi="Times New Roman"/>
            <w:b/>
            <w:smallCaps/>
            <w:noProof/>
          </w:rPr>
          <w:t>Заключения</w:t>
        </w:r>
        <w:r>
          <w:rPr>
            <w:noProof/>
            <w:webHidden/>
          </w:rPr>
          <w:tab/>
        </w:r>
        <w:r>
          <w:rPr>
            <w:noProof/>
            <w:webHidden/>
          </w:rPr>
          <w:fldChar w:fldCharType="begin"/>
        </w:r>
        <w:r>
          <w:rPr>
            <w:noProof/>
            <w:webHidden/>
          </w:rPr>
          <w:instrText xml:space="preserve"> PAGEREF _Toc507072170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440"/>
          <w:tab w:val="right" w:leader="dot" w:pos="9016"/>
        </w:tabs>
        <w:rPr>
          <w:rFonts w:ascii="Times New Roman" w:eastAsiaTheme="minorEastAsia" w:hAnsi="Times New Roman"/>
          <w:noProof/>
        </w:rPr>
      </w:pPr>
      <w:r>
        <w:rPr>
          <w:rFonts w:ascii="Times New Roman" w:eastAsia="Times New Roman" w:hAnsi="Times New Roman"/>
          <w:b/>
          <w:bCs/>
          <w:noProof/>
        </w:rPr>
        <w:fldChar w:fldCharType="end"/>
      </w:r>
      <w:r>
        <w:rPr>
          <w:noProof/>
        </w:rPr>
        <w:br w:type="page"/>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bookmarkStart w:id="3" w:name="_Toc442173625"/>
      <w:bookmarkStart w:id="4" w:name="_Toc442869381"/>
      <w:bookmarkStart w:id="5" w:name="_Toc498100893"/>
      <w:bookmarkStart w:id="6" w:name="_Toc507072151"/>
      <w:r>
        <w:rPr>
          <w:rFonts w:ascii="Times New Roman" w:hAnsi="Times New Roman"/>
          <w:b/>
          <w:smallCaps/>
          <w:noProof/>
          <w:sz w:val="24"/>
        </w:rPr>
        <w:lastRenderedPageBreak/>
        <w:t>Контекст</w:t>
      </w:r>
      <w:bookmarkEnd w:id="2"/>
      <w:bookmarkEnd w:id="3"/>
      <w:bookmarkEnd w:id="4"/>
      <w:bookmarkEnd w:id="5"/>
      <w:bookmarkEnd w:id="6"/>
    </w:p>
    <w:p>
      <w:pPr>
        <w:spacing w:before="120" w:after="120" w:line="240" w:lineRule="auto"/>
        <w:ind w:left="850"/>
        <w:jc w:val="both"/>
        <w:rPr>
          <w:rFonts w:ascii="Times New Roman" w:hAnsi="Times New Roman"/>
          <w:noProof/>
          <w:sz w:val="24"/>
        </w:rPr>
      </w:pPr>
      <w:r>
        <w:rPr>
          <w:rFonts w:ascii="Times New Roman" w:hAnsi="Times New Roman"/>
          <w:noProof/>
          <w:sz w:val="24"/>
        </w:rPr>
        <w:t>Съгласно член 8, параграф 3 от Регламент (ЕО) № 479/2009 на Съвета</w:t>
      </w:r>
      <w:r>
        <w:rPr>
          <w:rStyle w:val="FootnoteReference"/>
          <w:rFonts w:ascii="Times New Roman" w:hAnsi="Times New Roman"/>
          <w:noProof/>
          <w:sz w:val="24"/>
        </w:rPr>
        <w:footnoteReference w:id="1"/>
      </w:r>
      <w:r>
        <w:rPr>
          <w:rFonts w:ascii="Times New Roman" w:hAnsi="Times New Roman"/>
          <w:noProof/>
          <w:sz w:val="24"/>
        </w:rPr>
        <w:t xml:space="preserve"> Комисията (Евростат) трябва да докладва редовно пред Европейския парламент и Съвета относно качеството на действителните данни, съобщени от държавите членки. В настоящия годишен доклад се прави цялостна оценка по отношение на навременността, надеждността, пълнотата и съгласуваността на данните, както и съблюдаването при тях на счетоводните правила. Комисията прие предишния доклад (относно данните за 2016 г.) на 9 март 2017 г.</w:t>
      </w:r>
      <w:r>
        <w:rPr>
          <w:rStyle w:val="FootnoteReference"/>
          <w:rFonts w:ascii="Times New Roman" w:hAnsi="Times New Roman"/>
          <w:noProof/>
          <w:sz w:val="24"/>
        </w:rPr>
        <w:footnoteReference w:id="2"/>
      </w:r>
    </w:p>
    <w:p>
      <w:pPr>
        <w:spacing w:before="120" w:after="120" w:line="240" w:lineRule="auto"/>
        <w:ind w:left="850"/>
        <w:jc w:val="both"/>
        <w:rPr>
          <w:rFonts w:ascii="Times New Roman" w:hAnsi="Times New Roman"/>
          <w:noProof/>
          <w:sz w:val="24"/>
        </w:rPr>
      </w:pPr>
      <w:r>
        <w:rPr>
          <w:rFonts w:ascii="Times New Roman" w:hAnsi="Times New Roman"/>
          <w:noProof/>
          <w:sz w:val="24"/>
        </w:rPr>
        <w:t>Евростат редовно оценява качеството на отчетените от държавите членки действителни данни и съответните сметки на сектор „Държавно управление“ в съответствие с Регламент (ЕС) № 549/2013</w:t>
      </w:r>
      <w:r>
        <w:rPr>
          <w:rStyle w:val="FootnoteReference"/>
          <w:noProof/>
        </w:rPr>
        <w:footnoteReference w:id="3"/>
      </w:r>
      <w:r>
        <w:rPr>
          <w:rFonts w:ascii="Times New Roman" w:hAnsi="Times New Roman"/>
          <w:noProof/>
          <w:sz w:val="24"/>
        </w:rPr>
        <w:t>. При оценката се отделя специално внимание на факторите, обуславящи дефицита/излишъка на сектор „Държавно управление“ и промените в дълга на този сектор. Държавите членки изпращат тази информация на Евростат два пъти годишно в нотификационните таблици по процедурата при прекомерен дефицит (excessive deficit procedure — EDP), въпросника във връзка с нотификационните таблици по EDP, допълнителната таблица за държавната намеса за подпомагане на финансовите институции, както и чрез двустранни разяснения. Освен това Евростат поддържа връзка с държавите членки чрез редовни посещения за водене на разговори във връзка с EDP.</w:t>
      </w:r>
    </w:p>
    <w:p>
      <w:pPr>
        <w:spacing w:before="120" w:after="120" w:line="240" w:lineRule="auto"/>
        <w:ind w:left="850"/>
        <w:jc w:val="both"/>
        <w:rPr>
          <w:rFonts w:ascii="Times New Roman" w:hAnsi="Times New Roman"/>
          <w:noProof/>
          <w:sz w:val="24"/>
        </w:rPr>
      </w:pPr>
      <w:r>
        <w:rPr>
          <w:rFonts w:ascii="Times New Roman" w:hAnsi="Times New Roman"/>
          <w:noProof/>
          <w:sz w:val="24"/>
        </w:rPr>
        <w:t>Настоящият доклад е изготвен въз основа на основните констатации и резултати от данните във връзка с EDP, отчетени от държавите членки през 2017 г. Акцентът в него е върху представените през октомври 2017 г. последни доклади, данните от които са сравнени с данните, изпратени през април 2017 г. и през 2016 г.</w:t>
      </w:r>
    </w:p>
    <w:p>
      <w:pPr>
        <w:keepNext/>
        <w:numPr>
          <w:ilvl w:val="0"/>
          <w:numId w:val="1"/>
        </w:numPr>
        <w:spacing w:before="240" w:after="120" w:line="240" w:lineRule="auto"/>
        <w:ind w:left="851" w:hanging="851"/>
        <w:jc w:val="both"/>
        <w:outlineLvl w:val="0"/>
        <w:rPr>
          <w:rFonts w:ascii="Times New Roman" w:eastAsia="Times New Roman" w:hAnsi="Times New Roman"/>
          <w:b/>
          <w:bCs/>
          <w:smallCaps/>
          <w:noProof/>
          <w:sz w:val="24"/>
          <w:szCs w:val="28"/>
        </w:rPr>
      </w:pPr>
      <w:bookmarkStart w:id="7" w:name="_Toc342558478"/>
      <w:bookmarkStart w:id="8" w:name="_Toc442173626"/>
      <w:bookmarkStart w:id="9" w:name="_Toc442869382"/>
      <w:bookmarkStart w:id="10" w:name="_Toc498100894"/>
      <w:bookmarkStart w:id="11" w:name="_Toc507072152"/>
      <w:r>
        <w:rPr>
          <w:rFonts w:ascii="Times New Roman" w:hAnsi="Times New Roman"/>
          <w:b/>
          <w:smallCaps/>
          <w:noProof/>
          <w:sz w:val="24"/>
        </w:rPr>
        <w:t>Основни констатации за отчетените през 2017 г. равнища на държавния дефицит и дълг</w:t>
      </w:r>
      <w:bookmarkEnd w:id="7"/>
      <w:bookmarkEnd w:id="8"/>
      <w:bookmarkEnd w:id="9"/>
      <w:bookmarkEnd w:id="10"/>
      <w:bookmarkEnd w:id="11"/>
    </w:p>
    <w:p>
      <w:pPr>
        <w:pStyle w:val="Heading2"/>
        <w:rPr>
          <w:noProof/>
        </w:rPr>
      </w:pPr>
      <w:bookmarkStart w:id="12" w:name="_Ref149561652"/>
      <w:bookmarkStart w:id="13" w:name="_Toc342558479"/>
      <w:bookmarkStart w:id="14" w:name="_Toc442173627"/>
      <w:bookmarkStart w:id="15" w:name="_Toc442869383"/>
      <w:bookmarkStart w:id="16" w:name="_Toc498100895"/>
      <w:bookmarkStart w:id="17" w:name="_Toc507072153"/>
      <w:r>
        <w:rPr>
          <w:noProof/>
        </w:rPr>
        <w:t>Навременност</w:t>
      </w:r>
      <w:bookmarkEnd w:id="12"/>
      <w:r>
        <w:rPr>
          <w:noProof/>
        </w:rPr>
        <w:t>, надеждност и пълнота</w:t>
      </w:r>
      <w:bookmarkEnd w:id="13"/>
      <w:bookmarkEnd w:id="14"/>
      <w:bookmarkEnd w:id="15"/>
      <w:bookmarkEnd w:id="16"/>
      <w:bookmarkEnd w:id="17"/>
    </w:p>
    <w:p>
      <w:pPr>
        <w:pStyle w:val="Heading3"/>
        <w:rPr>
          <w:noProof/>
        </w:rPr>
      </w:pPr>
      <w:bookmarkStart w:id="18" w:name="_Toc342558480"/>
      <w:bookmarkStart w:id="19" w:name="_Toc442173628"/>
      <w:bookmarkStart w:id="20" w:name="_Toc442869384"/>
      <w:bookmarkStart w:id="21" w:name="_Toc498100896"/>
      <w:bookmarkStart w:id="22" w:name="_Toc507072154"/>
      <w:r>
        <w:rPr>
          <w:noProof/>
        </w:rPr>
        <w:t>Навременност</w:t>
      </w:r>
      <w:bookmarkEnd w:id="18"/>
      <w:bookmarkEnd w:id="19"/>
      <w:bookmarkEnd w:id="20"/>
      <w:bookmarkEnd w:id="21"/>
      <w:bookmarkEnd w:id="22"/>
    </w:p>
    <w:p>
      <w:pPr>
        <w:spacing w:before="120" w:after="120" w:line="240" w:lineRule="auto"/>
        <w:ind w:left="850"/>
        <w:jc w:val="both"/>
        <w:rPr>
          <w:rFonts w:ascii="Times New Roman" w:hAnsi="Times New Roman"/>
          <w:noProof/>
          <w:sz w:val="24"/>
        </w:rPr>
      </w:pPr>
      <w:r>
        <w:rPr>
          <w:rFonts w:ascii="Times New Roman" w:hAnsi="Times New Roman"/>
          <w:noProof/>
          <w:sz w:val="24"/>
        </w:rPr>
        <w:t>От държавите членки се изисква да отчитат пред Евростат действителните и планираните си данни във връзка с EDP два пъти годишно — преди 1 април и преди 1 октомври</w:t>
      </w:r>
      <w:r>
        <w:rPr>
          <w:rStyle w:val="FootnoteReference"/>
          <w:rFonts w:ascii="Times New Roman" w:hAnsi="Times New Roman"/>
          <w:noProof/>
          <w:sz w:val="24"/>
        </w:rPr>
        <w:footnoteReference w:id="4"/>
      </w:r>
      <w:r>
        <w:rPr>
          <w:rFonts w:ascii="Times New Roman" w:hAnsi="Times New Roman"/>
          <w:noProof/>
          <w:sz w:val="24"/>
        </w:rPr>
        <w:t>. Отчетените през 2017 г. данни за EDP обхванаха периода 2013 — 2017 г. Данните за 2017 г. са планираните от националните органи данни, докато тези за периода 2013 — 2016 г. са действителни данни</w:t>
      </w:r>
      <w:r>
        <w:rPr>
          <w:rStyle w:val="FootnoteReference"/>
          <w:rFonts w:ascii="Times New Roman" w:hAnsi="Times New Roman"/>
          <w:noProof/>
          <w:sz w:val="24"/>
        </w:rPr>
        <w:footnoteReference w:id="5"/>
      </w:r>
      <w:r>
        <w:rPr>
          <w:rFonts w:ascii="Times New Roman" w:hAnsi="Times New Roman"/>
          <w:noProof/>
          <w:sz w:val="24"/>
        </w:rPr>
        <w:t>. В съответствие с член 8, параграф 1 от Регламент (ЕО) № 479/2009 Евростат извършва оценка на отчетените от държавите членки действителни данни, а не на планираните данни.</w:t>
      </w:r>
    </w:p>
    <w:p>
      <w:pPr>
        <w:spacing w:before="120" w:after="120" w:line="240" w:lineRule="auto"/>
        <w:ind w:left="850"/>
        <w:jc w:val="both"/>
        <w:rPr>
          <w:rFonts w:ascii="Times New Roman" w:hAnsi="Times New Roman"/>
          <w:noProof/>
          <w:sz w:val="24"/>
        </w:rPr>
      </w:pPr>
      <w:r>
        <w:rPr>
          <w:rFonts w:ascii="Times New Roman" w:hAnsi="Times New Roman"/>
          <w:noProof/>
          <w:sz w:val="24"/>
        </w:rPr>
        <w:t>Всички държави членки спазиха крайните срокове за отчитане и за двата вида нотификация.</w:t>
      </w:r>
    </w:p>
    <w:p>
      <w:pPr>
        <w:pStyle w:val="Heading3"/>
        <w:rPr>
          <w:noProof/>
        </w:rPr>
      </w:pPr>
      <w:bookmarkStart w:id="23" w:name="_Toc342558481"/>
      <w:bookmarkStart w:id="24" w:name="_Toc442173629"/>
      <w:bookmarkStart w:id="25" w:name="_Toc442869385"/>
      <w:bookmarkStart w:id="26" w:name="_Toc498100897"/>
      <w:bookmarkStart w:id="27" w:name="_Toc507072155"/>
      <w:r>
        <w:rPr>
          <w:noProof/>
        </w:rPr>
        <w:t>Надеждност</w:t>
      </w:r>
      <w:bookmarkEnd w:id="23"/>
      <w:bookmarkEnd w:id="24"/>
      <w:bookmarkEnd w:id="25"/>
      <w:bookmarkEnd w:id="26"/>
      <w:bookmarkEnd w:id="27"/>
    </w:p>
    <w:p>
      <w:pPr>
        <w:spacing w:before="120" w:after="120" w:line="240" w:lineRule="auto"/>
        <w:ind w:left="850"/>
        <w:jc w:val="both"/>
        <w:rPr>
          <w:rFonts w:ascii="Times New Roman" w:hAnsi="Times New Roman"/>
          <w:noProof/>
          <w:sz w:val="24"/>
          <w:highlight w:val="yellow"/>
        </w:rPr>
      </w:pPr>
      <w:r>
        <w:rPr>
          <w:rFonts w:ascii="Times New Roman" w:hAnsi="Times New Roman"/>
          <w:noProof/>
          <w:sz w:val="24"/>
        </w:rPr>
        <w:t>Ревизиите, извършени между нотификациите по EDP от април 2017 г. и октомври 2017 г., бяха резултат най-вече на актуализиране на изходните данни, на първо място данните за текущите салда и за данъците, и на промени в методологията, като например прекласифициране на единици или операции.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Вследствие на ревизиите на данните за 2016 г., извършени между нотификациите от април и октомври, държавният дефицит/излишък (като процент от БВП) се подобри за осем държави членки и се влоши за други десет. Най-големите положителни ревизии бяха извършени от Дания, Швеция (+0,3 процентни пункта за всяка от държавите), Чешката република и Финландия (+0,2 процентни пункта за всяка от държавите), а най-големите отрицателни ревизии — от Естония (-0,6 процентни пункта), Словакия (-0,5 процентни пункта) и Гърция (-0,3 процентни пункта). Най-голямата ревизия във възходяща посока на данните за дълга през 2016 г. по причини, различни от ревизирането на данните за БВП, беше направена от Швеция (+0,9 процентни пункта), Унгария, Кипър (+0,7 процентни пункта за всяка от държавите) и Люксембург (+0,3 процентни пункта), докато в Малта данните за дълга бяха ревизирани в низходяща посока (-0,4 процентни пункта).</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Ревизиите на данните за БВП имаха значително отражение върху отношението на дълга към БВП при няколко държави членки. По-конкретно, увеличение поради ревизиране на данните за БВП бе наблюдавано за Гърция (+1,7 процентни пункта), Люксембург, Франция (+0,4 процентни пункта за всяка от държавите) и Латвия (+0,2 процентни пункта), а намаление за 24 държави членки, като най-значителното намаление бе за Ирландия (-2,7 процентни пункта), Хърватия, Кипър, Словения (-1,3 процентни пункта), Обединено кралство (-1,0 процентни пункта), Австрия, Унгария (-0,9 процентни пункта за всяка от държавите), Италия (-0,6 процентни пункта), България, Чешката република, Нидерландия и Финландия (-0,5 процентни пункта за всяка от държавите). </w:t>
      </w:r>
    </w:p>
    <w:p>
      <w:pPr>
        <w:pStyle w:val="Heading3"/>
        <w:rPr>
          <w:noProof/>
        </w:rPr>
      </w:pPr>
      <w:bookmarkStart w:id="28" w:name="_Toc342558482"/>
      <w:bookmarkStart w:id="29" w:name="_Toc442173630"/>
      <w:bookmarkStart w:id="30" w:name="_Toc442869386"/>
      <w:bookmarkStart w:id="31" w:name="_Toc498100898"/>
      <w:bookmarkStart w:id="32" w:name="_Toc507072156"/>
      <w:r>
        <w:rPr>
          <w:noProof/>
        </w:rPr>
        <w:t>Пълнота на таблиците и подкрепящата информация</w:t>
      </w:r>
      <w:bookmarkEnd w:id="28"/>
      <w:bookmarkEnd w:id="29"/>
      <w:bookmarkEnd w:id="30"/>
      <w:bookmarkEnd w:id="31"/>
      <w:bookmarkEnd w:id="32"/>
    </w:p>
    <w:p>
      <w:pPr>
        <w:spacing w:before="120" w:after="120" w:line="240" w:lineRule="auto"/>
        <w:ind w:left="850"/>
        <w:jc w:val="both"/>
        <w:rPr>
          <w:rFonts w:ascii="Times New Roman" w:hAnsi="Times New Roman"/>
          <w:i/>
          <w:noProof/>
          <w:sz w:val="24"/>
        </w:rPr>
      </w:pPr>
      <w:r>
        <w:rPr>
          <w:rFonts w:ascii="Times New Roman" w:hAnsi="Times New Roman"/>
          <w:noProof/>
          <w:sz w:val="24"/>
        </w:rPr>
        <w:t>Попълването на отчетните таблици представлява правно задължение и е от съществено значение за правилната оценка на качеството на данните от страна на Евростат. С член 8, параграф 2 от Регламент (ЕО) № 479/2009 от държавите членки се изисква да предоставят на Евростат съответната статистическа информация, което „</w:t>
      </w:r>
      <w:r>
        <w:rPr>
          <w:rFonts w:ascii="Times New Roman" w:hAnsi="Times New Roman"/>
          <w:i/>
          <w:noProof/>
          <w:sz w:val="24"/>
        </w:rPr>
        <w:t>(…) по-специално (…) означава:</w:t>
      </w:r>
    </w:p>
    <w:p>
      <w:pPr>
        <w:spacing w:before="120" w:after="120" w:line="240" w:lineRule="auto"/>
        <w:ind w:left="1701" w:hanging="425"/>
        <w:jc w:val="both"/>
        <w:rPr>
          <w:rFonts w:ascii="Times New Roman" w:hAnsi="Times New Roman"/>
          <w:i/>
          <w:noProof/>
          <w:sz w:val="24"/>
        </w:rPr>
      </w:pPr>
      <w:r>
        <w:rPr>
          <w:rFonts w:ascii="Times New Roman" w:hAnsi="Times New Roman"/>
          <w:i/>
          <w:noProof/>
          <w:sz w:val="24"/>
        </w:rPr>
        <w:t>а)</w:t>
      </w:r>
      <w:r>
        <w:rPr>
          <w:noProof/>
        </w:rPr>
        <w:tab/>
      </w:r>
      <w:r>
        <w:rPr>
          <w:rFonts w:ascii="Times New Roman" w:hAnsi="Times New Roman"/>
          <w:i/>
          <w:noProof/>
          <w:sz w:val="24"/>
        </w:rPr>
        <w:t>данни от националните сметки;</w:t>
      </w:r>
    </w:p>
    <w:p>
      <w:pPr>
        <w:spacing w:before="120" w:after="120" w:line="240" w:lineRule="auto"/>
        <w:ind w:left="1701" w:hanging="425"/>
        <w:jc w:val="both"/>
        <w:rPr>
          <w:rFonts w:ascii="Times New Roman" w:hAnsi="Times New Roman"/>
          <w:i/>
          <w:noProof/>
          <w:sz w:val="24"/>
        </w:rPr>
      </w:pPr>
      <w:r>
        <w:rPr>
          <w:rFonts w:ascii="Times New Roman" w:hAnsi="Times New Roman"/>
          <w:i/>
          <w:noProof/>
          <w:sz w:val="24"/>
        </w:rPr>
        <w:t>б)</w:t>
      </w:r>
      <w:r>
        <w:rPr>
          <w:noProof/>
        </w:rPr>
        <w:tab/>
      </w:r>
      <w:r>
        <w:rPr>
          <w:rFonts w:ascii="Times New Roman" w:hAnsi="Times New Roman"/>
          <w:i/>
          <w:noProof/>
          <w:sz w:val="24"/>
        </w:rPr>
        <w:t>списъци</w:t>
      </w:r>
      <w:r>
        <w:rPr>
          <w:noProof/>
        </w:rPr>
        <w:t>;</w:t>
      </w:r>
    </w:p>
    <w:p>
      <w:pPr>
        <w:spacing w:before="120" w:after="120" w:line="240" w:lineRule="auto"/>
        <w:ind w:left="1701" w:hanging="425"/>
        <w:jc w:val="both"/>
        <w:rPr>
          <w:rFonts w:ascii="Times New Roman" w:hAnsi="Times New Roman"/>
          <w:i/>
          <w:noProof/>
          <w:sz w:val="24"/>
        </w:rPr>
      </w:pPr>
      <w:r>
        <w:rPr>
          <w:rFonts w:ascii="Times New Roman" w:hAnsi="Times New Roman"/>
          <w:i/>
          <w:noProof/>
          <w:sz w:val="24"/>
        </w:rPr>
        <w:t>в)</w:t>
      </w:r>
      <w:r>
        <w:rPr>
          <w:noProof/>
        </w:rPr>
        <w:tab/>
      </w:r>
      <w:r>
        <w:rPr>
          <w:rFonts w:ascii="Times New Roman" w:hAnsi="Times New Roman"/>
          <w:i/>
          <w:noProof/>
          <w:sz w:val="24"/>
        </w:rPr>
        <w:t>нотификационни таблици, използвани при процедурата при прекомерен дефицит;</w:t>
      </w:r>
    </w:p>
    <w:p>
      <w:pPr>
        <w:spacing w:before="120" w:after="120" w:line="240" w:lineRule="auto"/>
        <w:ind w:left="1701" w:hanging="425"/>
        <w:jc w:val="both"/>
        <w:rPr>
          <w:rFonts w:ascii="Times New Roman" w:hAnsi="Times New Roman"/>
          <w:i/>
          <w:noProof/>
          <w:sz w:val="24"/>
        </w:rPr>
      </w:pPr>
      <w:r>
        <w:rPr>
          <w:rFonts w:ascii="Times New Roman" w:hAnsi="Times New Roman"/>
          <w:i/>
          <w:noProof/>
          <w:sz w:val="24"/>
        </w:rPr>
        <w:t>г)</w:t>
      </w:r>
      <w:r>
        <w:rPr>
          <w:noProof/>
        </w:rPr>
        <w:tab/>
      </w:r>
      <w:r>
        <w:rPr>
          <w:rFonts w:ascii="Times New Roman" w:hAnsi="Times New Roman"/>
          <w:i/>
          <w:noProof/>
          <w:sz w:val="24"/>
        </w:rPr>
        <w:t>допълнителни въпросници и разяснения, свързани с нотификациите.“</w:t>
      </w:r>
    </w:p>
    <w:p>
      <w:pPr>
        <w:spacing w:before="120" w:after="120" w:line="240" w:lineRule="auto"/>
        <w:ind w:left="850"/>
        <w:jc w:val="both"/>
        <w:rPr>
          <w:rFonts w:ascii="Times New Roman" w:hAnsi="Times New Roman"/>
          <w:noProof/>
          <w:sz w:val="24"/>
        </w:rPr>
      </w:pPr>
      <w:r>
        <w:rPr>
          <w:rFonts w:ascii="Times New Roman" w:hAnsi="Times New Roman"/>
          <w:noProof/>
          <w:sz w:val="24"/>
        </w:rPr>
        <w:t>Има четири основни нотификационни таблици по EDP:</w:t>
      </w:r>
    </w:p>
    <w:p>
      <w:pPr>
        <w:pStyle w:val="ListParagraph"/>
        <w:numPr>
          <w:ilvl w:val="0"/>
          <w:numId w:val="2"/>
        </w:numPr>
        <w:tabs>
          <w:tab w:val="left" w:pos="1701"/>
        </w:tabs>
        <w:spacing w:before="120" w:after="120" w:line="240" w:lineRule="auto"/>
        <w:ind w:left="1701" w:hanging="425"/>
        <w:contextualSpacing w:val="0"/>
        <w:jc w:val="both"/>
        <w:rPr>
          <w:rFonts w:ascii="Times New Roman" w:hAnsi="Times New Roman"/>
          <w:noProof/>
          <w:sz w:val="24"/>
        </w:rPr>
      </w:pPr>
      <w:r>
        <w:rPr>
          <w:rFonts w:ascii="Times New Roman" w:hAnsi="Times New Roman"/>
          <w:noProof/>
          <w:sz w:val="24"/>
        </w:rPr>
        <w:t>таблица 1 обхваща отчитането на държавния дефицит/излишък (общо и по подсектори на сектор „Държавно управление“) и равнищата на дълга (общо</w:t>
      </w:r>
      <w:r>
        <w:rPr>
          <w:rFonts w:ascii="Times New Roman" w:hAnsi="Times New Roman"/>
          <w:noProof/>
          <w:sz w:val="24"/>
          <w:vertAlign w:val="superscript"/>
        </w:rPr>
        <w:footnoteReference w:id="6"/>
      </w:r>
      <w:r>
        <w:rPr>
          <w:rFonts w:ascii="Times New Roman" w:hAnsi="Times New Roman"/>
          <w:noProof/>
          <w:sz w:val="24"/>
        </w:rPr>
        <w:t xml:space="preserve"> и по категория финансови инструменти). Тя обхваща също така БВП по текущи пазарни цени и държавните разходи за бруто образуване на основен капитал и за лихви;</w:t>
      </w:r>
    </w:p>
    <w:p>
      <w:pPr>
        <w:pStyle w:val="ListParagraph"/>
        <w:numPr>
          <w:ilvl w:val="0"/>
          <w:numId w:val="2"/>
        </w:numPr>
        <w:tabs>
          <w:tab w:val="left" w:pos="1701"/>
        </w:tabs>
        <w:spacing w:before="120" w:after="120" w:line="240" w:lineRule="auto"/>
        <w:ind w:left="1701" w:hanging="425"/>
        <w:contextualSpacing w:val="0"/>
        <w:jc w:val="both"/>
        <w:rPr>
          <w:rFonts w:ascii="Times New Roman" w:hAnsi="Times New Roman"/>
          <w:noProof/>
          <w:sz w:val="24"/>
        </w:rPr>
      </w:pPr>
      <w:r>
        <w:rPr>
          <w:rFonts w:ascii="Times New Roman" w:hAnsi="Times New Roman"/>
          <w:noProof/>
          <w:sz w:val="24"/>
        </w:rPr>
        <w:t>в таблици 2А — 2Г се представят данни, с които се обяснява преходът между националните определения за бюджетното салдо (наричано в методологията на националните сметки „текущо салдо“) и излишъка/дефицита на всеки от подсекторите на сектор „Държавно управление“ (наричан в методологията на националните сметки „нето предоставени/нето получени заеми“)</w:t>
      </w:r>
      <w:r>
        <w:rPr>
          <w:rFonts w:ascii="Times New Roman" w:hAnsi="Times New Roman"/>
          <w:noProof/>
          <w:sz w:val="24"/>
          <w:vertAlign w:val="superscript"/>
        </w:rPr>
        <w:footnoteReference w:id="7"/>
      </w:r>
      <w:r>
        <w:rPr>
          <w:rFonts w:ascii="Times New Roman" w:hAnsi="Times New Roman"/>
          <w:noProof/>
          <w:sz w:val="24"/>
        </w:rPr>
        <w:t>;</w:t>
      </w:r>
      <w:r>
        <w:rPr>
          <w:rFonts w:ascii="Times New Roman" w:hAnsi="Times New Roman"/>
          <w:noProof/>
          <w:sz w:val="24"/>
          <w:vertAlign w:val="superscript"/>
        </w:rPr>
        <w:t xml:space="preserve"> </w:t>
      </w:r>
    </w:p>
    <w:p>
      <w:pPr>
        <w:pStyle w:val="ListParagraph"/>
        <w:numPr>
          <w:ilvl w:val="0"/>
          <w:numId w:val="2"/>
        </w:numPr>
        <w:tabs>
          <w:tab w:val="left" w:pos="1701"/>
        </w:tabs>
        <w:spacing w:before="120" w:after="120" w:line="240" w:lineRule="auto"/>
        <w:ind w:left="1701" w:hanging="425"/>
        <w:contextualSpacing w:val="0"/>
        <w:jc w:val="both"/>
        <w:rPr>
          <w:rFonts w:ascii="Times New Roman" w:hAnsi="Times New Roman"/>
          <w:noProof/>
          <w:sz w:val="24"/>
        </w:rPr>
      </w:pPr>
      <w:r>
        <w:rPr>
          <w:rFonts w:ascii="Times New Roman" w:hAnsi="Times New Roman"/>
          <w:noProof/>
          <w:sz w:val="24"/>
        </w:rPr>
        <w:t xml:space="preserve">в таблици 3А — 3Г се представят данни, с които се обяснява как държавният излишък/дефицит и другите значими фактори влияят върху изменението в равнището на държавния дълг и върху консолидирането на дълга; и </w:t>
      </w:r>
    </w:p>
    <w:p>
      <w:pPr>
        <w:pStyle w:val="ListParagraph"/>
        <w:numPr>
          <w:ilvl w:val="0"/>
          <w:numId w:val="2"/>
        </w:numPr>
        <w:tabs>
          <w:tab w:val="left" w:pos="1701"/>
        </w:tabs>
        <w:spacing w:before="120" w:after="120" w:line="240" w:lineRule="auto"/>
        <w:ind w:left="1701" w:hanging="425"/>
        <w:contextualSpacing w:val="0"/>
        <w:jc w:val="both"/>
        <w:rPr>
          <w:rFonts w:ascii="Times New Roman" w:hAnsi="Times New Roman"/>
          <w:noProof/>
          <w:sz w:val="24"/>
        </w:rPr>
      </w:pPr>
      <w:r>
        <w:rPr>
          <w:rFonts w:ascii="Times New Roman" w:hAnsi="Times New Roman"/>
          <w:noProof/>
          <w:sz w:val="24"/>
        </w:rPr>
        <w:t>в таблица 4 са включени предимно данни за търговските кредити и аванси</w:t>
      </w:r>
      <w:r>
        <w:rPr>
          <w:rStyle w:val="FootnoteReference"/>
          <w:rFonts w:ascii="Times New Roman" w:hAnsi="Times New Roman"/>
          <w:noProof/>
          <w:sz w:val="24"/>
        </w:rPr>
        <w:footnoteReference w:id="8"/>
      </w:r>
      <w:r>
        <w:rPr>
          <w:rFonts w:ascii="Times New Roman" w:hAnsi="Times New Roman"/>
          <w:noProof/>
          <w:sz w:val="24"/>
        </w:rPr>
        <w:t xml:space="preserve">. </w:t>
      </w:r>
    </w:p>
    <w:p>
      <w:pPr>
        <w:tabs>
          <w:tab w:val="left" w:pos="1701"/>
        </w:tabs>
        <w:spacing w:before="120" w:after="120" w:line="240" w:lineRule="auto"/>
        <w:ind w:left="851"/>
        <w:jc w:val="both"/>
        <w:rPr>
          <w:rFonts w:ascii="Times New Roman" w:hAnsi="Times New Roman"/>
          <w:noProof/>
          <w:sz w:val="24"/>
        </w:rPr>
      </w:pPr>
      <w:r>
        <w:rPr>
          <w:rFonts w:ascii="Times New Roman" w:hAnsi="Times New Roman"/>
          <w:noProof/>
          <w:sz w:val="24"/>
        </w:rPr>
        <w:t>През 2017 г. таблици 1 и 2 по EDP обхванаха периода 2013 — 2017 г.</w:t>
      </w:r>
      <w:r>
        <w:rPr>
          <w:rStyle w:val="FootnoteReference"/>
          <w:rFonts w:ascii="Times New Roman" w:hAnsi="Times New Roman"/>
          <w:noProof/>
          <w:sz w:val="24"/>
        </w:rPr>
        <w:footnoteReference w:id="9"/>
      </w:r>
      <w:r>
        <w:rPr>
          <w:rFonts w:ascii="Times New Roman" w:hAnsi="Times New Roman"/>
          <w:noProof/>
          <w:sz w:val="24"/>
        </w:rPr>
        <w:t>, докато останалите таблици — периода 2013 — 2016 г.</w:t>
      </w:r>
    </w:p>
    <w:p>
      <w:pPr>
        <w:spacing w:before="120" w:after="120" w:line="240" w:lineRule="auto"/>
        <w:ind w:left="850"/>
        <w:jc w:val="both"/>
        <w:rPr>
          <w:rFonts w:ascii="Times New Roman" w:hAnsi="Times New Roman"/>
          <w:noProof/>
          <w:sz w:val="24"/>
        </w:rPr>
      </w:pPr>
      <w:r>
        <w:rPr>
          <w:rFonts w:ascii="Times New Roman" w:hAnsi="Times New Roman"/>
          <w:noProof/>
          <w:sz w:val="24"/>
        </w:rPr>
        <w:t>Всички държави членки предоставиха на Евростат всички нотификационни таблици по EDP</w:t>
      </w:r>
      <w:r>
        <w:rPr>
          <w:rStyle w:val="FootnoteReference"/>
          <w:rFonts w:ascii="Times New Roman" w:hAnsi="Times New Roman"/>
          <w:noProof/>
          <w:sz w:val="24"/>
        </w:rPr>
        <w:footnoteReference w:id="10"/>
      </w:r>
      <w:r>
        <w:rPr>
          <w:rFonts w:ascii="Times New Roman" w:hAnsi="Times New Roman"/>
          <w:noProof/>
          <w:sz w:val="24"/>
        </w:rPr>
        <w:t xml:space="preserve"> през април и октомври. В подадените през октомври отчети всички те попълниха изцяло таблица 1 по EDP и предоставиха в таблица 2 по EDP данни относно връзката между текущото салдо и излишъка/дефицита по EDP за всички подсектори. За първи път Обединеното кралство отчете преходни позиции в таблици 2А и 2В по EDP. Някои държави (Германия, Австрия) не отчетоха всички изисквани в образеца преходни позиции, а някои (Германия, Италия, Нидерландия, Финландия и Швеция) включиха някои остатъчни преходни позиции.</w:t>
      </w:r>
    </w:p>
    <w:p>
      <w:pPr>
        <w:spacing w:before="120" w:after="120" w:line="240" w:lineRule="auto"/>
        <w:ind w:left="850"/>
        <w:jc w:val="both"/>
        <w:rPr>
          <w:rFonts w:ascii="Times New Roman" w:hAnsi="Times New Roman"/>
          <w:noProof/>
          <w:sz w:val="24"/>
        </w:rPr>
      </w:pPr>
      <w:r>
        <w:rPr>
          <w:rFonts w:ascii="Times New Roman" w:hAnsi="Times New Roman"/>
          <w:noProof/>
          <w:sz w:val="24"/>
        </w:rPr>
        <w:t>Не всички държави членки предоставиха всички разбивки във всички таблици 3 по EDP, по-специално за подсектор „Местно държавно управление“.</w:t>
      </w:r>
    </w:p>
    <w:p>
      <w:pPr>
        <w:spacing w:before="120" w:after="120" w:line="240" w:lineRule="auto"/>
        <w:ind w:left="850"/>
        <w:jc w:val="both"/>
        <w:rPr>
          <w:rFonts w:ascii="Times New Roman" w:hAnsi="Times New Roman"/>
          <w:noProof/>
          <w:sz w:val="24"/>
        </w:rPr>
      </w:pPr>
      <w:r>
        <w:rPr>
          <w:rFonts w:ascii="Times New Roman" w:hAnsi="Times New Roman"/>
          <w:noProof/>
          <w:sz w:val="24"/>
        </w:rPr>
        <w:t>В таблица 4 по EDP следва да се съобщят всички търговски кредити и аванси на сектор „Държавно управление“. Пълно обхващане на всички подсектори на сектор „Държавно управление“ обаче, както и в рамките на подсекторите, беше постигнато от малко повече от половината държави членки. Белгия, България, Германия, Ирландия, Франция, Италия Кипър, Люксембург, Малта, Нидерландия, Полша и Обединеното кралство отбелязаха предоставените данни като временни, т.е. подлежащи на ревизиране при бъдещи нотификации.</w:t>
      </w:r>
    </w:p>
    <w:p>
      <w:pPr>
        <w:spacing w:before="120" w:after="120" w:line="240" w:lineRule="auto"/>
        <w:ind w:left="850"/>
        <w:jc w:val="both"/>
        <w:rPr>
          <w:rFonts w:ascii="Times New Roman" w:hAnsi="Times New Roman"/>
          <w:noProof/>
          <w:sz w:val="24"/>
        </w:rPr>
      </w:pPr>
      <w:r>
        <w:rPr>
          <w:rFonts w:ascii="Times New Roman" w:hAnsi="Times New Roman"/>
          <w:noProof/>
          <w:sz w:val="24"/>
        </w:rPr>
        <w:t>Пълнотата на данните в таблиците по EDP може още да се подобри. Не се очаква обаче оставащите проблеми да окажат съществено въздействие върху качеството на данните.</w:t>
      </w:r>
    </w:p>
    <w:p>
      <w:pPr>
        <w:spacing w:before="120" w:after="120" w:line="240" w:lineRule="auto"/>
        <w:ind w:left="850"/>
        <w:jc w:val="both"/>
        <w:rPr>
          <w:rFonts w:ascii="Times New Roman" w:hAnsi="Times New Roman"/>
          <w:noProof/>
          <w:sz w:val="24"/>
        </w:rPr>
      </w:pPr>
      <w:r>
        <w:rPr>
          <w:rFonts w:ascii="Times New Roman" w:hAnsi="Times New Roman"/>
          <w:noProof/>
          <w:sz w:val="24"/>
        </w:rPr>
        <w:t>Всички държави членки представиха отговори на въпросника във връзка с нотификационните таблици по EDP</w:t>
      </w:r>
      <w:r>
        <w:rPr>
          <w:rStyle w:val="FootnoteReference"/>
          <w:rFonts w:ascii="Times New Roman" w:hAnsi="Times New Roman"/>
          <w:noProof/>
          <w:sz w:val="24"/>
        </w:rPr>
        <w:footnoteReference w:id="11"/>
      </w:r>
      <w:r>
        <w:rPr>
          <w:rFonts w:ascii="Times New Roman" w:hAnsi="Times New Roman"/>
          <w:noProof/>
          <w:sz w:val="24"/>
        </w:rPr>
        <w:t>. Въпреки че обхватът и качеството на отговорите продължи да се подобрява, са необходими още подобрения, тъй като някои държави не представиха всички изисквани данни. Това се отнася по-специално за данните за вземанията и анулирането на дългове на подсектор „Централно държавно управление“, разбивката на други сметки за получаване/плащане, вписванията за държавни гаранции (основно за подсектор „Местно държавно управление“) и данните относно вливането на капитали.</w:t>
      </w:r>
    </w:p>
    <w:p>
      <w:pPr>
        <w:pStyle w:val="Heading3"/>
        <w:rPr>
          <w:noProof/>
        </w:rPr>
      </w:pPr>
      <w:bookmarkStart w:id="33" w:name="_Toc342558483"/>
      <w:bookmarkStart w:id="34" w:name="_Toc442173631"/>
      <w:bookmarkStart w:id="35" w:name="_Toc442869387"/>
      <w:bookmarkStart w:id="36" w:name="_Toc498100899"/>
      <w:bookmarkStart w:id="37" w:name="_Toc507072157"/>
      <w:r>
        <w:rPr>
          <w:noProof/>
        </w:rPr>
        <w:t xml:space="preserve">Допълнителна таблица за отчитане за държавна намеса за подпомагане на </w:t>
      </w:r>
      <w:bookmarkEnd w:id="33"/>
      <w:bookmarkEnd w:id="34"/>
      <w:bookmarkEnd w:id="35"/>
      <w:r>
        <w:rPr>
          <w:noProof/>
        </w:rPr>
        <w:t>финансови институции</w:t>
      </w:r>
      <w:bookmarkEnd w:id="36"/>
      <w:bookmarkEnd w:id="37"/>
    </w:p>
    <w:p>
      <w:pPr>
        <w:spacing w:before="120" w:after="120" w:line="240" w:lineRule="auto"/>
        <w:ind w:left="850"/>
        <w:jc w:val="both"/>
        <w:rPr>
          <w:rFonts w:ascii="Times New Roman" w:hAnsi="Times New Roman"/>
          <w:noProof/>
          <w:sz w:val="24"/>
          <w:vertAlign w:val="superscript"/>
        </w:rPr>
      </w:pPr>
      <w:r>
        <w:rPr>
          <w:rFonts w:ascii="Times New Roman" w:hAnsi="Times New Roman"/>
          <w:noProof/>
          <w:sz w:val="24"/>
        </w:rPr>
        <w:t>От 15 юли 2009 г. насам Евростат събра набор от допълнителни данни за държавната намеса за подпомагане на финансови институции. Събраните през 2017 г. данни се отнасят за периода 2007 — 2016 г. Всички държави членки освен пет (Естония, Малта, Полша, Румъния и Словакия) отчетоха различни случаи на държавна намеса през този период. Единствените отчетени случаи на намеса във Финландия (2008 г.) и в Чешката република (2013 г. — 2015 г.) се отнасят за условни пасиви. През 2016 г. всички държави освен Словения и Кипър отчетоха ограничено нарастване на своите дефицити или неутрално въздействие вследствие на държавна намеса за подпомагане на финансови институции. Заедно с бюлетина за EDP Евростат публикува и информационна бележка, в която се дава повече информация за съдържанието на допълнителната таблица и констатациите относно данните</w:t>
      </w:r>
      <w:r>
        <w:rPr>
          <w:rStyle w:val="FootnoteReference"/>
          <w:rFonts w:ascii="Times New Roman" w:hAnsi="Times New Roman"/>
          <w:noProof/>
          <w:sz w:val="24"/>
        </w:rPr>
        <w:footnoteReference w:id="12"/>
      </w:r>
      <w:r>
        <w:rPr>
          <w:rFonts w:ascii="Times New Roman" w:hAnsi="Times New Roman"/>
          <w:noProof/>
          <w:sz w:val="24"/>
        </w:rPr>
        <w:t>.</w:t>
      </w:r>
      <w:r>
        <w:rPr>
          <w:rFonts w:ascii="Times New Roman" w:hAnsi="Times New Roman"/>
          <w:noProof/>
          <w:sz w:val="24"/>
          <w:vertAlign w:val="superscript"/>
        </w:rPr>
        <w:t xml:space="preserve"> </w:t>
      </w:r>
    </w:p>
    <w:p>
      <w:pPr>
        <w:pStyle w:val="Heading3"/>
        <w:rPr>
          <w:noProof/>
        </w:rPr>
      </w:pPr>
      <w:bookmarkStart w:id="38" w:name="_Toc342558484"/>
      <w:bookmarkStart w:id="39" w:name="_Toc442173632"/>
      <w:bookmarkStart w:id="40" w:name="_Toc442869388"/>
      <w:bookmarkStart w:id="41" w:name="_Toc498100900"/>
      <w:bookmarkStart w:id="42" w:name="_Toc507072158"/>
      <w:r>
        <w:rPr>
          <w:noProof/>
        </w:rPr>
        <w:t>Въпросник за междуправителственото кредитиране</w:t>
      </w:r>
      <w:bookmarkEnd w:id="38"/>
      <w:bookmarkEnd w:id="39"/>
      <w:bookmarkEnd w:id="40"/>
      <w:bookmarkEnd w:id="41"/>
      <w:bookmarkEnd w:id="42"/>
    </w:p>
    <w:p>
      <w:pPr>
        <w:spacing w:before="120" w:after="120" w:line="240" w:lineRule="auto"/>
        <w:ind w:left="850"/>
        <w:jc w:val="both"/>
        <w:rPr>
          <w:rFonts w:ascii="Times New Roman" w:hAnsi="Times New Roman"/>
          <w:noProof/>
          <w:sz w:val="24"/>
        </w:rPr>
      </w:pPr>
      <w:r>
        <w:rPr>
          <w:rFonts w:ascii="Times New Roman" w:hAnsi="Times New Roman"/>
          <w:noProof/>
          <w:sz w:val="24"/>
        </w:rPr>
        <w:t>Държавите членки представят данни за междуправителственото кредитиране на двустранна основа, което обикновено се извършва по линия на програми за финансово подпомагане. Тези данни и допълнителна информация за Европейския инструмент за финансова стабилност също са включени в бюлетина за EDP. Данните за периода 2013 — 2016 г. се отнасят главно за отпускане на заеми на Гърция, Ирландия и Португалия.</w:t>
      </w:r>
    </w:p>
    <w:p>
      <w:pPr>
        <w:spacing w:before="120" w:after="120" w:line="240" w:lineRule="auto"/>
        <w:ind w:left="850"/>
        <w:jc w:val="both"/>
        <w:rPr>
          <w:rFonts w:ascii="Times New Roman" w:hAnsi="Times New Roman"/>
          <w:noProof/>
          <w:sz w:val="24"/>
        </w:rPr>
      </w:pPr>
      <w:r>
        <w:rPr>
          <w:rFonts w:ascii="Times New Roman" w:hAnsi="Times New Roman"/>
          <w:noProof/>
          <w:sz w:val="24"/>
        </w:rPr>
        <w:t>Двустранното междуправителствено кредитиране се приспада при изчисляване на агрегатите за държавния дълг на ЕС-28 и еврозоната съгласно критериите от Маастрихт, тъй като и за двете те са представени на консолидирана основа.</w:t>
      </w:r>
    </w:p>
    <w:p>
      <w:pPr>
        <w:pStyle w:val="Heading2"/>
        <w:spacing w:before="240"/>
        <w:ind w:left="851" w:hanging="851"/>
        <w:rPr>
          <w:noProof/>
        </w:rPr>
      </w:pPr>
      <w:bookmarkStart w:id="43" w:name="_Toc342558485"/>
      <w:bookmarkStart w:id="44" w:name="_Toc442173633"/>
      <w:bookmarkStart w:id="45" w:name="_Toc442869389"/>
      <w:bookmarkStart w:id="46" w:name="_Toc498100901"/>
      <w:bookmarkStart w:id="47" w:name="_Toc507072159"/>
      <w:r>
        <w:rPr>
          <w:noProof/>
        </w:rPr>
        <w:t>Съблюдаване на счетоводните правила и съгласуваност на статистическите данни</w:t>
      </w:r>
      <w:bookmarkEnd w:id="43"/>
      <w:bookmarkEnd w:id="44"/>
      <w:bookmarkEnd w:id="45"/>
      <w:bookmarkEnd w:id="46"/>
      <w:bookmarkEnd w:id="47"/>
    </w:p>
    <w:p>
      <w:pPr>
        <w:pStyle w:val="Heading3"/>
        <w:rPr>
          <w:noProof/>
        </w:rPr>
      </w:pPr>
      <w:bookmarkStart w:id="48" w:name="_Toc342558486"/>
      <w:bookmarkStart w:id="49" w:name="_Toc442173634"/>
      <w:bookmarkStart w:id="50" w:name="_Toc442869390"/>
      <w:bookmarkStart w:id="51" w:name="_Toc498100902"/>
      <w:bookmarkStart w:id="52" w:name="_Toc507072160"/>
      <w:r>
        <w:rPr>
          <w:noProof/>
        </w:rPr>
        <w:t>Обмен на информация и разяснения</w:t>
      </w:r>
      <w:bookmarkEnd w:id="48"/>
      <w:bookmarkEnd w:id="49"/>
      <w:bookmarkEnd w:id="50"/>
      <w:bookmarkEnd w:id="51"/>
      <w:bookmarkEnd w:id="52"/>
    </w:p>
    <w:p>
      <w:pPr>
        <w:spacing w:before="120" w:after="120" w:line="240" w:lineRule="auto"/>
        <w:ind w:left="850"/>
        <w:jc w:val="both"/>
        <w:rPr>
          <w:rFonts w:ascii="Times New Roman" w:hAnsi="Times New Roman"/>
          <w:noProof/>
          <w:sz w:val="24"/>
        </w:rPr>
      </w:pPr>
      <w:r>
        <w:rPr>
          <w:rFonts w:ascii="Times New Roman" w:hAnsi="Times New Roman"/>
          <w:noProof/>
          <w:sz w:val="24"/>
        </w:rPr>
        <w:t>През триседмичния нотификационен период между пролетния/есенния срок за отчитане и датата на публикуване на данните Евростат се свърза с всички национални статистически органи, за да поиска допълнителна информация и да разясни прилагането на счетоводните правила за конкретни операции. Това обхвана няколко етапа кореспонденция.</w:t>
      </w:r>
    </w:p>
    <w:p>
      <w:pPr>
        <w:spacing w:before="120" w:after="120" w:line="240" w:lineRule="auto"/>
        <w:ind w:left="850"/>
        <w:jc w:val="both"/>
        <w:rPr>
          <w:rFonts w:ascii="Times New Roman" w:hAnsi="Times New Roman"/>
          <w:noProof/>
          <w:sz w:val="24"/>
        </w:rPr>
      </w:pPr>
      <w:r>
        <w:rPr>
          <w:rFonts w:ascii="Times New Roman" w:hAnsi="Times New Roman"/>
          <w:noProof/>
          <w:sz w:val="24"/>
        </w:rPr>
        <w:t>Например през отчетния период от есента на 2017 г. на първия етап до 6 октомври бяха изпратени искания за разяснения на всички държави членки, на втория етап — на 26 държави членки, на третия етап — на 17, а на четвъртия — на една. Евростат поиска от някои държави членки да представят ревизирани нотификационни таблици по EDP, ревизирани таблици за основните сметки на държавното управление (т.е. годишните сметки за разходите и приходите и тримесечни финансови и нефинансови сметки) и ревизиран въпросник във връзка с нотификационните таблици по EDP. В повечето случаи промените на данни по време на нотификационния период през октомври 2017 г. бяха корекции на технически грешки, вътрешни несъответствия и корекции, предоставени в нотификационните таблици по EDP или в съответния въпросник. Няколко промени бяха свързани с актуализиране на изходните данни, включително планираните данни за 2017 г.</w:t>
      </w:r>
    </w:p>
    <w:p>
      <w:pPr>
        <w:pStyle w:val="Heading3"/>
        <w:rPr>
          <w:noProof/>
        </w:rPr>
      </w:pPr>
      <w:bookmarkStart w:id="53" w:name="_Toc342558487"/>
      <w:bookmarkStart w:id="54" w:name="_Toc442173635"/>
      <w:bookmarkStart w:id="55" w:name="_Toc442869391"/>
      <w:bookmarkStart w:id="56" w:name="_Toc498100903"/>
      <w:bookmarkStart w:id="57" w:name="_Toc507072161"/>
      <w:r>
        <w:rPr>
          <w:noProof/>
        </w:rPr>
        <w:t>Посещения за водене на разговори и методологически посещения</w:t>
      </w:r>
      <w:bookmarkEnd w:id="53"/>
      <w:bookmarkEnd w:id="54"/>
      <w:bookmarkEnd w:id="55"/>
      <w:bookmarkEnd w:id="56"/>
      <w:bookmarkEnd w:id="57"/>
    </w:p>
    <w:p>
      <w:pPr>
        <w:spacing w:before="120" w:after="120" w:line="240" w:lineRule="auto"/>
        <w:ind w:left="850"/>
        <w:jc w:val="both"/>
        <w:rPr>
          <w:rFonts w:ascii="Times New Roman" w:hAnsi="Times New Roman"/>
          <w:noProof/>
          <w:sz w:val="24"/>
        </w:rPr>
      </w:pPr>
      <w:r>
        <w:rPr>
          <w:rFonts w:ascii="Times New Roman" w:hAnsi="Times New Roman"/>
          <w:noProof/>
          <w:sz w:val="24"/>
        </w:rPr>
        <w:t>В Регламент (ЕО) № 479/2009 се предвижда извършването на посещения за водене на разговори и методологически посещения. При тези посещения като наблюдатели редовно участват представители на ГД „Икономически и финансови въпроси“ и на Европейската централна банка. В хода на редовни (поне веднъж на две години) посещения за водене на разговори в държавите членки Евростат преглежда отчетените данни, разглежда методологически въпроси, обсъжда описани в списъците статистически процеси и източници и оценява съблюдаването на съответните счетоводни правила (определяне на границите на сектор „Държавно управление“, време на отчитане и класифициране на държавните операции и задължения). Методологически посещения се предприемат само в особени случаи, когато са установени значителни рискове или потенциални проблеми по отношение на качеството на данните.</w:t>
      </w:r>
    </w:p>
    <w:p>
      <w:pPr>
        <w:spacing w:before="120" w:after="120" w:line="240" w:lineRule="auto"/>
        <w:ind w:left="850"/>
        <w:jc w:val="both"/>
        <w:rPr>
          <w:rFonts w:ascii="Times New Roman" w:hAnsi="Times New Roman"/>
          <w:noProof/>
          <w:sz w:val="24"/>
        </w:rPr>
      </w:pPr>
      <w:r>
        <w:rPr>
          <w:rFonts w:ascii="Times New Roman" w:hAnsi="Times New Roman"/>
          <w:noProof/>
          <w:sz w:val="24"/>
        </w:rPr>
        <w:t>Могат да бъдат организирани и специални или технически посещения, ако Евростат повдигне пред държава членка конкретен важен въпрос, който може да бъде разрешен само чрез провеждане на среща със съответните органи.</w:t>
      </w:r>
    </w:p>
    <w:p>
      <w:pPr>
        <w:spacing w:before="120" w:after="120" w:line="240" w:lineRule="auto"/>
        <w:ind w:left="850"/>
        <w:jc w:val="both"/>
        <w:rPr>
          <w:rFonts w:ascii="Times New Roman" w:hAnsi="Times New Roman"/>
          <w:noProof/>
          <w:sz w:val="24"/>
        </w:rPr>
      </w:pPr>
      <w:r>
        <w:rPr>
          <w:rFonts w:ascii="Times New Roman" w:hAnsi="Times New Roman"/>
          <w:noProof/>
          <w:sz w:val="24"/>
        </w:rPr>
        <w:t>През 2017 г. Евростат проведе посещения за водене на разговори във връзка с EDP в Хърватия, Ирландия, Гърция (две посещения), Италия, Кипър, Обединеното кралство, Франция, Швеция, Латвия, Словения, Естония, Австрия, Словакия и Испания. Бяха проведени също така специални посещения в Полша, Люксембург и Унгария.</w:t>
      </w:r>
    </w:p>
    <w:p>
      <w:pPr>
        <w:spacing w:before="120" w:after="120" w:line="240" w:lineRule="auto"/>
        <w:ind w:left="850"/>
        <w:jc w:val="both"/>
        <w:rPr>
          <w:rFonts w:ascii="Times New Roman" w:hAnsi="Times New Roman"/>
          <w:noProof/>
          <w:sz w:val="24"/>
        </w:rPr>
      </w:pPr>
      <w:r>
        <w:rPr>
          <w:rFonts w:ascii="Times New Roman" w:hAnsi="Times New Roman"/>
          <w:noProof/>
          <w:sz w:val="24"/>
        </w:rPr>
        <w:t>През 2017 г. Евростат не проведе методологически посещения.</w:t>
      </w:r>
    </w:p>
    <w:p>
      <w:pPr>
        <w:spacing w:before="120" w:after="120" w:line="240" w:lineRule="auto"/>
        <w:ind w:left="851"/>
        <w:jc w:val="both"/>
        <w:rPr>
          <w:rFonts w:ascii="Times New Roman" w:hAnsi="Times New Roman"/>
          <w:noProof/>
          <w:sz w:val="24"/>
        </w:rPr>
      </w:pPr>
      <w:r>
        <w:rPr>
          <w:rFonts w:ascii="Times New Roman" w:hAnsi="Times New Roman"/>
          <w:noProof/>
          <w:sz w:val="24"/>
        </w:rPr>
        <w:t>Окончателните констатации от всяко посещение за водене на разговори, включително договорените точки, по които трябва да се предприемат действия, и осъщественият напредък по повдигнатите въпроси, се изпращат на Икономическия и финансов комитет и се публикуват на уебсайта на Евростат</w:t>
      </w:r>
      <w:r>
        <w:rPr>
          <w:rStyle w:val="FootnoteReference"/>
          <w:rFonts w:ascii="Times New Roman" w:hAnsi="Times New Roman"/>
          <w:noProof/>
          <w:sz w:val="24"/>
        </w:rPr>
        <w:footnoteReference w:id="13"/>
      </w:r>
      <w:r>
        <w:rPr>
          <w:rFonts w:ascii="Times New Roman" w:hAnsi="Times New Roman"/>
          <w:noProof/>
          <w:sz w:val="24"/>
        </w:rPr>
        <w:t>. С времето посещенията за водене на разговори и изпълнението на набелязаните мерки значително подобриха качеството на данните.</w:t>
      </w:r>
    </w:p>
    <w:p>
      <w:pPr>
        <w:pStyle w:val="Heading3"/>
        <w:rPr>
          <w:noProof/>
        </w:rPr>
      </w:pPr>
      <w:bookmarkStart w:id="58" w:name="_Toc342558488"/>
      <w:bookmarkStart w:id="59" w:name="_Toc442173636"/>
      <w:bookmarkStart w:id="60" w:name="_Toc442869392"/>
      <w:bookmarkStart w:id="61" w:name="_Toc498100904"/>
      <w:bookmarkStart w:id="62" w:name="_Toc507072162"/>
      <w:r>
        <w:rPr>
          <w:noProof/>
        </w:rPr>
        <w:t>Конкретни указания от Евростат</w:t>
      </w:r>
      <w:bookmarkEnd w:id="58"/>
      <w:bookmarkEnd w:id="59"/>
      <w:bookmarkEnd w:id="60"/>
      <w:bookmarkEnd w:id="61"/>
      <w:bookmarkEnd w:id="62"/>
    </w:p>
    <w:p>
      <w:pPr>
        <w:spacing w:before="120" w:after="120" w:line="240" w:lineRule="auto"/>
        <w:ind w:left="850"/>
        <w:jc w:val="both"/>
        <w:rPr>
          <w:rFonts w:ascii="Times New Roman" w:hAnsi="Times New Roman"/>
          <w:noProof/>
          <w:sz w:val="24"/>
        </w:rPr>
      </w:pPr>
      <w:r>
        <w:rPr>
          <w:rFonts w:ascii="Times New Roman" w:hAnsi="Times New Roman"/>
          <w:noProof/>
          <w:sz w:val="24"/>
        </w:rPr>
        <w:t>Държавите членки се обръщат редовно към Евростат за разяснения по различни национални счетоводни въпроси във връзка с минали или бъдещи операции. Евростат предоставя указания в съответствие с публикуваните насоки</w:t>
      </w:r>
      <w:r>
        <w:rPr>
          <w:rStyle w:val="FootnoteReference"/>
          <w:rFonts w:ascii="Times New Roman" w:hAnsi="Times New Roman"/>
          <w:noProof/>
          <w:sz w:val="24"/>
        </w:rPr>
        <w:footnoteReference w:id="14"/>
      </w:r>
      <w:r>
        <w:rPr>
          <w:rFonts w:ascii="Times New Roman" w:hAnsi="Times New Roman"/>
          <w:noProof/>
          <w:sz w:val="24"/>
        </w:rPr>
        <w:t>. В интерес на прозрачността, от месец юли 2016 г. Евростат публикува всички свои писма с указания</w:t>
      </w:r>
      <w:r>
        <w:rPr>
          <w:rStyle w:val="FootnoteReference"/>
          <w:rFonts w:ascii="Times New Roman" w:hAnsi="Times New Roman"/>
          <w:noProof/>
          <w:sz w:val="24"/>
        </w:rPr>
        <w:footnoteReference w:id="15"/>
      </w:r>
      <w:r>
        <w:rPr>
          <w:rFonts w:ascii="Times New Roman" w:hAnsi="Times New Roman"/>
          <w:noProof/>
          <w:sz w:val="24"/>
        </w:rPr>
        <w:t xml:space="preserve"> без преди това да е поискала съгласието на съответната държава членка, каквато беше практиката дотогава. През 2017 г. службата публикувала 12 писма с указания.</w:t>
      </w:r>
    </w:p>
    <w:p>
      <w:pPr>
        <w:pStyle w:val="Heading3"/>
        <w:rPr>
          <w:noProof/>
        </w:rPr>
      </w:pPr>
      <w:bookmarkStart w:id="63" w:name="_Toc342558489"/>
      <w:bookmarkStart w:id="64" w:name="_Toc442173638"/>
      <w:bookmarkStart w:id="65" w:name="_Toc442869394"/>
      <w:bookmarkStart w:id="66" w:name="_Toc498100905"/>
      <w:bookmarkStart w:id="67" w:name="_Toc507072163"/>
      <w:r>
        <w:rPr>
          <w:noProof/>
        </w:rPr>
        <w:t>Актуални методологически въпроси</w:t>
      </w:r>
      <w:bookmarkEnd w:id="63"/>
      <w:bookmarkEnd w:id="64"/>
      <w:bookmarkEnd w:id="65"/>
      <w:bookmarkEnd w:id="66"/>
      <w:bookmarkEnd w:id="67"/>
    </w:p>
    <w:p>
      <w:pPr>
        <w:spacing w:before="120" w:after="120" w:line="240" w:lineRule="auto"/>
        <w:ind w:left="851"/>
        <w:jc w:val="both"/>
        <w:rPr>
          <w:noProof/>
        </w:rPr>
      </w:pPr>
      <w:r>
        <w:rPr>
          <w:rFonts w:ascii="Times New Roman" w:hAnsi="Times New Roman"/>
          <w:noProof/>
          <w:sz w:val="24"/>
        </w:rPr>
        <w:t>Евростат наблюдава прилагането на правилата на ЕСС 2010 и на своите методологически решения, като анализира отчетените от държавите членки данни в таблиците по ППД и въпросника във връзка с нотификационните таблици по EDP и като провежда обсъждания с националните статистически органи по време на посещенията за водене на разговори във връзка с EDP.</w:t>
      </w:r>
      <w:bookmarkStart w:id="68" w:name="_Toc474487300"/>
      <w:bookmarkStart w:id="69" w:name="_Toc498100906"/>
      <w:bookmarkStart w:id="70" w:name="_Toc342558490"/>
      <w:bookmarkStart w:id="71" w:name="_Toc442173639"/>
      <w:bookmarkStart w:id="72" w:name="_Toc442869395"/>
      <w:bookmarkStart w:id="73" w:name="_Ref66503600"/>
      <w:bookmarkStart w:id="74" w:name="_Ref66503620"/>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rPr>
        <w:t>Службата предоставя допълнителни методологически насоки относно счетоводните правила за EDP и държавната финансова статистика, които допълват общите правила на ЕСС 2010. Въз основа на консултации с националните статистически органи се съставят и обяснителни бележки под ръководството на Евростат. Също под ръководството на Евростат се дават разяснения на счетоводните правила по някои много специфични въпроси.</w:t>
      </w:r>
      <w:bookmarkEnd w:id="68"/>
      <w:bookmarkEnd w:id="69"/>
    </w:p>
    <w:p>
      <w:pPr>
        <w:spacing w:before="120" w:after="120" w:line="240" w:lineRule="auto"/>
        <w:ind w:left="851"/>
        <w:jc w:val="both"/>
        <w:rPr>
          <w:i/>
          <w:noProof/>
          <w:szCs w:val="24"/>
        </w:rPr>
      </w:pPr>
      <w:bookmarkStart w:id="75" w:name="_Toc474487301"/>
      <w:bookmarkStart w:id="76" w:name="_Toc498100907"/>
      <w:r>
        <w:rPr>
          <w:rFonts w:ascii="Times New Roman" w:hAnsi="Times New Roman"/>
          <w:noProof/>
          <w:sz w:val="24"/>
        </w:rPr>
        <w:t>През 2017 г. Евростат публикува обяснителни бележки относно лицензите за мобилна телефония, правата за проучване и други лицензи (27 март) и относно отчитането на договорите за енергоспестяване с гарантиран резултат в сметките на държавното управление (19 септември).</w:t>
      </w:r>
      <w:bookmarkEnd w:id="75"/>
      <w:bookmarkEnd w:id="76"/>
    </w:p>
    <w:p>
      <w:pPr>
        <w:spacing w:before="120" w:after="120" w:line="240" w:lineRule="auto"/>
        <w:ind w:left="851"/>
        <w:jc w:val="both"/>
        <w:rPr>
          <w:rFonts w:ascii="Times New Roman" w:hAnsi="Times New Roman" w:cs="Times New Roman"/>
          <w:noProof/>
          <w:sz w:val="24"/>
        </w:rPr>
      </w:pPr>
      <w:r>
        <w:rPr>
          <w:rFonts w:ascii="Times New Roman" w:hAnsi="Times New Roman"/>
          <w:noProof/>
          <w:sz w:val="24"/>
        </w:rPr>
        <w:t>Насоките на държавите членки за попълване на нотификацията по EDP за дефицита и дълга на сектор „Държавно управление“, които се използват от съставителите на статистиката за EDP, бяха актуализирани в съответствие с ЕСС 2010 (23 март).</w:t>
      </w:r>
    </w:p>
    <w:p>
      <w:pPr>
        <w:spacing w:before="120" w:after="120" w:line="240" w:lineRule="auto"/>
        <w:ind w:left="851"/>
        <w:jc w:val="both"/>
        <w:rPr>
          <w:rFonts w:ascii="Times New Roman" w:hAnsi="Times New Roman" w:cs="Times New Roman"/>
          <w:noProof/>
          <w:sz w:val="24"/>
        </w:rPr>
      </w:pPr>
      <w:bookmarkStart w:id="77" w:name="_Toc474487302"/>
      <w:r>
        <w:rPr>
          <w:rFonts w:ascii="Times New Roman" w:hAnsi="Times New Roman"/>
          <w:noProof/>
          <w:sz w:val="24"/>
        </w:rPr>
        <w:t>Въпросите, които не са застъпени в достатъчна степен в съществуващите наръчници и насоки, бяха допълнително анализирани и обсъдени в рамките на технически работни и оперативни групи.</w:t>
      </w:r>
    </w:p>
    <w:p>
      <w:pPr>
        <w:spacing w:before="120" w:after="120" w:line="240" w:lineRule="auto"/>
        <w:ind w:left="851"/>
        <w:jc w:val="both"/>
        <w:rPr>
          <w:i/>
          <w:noProof/>
          <w:szCs w:val="24"/>
        </w:rPr>
      </w:pPr>
      <w:bookmarkStart w:id="78" w:name="_Toc498100908"/>
      <w:r>
        <w:rPr>
          <w:rFonts w:ascii="Times New Roman" w:hAnsi="Times New Roman"/>
          <w:noProof/>
          <w:sz w:val="24"/>
        </w:rPr>
        <w:t>Освен двете редовни заседания на работната група по статистиката за EDP Евростат организира четири заседания на оперативни групи (по договорите за енергоспестяване с гарантиран резултат, за изготвяне на ръководство за държавния дефицит и дълг, по държавна финансова статистика и по класификацията на функциите на държавното управление) и две специални експертни заседания (по финансовите структури за поемане на обезценени активи и по трудносъбираемите дългове).</w:t>
      </w:r>
      <w:bookmarkEnd w:id="78"/>
    </w:p>
    <w:p>
      <w:pPr>
        <w:spacing w:before="120" w:after="120" w:line="240" w:lineRule="auto"/>
        <w:ind w:left="851"/>
        <w:jc w:val="both"/>
        <w:rPr>
          <w:rFonts w:ascii="Times New Roman" w:hAnsi="Times New Roman" w:cs="Times New Roman"/>
          <w:noProof/>
          <w:sz w:val="24"/>
        </w:rPr>
      </w:pPr>
      <w:r>
        <w:rPr>
          <w:rFonts w:ascii="Times New Roman" w:hAnsi="Times New Roman"/>
          <w:noProof/>
          <w:sz w:val="24"/>
        </w:rPr>
        <w:t>Евростат продължи да работи по последващите действия във връзка със заключенията на Съвета ECOFIN от ноември 2016 г. относно статистиката в сътрудничество с Икономическия и финансов комитет — Подкомитет по статистиката, и с Икономическия и финансов комитет — заместници. По искане на Съвета службата изготви своевременно доклад за напредъка и го представи на Икономическия и финансов комитет. Тя изготви и документ, съдържащ подробни „Процедури за разработване и прилагане на методология, която да бъде в основата на данните за EDP“</w:t>
      </w:r>
      <w:r>
        <w:rPr>
          <w:rStyle w:val="FootnoteReference"/>
          <w:rFonts w:ascii="Times New Roman" w:hAnsi="Times New Roman"/>
          <w:noProof/>
          <w:sz w:val="24"/>
        </w:rPr>
        <w:footnoteReference w:id="16"/>
      </w:r>
      <w:r>
        <w:rPr>
          <w:rFonts w:ascii="Times New Roman" w:hAnsi="Times New Roman"/>
          <w:noProof/>
          <w:sz w:val="24"/>
        </w:rPr>
        <w:t>, чиято основна цел е да се създадат стабилни процедури за методологична работа във връзка с EDP и държавната финансова статистика с акцент върху яснотата, прозрачността и навременността. В документа са представени различните видове методологични насоки освен ЕСС 2010, процесът на консултации за всеки вид и подробности за прилагането.</w:t>
      </w:r>
    </w:p>
    <w:p>
      <w:pPr>
        <w:spacing w:before="120" w:after="120" w:line="240" w:lineRule="auto"/>
        <w:ind w:left="851"/>
        <w:jc w:val="both"/>
        <w:rPr>
          <w:rFonts w:ascii="Times New Roman" w:hAnsi="Times New Roman" w:cs="Times New Roman"/>
          <w:noProof/>
          <w:sz w:val="24"/>
        </w:rPr>
      </w:pPr>
      <w:r>
        <w:rPr>
          <w:rFonts w:ascii="Times New Roman" w:hAnsi="Times New Roman"/>
          <w:noProof/>
          <w:sz w:val="24"/>
        </w:rPr>
        <w:t>На 22 февруари Комисията прие доклад относно разследването за манипулиране на статистически данни в Австрия (по силата на Регламент (ЕС) № 1173/2011 за ефективното прилагане на бюджетното наблюдение в еврозоната и решението на Комисията от 3 май 2016 г.) и препоръка за Решение за изпълнение на Съвета за налагане на глоба на Австрия за манипулиране на данните за дълга в провинция Залцбург. Съгласно член 8, параграф 1 от Регламент (ЕС) № 1173/2011 Съветът трябва да вземе решение относно препоръката.</w:t>
      </w:r>
    </w:p>
    <w:p>
      <w:pPr>
        <w:pStyle w:val="Heading3"/>
        <w:rPr>
          <w:noProof/>
        </w:rPr>
      </w:pPr>
      <w:bookmarkStart w:id="79" w:name="_Toc498100909"/>
      <w:bookmarkStart w:id="80" w:name="_Toc507072164"/>
      <w:bookmarkEnd w:id="77"/>
      <w:r>
        <w:rPr>
          <w:noProof/>
        </w:rPr>
        <w:t>Съгласуваност с основните сметки на държавното управление</w:t>
      </w:r>
      <w:bookmarkEnd w:id="70"/>
      <w:bookmarkEnd w:id="71"/>
      <w:bookmarkEnd w:id="72"/>
      <w:bookmarkEnd w:id="79"/>
      <w:bookmarkEnd w:id="80"/>
    </w:p>
    <w:p>
      <w:pPr>
        <w:spacing w:before="120" w:after="120" w:line="240" w:lineRule="auto"/>
        <w:ind w:left="850"/>
        <w:jc w:val="both"/>
        <w:rPr>
          <w:rFonts w:ascii="Times New Roman" w:hAnsi="Times New Roman"/>
          <w:noProof/>
          <w:sz w:val="24"/>
        </w:rPr>
      </w:pPr>
      <w:r>
        <w:rPr>
          <w:rFonts w:ascii="Times New Roman" w:hAnsi="Times New Roman"/>
          <w:noProof/>
          <w:sz w:val="24"/>
        </w:rPr>
        <w:t>Крайните срокове за нотифициране съгласно Регламент (ЕО) № 479/2009 — 1 април и 1 октомври — бяха въведени, за да се осигури съгласуваност със съответните годишни и тримесечни сметки на държавния сектор, отчитани пред Евростат в различни таблици с данни по ЕСС. Например общите държавни разходи и приходи следва да съответстват на отчетените данни за дефицита.</w:t>
      </w:r>
    </w:p>
    <w:p>
      <w:pPr>
        <w:spacing w:before="120" w:after="120" w:line="240" w:lineRule="auto"/>
        <w:ind w:left="850"/>
        <w:jc w:val="both"/>
        <w:rPr>
          <w:rFonts w:ascii="Times New Roman" w:hAnsi="Times New Roman"/>
          <w:noProof/>
          <w:sz w:val="24"/>
        </w:rPr>
      </w:pPr>
      <w:r>
        <w:rPr>
          <w:rFonts w:ascii="Times New Roman" w:hAnsi="Times New Roman"/>
          <w:noProof/>
          <w:sz w:val="24"/>
        </w:rPr>
        <w:t>Данните по EDP обикновено съответстваха на тези, които се съобщават за сметките на държавното управление по ЕСС 2010, въпреки че са налице някои опасения във връзка с балансите за финансовите активи и пасиви (наличности) и тримесечните финансови сметки на сектор „Държавно управление“ (таблица 27 от ЕСС). Все още е необходимо някои държави членки да положат допълнителни усилия, за да подобрят съгласуваността на таблица 3 по EDP с таблица 27 от ЕСС.</w:t>
      </w:r>
    </w:p>
    <w:p>
      <w:pPr>
        <w:spacing w:before="120" w:after="120" w:line="240" w:lineRule="auto"/>
        <w:ind w:left="850"/>
        <w:jc w:val="both"/>
        <w:rPr>
          <w:rFonts w:ascii="Times New Roman" w:hAnsi="Times New Roman"/>
          <w:noProof/>
          <w:sz w:val="24"/>
        </w:rPr>
      </w:pPr>
      <w:r>
        <w:rPr>
          <w:rFonts w:ascii="Times New Roman" w:hAnsi="Times New Roman"/>
          <w:noProof/>
          <w:sz w:val="24"/>
        </w:rPr>
        <w:t>Налице са значителни несъответствия по отношение на нетните финансови операции за някои години за Гърция, тъй като отчетените от Bank of Greece финансови сметки не съответстват на отчетените от ELSTAT данни по EDP. Bank of Greece не е следвала насоките на Евростат относно счетоводните правила на ЕСС 2010 по отношение на някои въпроси. През октомври 2015 г. Евростат реши да публикува таблица 27 от ЕСС за Гърция до разрешаването на въпросите.</w:t>
      </w:r>
    </w:p>
    <w:p>
      <w:pPr>
        <w:spacing w:before="120" w:after="120" w:line="240" w:lineRule="auto"/>
        <w:ind w:left="850"/>
        <w:jc w:val="both"/>
        <w:rPr>
          <w:rFonts w:ascii="Times New Roman" w:hAnsi="Times New Roman"/>
          <w:noProof/>
          <w:sz w:val="24"/>
        </w:rPr>
      </w:pPr>
      <w:r>
        <w:rPr>
          <w:rFonts w:ascii="Times New Roman" w:hAnsi="Times New Roman"/>
          <w:noProof/>
          <w:sz w:val="24"/>
        </w:rPr>
        <w:t>Отчитането на статистическа разлика в нотификационните таблици от октомври 2017 г. за Германия, Испания и Португалия не съответства на правилото за таблица 27 от ЕСС, което води до съществени разлики за всички години.</w:t>
      </w:r>
    </w:p>
    <w:p>
      <w:pPr>
        <w:spacing w:before="120" w:after="120" w:line="240" w:lineRule="auto"/>
        <w:ind w:left="850"/>
        <w:jc w:val="both"/>
        <w:rPr>
          <w:rFonts w:ascii="Times New Roman" w:hAnsi="Times New Roman"/>
          <w:noProof/>
          <w:sz w:val="24"/>
        </w:rPr>
      </w:pPr>
      <w:r>
        <w:rPr>
          <w:rFonts w:ascii="Times New Roman" w:hAnsi="Times New Roman"/>
          <w:noProof/>
          <w:sz w:val="24"/>
        </w:rPr>
        <w:t>Данните за БВП бяха съгласувани за всички държави членки, с изключение на наличието на малки разлики за Франция (април) и Литва (октомври), като и двете държави представиха предварителна версия на годишните сметки в контекста на EDP.</w:t>
      </w:r>
    </w:p>
    <w:p>
      <w:pPr>
        <w:spacing w:before="120" w:after="120" w:line="240" w:lineRule="auto"/>
        <w:ind w:left="850"/>
        <w:jc w:val="both"/>
        <w:rPr>
          <w:rFonts w:ascii="Times New Roman" w:hAnsi="Times New Roman"/>
          <w:noProof/>
          <w:sz w:val="24"/>
        </w:rPr>
      </w:pPr>
      <w:r>
        <w:rPr>
          <w:rFonts w:ascii="Times New Roman" w:hAnsi="Times New Roman"/>
          <w:noProof/>
          <w:sz w:val="24"/>
        </w:rPr>
        <w:t>Отчетените от държавите членки данни за излишъка/дефицита, бруто образуването на основен капитал и разходите за лихви съответстваха напълно на годишните и тримесечните данни за държавните разходи и приходи (таблици 2 и 25 от ЕСС). Данните за годишния дълг и тримесечните данни за държавния дълг (таблица 28 от ЕСС) също съвпадаха напълно за всички държави членки.</w:t>
      </w:r>
    </w:p>
    <w:p>
      <w:pPr>
        <w:pStyle w:val="Heading2"/>
        <w:spacing w:before="240"/>
        <w:ind w:left="851" w:hanging="851"/>
        <w:rPr>
          <w:noProof/>
        </w:rPr>
      </w:pPr>
      <w:bookmarkStart w:id="81" w:name="_Toc342558491"/>
      <w:bookmarkStart w:id="82" w:name="_Toc442173640"/>
      <w:bookmarkStart w:id="83" w:name="_Toc442869396"/>
      <w:bookmarkStart w:id="84" w:name="_Toc498100910"/>
      <w:bookmarkStart w:id="85" w:name="_Toc507072165"/>
      <w:bookmarkEnd w:id="73"/>
      <w:bookmarkEnd w:id="74"/>
      <w:r>
        <w:rPr>
          <w:noProof/>
        </w:rPr>
        <w:t>Публикуване</w:t>
      </w:r>
      <w:bookmarkEnd w:id="81"/>
      <w:bookmarkEnd w:id="82"/>
      <w:bookmarkEnd w:id="83"/>
      <w:bookmarkEnd w:id="84"/>
      <w:bookmarkEnd w:id="85"/>
    </w:p>
    <w:p>
      <w:pPr>
        <w:pStyle w:val="Heading3"/>
        <w:rPr>
          <w:noProof/>
        </w:rPr>
      </w:pPr>
      <w:bookmarkStart w:id="86" w:name="_Toc342558492"/>
      <w:bookmarkStart w:id="87" w:name="_Toc442173641"/>
      <w:bookmarkStart w:id="88" w:name="_Toc442869397"/>
      <w:bookmarkStart w:id="89" w:name="_Toc498100911"/>
      <w:bookmarkStart w:id="90" w:name="_Toc507072166"/>
      <w:r>
        <w:rPr>
          <w:noProof/>
        </w:rPr>
        <w:t>Публикуване на основните данни и подробните отчетни таблици</w:t>
      </w:r>
      <w:bookmarkEnd w:id="86"/>
      <w:bookmarkEnd w:id="87"/>
      <w:bookmarkEnd w:id="88"/>
      <w:bookmarkEnd w:id="89"/>
      <w:bookmarkEnd w:id="90"/>
    </w:p>
    <w:p>
      <w:pPr>
        <w:spacing w:before="120" w:after="120" w:line="240" w:lineRule="auto"/>
        <w:ind w:left="850"/>
        <w:jc w:val="both"/>
        <w:rPr>
          <w:rFonts w:ascii="Times New Roman" w:hAnsi="Times New Roman"/>
          <w:noProof/>
          <w:sz w:val="24"/>
        </w:rPr>
      </w:pPr>
      <w:r>
        <w:rPr>
          <w:rFonts w:ascii="Times New Roman" w:hAnsi="Times New Roman"/>
          <w:noProof/>
          <w:sz w:val="24"/>
        </w:rPr>
        <w:t>Съгласно член 14, параграф 1 от Регламент (ЕО) № 479/2009 „В рамките на три седмици след посочения […] краен срок за отчитането […], Комисията (Евростат) предоставя данните за актуалния държавен дефицит и дълг за целите на прилагането на Протокола за процедурата при прекомерен дефицит. Предоставянето на данните се извършва чрез публикуване.“.</w:t>
      </w:r>
    </w:p>
    <w:p>
      <w:pPr>
        <w:spacing w:before="120" w:after="120" w:line="240" w:lineRule="auto"/>
        <w:ind w:left="850"/>
        <w:jc w:val="both"/>
        <w:rPr>
          <w:rFonts w:ascii="Times New Roman" w:hAnsi="Times New Roman"/>
          <w:noProof/>
          <w:sz w:val="24"/>
        </w:rPr>
      </w:pPr>
      <w:r>
        <w:rPr>
          <w:rFonts w:ascii="Times New Roman" w:hAnsi="Times New Roman"/>
          <w:noProof/>
          <w:sz w:val="24"/>
        </w:rPr>
        <w:t>Евростат публикува на уебсайта си данните за държавния дефицит и дълг на 24 април</w:t>
      </w:r>
      <w:r>
        <w:rPr>
          <w:rStyle w:val="FootnoteReference"/>
          <w:rFonts w:ascii="Times New Roman" w:hAnsi="Times New Roman"/>
          <w:noProof/>
          <w:sz w:val="24"/>
        </w:rPr>
        <w:footnoteReference w:id="17"/>
      </w:r>
      <w:r>
        <w:rPr>
          <w:rFonts w:ascii="Times New Roman" w:hAnsi="Times New Roman"/>
          <w:noProof/>
          <w:sz w:val="24"/>
        </w:rPr>
        <w:t xml:space="preserve"> и на 23 октомври</w:t>
      </w:r>
      <w:r>
        <w:rPr>
          <w:rStyle w:val="FootnoteReference"/>
          <w:noProof/>
        </w:rPr>
        <w:footnoteReference w:id="18"/>
      </w:r>
      <w:r>
        <w:rPr>
          <w:rFonts w:ascii="Times New Roman" w:hAnsi="Times New Roman"/>
          <w:noProof/>
          <w:sz w:val="24"/>
        </w:rPr>
        <w:t xml:space="preserve"> заедно с всички нотифицирани от държавите членки окончателни отчетни таблици</w:t>
      </w:r>
      <w:r>
        <w:rPr>
          <w:rStyle w:val="FootnoteReference"/>
          <w:rFonts w:ascii="Times New Roman" w:hAnsi="Times New Roman"/>
          <w:noProof/>
          <w:sz w:val="24"/>
        </w:rPr>
        <w:footnoteReference w:id="19"/>
      </w:r>
      <w:r>
        <w:rPr>
          <w:rFonts w:ascii="Times New Roman" w:hAnsi="Times New Roman"/>
          <w:noProof/>
          <w:sz w:val="24"/>
        </w:rPr>
        <w:t xml:space="preserve"> и бележки относно:</w:t>
      </w:r>
    </w:p>
    <w:p>
      <w:pPr>
        <w:pStyle w:val="ListParagraph"/>
        <w:numPr>
          <w:ilvl w:val="0"/>
          <w:numId w:val="4"/>
        </w:numPr>
        <w:tabs>
          <w:tab w:val="left" w:pos="1701"/>
        </w:tabs>
        <w:spacing w:before="120" w:after="120" w:line="240" w:lineRule="auto"/>
        <w:ind w:left="1701" w:hanging="431"/>
        <w:contextualSpacing w:val="0"/>
        <w:jc w:val="both"/>
        <w:rPr>
          <w:rFonts w:ascii="Times New Roman" w:hAnsi="Times New Roman"/>
          <w:noProof/>
          <w:sz w:val="24"/>
        </w:rPr>
      </w:pPr>
      <w:r>
        <w:rPr>
          <w:rFonts w:ascii="Times New Roman" w:hAnsi="Times New Roman"/>
          <w:noProof/>
          <w:sz w:val="24"/>
        </w:rPr>
        <w:t>корекцията наличности-потоци,</w:t>
      </w:r>
    </w:p>
    <w:p>
      <w:pPr>
        <w:pStyle w:val="ListParagraph"/>
        <w:numPr>
          <w:ilvl w:val="0"/>
          <w:numId w:val="4"/>
        </w:numPr>
        <w:tabs>
          <w:tab w:val="left" w:pos="1701"/>
        </w:tabs>
        <w:spacing w:before="120" w:after="120" w:line="240" w:lineRule="auto"/>
        <w:ind w:left="1701" w:hanging="431"/>
        <w:contextualSpacing w:val="0"/>
        <w:jc w:val="both"/>
        <w:rPr>
          <w:rFonts w:ascii="Times New Roman" w:hAnsi="Times New Roman"/>
          <w:noProof/>
          <w:sz w:val="24"/>
        </w:rPr>
      </w:pPr>
      <w:r>
        <w:rPr>
          <w:rFonts w:ascii="Times New Roman" w:hAnsi="Times New Roman"/>
          <w:noProof/>
          <w:sz w:val="24"/>
        </w:rPr>
        <w:t>държавната намеса за подпомагане на финансови институции,</w:t>
      </w:r>
    </w:p>
    <w:p>
      <w:pPr>
        <w:pStyle w:val="ListParagraph"/>
        <w:numPr>
          <w:ilvl w:val="0"/>
          <w:numId w:val="4"/>
        </w:numPr>
        <w:tabs>
          <w:tab w:val="left" w:pos="1701"/>
        </w:tabs>
        <w:spacing w:before="120" w:after="120" w:line="240" w:lineRule="auto"/>
        <w:ind w:left="1701" w:hanging="431"/>
        <w:contextualSpacing w:val="0"/>
        <w:jc w:val="both"/>
        <w:rPr>
          <w:rFonts w:ascii="Times New Roman" w:hAnsi="Times New Roman"/>
          <w:noProof/>
          <w:sz w:val="24"/>
        </w:rPr>
      </w:pPr>
      <w:r>
        <w:rPr>
          <w:rFonts w:ascii="Times New Roman" w:hAnsi="Times New Roman"/>
          <w:noProof/>
          <w:sz w:val="24"/>
        </w:rPr>
        <w:t xml:space="preserve">наличностите от пасиви по търговските кредити и аванси, и </w:t>
      </w:r>
    </w:p>
    <w:p>
      <w:pPr>
        <w:pStyle w:val="ListParagraph"/>
        <w:numPr>
          <w:ilvl w:val="0"/>
          <w:numId w:val="4"/>
        </w:numPr>
        <w:tabs>
          <w:tab w:val="left" w:pos="1701"/>
        </w:tabs>
        <w:spacing w:before="120" w:after="120" w:line="240" w:lineRule="auto"/>
        <w:ind w:left="1701" w:hanging="431"/>
        <w:contextualSpacing w:val="0"/>
        <w:jc w:val="both"/>
        <w:rPr>
          <w:rFonts w:ascii="Times New Roman" w:hAnsi="Times New Roman"/>
          <w:noProof/>
          <w:sz w:val="24"/>
        </w:rPr>
      </w:pPr>
      <w:r>
        <w:rPr>
          <w:rFonts w:ascii="Times New Roman" w:hAnsi="Times New Roman"/>
          <w:noProof/>
          <w:sz w:val="24"/>
        </w:rPr>
        <w:t xml:space="preserve">ревизиите на данните за държавния излишък/дефицит и дълг (те бяха представени отделно за първи път през април). </w:t>
      </w:r>
    </w:p>
    <w:p>
      <w:pPr>
        <w:spacing w:before="120" w:after="120" w:line="240" w:lineRule="auto"/>
        <w:ind w:left="850"/>
        <w:jc w:val="both"/>
        <w:rPr>
          <w:rFonts w:ascii="Times New Roman" w:hAnsi="Times New Roman"/>
          <w:noProof/>
          <w:sz w:val="24"/>
        </w:rPr>
      </w:pPr>
      <w:r>
        <w:rPr>
          <w:rFonts w:ascii="Times New Roman" w:hAnsi="Times New Roman"/>
          <w:noProof/>
          <w:sz w:val="24"/>
        </w:rPr>
        <w:t>Службата публикува също бюлетин за тримесечните данни за дълга съгласно критериите от Маастрихт приблизително в рамките на срока t+115</w:t>
      </w:r>
      <w:r>
        <w:rPr>
          <w:rStyle w:val="FootnoteReference"/>
          <w:rFonts w:ascii="Times New Roman" w:hAnsi="Times New Roman"/>
          <w:noProof/>
          <w:sz w:val="24"/>
        </w:rPr>
        <w:footnoteReference w:id="20"/>
      </w:r>
      <w:r>
        <w:rPr>
          <w:rFonts w:ascii="Times New Roman" w:hAnsi="Times New Roman"/>
          <w:noProof/>
          <w:sz w:val="24"/>
        </w:rPr>
        <w:t xml:space="preserve"> дни, както и бюлетин относно тримесечните данни за дефицита на сектор „Държавно управление“.</w:t>
      </w:r>
    </w:p>
    <w:p>
      <w:pPr>
        <w:spacing w:before="120" w:after="120" w:line="240" w:lineRule="auto"/>
        <w:ind w:left="850"/>
        <w:jc w:val="both"/>
        <w:rPr>
          <w:rFonts w:ascii="Times New Roman" w:hAnsi="Times New Roman"/>
          <w:noProof/>
          <w:sz w:val="24"/>
        </w:rPr>
      </w:pPr>
      <w:r>
        <w:rPr>
          <w:rFonts w:ascii="Times New Roman" w:hAnsi="Times New Roman"/>
          <w:noProof/>
          <w:sz w:val="24"/>
        </w:rPr>
        <w:t>Съгласно Регламент (ЕО) № 479/2009 държавите членки трябва да оповестяват публично своите действителни данни за дефицита и дълга. Всички държави членки публикуват данни за дефицита и дълга на национално равнище. Повечето от тях информираха Евростат, че публикуват всички свои таблици по EDP. Пет държави (България, Италия, Люксембург, Полша и Словакия) публикуваха само някои от таблиците. Франция публикува само данните за дефицита и дълга и нито една от таблиците по EDP на национално равнище.</w:t>
      </w:r>
    </w:p>
    <w:p>
      <w:pPr>
        <w:pStyle w:val="Heading3"/>
        <w:rPr>
          <w:noProof/>
        </w:rPr>
      </w:pPr>
      <w:bookmarkStart w:id="91" w:name="_Toc342558493"/>
      <w:bookmarkStart w:id="92" w:name="_Toc442173642"/>
      <w:bookmarkStart w:id="93" w:name="_Toc442869398"/>
      <w:bookmarkStart w:id="94" w:name="_Toc498100912"/>
      <w:bookmarkStart w:id="95" w:name="_Toc507072167"/>
      <w:r>
        <w:rPr>
          <w:noProof/>
        </w:rPr>
        <w:t>Резерви относно качеството на данните</w:t>
      </w:r>
      <w:bookmarkEnd w:id="91"/>
      <w:bookmarkEnd w:id="92"/>
      <w:bookmarkEnd w:id="93"/>
      <w:bookmarkEnd w:id="94"/>
      <w:bookmarkEnd w:id="95"/>
    </w:p>
    <w:p>
      <w:pPr>
        <w:spacing w:before="120" w:after="120" w:line="240" w:lineRule="auto"/>
        <w:ind w:left="850"/>
        <w:jc w:val="both"/>
        <w:rPr>
          <w:rFonts w:ascii="Times New Roman" w:hAnsi="Times New Roman"/>
          <w:i/>
          <w:noProof/>
          <w:sz w:val="24"/>
        </w:rPr>
      </w:pPr>
      <w:r>
        <w:rPr>
          <w:rFonts w:ascii="Times New Roman" w:hAnsi="Times New Roman"/>
          <w:i/>
          <w:noProof/>
          <w:sz w:val="24"/>
        </w:rPr>
        <w:t>Октомври 2017 г.</w:t>
      </w:r>
    </w:p>
    <w:p>
      <w:pPr>
        <w:spacing w:before="120" w:after="120" w:line="240" w:lineRule="auto"/>
        <w:ind w:left="850"/>
        <w:jc w:val="both"/>
        <w:rPr>
          <w:rFonts w:ascii="Times New Roman" w:hAnsi="Times New Roman"/>
          <w:noProof/>
          <w:sz w:val="24"/>
        </w:rPr>
      </w:pPr>
      <w:r>
        <w:rPr>
          <w:rFonts w:ascii="Times New Roman" w:hAnsi="Times New Roman"/>
          <w:noProof/>
          <w:sz w:val="24"/>
        </w:rPr>
        <w:t>Евростат изрази резерва относно качеството на отчетените от Франция данни във връзка с регистрирането на някои операции на Френската агенция за развитие (Agence Française de Développement).</w:t>
      </w:r>
    </w:p>
    <w:p>
      <w:pPr>
        <w:spacing w:before="120" w:after="120" w:line="240" w:lineRule="auto"/>
        <w:ind w:left="850"/>
        <w:jc w:val="both"/>
        <w:rPr>
          <w:rFonts w:ascii="Times New Roman" w:hAnsi="Times New Roman"/>
          <w:noProof/>
          <w:sz w:val="24"/>
        </w:rPr>
      </w:pPr>
      <w:r>
        <w:rPr>
          <w:rFonts w:ascii="Times New Roman" w:hAnsi="Times New Roman"/>
          <w:noProof/>
          <w:sz w:val="24"/>
        </w:rPr>
        <w:t>Службата запази изразената си резерва относно качеството на отчетените от Белгия и Унгария данни (резервата за Унгария беше частично оттеглена).</w:t>
      </w:r>
    </w:p>
    <w:p>
      <w:pPr>
        <w:spacing w:before="120" w:after="120" w:line="240" w:lineRule="auto"/>
        <w:ind w:left="850"/>
        <w:jc w:val="both"/>
        <w:rPr>
          <w:rFonts w:ascii="Times New Roman" w:hAnsi="Times New Roman"/>
          <w:noProof/>
          <w:sz w:val="24"/>
        </w:rPr>
      </w:pPr>
      <w:r>
        <w:rPr>
          <w:rFonts w:ascii="Times New Roman" w:hAnsi="Times New Roman"/>
          <w:noProof/>
          <w:sz w:val="24"/>
        </w:rPr>
        <w:t>Тя оттегли своята резерва относно качеството на отчетените от Люксембург данни (изразена в нейния бюлетин от 24 април 2017 г.).</w:t>
      </w:r>
    </w:p>
    <w:p>
      <w:pPr>
        <w:spacing w:before="120" w:after="120" w:line="240" w:lineRule="auto"/>
        <w:ind w:left="850"/>
        <w:jc w:val="both"/>
        <w:rPr>
          <w:rFonts w:ascii="Times New Roman" w:hAnsi="Times New Roman"/>
          <w:i/>
          <w:noProof/>
          <w:sz w:val="24"/>
        </w:rPr>
      </w:pPr>
      <w:r>
        <w:rPr>
          <w:rFonts w:ascii="Times New Roman" w:hAnsi="Times New Roman"/>
          <w:i/>
          <w:noProof/>
          <w:sz w:val="24"/>
        </w:rPr>
        <w:t>Април 2017 г.</w:t>
      </w:r>
    </w:p>
    <w:p>
      <w:pPr>
        <w:spacing w:before="120" w:after="120" w:line="240" w:lineRule="auto"/>
        <w:ind w:left="850"/>
        <w:jc w:val="both"/>
        <w:rPr>
          <w:rFonts w:ascii="Times New Roman" w:hAnsi="Times New Roman"/>
          <w:noProof/>
          <w:sz w:val="24"/>
        </w:rPr>
      </w:pPr>
      <w:r>
        <w:rPr>
          <w:rFonts w:ascii="Times New Roman" w:hAnsi="Times New Roman"/>
          <w:noProof/>
          <w:sz w:val="24"/>
        </w:rPr>
        <w:t>Евростат изрази резерва относно качеството на отчетените от Люксембург данни във връзка със секторната класификация на болниците и някои технически въпроси, като например отчитането на вземанията и задълженията, размера на статистическите разлики в таблиците по EDP и липсата на данни за подсектор „Местно държавно управление“.</w:t>
      </w:r>
    </w:p>
    <w:p>
      <w:pPr>
        <w:spacing w:before="120" w:after="120" w:line="240" w:lineRule="auto"/>
        <w:ind w:left="850"/>
        <w:jc w:val="both"/>
        <w:rPr>
          <w:rFonts w:ascii="Times New Roman" w:hAnsi="Times New Roman"/>
          <w:noProof/>
          <w:sz w:val="24"/>
        </w:rPr>
      </w:pPr>
      <w:r>
        <w:rPr>
          <w:rFonts w:ascii="Times New Roman" w:hAnsi="Times New Roman"/>
          <w:noProof/>
          <w:sz w:val="24"/>
        </w:rPr>
        <w:t>Службата запази изразената си резерва относно качеството на отчетените от Белгия и Унгария данни.</w:t>
      </w:r>
    </w:p>
    <w:p>
      <w:pPr>
        <w:spacing w:before="120" w:after="120" w:line="240" w:lineRule="auto"/>
        <w:ind w:left="850"/>
        <w:jc w:val="both"/>
        <w:rPr>
          <w:rFonts w:ascii="Times New Roman" w:hAnsi="Times New Roman"/>
          <w:noProof/>
          <w:sz w:val="24"/>
        </w:rPr>
      </w:pPr>
      <w:r>
        <w:rPr>
          <w:rFonts w:ascii="Times New Roman" w:hAnsi="Times New Roman"/>
          <w:noProof/>
          <w:sz w:val="24"/>
        </w:rPr>
        <w:t>Тя оттегли своята резерва относно качеството на отчетените от Кипър данни (изразена в нейния бюлетин от 21 октомври 2016 г.).</w:t>
      </w:r>
    </w:p>
    <w:p>
      <w:pPr>
        <w:pStyle w:val="Heading3"/>
        <w:rPr>
          <w:noProof/>
        </w:rPr>
      </w:pPr>
      <w:bookmarkStart w:id="96" w:name="_Toc342558494"/>
      <w:bookmarkStart w:id="97" w:name="_Toc442173643"/>
      <w:bookmarkStart w:id="98" w:name="_Toc442869399"/>
      <w:bookmarkStart w:id="99" w:name="_Toc498100913"/>
      <w:bookmarkStart w:id="100" w:name="_Toc507072168"/>
      <w:r>
        <w:rPr>
          <w:noProof/>
        </w:rPr>
        <w:t>Изменения на отчетените данни</w:t>
      </w:r>
      <w:bookmarkEnd w:id="96"/>
      <w:bookmarkEnd w:id="97"/>
      <w:bookmarkEnd w:id="98"/>
      <w:bookmarkEnd w:id="99"/>
      <w:bookmarkEnd w:id="100"/>
    </w:p>
    <w:p>
      <w:pPr>
        <w:spacing w:before="120" w:after="120" w:line="240" w:lineRule="auto"/>
        <w:ind w:left="850"/>
        <w:jc w:val="both"/>
        <w:rPr>
          <w:rFonts w:ascii="Times New Roman" w:hAnsi="Times New Roman"/>
          <w:noProof/>
          <w:sz w:val="24"/>
        </w:rPr>
      </w:pPr>
      <w:r>
        <w:rPr>
          <w:rFonts w:ascii="Times New Roman" w:hAnsi="Times New Roman"/>
          <w:noProof/>
          <w:sz w:val="24"/>
        </w:rPr>
        <w:t>Евростат не внесе изменения в данните, отчетени от държавите членки при нотификациите по EDP от април и октомври 2017 г.</w:t>
      </w:r>
    </w:p>
    <w:p>
      <w:pPr>
        <w:pStyle w:val="Heading3"/>
        <w:rPr>
          <w:noProof/>
        </w:rPr>
      </w:pPr>
      <w:bookmarkStart w:id="101" w:name="_Toc442173644"/>
      <w:bookmarkStart w:id="102" w:name="_Toc342558495"/>
      <w:bookmarkStart w:id="103" w:name="_Toc442869400"/>
      <w:bookmarkStart w:id="104" w:name="_Toc498100914"/>
      <w:bookmarkStart w:id="105" w:name="_Toc507072169"/>
      <w:r>
        <w:rPr>
          <w:noProof/>
        </w:rPr>
        <w:t>Публикуване на метаданни (списъци)</w:t>
      </w:r>
      <w:r>
        <w:rPr>
          <w:rStyle w:val="FootnoteReference"/>
          <w:noProof/>
        </w:rPr>
        <w:footnoteReference w:id="21"/>
      </w:r>
      <w:bookmarkEnd w:id="101"/>
      <w:bookmarkEnd w:id="102"/>
      <w:bookmarkEnd w:id="103"/>
      <w:bookmarkEnd w:id="104"/>
      <w:bookmarkEnd w:id="105"/>
    </w:p>
    <w:p>
      <w:pPr>
        <w:spacing w:before="120" w:after="120" w:line="240" w:lineRule="auto"/>
        <w:ind w:left="850"/>
        <w:jc w:val="both"/>
        <w:rPr>
          <w:rFonts w:ascii="Times New Roman" w:hAnsi="Times New Roman"/>
          <w:noProof/>
          <w:sz w:val="24"/>
        </w:rPr>
      </w:pPr>
      <w:r>
        <w:rPr>
          <w:rFonts w:ascii="Times New Roman" w:hAnsi="Times New Roman"/>
          <w:noProof/>
          <w:sz w:val="24"/>
        </w:rPr>
        <w:t>В Регламент (ЕО) № 479/2009 се уточнява, че списъците по EDP са част от статистическата информация, която държавите членки трябва да предоставят. С него се изисква също и списъците да се публикуват на национално равнище.</w:t>
      </w:r>
    </w:p>
    <w:p>
      <w:pPr>
        <w:spacing w:before="120" w:after="120" w:line="240" w:lineRule="auto"/>
        <w:ind w:left="850"/>
        <w:jc w:val="both"/>
        <w:rPr>
          <w:rFonts w:ascii="Times New Roman" w:eastAsia="Times New Roman" w:hAnsi="Times New Roman"/>
          <w:b/>
          <w:bCs/>
          <w:smallCaps/>
          <w:noProof/>
          <w:sz w:val="24"/>
          <w:szCs w:val="28"/>
        </w:rPr>
      </w:pPr>
      <w:r>
        <w:rPr>
          <w:rFonts w:ascii="Times New Roman" w:hAnsi="Times New Roman"/>
          <w:noProof/>
          <w:sz w:val="24"/>
        </w:rPr>
        <w:t xml:space="preserve">Евростат промени формàта на списъците по EDP, като извърши структурни промени и изиска по-подробна информация. Беше постигнато съгласие по новия образец за списъците за ЕСС 2010 и към края на 2017 г. Евростат публикува ревизирани списъци за 21 държави членки. </w:t>
      </w:r>
      <w:bookmarkStart w:id="106" w:name="_Toc342558496"/>
      <w:bookmarkStart w:id="107" w:name="_Toc442173645"/>
      <w:bookmarkStart w:id="108" w:name="_Toc442869401"/>
      <w:r>
        <w:rPr>
          <w:rFonts w:ascii="Times New Roman" w:hAnsi="Times New Roman"/>
          <w:noProof/>
          <w:sz w:val="24"/>
        </w:rPr>
        <w:t>Останалите седем държави предоставиха изискваната информация с проект на списък по EDP. Окончателните списъци по EDP за Гърция, Ирландия и Австрия ще бъдат публикувани през идните месеци. Очаква се по-нататъшен напредък от страна на Франция, Люксембург, Кипър и Нидерландия.</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bookmarkStart w:id="109" w:name="_Toc498100915"/>
      <w:bookmarkStart w:id="110" w:name="_Toc507072170"/>
      <w:r>
        <w:rPr>
          <w:rFonts w:ascii="Times New Roman" w:hAnsi="Times New Roman"/>
          <w:b/>
          <w:smallCaps/>
          <w:noProof/>
          <w:sz w:val="24"/>
        </w:rPr>
        <w:t>Заключения</w:t>
      </w:r>
      <w:bookmarkEnd w:id="106"/>
      <w:bookmarkEnd w:id="107"/>
      <w:bookmarkEnd w:id="108"/>
      <w:bookmarkEnd w:id="109"/>
      <w:bookmarkEnd w:id="110"/>
    </w:p>
    <w:p>
      <w:pPr>
        <w:spacing w:before="120" w:after="120" w:line="240" w:lineRule="auto"/>
        <w:ind w:left="850"/>
        <w:jc w:val="both"/>
        <w:rPr>
          <w:rFonts w:ascii="Times New Roman" w:hAnsi="Times New Roman"/>
          <w:noProof/>
          <w:sz w:val="24"/>
        </w:rPr>
      </w:pPr>
      <w:r>
        <w:rPr>
          <w:rFonts w:ascii="Times New Roman" w:hAnsi="Times New Roman"/>
          <w:noProof/>
          <w:sz w:val="24"/>
        </w:rPr>
        <w:t>Евростат потвърждава продължаващото цялостно подобряване по отношение на съгласуваността и пълнотата на отчитаните данни. Независимо от това е необходимо по-нататъшно подобряване на качеството на фискалните данни. През 2017 г. Евростат се стремеше към повече двустранни разяснения по време на оценката на нотификациите по EDP. Службата увеличи също така контактите и консултациите си с държавите членки между отделните нотификации. Публикуването на всичките ѝ методологически писма с указания относно методологията подобри споделянето на знания и прозрачността. Същото се отнася и за нейните по-широкообхватни усилия за комуникация между ползвателите на статистика и изготвящите статистика във връзка с промените в методологията.</w:t>
      </w:r>
    </w:p>
    <w:p>
      <w:pPr>
        <w:spacing w:before="120" w:after="120" w:line="240" w:lineRule="auto"/>
        <w:ind w:left="850"/>
        <w:jc w:val="both"/>
        <w:rPr>
          <w:rFonts w:ascii="Times New Roman" w:hAnsi="Times New Roman"/>
          <w:noProof/>
          <w:sz w:val="24"/>
        </w:rPr>
      </w:pPr>
      <w:r>
        <w:rPr>
          <w:rFonts w:ascii="Times New Roman" w:hAnsi="Times New Roman"/>
          <w:noProof/>
          <w:sz w:val="24"/>
        </w:rPr>
        <w:t>При някои държави членки, особено при Гърция, продължават да са налице проблеми по отношение на съгласуваността при тримесечните финансови сметки.</w:t>
      </w:r>
    </w:p>
    <w:p>
      <w:pPr>
        <w:spacing w:before="120" w:after="120" w:line="240" w:lineRule="auto"/>
        <w:ind w:left="850"/>
        <w:jc w:val="both"/>
        <w:rPr>
          <w:rFonts w:ascii="Times New Roman" w:hAnsi="Times New Roman"/>
          <w:noProof/>
          <w:sz w:val="24"/>
        </w:rPr>
      </w:pPr>
      <w:r>
        <w:rPr>
          <w:rFonts w:ascii="Times New Roman" w:hAnsi="Times New Roman"/>
          <w:noProof/>
          <w:sz w:val="24"/>
        </w:rPr>
        <w:t>Евростат изрази резерви относно качеството на отчетените от Люксембург данни за нотификацията по EDP от април и на отчетените от Франция данни за нотификацията по EDP от октомври. Службата оттегли резервите си към Кипър (април) и Люксембург (октомври) и запази тези към Белгия и Унгария (април и октомври).</w:t>
      </w:r>
    </w:p>
    <w:p>
      <w:pPr>
        <w:spacing w:before="120" w:after="120" w:line="240" w:lineRule="auto"/>
        <w:ind w:left="850"/>
        <w:jc w:val="both"/>
        <w:rPr>
          <w:noProof/>
        </w:rPr>
      </w:pPr>
      <w:r>
        <w:rPr>
          <w:rFonts w:ascii="Times New Roman" w:hAnsi="Times New Roman"/>
          <w:noProof/>
          <w:sz w:val="24"/>
        </w:rPr>
        <w:t>Общото заключение на Евростат е, че качеството на отчитаните фискални данни продължи да се подобрява през 2017 г. Като цяло информацията, предоставена от държавите членки в нотификационните таблици по EDP и в други съответни документи със статистически данни, е с по-добро качество и е по-пълна.</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576819"/>
      <w:docPartObj>
        <w:docPartGallery w:val="Page Numbers (Bottom of Page)"/>
        <w:docPartUnique/>
      </w:docPartObj>
    </w:sdtPr>
    <w:sdtEndPr>
      <w:rPr>
        <w:rFonts w:ascii="Times New Roman" w:hAnsi="Times New Roman" w:cs="Times New Roman"/>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Регламент (ЕО) № 479/2009 на Съвета за прилагане на Протокола за процедурата при прекомерен дефицит, приложен към Договора за създаване на Европейската общност (ОВ L 145, 10.6.2009 г., стр. 1).</w:t>
      </w:r>
    </w:p>
  </w:footnote>
  <w:footnote w:id="2">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COM(2017) 123 final.</w:t>
      </w:r>
    </w:p>
  </w:footnote>
  <w:footnote w:id="3">
    <w:p>
      <w:pPr>
        <w:pStyle w:val="FootnoteText"/>
        <w:spacing w:after="120" w:line="240" w:lineRule="auto"/>
        <w:ind w:left="284" w:hanging="284"/>
        <w:jc w:val="both"/>
        <w:rPr>
          <w:rFonts w:ascii="Times New Roman" w:hAnsi="Times New Roman"/>
        </w:rPr>
      </w:pPr>
      <w:r>
        <w:rPr>
          <w:rFonts w:ascii="Times New Roman" w:hAnsi="Times New Roman"/>
          <w:vertAlign w:val="superscript"/>
        </w:rPr>
        <w:footnoteRef/>
      </w:r>
      <w:r>
        <w:tab/>
      </w:r>
      <w:r>
        <w:rPr>
          <w:rFonts w:ascii="Times New Roman" w:hAnsi="Times New Roman"/>
        </w:rPr>
        <w:t>Регламент (ЕС) № 549/2013 на Европейския парламент и на Съвета от 21 май 2013 г. относно Европейската система от национални и регионални сметки в Европейския съюз (ЕСС 2010) ( ОВ L 174, 26.6.2013 г., стр. 1).</w:t>
      </w:r>
    </w:p>
  </w:footnote>
  <w:footnote w:id="4">
    <w:p>
      <w:pPr>
        <w:pStyle w:val="FootnoteText"/>
        <w:spacing w:after="120" w:line="240" w:lineRule="auto"/>
        <w:ind w:left="284" w:hanging="284"/>
        <w:jc w:val="both"/>
        <w:rPr>
          <w:rFonts w:ascii="Times New Roman" w:hAnsi="Times New Roman"/>
        </w:rPr>
      </w:pPr>
      <w:r>
        <w:rPr>
          <w:rFonts w:ascii="Times New Roman" w:hAnsi="Times New Roman"/>
          <w:vertAlign w:val="superscript"/>
        </w:rPr>
        <w:footnoteRef/>
      </w:r>
      <w:r>
        <w:tab/>
      </w:r>
      <w:r>
        <w:rPr>
          <w:rFonts w:ascii="Times New Roman" w:hAnsi="Times New Roman"/>
        </w:rPr>
        <w:t>Член 3, параграфи 1 и 3 от Регламент (ЕО) № 479/2009.</w:t>
      </w:r>
    </w:p>
  </w:footnote>
  <w:footnote w:id="5">
    <w:p>
      <w:pPr>
        <w:pStyle w:val="FootnoteText"/>
        <w:spacing w:after="120" w:line="240" w:lineRule="auto"/>
        <w:ind w:left="284" w:hanging="284"/>
        <w:jc w:val="both"/>
        <w:rPr>
          <w:rFonts w:ascii="Times New Roman" w:hAnsi="Times New Roman"/>
        </w:rPr>
      </w:pPr>
      <w:r>
        <w:rPr>
          <w:rFonts w:ascii="Times New Roman" w:hAnsi="Times New Roman"/>
          <w:vertAlign w:val="superscript"/>
        </w:rPr>
        <w:footnoteRef/>
      </w:r>
      <w:r>
        <w:tab/>
      </w:r>
      <w:r>
        <w:rPr>
          <w:rFonts w:ascii="Times New Roman" w:hAnsi="Times New Roman"/>
        </w:rPr>
        <w:t>Действителните данни могат да бъдат окончателни, неокончателни или прогнозни.</w:t>
      </w:r>
    </w:p>
  </w:footnote>
  <w:footnote w:id="6">
    <w:p>
      <w:pPr>
        <w:pStyle w:val="FootnoteText"/>
        <w:tabs>
          <w:tab w:val="left" w:pos="851"/>
        </w:tabs>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Протокола за процедурата при прекомерен дефицит, приложен към Договора за функционирането на ЕС, държавният дълг се определя като консолидирания брутен дълг (по номинална стойност) на целия сектор „Държавно управление“, който е неизплатен в края на годината. Съгласно Регламент (ЕО) № 479/2009 държавният дълг включва валута и депозити (AF.2), дългови ценни книжа (AF.3) и заеми (AF.4) съгласно определенията в ЕСС 2010.</w:t>
      </w:r>
    </w:p>
  </w:footnote>
  <w:footnote w:id="7">
    <w:p>
      <w:pPr>
        <w:pStyle w:val="FootnoteText"/>
        <w:tabs>
          <w:tab w:val="left" w:pos="851"/>
        </w:tabs>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3, параграф 2 от Регламент (ЕО) № 479/2009.</w:t>
      </w:r>
    </w:p>
  </w:footnote>
  <w:footnote w:id="8">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Вж. изявленията, придружаващи протокола на Съвета от 22 ноември 1993 г.;</w:t>
      </w:r>
      <w:r>
        <w:tab/>
      </w:r>
      <w:r>
        <w:rPr>
          <w:rFonts w:ascii="Times New Roman" w:hAnsi="Times New Roman"/>
        </w:rPr>
        <w:br/>
      </w:r>
      <w:hyperlink r:id="rId1">
        <w:r>
          <w:rPr>
            <w:rStyle w:val="Hyperlink"/>
            <w:rFonts w:ascii="Times New Roman" w:hAnsi="Times New Roman"/>
          </w:rPr>
          <w:t>https://webgate.ec.europa.eu/fpfis/mwikis/gfs/images/e/e7/Statements_9817.en93.pdf</w:t>
        </w:r>
      </w:hyperlink>
    </w:p>
  </w:footnote>
  <w:footnote w:id="9">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С Регламент (ЕО) № 479/2009 от държавите членки изрично се изисква да представят планираните данни само в таблици по EDP 1 и 2А.</w:t>
      </w:r>
    </w:p>
  </w:footnote>
  <w:footnote w:id="10">
    <w:p>
      <w:pPr>
        <w:pStyle w:val="FootnoteText"/>
        <w:tabs>
          <w:tab w:val="left" w:pos="851"/>
        </w:tabs>
        <w:spacing w:after="120" w:line="240" w:lineRule="auto"/>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Нотификационните таблици по EDP на държавите членки са достъпни на уебсайта на Евростат:</w:t>
      </w:r>
      <w:r>
        <w:tab/>
      </w:r>
      <w:r>
        <w:rPr>
          <w:rFonts w:ascii="Times New Roman" w:hAnsi="Times New Roman"/>
        </w:rPr>
        <w:br/>
      </w:r>
      <w:hyperlink r:id="rId2">
        <w:r>
          <w:rPr>
            <w:rStyle w:val="Hyperlink"/>
            <w:rFonts w:ascii="Times New Roman" w:hAnsi="Times New Roman"/>
          </w:rPr>
          <w:t>http://ec.europa.eu/eurostat/web/government-finance-statistics/excessive-deficit-procedure/edp-notification-tables</w:t>
        </w:r>
      </w:hyperlink>
      <w:r>
        <w:rPr>
          <w:rStyle w:val="Hyperlink"/>
          <w:rFonts w:ascii="Times New Roman" w:hAnsi="Times New Roman"/>
        </w:rPr>
        <w:t>.</w:t>
      </w:r>
    </w:p>
  </w:footnote>
  <w:footnote w:id="11">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Въпросникът се състои от 13 раздела, в които се изисква количествена и известно количество качествена информация в различни области — например операции в сферите на данъците, социалноосигурителните вноски и вноските в бюджета на ЕС, придобиванията на военно оборудване, държавните гаранции, анулирането на дългове, вливането на капитал от страна на държавата в държавни корпоративни предприятия, публично-частни партньорства, пренасочването на операции и т.н.</w:t>
      </w:r>
    </w:p>
  </w:footnote>
  <w:footnote w:id="12">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tab/>
      </w:r>
      <w:hyperlink r:id="rId3">
        <w:r>
          <w:rPr>
            <w:rStyle w:val="Hyperlink"/>
            <w:rFonts w:ascii="Times New Roman" w:hAnsi="Times New Roman"/>
          </w:rPr>
          <w:t>http://ec.europa.eu/eurostat/documents/1 015 035/2 022 710/Background-note-on-gov-interventions-OCT-2017-final.pdf</w:t>
        </w:r>
      </w:hyperlink>
    </w:p>
  </w:footnote>
  <w:footnote w:id="13">
    <w:p>
      <w:pPr>
        <w:pStyle w:val="FootnoteText"/>
        <w:spacing w:after="12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tab/>
      </w:r>
      <w:hyperlink r:id="rId4">
        <w:r>
          <w:rPr>
            <w:rStyle w:val="Hyperlink"/>
            <w:rFonts w:ascii="Times New Roman" w:hAnsi="Times New Roman"/>
          </w:rPr>
          <w:t>http://ec.europa.eu/eurostat/web/government-finance-statistics/excessive-deficit-procedure/eurostat-edp-visits-to-member-states</w:t>
        </w:r>
      </w:hyperlink>
    </w:p>
  </w:footnote>
  <w:footnote w:id="14">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http://ec.europa.eu/eurostat/web/government-finance-statistics/methodology/guidance-on-accounting-rules</w:t>
        </w:r>
      </w:hyperlink>
    </w:p>
  </w:footnote>
  <w:footnote w:id="15">
    <w:p>
      <w:pPr>
        <w:pStyle w:val="FootnoteText"/>
        <w:spacing w:after="120" w:line="240" w:lineRule="auto"/>
        <w:ind w:left="284" w:hanging="284"/>
        <w:jc w:val="both"/>
        <w:rPr>
          <w:rStyle w:val="Hyperlink"/>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6">
        <w:r>
          <w:rPr>
            <w:rStyle w:val="Hyperlink"/>
            <w:rFonts w:ascii="Times New Roman" w:hAnsi="Times New Roman"/>
          </w:rPr>
          <w:t>http://ec.europa.eu/eurostat/web/government-finance-statistics/methodology/advice-to-member-states</w:t>
        </w:r>
      </w:hyperlink>
    </w:p>
  </w:footnote>
  <w:footnote w:id="16">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http://ec.europa.eu/eurostat/documents/1015035/2041329/Procedures-Dev-and-Implt-Methodology-EDP-data.pdf</w:t>
        </w:r>
      </w:hyperlink>
      <w:r>
        <w:rPr>
          <w:rFonts w:ascii="Times New Roman" w:hAnsi="Times New Roman"/>
        </w:rPr>
        <w:t xml:space="preserve"> </w:t>
      </w:r>
    </w:p>
  </w:footnote>
  <w:footnote w:id="17">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tab/>
      </w:r>
      <w:hyperlink r:id="rId8">
        <w:r>
          <w:rPr>
            <w:rStyle w:val="Hyperlink"/>
            <w:rFonts w:ascii="Times New Roman" w:hAnsi="Times New Roman"/>
          </w:rPr>
          <w:t>http://ec.europa.eu/eurostat/documents/2 995 521/7 997 684/2-24 042 017-AP-EN.pdf</w:t>
        </w:r>
      </w:hyperlink>
    </w:p>
  </w:footnote>
  <w:footnote w:id="18">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tab/>
      </w:r>
      <w:hyperlink r:id="rId9">
        <w:r>
          <w:rPr>
            <w:rStyle w:val="Hyperlink"/>
            <w:rFonts w:ascii="Times New Roman" w:hAnsi="Times New Roman"/>
          </w:rPr>
          <w:t>http://ec.europa.eu/eurostat/documents/2 995 521/8 338 481/2-23 102 017-AP-EN.pdf</w:t>
        </w:r>
      </w:hyperlink>
    </w:p>
  </w:footnote>
  <w:footnote w:id="19">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http://ec.europa.eu/eurostat/web/government-finance-statistics/excessive-deficit-procedure/edp-notification-tables</w:t>
        </w:r>
      </w:hyperlink>
    </w:p>
  </w:footnote>
  <w:footnote w:id="20">
    <w:p>
      <w:pPr>
        <w:pStyle w:val="FootnoteText"/>
        <w:spacing w:after="12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 означава края на периода, за който се отнася отчитането.</w:t>
      </w:r>
    </w:p>
  </w:footnote>
  <w:footnote w:id="21">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Списъци на методите, процедурите и източниците, които се използват при съставяне на действителните данни за дефицита и дълга, както и на основните сметки на държавното управление.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9B8"/>
    <w:multiLevelType w:val="hybridMultilevel"/>
    <w:tmpl w:val="6D2A5244"/>
    <w:lvl w:ilvl="0" w:tplc="3DF2C38E">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0BEB7B1E"/>
    <w:multiLevelType w:val="hybridMultilevel"/>
    <w:tmpl w:val="EF402F56"/>
    <w:lvl w:ilvl="0" w:tplc="3DF2C38E">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2">
    <w:nsid w:val="47EA1661"/>
    <w:multiLevelType w:val="hybridMultilevel"/>
    <w:tmpl w:val="8C181BDE"/>
    <w:lvl w:ilvl="0" w:tplc="3DF2C38E">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9101ED7-1058-44A7-A1B1-CE8EF3730492"/>
    <w:docVar w:name="LW_COVERPAGE_TYPE" w:val="1"/>
    <w:docVar w:name="LW_CROSSREFERENCE" w:val="&lt;UNUSED&gt;"/>
    <w:docVar w:name="LW_DocType" w:val="NORMAL"/>
    <w:docVar w:name="LW_EMISSION" w:val="8.3.2018"/>
    <w:docVar w:name="LW_EMISSION_ISODATE" w:val="2018-03-08"/>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82?\u1072?\u1095?\u1077?\u1089?\u1090?\u1074?\u1086?\u1090?\u1086? \u1085?\u1072? \u1092?\u1080?\u1089?\u1082?\u1072?\u1083?\u1085?\u1080?\u1090?\u1077? \u1076?\u1072?\u1085?\u1085?\u1080?, \u1086?\u1090?\u1095?\u1077?\u1090?\u1077?\u1085?\u1080? \u1086?\u1090? \u1076?\u1098?\u1088?\u1078?\u1072?\u1074?\u1080?\u1090?\u1077? \u1095?\u1083?\u1077?\u1085?\u1082?\u1080? \u1087?\u1088?\u1077?\u1079? 2017 \u107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STAT\ESTAT-2018-10001\ESTAT-2018-10001-00-00-EN-REV-00.20180110145913086366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paragraph" w:styleId="FootnoteText">
    <w:name w:val="footnote text"/>
    <w:basedOn w:val="Normal"/>
    <w:uiPriority w:val="99"/>
    <w:unhideWhenUsed/>
    <w:rPr>
      <w:rFonts w:ascii="Calibri" w:eastAsia="Calibri" w:hAnsi="Calibri" w:cs="Times New Roman"/>
      <w:sz w:val="20"/>
      <w:szCs w:val="20"/>
    </w:rPr>
  </w:style>
  <w:style w:type="character" w:customStyle="1" w:styleId="FootnoteTextChar">
    <w:name w:val="Footnote Text Char"/>
    <w:basedOn w:val="DefaultParagraphFont"/>
    <w:uiPriority w:val="99"/>
    <w:rPr>
      <w:rFonts w:ascii="Calibri" w:eastAsia="Calibri" w:hAnsi="Calibri" w:cs="Times New Roman"/>
      <w:sz w:val="20"/>
      <w:szCs w:val="20"/>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unhideWhenUsed/>
    <w:rPr>
      <w:shd w:val="clear" w:color="auto" w:fill="auto"/>
      <w:vertAlign w:val="superscript"/>
    </w:rPr>
  </w:style>
  <w:style w:type="paragraph" w:styleId="TOC1">
    <w:name w:val="toc 1"/>
    <w:basedOn w:val="Normal"/>
    <w:next w:val="Normal"/>
    <w:autoRedefine/>
    <w:uiPriority w:val="39"/>
    <w:unhideWhenUsed/>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16"/>
      </w:tabs>
      <w:ind w:left="220"/>
    </w:pPr>
    <w:rPr>
      <w:rFonts w:ascii="Times New Roman" w:eastAsia="Calibri" w:hAnsi="Times New Roman" w:cs="Times New Roman"/>
      <w:b/>
      <w:noProof/>
    </w:rPr>
  </w:style>
  <w:style w:type="paragraph" w:styleId="TOC3">
    <w:name w:val="toc 3"/>
    <w:basedOn w:val="Normal"/>
    <w:next w:val="Normal"/>
    <w:autoRedefine/>
    <w:uiPriority w:val="39"/>
    <w:unhideWhenUsed/>
    <w:pPr>
      <w:tabs>
        <w:tab w:val="left" w:pos="1320"/>
        <w:tab w:val="right" w:leader="dot" w:pos="9016"/>
      </w:tabs>
      <w:ind w:left="440"/>
      <w:jc w:val="both"/>
    </w:pPr>
    <w:rPr>
      <w:rFonts w:ascii="Times New Roman" w:eastAsia="Calibri" w:hAnsi="Times New Roman" w:cs="Times New Roman"/>
      <w:i/>
      <w:noProo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paragraph" w:styleId="FootnoteText">
    <w:name w:val="footnote text"/>
    <w:basedOn w:val="Normal"/>
    <w:uiPriority w:val="99"/>
    <w:unhideWhenUsed/>
    <w:rPr>
      <w:rFonts w:ascii="Calibri" w:eastAsia="Calibri" w:hAnsi="Calibri" w:cs="Times New Roman"/>
      <w:sz w:val="20"/>
      <w:szCs w:val="20"/>
    </w:rPr>
  </w:style>
  <w:style w:type="character" w:customStyle="1" w:styleId="FootnoteTextChar">
    <w:name w:val="Footnote Text Char"/>
    <w:basedOn w:val="DefaultParagraphFont"/>
    <w:uiPriority w:val="99"/>
    <w:rPr>
      <w:rFonts w:ascii="Calibri" w:eastAsia="Calibri" w:hAnsi="Calibri" w:cs="Times New Roman"/>
      <w:sz w:val="20"/>
      <w:szCs w:val="20"/>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unhideWhenUsed/>
    <w:rPr>
      <w:shd w:val="clear" w:color="auto" w:fill="auto"/>
      <w:vertAlign w:val="superscript"/>
    </w:rPr>
  </w:style>
  <w:style w:type="paragraph" w:styleId="TOC1">
    <w:name w:val="toc 1"/>
    <w:basedOn w:val="Normal"/>
    <w:next w:val="Normal"/>
    <w:autoRedefine/>
    <w:uiPriority w:val="39"/>
    <w:unhideWhenUsed/>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16"/>
      </w:tabs>
      <w:ind w:left="220"/>
    </w:pPr>
    <w:rPr>
      <w:rFonts w:ascii="Times New Roman" w:eastAsia="Calibri" w:hAnsi="Times New Roman" w:cs="Times New Roman"/>
      <w:b/>
      <w:noProof/>
    </w:rPr>
  </w:style>
  <w:style w:type="paragraph" w:styleId="TOC3">
    <w:name w:val="toc 3"/>
    <w:basedOn w:val="Normal"/>
    <w:next w:val="Normal"/>
    <w:autoRedefine/>
    <w:uiPriority w:val="39"/>
    <w:unhideWhenUsed/>
    <w:pPr>
      <w:tabs>
        <w:tab w:val="left" w:pos="1320"/>
        <w:tab w:val="right" w:leader="dot" w:pos="9016"/>
      </w:tabs>
      <w:ind w:left="440"/>
      <w:jc w:val="both"/>
    </w:pPr>
    <w:rPr>
      <w:rFonts w:ascii="Times New Roman" w:eastAsia="Calibri" w:hAnsi="Times New Roman" w:cs="Times New Roman"/>
      <w:i/>
      <w:noProo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documents/2995521/7997684/2-24042017-AP-EN.pdf" TargetMode="External"/><Relationship Id="rId3" Type="http://schemas.openxmlformats.org/officeDocument/2006/relationships/hyperlink" Target="http://ec.europa.eu/eurostat/documents/1015035/2022710/Background-note-on-gov-interventions-OCT-2017-final.pdf" TargetMode="External"/><Relationship Id="rId7" Type="http://schemas.openxmlformats.org/officeDocument/2006/relationships/hyperlink" Target="http://ec.europa.eu/eurostat/documents/1015035/2041329/Procedures-Dev-and-Implt-Methodology-EDP-data.pdf" TargetMode="External"/><Relationship Id="rId2" Type="http://schemas.openxmlformats.org/officeDocument/2006/relationships/hyperlink" Target="http://ec.europa.eu/eurostat/web/government-finance-statistics/excessive-deficit-procedure/edp-notification-tables" TargetMode="External"/><Relationship Id="rId1" Type="http://schemas.openxmlformats.org/officeDocument/2006/relationships/hyperlink" Target="https://webgate.ec.europa.eu/fpfis/mwikis/gfs/images/e/e7/Statements_9817.en93.pdf" TargetMode="External"/><Relationship Id="rId6" Type="http://schemas.openxmlformats.org/officeDocument/2006/relationships/hyperlink" Target="http://ec.europa.eu/eurostat/web/government-finance-statistics/methodology/advice-to-member-states" TargetMode="External"/><Relationship Id="rId5" Type="http://schemas.openxmlformats.org/officeDocument/2006/relationships/hyperlink" Target="http://ec.europa.eu/eurostat/web/government-finance-statistics/methodology/guidance-on-accounting-rules" TargetMode="External"/><Relationship Id="rId10" Type="http://schemas.openxmlformats.org/officeDocument/2006/relationships/hyperlink" Target="http://ec.europa.eu/eurostat/web/government-finance-statistics/excessive-deficit-procedure/edp-notification-tables" TargetMode="External"/><Relationship Id="rId4" Type="http://schemas.openxmlformats.org/officeDocument/2006/relationships/hyperlink" Target="http://ec.europa.eu/eurostat/web/government-finance-statistics/excessive-deficit-procedure/eurostat-edp-visits-to-member-states" TargetMode="External"/><Relationship Id="rId9" Type="http://schemas.openxmlformats.org/officeDocument/2006/relationships/hyperlink" Target="http://ec.europa.eu/eurostat/documents/2995521/8338481/2-23102017-AP-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A212-52B1-4EF6-95DC-57089B34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3824</Words>
  <Characters>22490</Characters>
  <Application>Microsoft Office Word</Application>
  <DocSecurity>0</DocSecurity>
  <Lines>440</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2017-12-11T14:42:00Z</cp:lastPrinted>
  <dcterms:created xsi:type="dcterms:W3CDTF">2018-01-23T11:38:00Z</dcterms:created>
  <dcterms:modified xsi:type="dcterms:W3CDTF">2018-03-06T14:06:00Z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