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A1A44C7-1333-47DB-AA34-EED46BC56D9B" style="width:450.4pt;height:452.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rPr>
          <w:noProof/>
        </w:rPr>
      </w:pPr>
      <w:r>
        <w:rPr>
          <w:noProof/>
        </w:rPr>
        <w:t>В приложение IA към Регламент (ЕС) 2018/120 таблицата за възможностите за улов на пясъчница във водите на Съюза от участъци 2a и 3a на ICES и подзона 4 на ICES се заменя със следното:</w:t>
      </w:r>
    </w:p>
    <w:p>
      <w:pPr>
        <w:pStyle w:val="Point1"/>
        <w:rPr>
          <w:noProof/>
        </w:rPr>
      </w:pPr>
      <w:r>
        <w:rPr>
          <w:noProof/>
        </w:rPr>
        <w:t>„</w:t>
      </w:r>
    </w:p>
    <w:p>
      <w:pPr>
        <w:pStyle w:val="Point1"/>
        <w:rPr>
          <w:noProof/>
        </w:rPr>
      </w:pP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264"/>
        <w:gridCol w:w="1033"/>
        <w:gridCol w:w="1125"/>
        <w:gridCol w:w="1125"/>
        <w:gridCol w:w="1168"/>
        <w:gridCol w:w="1156"/>
        <w:gridCol w:w="1155"/>
        <w:gridCol w:w="1155"/>
      </w:tblGrid>
      <w:tr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337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Пясъчница и свързан с нея прилов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от 2a, 3a и 4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</w:tr>
      <w:tr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Ammodytes spp.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195 875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241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119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2034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4 282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4811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 847/96 не се прилага.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300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4811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 847/96 не се прилага.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Швеция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7 193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207 650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207 650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5790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С изключение на водите в шестмилната зона от изходните линии на Обединеното кралство при Shetland, Fair Isle и Foula.</w:t>
            </w: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188" w:type="dxa"/>
            <w:gridSpan w:val="7"/>
            <w:noWrap/>
            <w:hideMark/>
          </w:tcPr>
          <w:p>
            <w:pPr>
              <w:spacing w:after="0"/>
              <w:rPr>
                <w:rFonts w:eastAsia="Times New Roman"/>
                <w:i/>
                <w:noProof/>
                <w:szCs w:val="24"/>
                <w:vertAlign w:val="superscript"/>
              </w:rPr>
            </w:pPr>
            <w:r>
              <w:rPr>
                <w:noProof/>
                <w:sz w:val="18"/>
                <w:vertAlign w:val="superscript"/>
              </w:rPr>
              <w:t>Приловът на меджид и скумрия може да бъде до 2 % от квотата (OT1/*2A3A4). Сумата от прилова на меджид и скумрия, отчетен спрямо квотата в съответствие с настоящата разпоредба, и от прилова на видове, отчетен спрямо квотата в съответствие с член 15, параграф 8 от Регламент (ЕС) № 1380/2013, не може да надхвърля 9 % от квотата.</w:t>
            </w:r>
            <w:r>
              <w:rPr>
                <w:i/>
                <w:noProof/>
                <w:sz w:val="18"/>
                <w:vertAlign w:val="superscript"/>
              </w:rPr>
              <w:t xml:space="preserve"> </w:t>
            </w:r>
          </w:p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91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Специално условие: в рамките на горепосочените квоти, в следните зони за управление на запасите от пясъчница, определени в приложение IIГ, не може да се ловят повече от посочените по-долу количества:</w:t>
            </w: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790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Зона: Води на Съюза в зоните за управление на запасите от пясъчница</w:t>
            </w:r>
          </w:p>
          <w:p>
            <w:pPr>
              <w:rPr>
                <w:noProof/>
              </w:rPr>
            </w:pPr>
          </w:p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1r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2r</w:t>
            </w:r>
            <w:r>
              <w:rPr>
                <w:b/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3r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5r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7r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(SAN/234_1R)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(SAN/234_2R)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(SAN/234_3R)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(SAN/234_4)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(SAN/234_5R)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(SAN/234_6)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(SAN/234_7R) 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Дания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126 837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4 717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8 177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55 979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165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Обединено кралство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2 772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179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 1 224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Германия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 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Швеция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4 658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2 056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Съюз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134 461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5 000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8 669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59 345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Общо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134 461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5 000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8 669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59 345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  <w:r>
              <w:rPr>
                <w:noProof/>
                <w:sz w:val="18"/>
              </w:rPr>
              <w:t>(1) В зона на управление 2r ОДУ може да се осъществява само като мониторингов ОДУ с асоцииран протокол за вземане на проби за риболов</w:t>
            </w:r>
          </w:p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51620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15232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885C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7F010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9EA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9C0DF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9A56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AE8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8 10:28:1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A1A44C7-1333-47DB-AA34-EED46BC56D9B"/>
    <w:docVar w:name="LW_COVERPAGE_TYPE" w:val="1"/>
    <w:docVar w:name="LW_CROSSREFERENCE" w:val="&lt;UNUSED&gt;"/>
    <w:docVar w:name="LW_DocType" w:val="ANNEX"/>
    <w:docVar w:name="LW_EMISSION" w:val="8.3.2018"/>
    <w:docVar w:name="LW_EMISSION_ISODATE" w:val="2018-03-08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2018/120 \u1087?\u1086? \u1086?\u1090?\u1085?\u1086?\u1096?\u1077?\u1085?\u1080?\u1077? \u1085?\u1072? \u1085?\u1103?\u1082?\u1086?\u1080? \u1074?\u1098?\u1079?\u1084?\u1086?\u1078?\u1085?\u1086?\u1089?\u1090?\u1080? \u1079?\u1072? \u1088?\u1080?\u1073?\u1086?\u1083?\u1086?\u1074?_x000b_"/>
    <w:docVar w:name="LW_OBJETACTEPRINCIPAL.CP" w:val="\u1079?\u1072? \u1080?\u1079?\u1084?\u1077?\u1085?\u1077?\u1085?\u1080?\u1077? \u1085?\u1072? \u1056?\u1077?\u1075?\u1083?\u1072?\u1084?\u1077?\u1085?\u1090? (\u1045?\u1057?) 2018/120 \u1087?\u1086? \u1086?\u1090?\u1085?\u1086?\u1096?\u1077?\u1085?\u1080?\u1077? \u1085?\u1072? \u1085?\u1103?\u1082?\u1086?\u1080? \u1074?\u1098?\u1079?\u1084?\u1086?\u1078?\u1085?\u1086?\u1089?\u1090?\u1080? \u1079?\u1072? \u1088?\u1080?\u1073?\u1086?\u1083?\u1086?\u1074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1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_x000b__x000b_\u1056?\u1045?\u1043?\u1051?\u1040?\u1052?\u1045?\u1053?\u1058? \u1053?\u1040? \u1057?\u1066?\u1042?\u1045?\u1058?\u1040?_x000b__x000b_"/>
    <w:docVar w:name="LW_TYPEACTEPRINCIPAL.CP" w:val="\u1087?\u1088?\u1077?\u1076?\u1083?\u1086?\u1078?\u1077?\u1085?\u1080?\u1077? \u1079?\u1072? _x000b__x000b_\u1056?\u1045?\u1043?\u1051?\u1040?\u1052?\u1045?\u1053?\u1058? \u1053?\u1040? \u1057?\u1066?\u1042?\u1045?\u1058?\u1040?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354</Words>
  <Characters>1519</Characters>
  <Application>Microsoft Office Word</Application>
  <DocSecurity>0</DocSecurity>
  <Lines>253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SANZ Carmen (MARE)</dc:creator>
  <cp:lastModifiedBy>DIGIT/A3</cp:lastModifiedBy>
  <cp:revision>7</cp:revision>
  <dcterms:created xsi:type="dcterms:W3CDTF">2018-03-01T15:30:00Z</dcterms:created>
  <dcterms:modified xsi:type="dcterms:W3CDTF">2018-03-08T09:28:00Z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