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F2AB185-540B-41FA-B3DC-83315670B7DA" style="width:450.55pt;height:338.3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noProof/>
        </w:rPr>
      </w:pPr>
      <w:r>
        <w:rPr>
          <w:noProof/>
        </w:rPr>
        <w:t>Le règlement (UE) 2018/120 du Conseil établit, pour 2018, les possibilités de pêche pour certains stocks halieutiques et groupes de stocks halieutiques, applicables dans les eaux de l'Union et, pour les navires de l'Union, dans certaines eaux n'appartenant pas à l'Union. Ces possibilités de pêche sont généralement modifiées plusieurs fois au cours de la période pendant laquelle elles sont en vigueur.</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rPr>
          <w:noProof/>
        </w:rPr>
      </w:pPr>
      <w:r>
        <w:rPr>
          <w:noProof/>
        </w:rPr>
        <w:t>Les mesures proposées ont été conçues dans le respect des règles et des objectifs de la politique commune de la pêche et sont conformes à la politique de l'Union en matière de développement durable.</w:t>
      </w:r>
    </w:p>
    <w:p>
      <w:pPr>
        <w:pStyle w:val="ManualHeading2"/>
        <w:rPr>
          <w:rFonts w:eastAsia="Arial Unicode MS"/>
          <w:noProof/>
        </w:rPr>
      </w:pPr>
      <w:r>
        <w:rPr>
          <w:noProof/>
          <w:color w:val="000000"/>
          <w:u w:color="000000"/>
          <w:bdr w:val="nil"/>
        </w:rPr>
        <w:t>•</w:t>
      </w:r>
      <w:r>
        <w:rPr>
          <w:noProof/>
        </w:rPr>
        <w:tab/>
        <w:t>Cohérence avec les autres politiques de l’Union</w:t>
      </w:r>
    </w:p>
    <w:p>
      <w:pPr>
        <w:rPr>
          <w:noProof/>
        </w:rPr>
      </w:pPr>
      <w:r>
        <w:rPr>
          <w:noProof/>
        </w:rPr>
        <w:t>Les mesures proposées sont conformes aux autres politiques de l’Union, notamment aux politiques dans le domaine de l’environnement.</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rPr>
          <w:noProof/>
        </w:rPr>
      </w:pPr>
      <w:r>
        <w:rPr>
          <w:noProof/>
        </w:rPr>
        <w:t>La base juridique de la proposition est l’article 43, paragraphe 3, du traité sur le fonctionnement de l’Union européenne.</w:t>
      </w:r>
    </w:p>
    <w:p>
      <w:pPr>
        <w:rPr>
          <w:noProof/>
        </w:rPr>
      </w:pPr>
      <w:r>
        <w:rPr>
          <w:noProof/>
        </w:rPr>
        <w:t>Les obligations de l’Union en matière d’exploitation durable des ressources aquatiques vivantes découlent des exigences définies à l’article 2 du nouveau règlement de base de la PCP.</w:t>
      </w:r>
    </w:p>
    <w:p>
      <w:pPr>
        <w:pStyle w:val="ManualHeading2"/>
        <w:rPr>
          <w:rFonts w:eastAsia="Arial Unicode MS"/>
          <w:noProof/>
          <w:u w:color="000000"/>
          <w:bdr w:val="nil"/>
        </w:rPr>
      </w:pPr>
      <w:r>
        <w:rPr>
          <w:noProof/>
        </w:rPr>
        <w:t>•</w:t>
      </w:r>
      <w:r>
        <w:rPr>
          <w:noProof/>
        </w:rPr>
        <w:tab/>
        <w:t>Subsidiarité (en cas de compétence non exclusive)</w:t>
      </w:r>
    </w:p>
    <w:p>
      <w:pPr>
        <w:spacing w:after="0"/>
        <w:rPr>
          <w:noProof/>
        </w:rPr>
      </w:pPr>
      <w:r>
        <w:rPr>
          <w:noProof/>
        </w:rPr>
        <w:t>La proposition relève de la compétence exclusive de l’Union énoncée à l’article 3, paragraphe 1, point d), du traité. Le principe de subsidiarité ne s’applique donc pas.</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rFonts w:eastAsia="Arial Unicode MS"/>
          <w:noProof/>
        </w:rPr>
      </w:pPr>
      <w:r>
        <w:rPr>
          <w:noProof/>
        </w:rPr>
        <w:t>La proposition est conforme au principe de proportionnalité pour la raison suivante: la PCP est une politique commune. En vertu de l’article 43, paragraphe 3, du traité, le Conseil adopte les mesures relatives à la fixation et à la répartition des possibilités de pêche.</w:t>
      </w:r>
    </w:p>
    <w:p>
      <w:pPr>
        <w:pStyle w:val="ManualHeading2"/>
        <w:rPr>
          <w:rFonts w:eastAsia="Arial Unicode MS"/>
          <w:noProof/>
          <w:u w:color="000000"/>
          <w:bdr w:val="nil"/>
        </w:rPr>
      </w:pPr>
      <w:r>
        <w:rPr>
          <w:noProof/>
        </w:rPr>
        <w:t>•</w:t>
      </w:r>
      <w:r>
        <w:rPr>
          <w:noProof/>
        </w:rPr>
        <w:tab/>
        <w:t>Choix de l’instrument</w:t>
      </w:r>
    </w:p>
    <w:p>
      <w:pPr>
        <w:spacing w:after="0"/>
        <w:rPr>
          <w:noProof/>
        </w:rPr>
      </w:pPr>
      <w:r>
        <w:rPr>
          <w:noProof/>
        </w:rPr>
        <w:t>Instrument proposé: règlement</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pBdr>
          <w:top w:val="nil"/>
          <w:left w:val="nil"/>
          <w:bottom w:val="nil"/>
          <w:right w:val="nil"/>
          <w:between w:val="nil"/>
          <w:bar w:val="nil"/>
        </w:pBdr>
        <w:spacing w:before="0" w:after="240"/>
        <w:rPr>
          <w:noProof/>
        </w:rPr>
      </w:pPr>
      <w:r>
        <w:rPr>
          <w:noProof/>
        </w:rPr>
        <w:t>Sans objet</w:t>
      </w:r>
    </w:p>
    <w:p>
      <w:pPr>
        <w:pStyle w:val="ManualHeading2"/>
        <w:rPr>
          <w:rFonts w:eastAsia="Arial Unicode MS"/>
          <w:noProof/>
          <w:u w:color="000000"/>
          <w:bdr w:val="nil"/>
        </w:rPr>
      </w:pPr>
      <w:r>
        <w:rPr>
          <w:noProof/>
        </w:rPr>
        <w:lastRenderedPageBreak/>
        <w:t>•</w:t>
      </w:r>
      <w:r>
        <w:rPr>
          <w:noProof/>
        </w:rPr>
        <w:tab/>
        <w:t>Consultation des parties prenantes</w:t>
      </w:r>
    </w:p>
    <w:p>
      <w:pPr>
        <w:pBdr>
          <w:top w:val="nil"/>
          <w:left w:val="nil"/>
          <w:bottom w:val="nil"/>
          <w:right w:val="nil"/>
          <w:between w:val="nil"/>
          <w:bar w:val="nil"/>
        </w:pBdr>
        <w:spacing w:before="0" w:after="240"/>
        <w:rPr>
          <w:noProof/>
        </w:rPr>
      </w:pPr>
      <w:r>
        <w:rPr>
          <w:noProof/>
        </w:rPr>
        <w:t>La proposition tient compte du retour d’information des parties intéressées, des conseils consultatifs, des administrations nationales, des organisations de pêcheurs et des organisations non gouvernementales.</w:t>
      </w:r>
    </w:p>
    <w:p>
      <w:pPr>
        <w:pStyle w:val="ManualHeading2"/>
        <w:rPr>
          <w:rFonts w:eastAsia="Arial Unicode MS"/>
          <w:noProof/>
          <w:u w:color="000000"/>
          <w:bdr w:val="nil"/>
        </w:rPr>
      </w:pPr>
      <w:r>
        <w:rPr>
          <w:noProof/>
        </w:rPr>
        <w:t>•</w:t>
      </w:r>
      <w:r>
        <w:rPr>
          <w:noProof/>
        </w:rPr>
        <w:tab/>
        <w:t>Obtention et utilisation d'expertise</w:t>
      </w:r>
    </w:p>
    <w:p>
      <w:pPr>
        <w:pBdr>
          <w:top w:val="nil"/>
          <w:left w:val="nil"/>
          <w:bottom w:val="nil"/>
          <w:right w:val="nil"/>
          <w:between w:val="nil"/>
          <w:bar w:val="nil"/>
        </w:pBdr>
        <w:spacing w:before="0" w:after="240"/>
        <w:rPr>
          <w:rFonts w:eastAsia="Arial Unicode MS"/>
          <w:noProof/>
        </w:rPr>
      </w:pPr>
      <w:r>
        <w:rPr>
          <w:noProof/>
        </w:rPr>
        <w:t>La proposition se fonde sur les avis scientifiques émis par le Conseil international pour l’exploration de la mer (CIEM) et le comité scientifique, technique et économique de la pêche (CSTEP).</w:t>
      </w:r>
    </w:p>
    <w:p>
      <w:pPr>
        <w:pStyle w:val="ManualHeading2"/>
        <w:rPr>
          <w:rFonts w:eastAsia="Arial Unicode MS"/>
          <w:noProof/>
          <w:u w:color="000000"/>
          <w:bdr w:val="nil"/>
        </w:rPr>
      </w:pPr>
      <w:r>
        <w:rPr>
          <w:noProof/>
        </w:rPr>
        <w:t>•</w:t>
      </w:r>
      <w:r>
        <w:rPr>
          <w:noProof/>
        </w:rPr>
        <w:tab/>
        <w:t>Analyse d'impact</w:t>
      </w:r>
    </w:p>
    <w:p>
      <w:pPr>
        <w:rPr>
          <w:noProof/>
        </w:rPr>
      </w:pPr>
      <w:r>
        <w:rPr>
          <w:noProof/>
        </w:rPr>
        <w:t>Le champ d’application du règlement sur les possibilités de pêche est circonscrit par l’article 43, paragraphe 3, du traité.</w:t>
      </w:r>
    </w:p>
    <w:p>
      <w:pPr>
        <w:pStyle w:val="ManualHeading2"/>
        <w:rPr>
          <w:rFonts w:eastAsia="Arial Unicode MS"/>
          <w:noProof/>
          <w:u w:color="000000"/>
          <w:bdr w:val="nil"/>
        </w:rPr>
      </w:pPr>
      <w:r>
        <w:rPr>
          <w:noProof/>
        </w:rPr>
        <w:t>•</w:t>
      </w:r>
      <w:r>
        <w:rPr>
          <w:noProof/>
        </w:rPr>
        <w:tab/>
        <w:t>Réglementation affûtée et simplification</w:t>
      </w:r>
    </w:p>
    <w:p>
      <w:pPr>
        <w:pBdr>
          <w:top w:val="nil"/>
          <w:left w:val="nil"/>
          <w:bottom w:val="nil"/>
          <w:right w:val="nil"/>
          <w:between w:val="nil"/>
          <w:bar w:val="nil"/>
        </w:pBdr>
        <w:spacing w:before="0" w:after="240"/>
        <w:rPr>
          <w:noProof/>
        </w:rPr>
      </w:pPr>
      <w:r>
        <w:rPr>
          <w:noProof/>
        </w:rPr>
        <w:t>Sans objet.</w:t>
      </w:r>
    </w:p>
    <w:p>
      <w:pPr>
        <w:pStyle w:val="ManualHeading2"/>
        <w:rPr>
          <w:rFonts w:eastAsia="Arial Unicode MS"/>
          <w:noProof/>
          <w:u w:color="000000"/>
          <w:bdr w:val="nil"/>
        </w:rPr>
      </w:pPr>
      <w:r>
        <w:rPr>
          <w:noProof/>
        </w:rPr>
        <w:t>•</w:t>
      </w:r>
      <w:r>
        <w:rPr>
          <w:noProof/>
        </w:rPr>
        <w:tab/>
        <w:t>Droits fondamentaux</w:t>
      </w:r>
    </w:p>
    <w:p>
      <w:pPr>
        <w:pBdr>
          <w:top w:val="nil"/>
          <w:left w:val="nil"/>
          <w:bottom w:val="nil"/>
          <w:right w:val="nil"/>
          <w:between w:val="nil"/>
          <w:bar w:val="nil"/>
        </w:pBdr>
        <w:spacing w:before="0" w:after="240"/>
        <w:rPr>
          <w:noProof/>
        </w:rPr>
      </w:pPr>
      <w:r>
        <w:rPr>
          <w:noProof/>
        </w:rPr>
        <w:t>Sans objet.</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noProof/>
        </w:rPr>
      </w:pPr>
      <w:r>
        <w:rPr>
          <w:noProof/>
        </w:rPr>
        <w:t>Les mesures proposées n’auront pas d’incidence budgétaire.</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Explication détaillée des différentes dispositions de la proposition</w:t>
      </w:r>
    </w:p>
    <w:p>
      <w:pPr>
        <w:rPr>
          <w:noProof/>
        </w:rPr>
      </w:pPr>
      <w:r>
        <w:rPr>
          <w:noProof/>
        </w:rPr>
        <w:t>Les modifications proposées visent à modifier le règlement (UE) 2018/120 comme décrit ci-après.</w:t>
      </w:r>
    </w:p>
    <w:p>
      <w:pPr>
        <w:rPr>
          <w:noProof/>
        </w:rPr>
      </w:pPr>
      <w:r>
        <w:rPr>
          <w:noProof/>
        </w:rPr>
        <w:t>Le lançon est une espèce à brève durée de vie pour laquelle l'avis scientifique est disponible durant la deuxième moitié du mois de février, alors qu'elle est pêchée dès le mois d’avril. Dans le règlement (UE) 2018/120 du Conseil, les limites du total admissible des captures (TAC) ont été fixées à zéro. Par conséquent, il convient de les modifier conformément à l’avis scientifique le plus récent du CIEM.</w:t>
      </w:r>
    </w:p>
    <w:p>
      <w:pPr>
        <w:rPr>
          <w:noProof/>
        </w:rPr>
      </w:pPr>
      <w:r>
        <w:rPr>
          <w:noProof/>
        </w:rPr>
        <w:t xml:space="preserve">En 2017, le CIEM a modifié dans son avis les zones de gestion du lançon à la suite du benchmark de 2016. Certaines de ces zones de gestion révisées ne coïncident pas avec les eaux de l'Union de la mer du Nord. Bien qu’elle se situe principalement dans les eaux norvégiennes, la zone de gestion 3r du lançon relève aussi en partie des eaux de l’Union et compte quelques bancs importants chevauchant les zones de gestion 2r et 3r. L’avis du CIEM de 2018 indique qu’en moyenne, 8 % des captures dans la zone de gestion 3r sont prises dans les eaux de l’Union. Sur cette base, un TAC applicable aux eaux de l'Union de la zone de gestion 3r est établi. </w:t>
      </w:r>
    </w:p>
    <w:p>
      <w:pPr>
        <w:rPr>
          <w:noProof/>
        </w:rPr>
      </w:pP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2018/0053 (NLE)</w:t>
      </w:r>
    </w:p>
    <w:p>
      <w:pPr>
        <w:pStyle w:val="Statut"/>
        <w:rPr>
          <w:noProof/>
        </w:rPr>
      </w:pPr>
      <w:r>
        <w:rPr>
          <w:noProof/>
        </w:rPr>
        <w:t>Proposition de</w:t>
      </w:r>
    </w:p>
    <w:p>
      <w:pPr>
        <w:pStyle w:val="Typedudocument"/>
        <w:rPr>
          <w:noProof/>
        </w:rPr>
      </w:pPr>
      <w:r>
        <w:rPr>
          <w:noProof/>
        </w:rPr>
        <w:t>RÈGLEMENT DU CONSEIL</w:t>
      </w:r>
    </w:p>
    <w:p>
      <w:pPr>
        <w:pStyle w:val="Titreobjet"/>
        <w:rPr>
          <w:noProof/>
        </w:rPr>
      </w:pPr>
      <w:r>
        <w:rPr>
          <w:noProof/>
        </w:rPr>
        <w:t>modifiant le règlement (UE) 2018/120 en ce qui concerne certaines possibilités de pêche</w:t>
      </w:r>
    </w:p>
    <w:p>
      <w:pPr>
        <w:pStyle w:val="Institutionquiagit"/>
        <w:rPr>
          <w:noProof/>
        </w:rPr>
      </w:pPr>
      <w:r>
        <w:rPr>
          <w:noProof/>
        </w:rPr>
        <w:t>LE CONSEIL DE L'UNION EUROPÉENNE,</w:t>
      </w:r>
    </w:p>
    <w:p>
      <w:pPr>
        <w:rPr>
          <w:noProof/>
        </w:rPr>
      </w:pPr>
      <w:r>
        <w:rPr>
          <w:noProof/>
        </w:rPr>
        <w:t>vu le traité sur le fonctionnement de l'Union européenne, et notamment son article 43, paragraphe 3,</w:t>
      </w:r>
    </w:p>
    <w:p>
      <w:pPr>
        <w:rPr>
          <w:noProof/>
        </w:rPr>
      </w:pPr>
      <w:r>
        <w:rPr>
          <w:noProof/>
        </w:rPr>
        <w:t>vu la proposition de la Commission européenne,</w:t>
      </w:r>
    </w:p>
    <w:p>
      <w:pPr>
        <w:rPr>
          <w:noProof/>
        </w:rPr>
      </w:pPr>
      <w:r>
        <w:rPr>
          <w:noProof/>
        </w:rPr>
        <w:t>considérant ce qui suit:</w:t>
      </w:r>
    </w:p>
    <w:p>
      <w:pPr>
        <w:pStyle w:val="ManualConsidrant"/>
        <w:rPr>
          <w:noProof/>
        </w:rPr>
      </w:pPr>
      <w:r>
        <w:rPr>
          <w:noProof/>
        </w:rPr>
        <w:t>(1)</w:t>
      </w:r>
      <w:r>
        <w:rPr>
          <w:noProof/>
        </w:rPr>
        <w:tab/>
        <w:t>Le règlement (UE) 2018/120 du Conseil</w:t>
      </w:r>
      <w:r>
        <w:rPr>
          <w:rStyle w:val="FootnoteReference"/>
          <w:noProof/>
        </w:rPr>
        <w:footnoteReference w:id="1"/>
      </w:r>
      <w:r>
        <w:rPr>
          <w:noProof/>
        </w:rPr>
        <w:t xml:space="preserve"> établit, pour 2018, les possibilités de pêche pour certains stocks halieutiques et groupes de stocks halieutiques, applicables dans les eaux de l'Union et, pour les navires de l'Union, dans certaines eaux n'appartenant pas à l'Union.</w:t>
      </w:r>
    </w:p>
    <w:p>
      <w:pPr>
        <w:pStyle w:val="ManualConsidrant"/>
        <w:rPr>
          <w:noProof/>
        </w:rPr>
      </w:pPr>
      <w:r>
        <w:rPr>
          <w:noProof/>
        </w:rPr>
        <w:t>(2)</w:t>
      </w:r>
      <w:r>
        <w:rPr>
          <w:noProof/>
        </w:rPr>
        <w:tab/>
        <w:t xml:space="preserve">Dans le règlement (UE) 2018/120, le total admissible des captures (TAC) pour le lançon a été fixé à zéro dans les divisions CIEM 2a et 3a et la sous-zone CIEM 4. Le lançon est une espèce à brève durée de vie pour laquelle l'avis scientifique pertinent est disponible durant la deuxième moitié du mois de février, alors qu'elle est pêchée dès le mois d’avril. </w:t>
      </w:r>
    </w:p>
    <w:p>
      <w:pPr>
        <w:pStyle w:val="ManualConsidrant"/>
        <w:rPr>
          <w:noProof/>
        </w:rPr>
      </w:pPr>
      <w:r>
        <w:rPr>
          <w:noProof/>
        </w:rPr>
        <w:t>(3)</w:t>
      </w:r>
      <w:r>
        <w:rPr>
          <w:noProof/>
        </w:rPr>
        <w:tab/>
        <w:t>Les limites de capture pour le lançon dans les divisions CIEM 2a et 3a et la sous-zone CIEM 4 devraient à présent être modifiées conformément à l’avis scientifique le plus récent du Conseil international pour l’exploration de la mer (CIEM), délivré le [23 février 2018].</w:t>
      </w:r>
    </w:p>
    <w:p>
      <w:pPr>
        <w:pStyle w:val="ManualConsidrant"/>
        <w:rPr>
          <w:noProof/>
        </w:rPr>
      </w:pPr>
      <w:r>
        <w:rPr>
          <w:noProof/>
        </w:rPr>
        <w:t>(4)</w:t>
      </w:r>
      <w:r>
        <w:rPr>
          <w:noProof/>
        </w:rPr>
        <w:tab/>
        <w:t>Pour les pêcheries de lançons, les divisions CIEM 2a et 3a et la sous-zone CIEM 4 sont divisées en zones de gestion, sur la base d’avis scientifiques. La zone de gestion 3r est principalement située dans les eaux norvégiennes. Toutefois, elle couvre également des eaux de l’Union et quelques bancs importants chevauchent les zones de gestion 2r et 3r. L’avis du CIEM indique qu’en moyenne, 8 % des captures dans la zone de gestion 3r sont prises dans les eaux de l’Union. Il convient que les limites de capture dans les eaux de l’Union de la zone de gestion 3r soient établies conformément à cet avis.</w:t>
      </w:r>
    </w:p>
    <w:p>
      <w:pPr>
        <w:pStyle w:val="ManualConsidrant"/>
        <w:rPr>
          <w:i/>
          <w:noProof/>
        </w:rPr>
      </w:pPr>
      <w:r>
        <w:rPr>
          <w:noProof/>
        </w:rPr>
        <w:t>(5)</w:t>
      </w:r>
      <w:r>
        <w:rPr>
          <w:noProof/>
        </w:rPr>
        <w:tab/>
        <w:t>Il y a lieu de modifier le règlement (UE) 2018/120 en conséquence.</w:t>
      </w:r>
    </w:p>
    <w:p>
      <w:pPr>
        <w:pStyle w:val="ManualConsidrant"/>
        <w:rPr>
          <w:noProof/>
          <w:szCs w:val="24"/>
        </w:rPr>
      </w:pPr>
      <w:r>
        <w:rPr>
          <w:noProof/>
        </w:rPr>
        <w:t>(6)</w:t>
      </w:r>
      <w:r>
        <w:rPr>
          <w:noProof/>
        </w:rPr>
        <w:tab/>
        <w:t>Les limites de captures prévues par le règlement (UE) 2018/120 s'appliquent à partir du 1</w:t>
      </w:r>
      <w:r>
        <w:rPr>
          <w:noProof/>
          <w:vertAlign w:val="superscript"/>
        </w:rPr>
        <w:t>er</w:t>
      </w:r>
      <w:r>
        <w:rPr>
          <w:noProof/>
        </w:rPr>
        <w:t xml:space="preserve"> janvier 2018. Il convient, dès lors, que les dispositions introduites par le présent règlement modificatif relatives aux limites de capture s'appliquent également à compter de cette date. Cette application rétroactive ne porte pas atteinte aux principes </w:t>
      </w:r>
      <w:r>
        <w:rPr>
          <w:noProof/>
        </w:rPr>
        <w:lastRenderedPageBreak/>
        <w:t>de sécurité juridique et de confiance légitime, car les possibilités de pêche concernées n'ont pas encore été épuisées,</w:t>
      </w:r>
    </w:p>
    <w:p>
      <w:pPr>
        <w:pStyle w:val="ManualConsidrant"/>
        <w:rPr>
          <w:noProof/>
        </w:rPr>
      </w:pPr>
    </w:p>
    <w:p>
      <w:pPr>
        <w:pStyle w:val="Formuledadoption"/>
        <w:rPr>
          <w:noProof/>
        </w:rPr>
      </w:pPr>
      <w:r>
        <w:rPr>
          <w:noProof/>
        </w:rPr>
        <w:t>A ADOPTÉ LE PRÉSENT RÈGLEMENT:</w:t>
      </w:r>
    </w:p>
    <w:p>
      <w:pPr>
        <w:pStyle w:val="Titrearticle"/>
        <w:rPr>
          <w:noProof/>
        </w:rPr>
      </w:pPr>
      <w:r>
        <w:rPr>
          <w:noProof/>
        </w:rPr>
        <w:t>Article premier</w:t>
      </w:r>
      <w:r>
        <w:rPr>
          <w:noProof/>
        </w:rPr>
        <w:br/>
      </w:r>
    </w:p>
    <w:p>
      <w:pPr>
        <w:rPr>
          <w:noProof/>
        </w:rPr>
      </w:pPr>
      <w:r>
        <w:rPr>
          <w:noProof/>
        </w:rPr>
        <w:t>L'annexe I A du règlement (UE) 2018/120 est modifiée conformément à l'annexe du présent règlement.</w:t>
      </w:r>
    </w:p>
    <w:p>
      <w:pPr>
        <w:pStyle w:val="Titrearticle"/>
        <w:rPr>
          <w:noProof/>
        </w:rPr>
      </w:pPr>
      <w:r>
        <w:rPr>
          <w:noProof/>
        </w:rPr>
        <w:t>Article 2</w:t>
      </w:r>
    </w:p>
    <w:p>
      <w:pPr>
        <w:rPr>
          <w:noProof/>
        </w:rPr>
      </w:pPr>
      <w:r>
        <w:rPr>
          <w:noProof/>
        </w:rPr>
        <w:t xml:space="preserve">Le présent règlement entre en vigueur le jour suivant celui de sa publication au </w:t>
      </w:r>
      <w:r>
        <w:rPr>
          <w:i/>
          <w:noProof/>
        </w:rPr>
        <w:t>Journal officiel de l’Union européenne</w:t>
      </w:r>
      <w:r>
        <w:rPr>
          <w:noProof/>
        </w:rPr>
        <w:t>.</w:t>
      </w:r>
    </w:p>
    <w:p>
      <w:pPr>
        <w:rPr>
          <w:noProof/>
        </w:rPr>
      </w:pPr>
      <w:r>
        <w:rPr>
          <w:noProof/>
        </w:rPr>
        <w:t>Il est applicable à partir du 1</w:t>
      </w:r>
      <w:r>
        <w:rPr>
          <w:noProof/>
          <w:vertAlign w:val="superscript"/>
        </w:rPr>
        <w:t>er</w:t>
      </w:r>
      <w:r>
        <w:rPr>
          <w:noProof/>
        </w:rPr>
        <w:t> janvier 2018.</w:t>
      </w:r>
    </w:p>
    <w:p>
      <w:pPr>
        <w:pStyle w:val="Applicationdirecte"/>
        <w:rPr>
          <w:noProof/>
        </w:rPr>
      </w:pPr>
      <w:r>
        <w:rPr>
          <w:noProof/>
        </w:rPr>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Règlement (UE) 2018/120 du Conseil du 23 janvier 2018 établissant, pour 2018, les possibilités de pêche pour certains stocks halieutiques et groupes de stocks halieutiques, applicables dans les eaux de l'Union et, pour les navires de pêche de l'Union, dans certaines eaux n'appartenant pas à l'Union, et modifiant le règlement (UE) 2017/127 (JO L 27 du 31.1.2018,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282F95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CA66792"/>
    <w:lvl w:ilvl="0">
      <w:start w:val="1"/>
      <w:numFmt w:val="decimal"/>
      <w:pStyle w:val="ListNumber3"/>
      <w:lvlText w:val="%1."/>
      <w:lvlJc w:val="left"/>
      <w:pPr>
        <w:tabs>
          <w:tab w:val="num" w:pos="926"/>
        </w:tabs>
        <w:ind w:left="926" w:hanging="360"/>
      </w:pPr>
    </w:lvl>
  </w:abstractNum>
  <w:abstractNum w:abstractNumId="2">
    <w:nsid w:val="FFFFFF7F"/>
    <w:multiLevelType w:val="singleLevel"/>
    <w:tmpl w:val="C57EF482"/>
    <w:lvl w:ilvl="0">
      <w:start w:val="1"/>
      <w:numFmt w:val="decimal"/>
      <w:pStyle w:val="ListNumber2"/>
      <w:lvlText w:val="%1."/>
      <w:lvlJc w:val="left"/>
      <w:pPr>
        <w:tabs>
          <w:tab w:val="num" w:pos="643"/>
        </w:tabs>
        <w:ind w:left="643" w:hanging="360"/>
      </w:pPr>
    </w:lvl>
  </w:abstractNum>
  <w:abstractNum w:abstractNumId="3">
    <w:nsid w:val="FFFFFF81"/>
    <w:multiLevelType w:val="singleLevel"/>
    <w:tmpl w:val="F0BC00C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382872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B2EFBF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3C257B4"/>
    <w:lvl w:ilvl="0">
      <w:start w:val="1"/>
      <w:numFmt w:val="decimal"/>
      <w:pStyle w:val="ListNumber"/>
      <w:lvlText w:val="%1."/>
      <w:lvlJc w:val="left"/>
      <w:pPr>
        <w:tabs>
          <w:tab w:val="num" w:pos="360"/>
        </w:tabs>
        <w:ind w:left="360" w:hanging="360"/>
      </w:pPr>
    </w:lvl>
  </w:abstractNum>
  <w:abstractNum w:abstractNumId="7">
    <w:nsid w:val="FFFFFF89"/>
    <w:multiLevelType w:val="singleLevel"/>
    <w:tmpl w:val="A4FE144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ESCO Enrico (SJ)">
    <w15:presenceInfo w15:providerId="None" w15:userId="VESCO Enrico (S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ttachedTemplate r:id="rId1"/>
  <w:revisionView w:markup="0"/>
  <w:defaultTabStop w:val="720"/>
  <w:characterSpacingControl w:val="doNotCompress"/>
  <w:hdrShapeDefaults>
    <o:shapedefaults v:ext="edit" spidmax="1116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3-08 10:26:4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6F2AB185-540B-41FA-B3DC-83315670B7DA"/>
    <w:docVar w:name="LW_COVERPAGE_TYPE" w:val="1"/>
    <w:docVar w:name="LW_CROSSREFERENCE" w:val="&lt;UNUSED&gt;"/>
    <w:docVar w:name="LW_DocType" w:val="COM"/>
    <w:docVar w:name="LW_EMISSION" w:val="8.3.2018"/>
    <w:docVar w:name="LW_EMISSION_ISODATE" w:val="2018-03-08"/>
    <w:docVar w:name="LW_EMISSION_LOCATION" w:val="BRX"/>
    <w:docVar w:name="LW_EMISSION_PREFIX" w:val="Bruxelles, le "/>
    <w:docVar w:name="LW_EMISSION_SUFFIX" w:val=" "/>
    <w:docVar w:name="LW_ID_DOCMODEL" w:val="SJ-016"/>
    <w:docVar w:name="LW_ID_DOCSIGNATURE" w:val="SJ-016"/>
    <w:docVar w:name="LW_ID_DOCSTRUCTURE" w:val="COM/PL/ORG"/>
    <w:docVar w:name="LW_ID_DOCTYPE" w:val="SJ-016"/>
    <w:docVar w:name="LW_ID_STATUT" w:val="SJ-016"/>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53"/>
    <w:docVar w:name="LW_REF.II.NEW.CP_YEAR" w:val="2018"/>
    <w:docVar w:name="LW_REF.INST.NEW" w:val="COM"/>
    <w:docVar w:name="LW_REF.INST.NEW_ADOPTED" w:val="final"/>
    <w:docVar w:name="LW_REF.INST.NEW_TEXT" w:val="(2018) 11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ition de"/>
    <w:docVar w:name="LW_SUPERTITRE" w:val="&lt;UNUSED&gt;"/>
    <w:docVar w:name="LW_TITRE.OBJ.CP" w:val="modifiant le règlement (UE) 2018/120 en ce qui concerne certaines possibilités de pêche"/>
    <w:docVar w:name="LW_TYPE.DOC.CP" w:val="RÈGLEMENT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16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984621">
      <w:bodyDiv w:val="1"/>
      <w:marLeft w:val="0"/>
      <w:marRight w:val="0"/>
      <w:marTop w:val="0"/>
      <w:marBottom w:val="0"/>
      <w:divBdr>
        <w:top w:val="none" w:sz="0" w:space="0" w:color="auto"/>
        <w:left w:val="none" w:sz="0" w:space="0" w:color="auto"/>
        <w:bottom w:val="none" w:sz="0" w:space="0" w:color="auto"/>
        <w:right w:val="none" w:sz="0" w:space="0" w:color="auto"/>
      </w:divBdr>
      <w:divsChild>
        <w:div w:id="1807426841">
          <w:marLeft w:val="0"/>
          <w:marRight w:val="0"/>
          <w:marTop w:val="0"/>
          <w:marBottom w:val="0"/>
          <w:divBdr>
            <w:top w:val="none" w:sz="0" w:space="0" w:color="auto"/>
            <w:left w:val="none" w:sz="0" w:space="0" w:color="auto"/>
            <w:bottom w:val="none" w:sz="0" w:space="0" w:color="auto"/>
            <w:right w:val="none" w:sz="0" w:space="0" w:color="auto"/>
          </w:divBdr>
          <w:divsChild>
            <w:div w:id="1876766329">
              <w:marLeft w:val="0"/>
              <w:marRight w:val="0"/>
              <w:marTop w:val="0"/>
              <w:marBottom w:val="0"/>
              <w:divBdr>
                <w:top w:val="none" w:sz="0" w:space="0" w:color="auto"/>
                <w:left w:val="none" w:sz="0" w:space="0" w:color="auto"/>
                <w:bottom w:val="none" w:sz="0" w:space="0" w:color="auto"/>
                <w:right w:val="none" w:sz="0" w:space="0" w:color="auto"/>
              </w:divBdr>
              <w:divsChild>
                <w:div w:id="833491775">
                  <w:marLeft w:val="0"/>
                  <w:marRight w:val="0"/>
                  <w:marTop w:val="0"/>
                  <w:marBottom w:val="0"/>
                  <w:divBdr>
                    <w:top w:val="none" w:sz="0" w:space="0" w:color="auto"/>
                    <w:left w:val="none" w:sz="0" w:space="0" w:color="auto"/>
                    <w:bottom w:val="none" w:sz="0" w:space="0" w:color="auto"/>
                    <w:right w:val="none" w:sz="0" w:space="0" w:color="auto"/>
                  </w:divBdr>
                  <w:divsChild>
                    <w:div w:id="935555531">
                      <w:marLeft w:val="1"/>
                      <w:marRight w:val="1"/>
                      <w:marTop w:val="0"/>
                      <w:marBottom w:val="0"/>
                      <w:divBdr>
                        <w:top w:val="none" w:sz="0" w:space="0" w:color="auto"/>
                        <w:left w:val="none" w:sz="0" w:space="0" w:color="auto"/>
                        <w:bottom w:val="none" w:sz="0" w:space="0" w:color="auto"/>
                        <w:right w:val="none" w:sz="0" w:space="0" w:color="auto"/>
                      </w:divBdr>
                      <w:divsChild>
                        <w:div w:id="1097483941">
                          <w:marLeft w:val="0"/>
                          <w:marRight w:val="0"/>
                          <w:marTop w:val="0"/>
                          <w:marBottom w:val="0"/>
                          <w:divBdr>
                            <w:top w:val="none" w:sz="0" w:space="0" w:color="auto"/>
                            <w:left w:val="none" w:sz="0" w:space="0" w:color="auto"/>
                            <w:bottom w:val="none" w:sz="0" w:space="0" w:color="auto"/>
                            <w:right w:val="none" w:sz="0" w:space="0" w:color="auto"/>
                          </w:divBdr>
                          <w:divsChild>
                            <w:div w:id="840316443">
                              <w:marLeft w:val="0"/>
                              <w:marRight w:val="0"/>
                              <w:marTop w:val="0"/>
                              <w:marBottom w:val="360"/>
                              <w:divBdr>
                                <w:top w:val="none" w:sz="0" w:space="0" w:color="auto"/>
                                <w:left w:val="none" w:sz="0" w:space="0" w:color="auto"/>
                                <w:bottom w:val="none" w:sz="0" w:space="0" w:color="auto"/>
                                <w:right w:val="none" w:sz="0" w:space="0" w:color="auto"/>
                              </w:divBdr>
                              <w:divsChild>
                                <w:div w:id="1164780254">
                                  <w:marLeft w:val="0"/>
                                  <w:marRight w:val="0"/>
                                  <w:marTop w:val="0"/>
                                  <w:marBottom w:val="0"/>
                                  <w:divBdr>
                                    <w:top w:val="none" w:sz="0" w:space="0" w:color="auto"/>
                                    <w:left w:val="none" w:sz="0" w:space="0" w:color="auto"/>
                                    <w:bottom w:val="none" w:sz="0" w:space="0" w:color="auto"/>
                                    <w:right w:val="none" w:sz="0" w:space="0" w:color="auto"/>
                                  </w:divBdr>
                                  <w:divsChild>
                                    <w:div w:id="1265844140">
                                      <w:marLeft w:val="0"/>
                                      <w:marRight w:val="0"/>
                                      <w:marTop w:val="0"/>
                                      <w:marBottom w:val="0"/>
                                      <w:divBdr>
                                        <w:top w:val="none" w:sz="0" w:space="0" w:color="auto"/>
                                        <w:left w:val="none" w:sz="0" w:space="0" w:color="auto"/>
                                        <w:bottom w:val="none" w:sz="0" w:space="0" w:color="auto"/>
                                        <w:right w:val="none" w:sz="0" w:space="0" w:color="auto"/>
                                      </w:divBdr>
                                      <w:divsChild>
                                        <w:div w:id="1358121743">
                                          <w:marLeft w:val="0"/>
                                          <w:marRight w:val="0"/>
                                          <w:marTop w:val="0"/>
                                          <w:marBottom w:val="0"/>
                                          <w:divBdr>
                                            <w:top w:val="none" w:sz="0" w:space="0" w:color="auto"/>
                                            <w:left w:val="none" w:sz="0" w:space="0" w:color="auto"/>
                                            <w:bottom w:val="none" w:sz="0" w:space="0" w:color="auto"/>
                                            <w:right w:val="none" w:sz="0" w:space="0" w:color="auto"/>
                                          </w:divBdr>
                                        </w:div>
                                        <w:div w:id="5679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1F291-6026-48DF-A32F-07E5375A1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5</Pages>
  <Words>1102</Words>
  <Characters>5912</Characters>
  <Application>Microsoft Office Word</Application>
  <DocSecurity>0</DocSecurity>
  <Lines>125</Lines>
  <Paragraphs>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2017-02-27T10:10:00Z</cp:lastPrinted>
  <dcterms:created xsi:type="dcterms:W3CDTF">2018-02-22T13:33:00Z</dcterms:created>
  <dcterms:modified xsi:type="dcterms:W3CDTF">2018-03-08T09:26:00Z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SJ-016</vt:lpwstr>
  </property>
  <property fmtid="{D5CDD505-2E9C-101B-9397-08002B2CF9AE}" pid="9" name="Level of sensitivity">
    <vt:lpwstr>Standard treatment</vt:lpwstr>
  </property>
  <property fmtid="{D5CDD505-2E9C-101B-9397-08002B2CF9AE}" pid="10" name="DQCStatus">
    <vt:lpwstr>Green (DQC version 03)</vt:lpwstr>
  </property>
</Properties>
</file>