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861D9BDC-69DE-4674-8FF7-568DB813241F" style="width:450.4pt;height:406.9pt">
            <v:imagedata r:id="rId8" o:title=""/>
          </v:shape>
        </w:pict>
      </w:r>
    </w:p>
    <w:bookmarkEnd w:id="0"/>
    <w:p>
      <w:pPr>
        <w:rPr>
          <w:noProof/>
        </w:rPr>
      </w:pPr>
      <w:r>
        <w:rPr>
          <w:noProof/>
        </w:rPr>
        <w:br w:type="page"/>
      </w:r>
    </w:p>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code="9"/>
          <w:pgMar w:top="1134" w:right="1417" w:bottom="1134" w:left="1417" w:header="709" w:footer="709" w:gutter="0"/>
          <w:pgNumType w:start="0"/>
          <w:cols w:space="720"/>
          <w:docGrid w:linePitch="360"/>
        </w:sectPr>
      </w:pPr>
    </w:p>
    <w:p>
      <w:pPr>
        <w:jc w:val="center"/>
        <w:rPr>
          <w:noProof/>
        </w:rPr>
      </w:pPr>
      <w:bookmarkStart w:id="1" w:name="_GoBack"/>
      <w:bookmarkEnd w:id="1"/>
      <w:r>
        <w:rPr>
          <w:noProof/>
        </w:rPr>
        <w:lastRenderedPageBreak/>
        <w:t>Recours par les États membres au mécanisme d’autoliquidation en vertu de l’article 199 </w:t>
      </w:r>
      <w:r>
        <w:rPr>
          <w:i/>
          <w:noProof/>
        </w:rPr>
        <w:t>bis</w:t>
      </w:r>
      <w:r>
        <w:rPr>
          <w:noProof/>
        </w:rPr>
        <w:t xml:space="preserve"> de la directive TVA</w:t>
      </w:r>
    </w:p>
    <w:tbl>
      <w:tblPr>
        <w:tblW w:w="15452" w:type="dxa"/>
        <w:tblInd w:w="-318" w:type="dxa"/>
        <w:tblLook w:val="04A0" w:firstRow="1" w:lastRow="0" w:firstColumn="1" w:lastColumn="0" w:noHBand="0" w:noVBand="1"/>
      </w:tblPr>
      <w:tblGrid>
        <w:gridCol w:w="5104"/>
        <w:gridCol w:w="2147"/>
        <w:gridCol w:w="1822"/>
        <w:gridCol w:w="1134"/>
        <w:gridCol w:w="1276"/>
        <w:gridCol w:w="1984"/>
        <w:gridCol w:w="1985"/>
      </w:tblGrid>
      <w:tr>
        <w:trPr>
          <w:cantSplit/>
          <w:trHeight w:val="274"/>
          <w:tblHeader/>
        </w:trPr>
        <w:tc>
          <w:tcPr>
            <w:tcW w:w="5104" w:type="dxa"/>
            <w:tcBorders>
              <w:top w:val="single" w:sz="4" w:space="0" w:color="auto"/>
              <w:left w:val="single" w:sz="4" w:space="0" w:color="auto"/>
              <w:bottom w:val="single" w:sz="4" w:space="0" w:color="auto"/>
            </w:tcBorders>
            <w:shd w:val="clear" w:color="auto" w:fill="auto"/>
            <w:vAlign w:val="center"/>
          </w:tcPr>
          <w:p>
            <w:pPr>
              <w:spacing w:after="0" w:line="240" w:lineRule="auto"/>
              <w:rPr>
                <w:rFonts w:ascii="Arial" w:eastAsia="Times New Roman" w:hAnsi="Arial" w:cs="Arial"/>
                <w:b/>
                <w:bCs/>
                <w:noProof/>
                <w:color w:val="000000"/>
                <w:sz w:val="14"/>
                <w:szCs w:val="14"/>
              </w:rPr>
            </w:pPr>
          </w:p>
        </w:tc>
        <w:tc>
          <w:tcPr>
            <w:tcW w:w="2147" w:type="dxa"/>
            <w:tcBorders>
              <w:top w:val="single" w:sz="4" w:space="0" w:color="auto"/>
              <w:bottom w:val="single" w:sz="4" w:space="0" w:color="auto"/>
            </w:tcBorders>
            <w:shd w:val="clear" w:color="auto" w:fill="auto"/>
            <w:vAlign w:val="center"/>
          </w:tcPr>
          <w:p>
            <w:pPr>
              <w:spacing w:after="0" w:line="240" w:lineRule="auto"/>
              <w:rPr>
                <w:rFonts w:ascii="Times New Roman" w:eastAsia="Times New Roman" w:hAnsi="Times New Roman" w:cs="Times New Roman"/>
                <w:b/>
                <w:bCs/>
                <w:noProof/>
                <w:color w:val="000000"/>
                <w:sz w:val="14"/>
                <w:szCs w:val="14"/>
              </w:rPr>
            </w:pPr>
          </w:p>
        </w:tc>
        <w:tc>
          <w:tcPr>
            <w:tcW w:w="1822" w:type="dxa"/>
            <w:tcBorders>
              <w:top w:val="single" w:sz="4" w:space="0" w:color="auto"/>
              <w:bottom w:val="single" w:sz="4" w:space="0" w:color="auto"/>
            </w:tcBorders>
            <w:shd w:val="clear" w:color="auto" w:fill="auto"/>
            <w:vAlign w:val="center"/>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noProof/>
                <w:color w:val="000000"/>
                <w:sz w:val="20"/>
              </w:rPr>
              <w:t>États membres</w:t>
            </w:r>
          </w:p>
        </w:tc>
        <w:tc>
          <w:tcPr>
            <w:tcW w:w="1134" w:type="dxa"/>
            <w:tcBorders>
              <w:top w:val="single" w:sz="4" w:space="0" w:color="auto"/>
              <w:bottom w:val="single" w:sz="4" w:space="0" w:color="auto"/>
            </w:tcBorders>
            <w:shd w:val="clear" w:color="auto" w:fill="auto"/>
            <w:vAlign w:val="center"/>
          </w:tcPr>
          <w:p>
            <w:pPr>
              <w:spacing w:after="0" w:line="240" w:lineRule="auto"/>
              <w:rPr>
                <w:rFonts w:ascii="Times New Roman" w:eastAsia="Times New Roman" w:hAnsi="Times New Roman" w:cs="Times New Roman"/>
                <w:b/>
                <w:bCs/>
                <w:noProof/>
                <w:color w:val="000000"/>
                <w:sz w:val="14"/>
                <w:szCs w:val="14"/>
              </w:rPr>
            </w:pPr>
          </w:p>
        </w:tc>
        <w:tc>
          <w:tcPr>
            <w:tcW w:w="1276" w:type="dxa"/>
            <w:tcBorders>
              <w:top w:val="single" w:sz="4" w:space="0" w:color="auto"/>
              <w:bottom w:val="single" w:sz="4" w:space="0" w:color="auto"/>
            </w:tcBorders>
            <w:shd w:val="clear" w:color="auto" w:fill="auto"/>
            <w:vAlign w:val="center"/>
          </w:tcPr>
          <w:p>
            <w:pPr>
              <w:spacing w:after="0" w:line="240" w:lineRule="auto"/>
              <w:rPr>
                <w:rFonts w:ascii="Times New Roman" w:eastAsia="Times New Roman" w:hAnsi="Times New Roman" w:cs="Times New Roman"/>
                <w:b/>
                <w:bCs/>
                <w:noProof/>
                <w:color w:val="000000"/>
                <w:sz w:val="14"/>
                <w:szCs w:val="14"/>
              </w:rPr>
            </w:pPr>
          </w:p>
        </w:tc>
        <w:tc>
          <w:tcPr>
            <w:tcW w:w="1984" w:type="dxa"/>
            <w:tcBorders>
              <w:top w:val="single" w:sz="4" w:space="0" w:color="auto"/>
              <w:bottom w:val="single" w:sz="4" w:space="0" w:color="auto"/>
            </w:tcBorders>
            <w:shd w:val="clear" w:color="auto" w:fill="auto"/>
            <w:vAlign w:val="center"/>
          </w:tcPr>
          <w:p>
            <w:pPr>
              <w:spacing w:after="0" w:line="240" w:lineRule="auto"/>
              <w:rPr>
                <w:rFonts w:ascii="Times New Roman" w:eastAsia="Times New Roman" w:hAnsi="Times New Roman" w:cs="Times New Roman"/>
                <w:b/>
                <w:bCs/>
                <w:noProof/>
                <w:color w:val="000000"/>
                <w:sz w:val="14"/>
                <w:szCs w:val="14"/>
              </w:rPr>
            </w:pPr>
          </w:p>
        </w:tc>
        <w:tc>
          <w:tcPr>
            <w:tcW w:w="1985" w:type="dxa"/>
            <w:tcBorders>
              <w:top w:val="single" w:sz="4" w:space="0" w:color="auto"/>
              <w:bottom w:val="single" w:sz="4" w:space="0" w:color="auto"/>
              <w:right w:val="single" w:sz="4" w:space="0" w:color="auto"/>
            </w:tcBorders>
            <w:vAlign w:val="center"/>
          </w:tcPr>
          <w:p>
            <w:pPr>
              <w:rPr>
                <w:b/>
                <w:bCs/>
                <w:noProof/>
                <w:color w:val="000000"/>
                <w:sz w:val="14"/>
                <w:szCs w:val="14"/>
              </w:rPr>
            </w:pPr>
          </w:p>
        </w:tc>
      </w:tr>
      <w:tr>
        <w:trPr>
          <w:cantSplit/>
          <w:trHeight w:val="465"/>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b/>
                <w:bCs/>
                <w:noProof/>
                <w:color w:val="000000"/>
                <w:sz w:val="14"/>
                <w:szCs w:val="14"/>
              </w:rPr>
            </w:pPr>
            <w:r>
              <w:rPr>
                <w:rFonts w:ascii="Arial" w:hAnsi="Arial"/>
                <w:b/>
                <w:noProof/>
                <w:color w:val="000000"/>
                <w:sz w:val="14"/>
              </w:rPr>
              <w:t>Livraisons de biens et prestations de services visées à l’article 199 </w:t>
            </w:r>
            <w:r>
              <w:rPr>
                <w:rFonts w:ascii="Arial" w:hAnsi="Arial"/>
                <w:b/>
                <w:i/>
                <w:noProof/>
                <w:color w:val="000000"/>
                <w:sz w:val="14"/>
              </w:rPr>
              <w:t>bis</w:t>
            </w:r>
            <w:r>
              <w:rPr>
                <w:rFonts w:ascii="Arial" w:hAnsi="Arial"/>
                <w:b/>
                <w:noProof/>
                <w:color w:val="000000"/>
                <w:sz w:val="14"/>
              </w:rPr>
              <w:t>, paragraphe 1, de la directive TVA</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noProof/>
                <w:color w:val="000000"/>
                <w:sz w:val="14"/>
              </w:rPr>
              <w:t>AT</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noProof/>
                <w:color w:val="000000"/>
                <w:sz w:val="14"/>
              </w:rPr>
              <w:t>BE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noProof/>
                <w:color w:val="000000"/>
                <w:sz w:val="14"/>
              </w:rPr>
              <w:t>BG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noProof/>
                <w:color w:val="000000"/>
                <w:sz w:val="14"/>
              </w:rPr>
              <w:t>CY</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noProof/>
                <w:color w:val="000000"/>
                <w:sz w:val="14"/>
              </w:rPr>
              <w:t>CZ</w:t>
            </w:r>
          </w:p>
        </w:tc>
        <w:tc>
          <w:tcPr>
            <w:tcW w:w="1985" w:type="dxa"/>
            <w:tcBorders>
              <w:top w:val="single" w:sz="4" w:space="0" w:color="auto"/>
              <w:bottom w:val="single" w:sz="4" w:space="0" w:color="auto"/>
              <w:right w:val="single" w:sz="4" w:space="0" w:color="auto"/>
            </w:tcBorders>
            <w:vAlign w:val="center"/>
          </w:tcPr>
          <w:p>
            <w:pPr>
              <w:spacing w:after="0" w:line="240" w:lineRule="auto"/>
              <w:jc w:val="center"/>
              <w:rPr>
                <w:b/>
                <w:bCs/>
                <w:noProof/>
                <w:color w:val="000000"/>
                <w:sz w:val="14"/>
                <w:szCs w:val="14"/>
              </w:rPr>
            </w:pPr>
            <w:r>
              <w:rPr>
                <w:rFonts w:ascii="Times New Roman" w:hAnsi="Times New Roman"/>
                <w:b/>
                <w:noProof/>
                <w:color w:val="000000"/>
                <w:sz w:val="14"/>
              </w:rPr>
              <w:t>DK</w:t>
            </w:r>
          </w:p>
        </w:tc>
      </w:tr>
      <w:tr>
        <w:trPr>
          <w:trHeight w:val="821"/>
        </w:trPr>
        <w:tc>
          <w:tcPr>
            <w:tcW w:w="5104"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rPr>
            </w:pPr>
            <w:r>
              <w:rPr>
                <w:rFonts w:ascii="Times New Roman" w:hAnsi="Times New Roman"/>
                <w:noProof/>
                <w:color w:val="000000"/>
                <w:sz w:val="14"/>
              </w:rPr>
              <w:t>a) transfert de quotas autorisant à émettre des gaz à effet de serre au sens de l’article 3 de la directive 2003/87/CE du Parlement européen et du Conseil du 13 octobre 2003 établissant un système d’échange de quotas d’émission de gaz à effet de serre dans la Communauté transférables conformément à l’article 12 de ladite directive;</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rPr>
            </w:pPr>
            <w:r>
              <w:rPr>
                <w:noProof/>
                <w:color w:val="000000"/>
                <w:sz w:val="12"/>
              </w:rPr>
              <w:t>OUI (1.7.2010)</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rPr>
            </w:pPr>
            <w:r>
              <w:rPr>
                <w:noProof/>
                <w:color w:val="000000"/>
                <w:sz w:val="12"/>
              </w:rPr>
              <w:t>OUI (18.1.2010)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rPr>
            </w:pPr>
            <w:r>
              <w:rPr>
                <w:noProof/>
                <w:color w:val="000000"/>
                <w:sz w:val="12"/>
              </w:rPr>
              <w:t>NON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rPr>
            </w:pPr>
            <w:r>
              <w:rPr>
                <w:noProof/>
                <w:color w:val="000000"/>
                <w:sz w:val="12"/>
              </w:rPr>
              <w:t>NON</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rPr>
            </w:pPr>
            <w:r>
              <w:rPr>
                <w:noProof/>
                <w:color w:val="000000"/>
                <w:sz w:val="12"/>
              </w:rPr>
              <w:t>OUI (1.4.2011)</w:t>
            </w:r>
          </w:p>
        </w:tc>
        <w:tc>
          <w:tcPr>
            <w:tcW w:w="1985" w:type="dxa"/>
            <w:tcBorders>
              <w:top w:val="single" w:sz="4" w:space="0" w:color="auto"/>
              <w:bottom w:val="single" w:sz="4" w:space="0" w:color="auto"/>
              <w:right w:val="single" w:sz="4" w:space="0" w:color="auto"/>
            </w:tcBorders>
            <w:vAlign w:val="center"/>
          </w:tcPr>
          <w:p>
            <w:pPr>
              <w:jc w:val="center"/>
              <w:rPr>
                <w:rFonts w:cs="Times New Roman"/>
                <w:noProof/>
                <w:color w:val="000000"/>
                <w:sz w:val="12"/>
                <w:szCs w:val="12"/>
              </w:rPr>
            </w:pPr>
            <w:r>
              <w:rPr>
                <w:noProof/>
                <w:color w:val="000000"/>
                <w:sz w:val="12"/>
              </w:rPr>
              <w:t>OUI (9.4.2010)</w:t>
            </w:r>
          </w:p>
        </w:tc>
      </w:tr>
      <w:tr>
        <w:trPr>
          <w:trHeight w:val="555"/>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rPr>
            </w:pPr>
            <w:r>
              <w:rPr>
                <w:rFonts w:ascii="Times New Roman" w:hAnsi="Times New Roman"/>
                <w:noProof/>
                <w:color w:val="000000"/>
                <w:sz w:val="14"/>
              </w:rPr>
              <w:t>b) transfert d’autres unités pouvant être utilisées par les opérateurs en vue de se conformer à ladite directive;</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rPr>
            </w:pPr>
            <w:r>
              <w:rPr>
                <w:noProof/>
                <w:color w:val="000000"/>
                <w:sz w:val="12"/>
              </w:rPr>
              <w:t>OUI (1.7.2010)</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rPr>
            </w:pPr>
            <w:r>
              <w:rPr>
                <w:noProof/>
                <w:color w:val="000000"/>
                <w:sz w:val="12"/>
              </w:rPr>
              <w:t>OUI (18.1.2010)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rPr>
            </w:pPr>
            <w:r>
              <w:rPr>
                <w:noProof/>
                <w:color w:val="000000"/>
                <w:sz w:val="12"/>
              </w:rPr>
              <w:t>NON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rPr>
            </w:pPr>
            <w:r>
              <w:rPr>
                <w:noProof/>
                <w:color w:val="000000"/>
                <w:sz w:val="12"/>
              </w:rPr>
              <w:t>NON</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rPr>
            </w:pPr>
            <w:r>
              <w:rPr>
                <w:noProof/>
                <w:color w:val="000000"/>
                <w:sz w:val="12"/>
              </w:rPr>
              <w:t>NON</w:t>
            </w:r>
          </w:p>
        </w:tc>
        <w:tc>
          <w:tcPr>
            <w:tcW w:w="1985" w:type="dxa"/>
            <w:tcBorders>
              <w:top w:val="single" w:sz="4" w:space="0" w:color="auto"/>
              <w:bottom w:val="single" w:sz="4" w:space="0" w:color="auto"/>
              <w:right w:val="single" w:sz="4" w:space="0" w:color="auto"/>
            </w:tcBorders>
            <w:vAlign w:val="center"/>
          </w:tcPr>
          <w:p>
            <w:pPr>
              <w:jc w:val="center"/>
              <w:rPr>
                <w:rFonts w:cs="Times New Roman"/>
                <w:noProof/>
                <w:color w:val="000000"/>
                <w:sz w:val="12"/>
                <w:szCs w:val="12"/>
              </w:rPr>
            </w:pPr>
            <w:r>
              <w:rPr>
                <w:noProof/>
                <w:color w:val="000000"/>
                <w:sz w:val="12"/>
              </w:rPr>
              <w:t>OUI (9.4.2010)</w:t>
            </w:r>
          </w:p>
        </w:tc>
      </w:tr>
      <w:tr>
        <w:trPr>
          <w:trHeight w:val="683"/>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rPr>
            </w:pPr>
            <w:r>
              <w:rPr>
                <w:rFonts w:ascii="Times New Roman" w:hAnsi="Times New Roman"/>
                <w:noProof/>
                <w:color w:val="000000"/>
                <w:sz w:val="14"/>
              </w:rPr>
              <w:t>c) livraisons de téléphones mobiles, à savoir des dispositifs conçus ou adaptés pour être utilisés en connexion avec un réseau sous licence fonctionnant à des fréquences spécifiques, qu’ils aient ou non une autre utilisation;</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rPr>
            </w:pPr>
            <w:r>
              <w:rPr>
                <w:noProof/>
                <w:color w:val="000000"/>
                <w:sz w:val="12"/>
              </w:rPr>
              <w:t>OUI (1.1.2012)</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rPr>
            </w:pPr>
            <w:r>
              <w:rPr>
                <w:noProof/>
                <w:color w:val="000000"/>
                <w:sz w:val="12"/>
              </w:rPr>
              <w:t>NON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rPr>
            </w:pPr>
            <w:r>
              <w:rPr>
                <w:noProof/>
                <w:color w:val="000000"/>
                <w:sz w:val="12"/>
              </w:rPr>
              <w:t>NON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rPr>
            </w:pPr>
            <w:r>
              <w:rPr>
                <w:noProof/>
                <w:color w:val="000000"/>
                <w:sz w:val="12"/>
              </w:rPr>
              <w:t>NON</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rPr>
            </w:pPr>
            <w:r>
              <w:rPr>
                <w:noProof/>
                <w:color w:val="000000"/>
                <w:sz w:val="12"/>
              </w:rPr>
              <w:t>OUI (1.4.2015)</w:t>
            </w:r>
          </w:p>
        </w:tc>
        <w:tc>
          <w:tcPr>
            <w:tcW w:w="1985" w:type="dxa"/>
            <w:tcBorders>
              <w:top w:val="single" w:sz="4" w:space="0" w:color="auto"/>
              <w:bottom w:val="single" w:sz="4" w:space="0" w:color="auto"/>
              <w:right w:val="single" w:sz="4" w:space="0" w:color="auto"/>
            </w:tcBorders>
            <w:vAlign w:val="center"/>
          </w:tcPr>
          <w:p>
            <w:pPr>
              <w:jc w:val="center"/>
              <w:rPr>
                <w:rFonts w:cs="Times New Roman"/>
                <w:noProof/>
                <w:color w:val="000000"/>
                <w:sz w:val="12"/>
                <w:szCs w:val="12"/>
              </w:rPr>
            </w:pPr>
            <w:r>
              <w:rPr>
                <w:noProof/>
                <w:color w:val="000000"/>
                <w:sz w:val="12"/>
              </w:rPr>
              <w:t>OUI (1.7.2014)</w:t>
            </w:r>
          </w:p>
        </w:tc>
      </w:tr>
      <w:tr>
        <w:trPr>
          <w:trHeight w:val="707"/>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rPr>
            </w:pPr>
            <w:r>
              <w:rPr>
                <w:rFonts w:ascii="Times New Roman" w:hAnsi="Times New Roman"/>
                <w:noProof/>
                <w:color w:val="000000"/>
                <w:sz w:val="14"/>
              </w:rPr>
              <w:t>d) livraisons de circuits intégrés comme les microprocesseurs et les unités de traitement centrales, avant leur incorporation dans des produits destinés à l’utilisateur final;</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rPr>
            </w:pPr>
            <w:r>
              <w:rPr>
                <w:noProof/>
                <w:color w:val="000000"/>
                <w:sz w:val="12"/>
              </w:rPr>
              <w:t>OUI (1.1.2012)</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rPr>
            </w:pPr>
            <w:r>
              <w:rPr>
                <w:noProof/>
                <w:color w:val="000000"/>
                <w:sz w:val="12"/>
              </w:rPr>
              <w:t>NON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rPr>
            </w:pPr>
            <w:r>
              <w:rPr>
                <w:noProof/>
                <w:color w:val="000000"/>
                <w:sz w:val="12"/>
              </w:rPr>
              <w:t>NON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rPr>
            </w:pPr>
            <w:r>
              <w:rPr>
                <w:noProof/>
                <w:color w:val="000000"/>
                <w:sz w:val="12"/>
              </w:rPr>
              <w:t>NON</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rPr>
            </w:pPr>
            <w:r>
              <w:rPr>
                <w:noProof/>
                <w:color w:val="000000"/>
                <w:sz w:val="12"/>
              </w:rPr>
              <w:t>OUI (1.4.2015)</w:t>
            </w:r>
          </w:p>
        </w:tc>
        <w:tc>
          <w:tcPr>
            <w:tcW w:w="1985" w:type="dxa"/>
            <w:tcBorders>
              <w:top w:val="single" w:sz="4" w:space="0" w:color="auto"/>
              <w:bottom w:val="single" w:sz="4" w:space="0" w:color="auto"/>
              <w:right w:val="single" w:sz="4" w:space="0" w:color="auto"/>
            </w:tcBorders>
            <w:vAlign w:val="center"/>
          </w:tcPr>
          <w:p>
            <w:pPr>
              <w:jc w:val="center"/>
              <w:rPr>
                <w:rFonts w:cs="Times New Roman"/>
                <w:noProof/>
                <w:color w:val="000000"/>
                <w:sz w:val="12"/>
                <w:szCs w:val="12"/>
              </w:rPr>
            </w:pPr>
            <w:r>
              <w:rPr>
                <w:noProof/>
                <w:color w:val="000000"/>
                <w:sz w:val="12"/>
              </w:rPr>
              <w:t>OUI (1.7.2014)</w:t>
            </w:r>
          </w:p>
        </w:tc>
      </w:tr>
      <w:tr>
        <w:trPr>
          <w:trHeight w:val="406"/>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rPr>
            </w:pPr>
            <w:r>
              <w:rPr>
                <w:rFonts w:ascii="Times New Roman" w:hAnsi="Times New Roman"/>
                <w:noProof/>
                <w:color w:val="000000"/>
                <w:sz w:val="14"/>
              </w:rPr>
              <w:t>e) livraisons de gaz et d’électricité à un assujetti-revendeur tel qu’il est défini à l’article 38, paragraphe 2;</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rPr>
            </w:pPr>
            <w:r>
              <w:rPr>
                <w:noProof/>
                <w:color w:val="000000"/>
                <w:sz w:val="12"/>
              </w:rPr>
              <w:t>OUI (1.1.2014)</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rPr>
            </w:pPr>
            <w:r>
              <w:rPr>
                <w:noProof/>
                <w:color w:val="000000"/>
                <w:sz w:val="12"/>
              </w:rPr>
              <w:t>NON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rPr>
            </w:pPr>
            <w:r>
              <w:rPr>
                <w:noProof/>
                <w:color w:val="000000"/>
                <w:sz w:val="12"/>
              </w:rPr>
              <w:t>NON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rPr>
            </w:pPr>
            <w:r>
              <w:rPr>
                <w:noProof/>
                <w:color w:val="000000"/>
                <w:sz w:val="12"/>
              </w:rPr>
              <w:t>NON</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rPr>
            </w:pPr>
            <w:r>
              <w:rPr>
                <w:noProof/>
                <w:color w:val="000000"/>
                <w:sz w:val="12"/>
              </w:rPr>
              <w:t>OUI (1.2.2016)</w:t>
            </w:r>
          </w:p>
        </w:tc>
        <w:tc>
          <w:tcPr>
            <w:tcW w:w="1985" w:type="dxa"/>
            <w:tcBorders>
              <w:top w:val="single" w:sz="4" w:space="0" w:color="auto"/>
              <w:bottom w:val="single" w:sz="4" w:space="0" w:color="auto"/>
              <w:right w:val="single" w:sz="4" w:space="0" w:color="auto"/>
            </w:tcBorders>
            <w:vAlign w:val="center"/>
          </w:tcPr>
          <w:p>
            <w:pPr>
              <w:jc w:val="center"/>
              <w:rPr>
                <w:rFonts w:cs="Times New Roman"/>
                <w:noProof/>
                <w:color w:val="000000"/>
                <w:sz w:val="12"/>
                <w:szCs w:val="12"/>
              </w:rPr>
            </w:pPr>
            <w:r>
              <w:rPr>
                <w:noProof/>
                <w:color w:val="000000"/>
                <w:sz w:val="12"/>
              </w:rPr>
              <w:t>OUI (1.7.2015)</w:t>
            </w:r>
          </w:p>
        </w:tc>
      </w:tr>
      <w:tr>
        <w:trPr>
          <w:trHeight w:val="41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rPr>
            </w:pPr>
            <w:r>
              <w:rPr>
                <w:rFonts w:ascii="Times New Roman" w:hAnsi="Times New Roman"/>
                <w:noProof/>
                <w:color w:val="000000"/>
                <w:sz w:val="14"/>
              </w:rPr>
              <w:t>f) livraisons de certificats de gaz et d’électricité;</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rPr>
            </w:pPr>
            <w:r>
              <w:rPr>
                <w:noProof/>
                <w:color w:val="000000"/>
                <w:sz w:val="12"/>
              </w:rPr>
              <w:t>OUI (1.1.2014)</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rPr>
            </w:pPr>
            <w:r>
              <w:rPr>
                <w:noProof/>
                <w:color w:val="000000"/>
                <w:sz w:val="12"/>
              </w:rPr>
              <w:t>NON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rPr>
            </w:pPr>
            <w:r>
              <w:rPr>
                <w:noProof/>
                <w:color w:val="000000"/>
                <w:sz w:val="12"/>
              </w:rPr>
              <w:t>NON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rPr>
            </w:pPr>
            <w:r>
              <w:rPr>
                <w:noProof/>
                <w:color w:val="000000"/>
                <w:sz w:val="12"/>
              </w:rPr>
              <w:t>NON</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rPr>
            </w:pPr>
            <w:r>
              <w:rPr>
                <w:noProof/>
                <w:color w:val="000000"/>
                <w:sz w:val="12"/>
              </w:rPr>
              <w:t>OUI (1.2.2016)</w:t>
            </w:r>
          </w:p>
        </w:tc>
        <w:tc>
          <w:tcPr>
            <w:tcW w:w="1985" w:type="dxa"/>
            <w:tcBorders>
              <w:top w:val="single" w:sz="4" w:space="0" w:color="auto"/>
              <w:bottom w:val="single" w:sz="4" w:space="0" w:color="auto"/>
              <w:right w:val="single" w:sz="4" w:space="0" w:color="auto"/>
            </w:tcBorders>
            <w:vAlign w:val="center"/>
          </w:tcPr>
          <w:p>
            <w:pPr>
              <w:jc w:val="center"/>
              <w:rPr>
                <w:rFonts w:cs="Times New Roman"/>
                <w:noProof/>
                <w:color w:val="000000"/>
                <w:sz w:val="12"/>
                <w:szCs w:val="12"/>
              </w:rPr>
            </w:pPr>
            <w:r>
              <w:rPr>
                <w:noProof/>
                <w:color w:val="000000"/>
                <w:sz w:val="12"/>
              </w:rPr>
              <w:t>OUI (1.7.2015)</w:t>
            </w:r>
          </w:p>
        </w:tc>
      </w:tr>
      <w:tr>
        <w:trPr>
          <w:trHeight w:val="450"/>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rPr>
            </w:pPr>
            <w:r>
              <w:rPr>
                <w:rFonts w:ascii="Times New Roman" w:hAnsi="Times New Roman"/>
                <w:noProof/>
                <w:color w:val="000000"/>
                <w:sz w:val="14"/>
              </w:rPr>
              <w:t>g) livraisons de services de télécommunication définis à l’article 24, paragraphe 2;</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rPr>
            </w:pPr>
            <w:r>
              <w:rPr>
                <w:noProof/>
                <w:color w:val="000000"/>
                <w:sz w:val="12"/>
              </w:rPr>
              <w:t>NON</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rPr>
            </w:pPr>
            <w:r>
              <w:rPr>
                <w:noProof/>
                <w:color w:val="000000"/>
                <w:sz w:val="12"/>
              </w:rPr>
              <w:t>NON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rPr>
            </w:pPr>
            <w:r>
              <w:rPr>
                <w:noProof/>
                <w:color w:val="000000"/>
                <w:sz w:val="12"/>
              </w:rPr>
              <w:t>NON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rPr>
            </w:pPr>
            <w:r>
              <w:rPr>
                <w:noProof/>
                <w:color w:val="000000"/>
                <w:sz w:val="12"/>
              </w:rPr>
              <w:t>NON</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rPr>
            </w:pPr>
            <w:r>
              <w:rPr>
                <w:noProof/>
                <w:color w:val="000000"/>
                <w:sz w:val="12"/>
              </w:rPr>
              <w:t>OUI (1.10.2016)</w:t>
            </w:r>
          </w:p>
        </w:tc>
        <w:tc>
          <w:tcPr>
            <w:tcW w:w="1985" w:type="dxa"/>
            <w:tcBorders>
              <w:top w:val="single" w:sz="4" w:space="0" w:color="auto"/>
              <w:bottom w:val="single" w:sz="4" w:space="0" w:color="auto"/>
              <w:right w:val="single" w:sz="4" w:space="0" w:color="auto"/>
            </w:tcBorders>
            <w:vAlign w:val="center"/>
          </w:tcPr>
          <w:p>
            <w:pPr>
              <w:jc w:val="center"/>
              <w:rPr>
                <w:rFonts w:cs="Times New Roman"/>
                <w:noProof/>
                <w:color w:val="000000"/>
                <w:sz w:val="12"/>
                <w:szCs w:val="12"/>
              </w:rPr>
            </w:pPr>
            <w:r>
              <w:rPr>
                <w:noProof/>
                <w:color w:val="000000"/>
                <w:sz w:val="12"/>
              </w:rPr>
              <w:t>NON</w:t>
            </w:r>
          </w:p>
        </w:tc>
      </w:tr>
      <w:tr>
        <w:trPr>
          <w:trHeight w:val="480"/>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rPr>
            </w:pPr>
            <w:r>
              <w:rPr>
                <w:rFonts w:ascii="Times New Roman" w:hAnsi="Times New Roman"/>
                <w:noProof/>
                <w:color w:val="000000"/>
                <w:sz w:val="14"/>
              </w:rPr>
              <w:t>h) livraisons de consoles de jeu, de tablettes informatiques et d’ordinateurs portables;</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rPr>
            </w:pPr>
            <w:r>
              <w:rPr>
                <w:noProof/>
                <w:color w:val="000000"/>
                <w:sz w:val="12"/>
              </w:rPr>
              <w:t>OUI (1.1.2014)</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rPr>
            </w:pPr>
            <w:r>
              <w:rPr>
                <w:noProof/>
                <w:color w:val="000000"/>
                <w:sz w:val="12"/>
              </w:rPr>
              <w:t>NON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rPr>
            </w:pPr>
            <w:r>
              <w:rPr>
                <w:noProof/>
                <w:color w:val="000000"/>
                <w:sz w:val="12"/>
              </w:rPr>
              <w:t>NON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rPr>
            </w:pPr>
            <w:r>
              <w:rPr>
                <w:noProof/>
                <w:color w:val="000000"/>
                <w:sz w:val="12"/>
              </w:rPr>
              <w:t>NON</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rPr>
            </w:pPr>
            <w:r>
              <w:rPr>
                <w:noProof/>
                <w:color w:val="000000"/>
                <w:sz w:val="12"/>
              </w:rPr>
              <w:t>OUI (1.4.2015)</w:t>
            </w:r>
          </w:p>
        </w:tc>
        <w:tc>
          <w:tcPr>
            <w:tcW w:w="1985" w:type="dxa"/>
            <w:tcBorders>
              <w:top w:val="single" w:sz="4" w:space="0" w:color="auto"/>
              <w:bottom w:val="single" w:sz="4" w:space="0" w:color="auto"/>
              <w:right w:val="single" w:sz="4" w:space="0" w:color="auto"/>
            </w:tcBorders>
            <w:vAlign w:val="center"/>
          </w:tcPr>
          <w:p>
            <w:pPr>
              <w:jc w:val="center"/>
              <w:rPr>
                <w:rFonts w:cs="Times New Roman"/>
                <w:noProof/>
                <w:color w:val="000000"/>
                <w:sz w:val="12"/>
                <w:szCs w:val="12"/>
              </w:rPr>
            </w:pPr>
            <w:r>
              <w:rPr>
                <w:noProof/>
                <w:color w:val="000000"/>
                <w:sz w:val="12"/>
              </w:rPr>
              <w:t>OUI (1.7.2014)</w:t>
            </w:r>
          </w:p>
        </w:tc>
      </w:tr>
      <w:tr>
        <w:trPr>
          <w:trHeight w:val="602"/>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rPr>
            </w:pPr>
            <w:r>
              <w:rPr>
                <w:rFonts w:ascii="Times New Roman" w:hAnsi="Times New Roman"/>
                <w:noProof/>
                <w:color w:val="000000"/>
                <w:sz w:val="14"/>
              </w:rPr>
              <w:t>i) livraisons de céréales et de plantes industrielles, y compris les oléagineux et les betteraves sucrières, qui ne sont, en principe, pas destinés en l’état aux consommateurs finaux;</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rPr>
            </w:pPr>
            <w:r>
              <w:rPr>
                <w:noProof/>
                <w:color w:val="000000"/>
                <w:sz w:val="12"/>
              </w:rPr>
              <w:t>NON</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rPr>
            </w:pPr>
            <w:r>
              <w:rPr>
                <w:noProof/>
                <w:color w:val="000000"/>
                <w:sz w:val="12"/>
              </w:rPr>
              <w:t>NON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rPr>
            </w:pPr>
            <w:r>
              <w:rPr>
                <w:noProof/>
                <w:color w:val="000000"/>
                <w:sz w:val="12"/>
              </w:rPr>
              <w:t>OUI (1.12.2013)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rPr>
            </w:pPr>
            <w:r>
              <w:rPr>
                <w:noProof/>
                <w:color w:val="000000"/>
                <w:sz w:val="12"/>
              </w:rPr>
              <w:t>NON</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rPr>
            </w:pPr>
            <w:r>
              <w:rPr>
                <w:noProof/>
                <w:color w:val="000000"/>
                <w:sz w:val="12"/>
              </w:rPr>
              <w:t>OUI (1.4.2015 (élargi le 1.7.2015 et le 1.9.2015))</w:t>
            </w:r>
          </w:p>
        </w:tc>
        <w:tc>
          <w:tcPr>
            <w:tcW w:w="1985" w:type="dxa"/>
            <w:tcBorders>
              <w:top w:val="single" w:sz="4" w:space="0" w:color="auto"/>
              <w:bottom w:val="single" w:sz="4" w:space="0" w:color="auto"/>
              <w:right w:val="single" w:sz="4" w:space="0" w:color="auto"/>
            </w:tcBorders>
            <w:vAlign w:val="center"/>
          </w:tcPr>
          <w:p>
            <w:pPr>
              <w:jc w:val="center"/>
              <w:rPr>
                <w:rFonts w:cs="Times New Roman"/>
                <w:noProof/>
                <w:color w:val="000000"/>
                <w:sz w:val="12"/>
                <w:szCs w:val="12"/>
              </w:rPr>
            </w:pPr>
            <w:r>
              <w:rPr>
                <w:noProof/>
                <w:color w:val="000000"/>
                <w:sz w:val="12"/>
              </w:rPr>
              <w:t>NON</w:t>
            </w:r>
          </w:p>
        </w:tc>
      </w:tr>
      <w:tr>
        <w:trPr>
          <w:trHeight w:val="1560"/>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rPr>
            </w:pPr>
            <w:r>
              <w:rPr>
                <w:rFonts w:ascii="Times New Roman" w:hAnsi="Times New Roman"/>
                <w:noProof/>
                <w:color w:val="000000"/>
                <w:sz w:val="14"/>
              </w:rPr>
              <w:t>j) livraisons de métaux bruts ou semi-finis, y compris les métaux précieux, lorsqu’ils ne sont pas par ailleurs couverts par l’article 199, paragraphe 1, point d), par les régimes particuliers applicables dans le domaine des biens d’occasion, des objets d’art, de collection ou d’antiquité, établis aux articles 311 à 343, ou par le régime particulier applicable à l’or d’investissement, établi aux articles 344 à 356.</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rPr>
            </w:pPr>
            <w:r>
              <w:rPr>
                <w:noProof/>
                <w:color w:val="000000"/>
                <w:sz w:val="12"/>
              </w:rPr>
              <w:t>OUI (1.1.2014)</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rPr>
            </w:pPr>
            <w:r>
              <w:rPr>
                <w:noProof/>
                <w:color w:val="000000"/>
                <w:sz w:val="12"/>
              </w:rPr>
              <w:t>Sans objet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rPr>
            </w:pPr>
            <w:r>
              <w:rPr>
                <w:noProof/>
                <w:color w:val="000000"/>
                <w:sz w:val="12"/>
              </w:rPr>
              <w:t>NON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rPr>
            </w:pPr>
            <w:r>
              <w:rPr>
                <w:noProof/>
                <w:color w:val="000000"/>
                <w:sz w:val="12"/>
              </w:rPr>
              <w:t>NON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rPr>
            </w:pPr>
            <w:r>
              <w:rPr>
                <w:noProof/>
                <w:color w:val="000000"/>
                <w:sz w:val="12"/>
              </w:rPr>
              <w:t>OUI (1.4.2015)</w:t>
            </w:r>
          </w:p>
        </w:tc>
        <w:tc>
          <w:tcPr>
            <w:tcW w:w="1985" w:type="dxa"/>
            <w:tcBorders>
              <w:top w:val="single" w:sz="4" w:space="0" w:color="auto"/>
              <w:bottom w:val="single" w:sz="4" w:space="0" w:color="auto"/>
              <w:right w:val="single" w:sz="4" w:space="0" w:color="auto"/>
            </w:tcBorders>
            <w:vAlign w:val="center"/>
          </w:tcPr>
          <w:p>
            <w:pPr>
              <w:jc w:val="center"/>
              <w:rPr>
                <w:rFonts w:cs="Times New Roman"/>
                <w:noProof/>
                <w:color w:val="000000"/>
                <w:sz w:val="12"/>
                <w:szCs w:val="12"/>
              </w:rPr>
            </w:pPr>
            <w:r>
              <w:rPr>
                <w:noProof/>
                <w:color w:val="000000"/>
                <w:sz w:val="12"/>
              </w:rPr>
              <w:t>NON</w:t>
            </w:r>
          </w:p>
        </w:tc>
      </w:tr>
    </w:tbl>
    <w:p>
      <w:pPr>
        <w:spacing w:after="0" w:line="240" w:lineRule="auto"/>
        <w:rPr>
          <w:rFonts w:ascii="Arial" w:eastAsia="Times New Roman" w:hAnsi="Arial" w:cs="Arial"/>
          <w:b/>
          <w:bCs/>
          <w:noProof/>
          <w:color w:val="000000"/>
          <w:sz w:val="14"/>
          <w:szCs w:val="14"/>
        </w:rPr>
        <w:sectPr>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1418" w:right="1134" w:bottom="1418" w:left="1134" w:header="709" w:footer="709" w:gutter="0"/>
          <w:pgNumType w:start="1"/>
          <w:cols w:space="720"/>
          <w:docGrid w:linePitch="360"/>
        </w:sectPr>
      </w:pPr>
    </w:p>
    <w:tbl>
      <w:tblPr>
        <w:tblW w:w="15041" w:type="dxa"/>
        <w:tblInd w:w="93" w:type="dxa"/>
        <w:tblLook w:val="04A0" w:firstRow="1" w:lastRow="0" w:firstColumn="1" w:lastColumn="0" w:noHBand="0" w:noVBand="1"/>
      </w:tblPr>
      <w:tblGrid>
        <w:gridCol w:w="4693"/>
        <w:gridCol w:w="2268"/>
        <w:gridCol w:w="4536"/>
        <w:gridCol w:w="1276"/>
        <w:gridCol w:w="1220"/>
        <w:gridCol w:w="1048"/>
      </w:tblGrid>
      <w:tr>
        <w:trPr>
          <w:trHeight w:val="46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b/>
                <w:bCs/>
                <w:noProof/>
                <w:color w:val="000000"/>
                <w:sz w:val="14"/>
                <w:szCs w:val="14"/>
              </w:rPr>
            </w:pPr>
            <w:r>
              <w:rPr>
                <w:rFonts w:ascii="Arial" w:hAnsi="Arial"/>
                <w:b/>
                <w:noProof/>
                <w:color w:val="000000"/>
                <w:sz w:val="14"/>
              </w:rPr>
              <w:lastRenderedPageBreak/>
              <w:t>Livraisons de biens et prestations de services visées à l’article 199 </w:t>
            </w:r>
            <w:r>
              <w:rPr>
                <w:rFonts w:ascii="Arial" w:hAnsi="Arial"/>
                <w:b/>
                <w:i/>
                <w:noProof/>
                <w:color w:val="000000"/>
                <w:sz w:val="14"/>
              </w:rPr>
              <w:t>bis</w:t>
            </w:r>
            <w:r>
              <w:rPr>
                <w:rFonts w:ascii="Arial" w:hAnsi="Arial"/>
                <w:b/>
                <w:noProof/>
                <w:color w:val="000000"/>
                <w:sz w:val="14"/>
              </w:rPr>
              <w:t>, paragraphe 1, de la directive TVA</w:t>
            </w:r>
          </w:p>
        </w:tc>
        <w:tc>
          <w:tcPr>
            <w:tcW w:w="2268" w:type="dxa"/>
            <w:tcBorders>
              <w:top w:val="single" w:sz="4" w:space="0" w:color="auto"/>
              <w:bottom w:val="single" w:sz="4" w:space="0" w:color="auto"/>
              <w:right w:val="single" w:sz="4" w:space="0" w:color="auto"/>
            </w:tcBorders>
            <w:vAlign w:val="center"/>
          </w:tcPr>
          <w:p>
            <w:pPr>
              <w:jc w:val="center"/>
              <w:rPr>
                <w:rFonts w:ascii="Calibri" w:hAnsi="Calibri"/>
                <w:b/>
                <w:bCs/>
                <w:noProof/>
                <w:color w:val="000000"/>
                <w:sz w:val="14"/>
                <w:szCs w:val="14"/>
              </w:rPr>
            </w:pPr>
            <w:r>
              <w:rPr>
                <w:rFonts w:ascii="Calibri" w:hAnsi="Calibri"/>
                <w:b/>
                <w:noProof/>
                <w:color w:val="000000"/>
                <w:sz w:val="14"/>
              </w:rPr>
              <w:t>DE</w:t>
            </w:r>
          </w:p>
        </w:tc>
        <w:tc>
          <w:tcPr>
            <w:tcW w:w="4536" w:type="dxa"/>
            <w:tcBorders>
              <w:top w:val="single" w:sz="4" w:space="0" w:color="auto"/>
              <w:left w:val="single" w:sz="4" w:space="0" w:color="auto"/>
              <w:bottom w:val="single" w:sz="4" w:space="0" w:color="auto"/>
              <w:right w:val="single" w:sz="4" w:space="0" w:color="auto"/>
            </w:tcBorders>
            <w:vAlign w:val="center"/>
          </w:tcPr>
          <w:p>
            <w:pPr>
              <w:jc w:val="center"/>
              <w:rPr>
                <w:b/>
                <w:bCs/>
                <w:noProof/>
                <w:color w:val="000000"/>
                <w:sz w:val="14"/>
                <w:szCs w:val="14"/>
              </w:rPr>
            </w:pPr>
            <w:r>
              <w:rPr>
                <w:b/>
                <w:noProof/>
                <w:color w:val="000000"/>
                <w:sz w:val="14"/>
              </w:rPr>
              <w:t>EE</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b/>
                <w:bCs/>
                <w:noProof/>
                <w:color w:val="000000"/>
                <w:sz w:val="14"/>
                <w:szCs w:val="14"/>
              </w:rPr>
            </w:pPr>
            <w:r>
              <w:rPr>
                <w:b/>
                <w:noProof/>
                <w:color w:val="000000"/>
                <w:sz w:val="14"/>
              </w:rPr>
              <w:t>EL</w:t>
            </w:r>
          </w:p>
        </w:tc>
        <w:tc>
          <w:tcPr>
            <w:tcW w:w="1220" w:type="dxa"/>
            <w:tcBorders>
              <w:top w:val="single" w:sz="4" w:space="0" w:color="auto"/>
              <w:bottom w:val="single" w:sz="4" w:space="0" w:color="auto"/>
              <w:right w:val="single" w:sz="4" w:space="0" w:color="auto"/>
            </w:tcBorders>
            <w:vAlign w:val="center"/>
          </w:tcPr>
          <w:p>
            <w:pPr>
              <w:jc w:val="center"/>
              <w:rPr>
                <w:b/>
                <w:bCs/>
                <w:noProof/>
                <w:color w:val="000000"/>
                <w:sz w:val="14"/>
                <w:szCs w:val="14"/>
              </w:rPr>
            </w:pPr>
            <w:r>
              <w:rPr>
                <w:b/>
                <w:noProof/>
                <w:color w:val="000000"/>
                <w:sz w:val="14"/>
              </w:rPr>
              <w:t>ES</w:t>
            </w:r>
          </w:p>
        </w:tc>
        <w:tc>
          <w:tcPr>
            <w:tcW w:w="1048" w:type="dxa"/>
            <w:tcBorders>
              <w:top w:val="single" w:sz="4" w:space="0" w:color="auto"/>
              <w:left w:val="single" w:sz="4" w:space="0" w:color="auto"/>
              <w:bottom w:val="single" w:sz="4" w:space="0" w:color="auto"/>
              <w:right w:val="single" w:sz="4" w:space="0" w:color="auto"/>
            </w:tcBorders>
            <w:vAlign w:val="center"/>
          </w:tcPr>
          <w:p>
            <w:pPr>
              <w:jc w:val="center"/>
              <w:rPr>
                <w:b/>
                <w:bCs/>
                <w:noProof/>
                <w:color w:val="000000"/>
                <w:sz w:val="14"/>
                <w:szCs w:val="14"/>
              </w:rPr>
            </w:pPr>
            <w:r>
              <w:rPr>
                <w:b/>
                <w:noProof/>
                <w:color w:val="000000"/>
                <w:sz w:val="14"/>
              </w:rPr>
              <w:t>FI</w:t>
            </w:r>
          </w:p>
        </w:tc>
      </w:tr>
      <w:tr>
        <w:trPr>
          <w:trHeight w:val="900"/>
        </w:trPr>
        <w:tc>
          <w:tcPr>
            <w:tcW w:w="469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rPr>
            </w:pPr>
            <w:r>
              <w:rPr>
                <w:rFonts w:ascii="Times New Roman" w:hAnsi="Times New Roman"/>
                <w:noProof/>
                <w:color w:val="000000"/>
                <w:sz w:val="14"/>
              </w:rPr>
              <w:t>a) transfert de quotas autorisant à émettre des gaz à effet de serre au sens de l’article 3 de la directive 2003/87/CE du Parlement européen et du Conseil du 13 octobre 2003 établissant un système d’échange de quotas d’émission de gaz à effet de serre dans la Communauté transférables conformément à l’article 12 de ladite directive;</w:t>
            </w:r>
          </w:p>
        </w:tc>
        <w:tc>
          <w:tcPr>
            <w:tcW w:w="2268" w:type="dxa"/>
            <w:tcBorders>
              <w:top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(1.7.2010)</w:t>
            </w:r>
          </w:p>
        </w:tc>
        <w:tc>
          <w:tcPr>
            <w:tcW w:w="453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(1.1.2011)</w:t>
            </w:r>
          </w:p>
        </w:tc>
        <w:tc>
          <w:tcPr>
            <w:tcW w:w="0" w:type="auto"/>
            <w:tcBorders>
              <w:top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048"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(1.8.2010)</w:t>
            </w:r>
          </w:p>
        </w:tc>
      </w:tr>
      <w:tr>
        <w:trPr>
          <w:trHeight w:val="55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rPr>
            </w:pPr>
            <w:r>
              <w:rPr>
                <w:rFonts w:ascii="Times New Roman" w:hAnsi="Times New Roman"/>
                <w:noProof/>
                <w:color w:val="000000"/>
                <w:sz w:val="14"/>
              </w:rPr>
              <w:t>b) transfert d’autres unités pouvant être utilisées par les opérateurs en vue de se conformer à ladite directive;</w:t>
            </w:r>
          </w:p>
        </w:tc>
        <w:tc>
          <w:tcPr>
            <w:tcW w:w="2268" w:type="dxa"/>
            <w:tcBorders>
              <w:top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453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0" w:type="auto"/>
            <w:tcBorders>
              <w:top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048"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(1.8.2010)</w:t>
            </w:r>
          </w:p>
        </w:tc>
      </w:tr>
      <w:tr>
        <w:trPr>
          <w:trHeight w:val="91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rPr>
            </w:pPr>
            <w:r>
              <w:rPr>
                <w:rFonts w:ascii="Times New Roman" w:hAnsi="Times New Roman"/>
                <w:noProof/>
                <w:color w:val="000000"/>
                <w:sz w:val="14"/>
              </w:rPr>
              <w:t>c) livraisons de téléphones mobiles, à savoir des dispositifs conçus ou adaptés pour être utilisés en connexion avec un réseau sous licence fonctionnant à des fréquences spécifiques, qu’ils aient ou non une autre utilisation;</w:t>
            </w:r>
          </w:p>
        </w:tc>
        <w:tc>
          <w:tcPr>
            <w:tcW w:w="2268" w:type="dxa"/>
            <w:tcBorders>
              <w:top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(1.7.2011)</w:t>
            </w:r>
          </w:p>
        </w:tc>
        <w:tc>
          <w:tcPr>
            <w:tcW w:w="453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220" w:type="dxa"/>
            <w:tcBorders>
              <w:top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(1.4.2015)</w:t>
            </w:r>
          </w:p>
        </w:tc>
        <w:tc>
          <w:tcPr>
            <w:tcW w:w="1048"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r>
      <w:tr>
        <w:trPr>
          <w:trHeight w:val="123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rPr>
            </w:pPr>
            <w:r>
              <w:rPr>
                <w:rFonts w:ascii="Times New Roman" w:hAnsi="Times New Roman"/>
                <w:noProof/>
                <w:color w:val="000000"/>
                <w:sz w:val="14"/>
              </w:rPr>
              <w:t>d) livraisons de circuits intégrés comme les microprocesseurs et les unités de traitement centrales, avant leur incorporation dans des produits destinés à l’utilisateur final;</w:t>
            </w:r>
          </w:p>
        </w:tc>
        <w:tc>
          <w:tcPr>
            <w:tcW w:w="2268" w:type="dxa"/>
            <w:tcBorders>
              <w:top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(1.7.2011)</w:t>
            </w:r>
          </w:p>
        </w:tc>
        <w:tc>
          <w:tcPr>
            <w:tcW w:w="453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0" w:type="auto"/>
            <w:tcBorders>
              <w:top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048"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r>
      <w:tr>
        <w:trPr>
          <w:trHeight w:val="64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rPr>
            </w:pPr>
            <w:r>
              <w:rPr>
                <w:rFonts w:ascii="Times New Roman" w:hAnsi="Times New Roman"/>
                <w:noProof/>
                <w:color w:val="000000"/>
                <w:sz w:val="14"/>
              </w:rPr>
              <w:t>e) livraisons de gaz et d’électricité à un assujetti-revendeur tel qu’il est défini à l’article 38, paragraphe 2;</w:t>
            </w:r>
          </w:p>
        </w:tc>
        <w:tc>
          <w:tcPr>
            <w:tcW w:w="2268" w:type="dxa"/>
            <w:tcBorders>
              <w:top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(1.9.2013)</w:t>
            </w:r>
          </w:p>
        </w:tc>
        <w:tc>
          <w:tcPr>
            <w:tcW w:w="453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0" w:type="auto"/>
            <w:tcBorders>
              <w:top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048"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r>
      <w:tr>
        <w:trPr>
          <w:trHeight w:val="75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rPr>
            </w:pPr>
            <w:r>
              <w:rPr>
                <w:rFonts w:ascii="Times New Roman" w:hAnsi="Times New Roman"/>
                <w:noProof/>
                <w:color w:val="000000"/>
                <w:sz w:val="14"/>
              </w:rPr>
              <w:t>f) livraisons de certificats de gaz et d’électricité;</w:t>
            </w:r>
          </w:p>
        </w:tc>
        <w:tc>
          <w:tcPr>
            <w:tcW w:w="2268" w:type="dxa"/>
            <w:tcBorders>
              <w:top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453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0" w:type="auto"/>
            <w:tcBorders>
              <w:top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048"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r>
      <w:tr>
        <w:trPr>
          <w:trHeight w:val="45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rPr>
            </w:pPr>
            <w:r>
              <w:rPr>
                <w:rFonts w:ascii="Times New Roman" w:hAnsi="Times New Roman"/>
                <w:noProof/>
                <w:color w:val="000000"/>
                <w:sz w:val="14"/>
              </w:rPr>
              <w:t>g) livraisons de services de télécommunication définis à l’article 24, paragraphe 2;</w:t>
            </w:r>
          </w:p>
        </w:tc>
        <w:tc>
          <w:tcPr>
            <w:tcW w:w="2268" w:type="dxa"/>
            <w:tcBorders>
              <w:top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453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0" w:type="auto"/>
            <w:tcBorders>
              <w:top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048"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r>
      <w:tr>
        <w:trPr>
          <w:trHeight w:val="48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rPr>
            </w:pPr>
            <w:r>
              <w:rPr>
                <w:rFonts w:ascii="Times New Roman" w:hAnsi="Times New Roman"/>
                <w:noProof/>
                <w:color w:val="000000"/>
                <w:sz w:val="14"/>
              </w:rPr>
              <w:t>h) livraisons de consoles de jeu, de tablettes informatiques et d’ordinateurs portables;</w:t>
            </w:r>
          </w:p>
        </w:tc>
        <w:tc>
          <w:tcPr>
            <w:tcW w:w="2268" w:type="dxa"/>
            <w:tcBorders>
              <w:top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sauf les ordinateurs portables (1.10.2014)</w:t>
            </w:r>
          </w:p>
        </w:tc>
        <w:tc>
          <w:tcPr>
            <w:tcW w:w="453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220" w:type="dxa"/>
            <w:tcBorders>
              <w:top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(1.4.2015)</w:t>
            </w:r>
          </w:p>
        </w:tc>
        <w:tc>
          <w:tcPr>
            <w:tcW w:w="1048"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r>
      <w:tr>
        <w:trPr>
          <w:trHeight w:val="88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rPr>
            </w:pPr>
            <w:r>
              <w:rPr>
                <w:rFonts w:ascii="Times New Roman" w:hAnsi="Times New Roman"/>
                <w:noProof/>
                <w:color w:val="000000"/>
                <w:sz w:val="14"/>
              </w:rPr>
              <w:t>i) livraisons de céréales et de plantes industrielles, y compris les oléagineux et les betteraves sucrières, qui ne sont, en principe, pas destinés en l’état aux consommateurs finaux;</w:t>
            </w:r>
          </w:p>
        </w:tc>
        <w:tc>
          <w:tcPr>
            <w:tcW w:w="2268" w:type="dxa"/>
            <w:tcBorders>
              <w:top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453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0" w:type="auto"/>
            <w:tcBorders>
              <w:top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048"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r>
      <w:tr>
        <w:trPr>
          <w:trHeight w:val="121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rPr>
            </w:pPr>
            <w:r>
              <w:rPr>
                <w:rFonts w:ascii="Times New Roman" w:hAnsi="Times New Roman"/>
                <w:noProof/>
                <w:color w:val="000000"/>
                <w:sz w:val="14"/>
              </w:rPr>
              <w:t>j) livraisons de métaux bruts ou semi-finis, y compris les métaux précieux, lorsqu’ils ne sont pas par ailleurs couverts par l’article 199, paragraphe 1, point d), par les régimes particuliers applicables dans le domaine des biens d’occasion, des objets d’art, de collection ou d’antiquité, établis aux articles 311 à 343, ou par le régime particulier applicable à l’or d’investissement, établi aux articles 344 à 356.</w:t>
            </w:r>
          </w:p>
        </w:tc>
        <w:tc>
          <w:tcPr>
            <w:tcW w:w="2268" w:type="dxa"/>
            <w:tcBorders>
              <w:top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(1.10.2014)</w:t>
            </w:r>
          </w:p>
        </w:tc>
        <w:tc>
          <w:tcPr>
            <w:tcW w:w="453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(1.7.2014), l’autoliquidation du 1.7.2014 sur les métaux les métaux précieux aux fins de la loi sur les articles en métaux précieux, à l’exception de l’or d’investissement, et les matières métalliques contenant des métaux précieux, y compris les déchets contenant des métaux précieux lorsqu’ils sont transférés à un assujetti n’est pas titulaire d’autorisation en matière de déchets; l’autoliquidation du 1.1.2017 concerne les produits métalliques relevant des codes NC 7208-7220 (à l’exception du fil de soudure et des baguettes de soudage) 7222, 7225, 7226, 7228 (à l’exclusion des baguettes de soudage), 73011000, 730300- 7306, 73081000, 73082000, 73121061, 73121069, 731420 et 73143900.</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220" w:type="dxa"/>
            <w:tcBorders>
              <w:top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(1.4.2015)</w:t>
            </w:r>
          </w:p>
        </w:tc>
        <w:tc>
          <w:tcPr>
            <w:tcW w:w="1048"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r>
    </w:tbl>
    <w:p>
      <w:pPr>
        <w:rPr>
          <w:noProof/>
        </w:rPr>
        <w:sectPr>
          <w:headerReference w:type="even" r:id="rId21"/>
          <w:headerReference w:type="default" r:id="rId22"/>
          <w:footerReference w:type="even" r:id="rId23"/>
          <w:footerReference w:type="default" r:id="rId24"/>
          <w:headerReference w:type="first" r:id="rId25"/>
          <w:footerReference w:type="first" r:id="rId26"/>
          <w:pgSz w:w="16838" w:h="11906" w:orient="landscape"/>
          <w:pgMar w:top="720" w:right="720" w:bottom="720" w:left="720" w:header="708" w:footer="708" w:gutter="0"/>
          <w:cols w:space="708"/>
          <w:docGrid w:linePitch="360"/>
        </w:sectPr>
      </w:pPr>
    </w:p>
    <w:tbl>
      <w:tblPr>
        <w:tblW w:w="15041" w:type="dxa"/>
        <w:tblInd w:w="93" w:type="dxa"/>
        <w:tblLook w:val="04A0" w:firstRow="1" w:lastRow="0" w:firstColumn="1" w:lastColumn="0" w:noHBand="0" w:noVBand="1"/>
      </w:tblPr>
      <w:tblGrid>
        <w:gridCol w:w="5500"/>
        <w:gridCol w:w="1036"/>
        <w:gridCol w:w="1204"/>
        <w:gridCol w:w="1120"/>
        <w:gridCol w:w="1787"/>
        <w:gridCol w:w="1275"/>
        <w:gridCol w:w="993"/>
        <w:gridCol w:w="567"/>
        <w:gridCol w:w="992"/>
        <w:gridCol w:w="567"/>
      </w:tblGrid>
      <w:tr>
        <w:trPr>
          <w:trHeight w:val="465"/>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Livraisons de biens et prestations de services visées à l’article 199 </w:t>
            </w:r>
            <w:r>
              <w:rPr>
                <w:rFonts w:ascii="Arial" w:hAnsi="Arial"/>
                <w:b/>
                <w:i/>
                <w:noProof/>
                <w:color w:val="000000"/>
                <w:sz w:val="14"/>
              </w:rPr>
              <w:t>bis</w:t>
            </w:r>
            <w:r>
              <w:rPr>
                <w:rFonts w:ascii="Arial" w:hAnsi="Arial"/>
                <w:b/>
                <w:noProof/>
                <w:color w:val="000000"/>
                <w:sz w:val="14"/>
              </w:rPr>
              <w:t>, paragraphe 1, de la directive TVA</w:t>
            </w:r>
          </w:p>
        </w:tc>
        <w:tc>
          <w:tcPr>
            <w:tcW w:w="1036" w:type="dxa"/>
            <w:tcBorders>
              <w:top w:val="single" w:sz="4" w:space="0" w:color="auto"/>
              <w:bottom w:val="single" w:sz="4" w:space="0" w:color="auto"/>
              <w:right w:val="single" w:sz="4" w:space="0" w:color="auto"/>
            </w:tcBorders>
            <w:vAlign w:val="center"/>
          </w:tcPr>
          <w:p>
            <w:pPr>
              <w:jc w:val="center"/>
              <w:rPr>
                <w:b/>
                <w:bCs/>
                <w:noProof/>
                <w:color w:val="000000"/>
                <w:sz w:val="14"/>
                <w:szCs w:val="14"/>
              </w:rPr>
            </w:pPr>
            <w:r>
              <w:rPr>
                <w:b/>
                <w:noProof/>
                <w:color w:val="000000"/>
                <w:sz w:val="14"/>
              </w:rPr>
              <w:t>FR</w:t>
            </w:r>
          </w:p>
        </w:tc>
        <w:tc>
          <w:tcPr>
            <w:tcW w:w="1204" w:type="dxa"/>
            <w:tcBorders>
              <w:top w:val="single" w:sz="4" w:space="0" w:color="auto"/>
              <w:left w:val="single" w:sz="4" w:space="0" w:color="auto"/>
              <w:bottom w:val="single" w:sz="4" w:space="0" w:color="auto"/>
              <w:right w:val="single" w:sz="4" w:space="0" w:color="auto"/>
            </w:tcBorders>
            <w:vAlign w:val="center"/>
          </w:tcPr>
          <w:p>
            <w:pPr>
              <w:jc w:val="center"/>
              <w:rPr>
                <w:b/>
                <w:bCs/>
                <w:noProof/>
                <w:color w:val="000000"/>
                <w:sz w:val="14"/>
                <w:szCs w:val="14"/>
              </w:rPr>
            </w:pPr>
            <w:r>
              <w:rPr>
                <w:b/>
                <w:noProof/>
                <w:color w:val="000000"/>
                <w:sz w:val="14"/>
              </w:rPr>
              <w:t>HR</w:t>
            </w:r>
          </w:p>
        </w:tc>
        <w:tc>
          <w:tcPr>
            <w:tcW w:w="1120" w:type="dxa"/>
            <w:tcBorders>
              <w:top w:val="single" w:sz="4" w:space="0" w:color="auto"/>
              <w:left w:val="single" w:sz="4" w:space="0" w:color="auto"/>
              <w:bottom w:val="single" w:sz="4" w:space="0" w:color="auto"/>
              <w:right w:val="single" w:sz="4" w:space="0" w:color="auto"/>
            </w:tcBorders>
            <w:vAlign w:val="center"/>
          </w:tcPr>
          <w:p>
            <w:pPr>
              <w:jc w:val="center"/>
              <w:rPr>
                <w:b/>
                <w:bCs/>
                <w:noProof/>
                <w:color w:val="000000"/>
                <w:sz w:val="14"/>
                <w:szCs w:val="14"/>
              </w:rPr>
            </w:pPr>
            <w:r>
              <w:rPr>
                <w:b/>
                <w:noProof/>
                <w:color w:val="000000"/>
                <w:sz w:val="14"/>
              </w:rPr>
              <w:t>HU</w:t>
            </w:r>
          </w:p>
        </w:tc>
        <w:tc>
          <w:tcPr>
            <w:tcW w:w="1787" w:type="dxa"/>
            <w:tcBorders>
              <w:top w:val="single" w:sz="4" w:space="0" w:color="auto"/>
              <w:left w:val="single" w:sz="4" w:space="0" w:color="auto"/>
              <w:bottom w:val="single" w:sz="4" w:space="0" w:color="auto"/>
              <w:right w:val="single" w:sz="4" w:space="0" w:color="auto"/>
            </w:tcBorders>
            <w:vAlign w:val="center"/>
          </w:tcPr>
          <w:p>
            <w:pPr>
              <w:jc w:val="center"/>
              <w:rPr>
                <w:b/>
                <w:bCs/>
                <w:noProof/>
                <w:color w:val="000000"/>
                <w:sz w:val="14"/>
                <w:szCs w:val="14"/>
              </w:rPr>
            </w:pPr>
            <w:r>
              <w:rPr>
                <w:b/>
                <w:noProof/>
                <w:color w:val="000000"/>
                <w:sz w:val="14"/>
              </w:rPr>
              <w:t>IE</w:t>
            </w: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b/>
                <w:bCs/>
                <w:noProof/>
                <w:color w:val="000000"/>
                <w:sz w:val="14"/>
                <w:szCs w:val="14"/>
              </w:rPr>
            </w:pPr>
            <w:r>
              <w:rPr>
                <w:b/>
                <w:noProof/>
                <w:color w:val="000000"/>
                <w:sz w:val="14"/>
              </w:rPr>
              <w:t>IT</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b/>
                <w:bCs/>
                <w:noProof/>
                <w:color w:val="000000"/>
                <w:sz w:val="14"/>
                <w:szCs w:val="14"/>
              </w:rPr>
            </w:pPr>
            <w:r>
              <w:rPr>
                <w:b/>
                <w:noProof/>
                <w:color w:val="000000"/>
                <w:sz w:val="14"/>
              </w:rPr>
              <w:t>LV</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b/>
                <w:bCs/>
                <w:noProof/>
                <w:color w:val="000000"/>
                <w:sz w:val="14"/>
                <w:szCs w:val="14"/>
              </w:rPr>
            </w:pPr>
            <w:r>
              <w:rPr>
                <w:b/>
                <w:noProof/>
                <w:color w:val="000000"/>
                <w:sz w:val="14"/>
              </w:rPr>
              <w:t>LT</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b/>
                <w:bCs/>
                <w:noProof/>
                <w:color w:val="000000"/>
                <w:sz w:val="14"/>
                <w:szCs w:val="14"/>
              </w:rPr>
            </w:pPr>
            <w:r>
              <w:rPr>
                <w:b/>
                <w:noProof/>
                <w:color w:val="000000"/>
                <w:sz w:val="14"/>
              </w:rPr>
              <w:t>LU</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b/>
                <w:bCs/>
                <w:noProof/>
                <w:color w:val="000000"/>
                <w:sz w:val="14"/>
                <w:szCs w:val="14"/>
              </w:rPr>
            </w:pPr>
            <w:r>
              <w:rPr>
                <w:b/>
                <w:noProof/>
                <w:color w:val="000000"/>
                <w:sz w:val="14"/>
              </w:rPr>
              <w:t>MT</w:t>
            </w:r>
          </w:p>
        </w:tc>
      </w:tr>
      <w:tr>
        <w:trPr>
          <w:trHeight w:val="900"/>
        </w:trPr>
        <w:tc>
          <w:tcPr>
            <w:tcW w:w="550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rPr>
            </w:pPr>
            <w:r>
              <w:rPr>
                <w:rFonts w:ascii="Times New Roman" w:hAnsi="Times New Roman"/>
                <w:noProof/>
                <w:color w:val="000000"/>
                <w:sz w:val="14"/>
              </w:rPr>
              <w:t>a) transfert de quotas autorisant à émettre des gaz à effet de serre au sens de l’article 3 de la directive 2003/87/CE du Parlement européen et du Conseil du 13 octobre 2003 établissant un système d’échange de quotas d’émission de gaz à effet de serre dans la Communauté transférables conformément à l’article 12 de ladite directive;</w:t>
            </w:r>
          </w:p>
        </w:tc>
        <w:tc>
          <w:tcPr>
            <w:tcW w:w="1036" w:type="dxa"/>
            <w:tcBorders>
              <w:top w:val="single" w:sz="4" w:space="0" w:color="auto"/>
              <w:bottom w:val="single" w:sz="4" w:space="0" w:color="auto"/>
              <w:right w:val="single" w:sz="4" w:space="0" w:color="auto"/>
            </w:tcBorders>
            <w:vAlign w:val="center"/>
          </w:tcPr>
          <w:p>
            <w:pPr>
              <w:jc w:val="center"/>
              <w:rPr>
                <w:noProof/>
                <w:color w:val="00000A"/>
                <w:sz w:val="12"/>
                <w:szCs w:val="12"/>
              </w:rPr>
            </w:pPr>
            <w:r>
              <w:rPr>
                <w:noProof/>
                <w:color w:val="00000A"/>
                <w:sz w:val="12"/>
              </w:rPr>
              <w:t xml:space="preserve">OUI </w:t>
            </w:r>
            <w:r>
              <w:rPr>
                <w:noProof/>
                <w:color w:val="00000A"/>
                <w:sz w:val="12"/>
                <w:szCs w:val="12"/>
              </w:rPr>
              <w:br/>
            </w:r>
            <w:r>
              <w:rPr>
                <w:noProof/>
                <w:color w:val="00000A"/>
                <w:sz w:val="12"/>
              </w:rPr>
              <w:t>(1.1.2011)</w:t>
            </w:r>
          </w:p>
        </w:tc>
        <w:tc>
          <w:tcPr>
            <w:tcW w:w="1204"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(1.7.2013)</w:t>
            </w:r>
          </w:p>
        </w:tc>
        <w:tc>
          <w:tcPr>
            <w:tcW w:w="1120"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 xml:space="preserve">OUI </w:t>
            </w:r>
            <w:r>
              <w:rPr>
                <w:noProof/>
                <w:color w:val="000000"/>
                <w:sz w:val="12"/>
                <w:szCs w:val="12"/>
              </w:rPr>
              <w:br/>
            </w:r>
            <w:r>
              <w:rPr>
                <w:noProof/>
                <w:color w:val="000000"/>
                <w:sz w:val="12"/>
              </w:rPr>
              <w:t>(1.1.2011)</w:t>
            </w:r>
          </w:p>
        </w:tc>
        <w:tc>
          <w:tcPr>
            <w:tcW w:w="178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 xml:space="preserve">OUI </w:t>
            </w:r>
            <w:r>
              <w:rPr>
                <w:noProof/>
                <w:color w:val="000000"/>
                <w:sz w:val="12"/>
                <w:szCs w:val="12"/>
              </w:rPr>
              <w:br/>
            </w:r>
            <w:r>
              <w:rPr>
                <w:noProof/>
                <w:color w:val="000000"/>
                <w:sz w:val="12"/>
              </w:rPr>
              <w:t>(8.4.2010)</w:t>
            </w: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(1.1.2015)</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(1.7.2010)</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r>
      <w:tr>
        <w:trPr>
          <w:trHeight w:val="555"/>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rPr>
            </w:pPr>
            <w:r>
              <w:rPr>
                <w:rFonts w:ascii="Times New Roman" w:hAnsi="Times New Roman"/>
                <w:noProof/>
                <w:color w:val="000000"/>
                <w:sz w:val="14"/>
              </w:rPr>
              <w:t>b) transfert d’autres unités pouvant être utilisées par les opérateurs en vue de se conformer à ladite directive;</w:t>
            </w:r>
          </w:p>
        </w:tc>
        <w:tc>
          <w:tcPr>
            <w:tcW w:w="1036" w:type="dxa"/>
            <w:tcBorders>
              <w:top w:val="single" w:sz="4" w:space="0" w:color="auto"/>
              <w:bottom w:val="single" w:sz="4" w:space="0" w:color="auto"/>
              <w:right w:val="single" w:sz="4" w:space="0" w:color="auto"/>
            </w:tcBorders>
            <w:vAlign w:val="center"/>
          </w:tcPr>
          <w:p>
            <w:pPr>
              <w:jc w:val="center"/>
              <w:rPr>
                <w:noProof/>
                <w:color w:val="00000A"/>
                <w:sz w:val="12"/>
                <w:szCs w:val="12"/>
              </w:rPr>
            </w:pPr>
            <w:r>
              <w:rPr>
                <w:noProof/>
                <w:color w:val="00000A"/>
                <w:sz w:val="12"/>
              </w:rPr>
              <w:t>NON</w:t>
            </w:r>
          </w:p>
        </w:tc>
        <w:tc>
          <w:tcPr>
            <w:tcW w:w="1204"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120"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w:t>
            </w:r>
            <w:r>
              <w:rPr>
                <w:noProof/>
                <w:color w:val="000000"/>
                <w:sz w:val="12"/>
                <w:szCs w:val="12"/>
              </w:rPr>
              <w:br/>
            </w:r>
            <w:r>
              <w:rPr>
                <w:noProof/>
                <w:color w:val="000000"/>
                <w:sz w:val="12"/>
              </w:rPr>
              <w:t>(1.1.2011)</w:t>
            </w:r>
          </w:p>
        </w:tc>
        <w:tc>
          <w:tcPr>
            <w:tcW w:w="178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 xml:space="preserve">OUI </w:t>
            </w:r>
            <w:r>
              <w:rPr>
                <w:noProof/>
                <w:color w:val="000000"/>
                <w:sz w:val="12"/>
                <w:szCs w:val="12"/>
              </w:rPr>
              <w:br/>
            </w:r>
            <w:r>
              <w:rPr>
                <w:noProof/>
                <w:color w:val="000000"/>
                <w:sz w:val="12"/>
              </w:rPr>
              <w:t>(8.4.2010)</w:t>
            </w: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(1.1.2015)</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(1.7.2010)</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r>
      <w:tr>
        <w:trPr>
          <w:trHeight w:val="915"/>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rPr>
            </w:pPr>
            <w:r>
              <w:rPr>
                <w:rFonts w:ascii="Times New Roman" w:hAnsi="Times New Roman"/>
                <w:noProof/>
                <w:color w:val="000000"/>
                <w:sz w:val="14"/>
              </w:rPr>
              <w:t>c) livraisons de téléphones mobiles, à savoir des dispositifs conçus ou adaptés pour être utilisés en connexion avec un réseau sous licence fonctionnant à des fréquences spécifiques, qu’ils aient ou non une autre utilisation;</w:t>
            </w:r>
          </w:p>
        </w:tc>
        <w:tc>
          <w:tcPr>
            <w:tcW w:w="1036" w:type="dxa"/>
            <w:tcBorders>
              <w:top w:val="single" w:sz="4" w:space="0" w:color="auto"/>
              <w:bottom w:val="single" w:sz="4" w:space="0" w:color="auto"/>
              <w:right w:val="single" w:sz="4" w:space="0" w:color="auto"/>
            </w:tcBorders>
            <w:vAlign w:val="center"/>
          </w:tcPr>
          <w:p>
            <w:pPr>
              <w:jc w:val="center"/>
              <w:rPr>
                <w:noProof/>
                <w:color w:val="00000A"/>
                <w:sz w:val="12"/>
                <w:szCs w:val="12"/>
              </w:rPr>
            </w:pPr>
            <w:r>
              <w:rPr>
                <w:noProof/>
                <w:color w:val="00000A"/>
                <w:sz w:val="12"/>
              </w:rPr>
              <w:t>NON</w:t>
            </w:r>
          </w:p>
        </w:tc>
        <w:tc>
          <w:tcPr>
            <w:tcW w:w="1204"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120"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78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(1.1.2011)</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(1.4.2016)</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r>
      <w:tr>
        <w:trPr>
          <w:trHeight w:val="1230"/>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rPr>
            </w:pPr>
            <w:r>
              <w:rPr>
                <w:rFonts w:ascii="Times New Roman" w:hAnsi="Times New Roman"/>
                <w:noProof/>
                <w:color w:val="000000"/>
                <w:sz w:val="14"/>
              </w:rPr>
              <w:t>d) livraisons de circuits intégrés comme les microprocesseurs et les unités de traitement centrales, avant leur incorporation dans des produits destinés à l’utilisateur final;</w:t>
            </w:r>
          </w:p>
        </w:tc>
        <w:tc>
          <w:tcPr>
            <w:tcW w:w="1036" w:type="dxa"/>
            <w:tcBorders>
              <w:top w:val="single" w:sz="4" w:space="0" w:color="auto"/>
              <w:bottom w:val="single" w:sz="4" w:space="0" w:color="auto"/>
              <w:right w:val="single" w:sz="4" w:space="0" w:color="auto"/>
            </w:tcBorders>
            <w:vAlign w:val="center"/>
          </w:tcPr>
          <w:p>
            <w:pPr>
              <w:jc w:val="center"/>
              <w:rPr>
                <w:noProof/>
                <w:color w:val="00000A"/>
                <w:sz w:val="12"/>
                <w:szCs w:val="12"/>
              </w:rPr>
            </w:pPr>
            <w:r>
              <w:rPr>
                <w:noProof/>
                <w:color w:val="00000A"/>
                <w:sz w:val="12"/>
              </w:rPr>
              <w:t>NON</w:t>
            </w:r>
          </w:p>
        </w:tc>
        <w:tc>
          <w:tcPr>
            <w:tcW w:w="1204"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120"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78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(1.1.2011)</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(1.4.2016)</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r>
      <w:tr>
        <w:trPr>
          <w:trHeight w:val="645"/>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rPr>
            </w:pPr>
            <w:r>
              <w:rPr>
                <w:rFonts w:ascii="Times New Roman" w:hAnsi="Times New Roman"/>
                <w:noProof/>
                <w:color w:val="000000"/>
                <w:sz w:val="14"/>
              </w:rPr>
              <w:t>e) livraisons de gaz et d’électricité à un assujetti-revendeur tel qu’il est défini à l’article 38, paragraphe 2;</w:t>
            </w:r>
          </w:p>
        </w:tc>
        <w:tc>
          <w:tcPr>
            <w:tcW w:w="1036" w:type="dxa"/>
            <w:tcBorders>
              <w:top w:val="single" w:sz="4" w:space="0" w:color="auto"/>
              <w:bottom w:val="single" w:sz="4" w:space="0" w:color="auto"/>
              <w:right w:val="single" w:sz="4" w:space="0" w:color="auto"/>
            </w:tcBorders>
            <w:vAlign w:val="center"/>
          </w:tcPr>
          <w:p>
            <w:pPr>
              <w:jc w:val="center"/>
              <w:rPr>
                <w:noProof/>
                <w:color w:val="00000A"/>
                <w:sz w:val="12"/>
                <w:szCs w:val="12"/>
              </w:rPr>
            </w:pPr>
            <w:r>
              <w:rPr>
                <w:noProof/>
                <w:color w:val="00000A"/>
                <w:sz w:val="12"/>
              </w:rPr>
              <w:t>OUI</w:t>
            </w:r>
            <w:r>
              <w:rPr>
                <w:noProof/>
                <w:color w:val="00000A"/>
                <w:sz w:val="12"/>
                <w:szCs w:val="12"/>
              </w:rPr>
              <w:br/>
            </w:r>
            <w:r>
              <w:rPr>
                <w:noProof/>
                <w:color w:val="00000A"/>
                <w:sz w:val="12"/>
              </w:rPr>
              <w:t>(1.1.2005)</w:t>
            </w:r>
          </w:p>
        </w:tc>
        <w:tc>
          <w:tcPr>
            <w:tcW w:w="1204"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120"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78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 xml:space="preserve">OUI </w:t>
            </w:r>
            <w:r>
              <w:rPr>
                <w:noProof/>
                <w:color w:val="000000"/>
                <w:sz w:val="12"/>
                <w:szCs w:val="12"/>
              </w:rPr>
              <w:br/>
            </w:r>
            <w:r>
              <w:rPr>
                <w:noProof/>
                <w:color w:val="000000"/>
                <w:sz w:val="12"/>
              </w:rPr>
              <w:t>(1.1.2016)</w:t>
            </w: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(1.1.2015)</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r>
      <w:tr>
        <w:trPr>
          <w:trHeight w:val="750"/>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rPr>
            </w:pPr>
            <w:r>
              <w:rPr>
                <w:rFonts w:ascii="Times New Roman" w:hAnsi="Times New Roman"/>
                <w:noProof/>
                <w:color w:val="000000"/>
                <w:sz w:val="14"/>
              </w:rPr>
              <w:t>f) livraisons de certificats de gaz et d’électricité;</w:t>
            </w:r>
          </w:p>
        </w:tc>
        <w:tc>
          <w:tcPr>
            <w:tcW w:w="1036" w:type="dxa"/>
            <w:tcBorders>
              <w:top w:val="single" w:sz="4" w:space="0" w:color="auto"/>
              <w:bottom w:val="single" w:sz="4" w:space="0" w:color="auto"/>
              <w:right w:val="single" w:sz="4" w:space="0" w:color="auto"/>
            </w:tcBorders>
            <w:vAlign w:val="center"/>
          </w:tcPr>
          <w:p>
            <w:pPr>
              <w:jc w:val="center"/>
              <w:rPr>
                <w:noProof/>
                <w:color w:val="00000A"/>
                <w:sz w:val="12"/>
                <w:szCs w:val="12"/>
              </w:rPr>
            </w:pPr>
            <w:r>
              <w:rPr>
                <w:noProof/>
                <w:color w:val="00000A"/>
                <w:sz w:val="12"/>
              </w:rPr>
              <w:t>NON</w:t>
            </w:r>
          </w:p>
        </w:tc>
        <w:tc>
          <w:tcPr>
            <w:tcW w:w="1204"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120"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78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 xml:space="preserve">OUI </w:t>
            </w:r>
            <w:r>
              <w:rPr>
                <w:noProof/>
                <w:color w:val="000000"/>
                <w:sz w:val="12"/>
                <w:szCs w:val="12"/>
              </w:rPr>
              <w:br/>
            </w:r>
            <w:r>
              <w:rPr>
                <w:noProof/>
                <w:color w:val="000000"/>
                <w:sz w:val="12"/>
              </w:rPr>
              <w:t>(1.1.2016)</w:t>
            </w: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(1.1.2015)</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r>
      <w:tr>
        <w:trPr>
          <w:trHeight w:val="450"/>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rPr>
            </w:pPr>
            <w:r>
              <w:rPr>
                <w:rFonts w:ascii="Times New Roman" w:hAnsi="Times New Roman"/>
                <w:noProof/>
                <w:color w:val="000000"/>
                <w:sz w:val="14"/>
              </w:rPr>
              <w:t>g) livraisons de services de télécommunication définis à l’article 24, paragraphe 2;</w:t>
            </w:r>
          </w:p>
        </w:tc>
        <w:tc>
          <w:tcPr>
            <w:tcW w:w="1036" w:type="dxa"/>
            <w:tcBorders>
              <w:top w:val="single" w:sz="4" w:space="0" w:color="auto"/>
              <w:bottom w:val="single" w:sz="4" w:space="0" w:color="auto"/>
              <w:right w:val="single" w:sz="4" w:space="0" w:color="auto"/>
            </w:tcBorders>
            <w:vAlign w:val="center"/>
          </w:tcPr>
          <w:p>
            <w:pPr>
              <w:jc w:val="center"/>
              <w:rPr>
                <w:noProof/>
                <w:color w:val="00000A"/>
                <w:sz w:val="12"/>
                <w:szCs w:val="12"/>
              </w:rPr>
            </w:pPr>
            <w:r>
              <w:rPr>
                <w:noProof/>
                <w:color w:val="00000A"/>
                <w:sz w:val="12"/>
              </w:rPr>
              <w:t>OUI</w:t>
            </w:r>
            <w:r>
              <w:rPr>
                <w:noProof/>
                <w:color w:val="00000A"/>
                <w:sz w:val="12"/>
                <w:szCs w:val="12"/>
              </w:rPr>
              <w:br/>
            </w:r>
            <w:r>
              <w:rPr>
                <w:noProof/>
                <w:color w:val="00000A"/>
                <w:sz w:val="12"/>
              </w:rPr>
              <w:t>(1.4.2012)</w:t>
            </w:r>
          </w:p>
        </w:tc>
        <w:tc>
          <w:tcPr>
            <w:tcW w:w="1204"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120"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78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r>
      <w:tr>
        <w:trPr>
          <w:trHeight w:val="480"/>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rPr>
            </w:pPr>
            <w:r>
              <w:rPr>
                <w:rFonts w:ascii="Times New Roman" w:hAnsi="Times New Roman"/>
                <w:noProof/>
                <w:color w:val="000000"/>
                <w:sz w:val="14"/>
              </w:rPr>
              <w:t>h) livraisons de consoles de jeu, de tablettes informatiques et d’ordinateurs portables;</w:t>
            </w:r>
          </w:p>
        </w:tc>
        <w:tc>
          <w:tcPr>
            <w:tcW w:w="1036" w:type="dxa"/>
            <w:tcBorders>
              <w:top w:val="single" w:sz="4" w:space="0" w:color="auto"/>
              <w:bottom w:val="single" w:sz="4" w:space="0" w:color="auto"/>
              <w:right w:val="single" w:sz="4" w:space="0" w:color="auto"/>
            </w:tcBorders>
            <w:vAlign w:val="center"/>
          </w:tcPr>
          <w:p>
            <w:pPr>
              <w:jc w:val="center"/>
              <w:rPr>
                <w:noProof/>
                <w:color w:val="00000A"/>
                <w:sz w:val="12"/>
                <w:szCs w:val="12"/>
              </w:rPr>
            </w:pPr>
            <w:r>
              <w:rPr>
                <w:noProof/>
                <w:color w:val="00000A"/>
                <w:sz w:val="12"/>
              </w:rPr>
              <w:t>NON</w:t>
            </w:r>
          </w:p>
        </w:tc>
        <w:tc>
          <w:tcPr>
            <w:tcW w:w="1204"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120"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78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(2.5.2016)</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(1.4.2016)</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r>
      <w:tr>
        <w:trPr>
          <w:trHeight w:val="885"/>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rPr>
            </w:pPr>
            <w:r>
              <w:rPr>
                <w:rFonts w:ascii="Times New Roman" w:hAnsi="Times New Roman"/>
                <w:noProof/>
                <w:color w:val="000000"/>
                <w:sz w:val="14"/>
              </w:rPr>
              <w:t>i) livraisons de céréales et de plantes industrielles, y compris les oléagineux et les betteraves sucrières, qui ne sont, en principe, pas destinés en l’état aux consommateurs finaux;</w:t>
            </w:r>
          </w:p>
        </w:tc>
        <w:tc>
          <w:tcPr>
            <w:tcW w:w="1036" w:type="dxa"/>
            <w:tcBorders>
              <w:top w:val="single" w:sz="4" w:space="0" w:color="auto"/>
              <w:bottom w:val="single" w:sz="4" w:space="0" w:color="auto"/>
              <w:right w:val="single" w:sz="4" w:space="0" w:color="auto"/>
            </w:tcBorders>
            <w:vAlign w:val="center"/>
          </w:tcPr>
          <w:p>
            <w:pPr>
              <w:jc w:val="center"/>
              <w:rPr>
                <w:noProof/>
                <w:color w:val="00000A"/>
                <w:sz w:val="12"/>
                <w:szCs w:val="12"/>
              </w:rPr>
            </w:pPr>
            <w:r>
              <w:rPr>
                <w:noProof/>
                <w:color w:val="00000A"/>
                <w:sz w:val="12"/>
              </w:rPr>
              <w:t>NON</w:t>
            </w:r>
          </w:p>
        </w:tc>
        <w:tc>
          <w:tcPr>
            <w:tcW w:w="1204"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120"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(1.1.2012, en vertu d’une dérogation datant d’avant le 1.1.2014)</w:t>
            </w:r>
          </w:p>
        </w:tc>
        <w:tc>
          <w:tcPr>
            <w:tcW w:w="178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(1.6.2016)</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r>
      <w:tr>
        <w:trPr>
          <w:trHeight w:val="1215"/>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rPr>
            </w:pPr>
            <w:r>
              <w:rPr>
                <w:rFonts w:ascii="Times New Roman" w:hAnsi="Times New Roman"/>
                <w:noProof/>
                <w:color w:val="000000"/>
                <w:sz w:val="14"/>
              </w:rPr>
              <w:t>j) livraisons de métaux bruts ou semi-finis, y compris les métaux précieux, lorsqu’ils ne sont pas par ailleurs couverts par l’article 199, paragraphe 1, point d), par les régimes particuliers applicables dans le domaine des biens d’occasion, des objets d’art, de collection ou d’antiquité, établis aux articles 311 à 343, ou par le régime particulier applicable à l’or d’investissement, établi aux articles 344 à 356.</w:t>
            </w:r>
          </w:p>
        </w:tc>
        <w:tc>
          <w:tcPr>
            <w:tcW w:w="1036" w:type="dxa"/>
            <w:tcBorders>
              <w:top w:val="single" w:sz="4" w:space="0" w:color="auto"/>
              <w:bottom w:val="single" w:sz="4" w:space="0" w:color="auto"/>
              <w:right w:val="single" w:sz="4" w:space="0" w:color="auto"/>
            </w:tcBorders>
            <w:vAlign w:val="center"/>
          </w:tcPr>
          <w:p>
            <w:pPr>
              <w:jc w:val="center"/>
              <w:rPr>
                <w:noProof/>
                <w:color w:val="00000A"/>
                <w:sz w:val="12"/>
                <w:szCs w:val="12"/>
              </w:rPr>
            </w:pPr>
            <w:r>
              <w:rPr>
                <w:noProof/>
                <w:color w:val="00000A"/>
                <w:sz w:val="12"/>
              </w:rPr>
              <w:t>NON</w:t>
            </w:r>
          </w:p>
        </w:tc>
        <w:tc>
          <w:tcPr>
            <w:tcW w:w="1204"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(1.7.2013, dans des conditions spéciales pour le régime particulier applicable à l’or d’investissement, établi aux articles 344 à 356)</w:t>
            </w:r>
          </w:p>
        </w:tc>
        <w:tc>
          <w:tcPr>
            <w:tcW w:w="1120"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(1.1.2015)</w:t>
            </w:r>
          </w:p>
        </w:tc>
        <w:tc>
          <w:tcPr>
            <w:tcW w:w="178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(1.1.2017)</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r>
    </w:tbl>
    <w:p>
      <w:pPr>
        <w:rPr>
          <w:noProof/>
        </w:rPr>
        <w:sectPr>
          <w:headerReference w:type="even" r:id="rId27"/>
          <w:headerReference w:type="default" r:id="rId28"/>
          <w:footerReference w:type="even" r:id="rId29"/>
          <w:footerReference w:type="default" r:id="rId30"/>
          <w:headerReference w:type="first" r:id="rId31"/>
          <w:footerReference w:type="first" r:id="rId32"/>
          <w:pgSz w:w="16838" w:h="11906" w:orient="landscape"/>
          <w:pgMar w:top="720" w:right="720" w:bottom="720" w:left="720" w:header="708" w:footer="708" w:gutter="0"/>
          <w:cols w:space="708"/>
          <w:docGrid w:linePitch="360"/>
        </w:sectPr>
      </w:pPr>
    </w:p>
    <w:tbl>
      <w:tblPr>
        <w:tblW w:w="15041" w:type="dxa"/>
        <w:tblInd w:w="93" w:type="dxa"/>
        <w:tblLayout w:type="fixed"/>
        <w:tblLook w:val="04A0" w:firstRow="1" w:lastRow="0" w:firstColumn="1" w:lastColumn="0" w:noHBand="0" w:noVBand="1"/>
      </w:tblPr>
      <w:tblGrid>
        <w:gridCol w:w="5500"/>
        <w:gridCol w:w="2028"/>
        <w:gridCol w:w="1276"/>
        <w:gridCol w:w="709"/>
        <w:gridCol w:w="1134"/>
        <w:gridCol w:w="992"/>
        <w:gridCol w:w="992"/>
        <w:gridCol w:w="992"/>
        <w:gridCol w:w="1418"/>
      </w:tblGrid>
      <w:tr>
        <w:trPr>
          <w:trHeight w:val="465"/>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Livraisons de biens et prestations de services visées à l’article 199 </w:t>
            </w:r>
            <w:r>
              <w:rPr>
                <w:rFonts w:ascii="Arial" w:hAnsi="Arial"/>
                <w:b/>
                <w:i/>
                <w:noProof/>
                <w:color w:val="000000"/>
                <w:sz w:val="14"/>
              </w:rPr>
              <w:t>bis</w:t>
            </w:r>
            <w:r>
              <w:rPr>
                <w:rFonts w:ascii="Arial" w:hAnsi="Arial"/>
                <w:b/>
                <w:noProof/>
                <w:color w:val="000000"/>
                <w:sz w:val="14"/>
              </w:rPr>
              <w:t>, paragraphe 1, de la directive TVA</w:t>
            </w:r>
          </w:p>
        </w:tc>
        <w:tc>
          <w:tcPr>
            <w:tcW w:w="2028" w:type="dxa"/>
            <w:tcBorders>
              <w:top w:val="single" w:sz="4" w:space="0" w:color="auto"/>
              <w:bottom w:val="single" w:sz="4" w:space="0" w:color="auto"/>
              <w:right w:val="single" w:sz="4" w:space="0" w:color="auto"/>
            </w:tcBorders>
            <w:vAlign w:val="center"/>
          </w:tcPr>
          <w:p>
            <w:pPr>
              <w:jc w:val="center"/>
              <w:rPr>
                <w:b/>
                <w:bCs/>
                <w:noProof/>
                <w:color w:val="000000"/>
                <w:sz w:val="14"/>
                <w:szCs w:val="14"/>
              </w:rPr>
            </w:pPr>
            <w:r>
              <w:rPr>
                <w:b/>
                <w:noProof/>
                <w:color w:val="000000"/>
                <w:sz w:val="14"/>
              </w:rPr>
              <w:t>NL</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b/>
                <w:bCs/>
                <w:noProof/>
                <w:color w:val="000000"/>
                <w:sz w:val="14"/>
                <w:szCs w:val="14"/>
              </w:rPr>
            </w:pPr>
            <w:r>
              <w:rPr>
                <w:b/>
                <w:noProof/>
                <w:color w:val="000000"/>
                <w:sz w:val="14"/>
              </w:rPr>
              <w:t>PL</w:t>
            </w: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b/>
                <w:bCs/>
                <w:noProof/>
                <w:color w:val="000000"/>
                <w:sz w:val="14"/>
                <w:szCs w:val="14"/>
              </w:rPr>
            </w:pPr>
            <w:r>
              <w:rPr>
                <w:b/>
                <w:noProof/>
                <w:color w:val="000000"/>
                <w:sz w:val="14"/>
              </w:rPr>
              <w:t>PT</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b/>
                <w:bCs/>
                <w:noProof/>
                <w:color w:val="000000"/>
                <w:sz w:val="14"/>
                <w:szCs w:val="14"/>
              </w:rPr>
            </w:pPr>
            <w:r>
              <w:rPr>
                <w:b/>
                <w:noProof/>
                <w:color w:val="000000"/>
                <w:sz w:val="14"/>
              </w:rPr>
              <w:t>RO</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b/>
                <w:bCs/>
                <w:noProof/>
                <w:color w:val="000000"/>
                <w:sz w:val="14"/>
                <w:szCs w:val="14"/>
              </w:rPr>
            </w:pPr>
            <w:r>
              <w:rPr>
                <w:b/>
                <w:noProof/>
                <w:color w:val="000000"/>
                <w:sz w:val="14"/>
              </w:rPr>
              <w:t>SK</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b/>
                <w:bCs/>
                <w:noProof/>
                <w:color w:val="000000"/>
                <w:sz w:val="14"/>
                <w:szCs w:val="14"/>
              </w:rPr>
            </w:pPr>
            <w:r>
              <w:rPr>
                <w:b/>
                <w:noProof/>
                <w:color w:val="000000"/>
                <w:sz w:val="14"/>
              </w:rPr>
              <w:t>SI</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b/>
                <w:bCs/>
                <w:noProof/>
                <w:color w:val="000000"/>
                <w:sz w:val="14"/>
                <w:szCs w:val="14"/>
              </w:rPr>
            </w:pPr>
            <w:r>
              <w:rPr>
                <w:b/>
                <w:noProof/>
                <w:color w:val="000000"/>
                <w:sz w:val="14"/>
              </w:rPr>
              <w:t>SE</w:t>
            </w: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b/>
                <w:bCs/>
                <w:noProof/>
                <w:color w:val="000000"/>
                <w:sz w:val="14"/>
                <w:szCs w:val="14"/>
              </w:rPr>
            </w:pPr>
            <w:r>
              <w:rPr>
                <w:b/>
                <w:noProof/>
                <w:color w:val="000000"/>
                <w:sz w:val="14"/>
              </w:rPr>
              <w:t>UK</w:t>
            </w:r>
          </w:p>
        </w:tc>
      </w:tr>
      <w:tr>
        <w:trPr>
          <w:trHeight w:val="900"/>
        </w:trPr>
        <w:tc>
          <w:tcPr>
            <w:tcW w:w="550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rPr>
            </w:pPr>
            <w:r>
              <w:rPr>
                <w:rFonts w:ascii="Times New Roman" w:hAnsi="Times New Roman"/>
                <w:noProof/>
                <w:color w:val="000000"/>
                <w:sz w:val="14"/>
              </w:rPr>
              <w:t>a) transfert de quotas autorisant à émettre des gaz à effet de serre au sens de l’article 3 de la directive 2003/87/CE du Parlement européen et du Conseil du 13 octobre 2003 établissant un système d’échange de quotas d’émission de gaz à effet de serre dans la Communauté transférables conformément à l’article 12 de ladite directive;</w:t>
            </w:r>
          </w:p>
        </w:tc>
        <w:tc>
          <w:tcPr>
            <w:tcW w:w="2028" w:type="dxa"/>
            <w:tcBorders>
              <w:top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(1.1.2011; sur la base de l’article 199 </w:t>
            </w:r>
            <w:r>
              <w:rPr>
                <w:i/>
                <w:noProof/>
                <w:color w:val="000000"/>
                <w:sz w:val="12"/>
              </w:rPr>
              <w:t>bis</w:t>
            </w:r>
            <w:r>
              <w:rPr>
                <w:noProof/>
                <w:color w:val="000000"/>
                <w:sz w:val="12"/>
              </w:rPr>
              <w:t xml:space="preserve"> en tant que suivi d’une disposition nationale qui a pris cours le 14.7.2009)</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(1.4.2011)</w:t>
            </w: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(1.1.2011)</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(1.1.2011)</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(1.1.2011)</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 xml:space="preserve">OUI </w:t>
            </w:r>
            <w:r>
              <w:rPr>
                <w:noProof/>
                <w:color w:val="000000"/>
                <w:sz w:val="12"/>
                <w:szCs w:val="12"/>
              </w:rPr>
              <w:br/>
            </w:r>
            <w:r>
              <w:rPr>
                <w:noProof/>
                <w:color w:val="000000"/>
                <w:sz w:val="12"/>
              </w:rPr>
              <w:t>(1.1.2011)</w:t>
            </w: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(1.11.2010)</w:t>
            </w:r>
          </w:p>
        </w:tc>
      </w:tr>
      <w:tr>
        <w:trPr>
          <w:trHeight w:val="555"/>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rPr>
            </w:pPr>
            <w:r>
              <w:rPr>
                <w:rFonts w:ascii="Times New Roman" w:hAnsi="Times New Roman"/>
                <w:noProof/>
                <w:color w:val="000000"/>
                <w:sz w:val="14"/>
              </w:rPr>
              <w:t>b) transfert d’autres unités pouvant être utilisées par les opérateurs en vue de se conformer à ladite directive;</w:t>
            </w:r>
          </w:p>
        </w:tc>
        <w:tc>
          <w:tcPr>
            <w:tcW w:w="2028" w:type="dxa"/>
            <w:tcBorders>
              <w:top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(1.1.2011)</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 xml:space="preserve">OUI </w:t>
            </w:r>
            <w:r>
              <w:rPr>
                <w:noProof/>
                <w:color w:val="000000"/>
                <w:sz w:val="12"/>
                <w:szCs w:val="12"/>
              </w:rPr>
              <w:br/>
            </w:r>
            <w:r>
              <w:rPr>
                <w:noProof/>
                <w:color w:val="000000"/>
                <w:sz w:val="12"/>
              </w:rPr>
              <w:t>(1.1.2011)</w:t>
            </w: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(1.11.2010)</w:t>
            </w:r>
          </w:p>
        </w:tc>
      </w:tr>
      <w:tr>
        <w:trPr>
          <w:trHeight w:val="915"/>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rPr>
            </w:pPr>
            <w:r>
              <w:rPr>
                <w:rFonts w:ascii="Times New Roman" w:hAnsi="Times New Roman"/>
                <w:noProof/>
                <w:color w:val="000000"/>
                <w:sz w:val="14"/>
              </w:rPr>
              <w:t>c) livraisons de téléphones mobiles, à savoir des dispositifs conçus ou adaptés pour être utilisés en connexion avec un réseau sous licence fonctionnant à des fréquences spécifiques, qu’ils aient ou non une autre utilisation;</w:t>
            </w:r>
          </w:p>
        </w:tc>
        <w:tc>
          <w:tcPr>
            <w:tcW w:w="2028" w:type="dxa"/>
            <w:tcBorders>
              <w:top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(1.4.2013; sur la base de l’article 199 </w:t>
            </w:r>
            <w:r>
              <w:rPr>
                <w:i/>
                <w:noProof/>
                <w:color w:val="000000"/>
                <w:sz w:val="12"/>
              </w:rPr>
              <w:t>bis</w:t>
            </w:r>
            <w:r>
              <w:rPr>
                <w:noProof/>
                <w:color w:val="000000"/>
                <w:sz w:val="12"/>
              </w:rPr>
              <w:t xml:space="preserve"> en tant que suivi d’une dérogation fondée sur l’article 395 de la directive 2006/112/CE qui a pris cours le 1.6.2012)</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(1.7.2015)</w:t>
            </w: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(1.1.2016)</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(1.1.2014)</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(1.6.2007)</w:t>
            </w:r>
          </w:p>
        </w:tc>
      </w:tr>
      <w:tr>
        <w:trPr>
          <w:trHeight w:val="1230"/>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rPr>
            </w:pPr>
            <w:r>
              <w:rPr>
                <w:rFonts w:ascii="Times New Roman" w:hAnsi="Times New Roman"/>
                <w:noProof/>
                <w:color w:val="000000"/>
                <w:sz w:val="14"/>
              </w:rPr>
              <w:t>d) livraisons de circuits intégrés comme les microprocesseurs et les unités de traitement centrales, avant leur incorporation dans des produits destinés à l’utilisateur final;</w:t>
            </w:r>
          </w:p>
        </w:tc>
        <w:tc>
          <w:tcPr>
            <w:tcW w:w="2028" w:type="dxa"/>
            <w:tcBorders>
              <w:top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(1.4.2013; sur la base de l’article 199 </w:t>
            </w:r>
            <w:r>
              <w:rPr>
                <w:i/>
                <w:noProof/>
                <w:color w:val="000000"/>
                <w:sz w:val="12"/>
              </w:rPr>
              <w:t>bis</w:t>
            </w:r>
            <w:r>
              <w:rPr>
                <w:noProof/>
                <w:color w:val="000000"/>
                <w:sz w:val="12"/>
              </w:rPr>
              <w:t xml:space="preserve"> en tant que suivi d’une dérogation fondée sur l’article 395 de la directive 2006/112/CE qui a pris cours le 1.6.2012)</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(1.1.2017)</w:t>
            </w: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(1.1.2016)</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(1.1.2014)</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(1.6.2007)</w:t>
            </w:r>
          </w:p>
        </w:tc>
      </w:tr>
      <w:tr>
        <w:trPr>
          <w:trHeight w:val="645"/>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rPr>
            </w:pPr>
            <w:r>
              <w:rPr>
                <w:rFonts w:ascii="Times New Roman" w:hAnsi="Times New Roman"/>
                <w:noProof/>
                <w:color w:val="000000"/>
                <w:sz w:val="14"/>
              </w:rPr>
              <w:t>e) livraisons de gaz et d’électricité à un assujetti-revendeur tel qu’il est défini à l’article 38, paragraphe 2;</w:t>
            </w:r>
          </w:p>
        </w:tc>
        <w:tc>
          <w:tcPr>
            <w:tcW w:w="2028" w:type="dxa"/>
            <w:tcBorders>
              <w:top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pour l’électricité</w:t>
            </w:r>
            <w:r>
              <w:rPr>
                <w:noProof/>
                <w:color w:val="000000"/>
                <w:sz w:val="12"/>
                <w:szCs w:val="12"/>
              </w:rPr>
              <w:br/>
            </w:r>
            <w:r>
              <w:rPr>
                <w:noProof/>
                <w:color w:val="000000"/>
                <w:sz w:val="12"/>
              </w:rPr>
              <w:t>(1.9.2013)</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(1.7.2014)</w:t>
            </w:r>
          </w:p>
        </w:tc>
      </w:tr>
      <w:tr>
        <w:trPr>
          <w:trHeight w:val="750"/>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rPr>
            </w:pPr>
            <w:r>
              <w:rPr>
                <w:rFonts w:ascii="Times New Roman" w:hAnsi="Times New Roman"/>
                <w:noProof/>
                <w:color w:val="000000"/>
                <w:sz w:val="14"/>
              </w:rPr>
              <w:t>f) livraisons de certificats de gaz et d’électricité;</w:t>
            </w:r>
          </w:p>
        </w:tc>
        <w:tc>
          <w:tcPr>
            <w:tcW w:w="2028" w:type="dxa"/>
            <w:tcBorders>
              <w:top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pour les certificats d’électricité (1.9.2013)</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r>
      <w:tr>
        <w:trPr>
          <w:trHeight w:val="450"/>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rPr>
            </w:pPr>
            <w:r>
              <w:rPr>
                <w:rFonts w:ascii="Times New Roman" w:hAnsi="Times New Roman"/>
                <w:noProof/>
                <w:color w:val="000000"/>
                <w:sz w:val="14"/>
              </w:rPr>
              <w:t>g) livraisons de services de télécommunication définis à l’article 24, paragraphe 2;</w:t>
            </w:r>
          </w:p>
        </w:tc>
        <w:tc>
          <w:tcPr>
            <w:tcW w:w="2028" w:type="dxa"/>
            <w:tcBorders>
              <w:top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 (1.6.2017, sur la base d’une dérogation fondée sur l’article 395 de la directive 2006/112/CE)</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(1.2.2016)</w:t>
            </w:r>
          </w:p>
        </w:tc>
      </w:tr>
      <w:tr>
        <w:trPr>
          <w:trHeight w:val="480"/>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rPr>
            </w:pPr>
            <w:r>
              <w:rPr>
                <w:rFonts w:ascii="Times New Roman" w:hAnsi="Times New Roman"/>
                <w:noProof/>
                <w:color w:val="000000"/>
                <w:sz w:val="14"/>
              </w:rPr>
              <w:t>h) livraisons de consoles de jeu, de tablettes informatiques et d’ordinateurs portables;</w:t>
            </w:r>
          </w:p>
        </w:tc>
        <w:tc>
          <w:tcPr>
            <w:tcW w:w="2028" w:type="dxa"/>
            <w:tcBorders>
              <w:top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(1.4.2013)</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(1.7.2015)</w:t>
            </w: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(1.1.2016)</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r>
      <w:tr>
        <w:trPr>
          <w:trHeight w:val="885"/>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rPr>
            </w:pPr>
            <w:r>
              <w:rPr>
                <w:rFonts w:ascii="Times New Roman" w:hAnsi="Times New Roman"/>
                <w:noProof/>
                <w:color w:val="000000"/>
                <w:sz w:val="14"/>
              </w:rPr>
              <w:t>i) livraisons de céréales et de plantes industrielles, y compris les oléagineux et les betteraves sucrières, qui ne sont, en principe, pas destinés en l’état aux consommateurs finaux;</w:t>
            </w:r>
          </w:p>
        </w:tc>
        <w:tc>
          <w:tcPr>
            <w:tcW w:w="2028" w:type="dxa"/>
            <w:tcBorders>
              <w:top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(31.5.2011)</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(1.1.2014)</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r>
      <w:tr>
        <w:trPr>
          <w:trHeight w:val="1215"/>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rPr>
            </w:pPr>
            <w:r>
              <w:rPr>
                <w:rFonts w:ascii="Times New Roman" w:hAnsi="Times New Roman"/>
                <w:noProof/>
                <w:color w:val="000000"/>
                <w:sz w:val="14"/>
              </w:rPr>
              <w:t>j) livraisons de métaux bruts ou semi-finis, y compris les métaux précieux, lorsqu’ils ne sont pas par ailleurs couverts par l’article 199, paragraphe 1, point d), par les régimes particuliers applicables dans le domaine des biens d’occasion, des objets d’art, de collection ou d’antiquité, établis aux articles 311 à 343, ou par le régime particulier applicable à l’or d’investissement, établi aux articles 344 à 356.</w:t>
            </w:r>
          </w:p>
        </w:tc>
        <w:tc>
          <w:tcPr>
            <w:tcW w:w="2028" w:type="dxa"/>
            <w:tcBorders>
              <w:top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(1.10.2013)</w:t>
            </w: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OUI (1.1.2014)</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rPr>
              <w:t>NON</w:t>
            </w:r>
          </w:p>
        </w:tc>
      </w:tr>
    </w:tbl>
    <w:p>
      <w:pPr>
        <w:rPr>
          <w:noProof/>
        </w:rPr>
      </w:pPr>
    </w:p>
    <w:sectPr>
      <w:headerReference w:type="even" r:id="rId33"/>
      <w:headerReference w:type="default" r:id="rId34"/>
      <w:footerReference w:type="even" r:id="rId35"/>
      <w:footerReference w:type="default" r:id="rId36"/>
      <w:headerReference w:type="first" r:id="rId37"/>
      <w:footerReference w:type="first" r:id="rId3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73151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4360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01748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1011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Red"/>
    <w:docVar w:name="LW_ACCOMPAGNANT.CP" w:val="au"/>
    <w:docVar w:name="LW_ANNEX_NBR_FIRST" w:val="1"/>
    <w:docVar w:name="LW_ANNEX_NBR_LAST" w:val="1"/>
    <w:docVar w:name="LW_ANNEX_UNIQUE" w:val="1"/>
    <w:docVar w:name="LW_CORRIGENDUM" w:val="&lt;UNUSED&gt;"/>
    <w:docVar w:name="LW_COVERPAGE_EXISTS" w:val="True"/>
    <w:docVar w:name="LW_COVERPAGE_GUID" w:val="861D9BDC-69DE-4674-8FF7-568DB813241F"/>
    <w:docVar w:name="LW_COVERPAGE_TYPE" w:val="1"/>
    <w:docVar w:name="LW_CROSSREFERENCE" w:val="&lt;UNUSED&gt;"/>
    <w:docVar w:name="LW_DocType" w:val="NORMAL"/>
    <w:docVar w:name="LW_EMISSION" w:val="8.3.2018"/>
    <w:docVar w:name="LW_EMISSION_ISODATE" w:val="2018-03-08"/>
    <w:docVar w:name="LW_EMISSION_LOCATION" w:val="BRX"/>
    <w:docVar w:name="LW_EMISSION_PREFIX" w:val="Bruxelles, le "/>
    <w:docVar w:name="LW_EMISSION_SUFFIX" w:val="&lt;EMPTY&gt;"/>
    <w:docVar w:name="LW_ID_DOCTYPE_NONLW" w:val="CP-039"/>
    <w:docVar w:name="LW_LANGUE" w:val="FR"/>
    <w:docVar w:name="LW_LEVEL_OF_SENSITIVITY" w:val="Standard treatment"/>
    <w:docVar w:name="LW_NOM.INST" w:val="COMMISSION EUROPÉENNE"/>
    <w:docVar w:name="LW_NOM.INST_JOINTDOC" w:val="&lt;EMPTY&gt;"/>
    <w:docVar w:name="LW_OBJETACTEPRINCIPAL.CP" w:val="&lt;FMT:Font=TimesNewRoman&gt;sur les effets des articles 199 &lt;/FMT&gt;&lt;FMT:Font=TimesNewRoman,Italic&gt;bis &lt;/FMT&gt;&lt;FMT:Font=TimesNewRoman&gt;et 199 &lt;/FMT&gt;&lt;FMT:Font=TimesNewRoman,Italic&gt;ter &lt;/FMT&gt;&lt;FMT:Font=TimesNewRoman&gt;de la directive 2006/112/CE du Conseil sur la lutte contre la fraude&lt;/FMT&gt;_x000b__x000b_"/>
    <w:docVar w:name="LW_PART_NBR" w:val="1"/>
    <w:docVar w:name="LW_PART_NBR_TOTAL" w:val="1"/>
    <w:docVar w:name="LW_REF.INST.NEW" w:val="COM"/>
    <w:docVar w:name="LW_REF.INST.NEW_ADOPTED" w:val="final"/>
    <w:docVar w:name="LW_REF.INST.NEW_TEXT" w:val="(2018) 1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Rapport de la Commission au Conseil et au Parlement europée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fr-FR"/>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lang w:val="fr-FR"/>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lang w:val="fr-FR"/>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fr-FR"/>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lang w:val="fr-FR"/>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lang w:val="fr-FR"/>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91844">
      <w:bodyDiv w:val="1"/>
      <w:marLeft w:val="0"/>
      <w:marRight w:val="0"/>
      <w:marTop w:val="0"/>
      <w:marBottom w:val="0"/>
      <w:divBdr>
        <w:top w:val="none" w:sz="0" w:space="0" w:color="auto"/>
        <w:left w:val="none" w:sz="0" w:space="0" w:color="auto"/>
        <w:bottom w:val="none" w:sz="0" w:space="0" w:color="auto"/>
        <w:right w:val="none" w:sz="0" w:space="0" w:color="auto"/>
      </w:divBdr>
    </w:div>
    <w:div w:id="689989498">
      <w:bodyDiv w:val="1"/>
      <w:marLeft w:val="0"/>
      <w:marRight w:val="0"/>
      <w:marTop w:val="0"/>
      <w:marBottom w:val="0"/>
      <w:divBdr>
        <w:top w:val="none" w:sz="0" w:space="0" w:color="auto"/>
        <w:left w:val="none" w:sz="0" w:space="0" w:color="auto"/>
        <w:bottom w:val="none" w:sz="0" w:space="0" w:color="auto"/>
        <w:right w:val="none" w:sz="0" w:space="0" w:color="auto"/>
      </w:divBdr>
    </w:div>
    <w:div w:id="758479562">
      <w:bodyDiv w:val="1"/>
      <w:marLeft w:val="0"/>
      <w:marRight w:val="0"/>
      <w:marTop w:val="0"/>
      <w:marBottom w:val="0"/>
      <w:divBdr>
        <w:top w:val="none" w:sz="0" w:space="0" w:color="auto"/>
        <w:left w:val="none" w:sz="0" w:space="0" w:color="auto"/>
        <w:bottom w:val="none" w:sz="0" w:space="0" w:color="auto"/>
        <w:right w:val="none" w:sz="0" w:space="0" w:color="auto"/>
      </w:divBdr>
    </w:div>
    <w:div w:id="809785951">
      <w:bodyDiv w:val="1"/>
      <w:marLeft w:val="0"/>
      <w:marRight w:val="0"/>
      <w:marTop w:val="0"/>
      <w:marBottom w:val="0"/>
      <w:divBdr>
        <w:top w:val="none" w:sz="0" w:space="0" w:color="auto"/>
        <w:left w:val="none" w:sz="0" w:space="0" w:color="auto"/>
        <w:bottom w:val="none" w:sz="0" w:space="0" w:color="auto"/>
        <w:right w:val="none" w:sz="0" w:space="0" w:color="auto"/>
      </w:divBdr>
    </w:div>
    <w:div w:id="1014459218">
      <w:bodyDiv w:val="1"/>
      <w:marLeft w:val="0"/>
      <w:marRight w:val="0"/>
      <w:marTop w:val="0"/>
      <w:marBottom w:val="0"/>
      <w:divBdr>
        <w:top w:val="none" w:sz="0" w:space="0" w:color="auto"/>
        <w:left w:val="none" w:sz="0" w:space="0" w:color="auto"/>
        <w:bottom w:val="none" w:sz="0" w:space="0" w:color="auto"/>
        <w:right w:val="none" w:sz="0" w:space="0" w:color="auto"/>
      </w:divBdr>
    </w:div>
    <w:div w:id="1300306285">
      <w:bodyDiv w:val="1"/>
      <w:marLeft w:val="0"/>
      <w:marRight w:val="0"/>
      <w:marTop w:val="0"/>
      <w:marBottom w:val="0"/>
      <w:divBdr>
        <w:top w:val="none" w:sz="0" w:space="0" w:color="auto"/>
        <w:left w:val="none" w:sz="0" w:space="0" w:color="auto"/>
        <w:bottom w:val="none" w:sz="0" w:space="0" w:color="auto"/>
        <w:right w:val="none" w:sz="0" w:space="0" w:color="auto"/>
      </w:divBdr>
    </w:div>
    <w:div w:id="1556970897">
      <w:bodyDiv w:val="1"/>
      <w:marLeft w:val="0"/>
      <w:marRight w:val="0"/>
      <w:marTop w:val="0"/>
      <w:marBottom w:val="0"/>
      <w:divBdr>
        <w:top w:val="none" w:sz="0" w:space="0" w:color="auto"/>
        <w:left w:val="none" w:sz="0" w:space="0" w:color="auto"/>
        <w:bottom w:val="none" w:sz="0" w:space="0" w:color="auto"/>
        <w:right w:val="none" w:sz="0" w:space="0" w:color="auto"/>
      </w:divBdr>
    </w:div>
    <w:div w:id="174294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AEE4E-00EC-4169-B0E0-FA1DBD76B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1840</Words>
  <Characters>9755</Characters>
  <Application>Microsoft Office Word</Application>
  <DocSecurity>0</DocSecurity>
  <Lines>487</Lines>
  <Paragraphs>414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2017-11-13T10:45:00Z</cp:lastPrinted>
  <dcterms:created xsi:type="dcterms:W3CDTF">2018-02-23T13:09:00Z</dcterms:created>
  <dcterms:modified xsi:type="dcterms:W3CDTF">2018-03-06T14:30:00Z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