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alt="CD8082C1-59D1-4215-AA4E-ABFCB5D47052" style="width:450.75pt;height:380.25pt">
            <v:imagedata r:id="rId8" o:title=""/>
          </v:shape>
        </w:pict>
      </w:r>
    </w:p>
    <w:bookmarkEnd w:id="0"/>
    <w:p>
      <w:pPr>
        <w:rPr>
          <w:noProof/>
        </w:rPr>
      </w:pPr>
      <w:r>
        <w:rPr>
          <w:noProof/>
        </w:rPr>
        <w:br w:type="page"/>
      </w:r>
    </w:p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jc w:val="center"/>
        <w:rPr>
          <w:noProof/>
        </w:rPr>
      </w:pPr>
      <w:bookmarkStart w:id="1" w:name="_GoBack"/>
      <w:bookmarkEnd w:id="1"/>
      <w:r>
        <w:rPr>
          <w:noProof/>
        </w:rPr>
        <w:lastRenderedPageBreak/>
        <w:t>Използване от държавите членки на механизма за обратно начисляване въз основа на член 199а от Директивата за ДДС</w:t>
      </w: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5104"/>
        <w:gridCol w:w="2147"/>
        <w:gridCol w:w="1822"/>
        <w:gridCol w:w="1134"/>
        <w:gridCol w:w="1276"/>
        <w:gridCol w:w="1984"/>
        <w:gridCol w:w="1985"/>
      </w:tblGrid>
      <w:tr>
        <w:trPr>
          <w:cantSplit/>
          <w:trHeight w:val="274"/>
          <w:tblHeader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Държави членки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noProof/>
                <w:color w:val="000000"/>
                <w:sz w:val="14"/>
                <w:szCs w:val="14"/>
              </w:rPr>
            </w:pPr>
          </w:p>
        </w:tc>
      </w:tr>
      <w:tr>
        <w:trPr>
          <w:cantSplit/>
          <w:trHeight w:val="4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noProof/>
                <w:color w:val="000000"/>
                <w:sz w:val="14"/>
              </w:rPr>
              <w:t>Доставки на стоки и услуги по член 199а, параграф 1 от Директивата за ДДС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14"/>
              </w:rPr>
              <w:t>AT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14"/>
              </w:rPr>
              <w:t>BE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14"/>
              </w:rPr>
              <w:t>BG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14"/>
              </w:rPr>
              <w:t>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14"/>
              </w:rPr>
              <w:t>CZ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b/>
                <w:noProof/>
                <w:color w:val="000000"/>
                <w:sz w:val="14"/>
              </w:rPr>
              <w:t>DK</w:t>
            </w:r>
          </w:p>
        </w:tc>
      </w:tr>
      <w:tr>
        <w:trPr>
          <w:trHeight w:val="82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а) прехвърлянето на квоти за емисии на парникови газове, както са определени в член 3 от Директива 2003/87/ЕО на Европейския парламент и на Съвета от 13 октомври 2003 г. за установяване на схема за търговия с квоти за емисии на парникови газове в рамките на Общността, които могат да се прехвърлят в съответствие с член 12 от същата директива;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(1.7.2010 г.)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(18.1.2010 г.)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(1.4.2011 г.)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(9.4.2010 г.)</w:t>
            </w:r>
          </w:p>
        </w:tc>
      </w:tr>
      <w:tr>
        <w:trPr>
          <w:trHeight w:val="5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б) прехвърлянето на други единици, които могат да се използват от операторите за постигане на съответствие със същата директива;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(1.7.2010 г.)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(18.1.2010 г.)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(9.4.2010 г.)</w:t>
            </w:r>
          </w:p>
        </w:tc>
      </w:tr>
      <w:tr>
        <w:trPr>
          <w:trHeight w:val="6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в) доставки на мобилни телефони, които са устройства, изработени или приспособени за употреба във връзка с лицензирана мрежа и работещи на определени честоти, независимо от това дали се използват за други цели;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(1.1.2012 г.)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(1.4.2015 г.)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(1.7.2014 г.)</w:t>
            </w:r>
          </w:p>
        </w:tc>
      </w:tr>
      <w:tr>
        <w:trPr>
          <w:trHeight w:val="70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г) доставки на устройства с интегрални схеми като микропроцесори и централни процесори преди интегрирането им в продукти, предназначени за крайния потребител;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(1.1.2012 г.)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(1.4.2015 г.)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(1.7.2014 г.)</w:t>
            </w:r>
          </w:p>
        </w:tc>
      </w:tr>
      <w:tr>
        <w:trPr>
          <w:trHeight w:val="40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д) доставки на газ и електроенергия за данъчнозадължен дилър съгласно член 38, параграф 2;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(1.1.2014 г.)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(1.2.2016 г.)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(1.7.2015 г.)</w:t>
            </w:r>
          </w:p>
        </w:tc>
      </w:tr>
      <w:tr>
        <w:trPr>
          <w:trHeight w:val="41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е) доставки на сертификати за газ и електроенергия;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(1.1.2014 г.)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(1.2.2016 г.)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(1.7.2015 г.)</w:t>
            </w:r>
          </w:p>
        </w:tc>
      </w:tr>
      <w:tr>
        <w:trPr>
          <w:trHeight w:val="4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ж) доставки на далекосъобщителни услуги съгласно член 24, параграф 2;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(1.10 2016 г.)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</w:tr>
      <w:tr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з) доставки на конзоли за видеоигри, таблети и лаптопи;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(1.1.2014 г.)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(1.4.2015 г.)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(1.7.2014 г.)</w:t>
            </w:r>
          </w:p>
        </w:tc>
      </w:tr>
      <w:tr>
        <w:trPr>
          <w:trHeight w:val="60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и) доставки на зърнени храни и индустриални култури, в т.ч. маслодайни семена и захарно цвекло, които обикновено не се използват в непреработен вид за крайно потребление;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(1.12.2013 г.)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(1.4.2015 г. (разширен обхват на 1.7.2015 г. и на 1.9.2015 г.)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</w:tr>
      <w:tr>
        <w:trPr>
          <w:trHeight w:val="15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й) доставки на необработени или полуобработени метали, в т.ч. благородни метали, ако не са обхванати от член 199, параграф 1, буква г), специалните договорености относно стоките втора употреба, произведенията на изкуството, колекционерските и антикварните предмети в съответствие с членове 311—343 или специалната схема за инвестиционно злато в съответствие с членове 344—356.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(1.1.2014 г.)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 е приложимо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(1.4.2015 г.)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Times New Roman"/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</w:tr>
    </w:tbl>
    <w:p>
      <w:pPr>
        <w:spacing w:after="0" w:line="240" w:lineRule="auto"/>
        <w:rPr>
          <w:rFonts w:ascii="Arial" w:eastAsia="Times New Roman" w:hAnsi="Arial" w:cs="Arial"/>
          <w:b/>
          <w:bCs/>
          <w:noProof/>
          <w:color w:val="000000"/>
          <w:sz w:val="14"/>
          <w:szCs w:val="14"/>
        </w:rPr>
        <w:sectPr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 w:code="9"/>
          <w:pgMar w:top="1418" w:right="1134" w:bottom="1418" w:left="1134" w:header="709" w:footer="709" w:gutter="0"/>
          <w:pgNumType w:start="1"/>
          <w:cols w:space="720"/>
          <w:docGrid w:linePitch="360"/>
        </w:sect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4693"/>
        <w:gridCol w:w="2268"/>
        <w:gridCol w:w="4536"/>
        <w:gridCol w:w="1276"/>
        <w:gridCol w:w="1220"/>
        <w:gridCol w:w="1048"/>
      </w:tblGrid>
      <w:tr>
        <w:trPr>
          <w:trHeight w:val="4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noProof/>
                <w:color w:val="000000"/>
                <w:sz w:val="14"/>
              </w:rPr>
              <w:lastRenderedPageBreak/>
              <w:t>Доставки на стоки и услуги по член 199а, параграф 1 от Директивата за ДДС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noProof/>
                <w:color w:val="000000"/>
                <w:sz w:val="14"/>
              </w:rPr>
              <w:t>DE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b/>
                <w:noProof/>
                <w:color w:val="000000"/>
                <w:sz w:val="14"/>
              </w:rPr>
              <w:t>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b/>
                <w:noProof/>
                <w:color w:val="000000"/>
                <w:sz w:val="14"/>
              </w:rPr>
              <w:t>EL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b/>
                <w:noProof/>
                <w:color w:val="000000"/>
                <w:sz w:val="14"/>
              </w:rPr>
              <w:t>ES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b/>
                <w:noProof/>
                <w:color w:val="000000"/>
                <w:sz w:val="14"/>
              </w:rPr>
              <w:t>FI</w:t>
            </w:r>
          </w:p>
        </w:tc>
      </w:tr>
      <w:tr>
        <w:trPr>
          <w:trHeight w:val="9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а) прехвърлянето на квоти за емисии на парникови газове, както са определени в член 3 от Директива 2003/87/ЕО на Европейския парламент и на Съвета от 13 октомври 2003 г. за установяване на схема за търговия с квоти за емисии на парникови газове в рамките на Общността, които могат да се прехвърлят в съответствие с член 12 от посочената директива;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(1.7.2010 г.)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(1.1.2011 г.)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(1.8.2010 г.)</w:t>
            </w:r>
          </w:p>
        </w:tc>
      </w:tr>
      <w:tr>
        <w:trPr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б) прехвърлянето на други единици, които могат да се използват от операторите за постигане на съответствие със същата директива;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(1.8.2010 г.)</w:t>
            </w:r>
          </w:p>
        </w:tc>
      </w:tr>
      <w:tr>
        <w:trPr>
          <w:trHeight w:val="9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в) доставки на мобилни телефони, които са устройства, изработени или приспособени за употреба във връзка с лицензирана мрежа и работещи на определени честоти, независимо от това дали се използват за други цели;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(1.7.2011 г.)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(1.4.2015 г.)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</w:tr>
      <w:tr>
        <w:trPr>
          <w:trHeight w:val="12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г) доставки на устройства с интегрални схеми като микропроцесори и централни процесори преди интегрирането им в продукти, предназначени за крайния потребител;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(1.7.2011 г.)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</w:tr>
      <w:tr>
        <w:trPr>
          <w:trHeight w:val="6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д) доставки на газ и електроенергия за данъчнозадължен дилър съгласно член 38, параграф 2;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(1.9.2013 г.)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</w:tr>
      <w:tr>
        <w:trPr>
          <w:trHeight w:val="7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е) доставки на сертификати за газ и електроенергия;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</w:tr>
      <w:tr>
        <w:trPr>
          <w:trHeight w:val="4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ж) доставки на далекосъобщителни услуги съгласно член 24, параграф 2;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</w:tr>
      <w:tr>
        <w:trPr>
          <w:trHeight w:val="4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з) доставки на конзоли за видеоигри, таблети и лаптопи;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ДА, без лаптопи (1.10.2014 г.)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(1.4.2015 г.)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</w:tr>
      <w:tr>
        <w:trPr>
          <w:trHeight w:val="8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и) доставки на зърнени храни и индустриални култури, в т.ч. маслодайни семена и захарно цвекло, които обикновено не се използват в непреработен вид за крайно потребление;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</w:tr>
      <w:tr>
        <w:trPr>
          <w:trHeight w:val="12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й) доставки на необработени или полуобработени метали, в т.ч. благородни метали, ако не са обхванати от член 199, параграф 1, буква г), специалните договорености относно стоките втора употреба, произведенията на изкуството, колекционерските и антикварните предмети в съответствие с членове 311—343 или специалната схема за инвестиционно злато в съответствие с членове 344—356.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(1.10.2014 г.)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(1.7.2014 г.) механизмът за обратно начиляване, който се прилага от 1.7.2014 г. върху метали, се отнася за благородни метали за целите на Закона за изделията от благородни метали, с изключение на инвестиционно злато, и за метален материал, съдържащ благородни метали, включително отпадъци, съдържащи благородни метали, ако те са прехвърлени на данъчнозадълженото лице, което не притежава разрешително за третиране на отпадъци; механизмът за обратно начиляване, който се прилага от 1.1.2017 г., се отнася до метални продукти с кодове по КН 7208-7220 (с изключение на заваръчната тел и пръти за заваряване) 7222, 7225, 7226, 7228 (с изключение на пръти за заваряване), 73011000, 730300—7306, 73081000, 73082000, 73121061, 73121069, 731420 и 73143900.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(1.4.2015 г.)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</w:tr>
    </w:tbl>
    <w:p>
      <w:pPr>
        <w:rPr>
          <w:noProof/>
        </w:rPr>
        <w:sectPr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500"/>
        <w:gridCol w:w="1036"/>
        <w:gridCol w:w="1204"/>
        <w:gridCol w:w="1120"/>
        <w:gridCol w:w="1787"/>
        <w:gridCol w:w="1275"/>
        <w:gridCol w:w="993"/>
        <w:gridCol w:w="567"/>
        <w:gridCol w:w="992"/>
        <w:gridCol w:w="567"/>
      </w:tblGrid>
      <w:tr>
        <w:trPr>
          <w:trHeight w:val="46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noProof/>
                <w:color w:val="000000"/>
                <w:sz w:val="14"/>
              </w:rPr>
              <w:t>Доставки на стоки и услуги по член 199а, параграф 1 от Директивата за ДДС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b/>
                <w:noProof/>
                <w:color w:val="000000"/>
                <w:sz w:val="14"/>
              </w:rPr>
              <w:t>FR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b/>
                <w:noProof/>
                <w:color w:val="000000"/>
                <w:sz w:val="14"/>
              </w:rPr>
              <w:t>HR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b/>
                <w:noProof/>
                <w:color w:val="000000"/>
                <w:sz w:val="14"/>
              </w:rPr>
              <w:t>HU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b/>
                <w:noProof/>
                <w:color w:val="000000"/>
                <w:sz w:val="14"/>
              </w:rPr>
              <w:t>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b/>
                <w:noProof/>
                <w:color w:val="000000"/>
                <w:sz w:val="14"/>
              </w:rPr>
              <w:t>IT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b/>
                <w:noProof/>
                <w:color w:val="000000"/>
                <w:sz w:val="14"/>
              </w:rPr>
              <w:t>LV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b/>
                <w:noProof/>
                <w:color w:val="000000"/>
                <w:sz w:val="14"/>
              </w:rPr>
              <w:t>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b/>
                <w:noProof/>
                <w:color w:val="000000"/>
                <w:sz w:val="14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b/>
                <w:noProof/>
                <w:color w:val="000000"/>
                <w:sz w:val="14"/>
              </w:rPr>
              <w:t>MT</w:t>
            </w:r>
          </w:p>
        </w:tc>
      </w:tr>
      <w:tr>
        <w:trPr>
          <w:trHeight w:val="9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а) прехвърлянето на квоти за емисии на парникови газове, както са определени в член 3 от Директива 2003/87/ЕО на Европейския парламент и на Съвета от 13 октомври 2003 г. за установяване на схема за търговия с квоти за емисии на парникови газове в рамките на Общността, които могат да се прехвърлят в съответствие с член 12 от посочената директива;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A"/>
                <w:sz w:val="12"/>
                <w:szCs w:val="12"/>
              </w:rPr>
            </w:pPr>
            <w:r>
              <w:rPr>
                <w:noProof/>
                <w:color w:val="00000A"/>
                <w:sz w:val="12"/>
              </w:rPr>
              <w:t xml:space="preserve">ДА </w:t>
            </w:r>
            <w:r>
              <w:rPr>
                <w:noProof/>
                <w:color w:val="00000A"/>
                <w:sz w:val="12"/>
                <w:szCs w:val="12"/>
              </w:rPr>
              <w:br/>
            </w:r>
            <w:r>
              <w:rPr>
                <w:noProof/>
                <w:color w:val="00000A"/>
                <w:sz w:val="12"/>
              </w:rPr>
              <w:t>(1.1.2011 г.)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(1.7.2013 г.)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 xml:space="preserve">ДА </w:t>
            </w:r>
            <w:r>
              <w:rPr>
                <w:noProof/>
                <w:color w:val="000000"/>
                <w:sz w:val="12"/>
                <w:szCs w:val="12"/>
              </w:rPr>
              <w:br/>
            </w:r>
            <w:r>
              <w:rPr>
                <w:noProof/>
                <w:color w:val="000000"/>
                <w:sz w:val="12"/>
              </w:rPr>
              <w:t>(1.1.2011 г.)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 xml:space="preserve">ДА </w:t>
            </w:r>
            <w:r>
              <w:rPr>
                <w:noProof/>
                <w:color w:val="000000"/>
                <w:sz w:val="12"/>
                <w:szCs w:val="12"/>
              </w:rPr>
              <w:br/>
            </w:r>
            <w:r>
              <w:rPr>
                <w:noProof/>
                <w:color w:val="000000"/>
                <w:sz w:val="12"/>
              </w:rPr>
              <w:t>(8.4.2010 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(1.1.2015 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(1.7.2010 г.)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</w:tr>
      <w:tr>
        <w:trPr>
          <w:trHeight w:val="55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б) прехвърлянето на други единици, които могат да се използват от операторите за постигане на съответствие със същата директива;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A"/>
                <w:sz w:val="12"/>
                <w:szCs w:val="12"/>
              </w:rPr>
            </w:pPr>
            <w:r>
              <w:rPr>
                <w:noProof/>
                <w:color w:val="00000A"/>
                <w:sz w:val="12"/>
              </w:rPr>
              <w:t>НЕ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</w:t>
            </w:r>
            <w:r>
              <w:rPr>
                <w:noProof/>
                <w:color w:val="000000"/>
                <w:sz w:val="12"/>
                <w:szCs w:val="12"/>
              </w:rPr>
              <w:br/>
            </w:r>
            <w:r>
              <w:rPr>
                <w:noProof/>
                <w:color w:val="000000"/>
                <w:sz w:val="12"/>
              </w:rPr>
              <w:t>(1.1.2011 г.)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 xml:space="preserve">ДА </w:t>
            </w:r>
            <w:r>
              <w:rPr>
                <w:noProof/>
                <w:color w:val="000000"/>
                <w:sz w:val="12"/>
                <w:szCs w:val="12"/>
              </w:rPr>
              <w:br/>
            </w:r>
            <w:r>
              <w:rPr>
                <w:noProof/>
                <w:color w:val="000000"/>
                <w:sz w:val="12"/>
              </w:rPr>
              <w:t>(8.4.2010 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(1.1.2015 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(1.7.2010 г.)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</w:tr>
      <w:tr>
        <w:trPr>
          <w:trHeight w:val="91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в) доставки на мобилни телефони, които са устройства, изработени или приспособени за употреба във връзка с лицензирана мрежа и работещи на определени честоти, независимо от това дали се използват за други цели;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A"/>
                <w:sz w:val="12"/>
                <w:szCs w:val="12"/>
              </w:rPr>
            </w:pPr>
            <w:r>
              <w:rPr>
                <w:noProof/>
                <w:color w:val="00000A"/>
                <w:sz w:val="12"/>
              </w:rPr>
              <w:t>НЕ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(1.1.2011 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(1.4.2016 г.)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</w:tr>
      <w:tr>
        <w:trPr>
          <w:trHeight w:val="123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г) доставки на устройства с интегрални схеми като микропроцесори и централни процесори преди интегрирането им в продукти, предназначени за крайния потребител;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A"/>
                <w:sz w:val="12"/>
                <w:szCs w:val="12"/>
              </w:rPr>
            </w:pPr>
            <w:r>
              <w:rPr>
                <w:noProof/>
                <w:color w:val="00000A"/>
                <w:sz w:val="12"/>
              </w:rPr>
              <w:t>НЕ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(1.1.2011 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(1.4.2016 г.)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</w:tr>
      <w:tr>
        <w:trPr>
          <w:trHeight w:val="64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д) доставки на газ и електроенергия за данъчнозадължен дилър съгласно член 38, параграф 2;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A"/>
                <w:sz w:val="12"/>
                <w:szCs w:val="12"/>
              </w:rPr>
            </w:pPr>
            <w:r>
              <w:rPr>
                <w:noProof/>
                <w:color w:val="00000A"/>
                <w:sz w:val="12"/>
              </w:rPr>
              <w:t>ДА</w:t>
            </w:r>
            <w:r>
              <w:rPr>
                <w:noProof/>
                <w:color w:val="00000A"/>
                <w:sz w:val="12"/>
                <w:szCs w:val="12"/>
              </w:rPr>
              <w:br/>
            </w:r>
            <w:r>
              <w:rPr>
                <w:noProof/>
                <w:color w:val="00000A"/>
                <w:sz w:val="12"/>
              </w:rPr>
              <w:t>(1.1.2005 г.)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 xml:space="preserve">ДА </w:t>
            </w:r>
            <w:r>
              <w:rPr>
                <w:noProof/>
                <w:color w:val="000000"/>
                <w:sz w:val="12"/>
                <w:szCs w:val="12"/>
              </w:rPr>
              <w:br/>
            </w:r>
            <w:r>
              <w:rPr>
                <w:noProof/>
                <w:color w:val="000000"/>
                <w:sz w:val="12"/>
              </w:rPr>
              <w:t>(1.1.2016 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(1.1.2015 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</w:tr>
      <w:tr>
        <w:trPr>
          <w:trHeight w:val="75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е) доставки на сертификати за газ и електроенергия;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A"/>
                <w:sz w:val="12"/>
                <w:szCs w:val="12"/>
              </w:rPr>
            </w:pPr>
            <w:r>
              <w:rPr>
                <w:noProof/>
                <w:color w:val="00000A"/>
                <w:sz w:val="12"/>
              </w:rPr>
              <w:t>НЕ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 xml:space="preserve">ДА </w:t>
            </w:r>
            <w:r>
              <w:rPr>
                <w:noProof/>
                <w:color w:val="000000"/>
                <w:sz w:val="12"/>
                <w:szCs w:val="12"/>
              </w:rPr>
              <w:br/>
            </w:r>
            <w:r>
              <w:rPr>
                <w:noProof/>
                <w:color w:val="000000"/>
                <w:sz w:val="12"/>
              </w:rPr>
              <w:t>(1.1.2016 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(1.1.2015 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</w:tr>
      <w:tr>
        <w:trPr>
          <w:trHeight w:val="45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ж) доставки на далекосъобщителни услуги съгласно член 24, параграф 2;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A"/>
                <w:sz w:val="12"/>
                <w:szCs w:val="12"/>
              </w:rPr>
            </w:pPr>
            <w:r>
              <w:rPr>
                <w:noProof/>
                <w:color w:val="00000A"/>
                <w:sz w:val="12"/>
              </w:rPr>
              <w:t>ДА</w:t>
            </w:r>
            <w:r>
              <w:rPr>
                <w:noProof/>
                <w:color w:val="00000A"/>
                <w:sz w:val="12"/>
                <w:szCs w:val="12"/>
              </w:rPr>
              <w:br/>
            </w:r>
            <w:r>
              <w:rPr>
                <w:noProof/>
                <w:color w:val="00000A"/>
                <w:sz w:val="12"/>
              </w:rPr>
              <w:t>(1.4.2012 г.)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</w:tr>
      <w:tr>
        <w:trPr>
          <w:trHeight w:val="48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з) доставки на конзоли за видеоигри, таблети и лаптопи;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A"/>
                <w:sz w:val="12"/>
                <w:szCs w:val="12"/>
              </w:rPr>
            </w:pPr>
            <w:r>
              <w:rPr>
                <w:noProof/>
                <w:color w:val="00000A"/>
                <w:sz w:val="12"/>
              </w:rPr>
              <w:t>НЕ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(2.5.2016 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(1.4.2016 г.)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</w:tr>
      <w:tr>
        <w:trPr>
          <w:trHeight w:val="88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и) доставки на зърнени храни и индустриални култури, в т.ч. маслодайни семена и захарно цвекло, които обикновено не се използват в непреработен вид за крайно потребление;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A"/>
                <w:sz w:val="12"/>
                <w:szCs w:val="12"/>
              </w:rPr>
            </w:pPr>
            <w:r>
              <w:rPr>
                <w:noProof/>
                <w:color w:val="00000A"/>
                <w:sz w:val="12"/>
              </w:rPr>
              <w:t>НЕ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(1.1.2012 г. въз основа на дерогация преди 1.1.2014 г.)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(1.6.2016 г.)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</w:tr>
      <w:tr>
        <w:trPr>
          <w:trHeight w:val="121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й) доставки на необработени или полуобработени метали, в т.ч. благородни метали, ако не са обхванати от член 199, параграф 1, буква г), специалните договорености относно стоките втора употреба, произведенията на изкуството, колекционерските и антикварните предмети в съответствие с членове 311—343 или специалната схема за инвестиционно злато в съответствие с членове 344—356.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A"/>
                <w:sz w:val="12"/>
                <w:szCs w:val="12"/>
              </w:rPr>
            </w:pPr>
            <w:r>
              <w:rPr>
                <w:noProof/>
                <w:color w:val="00000A"/>
                <w:sz w:val="12"/>
              </w:rPr>
              <w:t>НЕ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 xml:space="preserve">ДА (1.7.2013 г. съгласно специални условия, приложими за специалната схема за инвестиционно злато в съответствие с членове 344—356)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(1.1.2015 г.)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(1.1.2017 г.)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</w:tr>
    </w:tbl>
    <w:p>
      <w:pPr>
        <w:rPr>
          <w:noProof/>
        </w:rPr>
        <w:sectPr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00"/>
        <w:gridCol w:w="2028"/>
        <w:gridCol w:w="1276"/>
        <w:gridCol w:w="709"/>
        <w:gridCol w:w="1134"/>
        <w:gridCol w:w="992"/>
        <w:gridCol w:w="992"/>
        <w:gridCol w:w="992"/>
        <w:gridCol w:w="1418"/>
      </w:tblGrid>
      <w:tr>
        <w:trPr>
          <w:trHeight w:val="46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noProof/>
                <w:color w:val="000000"/>
                <w:sz w:val="14"/>
              </w:rPr>
              <w:t>Доставки на стоки и услуги по член 199а, параграф 1 от Директивата за ДДС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b/>
                <w:noProof/>
                <w:color w:val="000000"/>
                <w:sz w:val="14"/>
              </w:rPr>
              <w:t>NL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b/>
                <w:noProof/>
                <w:color w:val="000000"/>
                <w:sz w:val="14"/>
              </w:rPr>
              <w:t>PL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b/>
                <w:noProof/>
                <w:color w:val="000000"/>
                <w:sz w:val="14"/>
              </w:rPr>
              <w:t>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b/>
                <w:noProof/>
                <w:color w:val="000000"/>
                <w:sz w:val="14"/>
              </w:rPr>
              <w:t>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b/>
                <w:noProof/>
                <w:color w:val="000000"/>
                <w:sz w:val="14"/>
              </w:rPr>
              <w:t>SK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b/>
                <w:noProof/>
                <w:color w:val="000000"/>
                <w:sz w:val="14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b/>
                <w:noProof/>
                <w:color w:val="000000"/>
                <w:sz w:val="14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noProof/>
                <w:color w:val="000000"/>
                <w:sz w:val="14"/>
                <w:szCs w:val="14"/>
              </w:rPr>
            </w:pPr>
            <w:r>
              <w:rPr>
                <w:b/>
                <w:noProof/>
                <w:color w:val="000000"/>
                <w:sz w:val="14"/>
              </w:rPr>
              <w:t>UK</w:t>
            </w:r>
          </w:p>
        </w:tc>
      </w:tr>
      <w:tr>
        <w:trPr>
          <w:trHeight w:val="9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а) прехвърлянето на квоти за емисии на парникови газове, както са определени в член 3 от Директива 2003/87/ЕО на Европейския парламент и на Съвета от 13 октомври 2003 г. за установяване на схема за търговия с квоти за емисии на парникови газове в рамките на Общността, които могат да се прехвърлят в съответствие с член 12 от посочената директива;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(1.1.2011 г. въз основа на член 199а, като последващо действие на националната разпоредба в сила от 14.7.2009 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(1.4.2011 г.)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(1.1.2011 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(1.1.2011 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(1.1.2011 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 xml:space="preserve">ДА </w:t>
            </w:r>
            <w:r>
              <w:rPr>
                <w:noProof/>
                <w:color w:val="000000"/>
                <w:sz w:val="12"/>
                <w:szCs w:val="12"/>
              </w:rPr>
              <w:br/>
            </w:r>
            <w:r>
              <w:rPr>
                <w:noProof/>
                <w:color w:val="000000"/>
                <w:sz w:val="12"/>
              </w:rPr>
              <w:t>(1.1.2011 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(1.11.2010 г.)</w:t>
            </w:r>
          </w:p>
        </w:tc>
      </w:tr>
      <w:tr>
        <w:trPr>
          <w:trHeight w:val="55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б) прехвърлянето на други единици, които могат да се използват от операторите за постигане на съответствие със същата директива;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(1.1.2011 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 xml:space="preserve">ДА </w:t>
            </w:r>
            <w:r>
              <w:rPr>
                <w:noProof/>
                <w:color w:val="000000"/>
                <w:sz w:val="12"/>
                <w:szCs w:val="12"/>
              </w:rPr>
              <w:br/>
            </w:r>
            <w:r>
              <w:rPr>
                <w:noProof/>
                <w:color w:val="000000"/>
                <w:sz w:val="12"/>
              </w:rPr>
              <w:t>(1.1.2011 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(1.11.2010 г.)</w:t>
            </w:r>
          </w:p>
        </w:tc>
      </w:tr>
      <w:tr>
        <w:trPr>
          <w:trHeight w:val="91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в) доставки на мобилни телефони, които са устройства, изработени или приспособени за употреба във връзка с лицензирана мрежа и работещи на определени честоти, независимо от това дали се използват за други цели;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(1.4.2013 г. въз основа на член 199а, като последващо действие от дерогацията въз основа на член 395 от Директива 2006/112/ЕО в сила от  1.6.2012 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(1.7.2015 г.)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(1.1.2016 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(1.1.2014 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(1.6.2007 г.)</w:t>
            </w:r>
          </w:p>
        </w:tc>
      </w:tr>
      <w:tr>
        <w:trPr>
          <w:trHeight w:val="123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г) доставки на устройства с интегрални схеми като микропроцесори и централни процесори преди интегрирането им в продукти, предназначени за крайния потребител;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(1.4.2013 г. въз основа на член 199а, като последващо действие от дерогацията въз основа на член 395 от Директива 2006/112/ЕО в сила от  1.6.2012 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(1.1.2017 г.)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(1.1.2016 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(1.1.2014 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(1.6.2007 г.)</w:t>
            </w:r>
          </w:p>
        </w:tc>
      </w:tr>
      <w:tr>
        <w:trPr>
          <w:trHeight w:val="64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д) доставки на газ и електроенергия за данъчнозадължен дилър съгласно член 38, параграф 2;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за електроенергия</w:t>
            </w:r>
            <w:r>
              <w:rPr>
                <w:noProof/>
                <w:color w:val="000000"/>
                <w:sz w:val="12"/>
                <w:szCs w:val="12"/>
              </w:rPr>
              <w:br/>
            </w:r>
            <w:r>
              <w:rPr>
                <w:noProof/>
                <w:color w:val="000000"/>
                <w:sz w:val="12"/>
              </w:rPr>
              <w:t>(1.9.2013 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(1.7.2014 г.)</w:t>
            </w:r>
          </w:p>
        </w:tc>
      </w:tr>
      <w:tr>
        <w:trPr>
          <w:trHeight w:val="75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е) доставки на сертификати за газ и електроенергия;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за сертификати за електроенергия (от 1.9.2013 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</w:tr>
      <w:tr>
        <w:trPr>
          <w:trHeight w:val="45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ж) доставки на далекосъобщителни услуги съгласно член 24, параграф 2;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 (1.6.2017 г. въз основа на дерогация съгласно член 395 от Директива 2006/112/ЕО)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(1.2.2016 г.)</w:t>
            </w:r>
          </w:p>
        </w:tc>
      </w:tr>
      <w:tr>
        <w:trPr>
          <w:trHeight w:val="48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з) доставки на конзоли за видеоигри, таблети и лаптопи;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(1.4.2013 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(1.7.2015 г.)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(1.1.2016 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</w:tr>
      <w:tr>
        <w:trPr>
          <w:trHeight w:val="88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и) доставки на зърнени храни и индустриални култури, в т.ч. маслодайни семена и захарно цвекло, които обикновено не се използват в непреработен вид за крайно потребление;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(31.5.2011 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(1.1.2014 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</w:tr>
      <w:tr>
        <w:trPr>
          <w:trHeight w:val="121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color w:val="000000"/>
                <w:sz w:val="14"/>
              </w:rPr>
              <w:t>й) доставки на необработени или полуобработени метали, в т.ч. благородни метали, ако не са обхванати от член 199, параграф 1, буква г), специалните договорености относно стоките втора употреба, произведенията на изкуството, колекционерските и антикварните предмети в съответствие с членове 311—343 или специалната схема за инвестиционно злато в съответствие с членове 344—356.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(1.10.2013 г.)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ДА (1.1.2014 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</w:rPr>
              <w:t>НЕ</w:t>
            </w:r>
          </w:p>
        </w:tc>
      </w:tr>
    </w:tbl>
    <w:p>
      <w:pPr>
        <w:rPr>
          <w:noProof/>
        </w:rPr>
      </w:pPr>
    </w:p>
    <w:sectPr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5731517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0436010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1017486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10111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revisionView w:markup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Red"/>
    <w:docVar w:name="LW_ACCOMPAGNANT.CP" w:val="\u1082?\u1098?\u1084?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CD8082C1-59D1-4215-AA4E-ABFCB5D47052"/>
    <w:docVar w:name="LW_COVERPAGE_TYPE" w:val="1"/>
    <w:docVar w:name="LW_CROSSREFERENCE" w:val="&lt;UNUSED&gt;"/>
    <w:docVar w:name="LW_DocType" w:val="NORMAL"/>
    <w:docVar w:name="LW_EMISSION" w:val="8.3.2018"/>
    <w:docVar w:name="LW_EMISSION_ISODATE" w:val="2018-03-08"/>
    <w:docVar w:name="LW_EMISSION_LOCATION" w:val="BRX"/>
    <w:docVar w:name="LW_EMISSION_PREFIX" w:val="Брюксел, "/>
    <w:docVar w:name="LW_EMISSION_SUFFIX" w:val="\u1075?."/>
    <w:docVar w:name="LW_ID_DOCTYPE_NONLW" w:val="CP-039"/>
    <w:docVar w:name="LW_LANGUE" w:val="BG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.CP" w:val="\u1086?\u1090?\u1085?\u1086?\u1089?\u1085?\u1086? \u1088?\u1077?\u1079?\u1091?\u1083?\u1090?\u1072?\u1090?\u1072? \u1086?\u1090? \u1084?\u1077?\u1088?\u1082?\u1080?\u1090?\u1077? \u1079?\u1072? \u1073?\u1086?\u1088?\u1073?\u1072? \u1089? \u1080?\u1079?\u1084?\u1072?\u1084?\u1080?\u1090?\u1077? \u1089?\u1098?\u1075?\u1083?\u1072?\u1089?\u1085?\u1086? \u1095?\u1083?\u1077?\u1085?\u1086?\u1074?\u1077? 199a \u1080? 199\u1073? \u1086?\u1090? \u1044?\u1080?\u1088?\u1077?\u1082?\u1090?\u1080?\u1074?\u1072? 2006/112/E\u1054? \u1085?\u1072? \u1057?\u1098?\u1074?\u1077?\u1090?\u1072?"/>
    <w:docVar w:name="LW_PART_NBR" w:val="1"/>
    <w:docVar w:name="LW_PART_NBR_TOTAL" w:val="1"/>
    <w:docVar w:name="LW_REF.INST.NEW" w:val="COM"/>
    <w:docVar w:name="LW_REF.INST.NEW_ADOPTED" w:val="final"/>
    <w:docVar w:name="LW_REF.INST.NEW_TEXT" w:val="(2018) 118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YPE.DOC.CP" w:val="\u1055?\u1056?\u1048?\u1051?\u1054?\u1046?\u1045?\u1053?\u1048?\u1045?_x000b_"/>
    <w:docVar w:name="LW_TYPEACTEPRINCIPAL.CP" w:val="\u1044?\u1086?\u1082?\u1083?\u1072?\u1076? \u1086?\u1090? \u1050?\u1086?\u1084?\u1080?\u1089?\u1080?\u1103?\u1090?\u1072? \u1076?\u1086? \u1057?\u1098?\u1074?\u1077?\u1090?\u1072? \u1080? \u1045?\u1074?\u1088?\u1086?\u1087?\u1077?\u1081?\u1089?\u1082?\u1080?\u1103? \u1087?\u1072?\u1088?\u1083?\u1072?\u1084?\u1077?\u1085?\u1090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bg-BG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bg-BG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72E48-243D-42BF-839E-48205236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1820</Words>
  <Characters>9104</Characters>
  <Application>Microsoft Office Word</Application>
  <DocSecurity>0</DocSecurity>
  <Lines>505</Lines>
  <Paragraphs>420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DIGIT/A3</cp:lastModifiedBy>
  <cp:revision>19</cp:revision>
  <cp:lastPrinted>2017-11-13T10:45:00Z</cp:lastPrinted>
  <dcterms:created xsi:type="dcterms:W3CDTF">2018-02-23T13:09:00Z</dcterms:created>
  <dcterms:modified xsi:type="dcterms:W3CDTF">2018-03-06T14:32:00Z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1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DocStatus">
    <vt:lpwstr>Green</vt:lpwstr>
  </property>
</Properties>
</file>