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53" w:rsidRDefault="0033405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4704B61-6969-4776-A9F1-01A4A829D6E7" style="width:450pt;height:348pt">
            <v:imagedata r:id="rId9" o:title=""/>
          </v:shape>
        </w:pict>
      </w:r>
    </w:p>
    <w:bookmarkEnd w:id="0"/>
    <w:p w:rsidR="00FE3053" w:rsidRDefault="00FE3053">
      <w:pPr>
        <w:rPr>
          <w:noProof/>
        </w:rPr>
        <w:sectPr w:rsidR="00FE305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FE3053" w:rsidRDefault="0033405C">
      <w:pPr>
        <w:pStyle w:val="Heading1"/>
        <w:spacing w:after="200"/>
        <w:rPr>
          <w:noProof/>
        </w:rPr>
      </w:pPr>
      <w:r>
        <w:rPr>
          <w:rFonts w:ascii="Times New Roman" w:hAnsi="Times New Roman"/>
          <w:noProof/>
          <w:color w:val="auto"/>
        </w:rPr>
        <w:lastRenderedPageBreak/>
        <w:t>Въведение</w:t>
      </w:r>
    </w:p>
    <w:p w:rsidR="00FE3053" w:rsidRDefault="0033405C">
      <w:pPr>
        <w:jc w:val="both"/>
        <w:rPr>
          <w:rFonts w:ascii="Times New Roman" w:hAnsi="Times New Roman" w:cs="Times New Roman"/>
          <w:noProof/>
          <w:sz w:val="24"/>
          <w:szCs w:val="24"/>
        </w:rPr>
      </w:pPr>
      <w:r>
        <w:rPr>
          <w:rFonts w:ascii="Times New Roman" w:hAnsi="Times New Roman"/>
          <w:noProof/>
          <w:sz w:val="24"/>
        </w:rPr>
        <w:t>На 22 – 23 март 2018 г. Европейският съвет ще отчете напредъка по изпълнението на (наред с другото) Плана за действие за съюза на капиталовите</w:t>
      </w:r>
      <w:r>
        <w:rPr>
          <w:rFonts w:ascii="Times New Roman" w:hAnsi="Times New Roman"/>
          <w:noProof/>
          <w:sz w:val="24"/>
        </w:rPr>
        <w:t xml:space="preserve"> пазари</w:t>
      </w:r>
      <w:r>
        <w:rPr>
          <w:rStyle w:val="FootnoteReference"/>
          <w:noProof/>
        </w:rPr>
        <w:footnoteReference w:id="2"/>
      </w:r>
      <w:r>
        <w:rPr>
          <w:rFonts w:ascii="Times New Roman" w:hAnsi="Times New Roman"/>
          <w:noProof/>
          <w:sz w:val="24"/>
        </w:rPr>
        <w:t>.</w:t>
      </w:r>
      <w:r>
        <w:rPr>
          <w:noProof/>
        </w:rPr>
        <w:t xml:space="preserve"> </w:t>
      </w:r>
      <w:r>
        <w:rPr>
          <w:rFonts w:ascii="Times New Roman" w:hAnsi="Times New Roman"/>
          <w:noProof/>
          <w:sz w:val="24"/>
        </w:rPr>
        <w:t xml:space="preserve">Това е важен приоритет за Европейския съюз и част от Плана за инвестиции за Европа. Единният капиталов пазар е от полза за целия ЕС, но е особено значим за онези държави членки, които са приели еврото като обща парична единица. </w:t>
      </w:r>
    </w:p>
    <w:p w:rsidR="00FE3053" w:rsidRDefault="0033405C">
      <w:pPr>
        <w:jc w:val="both"/>
        <w:rPr>
          <w:rFonts w:ascii="Times New Roman" w:hAnsi="Times New Roman" w:cs="Times New Roman"/>
          <w:noProof/>
          <w:sz w:val="24"/>
          <w:szCs w:val="24"/>
        </w:rPr>
      </w:pPr>
      <w:r>
        <w:rPr>
          <w:rFonts w:ascii="Times New Roman" w:hAnsi="Times New Roman"/>
          <w:noProof/>
          <w:sz w:val="24"/>
        </w:rPr>
        <w:t>Дълбоките и обеди</w:t>
      </w:r>
      <w:r>
        <w:rPr>
          <w:rFonts w:ascii="Times New Roman" w:hAnsi="Times New Roman"/>
          <w:noProof/>
          <w:sz w:val="24"/>
        </w:rPr>
        <w:t xml:space="preserve">нени капиталови пазари насърчават поделянето на риска в частния сектор в презграничен план в еврозоната и отвъд нея, като по този начин се стимулира производителното и новаторско използване на частния капитал, разширяват се и се разнообразяват източниците </w:t>
      </w:r>
      <w:r>
        <w:rPr>
          <w:rFonts w:ascii="Times New Roman" w:hAnsi="Times New Roman"/>
          <w:noProof/>
          <w:sz w:val="24"/>
        </w:rPr>
        <w:t>и средствата за финансиране на реалната икономика и се намалява потребността от поделяне на риска в публичния сектор. Заедно с други фактори, върху които е работила Комисията, например изграждането на обединен и справедлив пазар на труда и прозрачна данъчн</w:t>
      </w:r>
      <w:r>
        <w:rPr>
          <w:rFonts w:ascii="Times New Roman" w:hAnsi="Times New Roman"/>
          <w:noProof/>
          <w:sz w:val="24"/>
        </w:rPr>
        <w:t>а система, защитена срещу злоупотреби, и намаляването на необслужваните заеми, това е от ключово значение за способността на икономиките в ЕС да се стабилизират и да понасят икономическите сътресения, които засягат определени държави членки, региони или се</w:t>
      </w:r>
      <w:r>
        <w:rPr>
          <w:rFonts w:ascii="Times New Roman" w:hAnsi="Times New Roman"/>
          <w:noProof/>
          <w:sz w:val="24"/>
        </w:rPr>
        <w:t>ктори. Липсата на финансова диверсификация излага системата на допълнителна нестабилност, причинена от променливостта на някои финансови потоци при структурно сътресение (вж. графиката). Ако спестяванията на европейците се инвестират в диверсифициран портф</w:t>
      </w:r>
      <w:r>
        <w:rPr>
          <w:rFonts w:ascii="Times New Roman" w:hAnsi="Times New Roman"/>
          <w:noProof/>
          <w:sz w:val="24"/>
        </w:rPr>
        <w:t xml:space="preserve">ейл от финансови продукти, предлагани от широк кръг лица от различни държави членки, възвръщаемостта по тях няма да бъде толкова променлива и няма да зависи толкова от една отделна икономика. </w:t>
      </w:r>
    </w:p>
    <w:p w:rsidR="0033405C" w:rsidRDefault="0033405C">
      <w:pPr>
        <w:rPr>
          <w:rFonts w:ascii="Times New Roman" w:hAnsi="Times New Roman"/>
          <w:i/>
          <w:noProof/>
          <w:sz w:val="24"/>
        </w:rPr>
      </w:pPr>
      <w:r>
        <w:rPr>
          <w:rFonts w:ascii="Times New Roman" w:hAnsi="Times New Roman"/>
          <w:i/>
          <w:noProof/>
          <w:sz w:val="24"/>
        </w:rPr>
        <w:br w:type="page"/>
      </w:r>
    </w:p>
    <w:p w:rsidR="00FE3053" w:rsidRDefault="0033405C">
      <w:pPr>
        <w:jc w:val="both"/>
        <w:rPr>
          <w:rFonts w:ascii="Times New Roman" w:hAnsi="Times New Roman" w:cs="Times New Roman"/>
          <w:i/>
          <w:noProof/>
          <w:sz w:val="24"/>
          <w:szCs w:val="24"/>
        </w:rPr>
      </w:pPr>
      <w:bookmarkStart w:id="1" w:name="_GoBack"/>
      <w:bookmarkEnd w:id="1"/>
      <w:r>
        <w:rPr>
          <w:rFonts w:ascii="Times New Roman" w:hAnsi="Times New Roman"/>
          <w:i/>
          <w:noProof/>
          <w:sz w:val="24"/>
        </w:rPr>
        <w:t>Графика – Финансови потоци към нефинансови предприятия (в милиа</w:t>
      </w:r>
      <w:r>
        <w:rPr>
          <w:rFonts w:ascii="Times New Roman" w:hAnsi="Times New Roman"/>
          <w:i/>
          <w:noProof/>
          <w:sz w:val="24"/>
        </w:rPr>
        <w:t>рди евро, нетни потоци)</w:t>
      </w:r>
    </w:p>
    <w:p w:rsidR="00FE3053" w:rsidRDefault="0033405C">
      <w:pPr>
        <w:jc w:val="both"/>
        <w:rPr>
          <w:noProof/>
        </w:rPr>
      </w:pPr>
      <w:r>
        <w:rPr>
          <w:noProof/>
          <w:lang w:val="en-GB" w:eastAsia="en-GB" w:bidi="ar-SA"/>
        </w:rPr>
        <w:lastRenderedPageBreak/>
        <w:drawing>
          <wp:inline distT="0" distB="0" distL="0" distR="0">
            <wp:extent cx="5717061" cy="3262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3321" cy="3266319"/>
                    </a:xfrm>
                    <a:prstGeom prst="rect">
                      <a:avLst/>
                    </a:prstGeom>
                    <a:noFill/>
                    <a:ln>
                      <a:noFill/>
                    </a:ln>
                  </pic:spPr>
                </pic:pic>
              </a:graphicData>
            </a:graphic>
          </wp:inline>
        </w:drawing>
      </w:r>
    </w:p>
    <w:p w:rsidR="00FE3053" w:rsidRDefault="0033405C">
      <w:pPr>
        <w:spacing w:after="0"/>
        <w:jc w:val="both"/>
        <w:rPr>
          <w:rFonts w:ascii="Times New Roman" w:hAnsi="Times New Roman" w:cs="Times New Roman"/>
          <w:i/>
          <w:noProof/>
          <w:sz w:val="20"/>
          <w:szCs w:val="20"/>
        </w:rPr>
      </w:pPr>
      <w:r>
        <w:rPr>
          <w:rFonts w:ascii="Times New Roman" w:hAnsi="Times New Roman"/>
          <w:i/>
          <w:noProof/>
          <w:sz w:val="20"/>
        </w:rPr>
        <w:t>Източник: Изчисления на Европейската централна банка и службите на Комисията</w:t>
      </w:r>
    </w:p>
    <w:p w:rsidR="00FE3053" w:rsidRDefault="0033405C">
      <w:pPr>
        <w:jc w:val="both"/>
        <w:rPr>
          <w:rFonts w:ascii="Times New Roman" w:hAnsi="Times New Roman" w:cs="Times New Roman"/>
          <w:i/>
          <w:noProof/>
          <w:sz w:val="20"/>
          <w:szCs w:val="20"/>
        </w:rPr>
      </w:pPr>
      <w:r>
        <w:rPr>
          <w:rFonts w:ascii="Times New Roman" w:hAnsi="Times New Roman"/>
          <w:i/>
          <w:noProof/>
          <w:sz w:val="20"/>
        </w:rPr>
        <w:t>Забележка: Данните показват годишните плъзгащи се средни величини на тримесечните нетни потоци между четвъртото тримесечие на 1999 г. и третото тримесечи</w:t>
      </w:r>
      <w:r>
        <w:rPr>
          <w:rFonts w:ascii="Times New Roman" w:hAnsi="Times New Roman"/>
          <w:i/>
          <w:noProof/>
          <w:sz w:val="20"/>
        </w:rPr>
        <w:t>е на 2017 г.</w:t>
      </w:r>
    </w:p>
    <w:p w:rsidR="00FE3053" w:rsidRDefault="0033405C">
      <w:pPr>
        <w:jc w:val="both"/>
        <w:rPr>
          <w:rFonts w:ascii="Times New Roman" w:hAnsi="Times New Roman" w:cs="Times New Roman"/>
          <w:noProof/>
          <w:sz w:val="24"/>
          <w:szCs w:val="24"/>
        </w:rPr>
      </w:pPr>
      <w:r>
        <w:rPr>
          <w:rFonts w:ascii="Times New Roman" w:hAnsi="Times New Roman"/>
          <w:noProof/>
          <w:sz w:val="24"/>
        </w:rPr>
        <w:t xml:space="preserve">За да бъде успешен, съюзът на капиталовите пазари, допълващ банковия съюз в ЕС, се нуждае също така от отворени пазари, осигуряващи по-добър достъп до финансиране за предприятията от ЕС, както и повече новаторски възможности за инвестиране за </w:t>
      </w:r>
      <w:r>
        <w:rPr>
          <w:rFonts w:ascii="Times New Roman" w:hAnsi="Times New Roman"/>
          <w:noProof/>
          <w:sz w:val="24"/>
        </w:rPr>
        <w:t>спестителите, които днес разполагат с повече възможности, за да разберат как се използват техните инвестиции, и по-силен стремеж към инвеститорски избор. Ето защо чрез преобразуването на капиталовите пазари трябва да се осигурят средствата, които са необхо</w:t>
      </w:r>
      <w:r>
        <w:rPr>
          <w:rFonts w:ascii="Times New Roman" w:hAnsi="Times New Roman"/>
          <w:noProof/>
          <w:sz w:val="24"/>
        </w:rPr>
        <w:t xml:space="preserve">дими за оползотворяването на новите възможности, предлагани от финансовите технологии и финансирането за устойчиво развитие, и да се улесни преходът към една по-чиста и по-ефективна от гледна точка на ресурсите кръгова икономика. </w:t>
      </w:r>
    </w:p>
    <w:p w:rsidR="00FE3053" w:rsidRDefault="0033405C">
      <w:pPr>
        <w:jc w:val="both"/>
        <w:rPr>
          <w:rFonts w:ascii="Times New Roman" w:hAnsi="Times New Roman" w:cs="Times New Roman"/>
          <w:noProof/>
          <w:sz w:val="24"/>
          <w:szCs w:val="24"/>
        </w:rPr>
      </w:pPr>
      <w:r>
        <w:rPr>
          <w:rFonts w:ascii="Times New Roman" w:hAnsi="Times New Roman"/>
          <w:noProof/>
          <w:sz w:val="24"/>
        </w:rPr>
        <w:t>Както бе определено от Ко</w:t>
      </w:r>
      <w:r>
        <w:rPr>
          <w:rFonts w:ascii="Times New Roman" w:hAnsi="Times New Roman"/>
          <w:noProof/>
          <w:sz w:val="24"/>
        </w:rPr>
        <w:t>мисията в междинния преглед по Плана за действие за капиталовите пазари от юни 2017 г.</w:t>
      </w:r>
      <w:r>
        <w:rPr>
          <w:rStyle w:val="FootnoteReference"/>
          <w:rFonts w:ascii="Times New Roman" w:hAnsi="Times New Roman"/>
          <w:noProof/>
          <w:sz w:val="24"/>
        </w:rPr>
        <w:footnoteReference w:id="3"/>
      </w:r>
      <w:r>
        <w:rPr>
          <w:rFonts w:ascii="Times New Roman" w:hAnsi="Times New Roman"/>
          <w:noProof/>
          <w:sz w:val="24"/>
        </w:rPr>
        <w:t>, ние трябва да бъдем по-амбициозни, да вземаме мерки за преодоляване на препятствията, но най-важното е да се възползваме от новите възможности.</w:t>
      </w:r>
    </w:p>
    <w:p w:rsidR="00FE3053" w:rsidRDefault="0033405C">
      <w:pPr>
        <w:jc w:val="both"/>
        <w:rPr>
          <w:rFonts w:ascii="Times New Roman" w:hAnsi="Times New Roman" w:cs="Times New Roman"/>
          <w:noProof/>
          <w:sz w:val="24"/>
          <w:szCs w:val="24"/>
        </w:rPr>
      </w:pPr>
      <w:r>
        <w:rPr>
          <w:rFonts w:ascii="Times New Roman" w:hAnsi="Times New Roman"/>
          <w:noProof/>
          <w:sz w:val="24"/>
        </w:rPr>
        <w:t xml:space="preserve">Ето защо Комисията </w:t>
      </w:r>
      <w:r>
        <w:rPr>
          <w:rFonts w:ascii="Times New Roman" w:hAnsi="Times New Roman"/>
          <w:noProof/>
          <w:sz w:val="24"/>
        </w:rPr>
        <w:t>представя и План за действие за финансовите технологии, както и План за действие за финансирането за устойчиво развитие.</w:t>
      </w:r>
    </w:p>
    <w:p w:rsidR="00FE3053" w:rsidRDefault="0033405C">
      <w:pPr>
        <w:jc w:val="both"/>
        <w:rPr>
          <w:rFonts w:ascii="Times New Roman" w:hAnsi="Times New Roman" w:cs="Times New Roman"/>
          <w:noProof/>
          <w:sz w:val="24"/>
          <w:szCs w:val="24"/>
        </w:rPr>
      </w:pPr>
      <w:r>
        <w:rPr>
          <w:rFonts w:ascii="Times New Roman" w:hAnsi="Times New Roman"/>
          <w:noProof/>
          <w:sz w:val="24"/>
        </w:rPr>
        <w:t>Въз основа на заключенията от обществената консултация, проведена през периода март – юни 2017 г., и предвид на вече представените иниц</w:t>
      </w:r>
      <w:r>
        <w:rPr>
          <w:rFonts w:ascii="Times New Roman" w:hAnsi="Times New Roman"/>
          <w:noProof/>
          <w:sz w:val="24"/>
        </w:rPr>
        <w:t xml:space="preserve">иативи Комисията смята, че </w:t>
      </w:r>
      <w:r>
        <w:rPr>
          <w:rFonts w:ascii="Times New Roman" w:hAnsi="Times New Roman"/>
          <w:noProof/>
          <w:sz w:val="24"/>
        </w:rPr>
        <w:lastRenderedPageBreak/>
        <w:t>има нужда от редица целенасочени инициативи на равнище ЕС, за да бъдат оползотворени възможностите, осигурявани от технологичните нововъведения във финансовите услуги. В Плана за действие за финансовите технологии се определят яс</w:t>
      </w:r>
      <w:r>
        <w:rPr>
          <w:rFonts w:ascii="Times New Roman" w:hAnsi="Times New Roman"/>
          <w:noProof/>
          <w:sz w:val="24"/>
        </w:rPr>
        <w:t>ни и конкретни стъпки за осигуряване на възможност новаторските модели на стопанска дейност да се разрастват, за подкрепа за въвеждането на нови технологии и за повишаване на киберсигурността и почтеността във финансовата система. Чрез него ще се гарантира</w:t>
      </w:r>
      <w:r>
        <w:rPr>
          <w:rFonts w:ascii="Times New Roman" w:hAnsi="Times New Roman"/>
          <w:noProof/>
          <w:sz w:val="24"/>
        </w:rPr>
        <w:t>, че европейският финансов сектор остава новаторски и конкурентоспособен, без да се застрашат финансовата стабилност и защитата на инвеститорите.</w:t>
      </w:r>
    </w:p>
    <w:p w:rsidR="00FE3053" w:rsidRDefault="0033405C">
      <w:pPr>
        <w:jc w:val="both"/>
        <w:rPr>
          <w:rFonts w:ascii="Times New Roman" w:hAnsi="Times New Roman" w:cs="Times New Roman"/>
          <w:noProof/>
          <w:sz w:val="24"/>
          <w:szCs w:val="24"/>
        </w:rPr>
      </w:pPr>
      <w:r>
        <w:rPr>
          <w:rFonts w:ascii="Times New Roman" w:hAnsi="Times New Roman"/>
          <w:noProof/>
          <w:sz w:val="24"/>
        </w:rPr>
        <w:t>Планът за действие за финансирането за устойчиво развитие има за цел да бъдат създадени условия за по-устойчив</w:t>
      </w:r>
      <w:r>
        <w:rPr>
          <w:rFonts w:ascii="Times New Roman" w:hAnsi="Times New Roman"/>
          <w:noProof/>
          <w:sz w:val="24"/>
        </w:rPr>
        <w:t xml:space="preserve"> икономически растеж и по-устойчиво развитие чрез пренасочване на капиталовите потоци към по-устойчиви инвестиции, като прехода към екологично чиста енергетика и към кръгова икономика. Включването на отнасящите се до устойчивостта фактори в управлението на</w:t>
      </w:r>
      <w:r>
        <w:rPr>
          <w:rFonts w:ascii="Times New Roman" w:hAnsi="Times New Roman"/>
          <w:noProof/>
          <w:sz w:val="24"/>
        </w:rPr>
        <w:t xml:space="preserve"> риска и насърчаването на прозрачността и дългосрочното мислене в управлението в публичния и частния сектор също са важни цели, чието постигане е необходимо, за да може чрез този план да се насочат повече публични и частни инвестиции за устойчивото развити</w:t>
      </w:r>
      <w:r>
        <w:rPr>
          <w:rFonts w:ascii="Times New Roman" w:hAnsi="Times New Roman"/>
          <w:noProof/>
          <w:sz w:val="24"/>
        </w:rPr>
        <w:t>е, в съответствие с глобалните поети задължения, като Парижкото споразумение и 17-те цели на ООН за устойчиво развитие.</w:t>
      </w:r>
    </w:p>
    <w:p w:rsidR="00FE3053" w:rsidRDefault="0033405C">
      <w:pPr>
        <w:jc w:val="both"/>
        <w:rPr>
          <w:rFonts w:ascii="Times New Roman" w:hAnsi="Times New Roman" w:cs="Times New Roman"/>
          <w:noProof/>
          <w:sz w:val="24"/>
          <w:szCs w:val="24"/>
        </w:rPr>
      </w:pPr>
      <w:r>
        <w:rPr>
          <w:rFonts w:ascii="Times New Roman" w:hAnsi="Times New Roman"/>
          <w:noProof/>
          <w:sz w:val="24"/>
        </w:rPr>
        <w:t xml:space="preserve">Необходимостта от напредък по отношение на съюза на капиталовите пазари е още по-неотложна с оглед на бъдещото оттегляне на Обединеното </w:t>
      </w:r>
      <w:r>
        <w:rPr>
          <w:rFonts w:ascii="Times New Roman" w:hAnsi="Times New Roman"/>
          <w:noProof/>
          <w:sz w:val="24"/>
        </w:rPr>
        <w:t xml:space="preserve">кралство, тъй като най-големият финансов център на ЕС ще напусне единния пазар. Вследствие на това имаме нужда от още по-силен тласък за постигане на по-развити и по-обединени капиталови пазари с още по-успешен надзор. </w:t>
      </w:r>
    </w:p>
    <w:p w:rsidR="00FE3053" w:rsidRDefault="0033405C">
      <w:pPr>
        <w:jc w:val="both"/>
        <w:rPr>
          <w:rFonts w:ascii="Times New Roman" w:hAnsi="Times New Roman" w:cs="Times New Roman"/>
          <w:noProof/>
          <w:sz w:val="24"/>
          <w:szCs w:val="24"/>
        </w:rPr>
      </w:pPr>
      <w:r>
        <w:rPr>
          <w:rFonts w:ascii="Times New Roman" w:hAnsi="Times New Roman"/>
          <w:noProof/>
          <w:sz w:val="24"/>
        </w:rPr>
        <w:t>На заседанието си през юни 2016 г. Е</w:t>
      </w:r>
      <w:r>
        <w:rPr>
          <w:rFonts w:ascii="Times New Roman" w:hAnsi="Times New Roman"/>
          <w:noProof/>
          <w:sz w:val="24"/>
        </w:rPr>
        <w:t>вропейският съвет призова за „бърз и решителен напредък с цел да се осигури по-лесен достъп до финансиране за предприятията и да се подпомогнат инвестициите в реалната икономика, като се постигне напредък по програмата за изграждане на съюз на капиталовите</w:t>
      </w:r>
      <w:r>
        <w:rPr>
          <w:rFonts w:ascii="Times New Roman" w:hAnsi="Times New Roman"/>
          <w:noProof/>
          <w:sz w:val="24"/>
        </w:rPr>
        <w:t xml:space="preserve"> пазари“. Съветът по икономически и финансови въпроси няколко пъти подчерта колко е важно съюзът на капиталовите пазари да бъде завършен до 2019 г., като най-скорошният случай бе през юли 2017 г., когато Съветът потвърди ангажимента си към съюза на капитал</w:t>
      </w:r>
      <w:r>
        <w:rPr>
          <w:rFonts w:ascii="Times New Roman" w:hAnsi="Times New Roman"/>
          <w:noProof/>
          <w:sz w:val="24"/>
        </w:rPr>
        <w:t>овите пазари, и по-конкретно към пълния набор от действия, предложени при междинния преглед, в т.ч. към деветте приоритетни инициативи. В Резолюцията на Европейския парламент от 19 януари 2016 г. се признава решителната роля, която капиталовите пазари мога</w:t>
      </w:r>
      <w:r>
        <w:rPr>
          <w:rFonts w:ascii="Times New Roman" w:hAnsi="Times New Roman"/>
          <w:noProof/>
          <w:sz w:val="24"/>
        </w:rPr>
        <w:t>т да изиграят за удовлетворяването на потребностите от финансиране на икономиките на държавите членки, и се отправя призив за по-силен акцент на съюза на капиталовите пазари върху крайните ползватели, а именно дружествата и инвеститорите.</w:t>
      </w:r>
    </w:p>
    <w:p w:rsidR="00FE3053" w:rsidRDefault="0033405C">
      <w:pPr>
        <w:jc w:val="both"/>
        <w:rPr>
          <w:rFonts w:ascii="Times New Roman" w:hAnsi="Times New Roman" w:cs="Times New Roman"/>
          <w:noProof/>
          <w:sz w:val="24"/>
          <w:szCs w:val="24"/>
        </w:rPr>
      </w:pPr>
      <w:r>
        <w:rPr>
          <w:rFonts w:ascii="Times New Roman" w:hAnsi="Times New Roman"/>
          <w:noProof/>
          <w:sz w:val="24"/>
        </w:rPr>
        <w:t>Комисията е решен</w:t>
      </w:r>
      <w:r>
        <w:rPr>
          <w:rFonts w:ascii="Times New Roman" w:hAnsi="Times New Roman"/>
          <w:noProof/>
          <w:sz w:val="24"/>
        </w:rPr>
        <w:t>а да завърши всички градивни части на съюза на капиталовите пазари до средата на 2019 г. Макар че първите постижения вече са налице и са преминати важни етапи (вж. приложената таблица), сега е времето да се върви напред и всички висящи законодателни предло</w:t>
      </w:r>
      <w:r>
        <w:rPr>
          <w:rFonts w:ascii="Times New Roman" w:hAnsi="Times New Roman"/>
          <w:noProof/>
          <w:sz w:val="24"/>
        </w:rPr>
        <w:t xml:space="preserve">жения да се завършат до края на мандата. Освен </w:t>
      </w:r>
      <w:r>
        <w:rPr>
          <w:rFonts w:ascii="Times New Roman" w:hAnsi="Times New Roman"/>
          <w:noProof/>
          <w:sz w:val="24"/>
        </w:rPr>
        <w:lastRenderedPageBreak/>
        <w:t>това днес Комисията предлага допълнителни мерки за развитие и обединение на капиталовите пазари в ЕС, а останалите предложения ще бъдат представени до май 2018 г., така щото с необходимата политическа воля зак</w:t>
      </w:r>
      <w:r>
        <w:rPr>
          <w:rFonts w:ascii="Times New Roman" w:hAnsi="Times New Roman"/>
          <w:noProof/>
          <w:sz w:val="24"/>
        </w:rPr>
        <w:t>онодателните актове да може да бъдат приети до изборите за Европейски парламент през 2019 г.</w:t>
      </w:r>
    </w:p>
    <w:p w:rsidR="00FE3053" w:rsidRDefault="0033405C">
      <w:pPr>
        <w:jc w:val="both"/>
        <w:rPr>
          <w:rFonts w:ascii="Times New Roman" w:hAnsi="Times New Roman" w:cs="Times New Roman"/>
          <w:noProof/>
          <w:sz w:val="24"/>
          <w:szCs w:val="24"/>
        </w:rPr>
      </w:pPr>
      <w:r>
        <w:rPr>
          <w:rFonts w:ascii="Times New Roman" w:hAnsi="Times New Roman"/>
          <w:noProof/>
          <w:sz w:val="24"/>
        </w:rPr>
        <w:t>Ако се гледа напред, за ефективната работа на съюза на капиталовите пазари е нужен силен стимул чрез полагане на градивните части въз основа на три подсилващи се в</w:t>
      </w:r>
      <w:r>
        <w:rPr>
          <w:rFonts w:ascii="Times New Roman" w:hAnsi="Times New Roman"/>
          <w:noProof/>
          <w:sz w:val="24"/>
        </w:rPr>
        <w:t>заимно измерения: единния пазар на ЕС, ясни и съразмерни спрямо целта разпоредби, ефикасен надзор.</w:t>
      </w:r>
    </w:p>
    <w:p w:rsidR="00FE3053" w:rsidRDefault="0033405C">
      <w:pPr>
        <w:pStyle w:val="ListParagraph"/>
        <w:keepNext/>
        <w:ind w:left="426" w:hanging="426"/>
        <w:rPr>
          <w:noProof/>
        </w:rPr>
      </w:pPr>
      <w:r>
        <w:rPr>
          <w:noProof/>
        </w:rPr>
        <w:t>Извличане на всички ползи от единния пазар чрез нови европейски продукти, знаци и лицензи („паспорти“)</w:t>
      </w:r>
    </w:p>
    <w:p w:rsidR="00FE3053" w:rsidRDefault="0033405C">
      <w:pPr>
        <w:jc w:val="both"/>
        <w:rPr>
          <w:rFonts w:ascii="Times New Roman" w:hAnsi="Times New Roman" w:cs="Times New Roman"/>
          <w:noProof/>
          <w:sz w:val="24"/>
          <w:szCs w:val="24"/>
        </w:rPr>
      </w:pPr>
      <w:r>
        <w:rPr>
          <w:rFonts w:ascii="Times New Roman" w:hAnsi="Times New Roman"/>
          <w:noProof/>
          <w:sz w:val="24"/>
        </w:rPr>
        <w:t>Чрез въвеждането на новите общоевропейски продукти, зн</w:t>
      </w:r>
      <w:r>
        <w:rPr>
          <w:rFonts w:ascii="Times New Roman" w:hAnsi="Times New Roman"/>
          <w:noProof/>
          <w:sz w:val="24"/>
        </w:rPr>
        <w:t>аци и лицензи ще се гарантира, че инвеститорите, потребителите и предприятията могат да извлекат всички ползи от единния пазар (разрастване в Европа и конкуриране в световен мащаб). Вече са въведени нови разпоредби за стимулиране на европейските фондове за</w:t>
      </w:r>
      <w:r>
        <w:rPr>
          <w:rFonts w:ascii="Times New Roman" w:hAnsi="Times New Roman"/>
          <w:noProof/>
          <w:sz w:val="24"/>
        </w:rPr>
        <w:t xml:space="preserve"> рисков капитал да инвестират в новосъздадени предприятия и малки и средни предприятия (МСП) и за насърчаване на изграждането на един безопасен и дълбок пазар за опростени, прозрачни и стандартизирани (ОПС) услуги по секюритизация. Ако издаването на секюри</w:t>
      </w:r>
      <w:r>
        <w:rPr>
          <w:rFonts w:ascii="Times New Roman" w:hAnsi="Times New Roman"/>
          <w:noProof/>
          <w:sz w:val="24"/>
        </w:rPr>
        <w:t>тизационни инструменти се върне на средното си равнище отпреди кризата, то би осигурило до 150 милиарда евро допълнително финансиране за икономиката. Комисията предложи също така нов общоевропейски знак за пенсиите по схема за лично пенсионно осигуряване (</w:t>
      </w:r>
      <w:r>
        <w:rPr>
          <w:rFonts w:ascii="Times New Roman" w:hAnsi="Times New Roman"/>
          <w:noProof/>
          <w:sz w:val="24"/>
        </w:rPr>
        <w:t xml:space="preserve">ПСЛПО), за да бъдат насърчени потребителите да спестяват за пенсия и да се осигури влагане на повече спестявания в капиталовите пазари и съответно към производителните инвестиции да бъде насочено допълнително финансиране. </w:t>
      </w:r>
      <w:r>
        <w:rPr>
          <w:rFonts w:ascii="Times New Roman" w:hAnsi="Times New Roman"/>
          <w:b/>
          <w:noProof/>
          <w:sz w:val="24"/>
        </w:rPr>
        <w:t>Комисията призовава съзаконодателн</w:t>
      </w:r>
      <w:r>
        <w:rPr>
          <w:rFonts w:ascii="Times New Roman" w:hAnsi="Times New Roman"/>
          <w:b/>
          <w:noProof/>
          <w:sz w:val="24"/>
        </w:rPr>
        <w:t>ите органи да довършат бързо работата си по това предложение</w:t>
      </w:r>
      <w:r>
        <w:rPr>
          <w:rFonts w:ascii="Times New Roman" w:hAnsi="Times New Roman"/>
          <w:noProof/>
          <w:sz w:val="24"/>
        </w:rPr>
        <w:t xml:space="preserve">, така щото всички европейски граждани да имат достъп до широк набор от възможности за спестяване за пенсия, същевременно ползвайки се от сигурна защита като потребители. </w:t>
      </w:r>
    </w:p>
    <w:p w:rsidR="00FE3053" w:rsidRDefault="0033405C">
      <w:pPr>
        <w:jc w:val="both"/>
        <w:rPr>
          <w:rFonts w:ascii="Times New Roman" w:hAnsi="Times New Roman" w:cs="Times New Roman"/>
          <w:noProof/>
          <w:sz w:val="24"/>
          <w:szCs w:val="24"/>
        </w:rPr>
      </w:pPr>
      <w:r>
        <w:rPr>
          <w:rFonts w:ascii="Times New Roman" w:hAnsi="Times New Roman"/>
          <w:noProof/>
          <w:sz w:val="24"/>
        </w:rPr>
        <w:t>За да бъде постигнат нап</w:t>
      </w:r>
      <w:r>
        <w:rPr>
          <w:rFonts w:ascii="Times New Roman" w:hAnsi="Times New Roman"/>
          <w:noProof/>
          <w:sz w:val="24"/>
        </w:rPr>
        <w:t>редък и в други области, днес Комисията предлага допълнителни мерки за разработване на нови продукти и знаци и за обединяване на капиталовите пазари:</w:t>
      </w:r>
    </w:p>
    <w:p w:rsidR="00FE3053" w:rsidRDefault="0033405C">
      <w:pPr>
        <w:pStyle w:val="ListParagraph"/>
        <w:numPr>
          <w:ilvl w:val="0"/>
          <w:numId w:val="3"/>
        </w:numPr>
        <w:rPr>
          <w:b w:val="0"/>
          <w:noProof/>
        </w:rPr>
      </w:pPr>
      <w:r>
        <w:rPr>
          <w:b w:val="0"/>
          <w:noProof/>
        </w:rPr>
        <w:t>европейски знак за платформите за колективно финансиране чрез набиране на инвестиции и предоставяне на зае</w:t>
      </w:r>
      <w:r>
        <w:rPr>
          <w:b w:val="0"/>
          <w:noProof/>
        </w:rPr>
        <w:t xml:space="preserve">ми („европейски доставчици на услуги за колективно финансиране на бизнеса“), който дава възможност за извършване на презгранична дейност и представлява мярка за преодоляване на рисковете пред инвеститорите по съразмерен спрямо целта начин. Той ще спомогне </w:t>
      </w:r>
      <w:r>
        <w:rPr>
          <w:b w:val="0"/>
          <w:noProof/>
        </w:rPr>
        <w:t>за разрастване на доставчиците на услуги за колективно финансиране на целия единен пазар, като по този начин ще подобри достъпа до финансиране за предприемачите, новосъздадените предприятия и МСП като цяло. Това е също така първият конкретен резултат от Пл</w:t>
      </w:r>
      <w:r>
        <w:rPr>
          <w:b w:val="0"/>
          <w:noProof/>
        </w:rPr>
        <w:t xml:space="preserve">ана за действие за финансовите технологии, чието предназначение е да се създаде среда, където лесно могат да бъдат създавани </w:t>
      </w:r>
      <w:r>
        <w:rPr>
          <w:b w:val="0"/>
          <w:noProof/>
        </w:rPr>
        <w:lastRenderedPageBreak/>
        <w:t>новаторски продукти и решения, които да се разпростират в целия ЕС, без да се застрашават финансовата стабилност и защитата на потр</w:t>
      </w:r>
      <w:r>
        <w:rPr>
          <w:b w:val="0"/>
          <w:noProof/>
        </w:rPr>
        <w:t xml:space="preserve">ебителите. </w:t>
      </w:r>
    </w:p>
    <w:p w:rsidR="00FE3053" w:rsidRDefault="0033405C">
      <w:pPr>
        <w:pStyle w:val="ListParagraph"/>
        <w:numPr>
          <w:ilvl w:val="0"/>
          <w:numId w:val="3"/>
        </w:numPr>
        <w:rPr>
          <w:b w:val="0"/>
          <w:noProof/>
        </w:rPr>
      </w:pPr>
      <w:r>
        <w:rPr>
          <w:b w:val="0"/>
          <w:noProof/>
        </w:rPr>
        <w:t>Благоприятна нормативна уредба на ЕС за покритите облигации – те се оказаха устойчив и разходноефективен източник на финансиране по време на финансовата криза и развитието им следва да продължи въз основа на добрите практики в съществуващите на</w:t>
      </w:r>
      <w:r>
        <w:rPr>
          <w:b w:val="0"/>
          <w:noProof/>
        </w:rPr>
        <w:t>ционални системи. Чрез тази уредба ще се подкрепя финансирането на икономиката, като същевременно на инвеститорите се осигурява по-широк набор от по-сигурни възможности за инвестиции и се опазва финансовата стабилност.</w:t>
      </w:r>
    </w:p>
    <w:p w:rsidR="00FE3053" w:rsidRDefault="0033405C">
      <w:pPr>
        <w:pStyle w:val="ListParagraph"/>
        <w:numPr>
          <w:ilvl w:val="0"/>
          <w:numId w:val="3"/>
        </w:numPr>
        <w:rPr>
          <w:b w:val="0"/>
          <w:noProof/>
        </w:rPr>
      </w:pPr>
      <w:r>
        <w:rPr>
          <w:b w:val="0"/>
          <w:noProof/>
        </w:rPr>
        <w:t>Мерки за намаляване на нормативните п</w:t>
      </w:r>
      <w:r>
        <w:rPr>
          <w:b w:val="0"/>
          <w:noProof/>
        </w:rPr>
        <w:t>речки пред презграничното разпространение на инвестиционните фондове в ЕС. Чрез тези мерки ще се постигне понижение на разходите за започване на дейност в други държави членки и ще се окаже подкрепа за един по-обединен единен пазар за инвестиционните фондо</w:t>
      </w:r>
      <w:r>
        <w:rPr>
          <w:b w:val="0"/>
          <w:noProof/>
        </w:rPr>
        <w:t>ве. Вследствие на засилената конкуренция инвеститорите ще имат по-голям избор и повече ползи, като същевременно ще се запази високото равнище на защита на потребителите.</w:t>
      </w:r>
    </w:p>
    <w:p w:rsidR="00FE3053" w:rsidRDefault="0033405C">
      <w:pPr>
        <w:pStyle w:val="ListParagraph"/>
        <w:keepNext/>
        <w:ind w:left="426" w:hanging="426"/>
        <w:rPr>
          <w:noProof/>
        </w:rPr>
      </w:pPr>
      <w:r>
        <w:rPr>
          <w:noProof/>
        </w:rPr>
        <w:t>Подкрепа за предприятията и предприемачите чрез по-ясни и по-прости разпоредби</w:t>
      </w:r>
    </w:p>
    <w:p w:rsidR="00FE3053" w:rsidRDefault="0033405C">
      <w:pPr>
        <w:jc w:val="both"/>
        <w:rPr>
          <w:rFonts w:ascii="Times New Roman" w:hAnsi="Times New Roman" w:cs="Times New Roman"/>
          <w:b/>
          <w:noProof/>
          <w:sz w:val="24"/>
          <w:szCs w:val="24"/>
        </w:rPr>
      </w:pPr>
      <w:r>
        <w:rPr>
          <w:rFonts w:ascii="Times New Roman" w:hAnsi="Times New Roman"/>
          <w:noProof/>
          <w:sz w:val="24"/>
        </w:rPr>
        <w:t>През но</w:t>
      </w:r>
      <w:r>
        <w:rPr>
          <w:rFonts w:ascii="Times New Roman" w:hAnsi="Times New Roman"/>
          <w:noProof/>
          <w:sz w:val="24"/>
        </w:rPr>
        <w:t>ември 2016 г. Комисията представи Предложение за Директива на Европейския парламент и на Съвета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w:t>
      </w:r>
      <w:r>
        <w:rPr>
          <w:rFonts w:ascii="Times New Roman" w:hAnsi="Times New Roman"/>
          <w:noProof/>
          <w:sz w:val="24"/>
        </w:rPr>
        <w:t xml:space="preserve">ност и опрощаване на задължения. Това важно предложение е предназначено за улесняване на ефективното преструктуриране на жизнеспособните дружества във финансово затруднение, така щото да бъде предотвратявано изпадането им в несъстоятелност и унищожаването </w:t>
      </w:r>
      <w:r>
        <w:rPr>
          <w:rFonts w:ascii="Times New Roman" w:hAnsi="Times New Roman"/>
          <w:noProof/>
          <w:sz w:val="24"/>
        </w:rPr>
        <w:t>на стойността като действащо предприятие. За физическите лица, в т.ч. едноличните търговци, в предложението се предвижда втори шанс чрез опрощаване на дълговете, за да им се осигури възможност за ново начало и да се насърчи предприемачеството. По този начи</w:t>
      </w:r>
      <w:r>
        <w:rPr>
          <w:rFonts w:ascii="Times New Roman" w:hAnsi="Times New Roman"/>
          <w:noProof/>
          <w:sz w:val="24"/>
        </w:rPr>
        <w:t>н ще се повиши увереността, че дружествата ще изпълняват задълженията си за плащане, например по банковите си заеми. Хармонизирайки тези процедури, инициативата би премахнала пречките пред презграничните инвестиции и по този начин би насърчила развитието н</w:t>
      </w:r>
      <w:r>
        <w:rPr>
          <w:rFonts w:ascii="Times New Roman" w:hAnsi="Times New Roman"/>
          <w:noProof/>
          <w:sz w:val="24"/>
        </w:rPr>
        <w:t>а капиталовите пазари в ЕС. Тя ще допринесе и за намаляване на натрупването на необслужвани заеми от банките в бъдеще и за справяне с натрупаните вече такива заеми. Вследствие на подобряването на възможността за предприемачите и дружествата във финансово з</w:t>
      </w:r>
      <w:r>
        <w:rPr>
          <w:rFonts w:ascii="Times New Roman" w:hAnsi="Times New Roman"/>
          <w:noProof/>
          <w:sz w:val="24"/>
        </w:rPr>
        <w:t xml:space="preserve">атруднение да приемат успешен план за преструктуриране повече дружества биха могли да избегнат несъстоятелността, а необслужваните заеми да се превърнат в такива заеми, които предприемачите и дружествата могат за изплатят. </w:t>
      </w:r>
      <w:r>
        <w:rPr>
          <w:rFonts w:ascii="Times New Roman" w:hAnsi="Times New Roman"/>
          <w:b/>
          <w:noProof/>
          <w:sz w:val="24"/>
        </w:rPr>
        <w:t>Комисията призовава съзаконодател</w:t>
      </w:r>
      <w:r>
        <w:rPr>
          <w:rFonts w:ascii="Times New Roman" w:hAnsi="Times New Roman"/>
          <w:b/>
          <w:noProof/>
          <w:sz w:val="24"/>
        </w:rPr>
        <w:t>ния орган да ускори приемането на тези важни разпоредби.</w:t>
      </w:r>
    </w:p>
    <w:p w:rsidR="00FE3053" w:rsidRDefault="0033405C">
      <w:pPr>
        <w:jc w:val="both"/>
        <w:rPr>
          <w:rFonts w:ascii="Times New Roman" w:hAnsi="Times New Roman" w:cs="Times New Roman"/>
          <w:noProof/>
          <w:sz w:val="24"/>
          <w:szCs w:val="24"/>
        </w:rPr>
      </w:pPr>
      <w:r>
        <w:rPr>
          <w:rFonts w:ascii="Times New Roman" w:hAnsi="Times New Roman"/>
          <w:noProof/>
          <w:sz w:val="24"/>
        </w:rPr>
        <w:lastRenderedPageBreak/>
        <w:t>Комисията предложи също така, като част от предложението за обща консолидирана основа за облагане с корпоративен данък (ОКООКД), да бъдат взети мерки за справяне с проблема с преференциалното данъчно</w:t>
      </w:r>
      <w:r>
        <w:rPr>
          <w:rFonts w:ascii="Times New Roman" w:hAnsi="Times New Roman"/>
          <w:noProof/>
          <w:sz w:val="24"/>
        </w:rPr>
        <w:t xml:space="preserve"> третиране на дълговия спрямо собствения капитал, като се предвиди облекчение за издаването на инструменти на собствения капитал. Определен процент от собствения капитал на дадено ново дружество ще подлежи на приспадане от данъчните задължения всяка година</w:t>
      </w:r>
      <w:r>
        <w:rPr>
          <w:rFonts w:ascii="Times New Roman" w:hAnsi="Times New Roman"/>
          <w:noProof/>
          <w:sz w:val="24"/>
        </w:rPr>
        <w:t>. Той ще бъде съставен от безрисков лихвен процент и рискова премия. При сегашните пазарни условия този процент би бил 2,7 %. Така дружествата ще бъдат насърчавани да търсят по-стабилни източници на финансиране и да използват капиталовите пазари. Това ще б</w:t>
      </w:r>
      <w:r>
        <w:rPr>
          <w:rFonts w:ascii="Times New Roman" w:hAnsi="Times New Roman"/>
          <w:noProof/>
          <w:sz w:val="24"/>
        </w:rPr>
        <w:t xml:space="preserve">ъде от полза и за финансовата стабилност, тъй като дружествата с по-силна капиталова база ще бъдат по-малко уязвими при сътресения. </w:t>
      </w:r>
      <w:r>
        <w:rPr>
          <w:rFonts w:ascii="Times New Roman" w:hAnsi="Times New Roman"/>
          <w:b/>
          <w:noProof/>
          <w:sz w:val="24"/>
        </w:rPr>
        <w:t>Комисията призовава Съвета да ускори приемането на тези важни разпоредби.</w:t>
      </w:r>
    </w:p>
    <w:p w:rsidR="00FE3053" w:rsidRDefault="0033405C">
      <w:pPr>
        <w:jc w:val="both"/>
        <w:rPr>
          <w:rFonts w:ascii="Times New Roman" w:hAnsi="Times New Roman" w:cs="Times New Roman"/>
          <w:noProof/>
          <w:sz w:val="24"/>
          <w:szCs w:val="24"/>
        </w:rPr>
      </w:pPr>
      <w:r>
        <w:rPr>
          <w:rFonts w:ascii="Times New Roman" w:hAnsi="Times New Roman"/>
          <w:noProof/>
          <w:sz w:val="24"/>
        </w:rPr>
        <w:t>Днес Комисията предлага и нови разпоредби за улесн</w:t>
      </w:r>
      <w:r>
        <w:rPr>
          <w:rFonts w:ascii="Times New Roman" w:hAnsi="Times New Roman"/>
          <w:noProof/>
          <w:sz w:val="24"/>
        </w:rPr>
        <w:t xml:space="preserve">яване на презграничните сделки, обезпечавайки правната сигурност за лицата, които имат вземания, като по този начин се премахва правният риск и евентуалните отрицателни системни последици. Прехвърлянето на вземания е механизъм, използван от големи и малки </w:t>
      </w:r>
      <w:r>
        <w:rPr>
          <w:rFonts w:ascii="Times New Roman" w:hAnsi="Times New Roman"/>
          <w:noProof/>
          <w:sz w:val="24"/>
        </w:rPr>
        <w:t>дружества с цел получаване на ликвидни средства и достъп до кредитиране, както и от финансови институции с цел оптимизиране на употребата на техния капитал. Освен това в отделно съобщение Комисията осигурява и допълнителни указания по въпроса кой закон тря</w:t>
      </w:r>
      <w:r>
        <w:rPr>
          <w:rFonts w:ascii="Times New Roman" w:hAnsi="Times New Roman"/>
          <w:noProof/>
          <w:sz w:val="24"/>
        </w:rPr>
        <w:t xml:space="preserve">бва да се прилага, за да се определи кой притежава базовите активи при секюритизационните сделки. </w:t>
      </w:r>
    </w:p>
    <w:p w:rsidR="00FE3053" w:rsidRDefault="0033405C">
      <w:pPr>
        <w:jc w:val="both"/>
        <w:rPr>
          <w:rFonts w:ascii="Times New Roman" w:hAnsi="Times New Roman" w:cs="Times New Roman"/>
          <w:noProof/>
          <w:sz w:val="24"/>
          <w:szCs w:val="24"/>
        </w:rPr>
      </w:pPr>
      <w:r>
        <w:rPr>
          <w:rFonts w:ascii="Times New Roman" w:hAnsi="Times New Roman"/>
          <w:noProof/>
          <w:sz w:val="24"/>
        </w:rPr>
        <w:t xml:space="preserve">Вече бяха приети нови разпоредби за проспектите с цел да се окаже подкрепа на дружествата, които набират парични средства на публичните капиталови и дългови </w:t>
      </w:r>
      <w:r>
        <w:rPr>
          <w:rFonts w:ascii="Times New Roman" w:hAnsi="Times New Roman"/>
          <w:noProof/>
          <w:sz w:val="24"/>
        </w:rPr>
        <w:t>пазари</w:t>
      </w:r>
      <w:r>
        <w:rPr>
          <w:rStyle w:val="FootnoteReference"/>
          <w:rFonts w:ascii="Times New Roman" w:hAnsi="Times New Roman"/>
          <w:noProof/>
          <w:sz w:val="24"/>
        </w:rPr>
        <w:footnoteReference w:id="4"/>
      </w:r>
      <w:r>
        <w:rPr>
          <w:rFonts w:ascii="Times New Roman" w:hAnsi="Times New Roman"/>
          <w:noProof/>
          <w:sz w:val="24"/>
        </w:rPr>
        <w:t xml:space="preserve">. За малките дружества и дружествата със средна пазарна капитализация, които искат да набират парични средства в целия ЕС, ще бъде създаден нов „проспект на ЕС за растеж“. Все пак има още много за вършене, по-конкретно да се вземат мерки, така щото </w:t>
      </w:r>
      <w:r>
        <w:rPr>
          <w:rFonts w:ascii="Times New Roman" w:hAnsi="Times New Roman"/>
          <w:noProof/>
          <w:sz w:val="24"/>
        </w:rPr>
        <w:t>знакът „пазар за растеж за МСП“, създаден по силата на ДПФИ ІІ, да уравновесява по подходящ начин осигуряването на достатъчна защита на инвеститорите и предотвратяването на излишната административна тежест. Ето защо до май 2018 г. Комисията ще представи ощ</w:t>
      </w:r>
      <w:r>
        <w:rPr>
          <w:rFonts w:ascii="Times New Roman" w:hAnsi="Times New Roman"/>
          <w:noProof/>
          <w:sz w:val="24"/>
        </w:rPr>
        <w:t>е мерки, за да осигури по-съразмерна спрямо целта нормативна среда в подкрепа на допускането на ценните книжа на малките и средните дружества до търговия на пазарите за растеж за МСП.</w:t>
      </w:r>
    </w:p>
    <w:p w:rsidR="00FE3053" w:rsidRDefault="0033405C">
      <w:pPr>
        <w:pStyle w:val="ListParagraph"/>
        <w:keepNext/>
        <w:ind w:left="426" w:hanging="426"/>
        <w:rPr>
          <w:noProof/>
        </w:rPr>
      </w:pPr>
      <w:r>
        <w:rPr>
          <w:noProof/>
        </w:rPr>
        <w:t>По-ефективен надзор върху капиталовите пазари в ЕС</w:t>
      </w:r>
    </w:p>
    <w:p w:rsidR="00FE3053" w:rsidRDefault="0033405C">
      <w:pPr>
        <w:jc w:val="both"/>
        <w:rPr>
          <w:rFonts w:ascii="Times New Roman" w:hAnsi="Times New Roman" w:cs="Times New Roman"/>
          <w:noProof/>
          <w:sz w:val="24"/>
          <w:szCs w:val="24"/>
        </w:rPr>
      </w:pPr>
      <w:r>
        <w:rPr>
          <w:rFonts w:ascii="Times New Roman" w:hAnsi="Times New Roman"/>
          <w:noProof/>
          <w:sz w:val="24"/>
        </w:rPr>
        <w:t>За постигане на по-ви</w:t>
      </w:r>
      <w:r>
        <w:rPr>
          <w:rFonts w:ascii="Times New Roman" w:hAnsi="Times New Roman"/>
          <w:noProof/>
          <w:sz w:val="24"/>
        </w:rPr>
        <w:t xml:space="preserve">сока степен на финансово обединение е необходим по-обединен и ефективен надзор. Презграничната дейност ще бъде улеснена чрез съгласувано регулиране и надзор, както за финансовите институции, така и за потребителите и предприятията, които ползват финансови </w:t>
      </w:r>
      <w:r>
        <w:rPr>
          <w:rFonts w:ascii="Times New Roman" w:hAnsi="Times New Roman"/>
          <w:noProof/>
          <w:sz w:val="24"/>
        </w:rPr>
        <w:t xml:space="preserve">услуги. И макар че финансовото обединение </w:t>
      </w:r>
      <w:r>
        <w:rPr>
          <w:rFonts w:ascii="Times New Roman" w:hAnsi="Times New Roman"/>
          <w:noProof/>
          <w:sz w:val="24"/>
        </w:rPr>
        <w:lastRenderedPageBreak/>
        <w:t>и финансирането от капиталовите пазари могат да донесат значителни ползи, те могат да създадат и нови рискове. Затова е важно да се предотвратява регулаторният арбитраж и да се осигурят еднакви условия на конкуренц</w:t>
      </w:r>
      <w:r>
        <w:rPr>
          <w:rFonts w:ascii="Times New Roman" w:hAnsi="Times New Roman"/>
          <w:noProof/>
          <w:sz w:val="24"/>
        </w:rPr>
        <w:t>ия, последователна защита на инвеститорите и финансова стабилност.</w:t>
      </w:r>
    </w:p>
    <w:p w:rsidR="00FE3053" w:rsidRDefault="0033405C">
      <w:pPr>
        <w:jc w:val="both"/>
        <w:rPr>
          <w:rFonts w:ascii="Times New Roman" w:hAnsi="Times New Roman" w:cs="Times New Roman"/>
          <w:noProof/>
          <w:sz w:val="24"/>
          <w:szCs w:val="24"/>
        </w:rPr>
      </w:pPr>
      <w:r>
        <w:rPr>
          <w:rFonts w:ascii="Times New Roman" w:hAnsi="Times New Roman"/>
          <w:noProof/>
          <w:sz w:val="24"/>
        </w:rPr>
        <w:t>За успешното изграждане на съюза на капиталовите пазари сега по-конкретно е нужно да се повиши способността на Европейския орган за ценни книжа и пазари (ЕОЦКП) да осигурява съгласуван надз</w:t>
      </w:r>
      <w:r>
        <w:rPr>
          <w:rFonts w:ascii="Times New Roman" w:hAnsi="Times New Roman"/>
          <w:noProof/>
          <w:sz w:val="24"/>
        </w:rPr>
        <w:t xml:space="preserve">ор и принудително изпълнение на изискванията, а също така да упражнява пряк надзор върху определени капиталови пазари. Ето защо </w:t>
      </w:r>
      <w:r>
        <w:rPr>
          <w:rFonts w:ascii="Times New Roman" w:hAnsi="Times New Roman"/>
          <w:b/>
          <w:noProof/>
          <w:sz w:val="24"/>
        </w:rPr>
        <w:t>Комисията е в готовност дейно да обсъди с Европейския парламент и Съвета идеи за ускоряване на сегашните преговори, за да се оси</w:t>
      </w:r>
      <w:r>
        <w:rPr>
          <w:rFonts w:ascii="Times New Roman" w:hAnsi="Times New Roman"/>
          <w:b/>
          <w:noProof/>
          <w:sz w:val="24"/>
        </w:rPr>
        <w:t xml:space="preserve">гури окончателното приемане на Прегледа на европейските надзорни органи преди изборите за Европейски парламент през 2019 г. </w:t>
      </w:r>
      <w:r>
        <w:rPr>
          <w:rFonts w:ascii="Times New Roman" w:hAnsi="Times New Roman"/>
          <w:noProof/>
          <w:sz w:val="24"/>
        </w:rPr>
        <w:t>Това е от решаващо значение за успеха на съюза на капиталовите пазари.</w:t>
      </w:r>
    </w:p>
    <w:p w:rsidR="00FE3053" w:rsidRDefault="0033405C">
      <w:pPr>
        <w:jc w:val="both"/>
        <w:rPr>
          <w:rFonts w:ascii="Times New Roman" w:hAnsi="Times New Roman" w:cs="Times New Roman"/>
          <w:b/>
          <w:noProof/>
          <w:sz w:val="24"/>
          <w:szCs w:val="24"/>
        </w:rPr>
      </w:pPr>
      <w:r>
        <w:rPr>
          <w:rFonts w:ascii="Times New Roman" w:hAnsi="Times New Roman"/>
          <w:noProof/>
          <w:sz w:val="24"/>
        </w:rPr>
        <w:t>Пазарната инфраструктура за услуги след сключването на сделки</w:t>
      </w:r>
      <w:r>
        <w:rPr>
          <w:rFonts w:ascii="Times New Roman" w:hAnsi="Times New Roman"/>
          <w:noProof/>
          <w:sz w:val="24"/>
        </w:rPr>
        <w:t>те играе ключова роля на обединените капиталови пазари. Ето защо е важно също така да се осигури по-нататъшно сближаване в областта на надзора и по-тясно сътрудничество между органите за постигане на общоевропейски подход към надзора върху централните конт</w:t>
      </w:r>
      <w:r>
        <w:rPr>
          <w:rFonts w:ascii="Times New Roman" w:hAnsi="Times New Roman"/>
          <w:noProof/>
          <w:sz w:val="24"/>
        </w:rPr>
        <w:t>рагенти (ЦК) в ЕС.</w:t>
      </w:r>
      <w:r>
        <w:rPr>
          <w:rFonts w:ascii="Times New Roman" w:hAnsi="Times New Roman"/>
          <w:b/>
          <w:noProof/>
          <w:sz w:val="24"/>
        </w:rPr>
        <w:t xml:space="preserve"> Комисията предложи реформи за засилване на надзора върху ЦК и призовава съзаконодателните органи да ускорят приемането на тези важни разпоредби.</w:t>
      </w:r>
    </w:p>
    <w:p w:rsidR="00FE3053" w:rsidRDefault="0033405C">
      <w:pPr>
        <w:pStyle w:val="Heading1"/>
        <w:keepLines w:val="0"/>
        <w:spacing w:after="200"/>
        <w:rPr>
          <w:rFonts w:ascii="Times New Roman" w:hAnsi="Times New Roman" w:cs="Times New Roman"/>
          <w:noProof/>
          <w:color w:val="auto"/>
        </w:rPr>
      </w:pPr>
      <w:r>
        <w:rPr>
          <w:rFonts w:ascii="Times New Roman" w:hAnsi="Times New Roman"/>
          <w:noProof/>
          <w:color w:val="auto"/>
        </w:rPr>
        <w:t>Заключение</w:t>
      </w:r>
    </w:p>
    <w:p w:rsidR="00FE3053" w:rsidRDefault="0033405C">
      <w:pPr>
        <w:jc w:val="both"/>
        <w:rPr>
          <w:rFonts w:ascii="Times New Roman" w:hAnsi="Times New Roman" w:cs="Times New Roman"/>
          <w:noProof/>
          <w:sz w:val="24"/>
          <w:szCs w:val="24"/>
        </w:rPr>
      </w:pPr>
      <w:r>
        <w:rPr>
          <w:rFonts w:ascii="Times New Roman" w:hAnsi="Times New Roman"/>
          <w:noProof/>
          <w:sz w:val="24"/>
        </w:rPr>
        <w:t xml:space="preserve">Комисията изпълнява задължението си да създаде градивните части на съюза на </w:t>
      </w:r>
      <w:r>
        <w:rPr>
          <w:rFonts w:ascii="Times New Roman" w:hAnsi="Times New Roman"/>
          <w:noProof/>
          <w:sz w:val="24"/>
        </w:rPr>
        <w:t xml:space="preserve">капиталовите пазари до 2019 г. Комисията е представила осем законодателни предложения, от които досега само три са приети от съзаконодателните органи, а днес представя още четири такива предложения. До май 2018 г. тя ще е представила предложения по всички </w:t>
      </w:r>
      <w:r>
        <w:rPr>
          <w:rFonts w:ascii="Times New Roman" w:hAnsi="Times New Roman"/>
          <w:noProof/>
          <w:sz w:val="24"/>
        </w:rPr>
        <w:t>законодателни инициативи, обявени в Плана за действие за съюза на капиталовите пазари от 2015 г. и в междинния преглед от 2017 г. Комисията е готова да работи дейно с Европейския парламент и Съвета по всички висящи предложения, свързани със съюза на капита</w:t>
      </w:r>
      <w:r>
        <w:rPr>
          <w:rFonts w:ascii="Times New Roman" w:hAnsi="Times New Roman"/>
          <w:noProof/>
          <w:sz w:val="24"/>
        </w:rPr>
        <w:t>ловите пазари.</w:t>
      </w:r>
    </w:p>
    <w:p w:rsidR="00FE3053" w:rsidRDefault="0033405C">
      <w:pPr>
        <w:jc w:val="both"/>
        <w:rPr>
          <w:rFonts w:ascii="Times New Roman" w:hAnsi="Times New Roman" w:cs="Times New Roman"/>
          <w:noProof/>
          <w:sz w:val="24"/>
          <w:szCs w:val="24"/>
        </w:rPr>
      </w:pPr>
      <w:r>
        <w:rPr>
          <w:rFonts w:ascii="Times New Roman" w:hAnsi="Times New Roman"/>
          <w:noProof/>
          <w:sz w:val="24"/>
        </w:rPr>
        <w:t>Реформирането на капиталовите пазари в ЕС не може да бъде постигнато единствено чрез действия на Комисията. Всички заинтересовани лица на национално и европейско равнище трябва също да изпълнят своята роля, а Комисията ще продължи да подкреп</w:t>
      </w:r>
      <w:r>
        <w:rPr>
          <w:rFonts w:ascii="Times New Roman" w:hAnsi="Times New Roman"/>
          <w:noProof/>
          <w:sz w:val="24"/>
        </w:rPr>
        <w:t>я тези усилия. Като непосредствена следваща стъпка Комисията очаква обсъжданията в Европейския съвет на 22 – 23 март и призовава Европейския парламент и Съвета да ускорят работата си по всички висящи законодателни предложения, които са свързани със завършв</w:t>
      </w:r>
      <w:r>
        <w:rPr>
          <w:rFonts w:ascii="Times New Roman" w:hAnsi="Times New Roman"/>
          <w:noProof/>
          <w:sz w:val="24"/>
        </w:rPr>
        <w:t>ането на съюза на капиталовите пазари, така щото да се осигури приемането им преди изборите за Европейски парламент, най-късно в средата на 2019 г.</w:t>
      </w:r>
    </w:p>
    <w:sectPr w:rsidR="00FE305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0134F9" w15:done="0"/>
  <w15:commentEx w15:paraId="4B5A1B1C" w15:done="0"/>
  <w15:commentEx w15:paraId="5ACED5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53" w:rsidRDefault="0033405C">
      <w:pPr>
        <w:spacing w:after="0" w:line="240" w:lineRule="auto"/>
      </w:pPr>
      <w:r>
        <w:separator/>
      </w:r>
    </w:p>
  </w:endnote>
  <w:endnote w:type="continuationSeparator" w:id="0">
    <w:p w:rsidR="00FE3053" w:rsidRDefault="0033405C">
      <w:pPr>
        <w:spacing w:after="0" w:line="240" w:lineRule="auto"/>
      </w:pPr>
      <w:r>
        <w:continuationSeparator/>
      </w:r>
    </w:p>
  </w:endnote>
  <w:endnote w:type="continuationNotice" w:id="1">
    <w:p w:rsidR="00FE3053" w:rsidRDefault="00FE3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FE3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33405C">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FE305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FE30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60636"/>
      <w:docPartObj>
        <w:docPartGallery w:val="Page Numbers (Bottom of Page)"/>
        <w:docPartUnique/>
      </w:docPartObj>
    </w:sdtPr>
    <w:sdtEndPr>
      <w:rPr>
        <w:noProof/>
      </w:rPr>
    </w:sdtEndPr>
    <w:sdtContent>
      <w:p w:rsidR="00FE3053" w:rsidRDefault="0033405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FE3053" w:rsidRDefault="00FE30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FE3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53" w:rsidRDefault="0033405C">
      <w:pPr>
        <w:spacing w:after="0" w:line="240" w:lineRule="auto"/>
      </w:pPr>
      <w:r>
        <w:separator/>
      </w:r>
    </w:p>
  </w:footnote>
  <w:footnote w:type="continuationSeparator" w:id="0">
    <w:p w:rsidR="00FE3053" w:rsidRDefault="0033405C">
      <w:pPr>
        <w:spacing w:after="0" w:line="240" w:lineRule="auto"/>
      </w:pPr>
      <w:r>
        <w:continuationSeparator/>
      </w:r>
    </w:p>
  </w:footnote>
  <w:footnote w:type="continuationNotice" w:id="1">
    <w:p w:rsidR="00FE3053" w:rsidRDefault="00FE3053">
      <w:pPr>
        <w:spacing w:after="0" w:line="240" w:lineRule="auto"/>
      </w:pPr>
    </w:p>
  </w:footnote>
  <w:footnote w:id="2">
    <w:p w:rsidR="00FE3053" w:rsidRDefault="0033405C">
      <w:pPr>
        <w:pStyle w:val="FootnoteText"/>
        <w:ind w:left="567" w:hanging="567"/>
        <w:rPr>
          <w:rFonts w:ascii="Times New Roman" w:hAnsi="Times New Roman" w:cs="Times New Roman"/>
          <w:sz w:val="24"/>
          <w:szCs w:val="24"/>
        </w:rPr>
      </w:pPr>
      <w:r>
        <w:rPr>
          <w:rStyle w:val="FootnoteReference"/>
          <w:rFonts w:ascii="Times New Roman" w:hAnsi="Times New Roman"/>
          <w:sz w:val="24"/>
        </w:rPr>
        <w:footnoteRef/>
      </w:r>
      <w:r>
        <w:tab/>
      </w:r>
      <w:r>
        <w:rPr>
          <w:rFonts w:ascii="Times New Roman" w:hAnsi="Times New Roman"/>
        </w:rPr>
        <w:t xml:space="preserve">План за действие за изграждане на съюз на капиталовите пазари </w:t>
      </w:r>
      <w:r>
        <w:rPr>
          <w:rFonts w:ascii="Times New Roman" w:hAnsi="Times New Roman"/>
        </w:rPr>
        <w:t>(COM(2015)468 final, 30.9.2015 г.)</w:t>
      </w:r>
    </w:p>
  </w:footnote>
  <w:footnote w:id="3">
    <w:p w:rsidR="00FE3053" w:rsidRDefault="0033405C">
      <w:pPr>
        <w:pStyle w:val="FootnoteText"/>
        <w:ind w:left="709" w:hanging="709"/>
        <w:jc w:val="both"/>
        <w:rPr>
          <w:rFonts w:ascii="Times New Roman" w:hAnsi="Times New Roman" w:cs="Times New Roman"/>
          <w:lang w:val="ru-RU" w:eastAsia="en-US" w:bidi="ar-SA"/>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eastAsia="en-US" w:bidi="ar-SA"/>
        </w:rPr>
        <w:t>Съобщение</w:t>
      </w:r>
      <w:r>
        <w:rPr>
          <w:rFonts w:ascii="Times New Roman" w:hAnsi="Times New Roman" w:cs="Times New Roman"/>
          <w:lang w:val="ru-RU" w:eastAsia="en-US" w:bidi="ar-SA"/>
        </w:rPr>
        <w:t xml:space="preserve"> относно междинния преглед на Плана за действие за изграждане на съюз на капиталовите пазари, </w:t>
      </w:r>
      <w:r>
        <w:rPr>
          <w:rFonts w:ascii="Times New Roman" w:hAnsi="Times New Roman" w:cs="Times New Roman"/>
          <w:lang w:val="en-GB" w:eastAsia="en-US" w:bidi="ar-SA"/>
        </w:rPr>
        <w:t>COM</w:t>
      </w:r>
      <w:r>
        <w:rPr>
          <w:rFonts w:ascii="Times New Roman" w:hAnsi="Times New Roman" w:cs="Times New Roman"/>
          <w:lang w:val="ru-RU" w:eastAsia="en-US" w:bidi="ar-SA"/>
        </w:rPr>
        <w:t>(2017) 292, 8.6.2017</w:t>
      </w:r>
      <w:r>
        <w:rPr>
          <w:rFonts w:ascii="Times New Roman" w:hAnsi="Times New Roman" w:cs="Times New Roman"/>
          <w:lang w:eastAsia="en-US" w:bidi="ar-SA"/>
        </w:rPr>
        <w:t xml:space="preserve"> г</w:t>
      </w:r>
      <w:r>
        <w:rPr>
          <w:rFonts w:ascii="Times New Roman" w:hAnsi="Times New Roman" w:cs="Times New Roman"/>
          <w:lang w:val="ru-RU" w:eastAsia="en-US" w:bidi="ar-SA"/>
        </w:rPr>
        <w:t>.</w:t>
      </w:r>
    </w:p>
    <w:p w:rsidR="00FE3053" w:rsidRDefault="00FE3053">
      <w:pPr>
        <w:pStyle w:val="FootnoteText"/>
        <w:rPr>
          <w:lang w:val="ru-RU"/>
        </w:rPr>
      </w:pPr>
    </w:p>
  </w:footnote>
  <w:footnote w:id="4">
    <w:p w:rsidR="00FE3053" w:rsidRDefault="0033405C">
      <w:pPr>
        <w:pStyle w:val="FootnoteText"/>
        <w:ind w:left="567" w:hanging="567"/>
        <w:jc w:val="both"/>
        <w:rPr>
          <w:rFonts w:ascii="Times New Roman" w:hAnsi="Times New Roman" w:cs="Times New Roman"/>
        </w:rPr>
      </w:pPr>
      <w:r>
        <w:rPr>
          <w:rStyle w:val="FootnoteReference"/>
        </w:rPr>
        <w:footnoteRef/>
      </w:r>
      <w:r>
        <w:t xml:space="preserve"> </w:t>
      </w:r>
      <w:r>
        <w:tab/>
      </w:r>
      <w:r>
        <w:rPr>
          <w:rFonts w:ascii="Times New Roman" w:hAnsi="Times New Roman"/>
        </w:rPr>
        <w:t xml:space="preserve">Регламент (EС) 2017/1129 на Европейския парламент и на Съвета от 14 юни 2017 година </w:t>
      </w:r>
      <w:r>
        <w:rPr>
          <w:rFonts w:ascii="Times New Roman" w:hAnsi="Times New Roman"/>
        </w:rPr>
        <w:t>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(OВ L 168, 30.6.2017 г., стр. 12 –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FE3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FE305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FE305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FE30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FE30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3" w:rsidRDefault="00FE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6BF"/>
    <w:multiLevelType w:val="hybridMultilevel"/>
    <w:tmpl w:val="8EE44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8A3006"/>
    <w:multiLevelType w:val="hybridMultilevel"/>
    <w:tmpl w:val="2E0A8F1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DE3A6F"/>
    <w:multiLevelType w:val="hybridMultilevel"/>
    <w:tmpl w:val="D2D860D2"/>
    <w:lvl w:ilvl="0" w:tplc="08090001">
      <w:start w:val="1"/>
      <w:numFmt w:val="bullet"/>
      <w:lvlText w:val=""/>
      <w:lvlJc w:val="left"/>
      <w:pPr>
        <w:ind w:left="720" w:hanging="360"/>
      </w:pPr>
      <w:rPr>
        <w:rFonts w:ascii="Symbol" w:hAnsi="Symbol" w:hint="default"/>
      </w:rPr>
    </w:lvl>
    <w:lvl w:ilvl="1" w:tplc="BFD870E2">
      <w:start w:val="1"/>
      <w:numFmt w:val="decimal"/>
      <w:pStyle w:val="ListParagraph"/>
      <w:lvlText w:val="%2."/>
      <w:lvlJc w:val="left"/>
      <w:pPr>
        <w:ind w:left="1440" w:hanging="360"/>
      </w:pPr>
      <w:rPr>
        <w:rFonts w:hint="default"/>
        <w: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4704B61-6969-4776-A9F1-01A4A829D6E7"/>
    <w:docVar w:name="LW_COVERPAGE_TYPE" w:val="1"/>
    <w:docVar w:name="LW_CROSSREFERENCE" w:val="&lt;UNUSED&gt;"/>
    <w:docVar w:name="LW_DocType" w:val="NORMAL"/>
    <w:docVar w:name="LW_EMISSION" w:val="8.3.2018"/>
    <w:docVar w:name="LW_EMISSION_ISODATE" w:val="2018-03-08"/>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7?\u1072?\u1074?\u1098?\u1088?\u1096?\u1074?\u1072?\u1085?\u1077? \u1085?\u1072? \u1089?\u1098?\u1102?\u1079?\u1072? \u1085?\u1072? \u1082?\u1072?\u1087?\u1080?\u1090?\u1072?\u1083?\u1086?\u1074?\u1080?\u1090?\u1077? \u1087?\u1072?\u1079?\u1072?\u1088?\u1080? \u1076?\u1086? 2019 \u1075?. \u8212? \u1074?\u1088?\u1077?\u1084?\u1077? \u1077? \u1076?\u1072? \u1091?\u1089?\u1082?\u1086?\u1088?\u1080?\u1084? \u1087?\u1088?\u1086?\u1094?\u1077?\u1089?\u1072?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FE3053"/>
    <w:rsid w:val="0033405C"/>
    <w:rsid w:val="00FE30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ilvl w:val="1"/>
        <w:numId w:val="1"/>
      </w:numPr>
      <w:jc w:val="both"/>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EBE9EA" w:themeFill="background1"/>
      </w:tcPr>
    </w:tblStylePr>
    <w:tblStylePr w:type="lastRow">
      <w:tblPr/>
      <w:tcPr>
        <w:tcBorders>
          <w:top w:val="single" w:sz="8" w:space="0" w:color="000000" w:themeColor="text1"/>
          <w:left w:val="nil"/>
          <w:bottom w:val="nil"/>
          <w:right w:val="nil"/>
          <w:insideH w:val="nil"/>
          <w:insideV w:val="nil"/>
        </w:tcBorders>
        <w:shd w:val="clear" w:color="auto" w:fill="EBE9EA" w:themeFill="background1"/>
      </w:tcPr>
    </w:tblStylePr>
    <w:tblStylePr w:type="firstCol">
      <w:tblPr/>
      <w:tcPr>
        <w:tcBorders>
          <w:top w:val="nil"/>
          <w:left w:val="nil"/>
          <w:bottom w:val="nil"/>
          <w:right w:val="single" w:sz="8" w:space="0" w:color="000000" w:themeColor="text1"/>
          <w:insideH w:val="nil"/>
          <w:insideV w:val="nil"/>
        </w:tcBorders>
        <w:shd w:val="clear" w:color="auto" w:fill="EBE9EA" w:themeFill="background1"/>
      </w:tcPr>
    </w:tblStylePr>
    <w:tblStylePr w:type="lastCol">
      <w:tblPr/>
      <w:tcPr>
        <w:tcBorders>
          <w:top w:val="nil"/>
          <w:left w:val="single" w:sz="8" w:space="0" w:color="000000" w:themeColor="text1"/>
          <w:bottom w:val="nil"/>
          <w:right w:val="nil"/>
          <w:insideH w:val="nil"/>
          <w:insideV w:val="nil"/>
        </w:tcBorders>
        <w:shd w:val="clear" w:color="auto" w:fill="EBE9EA"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EBE9EA" w:themeFill="background1"/>
      </w:tcPr>
    </w:tblStylePr>
    <w:tblStylePr w:type="swCell">
      <w:tblPr/>
      <w:tcPr>
        <w:tcBorders>
          <w:top w:val="nil"/>
        </w:tcBorders>
      </w:tcPr>
    </w:tblStyle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ilvl w:val="1"/>
        <w:numId w:val="1"/>
      </w:numPr>
      <w:jc w:val="both"/>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EBE9EA" w:themeFill="background1"/>
      </w:tcPr>
    </w:tblStylePr>
    <w:tblStylePr w:type="lastRow">
      <w:tblPr/>
      <w:tcPr>
        <w:tcBorders>
          <w:top w:val="single" w:sz="8" w:space="0" w:color="000000" w:themeColor="text1"/>
          <w:left w:val="nil"/>
          <w:bottom w:val="nil"/>
          <w:right w:val="nil"/>
          <w:insideH w:val="nil"/>
          <w:insideV w:val="nil"/>
        </w:tcBorders>
        <w:shd w:val="clear" w:color="auto" w:fill="EBE9EA" w:themeFill="background1"/>
      </w:tcPr>
    </w:tblStylePr>
    <w:tblStylePr w:type="firstCol">
      <w:tblPr/>
      <w:tcPr>
        <w:tcBorders>
          <w:top w:val="nil"/>
          <w:left w:val="nil"/>
          <w:bottom w:val="nil"/>
          <w:right w:val="single" w:sz="8" w:space="0" w:color="000000" w:themeColor="text1"/>
          <w:insideH w:val="nil"/>
          <w:insideV w:val="nil"/>
        </w:tcBorders>
        <w:shd w:val="clear" w:color="auto" w:fill="EBE9EA" w:themeFill="background1"/>
      </w:tcPr>
    </w:tblStylePr>
    <w:tblStylePr w:type="lastCol">
      <w:tblPr/>
      <w:tcPr>
        <w:tcBorders>
          <w:top w:val="nil"/>
          <w:left w:val="single" w:sz="8" w:space="0" w:color="000000" w:themeColor="text1"/>
          <w:bottom w:val="nil"/>
          <w:right w:val="nil"/>
          <w:insideH w:val="nil"/>
          <w:insideV w:val="nil"/>
        </w:tcBorders>
        <w:shd w:val="clear" w:color="auto" w:fill="EBE9EA"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EBE9EA" w:themeFill="background1"/>
      </w:tcPr>
    </w:tblStylePr>
    <w:tblStylePr w:type="swCell">
      <w:tblPr/>
      <w:tcPr>
        <w:tcBorders>
          <w:top w:val="nil"/>
        </w:tcBorders>
      </w:tcPr>
    </w:tblStyle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1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B016-A412-4D0F-8EF1-C183A132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2018-03-02T20:07:00Z</dcterms:created>
  <dcterms:modified xsi:type="dcterms:W3CDTF">2018-03-07T12:03:00Z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