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D206AD1D-BBD5-4B8B-B09D-86EC3D7C39A9" style="width:450.8pt;height:406.3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tbl>
      <w:tblPr>
        <w:tblStyle w:val="MediumList2"/>
        <w:tblW w:w="10140" w:type="dxa"/>
        <w:tblLayout w:type="fixed"/>
        <w:tblLook w:val="04A0" w:firstRow="1" w:lastRow="0" w:firstColumn="1" w:lastColumn="0" w:noHBand="0" w:noVBand="1"/>
      </w:tblPr>
      <w:tblGrid>
        <w:gridCol w:w="6"/>
        <w:gridCol w:w="1378"/>
        <w:gridCol w:w="6066"/>
        <w:gridCol w:w="1417"/>
        <w:gridCol w:w="1273"/>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84" w:type="dxa"/>
            <w:gridSpan w:val="2"/>
          </w:tcPr>
          <w:p>
            <w:pPr>
              <w:autoSpaceDE w:val="0"/>
              <w:autoSpaceDN w:val="0"/>
              <w:adjustRightInd w:val="0"/>
              <w:rPr>
                <w:rFonts w:ascii="Times New Roman" w:eastAsia="Times New Roman" w:hAnsi="Times New Roman" w:cs="Times New Roman"/>
                <w:b/>
                <w:noProof/>
              </w:rPr>
            </w:pPr>
            <w:bookmarkStart w:id="1" w:name="_GoBack"/>
            <w:bookmarkEnd w:id="1"/>
          </w:p>
        </w:tc>
        <w:tc>
          <w:tcPr>
            <w:tcW w:w="6066" w:type="dxa"/>
          </w:tcPr>
          <w:p>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rPr>
            </w:pPr>
            <w:r>
              <w:rPr>
                <w:rFonts w:ascii="Times New Roman" w:hAnsi="Times New Roman"/>
                <w:b/>
                <w:noProof/>
              </w:rPr>
              <w:t>Initiatives législatives et actions prioritaires</w:t>
            </w:r>
          </w:p>
        </w:tc>
        <w:tc>
          <w:tcPr>
            <w:tcW w:w="1417" w:type="dxa"/>
          </w:tcPr>
          <w:p>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Source (*)</w:t>
            </w:r>
          </w:p>
        </w:tc>
        <w:tc>
          <w:tcPr>
            <w:tcW w:w="1273" w:type="dxa"/>
          </w:tcPr>
          <w:p>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rPr>
            </w:pPr>
            <w:r>
              <w:rPr>
                <w:rFonts w:ascii="Times New Roman" w:hAnsi="Times New Roman"/>
                <w:b/>
                <w:noProof/>
              </w:rPr>
              <w:t>Date</w:t>
            </w:r>
          </w:p>
          <w:p>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2"/>
          </w:tcPr>
          <w:p>
            <w:pPr>
              <w:autoSpaceDE w:val="0"/>
              <w:autoSpaceDN w:val="0"/>
              <w:adjustRightInd w:val="0"/>
              <w:rPr>
                <w:rFonts w:ascii="Times New Roman" w:eastAsia="Times New Roman" w:hAnsi="Times New Roman" w:cs="Times New Roman"/>
                <w:b/>
                <w:noProof/>
              </w:rPr>
            </w:pPr>
            <w:r>
              <w:rPr>
                <w:rFonts w:ascii="Times New Roman" w:hAnsi="Times New Roman"/>
                <w:b/>
                <w:noProof/>
              </w:rPr>
              <w:t>Adopté</w:t>
            </w:r>
          </w:p>
        </w:tc>
        <w:tc>
          <w:tcPr>
            <w:tcW w:w="6066" w:type="dxa"/>
          </w:tcPr>
          <w:p>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Règlement (UE) 2017/1991 du Parlement européen et du Conseil du 25 octobre 2017 relatif aux fonds de capital-risque européens et aux fonds d'entrepreneuriat social européens</w:t>
            </w:r>
          </w:p>
        </w:tc>
        <w:tc>
          <w:tcPr>
            <w:tcW w:w="1417" w:type="dxa"/>
          </w:tcPr>
          <w:p>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b/>
                <w:noProof/>
              </w:rPr>
              <w:t>PA</w:t>
            </w:r>
          </w:p>
        </w:tc>
        <w:tc>
          <w:tcPr>
            <w:tcW w:w="1273"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Oct 2017</w:t>
            </w:r>
          </w:p>
        </w:tc>
      </w:tr>
      <w:tr>
        <w:tc>
          <w:tcPr>
            <w:cnfStyle w:val="001000000000" w:firstRow="0" w:lastRow="0" w:firstColumn="1" w:lastColumn="0" w:oddVBand="0" w:evenVBand="0" w:oddHBand="0" w:evenHBand="0" w:firstRowFirstColumn="0" w:firstRowLastColumn="0" w:lastRowFirstColumn="0" w:lastRowLastColumn="0"/>
            <w:tcW w:w="1384" w:type="dxa"/>
            <w:gridSpan w:val="2"/>
          </w:tcPr>
          <w:p>
            <w:pPr>
              <w:autoSpaceDE w:val="0"/>
              <w:autoSpaceDN w:val="0"/>
              <w:adjustRightInd w:val="0"/>
              <w:rPr>
                <w:rFonts w:ascii="Times New Roman" w:eastAsia="Times New Roman" w:hAnsi="Times New Roman" w:cs="Times New Roman"/>
                <w:b/>
                <w:noProof/>
              </w:rPr>
            </w:pPr>
          </w:p>
        </w:tc>
        <w:tc>
          <w:tcPr>
            <w:tcW w:w="6066" w:type="dxa"/>
          </w:tcPr>
          <w:p>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noProof/>
              </w:rPr>
            </w:pPr>
            <w:r>
              <w:rPr>
                <w:rFonts w:ascii="Times New Roman" w:hAnsi="Times New Roman"/>
                <w:noProof/>
              </w:rPr>
              <w:t>Règlement (UE) 2017/1129 du Parlement européen et du Conseil du 14 juin 2017 concernant le prospectus à publier en cas d’offre au public de valeurs mobilières ou en vue de l’admission de valeurs mobilières à la négociation sur un marché réglementé</w:t>
            </w:r>
          </w:p>
        </w:tc>
        <w:tc>
          <w:tcPr>
            <w:tcW w:w="1417" w:type="dxa"/>
          </w:tcPr>
          <w:p>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PA</w:t>
            </w:r>
          </w:p>
        </w:tc>
        <w:tc>
          <w:tcPr>
            <w:tcW w:w="127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Juin 2017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2"/>
          </w:tcPr>
          <w:p>
            <w:pPr>
              <w:jc w:val="both"/>
              <w:rPr>
                <w:rFonts w:ascii="Times New Roman" w:eastAsia="Times New Roman" w:hAnsi="Times New Roman" w:cs="Times New Roman"/>
                <w:b/>
                <w:noProof/>
              </w:rPr>
            </w:pPr>
          </w:p>
        </w:tc>
        <w:tc>
          <w:tcPr>
            <w:tcW w:w="6066" w:type="dxa"/>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Règlement (UE) 2017/2402 du Parlement européen et du Conseil du 12 décembre 2017 créant un cadre général pour la titrisation ainsi qu’un cadre spécifique pour les titrisations simples, transparentes et standardisées</w:t>
            </w:r>
          </w:p>
        </w:tc>
        <w:tc>
          <w:tcPr>
            <w:tcW w:w="1417"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b/>
                <w:noProof/>
              </w:rPr>
              <w:t>PA</w:t>
            </w:r>
          </w:p>
        </w:tc>
        <w:tc>
          <w:tcPr>
            <w:tcW w:w="127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Déc 2017</w:t>
            </w:r>
          </w:p>
        </w:tc>
      </w:tr>
      <w:tr>
        <w:trPr>
          <w:gridBefore w:val="1"/>
          <w:wBefore w:w="6" w:type="dxa"/>
        </w:trPr>
        <w:tc>
          <w:tcPr>
            <w:cnfStyle w:val="001000000000" w:firstRow="0" w:lastRow="0" w:firstColumn="1" w:lastColumn="0" w:oddVBand="0" w:evenVBand="0" w:oddHBand="0" w:evenHBand="0" w:firstRowFirstColumn="0" w:firstRowLastColumn="0" w:lastRowFirstColumn="0" w:lastRowLastColumn="0"/>
            <w:tcW w:w="1378" w:type="dxa"/>
            <w:tcBorders>
              <w:top w:val="single" w:sz="4" w:space="0" w:color="auto"/>
            </w:tcBorders>
          </w:tcPr>
          <w:p>
            <w:pPr>
              <w:jc w:val="both"/>
              <w:rPr>
                <w:rFonts w:ascii="Times New Roman" w:eastAsia="Times New Roman" w:hAnsi="Times New Roman" w:cs="Times New Roman"/>
                <w:b/>
                <w:noProof/>
              </w:rPr>
            </w:pPr>
            <w:r>
              <w:rPr>
                <w:rFonts w:ascii="Times New Roman" w:hAnsi="Times New Roman"/>
                <w:b/>
                <w:noProof/>
              </w:rPr>
              <w:t>Proposé</w:t>
            </w:r>
          </w:p>
        </w:tc>
        <w:tc>
          <w:tcPr>
            <w:tcW w:w="6066" w:type="dxa"/>
            <w:hideMark/>
          </w:tcPr>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Proposition de directive du Conseil relative à une assiette commune consolidée pour l’impôt sur les sociétés (ACCIS)</w:t>
            </w:r>
          </w:p>
        </w:tc>
        <w:tc>
          <w:tcPr>
            <w:tcW w:w="1417"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b/>
                <w:noProof/>
              </w:rPr>
              <w:t>PA</w:t>
            </w:r>
          </w:p>
        </w:tc>
        <w:tc>
          <w:tcPr>
            <w:tcW w:w="1273" w:type="dxa"/>
            <w:hideMark/>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Oct 2016</w:t>
            </w:r>
          </w:p>
        </w:tc>
      </w:tr>
      <w:tr>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1378" w:type="dxa"/>
          </w:tcPr>
          <w:p>
            <w:pPr>
              <w:jc w:val="both"/>
              <w:rPr>
                <w:rFonts w:ascii="Times New Roman" w:eastAsia="Times New Roman" w:hAnsi="Times New Roman" w:cs="Times New Roman"/>
                <w:noProof/>
              </w:rPr>
            </w:pPr>
          </w:p>
        </w:tc>
        <w:tc>
          <w:tcPr>
            <w:tcW w:w="6066" w:type="dxa"/>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 xml:space="preserve">Proposition de directive du Parlement européen et du Conseil relative aux cadres de restructuration préventifs, à la seconde chance et aux mesures à prendre pour augmenter l'efficience des procédures de restructuration, d’insolvabilité et d'apurement </w:t>
            </w:r>
          </w:p>
        </w:tc>
        <w:tc>
          <w:tcPr>
            <w:tcW w:w="1417"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b/>
                <w:noProof/>
              </w:rPr>
              <w:t>PA</w:t>
            </w:r>
          </w:p>
        </w:tc>
        <w:tc>
          <w:tcPr>
            <w:tcW w:w="127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Nov 2016</w:t>
            </w:r>
          </w:p>
        </w:tc>
      </w:tr>
      <w:tr>
        <w:trPr>
          <w:gridBefore w:val="1"/>
          <w:wBefore w:w="6" w:type="dxa"/>
        </w:trPr>
        <w:tc>
          <w:tcPr>
            <w:cnfStyle w:val="001000000000" w:firstRow="0" w:lastRow="0" w:firstColumn="1" w:lastColumn="0" w:oddVBand="0" w:evenVBand="0" w:oddHBand="0" w:evenHBand="0" w:firstRowFirstColumn="0" w:firstRowLastColumn="0" w:lastRowFirstColumn="0" w:lastRowLastColumn="0"/>
            <w:tcW w:w="1378" w:type="dxa"/>
          </w:tcPr>
          <w:p>
            <w:pPr>
              <w:jc w:val="both"/>
              <w:rPr>
                <w:rFonts w:ascii="Times New Roman" w:eastAsia="Times New Roman" w:hAnsi="Times New Roman" w:cs="Times New Roman"/>
                <w:noProof/>
              </w:rPr>
            </w:pPr>
          </w:p>
        </w:tc>
        <w:tc>
          <w:tcPr>
            <w:tcW w:w="6066" w:type="dxa"/>
            <w:hideMark/>
          </w:tcPr>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Proposition de règlement du Parlement européen et du Conseil relative à un produit paneuropéen d’épargne-retraite individuelle (PEPP)</w:t>
            </w:r>
          </w:p>
        </w:tc>
        <w:tc>
          <w:tcPr>
            <w:tcW w:w="1417"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b/>
                <w:noProof/>
              </w:rPr>
              <w:t>EMP</w:t>
            </w:r>
          </w:p>
        </w:tc>
        <w:tc>
          <w:tcPr>
            <w:tcW w:w="1273" w:type="dxa"/>
            <w:hideMark/>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Juin 2017</w:t>
            </w:r>
          </w:p>
        </w:tc>
      </w:tr>
      <w:tr>
        <w:trPr>
          <w:gridBefore w:val="1"/>
          <w:cnfStyle w:val="000000100000" w:firstRow="0" w:lastRow="0" w:firstColumn="0" w:lastColumn="0" w:oddVBand="0" w:evenVBand="0" w:oddHBand="1" w:evenHBand="0" w:firstRowFirstColumn="0" w:firstRowLastColumn="0" w:lastRowFirstColumn="0" w:lastRowLastColumn="0"/>
          <w:wBefore w:w="6" w:type="dxa"/>
          <w:trHeight w:val="231"/>
        </w:trPr>
        <w:tc>
          <w:tcPr>
            <w:cnfStyle w:val="001000000000" w:firstRow="0" w:lastRow="0" w:firstColumn="1" w:lastColumn="0" w:oddVBand="0" w:evenVBand="0" w:oddHBand="0" w:evenHBand="0" w:firstRowFirstColumn="0" w:firstRowLastColumn="0" w:lastRowFirstColumn="0" w:lastRowLastColumn="0"/>
            <w:tcW w:w="1378" w:type="dxa"/>
          </w:tcPr>
          <w:p>
            <w:pPr>
              <w:jc w:val="both"/>
              <w:rPr>
                <w:rFonts w:ascii="Times New Roman" w:hAnsi="Times New Roman" w:cs="Times New Roman"/>
                <w:bCs/>
                <w:noProof/>
              </w:rPr>
            </w:pPr>
          </w:p>
        </w:tc>
        <w:tc>
          <w:tcPr>
            <w:tcW w:w="6066" w:type="dxa"/>
            <w:hideMark/>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Proposition de règlement du Parlement européen et du Conseil modifiant les règlements instituant l’autorité européenne des marchés financiers (AEMF) et les autres autorités de surveillance européennes ainsi que les actes associés</w:t>
            </w:r>
          </w:p>
        </w:tc>
        <w:tc>
          <w:tcPr>
            <w:tcW w:w="1417"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b/>
                <w:noProof/>
              </w:rPr>
              <w:t xml:space="preserve">EMP </w:t>
            </w:r>
          </w:p>
        </w:tc>
        <w:tc>
          <w:tcPr>
            <w:tcW w:w="1273" w:type="dxa"/>
            <w:hideMark/>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Sept 2017</w:t>
            </w:r>
          </w:p>
        </w:tc>
      </w:tr>
      <w:tr>
        <w:trPr>
          <w:gridBefore w:val="1"/>
          <w:wBefore w:w="6" w:type="dxa"/>
        </w:trPr>
        <w:tc>
          <w:tcPr>
            <w:cnfStyle w:val="001000000000" w:firstRow="0" w:lastRow="0" w:firstColumn="1" w:lastColumn="0" w:oddVBand="0" w:evenVBand="0" w:oddHBand="0" w:evenHBand="0" w:firstRowFirstColumn="0" w:firstRowLastColumn="0" w:lastRowFirstColumn="0" w:lastRowLastColumn="0"/>
            <w:tcW w:w="1378" w:type="dxa"/>
          </w:tcPr>
          <w:p>
            <w:pPr>
              <w:pStyle w:val="Default"/>
              <w:jc w:val="both"/>
              <w:rPr>
                <w:noProof/>
                <w:sz w:val="22"/>
                <w:szCs w:val="22"/>
              </w:rPr>
            </w:pPr>
          </w:p>
        </w:tc>
        <w:tc>
          <w:tcPr>
            <w:tcW w:w="6066" w:type="dxa"/>
          </w:tcPr>
          <w:p>
            <w:pPr>
              <w:pStyle w:val="Default"/>
              <w:jc w:val="both"/>
              <w:cnfStyle w:val="000000000000" w:firstRow="0" w:lastRow="0" w:firstColumn="0" w:lastColumn="0" w:oddVBand="0" w:evenVBand="0" w:oddHBand="0" w:evenHBand="0" w:firstRowFirstColumn="0" w:firstRowLastColumn="0" w:lastRowFirstColumn="0" w:lastRowLastColumn="0"/>
              <w:rPr>
                <w:rFonts w:eastAsia="Times New Roman"/>
                <w:noProof/>
              </w:rPr>
            </w:pPr>
            <w:r>
              <w:rPr>
                <w:noProof/>
                <w:sz w:val="22"/>
              </w:rPr>
              <w:t>Proposition de règlement du Parlement européen et du Conseil concernant les exigences prudentielles applicables aux entreprises d'investissement</w:t>
            </w:r>
          </w:p>
        </w:tc>
        <w:tc>
          <w:tcPr>
            <w:tcW w:w="1417"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b/>
                <w:noProof/>
              </w:rPr>
              <w:t xml:space="preserve">EMP </w:t>
            </w:r>
          </w:p>
        </w:tc>
        <w:tc>
          <w:tcPr>
            <w:tcW w:w="127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Déc 2017</w:t>
            </w:r>
          </w:p>
        </w:tc>
      </w:tr>
      <w:tr>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1378" w:type="dxa"/>
          </w:tcPr>
          <w:p>
            <w:pPr>
              <w:pStyle w:val="Default"/>
              <w:jc w:val="both"/>
              <w:rPr>
                <w:noProof/>
                <w:sz w:val="22"/>
                <w:szCs w:val="22"/>
              </w:rPr>
            </w:pPr>
          </w:p>
        </w:tc>
        <w:tc>
          <w:tcPr>
            <w:tcW w:w="6066" w:type="dxa"/>
          </w:tcPr>
          <w:p>
            <w:pPr>
              <w:pStyle w:val="Default"/>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rPr>
              <w:t>Proposition de règlement du Parlement européen et du Conseil sur la loi applicable à l’opposabilité des cessions de créances et Communication sur la loi applicable aux effets patrimoniaux des transactions sur titres</w:t>
            </w:r>
          </w:p>
        </w:tc>
        <w:tc>
          <w:tcPr>
            <w:tcW w:w="1417" w:type="dxa"/>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rPr>
            </w:pPr>
            <w:r>
              <w:rPr>
                <w:rFonts w:ascii="Times New Roman" w:hAnsi="Times New Roman"/>
                <w:b/>
                <w:noProof/>
              </w:rPr>
              <w:t>EMP</w:t>
            </w:r>
          </w:p>
        </w:tc>
        <w:tc>
          <w:tcPr>
            <w:tcW w:w="1273" w:type="dxa"/>
          </w:tcPr>
          <w:p>
            <w:pPr>
              <w:pStyle w:val="Default"/>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rPr>
              <w:t>Mars 2018</w:t>
            </w:r>
          </w:p>
        </w:tc>
      </w:tr>
      <w:tr>
        <w:trPr>
          <w:gridBefore w:val="1"/>
          <w:wBefore w:w="6" w:type="dxa"/>
        </w:trPr>
        <w:tc>
          <w:tcPr>
            <w:cnfStyle w:val="001000000000" w:firstRow="0" w:lastRow="0" w:firstColumn="1" w:lastColumn="0" w:oddVBand="0" w:evenVBand="0" w:oddHBand="0" w:evenHBand="0" w:firstRowFirstColumn="0" w:firstRowLastColumn="0" w:lastRowFirstColumn="0" w:lastRowLastColumn="0"/>
            <w:tcW w:w="1378" w:type="dxa"/>
          </w:tcPr>
          <w:p>
            <w:pPr>
              <w:rPr>
                <w:rFonts w:ascii="Times New Roman" w:eastAsia="Times New Roman" w:hAnsi="Times New Roman" w:cs="Times New Roman"/>
                <w:noProof/>
              </w:rPr>
            </w:pPr>
          </w:p>
        </w:tc>
        <w:tc>
          <w:tcPr>
            <w:tcW w:w="6066" w:type="dxa"/>
          </w:tcPr>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Communication intitulée «Plan d’action: Financer la croissance durable»</w:t>
            </w:r>
          </w:p>
        </w:tc>
        <w:tc>
          <w:tcPr>
            <w:tcW w:w="1417" w:type="dxa"/>
          </w:tcPr>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rPr>
            </w:pPr>
            <w:r>
              <w:rPr>
                <w:rFonts w:ascii="Times New Roman" w:hAnsi="Times New Roman"/>
                <w:b/>
                <w:noProof/>
              </w:rPr>
              <w:t xml:space="preserve">EMP </w:t>
            </w:r>
          </w:p>
        </w:tc>
        <w:tc>
          <w:tcPr>
            <w:tcW w:w="127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Mars 2018</w:t>
            </w:r>
          </w:p>
        </w:tc>
      </w:tr>
      <w:tr>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1378" w:type="dxa"/>
          </w:tcPr>
          <w:p>
            <w:pPr>
              <w:jc w:val="both"/>
              <w:rPr>
                <w:rFonts w:ascii="Times New Roman" w:eastAsia="Times New Roman" w:hAnsi="Times New Roman" w:cs="Times New Roman"/>
                <w:noProof/>
              </w:rPr>
            </w:pPr>
          </w:p>
        </w:tc>
        <w:tc>
          <w:tcPr>
            <w:tcW w:w="6066" w:type="dxa"/>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rPr>
            </w:pPr>
            <w:r>
              <w:rPr>
                <w:rFonts w:ascii="Times New Roman" w:hAnsi="Times New Roman"/>
                <w:noProof/>
              </w:rPr>
              <w:t>Proposition de règlement du Parlement européen et du Conseil relatif aux prestataires européens de services de financement participatif pour les entreprises, et Communication intitulée «Plan d’action pour les technologies financières: Pour un secteur financier européen plus compétitif et plus innovant»</w:t>
            </w:r>
          </w:p>
        </w:tc>
        <w:tc>
          <w:tcPr>
            <w:tcW w:w="1417"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rPr>
            </w:pPr>
            <w:r>
              <w:rPr>
                <w:rFonts w:ascii="Times New Roman" w:hAnsi="Times New Roman"/>
                <w:b/>
                <w:noProof/>
              </w:rPr>
              <w:t xml:space="preserve">EMP </w:t>
            </w:r>
          </w:p>
        </w:tc>
        <w:tc>
          <w:tcPr>
            <w:tcW w:w="127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highlight w:val="yellow"/>
              </w:rPr>
            </w:pPr>
            <w:r>
              <w:rPr>
                <w:rFonts w:ascii="Times New Roman" w:hAnsi="Times New Roman"/>
                <w:noProof/>
              </w:rPr>
              <w:t>Mars 2018</w:t>
            </w:r>
          </w:p>
        </w:tc>
      </w:tr>
      <w:tr>
        <w:trPr>
          <w:gridBefore w:val="1"/>
          <w:wBefore w:w="6" w:type="dxa"/>
        </w:trPr>
        <w:tc>
          <w:tcPr>
            <w:cnfStyle w:val="001000000000" w:firstRow="0" w:lastRow="0" w:firstColumn="1" w:lastColumn="0" w:oddVBand="0" w:evenVBand="0" w:oddHBand="0" w:evenHBand="0" w:firstRowFirstColumn="0" w:firstRowLastColumn="0" w:lastRowFirstColumn="0" w:lastRowLastColumn="0"/>
            <w:tcW w:w="1378" w:type="dxa"/>
          </w:tcPr>
          <w:p>
            <w:pPr>
              <w:pStyle w:val="Default"/>
              <w:jc w:val="both"/>
              <w:rPr>
                <w:noProof/>
                <w:color w:val="auto"/>
                <w:sz w:val="22"/>
                <w:szCs w:val="22"/>
              </w:rPr>
            </w:pPr>
          </w:p>
        </w:tc>
        <w:tc>
          <w:tcPr>
            <w:tcW w:w="6066" w:type="dxa"/>
          </w:tcPr>
          <w:p>
            <w:pPr>
              <w:pStyle w:val="Default"/>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rPr>
              <w:t>Proposition de directive du Parlement européen et du Conseil concernant l'émission d'obligations garanties et la surveillance publique des obligations garanties et Proposition de règlement du Parlement européen et du Conseil en ce qui concerne les expositions sous forme d'obligations garanties</w:t>
            </w:r>
          </w:p>
        </w:tc>
        <w:tc>
          <w:tcPr>
            <w:tcW w:w="1417"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highlight w:val="lightGray"/>
              </w:rPr>
            </w:pPr>
            <w:r>
              <w:rPr>
                <w:rFonts w:ascii="Times New Roman" w:hAnsi="Times New Roman"/>
                <w:b/>
                <w:noProof/>
              </w:rPr>
              <w:t>EMP</w:t>
            </w:r>
          </w:p>
        </w:tc>
        <w:tc>
          <w:tcPr>
            <w:tcW w:w="127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highlight w:val="lightGray"/>
              </w:rPr>
            </w:pPr>
            <w:r>
              <w:rPr>
                <w:rFonts w:ascii="Times New Roman" w:hAnsi="Times New Roman"/>
                <w:noProof/>
              </w:rPr>
              <w:t>Mars 2018</w:t>
            </w:r>
          </w:p>
        </w:tc>
      </w:tr>
      <w:tr>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1378" w:type="dxa"/>
            <w:tcBorders>
              <w:bottom w:val="single" w:sz="4" w:space="0" w:color="auto"/>
            </w:tcBorders>
          </w:tcPr>
          <w:p>
            <w:pPr>
              <w:rPr>
                <w:rFonts w:ascii="Times New Roman" w:eastAsia="Times New Roman" w:hAnsi="Times New Roman" w:cs="Times New Roman"/>
                <w:noProof/>
              </w:rPr>
            </w:pPr>
          </w:p>
        </w:tc>
        <w:tc>
          <w:tcPr>
            <w:tcW w:w="6066" w:type="dxa"/>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highlight w:val="lightGray"/>
              </w:rPr>
            </w:pPr>
            <w:r>
              <w:rPr>
                <w:rFonts w:ascii="Times New Roman" w:hAnsi="Times New Roman"/>
                <w:noProof/>
              </w:rPr>
              <w:t>Proposition de directive du Parlement européen et du Conseil en ce qui concerne la distribution transfrontière des fonds communs de placement et Proposition de règlement du Parlement européen et du Conseil visant à faciliter la distribution transfrontière des fonds communs de placement</w:t>
            </w:r>
          </w:p>
        </w:tc>
        <w:tc>
          <w:tcPr>
            <w:tcW w:w="1417"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highlight w:val="lightGray"/>
              </w:rPr>
            </w:pPr>
            <w:r>
              <w:rPr>
                <w:rFonts w:ascii="Times New Roman" w:hAnsi="Times New Roman"/>
                <w:b/>
                <w:noProof/>
              </w:rPr>
              <w:t xml:space="preserve">EMP </w:t>
            </w:r>
          </w:p>
        </w:tc>
        <w:tc>
          <w:tcPr>
            <w:tcW w:w="127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highlight w:val="lightGray"/>
              </w:rPr>
            </w:pPr>
            <w:r>
              <w:rPr>
                <w:rFonts w:ascii="Times New Roman" w:hAnsi="Times New Roman"/>
                <w:noProof/>
              </w:rPr>
              <w:t>Mars 2018</w:t>
            </w:r>
          </w:p>
        </w:tc>
      </w:tr>
      <w:tr>
        <w:trPr>
          <w:gridBefore w:val="1"/>
          <w:wBefore w:w="6" w:type="dxa"/>
        </w:trPr>
        <w:tc>
          <w:tcPr>
            <w:cnfStyle w:val="001000000000" w:firstRow="0" w:lastRow="0" w:firstColumn="1" w:lastColumn="0" w:oddVBand="0" w:evenVBand="0" w:oddHBand="0" w:evenHBand="0" w:firstRowFirstColumn="0" w:firstRowLastColumn="0" w:lastRowFirstColumn="0" w:lastRowLastColumn="0"/>
            <w:tcW w:w="1378" w:type="dxa"/>
            <w:tcBorders>
              <w:top w:val="single" w:sz="4" w:space="0" w:color="auto"/>
            </w:tcBorders>
          </w:tcPr>
          <w:p>
            <w:pPr>
              <w:rPr>
                <w:rFonts w:ascii="Times New Roman" w:eastAsia="Times New Roman" w:hAnsi="Times New Roman" w:cs="Times New Roman"/>
                <w:b/>
                <w:noProof/>
              </w:rPr>
            </w:pPr>
            <w:r>
              <w:rPr>
                <w:rFonts w:ascii="Times New Roman" w:hAnsi="Times New Roman"/>
                <w:b/>
                <w:noProof/>
              </w:rPr>
              <w:t>À venir</w:t>
            </w:r>
          </w:p>
        </w:tc>
        <w:tc>
          <w:tcPr>
            <w:tcW w:w="6066" w:type="dxa"/>
          </w:tcPr>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highlight w:val="lightGray"/>
              </w:rPr>
            </w:pPr>
            <w:r>
              <w:rPr>
                <w:rFonts w:ascii="Times New Roman" w:hAnsi="Times New Roman"/>
                <w:noProof/>
              </w:rPr>
              <w:t>Proposition de directive du Parlement européen et du Conseil sur les gestionnaires de créances, les acheteurs de créances et le recouvrement de garantie</w:t>
            </w:r>
          </w:p>
        </w:tc>
        <w:tc>
          <w:tcPr>
            <w:tcW w:w="1417"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highlight w:val="lightGray"/>
              </w:rPr>
            </w:pPr>
            <w:r>
              <w:rPr>
                <w:rFonts w:ascii="Times New Roman" w:hAnsi="Times New Roman"/>
                <w:b/>
                <w:noProof/>
              </w:rPr>
              <w:t xml:space="preserve">EMP </w:t>
            </w:r>
          </w:p>
        </w:tc>
        <w:tc>
          <w:tcPr>
            <w:tcW w:w="127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highlight w:val="lightGray"/>
              </w:rPr>
            </w:pPr>
            <w:r>
              <w:rPr>
                <w:rFonts w:ascii="Times New Roman" w:hAnsi="Times New Roman"/>
                <w:noProof/>
              </w:rPr>
              <w:t>Mars 2018</w:t>
            </w:r>
          </w:p>
        </w:tc>
      </w:tr>
      <w:tr>
        <w:trPr>
          <w:gridBefore w:val="1"/>
          <w:cnfStyle w:val="000000100000" w:firstRow="0" w:lastRow="0" w:firstColumn="0" w:lastColumn="0" w:oddVBand="0" w:evenVBand="0" w:oddHBand="1" w:evenHBand="0" w:firstRowFirstColumn="0" w:firstRowLastColumn="0" w:lastRowFirstColumn="0" w:lastRowLastColumn="0"/>
          <w:wBefore w:w="6" w:type="dxa"/>
          <w:trHeight w:val="510"/>
        </w:trPr>
        <w:tc>
          <w:tcPr>
            <w:cnfStyle w:val="001000000000" w:firstRow="0" w:lastRow="0" w:firstColumn="1" w:lastColumn="0" w:oddVBand="0" w:evenVBand="0" w:oddHBand="0" w:evenHBand="0" w:firstRowFirstColumn="0" w:firstRowLastColumn="0" w:lastRowFirstColumn="0" w:lastRowLastColumn="0"/>
            <w:tcW w:w="1378" w:type="dxa"/>
          </w:tcPr>
          <w:p>
            <w:pPr>
              <w:pStyle w:val="Default"/>
              <w:tabs>
                <w:tab w:val="left" w:pos="2565"/>
              </w:tabs>
              <w:jc w:val="both"/>
              <w:rPr>
                <w:noProof/>
                <w:sz w:val="22"/>
                <w:szCs w:val="22"/>
              </w:rPr>
            </w:pPr>
          </w:p>
        </w:tc>
        <w:tc>
          <w:tcPr>
            <w:tcW w:w="6066" w:type="dxa"/>
          </w:tcPr>
          <w:p>
            <w:pPr>
              <w:pStyle w:val="Default"/>
              <w:tabs>
                <w:tab w:val="left" w:pos="2565"/>
              </w:tabs>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rPr>
              <w:t>Mise en place d’un environnement réglementaire proportionné pour favoriser l’introduction en bourse des PME (analyse d’impact)</w:t>
            </w:r>
          </w:p>
        </w:tc>
        <w:tc>
          <w:tcPr>
            <w:tcW w:w="1417"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b/>
                <w:noProof/>
              </w:rPr>
              <w:t xml:space="preserve">EMP </w:t>
            </w:r>
          </w:p>
        </w:tc>
        <w:tc>
          <w:tcPr>
            <w:tcW w:w="127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noProof/>
              </w:rPr>
              <w:t>Mai 2018</w:t>
            </w:r>
          </w:p>
        </w:tc>
      </w:tr>
      <w:tr>
        <w:trPr>
          <w:gridBefore w:val="1"/>
          <w:wBefore w:w="6" w:type="dxa"/>
        </w:trPr>
        <w:tc>
          <w:tcPr>
            <w:cnfStyle w:val="001000000000" w:firstRow="0" w:lastRow="0" w:firstColumn="1" w:lastColumn="0" w:oddVBand="0" w:evenVBand="0" w:oddHBand="0" w:evenHBand="0" w:firstRowFirstColumn="0" w:firstRowLastColumn="0" w:lastRowFirstColumn="0" w:lastRowLastColumn="0"/>
            <w:tcW w:w="1378" w:type="dxa"/>
          </w:tcPr>
          <w:p>
            <w:pPr>
              <w:jc w:val="both"/>
              <w:rPr>
                <w:rFonts w:ascii="Times New Roman" w:hAnsi="Times New Roman" w:cs="Times New Roman"/>
                <w:bCs/>
                <w:noProof/>
              </w:rPr>
            </w:pPr>
          </w:p>
        </w:tc>
        <w:tc>
          <w:tcPr>
            <w:tcW w:w="6066" w:type="dxa"/>
          </w:tcPr>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highlight w:val="lightGray"/>
              </w:rPr>
            </w:pPr>
            <w:r>
              <w:rPr>
                <w:rFonts w:ascii="Times New Roman" w:hAnsi="Times New Roman"/>
                <w:noProof/>
              </w:rPr>
              <w:t>Communication sur le soutien de l’UE aux marchés des capitaux locaux et régionaux</w:t>
            </w:r>
          </w:p>
        </w:tc>
        <w:tc>
          <w:tcPr>
            <w:tcW w:w="1417"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highlight w:val="lightGray"/>
              </w:rPr>
            </w:pPr>
            <w:r>
              <w:rPr>
                <w:rFonts w:ascii="Times New Roman" w:hAnsi="Times New Roman"/>
                <w:b/>
                <w:noProof/>
              </w:rPr>
              <w:t>EMP</w:t>
            </w:r>
          </w:p>
        </w:tc>
        <w:tc>
          <w:tcPr>
            <w:tcW w:w="127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highlight w:val="lightGray"/>
              </w:rPr>
            </w:pPr>
            <w:r>
              <w:rPr>
                <w:rFonts w:ascii="Times New Roman" w:hAnsi="Times New Roman"/>
                <w:noProof/>
              </w:rPr>
              <w:t>T2 2018</w:t>
            </w:r>
          </w:p>
        </w:tc>
      </w:tr>
      <w:tr>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1378" w:type="dxa"/>
          </w:tcPr>
          <w:p>
            <w:pPr>
              <w:rPr>
                <w:rFonts w:ascii="Times New Roman" w:hAnsi="Times New Roman" w:cs="Times New Roman"/>
                <w:bCs/>
                <w:noProof/>
              </w:rPr>
            </w:pPr>
          </w:p>
        </w:tc>
        <w:tc>
          <w:tcPr>
            <w:tcW w:w="6066" w:type="dxa"/>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highlight w:val="lightGray"/>
              </w:rPr>
            </w:pPr>
            <w:r>
              <w:rPr>
                <w:rFonts w:ascii="Times New Roman" w:hAnsi="Times New Roman"/>
                <w:noProof/>
              </w:rPr>
              <w:t>Investissement transfrontière intra-UE: i) analyse d’impact visant à définir un cadre adéquat de résolution à l’amiable des différends en matière d’investissement; ii) communication interprétative donnant des orientations sur les règles existantes de l’Union concernant le traitement des investissements transfrontières réalisés sur son territoire</w:t>
            </w:r>
          </w:p>
        </w:tc>
        <w:tc>
          <w:tcPr>
            <w:tcW w:w="1417"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highlight w:val="lightGray"/>
              </w:rPr>
            </w:pPr>
            <w:r>
              <w:rPr>
                <w:rFonts w:ascii="Times New Roman" w:hAnsi="Times New Roman"/>
                <w:b/>
                <w:noProof/>
              </w:rPr>
              <w:t>EMP</w:t>
            </w:r>
          </w:p>
        </w:tc>
        <w:tc>
          <w:tcPr>
            <w:tcW w:w="1273" w:type="dxa"/>
          </w:tcPr>
          <w:p>
            <w:pPr>
              <w:pStyle w:val="Default"/>
              <w:cnfStyle w:val="000000100000" w:firstRow="0" w:lastRow="0" w:firstColumn="0" w:lastColumn="0" w:oddVBand="0" w:evenVBand="0" w:oddHBand="1" w:evenHBand="0" w:firstRowFirstColumn="0" w:firstRowLastColumn="0" w:lastRowFirstColumn="0" w:lastRowLastColumn="0"/>
              <w:rPr>
                <w:noProof/>
                <w:color w:val="auto"/>
                <w:sz w:val="22"/>
                <w:szCs w:val="22"/>
              </w:rPr>
            </w:pPr>
            <w:r>
              <w:rPr>
                <w:noProof/>
                <w:color w:val="auto"/>
                <w:sz w:val="22"/>
              </w:rPr>
              <w:t xml:space="preserve">T2/T3 2018 </w:t>
            </w:r>
          </w:p>
        </w:tc>
      </w:tr>
    </w:tbl>
    <w:p>
      <w:pPr>
        <w:spacing w:line="240" w:lineRule="auto"/>
        <w:jc w:val="both"/>
        <w:rPr>
          <w:rFonts w:ascii="Times New Roman" w:hAnsi="Times New Roman" w:cs="Times New Roman"/>
          <w:noProof/>
          <w:sz w:val="20"/>
          <w:szCs w:val="20"/>
        </w:rPr>
      </w:pPr>
    </w:p>
    <w:p>
      <w:pPr>
        <w:spacing w:line="240" w:lineRule="auto"/>
        <w:jc w:val="both"/>
        <w:rPr>
          <w:rFonts w:ascii="Times New Roman" w:hAnsi="Times New Roman" w:cs="Times New Roman"/>
          <w:noProof/>
          <w:sz w:val="20"/>
          <w:szCs w:val="20"/>
        </w:rPr>
      </w:pPr>
      <w:r>
        <w:rPr>
          <w:rFonts w:ascii="Times New Roman" w:hAnsi="Times New Roman"/>
          <w:noProof/>
          <w:sz w:val="20"/>
        </w:rPr>
        <w:t>Note: (*) «PA» renvoie aux actions énoncées dans la communication de la Commission intitulée «Un Plan d’action pour la mise en place d’une union des marchés des capitaux», COM(2015) 468 du 30.9.2015,  tandis que «EMP» se réfère aux actions décrites dans la communication sur l'examen à mi-parcours du plan d'action concernant l'union des marchés des capitaux, COM(2017) 292 du 8.6.2017.</w:t>
      </w:r>
    </w:p>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9606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Red"/>
    <w:docVar w:name="LW_ACCOMPAGNANT.CP" w:val="de la"/>
    <w:docVar w:name="LW_ANNEX_NBR_FIRST" w:val="1"/>
    <w:docVar w:name="LW_ANNEX_NBR_LAST" w:val="1"/>
    <w:docVar w:name="LW_ANNEX_UNIQUE" w:val="1"/>
    <w:docVar w:name="LW_CORRIGENDUM" w:val="&lt;UNUSED&gt;"/>
    <w:docVar w:name="LW_COVERPAGE_EXISTS" w:val="True"/>
    <w:docVar w:name="LW_COVERPAGE_GUID" w:val="D206AD1D-BBD5-4B8B-B09D-86EC3D7C39A9"/>
    <w:docVar w:name="LW_COVERPAGE_TYPE" w:val="1"/>
    <w:docVar w:name="LW_CROSSREFERENCE" w:val="&lt;UNUSED&gt;"/>
    <w:docVar w:name="LW_DATE.ADOPT.CP_ISODATE" w:val="&lt;EMPTY&gt;"/>
    <w:docVar w:name="LW_DocType" w:val="NORMAL"/>
    <w:docVar w:name="LW_EMISSION" w:val="8.3.2018"/>
    <w:docVar w:name="LW_EMISSION_ISODATE" w:val="2018-03-08"/>
    <w:docVar w:name="LW_EMISSION_LOCATION" w:val="BRX"/>
    <w:docVar w:name="LW_EMISSION_PREFIX" w:val="Bruxelles, le "/>
    <w:docVar w:name="LW_EMISSION_SUFFIX" w:val="&lt;EMPTY&gt;"/>
    <w:docVar w:name="LW_ID_DOCTYPE_NONLW" w:val="CP-039"/>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Compléter l'union des marchés des capitaux d'ici 2019 \u8211? il faut accélérer le processus"/>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1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COMMUNICATION DE LA COMMISSION EU PARLEMENT EUROPÉEN, AU CONSEIL EUROPÉEN, AU CONSEIL, À LA BANQUE CENTRALE EUROPÉENNE,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3548</Characters>
  <Application>Microsoft Office Word</Application>
  <DocSecurity>0</DocSecurity>
  <Lines>126</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2018-03-06T15:16:00Z</dcterms:created>
  <dcterms:modified xsi:type="dcterms:W3CDTF">2018-03-07T11:52:00Z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