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94" w:rsidRDefault="00C56D97" w:rsidP="00C56D97">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87E5B27-A360-4578-83A1-3F5B8A90D1E1" style="width:450.8pt;height:375.65pt">
            <v:imagedata r:id="rId9" o:title=""/>
          </v:shape>
        </w:pict>
      </w:r>
    </w:p>
    <w:bookmarkEnd w:id="0"/>
    <w:p w:rsidR="009C4294" w:rsidRDefault="009C4294" w:rsidP="009C4294">
      <w:pPr>
        <w:sectPr w:rsidR="009C4294" w:rsidSect="00C56D9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rsidR="00CE59E1" w:rsidRPr="00CE59E1" w:rsidRDefault="00CE59E1" w:rsidP="00CE59E1">
      <w:pPr>
        <w:pStyle w:val="Heading1"/>
        <w:tabs>
          <w:tab w:val="num" w:pos="850"/>
        </w:tabs>
        <w:ind w:left="850" w:hanging="850"/>
        <w:rPr>
          <w:rFonts w:eastAsia="Calibri"/>
        </w:rPr>
      </w:pPr>
      <w:r w:rsidRPr="00CE59E1">
        <w:rPr>
          <w:rFonts w:eastAsia="Calibri"/>
        </w:rPr>
        <w:lastRenderedPageBreak/>
        <w:t>1.</w:t>
      </w:r>
      <w:r w:rsidRPr="00CE59E1">
        <w:rPr>
          <w:rFonts w:eastAsia="Calibri"/>
        </w:rPr>
        <w:tab/>
        <w:t>Introduction</w:t>
      </w:r>
    </w:p>
    <w:p w:rsidR="00CE59E1" w:rsidRDefault="00CE59E1" w:rsidP="00CE59E1">
      <w:pPr>
        <w:spacing w:before="120" w:after="120" w:line="240" w:lineRule="auto"/>
        <w:jc w:val="both"/>
        <w:rPr>
          <w:rFonts w:ascii="Times New Roman" w:hAnsi="Times New Roman"/>
          <w:sz w:val="24"/>
          <w:szCs w:val="24"/>
        </w:rPr>
      </w:pPr>
      <w:r w:rsidRPr="001A4009">
        <w:rPr>
          <w:rFonts w:ascii="Times New Roman" w:hAnsi="Times New Roman"/>
          <w:b/>
          <w:sz w:val="24"/>
          <w:szCs w:val="24"/>
        </w:rPr>
        <w:t>Europe's economy</w:t>
      </w:r>
      <w:r>
        <w:rPr>
          <w:rFonts w:ascii="Times New Roman" w:hAnsi="Times New Roman"/>
          <w:b/>
          <w:sz w:val="24"/>
          <w:szCs w:val="24"/>
        </w:rPr>
        <w:t xml:space="preserve"> is experiencing the highest growth in a decade. </w:t>
      </w:r>
      <w:r w:rsidRPr="00FD004E">
        <w:rPr>
          <w:rFonts w:ascii="Times New Roman" w:hAnsi="Times New Roman"/>
          <w:sz w:val="24"/>
          <w:szCs w:val="24"/>
        </w:rPr>
        <w:t xml:space="preserve">Yearly </w:t>
      </w:r>
      <w:r>
        <w:rPr>
          <w:rFonts w:ascii="Times New Roman" w:hAnsi="Times New Roman"/>
          <w:sz w:val="24"/>
          <w:szCs w:val="24"/>
        </w:rPr>
        <w:t xml:space="preserve">GDP </w:t>
      </w:r>
      <w:r w:rsidRPr="00FD004E">
        <w:rPr>
          <w:rFonts w:ascii="Times New Roman" w:hAnsi="Times New Roman"/>
          <w:sz w:val="24"/>
          <w:szCs w:val="24"/>
        </w:rPr>
        <w:t xml:space="preserve">growth </w:t>
      </w:r>
      <w:r>
        <w:rPr>
          <w:rFonts w:ascii="Times New Roman" w:hAnsi="Times New Roman"/>
          <w:sz w:val="24"/>
          <w:szCs w:val="24"/>
        </w:rPr>
        <w:t xml:space="preserve">has reached last year </w:t>
      </w:r>
      <w:r w:rsidRPr="00FD004E">
        <w:rPr>
          <w:rFonts w:ascii="Times New Roman" w:hAnsi="Times New Roman"/>
          <w:sz w:val="24"/>
          <w:szCs w:val="24"/>
        </w:rPr>
        <w:t xml:space="preserve">a ten-year high. Investment is picking up. </w:t>
      </w:r>
      <w:r>
        <w:rPr>
          <w:rFonts w:ascii="Times New Roman" w:hAnsi="Times New Roman"/>
          <w:sz w:val="24"/>
          <w:szCs w:val="24"/>
        </w:rPr>
        <w:t>The positive economic outlook included improving labour market and social outcomes. With 236.3 million people currently working in the EU, e</w:t>
      </w:r>
      <w:r w:rsidRPr="00FD004E">
        <w:rPr>
          <w:rFonts w:ascii="Times New Roman" w:hAnsi="Times New Roman"/>
          <w:sz w:val="24"/>
          <w:szCs w:val="24"/>
        </w:rPr>
        <w:t xml:space="preserve">mployment is at record levels. </w:t>
      </w:r>
      <w:r>
        <w:rPr>
          <w:rFonts w:ascii="Times New Roman" w:hAnsi="Times New Roman"/>
          <w:sz w:val="24"/>
          <w:szCs w:val="24"/>
        </w:rPr>
        <w:t>The u</w:t>
      </w:r>
      <w:r w:rsidRPr="00FD004E">
        <w:rPr>
          <w:rFonts w:ascii="Times New Roman" w:hAnsi="Times New Roman"/>
          <w:sz w:val="24"/>
          <w:szCs w:val="24"/>
        </w:rPr>
        <w:t>nemployment</w:t>
      </w:r>
      <w:r>
        <w:rPr>
          <w:rFonts w:ascii="Times New Roman" w:hAnsi="Times New Roman"/>
          <w:sz w:val="24"/>
          <w:szCs w:val="24"/>
        </w:rPr>
        <w:t xml:space="preserve"> rate</w:t>
      </w:r>
      <w:r w:rsidRPr="00FD004E">
        <w:rPr>
          <w:rFonts w:ascii="Times New Roman" w:hAnsi="Times New Roman"/>
          <w:sz w:val="24"/>
          <w:szCs w:val="24"/>
        </w:rPr>
        <w:t xml:space="preserve"> is almost back down to </w:t>
      </w:r>
      <w:r>
        <w:rPr>
          <w:rFonts w:ascii="Times New Roman" w:hAnsi="Times New Roman"/>
          <w:sz w:val="24"/>
          <w:szCs w:val="24"/>
        </w:rPr>
        <w:t>its pre-crisis level. Continued labour market improvements are driving up income prospects. Public finances continue to improve. And with growth of 2.4 % in real terms in 2017, the EU economy and euro area are outperforming earlier expectations and are playing a full part in the robust growth at global level.</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 xml:space="preserve">This momentum looks set to continue on the back of positive news on </w:t>
      </w:r>
      <w:r w:rsidRPr="00AC31B9">
        <w:rPr>
          <w:rFonts w:ascii="Times New Roman" w:hAnsi="Times New Roman"/>
          <w:b/>
          <w:sz w:val="24"/>
          <w:szCs w:val="24"/>
        </w:rPr>
        <w:t>economic sentiment</w:t>
      </w:r>
      <w:r>
        <w:rPr>
          <w:rFonts w:ascii="Times New Roman" w:hAnsi="Times New Roman"/>
          <w:b/>
          <w:sz w:val="24"/>
          <w:szCs w:val="24"/>
        </w:rPr>
        <w:t xml:space="preserve"> and </w:t>
      </w:r>
      <w:r w:rsidRPr="00AC31B9">
        <w:rPr>
          <w:rFonts w:ascii="Times New Roman" w:hAnsi="Times New Roman"/>
          <w:b/>
          <w:sz w:val="24"/>
          <w:szCs w:val="24"/>
        </w:rPr>
        <w:t>domestic demand.</w:t>
      </w:r>
      <w:r w:rsidRPr="000C270C">
        <w:rPr>
          <w:rStyle w:val="FootnoteReference"/>
          <w:rFonts w:ascii="Times New Roman" w:hAnsi="Times New Roman"/>
          <w:sz w:val="24"/>
          <w:szCs w:val="24"/>
        </w:rPr>
        <w:footnoteReference w:id="1"/>
      </w:r>
      <w:r w:rsidRPr="000C270C">
        <w:rPr>
          <w:rFonts w:ascii="Times New Roman" w:hAnsi="Times New Roman"/>
          <w:sz w:val="24"/>
          <w:szCs w:val="24"/>
        </w:rPr>
        <w:t xml:space="preserve"> </w:t>
      </w:r>
      <w:r w:rsidRPr="009D1B23">
        <w:rPr>
          <w:rFonts w:ascii="Times New Roman" w:hAnsi="Times New Roman"/>
          <w:sz w:val="24"/>
          <w:szCs w:val="24"/>
        </w:rPr>
        <w:t>Euro</w:t>
      </w:r>
      <w:r>
        <w:rPr>
          <w:rFonts w:ascii="Times New Roman" w:hAnsi="Times New Roman"/>
          <w:b/>
          <w:sz w:val="24"/>
          <w:szCs w:val="24"/>
        </w:rPr>
        <w:t xml:space="preserve"> </w:t>
      </w:r>
      <w:r>
        <w:rPr>
          <w:rFonts w:ascii="Times New Roman" w:hAnsi="Times New Roman"/>
          <w:sz w:val="24"/>
          <w:szCs w:val="24"/>
        </w:rPr>
        <w:t xml:space="preserve">area and EU GDP is forecast to expand by 2.3 % in 2018. It will then ease somewhat off to 2.0 % in 2019. At the same time a number of risks remain, notably from the financial markets as a result of high asset valuations that may be vulnerable to less supportive financial conditions. Also risks related to the outcome of the negotiations on the United Kingdom's withdrawal remain, as do geopolitical tensions and a shift towards more inward looking policies. </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The</w:t>
      </w:r>
      <w:r w:rsidRPr="00BC1240">
        <w:rPr>
          <w:rFonts w:ascii="Times New Roman" w:hAnsi="Times New Roman"/>
          <w:b/>
          <w:sz w:val="24"/>
          <w:szCs w:val="24"/>
        </w:rPr>
        <w:t xml:space="preserve"> </w:t>
      </w:r>
      <w:r>
        <w:rPr>
          <w:rFonts w:ascii="Times New Roman" w:hAnsi="Times New Roman"/>
          <w:b/>
          <w:sz w:val="24"/>
          <w:szCs w:val="24"/>
        </w:rPr>
        <w:t xml:space="preserve">favourable </w:t>
      </w:r>
      <w:r w:rsidRPr="00BC1240">
        <w:rPr>
          <w:rFonts w:ascii="Times New Roman" w:hAnsi="Times New Roman"/>
          <w:b/>
          <w:sz w:val="24"/>
          <w:szCs w:val="24"/>
        </w:rPr>
        <w:t xml:space="preserve">conditions </w:t>
      </w:r>
      <w:r>
        <w:rPr>
          <w:rFonts w:ascii="Times New Roman" w:hAnsi="Times New Roman"/>
          <w:b/>
          <w:sz w:val="24"/>
          <w:szCs w:val="24"/>
        </w:rPr>
        <w:t>have opened a window of opportunity</w:t>
      </w:r>
      <w:r w:rsidRPr="00BC1240">
        <w:rPr>
          <w:rFonts w:ascii="Times New Roman" w:hAnsi="Times New Roman"/>
          <w:b/>
          <w:sz w:val="24"/>
          <w:szCs w:val="24"/>
        </w:rPr>
        <w:t xml:space="preserve"> </w:t>
      </w:r>
      <w:r>
        <w:rPr>
          <w:rFonts w:ascii="Times New Roman" w:hAnsi="Times New Roman"/>
          <w:b/>
          <w:sz w:val="24"/>
          <w:szCs w:val="24"/>
        </w:rPr>
        <w:t xml:space="preserve">to further </w:t>
      </w:r>
      <w:r w:rsidRPr="00BC1240">
        <w:rPr>
          <w:rFonts w:ascii="Times New Roman" w:hAnsi="Times New Roman"/>
          <w:b/>
          <w:sz w:val="24"/>
          <w:szCs w:val="24"/>
        </w:rPr>
        <w:t>strengthen the foun</w:t>
      </w:r>
      <w:r>
        <w:rPr>
          <w:rFonts w:ascii="Times New Roman" w:hAnsi="Times New Roman"/>
          <w:b/>
          <w:sz w:val="24"/>
          <w:szCs w:val="24"/>
        </w:rPr>
        <w:softHyphen/>
      </w:r>
      <w:r w:rsidRPr="00BC1240">
        <w:rPr>
          <w:rFonts w:ascii="Times New Roman" w:hAnsi="Times New Roman"/>
          <w:b/>
          <w:sz w:val="24"/>
          <w:szCs w:val="24"/>
        </w:rPr>
        <w:t>dations of Europe's economies</w:t>
      </w:r>
      <w:r>
        <w:rPr>
          <w:rFonts w:ascii="Times New Roman" w:hAnsi="Times New Roman"/>
          <w:b/>
          <w:sz w:val="24"/>
          <w:szCs w:val="24"/>
        </w:rPr>
        <w:t xml:space="preserve">. </w:t>
      </w:r>
      <w:r w:rsidRPr="00F9452D">
        <w:rPr>
          <w:rFonts w:ascii="Times New Roman" w:hAnsi="Times New Roman"/>
          <w:sz w:val="24"/>
          <w:szCs w:val="24"/>
        </w:rPr>
        <w:t>At the same time, the rem</w:t>
      </w:r>
      <w:r>
        <w:rPr>
          <w:rFonts w:ascii="Times New Roman" w:hAnsi="Times New Roman"/>
          <w:sz w:val="24"/>
          <w:szCs w:val="24"/>
        </w:rPr>
        <w:t xml:space="preserve">aining </w:t>
      </w:r>
      <w:r w:rsidRPr="00F9452D">
        <w:rPr>
          <w:rFonts w:ascii="Times New Roman" w:hAnsi="Times New Roman"/>
          <w:sz w:val="24"/>
          <w:szCs w:val="24"/>
        </w:rPr>
        <w:t>risks remin</w:t>
      </w:r>
      <w:r>
        <w:rPr>
          <w:rFonts w:ascii="Times New Roman" w:hAnsi="Times New Roman"/>
          <w:sz w:val="24"/>
          <w:szCs w:val="24"/>
        </w:rPr>
        <w:t>d</w:t>
      </w:r>
      <w:r w:rsidRPr="00F9452D">
        <w:rPr>
          <w:rFonts w:ascii="Times New Roman" w:hAnsi="Times New Roman"/>
          <w:sz w:val="24"/>
          <w:szCs w:val="24"/>
        </w:rPr>
        <w:t xml:space="preserve"> of the necessity to do so, </w:t>
      </w:r>
      <w:r w:rsidRPr="00FD004E">
        <w:rPr>
          <w:rFonts w:ascii="Times New Roman" w:hAnsi="Times New Roman"/>
          <w:sz w:val="24"/>
          <w:szCs w:val="24"/>
        </w:rPr>
        <w:t>continu</w:t>
      </w:r>
      <w:r>
        <w:rPr>
          <w:rFonts w:ascii="Times New Roman" w:hAnsi="Times New Roman"/>
          <w:sz w:val="24"/>
          <w:szCs w:val="24"/>
        </w:rPr>
        <w:t>ing</w:t>
      </w:r>
      <w:r w:rsidRPr="00FD004E">
        <w:rPr>
          <w:rFonts w:ascii="Times New Roman" w:hAnsi="Times New Roman"/>
          <w:sz w:val="24"/>
          <w:szCs w:val="24"/>
        </w:rPr>
        <w:t xml:space="preserve"> our efforts to overcome the core legacies of the crisis.</w:t>
      </w:r>
      <w:r w:rsidRPr="00BC1240">
        <w:rPr>
          <w:rFonts w:ascii="Times New Roman" w:hAnsi="Times New Roman"/>
          <w:b/>
          <w:sz w:val="24"/>
          <w:szCs w:val="24"/>
        </w:rPr>
        <w:t xml:space="preserve"> </w:t>
      </w:r>
      <w:r>
        <w:rPr>
          <w:rFonts w:ascii="Times New Roman" w:hAnsi="Times New Roman"/>
          <w:sz w:val="24"/>
          <w:szCs w:val="24"/>
        </w:rPr>
        <w:t>High levels of corporate, household and public debt remain in some Member States. Moreover, the economic expansion has been uneven across and within Member States, and it will take time to be equally felt in all parts of Europe. 18 million people are still seeking a job, with youth and long term unemployment still significantly high in some countries. Disposable households´ income is not yet above pre-crisis levels</w:t>
      </w:r>
      <w:r w:rsidRPr="006F6306">
        <w:rPr>
          <w:rFonts w:ascii="Times New Roman" w:hAnsi="Times New Roman"/>
          <w:sz w:val="24"/>
          <w:szCs w:val="24"/>
        </w:rPr>
        <w:t xml:space="preserve"> </w:t>
      </w:r>
      <w:r>
        <w:rPr>
          <w:rFonts w:ascii="Times New Roman" w:hAnsi="Times New Roman"/>
          <w:sz w:val="24"/>
          <w:szCs w:val="24"/>
        </w:rPr>
        <w:t>in all Member States. The share of people at risk of poverty or social exclusion is just back to pre-crisis levels. The process of economic and social convergence has started again, while structural weaknesses are holding back some countries' potential to grow and their capacity to face future shocks. At the same time, technological change prompts the economies to embrace innovation while making sure societies remain as inclusive as ever. Now is the time to pursue the reforms needed to make Europe's economies more resilient and to create more inclusive growth.</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W</w:t>
      </w:r>
      <w:r w:rsidRPr="00BA627E">
        <w:rPr>
          <w:rFonts w:ascii="Times New Roman" w:hAnsi="Times New Roman"/>
          <w:b/>
          <w:sz w:val="24"/>
          <w:szCs w:val="24"/>
        </w:rPr>
        <w:t>ith</w:t>
      </w:r>
      <w:r>
        <w:rPr>
          <w:rFonts w:ascii="Times New Roman" w:hAnsi="Times New Roman"/>
          <w:b/>
          <w:sz w:val="24"/>
          <w:szCs w:val="24"/>
        </w:rPr>
        <w:t xml:space="preserve"> its</w:t>
      </w:r>
      <w:r w:rsidRPr="00BA627E">
        <w:rPr>
          <w:rFonts w:ascii="Times New Roman" w:hAnsi="Times New Roman"/>
          <w:b/>
          <w:sz w:val="24"/>
          <w:szCs w:val="24"/>
        </w:rPr>
        <w:t xml:space="preserve"> continued </w:t>
      </w:r>
      <w:r>
        <w:rPr>
          <w:rFonts w:ascii="Times New Roman" w:hAnsi="Times New Roman"/>
          <w:b/>
          <w:sz w:val="24"/>
          <w:szCs w:val="24"/>
        </w:rPr>
        <w:t xml:space="preserve">focus </w:t>
      </w:r>
      <w:r w:rsidRPr="00BA627E">
        <w:rPr>
          <w:rFonts w:ascii="Times New Roman" w:hAnsi="Times New Roman"/>
          <w:b/>
          <w:sz w:val="24"/>
          <w:szCs w:val="24"/>
        </w:rPr>
        <w:t>on</w:t>
      </w:r>
      <w:r>
        <w:rPr>
          <w:rFonts w:ascii="Times New Roman" w:hAnsi="Times New Roman"/>
          <w:b/>
          <w:sz w:val="24"/>
          <w:szCs w:val="24"/>
        </w:rPr>
        <w:t xml:space="preserve"> the 'virtuous triangle' of </w:t>
      </w:r>
      <w:r w:rsidRPr="00BA627E">
        <w:rPr>
          <w:rFonts w:ascii="Times New Roman" w:hAnsi="Times New Roman"/>
          <w:b/>
          <w:sz w:val="24"/>
          <w:szCs w:val="24"/>
        </w:rPr>
        <w:t>investment, structural reform</w:t>
      </w:r>
      <w:r>
        <w:rPr>
          <w:rFonts w:ascii="Times New Roman" w:hAnsi="Times New Roman"/>
          <w:b/>
          <w:sz w:val="24"/>
          <w:szCs w:val="24"/>
        </w:rPr>
        <w:t>s</w:t>
      </w:r>
      <w:r w:rsidRPr="00BA627E">
        <w:rPr>
          <w:rFonts w:ascii="Times New Roman" w:hAnsi="Times New Roman"/>
          <w:b/>
          <w:sz w:val="24"/>
          <w:szCs w:val="24"/>
        </w:rPr>
        <w:t xml:space="preserve">, and responsible fiscal policies, </w:t>
      </w:r>
      <w:r>
        <w:rPr>
          <w:rFonts w:ascii="Times New Roman" w:hAnsi="Times New Roman"/>
          <w:b/>
          <w:sz w:val="24"/>
          <w:szCs w:val="24"/>
        </w:rPr>
        <w:t>the European Semester continues to guide</w:t>
      </w:r>
      <w:r w:rsidRPr="00BA627E">
        <w:rPr>
          <w:rFonts w:ascii="Times New Roman" w:hAnsi="Times New Roman"/>
          <w:b/>
          <w:sz w:val="24"/>
          <w:szCs w:val="24"/>
        </w:rPr>
        <w:t xml:space="preserve"> Member States in </w:t>
      </w:r>
      <w:r>
        <w:rPr>
          <w:rFonts w:ascii="Times New Roman" w:hAnsi="Times New Roman"/>
          <w:b/>
          <w:sz w:val="24"/>
          <w:szCs w:val="24"/>
        </w:rPr>
        <w:t xml:space="preserve">taking </w:t>
      </w:r>
      <w:r w:rsidRPr="00BA627E">
        <w:rPr>
          <w:rFonts w:ascii="Times New Roman" w:hAnsi="Times New Roman"/>
          <w:b/>
          <w:sz w:val="24"/>
          <w:szCs w:val="24"/>
        </w:rPr>
        <w:t xml:space="preserve">the necessary reforms. </w:t>
      </w:r>
      <w:r>
        <w:rPr>
          <w:rFonts w:ascii="Times New Roman" w:hAnsi="Times New Roman"/>
          <w:sz w:val="24"/>
          <w:szCs w:val="24"/>
        </w:rPr>
        <w:t>T</w:t>
      </w:r>
      <w:r w:rsidRPr="00BA627E">
        <w:rPr>
          <w:rFonts w:ascii="Times New Roman" w:hAnsi="Times New Roman"/>
          <w:sz w:val="24"/>
          <w:szCs w:val="24"/>
        </w:rPr>
        <w:t>h</w:t>
      </w:r>
      <w:r>
        <w:rPr>
          <w:rFonts w:ascii="Times New Roman" w:hAnsi="Times New Roman"/>
          <w:sz w:val="24"/>
          <w:szCs w:val="24"/>
        </w:rPr>
        <w:t xml:space="preserve">e 2018 Annual Growth Survey provides this economic guidance to Member States, in line with President Juncker's </w:t>
      </w:r>
      <w:r w:rsidRPr="004B6DE3">
        <w:rPr>
          <w:rFonts w:ascii="Times New Roman" w:hAnsi="Times New Roman"/>
          <w:sz w:val="24"/>
          <w:szCs w:val="24"/>
        </w:rPr>
        <w:t>2018</w:t>
      </w:r>
      <w:r>
        <w:rPr>
          <w:rFonts w:ascii="Times New Roman" w:hAnsi="Times New Roman"/>
          <w:sz w:val="24"/>
          <w:szCs w:val="24"/>
        </w:rPr>
        <w:t xml:space="preserve"> State of the Union address. The recommendation for the economic policy of the euro area in 2018</w:t>
      </w:r>
      <w:r>
        <w:rPr>
          <w:rStyle w:val="FootnoteReference"/>
          <w:rFonts w:ascii="Times New Roman" w:hAnsi="Times New Roman"/>
          <w:sz w:val="24"/>
          <w:szCs w:val="24"/>
        </w:rPr>
        <w:footnoteReference w:id="2"/>
      </w:r>
      <w:r>
        <w:rPr>
          <w:rFonts w:ascii="Times New Roman" w:hAnsi="Times New Roman"/>
          <w:sz w:val="24"/>
          <w:szCs w:val="24"/>
        </w:rPr>
        <w:t xml:space="preserve"> stresses the need for </w:t>
      </w:r>
      <w:r w:rsidRPr="00A733E3">
        <w:rPr>
          <w:rFonts w:ascii="Times New Roman" w:hAnsi="Times New Roman"/>
          <w:sz w:val="24"/>
          <w:szCs w:val="24"/>
        </w:rPr>
        <w:t xml:space="preserve">reforms </w:t>
      </w:r>
      <w:r>
        <w:rPr>
          <w:rFonts w:ascii="Times New Roman" w:hAnsi="Times New Roman"/>
          <w:sz w:val="24"/>
          <w:szCs w:val="24"/>
        </w:rPr>
        <w:t xml:space="preserve">to </w:t>
      </w:r>
      <w:r w:rsidRPr="00A733E3">
        <w:rPr>
          <w:rFonts w:ascii="Times New Roman" w:hAnsi="Times New Roman"/>
          <w:sz w:val="24"/>
          <w:szCs w:val="24"/>
        </w:rPr>
        <w:t xml:space="preserve">promote </w:t>
      </w:r>
      <w:r>
        <w:rPr>
          <w:rFonts w:ascii="Times New Roman" w:hAnsi="Times New Roman"/>
          <w:sz w:val="24"/>
          <w:szCs w:val="24"/>
        </w:rPr>
        <w:t xml:space="preserve">quality </w:t>
      </w:r>
      <w:r w:rsidRPr="00A733E3">
        <w:rPr>
          <w:rFonts w:ascii="Times New Roman" w:hAnsi="Times New Roman"/>
          <w:sz w:val="24"/>
          <w:szCs w:val="24"/>
        </w:rPr>
        <w:t>job creation</w:t>
      </w:r>
      <w:r>
        <w:rPr>
          <w:rFonts w:ascii="Times New Roman" w:hAnsi="Times New Roman"/>
          <w:sz w:val="24"/>
          <w:szCs w:val="24"/>
        </w:rPr>
        <w:t xml:space="preserve">, </w:t>
      </w:r>
      <w:r w:rsidRPr="00A733E3">
        <w:rPr>
          <w:rFonts w:ascii="Times New Roman" w:hAnsi="Times New Roman"/>
          <w:sz w:val="24"/>
          <w:szCs w:val="24"/>
        </w:rPr>
        <w:t>social fairness, rebalancing</w:t>
      </w:r>
      <w:r>
        <w:rPr>
          <w:rFonts w:ascii="Times New Roman" w:hAnsi="Times New Roman"/>
          <w:sz w:val="24"/>
          <w:szCs w:val="24"/>
        </w:rPr>
        <w:t xml:space="preserve"> and </w:t>
      </w:r>
      <w:r w:rsidRPr="00A733E3">
        <w:rPr>
          <w:rFonts w:ascii="Times New Roman" w:hAnsi="Times New Roman"/>
          <w:sz w:val="24"/>
          <w:szCs w:val="24"/>
        </w:rPr>
        <w:t xml:space="preserve">convergence, </w:t>
      </w:r>
      <w:r>
        <w:rPr>
          <w:rFonts w:ascii="Times New Roman" w:hAnsi="Times New Roman"/>
          <w:sz w:val="24"/>
          <w:szCs w:val="24"/>
        </w:rPr>
        <w:t xml:space="preserve">higher </w:t>
      </w:r>
      <w:r w:rsidRPr="00A733E3">
        <w:rPr>
          <w:rFonts w:ascii="Times New Roman" w:hAnsi="Times New Roman"/>
          <w:sz w:val="24"/>
          <w:szCs w:val="24"/>
        </w:rPr>
        <w:t>investment</w:t>
      </w:r>
      <w:r>
        <w:rPr>
          <w:rFonts w:ascii="Times New Roman" w:hAnsi="Times New Roman"/>
          <w:sz w:val="24"/>
          <w:szCs w:val="24"/>
        </w:rPr>
        <w:t xml:space="preserve">, </w:t>
      </w:r>
      <w:r w:rsidRPr="00A733E3">
        <w:rPr>
          <w:rFonts w:ascii="Times New Roman" w:hAnsi="Times New Roman"/>
          <w:sz w:val="24"/>
          <w:szCs w:val="24"/>
        </w:rPr>
        <w:t xml:space="preserve">the quality of public finances, the completion of the Banking </w:t>
      </w:r>
      <w:r>
        <w:rPr>
          <w:rFonts w:ascii="Times New Roman" w:hAnsi="Times New Roman"/>
          <w:sz w:val="24"/>
          <w:szCs w:val="24"/>
        </w:rPr>
        <w:t xml:space="preserve">and Capital Markets </w:t>
      </w:r>
      <w:r w:rsidRPr="00A733E3">
        <w:rPr>
          <w:rFonts w:ascii="Times New Roman" w:hAnsi="Times New Roman"/>
          <w:sz w:val="24"/>
          <w:szCs w:val="24"/>
        </w:rPr>
        <w:t>Union</w:t>
      </w:r>
      <w:r>
        <w:rPr>
          <w:rFonts w:ascii="Times New Roman" w:hAnsi="Times New Roman"/>
          <w:sz w:val="24"/>
          <w:szCs w:val="24"/>
        </w:rPr>
        <w:t>s</w:t>
      </w:r>
      <w:r w:rsidRPr="00A733E3">
        <w:rPr>
          <w:rFonts w:ascii="Times New Roman" w:hAnsi="Times New Roman"/>
          <w:sz w:val="24"/>
          <w:szCs w:val="24"/>
        </w:rPr>
        <w:t xml:space="preserve">, and </w:t>
      </w:r>
      <w:r>
        <w:rPr>
          <w:rFonts w:ascii="Times New Roman" w:hAnsi="Times New Roman"/>
          <w:sz w:val="24"/>
          <w:szCs w:val="24"/>
        </w:rPr>
        <w:t>deepening the E</w:t>
      </w:r>
      <w:r w:rsidRPr="00A733E3">
        <w:rPr>
          <w:rFonts w:ascii="Times New Roman" w:hAnsi="Times New Roman"/>
          <w:sz w:val="24"/>
          <w:szCs w:val="24"/>
        </w:rPr>
        <w:t xml:space="preserve">conomic and </w:t>
      </w:r>
      <w:r>
        <w:rPr>
          <w:rFonts w:ascii="Times New Roman" w:hAnsi="Times New Roman"/>
          <w:sz w:val="24"/>
          <w:szCs w:val="24"/>
        </w:rPr>
        <w:t>M</w:t>
      </w:r>
      <w:r w:rsidRPr="00A733E3">
        <w:rPr>
          <w:rFonts w:ascii="Times New Roman" w:hAnsi="Times New Roman"/>
          <w:sz w:val="24"/>
          <w:szCs w:val="24"/>
        </w:rPr>
        <w:t xml:space="preserve">onetary </w:t>
      </w:r>
      <w:r>
        <w:rPr>
          <w:rFonts w:ascii="Times New Roman" w:hAnsi="Times New Roman"/>
          <w:sz w:val="24"/>
          <w:szCs w:val="24"/>
        </w:rPr>
        <w:t>U</w:t>
      </w:r>
      <w:r w:rsidRPr="00A733E3">
        <w:rPr>
          <w:rFonts w:ascii="Times New Roman" w:hAnsi="Times New Roman"/>
          <w:sz w:val="24"/>
          <w:szCs w:val="24"/>
        </w:rPr>
        <w:t>nion. The recommendation also call</w:t>
      </w:r>
      <w:r>
        <w:rPr>
          <w:rFonts w:ascii="Times New Roman" w:hAnsi="Times New Roman"/>
          <w:sz w:val="24"/>
          <w:szCs w:val="24"/>
        </w:rPr>
        <w:t>s</w:t>
      </w:r>
      <w:r w:rsidRPr="00A733E3">
        <w:rPr>
          <w:rFonts w:ascii="Times New Roman" w:hAnsi="Times New Roman"/>
          <w:sz w:val="24"/>
          <w:szCs w:val="24"/>
        </w:rPr>
        <w:t xml:space="preserve"> for fighting aggressive tax planning</w:t>
      </w:r>
      <w:r>
        <w:rPr>
          <w:rFonts w:ascii="Times New Roman" w:hAnsi="Times New Roman"/>
          <w:sz w:val="24"/>
          <w:szCs w:val="24"/>
        </w:rPr>
        <w:t xml:space="preserve">. It calls on </w:t>
      </w:r>
      <w:r w:rsidRPr="00F9452D">
        <w:rPr>
          <w:rFonts w:ascii="Times New Roman" w:hAnsi="Times New Roman"/>
          <w:sz w:val="24"/>
          <w:szCs w:val="24"/>
        </w:rPr>
        <w:t xml:space="preserve">all Member States to prioritise reforms that increase productivity and growth potential, improve the institutional and business environment, remove bottlenecks to investment and foster innovation, support the creation of quality jobs and reduce inequality. Member States with current account deficits or high external debt should additionally contain unit labour cost growth and improve their </w:t>
      </w:r>
      <w:r w:rsidRPr="00F9452D">
        <w:rPr>
          <w:rFonts w:ascii="Times New Roman" w:hAnsi="Times New Roman"/>
          <w:sz w:val="24"/>
          <w:szCs w:val="24"/>
        </w:rPr>
        <w:lastRenderedPageBreak/>
        <w:t>competitiveness</w:t>
      </w:r>
      <w:r>
        <w:rPr>
          <w:rFonts w:ascii="Times New Roman" w:hAnsi="Times New Roman"/>
          <w:sz w:val="24"/>
          <w:szCs w:val="24"/>
        </w:rPr>
        <w:t>, while</w:t>
      </w:r>
      <w:r w:rsidRPr="00F9452D">
        <w:rPr>
          <w:rFonts w:ascii="Times New Roman" w:hAnsi="Times New Roman"/>
          <w:sz w:val="24"/>
          <w:szCs w:val="24"/>
        </w:rPr>
        <w:t xml:space="preserve"> </w:t>
      </w:r>
      <w:r w:rsidRPr="00A733E3">
        <w:rPr>
          <w:rFonts w:ascii="Times New Roman" w:hAnsi="Times New Roman"/>
          <w:sz w:val="24"/>
          <w:szCs w:val="24"/>
        </w:rPr>
        <w:t xml:space="preserve">Member States with large current account surpluses </w:t>
      </w:r>
      <w:r>
        <w:rPr>
          <w:rFonts w:ascii="Times New Roman" w:hAnsi="Times New Roman"/>
          <w:sz w:val="24"/>
          <w:szCs w:val="24"/>
        </w:rPr>
        <w:t xml:space="preserve">should also create conditions </w:t>
      </w:r>
      <w:r w:rsidRPr="00A733E3">
        <w:rPr>
          <w:rFonts w:ascii="Times New Roman" w:hAnsi="Times New Roman"/>
          <w:sz w:val="24"/>
          <w:szCs w:val="24"/>
        </w:rPr>
        <w:t>to promote wage growth</w:t>
      </w:r>
      <w:r>
        <w:rPr>
          <w:rFonts w:ascii="Times New Roman" w:hAnsi="Times New Roman"/>
          <w:sz w:val="24"/>
          <w:szCs w:val="24"/>
        </w:rPr>
        <w:t>,</w:t>
      </w:r>
      <w:r w:rsidRPr="00792100">
        <w:rPr>
          <w:rFonts w:ascii="Times New Roman" w:hAnsi="Times New Roman"/>
          <w:sz w:val="24"/>
          <w:szCs w:val="24"/>
        </w:rPr>
        <w:t xml:space="preserve"> </w:t>
      </w:r>
      <w:r w:rsidRPr="00A05A7B">
        <w:rPr>
          <w:rFonts w:ascii="Times New Roman" w:hAnsi="Times New Roman"/>
          <w:sz w:val="24"/>
          <w:szCs w:val="24"/>
        </w:rPr>
        <w:t>while respecting the role of social partners,</w:t>
      </w:r>
      <w:r w:rsidRPr="00A733E3">
        <w:rPr>
          <w:rFonts w:ascii="Times New Roman" w:hAnsi="Times New Roman"/>
          <w:sz w:val="24"/>
          <w:szCs w:val="24"/>
        </w:rPr>
        <w:t xml:space="preserve"> and </w:t>
      </w:r>
      <w:r>
        <w:rPr>
          <w:rFonts w:ascii="Times New Roman" w:hAnsi="Times New Roman"/>
          <w:sz w:val="24"/>
          <w:szCs w:val="24"/>
        </w:rPr>
        <w:t xml:space="preserve">to foster investment to </w:t>
      </w:r>
      <w:r w:rsidRPr="00A733E3">
        <w:rPr>
          <w:rFonts w:ascii="Times New Roman" w:hAnsi="Times New Roman"/>
          <w:sz w:val="24"/>
          <w:szCs w:val="24"/>
        </w:rPr>
        <w:t>support domestic demand</w:t>
      </w:r>
      <w:r>
        <w:rPr>
          <w:rFonts w:ascii="Times New Roman" w:hAnsi="Times New Roman"/>
          <w:sz w:val="24"/>
          <w:szCs w:val="24"/>
        </w:rPr>
        <w:t xml:space="preserve"> and growth potential</w:t>
      </w:r>
      <w:r w:rsidRPr="00A733E3">
        <w:rPr>
          <w:rFonts w:ascii="Times New Roman" w:hAnsi="Times New Roman"/>
          <w:sz w:val="24"/>
          <w:szCs w:val="24"/>
        </w:rPr>
        <w:t xml:space="preserve">. </w:t>
      </w:r>
    </w:p>
    <w:p w:rsidR="00CE59E1" w:rsidRPr="00F9452D" w:rsidRDefault="00CE59E1" w:rsidP="00CE59E1">
      <w:pPr>
        <w:pStyle w:val="CommentText"/>
      </w:pPr>
      <w:r w:rsidRPr="001A4009">
        <w:rPr>
          <w:b/>
          <w:sz w:val="24"/>
          <w:szCs w:val="24"/>
        </w:rPr>
        <w:t xml:space="preserve">The European Semester </w:t>
      </w:r>
      <w:r>
        <w:rPr>
          <w:b/>
          <w:sz w:val="24"/>
          <w:szCs w:val="24"/>
        </w:rPr>
        <w:t>has been enriched this year by building on the</w:t>
      </w:r>
      <w:r w:rsidRPr="001A4009">
        <w:rPr>
          <w:b/>
          <w:sz w:val="24"/>
          <w:szCs w:val="24"/>
        </w:rPr>
        <w:t xml:space="preserve"> European Pillar of Social Rights.</w:t>
      </w:r>
      <w:r w:rsidRPr="00376186">
        <w:rPr>
          <w:sz w:val="24"/>
          <w:szCs w:val="24"/>
        </w:rPr>
        <w:t xml:space="preserve"> </w:t>
      </w:r>
      <w:r>
        <w:rPr>
          <w:sz w:val="24"/>
          <w:szCs w:val="24"/>
        </w:rPr>
        <w:t>The</w:t>
      </w:r>
      <w:r w:rsidRPr="00AE1071">
        <w:rPr>
          <w:sz w:val="24"/>
          <w:szCs w:val="24"/>
        </w:rPr>
        <w:t xml:space="preserve"> Pillar </w:t>
      </w:r>
      <w:r>
        <w:rPr>
          <w:sz w:val="24"/>
          <w:szCs w:val="24"/>
        </w:rPr>
        <w:t>was</w:t>
      </w:r>
      <w:r w:rsidRPr="00AE1071">
        <w:rPr>
          <w:sz w:val="24"/>
          <w:szCs w:val="24"/>
        </w:rPr>
        <w:t xml:space="preserve"> proclaimed by </w:t>
      </w:r>
      <w:r>
        <w:rPr>
          <w:sz w:val="24"/>
          <w:szCs w:val="24"/>
        </w:rPr>
        <w:t xml:space="preserve">the European Parliament, the Council and the Commission, in </w:t>
      </w:r>
      <w:r w:rsidRPr="00AE1071">
        <w:rPr>
          <w:sz w:val="24"/>
          <w:szCs w:val="24"/>
        </w:rPr>
        <w:t>November 2017</w:t>
      </w:r>
      <w:r>
        <w:rPr>
          <w:sz w:val="24"/>
          <w:szCs w:val="24"/>
        </w:rPr>
        <w:t xml:space="preserve"> at the Social Summit for Fair Jobs and Growth in Gothenburg. A</w:t>
      </w:r>
      <w:r w:rsidRPr="00AE1071">
        <w:rPr>
          <w:sz w:val="24"/>
          <w:szCs w:val="24"/>
        </w:rPr>
        <w:t xml:space="preserve"> key message of the </w:t>
      </w:r>
      <w:r>
        <w:rPr>
          <w:sz w:val="24"/>
          <w:szCs w:val="24"/>
        </w:rPr>
        <w:t xml:space="preserve">2018 </w:t>
      </w:r>
      <w:r w:rsidRPr="00AE1071">
        <w:rPr>
          <w:sz w:val="24"/>
          <w:szCs w:val="24"/>
        </w:rPr>
        <w:t>Annual Growth Survey is the need</w:t>
      </w:r>
      <w:r>
        <w:rPr>
          <w:sz w:val="24"/>
          <w:szCs w:val="24"/>
        </w:rPr>
        <w:t xml:space="preserve"> to </w:t>
      </w:r>
      <w:r w:rsidR="006D631C">
        <w:rPr>
          <w:sz w:val="24"/>
          <w:szCs w:val="24"/>
        </w:rPr>
        <w:t>implement</w:t>
      </w:r>
      <w:r>
        <w:rPr>
          <w:sz w:val="24"/>
          <w:szCs w:val="24"/>
        </w:rPr>
        <w:t xml:space="preserve"> the Pillar</w:t>
      </w:r>
      <w:r w:rsidRPr="00AE1071">
        <w:rPr>
          <w:sz w:val="24"/>
          <w:szCs w:val="24"/>
        </w:rPr>
        <w:t xml:space="preserve"> for</w:t>
      </w:r>
      <w:r>
        <w:rPr>
          <w:sz w:val="24"/>
          <w:szCs w:val="24"/>
        </w:rPr>
        <w:t xml:space="preserve"> a</w:t>
      </w:r>
      <w:r w:rsidRPr="00AE1071">
        <w:rPr>
          <w:sz w:val="24"/>
          <w:szCs w:val="24"/>
        </w:rPr>
        <w:t xml:space="preserve"> renewed convergence towards better working and living conditions across </w:t>
      </w:r>
      <w:r>
        <w:rPr>
          <w:sz w:val="24"/>
          <w:szCs w:val="24"/>
        </w:rPr>
        <w:t xml:space="preserve">the </w:t>
      </w:r>
      <w:r w:rsidRPr="00AE1071">
        <w:rPr>
          <w:sz w:val="24"/>
          <w:szCs w:val="24"/>
        </w:rPr>
        <w:t>EU</w:t>
      </w:r>
      <w:r>
        <w:rPr>
          <w:sz w:val="24"/>
          <w:szCs w:val="24"/>
        </w:rPr>
        <w:t>.</w:t>
      </w:r>
      <w:r w:rsidRPr="00AE1071">
        <w:rPr>
          <w:sz w:val="24"/>
          <w:szCs w:val="24"/>
        </w:rPr>
        <w:t xml:space="preserve"> </w:t>
      </w:r>
      <w:r>
        <w:rPr>
          <w:sz w:val="24"/>
          <w:szCs w:val="24"/>
        </w:rPr>
        <w:t xml:space="preserve">This requires </w:t>
      </w:r>
      <w:r w:rsidRPr="00AE1071">
        <w:rPr>
          <w:sz w:val="24"/>
          <w:szCs w:val="24"/>
        </w:rPr>
        <w:t>fair and well-functioning labour markets</w:t>
      </w:r>
      <w:r>
        <w:rPr>
          <w:sz w:val="24"/>
          <w:szCs w:val="24"/>
        </w:rPr>
        <w:t xml:space="preserve">, as well as modern </w:t>
      </w:r>
      <w:r w:rsidRPr="00AE1071">
        <w:rPr>
          <w:sz w:val="24"/>
          <w:szCs w:val="24"/>
        </w:rPr>
        <w:t>education and training systems that equip people with skills that match labour market needs</w:t>
      </w:r>
      <w:r>
        <w:rPr>
          <w:sz w:val="24"/>
          <w:szCs w:val="24"/>
        </w:rPr>
        <w:t>. This should be supported by</w:t>
      </w:r>
      <w:r w:rsidRPr="00AE1071">
        <w:rPr>
          <w:sz w:val="24"/>
          <w:szCs w:val="24"/>
        </w:rPr>
        <w:t xml:space="preserve"> sustainable and adequate social </w:t>
      </w:r>
      <w:r>
        <w:rPr>
          <w:sz w:val="24"/>
          <w:szCs w:val="24"/>
        </w:rPr>
        <w:t xml:space="preserve">protection </w:t>
      </w:r>
      <w:r w:rsidRPr="00AE1071">
        <w:rPr>
          <w:sz w:val="24"/>
          <w:szCs w:val="24"/>
        </w:rPr>
        <w:t xml:space="preserve">systems. </w:t>
      </w:r>
      <w:r>
        <w:rPr>
          <w:sz w:val="24"/>
          <w:szCs w:val="24"/>
        </w:rPr>
        <w:t xml:space="preserve">The country reports published today look at how Member States deliver on the three dimensions of the Pillar: </w:t>
      </w:r>
      <w:r w:rsidRPr="00AE1071">
        <w:rPr>
          <w:sz w:val="24"/>
          <w:szCs w:val="24"/>
        </w:rPr>
        <w:t xml:space="preserve">equal opportunities and access to </w:t>
      </w:r>
      <w:r>
        <w:rPr>
          <w:sz w:val="24"/>
          <w:szCs w:val="24"/>
        </w:rPr>
        <w:t xml:space="preserve">the </w:t>
      </w:r>
      <w:r w:rsidRPr="00AE1071">
        <w:rPr>
          <w:sz w:val="24"/>
          <w:szCs w:val="24"/>
        </w:rPr>
        <w:t>labour market</w:t>
      </w:r>
      <w:r>
        <w:rPr>
          <w:sz w:val="24"/>
          <w:szCs w:val="24"/>
        </w:rPr>
        <w:t>,</w:t>
      </w:r>
      <w:r w:rsidRPr="00AE1071">
        <w:rPr>
          <w:sz w:val="24"/>
          <w:szCs w:val="24"/>
        </w:rPr>
        <w:t xml:space="preserve"> fair working conditions</w:t>
      </w:r>
      <w:r>
        <w:rPr>
          <w:sz w:val="24"/>
          <w:szCs w:val="24"/>
        </w:rPr>
        <w:t>,</w:t>
      </w:r>
      <w:r w:rsidRPr="00AE1071">
        <w:rPr>
          <w:sz w:val="24"/>
          <w:szCs w:val="24"/>
        </w:rPr>
        <w:t xml:space="preserve"> and social protection and inclusion. </w:t>
      </w:r>
      <w:r>
        <w:rPr>
          <w:sz w:val="24"/>
          <w:szCs w:val="24"/>
        </w:rPr>
        <w:t>T</w:t>
      </w:r>
      <w:r w:rsidRPr="000A0D5A">
        <w:rPr>
          <w:sz w:val="24"/>
          <w:szCs w:val="24"/>
        </w:rPr>
        <w:t xml:space="preserve">he </w:t>
      </w:r>
      <w:r>
        <w:rPr>
          <w:sz w:val="24"/>
          <w:szCs w:val="24"/>
        </w:rPr>
        <w:t xml:space="preserve">provision of adequate skills and </w:t>
      </w:r>
      <w:r w:rsidRPr="000A0D5A">
        <w:rPr>
          <w:sz w:val="24"/>
          <w:szCs w:val="24"/>
        </w:rPr>
        <w:t xml:space="preserve">persistent gender employment gap, high labour market segmentation and the risk of in-work poverty, the low impact of social transfers on poverty reduction, sluggish wage </w:t>
      </w:r>
      <w:r w:rsidRPr="00164CEA">
        <w:rPr>
          <w:sz w:val="24"/>
          <w:szCs w:val="24"/>
        </w:rPr>
        <w:t>growth, and ineffective</w:t>
      </w:r>
      <w:r w:rsidRPr="000A0D5A">
        <w:rPr>
          <w:sz w:val="24"/>
          <w:szCs w:val="24"/>
        </w:rPr>
        <w:t xml:space="preserve"> social dialogue are areas of particular concern in some Member States.</w:t>
      </w:r>
      <w:r>
        <w:rPr>
          <w:sz w:val="24"/>
          <w:szCs w:val="24"/>
        </w:rPr>
        <w:t xml:space="preserve"> In order to analyse Member States’ performances in a comparative perspective, the country reports also build on the b</w:t>
      </w:r>
      <w:r w:rsidRPr="003E3508">
        <w:rPr>
          <w:sz w:val="24"/>
          <w:szCs w:val="24"/>
        </w:rPr>
        <w:t>enchmarking exercise</w:t>
      </w:r>
      <w:r>
        <w:rPr>
          <w:sz w:val="24"/>
          <w:szCs w:val="24"/>
        </w:rPr>
        <w:t>s</w:t>
      </w:r>
      <w:r w:rsidRPr="003E3508">
        <w:rPr>
          <w:sz w:val="24"/>
          <w:szCs w:val="24"/>
        </w:rPr>
        <w:t xml:space="preserve"> </w:t>
      </w:r>
      <w:r>
        <w:rPr>
          <w:sz w:val="24"/>
          <w:szCs w:val="24"/>
        </w:rPr>
        <w:t>conducted on</w:t>
      </w:r>
      <w:r w:rsidRPr="003E3508">
        <w:rPr>
          <w:sz w:val="24"/>
          <w:szCs w:val="24"/>
        </w:rPr>
        <w:t xml:space="preserve"> unemployment benefits and active labour market policies </w:t>
      </w:r>
      <w:r>
        <w:rPr>
          <w:sz w:val="24"/>
          <w:szCs w:val="24"/>
        </w:rPr>
        <w:t>and on minimum income.</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 xml:space="preserve">The country reports published today will underpin </w:t>
      </w:r>
      <w:r w:rsidRPr="00A733E3">
        <w:rPr>
          <w:rFonts w:ascii="Times New Roman" w:hAnsi="Times New Roman"/>
          <w:b/>
          <w:sz w:val="24"/>
          <w:szCs w:val="24"/>
        </w:rPr>
        <w:t xml:space="preserve">the Commission's </w:t>
      </w:r>
      <w:r>
        <w:rPr>
          <w:rFonts w:ascii="Times New Roman" w:hAnsi="Times New Roman"/>
          <w:b/>
          <w:sz w:val="24"/>
          <w:szCs w:val="24"/>
        </w:rPr>
        <w:t xml:space="preserve">upcoming </w:t>
      </w:r>
      <w:r w:rsidRPr="00A733E3">
        <w:rPr>
          <w:rFonts w:ascii="Times New Roman" w:hAnsi="Times New Roman"/>
          <w:b/>
          <w:sz w:val="24"/>
          <w:szCs w:val="24"/>
        </w:rPr>
        <w:t xml:space="preserve">country-specific </w:t>
      </w:r>
      <w:r>
        <w:rPr>
          <w:rFonts w:ascii="Times New Roman" w:hAnsi="Times New Roman"/>
          <w:b/>
          <w:sz w:val="24"/>
          <w:szCs w:val="24"/>
        </w:rPr>
        <w:t xml:space="preserve">recommendations later this spring. </w:t>
      </w:r>
      <w:r w:rsidRPr="000A0D5A">
        <w:rPr>
          <w:rFonts w:ascii="Times New Roman" w:hAnsi="Times New Roman"/>
          <w:sz w:val="24"/>
          <w:szCs w:val="24"/>
        </w:rPr>
        <w:t xml:space="preserve">These </w:t>
      </w:r>
      <w:r>
        <w:rPr>
          <w:rFonts w:ascii="Times New Roman" w:hAnsi="Times New Roman"/>
          <w:sz w:val="24"/>
          <w:szCs w:val="24"/>
        </w:rPr>
        <w:t>27 country reports</w:t>
      </w:r>
      <w:r>
        <w:rPr>
          <w:rStyle w:val="FootnoteReference"/>
          <w:rFonts w:ascii="Times New Roman" w:hAnsi="Times New Roman"/>
          <w:sz w:val="24"/>
          <w:szCs w:val="24"/>
        </w:rPr>
        <w:footnoteReference w:id="3"/>
      </w:r>
      <w:r>
        <w:rPr>
          <w:rFonts w:ascii="Times New Roman" w:hAnsi="Times New Roman"/>
          <w:sz w:val="24"/>
          <w:szCs w:val="24"/>
        </w:rPr>
        <w:t xml:space="preserve"> review economic and social developments, challenges and opportunities for the Member States. A number of in-depth reviews were carried out in the context of the Macroeconomic Imbalances Procedure, following the 2018 Alert Mechanism Report,</w:t>
      </w:r>
      <w:r w:rsidDel="00BD084F">
        <w:rPr>
          <w:rFonts w:ascii="Times New Roman" w:hAnsi="Times New Roman"/>
          <w:sz w:val="24"/>
          <w:szCs w:val="24"/>
        </w:rPr>
        <w:t xml:space="preserve"> </w:t>
      </w:r>
      <w:r>
        <w:rPr>
          <w:rFonts w:ascii="Times New Roman" w:hAnsi="Times New Roman"/>
          <w:sz w:val="24"/>
          <w:szCs w:val="24"/>
        </w:rPr>
        <w:t xml:space="preserve">and their conclusions are an integral part of the reports for Bulgaria, Croatia, Cyprus, France, Germany, Ireland, Italy, the Netherlands, Portugal, Slovenia, Spain, and Sweden. The country reports also review Member States' progress with the implementation of the country-specific recommendations over the years, by taking a multi-annual perspective, as is now done under the European Semester cycle to account for the time needed for the full implementation of critical reforms. Last but not least, the country reports trace progress towards the Europe 2020 targets. </w:t>
      </w:r>
    </w:p>
    <w:p w:rsidR="00CE59E1" w:rsidRPr="00CE59E1" w:rsidRDefault="00054060" w:rsidP="00054060">
      <w:pPr>
        <w:pStyle w:val="Heading1"/>
        <w:tabs>
          <w:tab w:val="num" w:pos="850"/>
        </w:tabs>
        <w:ind w:left="850" w:hanging="850"/>
        <w:rPr>
          <w:rFonts w:eastAsia="Calibri"/>
        </w:rPr>
      </w:pPr>
      <w:r>
        <w:rPr>
          <w:rFonts w:eastAsia="Calibri"/>
        </w:rPr>
        <w:t>2.</w:t>
      </w:r>
      <w:r>
        <w:rPr>
          <w:rFonts w:eastAsia="Calibri"/>
        </w:rPr>
        <w:tab/>
      </w:r>
      <w:r w:rsidR="00CE59E1" w:rsidRPr="00CE59E1">
        <w:rPr>
          <w:rFonts w:eastAsia="Calibri"/>
        </w:rPr>
        <w:t>Progress with country specific recommendations</w:t>
      </w:r>
    </w:p>
    <w:p w:rsidR="00CE59E1" w:rsidRPr="00680A51" w:rsidRDefault="00CE59E1" w:rsidP="00CE59E1">
      <w:pPr>
        <w:spacing w:before="120" w:after="120" w:line="240" w:lineRule="auto"/>
        <w:jc w:val="both"/>
        <w:rPr>
          <w:rFonts w:ascii="Times New Roman" w:hAnsi="Times New Roman"/>
          <w:sz w:val="24"/>
          <w:szCs w:val="24"/>
        </w:rPr>
      </w:pPr>
      <w:r w:rsidRPr="00E35DF3">
        <w:rPr>
          <w:rFonts w:ascii="Times New Roman" w:hAnsi="Times New Roman"/>
          <w:b/>
          <w:sz w:val="24"/>
          <w:szCs w:val="24"/>
        </w:rPr>
        <w:t xml:space="preserve">Member States </w:t>
      </w:r>
      <w:r>
        <w:rPr>
          <w:rFonts w:ascii="Times New Roman" w:hAnsi="Times New Roman"/>
          <w:b/>
          <w:sz w:val="24"/>
          <w:szCs w:val="24"/>
        </w:rPr>
        <w:t xml:space="preserve">continue to make </w:t>
      </w:r>
      <w:r w:rsidRPr="00E35DF3">
        <w:rPr>
          <w:rFonts w:ascii="Times New Roman" w:hAnsi="Times New Roman"/>
          <w:b/>
          <w:sz w:val="24"/>
          <w:szCs w:val="24"/>
        </w:rPr>
        <w:t xml:space="preserve">progress </w:t>
      </w:r>
      <w:r>
        <w:rPr>
          <w:rFonts w:ascii="Times New Roman" w:hAnsi="Times New Roman"/>
          <w:b/>
          <w:sz w:val="24"/>
          <w:szCs w:val="24"/>
        </w:rPr>
        <w:t xml:space="preserve">in </w:t>
      </w:r>
      <w:r w:rsidRPr="00E35DF3">
        <w:rPr>
          <w:rFonts w:ascii="Times New Roman" w:hAnsi="Times New Roman"/>
          <w:b/>
          <w:sz w:val="24"/>
          <w:szCs w:val="24"/>
        </w:rPr>
        <w:t xml:space="preserve">addressing </w:t>
      </w:r>
      <w:r>
        <w:rPr>
          <w:rFonts w:ascii="Times New Roman" w:hAnsi="Times New Roman"/>
          <w:b/>
          <w:sz w:val="24"/>
          <w:szCs w:val="24"/>
        </w:rPr>
        <w:t xml:space="preserve">the country-specific </w:t>
      </w:r>
      <w:r w:rsidRPr="00E35DF3">
        <w:rPr>
          <w:rFonts w:ascii="Times New Roman" w:hAnsi="Times New Roman"/>
          <w:b/>
          <w:sz w:val="24"/>
          <w:szCs w:val="24"/>
        </w:rPr>
        <w:t xml:space="preserve">recommendations adopted by the Council </w:t>
      </w:r>
      <w:r>
        <w:rPr>
          <w:rFonts w:ascii="Times New Roman" w:hAnsi="Times New Roman"/>
          <w:b/>
          <w:sz w:val="24"/>
          <w:szCs w:val="24"/>
        </w:rPr>
        <w:t xml:space="preserve">in </w:t>
      </w:r>
      <w:r w:rsidRPr="00E35DF3">
        <w:rPr>
          <w:rFonts w:ascii="Times New Roman" w:hAnsi="Times New Roman"/>
          <w:b/>
          <w:sz w:val="24"/>
          <w:szCs w:val="24"/>
        </w:rPr>
        <w:t>the</w:t>
      </w:r>
      <w:r>
        <w:rPr>
          <w:rFonts w:ascii="Times New Roman" w:hAnsi="Times New Roman"/>
          <w:b/>
          <w:sz w:val="24"/>
          <w:szCs w:val="24"/>
        </w:rPr>
        <w:t xml:space="preserve"> context of the</w:t>
      </w:r>
      <w:r w:rsidRPr="00E35DF3">
        <w:rPr>
          <w:rFonts w:ascii="Times New Roman" w:hAnsi="Times New Roman"/>
          <w:b/>
          <w:sz w:val="24"/>
          <w:szCs w:val="24"/>
        </w:rPr>
        <w:t xml:space="preserve"> European Semester.</w:t>
      </w:r>
      <w:r w:rsidRPr="00A52AEE">
        <w:rPr>
          <w:rFonts w:ascii="Times New Roman" w:hAnsi="Times New Roman"/>
          <w:b/>
          <w:sz w:val="24"/>
          <w:szCs w:val="24"/>
        </w:rPr>
        <w:t xml:space="preserve"> </w:t>
      </w:r>
      <w:r>
        <w:rPr>
          <w:rFonts w:ascii="Times New Roman" w:hAnsi="Times New Roman"/>
          <w:sz w:val="24"/>
          <w:szCs w:val="24"/>
        </w:rPr>
        <w:t>Reform implementation has slightly increased overall, as compared to the May 2017 stocktaking exercise.</w:t>
      </w:r>
      <w:r w:rsidRPr="00FD004E">
        <w:rPr>
          <w:rFonts w:ascii="Times New Roman" w:hAnsi="Times New Roman"/>
          <w:vertAlign w:val="superscript"/>
        </w:rPr>
        <w:footnoteReference w:id="4"/>
      </w:r>
      <w:r w:rsidRPr="00680A51">
        <w:rPr>
          <w:rFonts w:ascii="Times New Roman" w:hAnsi="Times New Roman"/>
          <w:sz w:val="24"/>
          <w:szCs w:val="24"/>
        </w:rPr>
        <w:t xml:space="preserve"> This is </w:t>
      </w:r>
      <w:r>
        <w:rPr>
          <w:rFonts w:ascii="Times New Roman" w:hAnsi="Times New Roman"/>
          <w:sz w:val="24"/>
          <w:szCs w:val="24"/>
        </w:rPr>
        <w:t xml:space="preserve">encouraging and </w:t>
      </w:r>
      <w:r w:rsidRPr="00680A51">
        <w:rPr>
          <w:rFonts w:ascii="Times New Roman" w:hAnsi="Times New Roman"/>
          <w:sz w:val="24"/>
          <w:szCs w:val="24"/>
        </w:rPr>
        <w:t>reflect</w:t>
      </w:r>
      <w:r>
        <w:rPr>
          <w:rFonts w:ascii="Times New Roman" w:hAnsi="Times New Roman"/>
          <w:sz w:val="24"/>
          <w:szCs w:val="24"/>
        </w:rPr>
        <w:t xml:space="preserve">s </w:t>
      </w:r>
      <w:r w:rsidRPr="00680A51">
        <w:rPr>
          <w:rFonts w:ascii="Times New Roman" w:hAnsi="Times New Roman"/>
          <w:sz w:val="24"/>
          <w:szCs w:val="24"/>
        </w:rPr>
        <w:t>that important reforms</w:t>
      </w:r>
      <w:r>
        <w:rPr>
          <w:rFonts w:ascii="Times New Roman" w:hAnsi="Times New Roman"/>
          <w:sz w:val="24"/>
          <w:szCs w:val="24"/>
        </w:rPr>
        <w:t xml:space="preserve"> have been carried </w:t>
      </w:r>
      <w:r w:rsidRPr="00680A51">
        <w:rPr>
          <w:rFonts w:ascii="Times New Roman" w:hAnsi="Times New Roman"/>
          <w:sz w:val="24"/>
          <w:szCs w:val="24"/>
        </w:rPr>
        <w:t>out</w:t>
      </w:r>
      <w:r>
        <w:rPr>
          <w:rFonts w:ascii="Times New Roman" w:hAnsi="Times New Roman"/>
          <w:sz w:val="24"/>
          <w:szCs w:val="24"/>
        </w:rPr>
        <w:t>, but sometimes</w:t>
      </w:r>
      <w:r w:rsidRPr="00680A51">
        <w:rPr>
          <w:rFonts w:ascii="Times New Roman" w:hAnsi="Times New Roman"/>
          <w:sz w:val="24"/>
          <w:szCs w:val="24"/>
        </w:rPr>
        <w:t xml:space="preserve"> </w:t>
      </w:r>
      <w:r>
        <w:rPr>
          <w:rFonts w:ascii="Times New Roman" w:hAnsi="Times New Roman"/>
          <w:sz w:val="24"/>
          <w:szCs w:val="24"/>
        </w:rPr>
        <w:t>take longer to implement than anticipated</w:t>
      </w:r>
      <w:r w:rsidRPr="00680A51">
        <w:rPr>
          <w:rFonts w:ascii="Times New Roman" w:hAnsi="Times New Roman"/>
          <w:sz w:val="24"/>
          <w:szCs w:val="24"/>
        </w:rPr>
        <w:t>. Since the start of the European Semester in 2011,</w:t>
      </w:r>
      <w:r>
        <w:rPr>
          <w:rFonts w:ascii="Times New Roman" w:hAnsi="Times New Roman"/>
          <w:sz w:val="24"/>
          <w:szCs w:val="24"/>
        </w:rPr>
        <w:t xml:space="preserve"> Member States achieved</w:t>
      </w:r>
      <w:r w:rsidRPr="00680A51">
        <w:rPr>
          <w:rFonts w:ascii="Times New Roman" w:hAnsi="Times New Roman"/>
          <w:sz w:val="24"/>
          <w:szCs w:val="24"/>
        </w:rPr>
        <w:t xml:space="preserve"> at least 'some progress' with regard to </w:t>
      </w:r>
      <w:r>
        <w:rPr>
          <w:rFonts w:ascii="Times New Roman" w:hAnsi="Times New Roman"/>
          <w:sz w:val="24"/>
          <w:szCs w:val="24"/>
        </w:rPr>
        <w:t xml:space="preserve">more than two-thirds </w:t>
      </w:r>
      <w:r w:rsidRPr="00680A51">
        <w:rPr>
          <w:rFonts w:ascii="Times New Roman" w:hAnsi="Times New Roman"/>
          <w:sz w:val="24"/>
          <w:szCs w:val="24"/>
        </w:rPr>
        <w:t>of the recommendations</w:t>
      </w:r>
      <w:r>
        <w:rPr>
          <w:rFonts w:ascii="Times New Roman" w:hAnsi="Times New Roman"/>
          <w:sz w:val="24"/>
          <w:szCs w:val="24"/>
        </w:rPr>
        <w:t xml:space="preserve">. </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R</w:t>
      </w:r>
      <w:r w:rsidRPr="007C0B8F">
        <w:rPr>
          <w:rFonts w:ascii="Times New Roman" w:hAnsi="Times New Roman"/>
          <w:b/>
          <w:sz w:val="24"/>
          <w:szCs w:val="24"/>
        </w:rPr>
        <w:t>eform implementation</w:t>
      </w:r>
      <w:r>
        <w:rPr>
          <w:rFonts w:ascii="Times New Roman" w:hAnsi="Times New Roman"/>
          <w:b/>
          <w:sz w:val="24"/>
          <w:szCs w:val="24"/>
        </w:rPr>
        <w:t xml:space="preserve"> </w:t>
      </w:r>
      <w:r w:rsidRPr="00A52FF1">
        <w:rPr>
          <w:rFonts w:ascii="Times New Roman" w:hAnsi="Times New Roman"/>
          <w:b/>
          <w:sz w:val="24"/>
          <w:szCs w:val="24"/>
        </w:rPr>
        <w:t>has been solid in some key areas</w:t>
      </w:r>
      <w:r w:rsidRPr="007C0B8F">
        <w:rPr>
          <w:rFonts w:ascii="Times New Roman" w:hAnsi="Times New Roman"/>
          <w:b/>
          <w:sz w:val="24"/>
          <w:szCs w:val="24"/>
        </w:rPr>
        <w:t xml:space="preserve">. </w:t>
      </w:r>
      <w:r w:rsidRPr="00A52AEE">
        <w:rPr>
          <w:rFonts w:ascii="Times New Roman" w:hAnsi="Times New Roman"/>
          <w:sz w:val="24"/>
          <w:szCs w:val="24"/>
        </w:rPr>
        <w:t>Since the o</w:t>
      </w:r>
      <w:r>
        <w:rPr>
          <w:rFonts w:ascii="Times New Roman" w:hAnsi="Times New Roman"/>
          <w:sz w:val="24"/>
          <w:szCs w:val="24"/>
        </w:rPr>
        <w:t>ut</w:t>
      </w:r>
      <w:r w:rsidRPr="00A52AEE">
        <w:rPr>
          <w:rFonts w:ascii="Times New Roman" w:hAnsi="Times New Roman"/>
          <w:sz w:val="24"/>
          <w:szCs w:val="24"/>
        </w:rPr>
        <w:t xml:space="preserve">set of the European Semester in 2011, Member States have </w:t>
      </w:r>
      <w:r>
        <w:rPr>
          <w:rFonts w:ascii="Times New Roman" w:hAnsi="Times New Roman"/>
          <w:sz w:val="24"/>
          <w:szCs w:val="24"/>
        </w:rPr>
        <w:t xml:space="preserve">made </w:t>
      </w:r>
      <w:r w:rsidRPr="00A52AEE">
        <w:rPr>
          <w:rFonts w:ascii="Times New Roman" w:hAnsi="Times New Roman"/>
          <w:sz w:val="24"/>
          <w:szCs w:val="24"/>
        </w:rPr>
        <w:t>most progress</w:t>
      </w:r>
      <w:r>
        <w:rPr>
          <w:rFonts w:ascii="Times New Roman" w:hAnsi="Times New Roman"/>
          <w:sz w:val="24"/>
          <w:szCs w:val="24"/>
        </w:rPr>
        <w:t xml:space="preserve"> in financial services and in</w:t>
      </w:r>
      <w:r w:rsidRPr="009370EF">
        <w:rPr>
          <w:rFonts w:ascii="Times New Roman" w:hAnsi="Times New Roman"/>
          <w:sz w:val="24"/>
          <w:szCs w:val="24"/>
        </w:rPr>
        <w:t xml:space="preserve"> </w:t>
      </w:r>
      <w:r>
        <w:rPr>
          <w:rFonts w:ascii="Times New Roman" w:hAnsi="Times New Roman"/>
          <w:sz w:val="24"/>
          <w:szCs w:val="24"/>
        </w:rPr>
        <w:t xml:space="preserve">fiscal policy and fiscal governance. This continues to reflect the priority that was given to the </w:t>
      </w:r>
      <w:r>
        <w:rPr>
          <w:rFonts w:ascii="Times New Roman" w:hAnsi="Times New Roman"/>
          <w:sz w:val="24"/>
          <w:szCs w:val="24"/>
        </w:rPr>
        <w:lastRenderedPageBreak/>
        <w:t xml:space="preserve">stabilisation of public finances and of the financial sector, following the economic and financial crisis. Significant progress has also been made in addressing </w:t>
      </w:r>
      <w:r w:rsidRPr="009370EF">
        <w:rPr>
          <w:rFonts w:ascii="Times New Roman" w:hAnsi="Times New Roman"/>
          <w:sz w:val="24"/>
          <w:szCs w:val="24"/>
        </w:rPr>
        <w:t>access to finance</w:t>
      </w:r>
      <w:r>
        <w:rPr>
          <w:rFonts w:ascii="Times New Roman" w:hAnsi="Times New Roman"/>
          <w:sz w:val="24"/>
          <w:szCs w:val="24"/>
        </w:rPr>
        <w:t xml:space="preserve">, in employment protection legislation and </w:t>
      </w:r>
      <w:r w:rsidRPr="004B6DE3">
        <w:rPr>
          <w:rFonts w:ascii="Times New Roman" w:hAnsi="Times New Roman"/>
          <w:sz w:val="24"/>
          <w:szCs w:val="24"/>
        </w:rPr>
        <w:t>frameworks for labour contracts.</w:t>
      </w:r>
      <w:r>
        <w:rPr>
          <w:rFonts w:ascii="Times New Roman" w:hAnsi="Times New Roman"/>
          <w:sz w:val="24"/>
          <w:szCs w:val="24"/>
        </w:rPr>
        <w:t xml:space="preserve"> However,</w:t>
      </w:r>
      <w:r w:rsidRPr="00A52AEE">
        <w:rPr>
          <w:rFonts w:ascii="Times New Roman" w:hAnsi="Times New Roman"/>
          <w:sz w:val="24"/>
          <w:szCs w:val="24"/>
        </w:rPr>
        <w:t xml:space="preserve"> </w:t>
      </w:r>
      <w:r>
        <w:rPr>
          <w:rFonts w:ascii="Times New Roman" w:hAnsi="Times New Roman"/>
          <w:sz w:val="24"/>
          <w:szCs w:val="24"/>
        </w:rPr>
        <w:t xml:space="preserve">more modest </w:t>
      </w:r>
      <w:r w:rsidRPr="00A52AEE">
        <w:rPr>
          <w:rFonts w:ascii="Times New Roman" w:hAnsi="Times New Roman"/>
          <w:sz w:val="24"/>
          <w:szCs w:val="24"/>
        </w:rPr>
        <w:t xml:space="preserve">progress </w:t>
      </w:r>
      <w:r>
        <w:rPr>
          <w:rFonts w:ascii="Times New Roman" w:hAnsi="Times New Roman"/>
          <w:sz w:val="24"/>
          <w:szCs w:val="24"/>
        </w:rPr>
        <w:t>has been made in areas like the</w:t>
      </w:r>
      <w:r w:rsidRPr="00A52AEE">
        <w:rPr>
          <w:rFonts w:ascii="Times New Roman" w:hAnsi="Times New Roman"/>
          <w:sz w:val="24"/>
          <w:szCs w:val="24"/>
        </w:rPr>
        <w:t xml:space="preserve"> </w:t>
      </w:r>
      <w:r>
        <w:rPr>
          <w:rFonts w:ascii="Times New Roman" w:hAnsi="Times New Roman"/>
          <w:sz w:val="24"/>
          <w:szCs w:val="24"/>
        </w:rPr>
        <w:t xml:space="preserve">broadening tax bases </w:t>
      </w:r>
      <w:r w:rsidRPr="004B6DE3">
        <w:rPr>
          <w:rFonts w:ascii="Times New Roman" w:hAnsi="Times New Roman"/>
          <w:sz w:val="24"/>
          <w:szCs w:val="24"/>
        </w:rPr>
        <w:t>or transport</w:t>
      </w:r>
      <w:r>
        <w:rPr>
          <w:rFonts w:ascii="Times New Roman" w:hAnsi="Times New Roman"/>
          <w:sz w:val="24"/>
          <w:szCs w:val="24"/>
        </w:rPr>
        <w:t xml:space="preserve">. In many Member States, progress towards addressing the important challenges related to long-term sustainability of public finances is slow, including pensions. Regulatory reforms have improved the business environment especially in those Member States that needed them most. These reforms have reduced administrative barriers to the creation of new business. However, entrepreneurship remains weak in many Member States. Access to bank credit and loans have improved for SMEs but venture capital is still insufficient in many parts of the Union. Significant progress can also be reported in public procurement. Unfortunately, the pace of reform in services markets is slow in particular </w:t>
      </w:r>
      <w:r w:rsidRPr="00E57249">
        <w:rPr>
          <w:rFonts w:ascii="Times New Roman" w:hAnsi="Times New Roman"/>
          <w:sz w:val="24"/>
          <w:szCs w:val="24"/>
          <w:bdr w:val="none" w:sz="0" w:space="0" w:color="auto" w:frame="1"/>
          <w:lang w:eastAsia="en-GB"/>
        </w:rPr>
        <w:t>in business services, construction and real estate</w:t>
      </w:r>
      <w:r w:rsidRPr="00E57249">
        <w:rPr>
          <w:rFonts w:ascii="Times New Roman" w:hAnsi="Times New Roman"/>
          <w:sz w:val="24"/>
          <w:szCs w:val="24"/>
        </w:rPr>
        <w:t>.</w:t>
      </w:r>
      <w:r w:rsidRPr="00E57249">
        <w:rPr>
          <w:rFonts w:ascii="Times New Roman" w:hAnsi="Times New Roman"/>
          <w:sz w:val="24"/>
          <w:szCs w:val="24"/>
          <w:bdr w:val="none" w:sz="0" w:space="0" w:color="auto" w:frame="1"/>
          <w:lang w:eastAsia="en-GB"/>
        </w:rPr>
        <w:t xml:space="preserve"> </w:t>
      </w:r>
      <w:r w:rsidRPr="00D233D5">
        <w:rPr>
          <w:rFonts w:ascii="Times New Roman" w:hAnsi="Times New Roman"/>
          <w:sz w:val="24"/>
          <w:szCs w:val="24"/>
        </w:rPr>
        <w:t xml:space="preserve"> </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Member States are making progress towards the goals they set eight years ago in the Europe 2020 strategy</w:t>
      </w:r>
      <w:r w:rsidRPr="00244294">
        <w:rPr>
          <w:rFonts w:ascii="Times New Roman" w:hAnsi="Times New Roman"/>
          <w:b/>
          <w:sz w:val="24"/>
          <w:szCs w:val="24"/>
        </w:rPr>
        <w:t>.</w:t>
      </w:r>
      <w:r w:rsidRPr="00182299">
        <w:rPr>
          <w:rStyle w:val="FootnoteReference"/>
          <w:rFonts w:ascii="Times New Roman" w:hAnsi="Times New Roman"/>
          <w:sz w:val="24"/>
          <w:szCs w:val="24"/>
        </w:rPr>
        <w:footnoteReference w:id="5"/>
      </w:r>
      <w:r>
        <w:rPr>
          <w:rFonts w:ascii="Times New Roman" w:hAnsi="Times New Roman"/>
          <w:b/>
          <w:sz w:val="24"/>
          <w:szCs w:val="24"/>
        </w:rPr>
        <w:t xml:space="preserve"> </w:t>
      </w:r>
      <w:r w:rsidRPr="00A52AEE">
        <w:rPr>
          <w:rFonts w:ascii="Times New Roman" w:hAnsi="Times New Roman"/>
          <w:sz w:val="24"/>
          <w:szCs w:val="24"/>
        </w:rPr>
        <w:t xml:space="preserve">Overall, </w:t>
      </w:r>
      <w:r>
        <w:rPr>
          <w:rFonts w:ascii="Times New Roman" w:hAnsi="Times New Roman"/>
          <w:sz w:val="24"/>
          <w:szCs w:val="24"/>
        </w:rPr>
        <w:t>the EU is</w:t>
      </w:r>
      <w:r w:rsidRPr="00A52AEE">
        <w:rPr>
          <w:rFonts w:ascii="Times New Roman" w:hAnsi="Times New Roman"/>
          <w:sz w:val="24"/>
          <w:szCs w:val="24"/>
        </w:rPr>
        <w:t xml:space="preserve"> approaching </w:t>
      </w:r>
      <w:r>
        <w:rPr>
          <w:rFonts w:ascii="Times New Roman" w:hAnsi="Times New Roman"/>
          <w:sz w:val="24"/>
          <w:szCs w:val="24"/>
        </w:rPr>
        <w:t xml:space="preserve">its </w:t>
      </w:r>
      <w:r w:rsidRPr="00A52AEE">
        <w:rPr>
          <w:rFonts w:ascii="Times New Roman" w:hAnsi="Times New Roman"/>
          <w:sz w:val="24"/>
          <w:szCs w:val="24"/>
        </w:rPr>
        <w:t>targets on education</w:t>
      </w:r>
      <w:r>
        <w:rPr>
          <w:rFonts w:ascii="Times New Roman" w:hAnsi="Times New Roman"/>
          <w:sz w:val="24"/>
          <w:szCs w:val="24"/>
        </w:rPr>
        <w:t xml:space="preserve">, </w:t>
      </w:r>
      <w:r w:rsidRPr="00A52AEE">
        <w:rPr>
          <w:rFonts w:ascii="Times New Roman" w:hAnsi="Times New Roman"/>
          <w:sz w:val="24"/>
          <w:szCs w:val="24"/>
        </w:rPr>
        <w:t>energy</w:t>
      </w:r>
      <w:r>
        <w:rPr>
          <w:rFonts w:ascii="Times New Roman" w:hAnsi="Times New Roman"/>
          <w:sz w:val="24"/>
          <w:szCs w:val="24"/>
        </w:rPr>
        <w:t xml:space="preserve">, </w:t>
      </w:r>
      <w:r w:rsidRPr="00A52AEE">
        <w:rPr>
          <w:rFonts w:ascii="Times New Roman" w:hAnsi="Times New Roman"/>
          <w:sz w:val="24"/>
          <w:szCs w:val="24"/>
        </w:rPr>
        <w:t>climate</w:t>
      </w:r>
      <w:r>
        <w:rPr>
          <w:rFonts w:ascii="Times New Roman" w:hAnsi="Times New Roman"/>
          <w:sz w:val="24"/>
          <w:szCs w:val="24"/>
        </w:rPr>
        <w:t xml:space="preserve"> </w:t>
      </w:r>
      <w:r w:rsidRPr="00A52AEE">
        <w:rPr>
          <w:rFonts w:ascii="Times New Roman" w:hAnsi="Times New Roman"/>
          <w:sz w:val="24"/>
          <w:szCs w:val="24"/>
        </w:rPr>
        <w:t>and employment</w:t>
      </w:r>
      <w:r>
        <w:rPr>
          <w:rFonts w:ascii="Times New Roman" w:hAnsi="Times New Roman"/>
          <w:sz w:val="24"/>
          <w:szCs w:val="24"/>
        </w:rPr>
        <w:t xml:space="preserve">. 14 Member States have </w:t>
      </w:r>
      <w:r w:rsidRPr="00C22923">
        <w:rPr>
          <w:rFonts w:ascii="Times New Roman" w:hAnsi="Times New Roman"/>
          <w:sz w:val="24"/>
          <w:szCs w:val="24"/>
        </w:rPr>
        <w:t xml:space="preserve">already achieved their </w:t>
      </w:r>
      <w:r>
        <w:rPr>
          <w:rFonts w:ascii="Times New Roman" w:hAnsi="Times New Roman"/>
          <w:sz w:val="24"/>
          <w:szCs w:val="24"/>
        </w:rPr>
        <w:t xml:space="preserve">national </w:t>
      </w:r>
      <w:r w:rsidRPr="00C22923">
        <w:rPr>
          <w:rFonts w:ascii="Times New Roman" w:hAnsi="Times New Roman"/>
          <w:sz w:val="24"/>
          <w:szCs w:val="24"/>
        </w:rPr>
        <w:t xml:space="preserve">targets </w:t>
      </w:r>
      <w:r>
        <w:rPr>
          <w:rFonts w:ascii="Times New Roman" w:hAnsi="Times New Roman"/>
          <w:sz w:val="24"/>
          <w:szCs w:val="24"/>
        </w:rPr>
        <w:t>in reducing early school leaving and in increasing the share of tertiary educated population. 11</w:t>
      </w:r>
      <w:r w:rsidRPr="00182299">
        <w:rPr>
          <w:rFonts w:ascii="Times New Roman" w:hAnsi="Times New Roman"/>
          <w:sz w:val="24"/>
          <w:szCs w:val="24"/>
        </w:rPr>
        <w:t xml:space="preserve"> Member States </w:t>
      </w:r>
      <w:r>
        <w:rPr>
          <w:rFonts w:ascii="Times New Roman" w:hAnsi="Times New Roman"/>
          <w:sz w:val="24"/>
          <w:szCs w:val="24"/>
        </w:rPr>
        <w:t xml:space="preserve">have hit their </w:t>
      </w:r>
      <w:r w:rsidRPr="00182299">
        <w:rPr>
          <w:rFonts w:ascii="Times New Roman" w:hAnsi="Times New Roman"/>
          <w:sz w:val="24"/>
          <w:szCs w:val="24"/>
        </w:rPr>
        <w:t>renewable</w:t>
      </w:r>
      <w:r>
        <w:rPr>
          <w:rFonts w:ascii="Times New Roman" w:hAnsi="Times New Roman"/>
          <w:sz w:val="24"/>
          <w:szCs w:val="24"/>
        </w:rPr>
        <w:t xml:space="preserve"> energy targets. The</w:t>
      </w:r>
      <w:r w:rsidRPr="00244294">
        <w:rPr>
          <w:rFonts w:ascii="Times New Roman" w:hAnsi="Times New Roman"/>
          <w:sz w:val="24"/>
          <w:szCs w:val="24"/>
        </w:rPr>
        <w:t xml:space="preserve"> </w:t>
      </w:r>
      <w:r>
        <w:rPr>
          <w:rFonts w:ascii="Times New Roman" w:hAnsi="Times New Roman"/>
          <w:sz w:val="24"/>
          <w:szCs w:val="24"/>
        </w:rPr>
        <w:t xml:space="preserve">EU </w:t>
      </w:r>
      <w:r w:rsidRPr="00244294">
        <w:rPr>
          <w:rFonts w:ascii="Times New Roman" w:hAnsi="Times New Roman"/>
          <w:sz w:val="24"/>
          <w:szCs w:val="24"/>
        </w:rPr>
        <w:t>target of 75% employment</w:t>
      </w:r>
      <w:r>
        <w:rPr>
          <w:rFonts w:ascii="Times New Roman" w:hAnsi="Times New Roman"/>
          <w:sz w:val="24"/>
          <w:szCs w:val="24"/>
        </w:rPr>
        <w:t xml:space="preserve"> in 2020 is on track assuming the current trend continues and seven Member States have already attained their national goals. This is a remarkable achievement given the severe impact of the crisis on employment. However, the </w:t>
      </w:r>
      <w:r w:rsidRPr="008D0DFC">
        <w:rPr>
          <w:rFonts w:ascii="Times New Roman" w:hAnsi="Times New Roman"/>
          <w:sz w:val="24"/>
          <w:szCs w:val="24"/>
        </w:rPr>
        <w:t xml:space="preserve">number of the </w:t>
      </w:r>
      <w:r w:rsidRPr="0096647D">
        <w:rPr>
          <w:rFonts w:ascii="Times New Roman" w:hAnsi="Times New Roman"/>
          <w:sz w:val="24"/>
          <w:szCs w:val="24"/>
        </w:rPr>
        <w:t xml:space="preserve">people at </w:t>
      </w:r>
      <w:r w:rsidRPr="00A53EFE">
        <w:rPr>
          <w:rFonts w:ascii="Times New Roman" w:hAnsi="Times New Roman"/>
          <w:sz w:val="24"/>
          <w:szCs w:val="24"/>
        </w:rPr>
        <w:t xml:space="preserve">risk of poverty or social exclusion </w:t>
      </w:r>
      <w:r w:rsidRPr="00A53EFE">
        <w:rPr>
          <w:rFonts w:ascii="Times New Roman" w:hAnsi="Times New Roman"/>
          <w:sz w:val="24"/>
          <w:szCs w:val="24"/>
          <w:lang w:eastAsia="en-GB"/>
        </w:rPr>
        <w:t>peaked in 2012</w:t>
      </w:r>
      <w:r w:rsidRPr="008D0DFC">
        <w:rPr>
          <w:rFonts w:ascii="Times New Roman" w:hAnsi="Times New Roman"/>
          <w:sz w:val="24"/>
          <w:szCs w:val="24"/>
          <w:lang w:eastAsia="en-GB"/>
        </w:rPr>
        <w:t xml:space="preserve"> </w:t>
      </w:r>
      <w:r w:rsidRPr="00A53EFE">
        <w:rPr>
          <w:rFonts w:ascii="Times New Roman" w:hAnsi="Times New Roman"/>
          <w:sz w:val="24"/>
          <w:szCs w:val="24"/>
          <w:lang w:eastAsia="en-GB"/>
        </w:rPr>
        <w:t xml:space="preserve">and has since then decreased </w:t>
      </w:r>
      <w:r w:rsidRPr="008D0DFC">
        <w:rPr>
          <w:rFonts w:ascii="Times New Roman" w:hAnsi="Times New Roman"/>
          <w:sz w:val="24"/>
          <w:szCs w:val="24"/>
          <w:lang w:eastAsia="en-GB"/>
        </w:rPr>
        <w:t xml:space="preserve">to </w:t>
      </w:r>
      <w:r w:rsidRPr="00A53EFE">
        <w:rPr>
          <w:rFonts w:ascii="Times New Roman" w:hAnsi="Times New Roman"/>
          <w:sz w:val="24"/>
          <w:szCs w:val="24"/>
          <w:lang w:eastAsia="en-GB"/>
        </w:rPr>
        <w:t xml:space="preserve">around </w:t>
      </w:r>
      <w:r w:rsidRPr="008D0DFC">
        <w:rPr>
          <w:rFonts w:ascii="Times New Roman" w:hAnsi="Times New Roman"/>
          <w:sz w:val="24"/>
          <w:szCs w:val="24"/>
          <w:lang w:eastAsia="en-GB"/>
        </w:rPr>
        <w:t xml:space="preserve">pre-crisis </w:t>
      </w:r>
      <w:r>
        <w:rPr>
          <w:rFonts w:ascii="Times New Roman" w:hAnsi="Times New Roman"/>
          <w:sz w:val="24"/>
          <w:szCs w:val="24"/>
          <w:lang w:eastAsia="en-GB"/>
        </w:rPr>
        <w:t xml:space="preserve">levels. </w:t>
      </w:r>
      <w:r>
        <w:rPr>
          <w:rFonts w:ascii="Times New Roman" w:hAnsi="Times New Roman"/>
          <w:sz w:val="24"/>
          <w:szCs w:val="24"/>
        </w:rPr>
        <w:t>As a result, the target of lifting 20 million people out of poverty is unlikely to be met in 2020</w:t>
      </w:r>
      <w:r w:rsidRPr="00244294">
        <w:rPr>
          <w:rFonts w:ascii="Times New Roman" w:hAnsi="Times New Roman"/>
          <w:sz w:val="24"/>
          <w:szCs w:val="24"/>
        </w:rPr>
        <w:t>.</w:t>
      </w:r>
      <w:r w:rsidRPr="00F027DB">
        <w:rPr>
          <w:rFonts w:ascii="Times New Roman" w:hAnsi="Times New Roman"/>
          <w:sz w:val="24"/>
          <w:szCs w:val="24"/>
        </w:rPr>
        <w:t xml:space="preserve"> </w:t>
      </w:r>
      <w:r>
        <w:rPr>
          <w:rFonts w:ascii="Times New Roman" w:hAnsi="Times New Roman"/>
          <w:sz w:val="24"/>
          <w:szCs w:val="24"/>
        </w:rPr>
        <w:t xml:space="preserve">Likewise, the goal of </w:t>
      </w:r>
      <w:r w:rsidRPr="00F027DB">
        <w:rPr>
          <w:rFonts w:ascii="Times New Roman" w:hAnsi="Times New Roman"/>
          <w:sz w:val="24"/>
          <w:szCs w:val="24"/>
        </w:rPr>
        <w:t>3% of GDP</w:t>
      </w:r>
      <w:r>
        <w:rPr>
          <w:rFonts w:ascii="Times New Roman" w:hAnsi="Times New Roman"/>
          <w:sz w:val="24"/>
          <w:szCs w:val="24"/>
        </w:rPr>
        <w:t xml:space="preserve"> </w:t>
      </w:r>
      <w:r w:rsidRPr="00A52AEE">
        <w:rPr>
          <w:rFonts w:ascii="Times New Roman" w:hAnsi="Times New Roman"/>
          <w:sz w:val="24"/>
          <w:szCs w:val="24"/>
        </w:rPr>
        <w:t>investment in R&amp;D</w:t>
      </w:r>
      <w:r>
        <w:rPr>
          <w:rFonts w:ascii="Times New Roman" w:hAnsi="Times New Roman"/>
          <w:sz w:val="24"/>
          <w:szCs w:val="24"/>
        </w:rPr>
        <w:t xml:space="preserve"> is far from sight and n</w:t>
      </w:r>
      <w:r w:rsidRPr="00F027DB">
        <w:rPr>
          <w:rFonts w:ascii="Times New Roman" w:hAnsi="Times New Roman"/>
          <w:sz w:val="24"/>
          <w:szCs w:val="24"/>
        </w:rPr>
        <w:t>o effort</w:t>
      </w:r>
      <w:r>
        <w:rPr>
          <w:rFonts w:ascii="Times New Roman" w:hAnsi="Times New Roman"/>
          <w:sz w:val="24"/>
          <w:szCs w:val="24"/>
        </w:rPr>
        <w:t>s should be spared to reach it in time.</w:t>
      </w:r>
      <w:r>
        <w:rPr>
          <w:rStyle w:val="FootnoteReference"/>
          <w:rFonts w:ascii="Times New Roman" w:hAnsi="Times New Roman"/>
          <w:sz w:val="24"/>
          <w:szCs w:val="24"/>
        </w:rPr>
        <w:footnoteReference w:id="6"/>
      </w:r>
      <w:r w:rsidRPr="00251E28">
        <w:rPr>
          <w:rFonts w:ascii="Times New Roman" w:hAnsi="Times New Roman"/>
          <w:sz w:val="24"/>
          <w:szCs w:val="24"/>
        </w:rPr>
        <w:t xml:space="preserve"> </w:t>
      </w:r>
      <w:r w:rsidRPr="00244294">
        <w:rPr>
          <w:rFonts w:ascii="Times New Roman" w:hAnsi="Times New Roman"/>
          <w:sz w:val="24"/>
          <w:szCs w:val="24"/>
        </w:rPr>
        <w:t xml:space="preserve">Appendix 2 provides an overview of </w:t>
      </w:r>
      <w:r>
        <w:rPr>
          <w:rFonts w:ascii="Times New Roman" w:hAnsi="Times New Roman"/>
          <w:sz w:val="24"/>
          <w:szCs w:val="24"/>
        </w:rPr>
        <w:t>progress towards E</w:t>
      </w:r>
      <w:r w:rsidRPr="00244294">
        <w:rPr>
          <w:rFonts w:ascii="Times New Roman" w:hAnsi="Times New Roman"/>
          <w:sz w:val="24"/>
          <w:szCs w:val="24"/>
        </w:rPr>
        <w:t>urope 2020 targets.</w:t>
      </w:r>
    </w:p>
    <w:p w:rsidR="00CE59E1" w:rsidRPr="003D3208"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 xml:space="preserve">The EU has at its disposal a set of tools to support the Member States in implementing their reforms. </w:t>
      </w:r>
      <w:r w:rsidRPr="00FC4396">
        <w:rPr>
          <w:rFonts w:ascii="Times New Roman" w:hAnsi="Times New Roman"/>
          <w:sz w:val="24"/>
          <w:szCs w:val="24"/>
        </w:rPr>
        <w:t xml:space="preserve">The Structural Reform Support Programme </w:t>
      </w:r>
      <w:r>
        <w:rPr>
          <w:rFonts w:ascii="Times New Roman" w:hAnsi="Times New Roman"/>
          <w:sz w:val="24"/>
          <w:szCs w:val="24"/>
        </w:rPr>
        <w:t xml:space="preserve">(SRSP) offers </w:t>
      </w:r>
      <w:r w:rsidRPr="00FC4396">
        <w:rPr>
          <w:rFonts w:ascii="Times New Roman" w:hAnsi="Times New Roman"/>
          <w:sz w:val="24"/>
          <w:szCs w:val="24"/>
        </w:rPr>
        <w:t xml:space="preserve">hands-on technical </w:t>
      </w:r>
      <w:r>
        <w:rPr>
          <w:rFonts w:ascii="Times New Roman" w:hAnsi="Times New Roman"/>
          <w:sz w:val="24"/>
          <w:szCs w:val="24"/>
        </w:rPr>
        <w:t xml:space="preserve">support </w:t>
      </w:r>
      <w:r w:rsidRPr="00FC4396">
        <w:rPr>
          <w:rFonts w:ascii="Times New Roman" w:hAnsi="Times New Roman"/>
          <w:sz w:val="24"/>
          <w:szCs w:val="24"/>
        </w:rPr>
        <w:t xml:space="preserve">to </w:t>
      </w:r>
      <w:r>
        <w:rPr>
          <w:rFonts w:ascii="Times New Roman" w:hAnsi="Times New Roman"/>
          <w:sz w:val="24"/>
          <w:szCs w:val="24"/>
        </w:rPr>
        <w:t xml:space="preserve">all EU </w:t>
      </w:r>
      <w:r w:rsidRPr="00FC4396">
        <w:rPr>
          <w:rFonts w:ascii="Times New Roman" w:hAnsi="Times New Roman"/>
          <w:sz w:val="24"/>
          <w:szCs w:val="24"/>
        </w:rPr>
        <w:t xml:space="preserve">Member States, </w:t>
      </w:r>
      <w:r>
        <w:rPr>
          <w:rFonts w:ascii="Times New Roman" w:hAnsi="Times New Roman"/>
          <w:sz w:val="24"/>
          <w:szCs w:val="24"/>
        </w:rPr>
        <w:t>at their request, for the design and implementation of reforms, and especially in the follow-</w:t>
      </w:r>
      <w:r w:rsidRPr="00FC4396">
        <w:rPr>
          <w:rFonts w:ascii="Times New Roman" w:hAnsi="Times New Roman"/>
          <w:sz w:val="24"/>
          <w:szCs w:val="24"/>
        </w:rPr>
        <w:t xml:space="preserve">up </w:t>
      </w:r>
      <w:r>
        <w:rPr>
          <w:rFonts w:ascii="Times New Roman" w:hAnsi="Times New Roman"/>
          <w:sz w:val="24"/>
          <w:szCs w:val="24"/>
        </w:rPr>
        <w:t>to</w:t>
      </w:r>
      <w:r w:rsidRPr="00FC4396">
        <w:rPr>
          <w:rFonts w:ascii="Times New Roman" w:hAnsi="Times New Roman"/>
          <w:sz w:val="24"/>
          <w:szCs w:val="24"/>
        </w:rPr>
        <w:t xml:space="preserve"> </w:t>
      </w:r>
      <w:r>
        <w:rPr>
          <w:rFonts w:ascii="Times New Roman" w:hAnsi="Times New Roman"/>
          <w:sz w:val="24"/>
          <w:szCs w:val="24"/>
        </w:rPr>
        <w:t xml:space="preserve">the European Semester </w:t>
      </w:r>
      <w:r w:rsidRPr="00FC4396">
        <w:rPr>
          <w:rFonts w:ascii="Times New Roman" w:hAnsi="Times New Roman"/>
          <w:sz w:val="24"/>
          <w:szCs w:val="24"/>
        </w:rPr>
        <w:t>recommendations</w:t>
      </w:r>
      <w:r>
        <w:rPr>
          <w:rFonts w:ascii="Times New Roman" w:hAnsi="Times New Roman"/>
          <w:sz w:val="24"/>
          <w:szCs w:val="24"/>
        </w:rPr>
        <w:t>.</w:t>
      </w:r>
      <w:r>
        <w:rPr>
          <w:rStyle w:val="FootnoteReference"/>
          <w:rFonts w:ascii="Times New Roman" w:hAnsi="Times New Roman"/>
          <w:sz w:val="24"/>
          <w:szCs w:val="24"/>
        </w:rPr>
        <w:footnoteReference w:id="7"/>
      </w:r>
      <w:r>
        <w:rPr>
          <w:rFonts w:ascii="Times New Roman" w:hAnsi="Times New Roman"/>
          <w:sz w:val="24"/>
          <w:szCs w:val="24"/>
        </w:rPr>
        <w:t xml:space="preserve"> </w:t>
      </w:r>
      <w:r w:rsidRPr="004B6DE3">
        <w:rPr>
          <w:rFonts w:ascii="Times New Roman" w:hAnsi="Times New Roman"/>
          <w:sz w:val="24"/>
          <w:szCs w:val="24"/>
        </w:rPr>
        <w:t>The EU budget</w:t>
      </w:r>
      <w:r w:rsidR="00202C1C">
        <w:rPr>
          <w:rFonts w:ascii="Times New Roman" w:hAnsi="Times New Roman"/>
          <w:sz w:val="24"/>
          <w:szCs w:val="24"/>
        </w:rPr>
        <w:t>,</w:t>
      </w:r>
      <w:r>
        <w:rPr>
          <w:rFonts w:ascii="Times New Roman" w:hAnsi="Times New Roman"/>
          <w:sz w:val="24"/>
          <w:szCs w:val="24"/>
        </w:rPr>
        <w:t xml:space="preserve"> including through the European Structural and Investment Funds</w:t>
      </w:r>
      <w:r w:rsidR="00202C1C">
        <w:rPr>
          <w:rFonts w:ascii="Times New Roman" w:hAnsi="Times New Roman"/>
          <w:sz w:val="24"/>
          <w:szCs w:val="24"/>
        </w:rPr>
        <w:t>,</w:t>
      </w:r>
      <w:r w:rsidRPr="004B6DE3">
        <w:rPr>
          <w:rFonts w:ascii="Times New Roman" w:hAnsi="Times New Roman"/>
          <w:sz w:val="24"/>
          <w:szCs w:val="24"/>
        </w:rPr>
        <w:t xml:space="preserve"> </w:t>
      </w:r>
      <w:r w:rsidRPr="00F9452D">
        <w:rPr>
          <w:rFonts w:ascii="Times New Roman" w:hAnsi="Times New Roman"/>
          <w:sz w:val="24"/>
          <w:szCs w:val="24"/>
        </w:rPr>
        <w:t xml:space="preserve">is </w:t>
      </w:r>
      <w:r w:rsidRPr="004B6DE3">
        <w:rPr>
          <w:rFonts w:ascii="Times New Roman" w:hAnsi="Times New Roman"/>
          <w:sz w:val="24"/>
          <w:szCs w:val="24"/>
        </w:rPr>
        <w:t>prov</w:t>
      </w:r>
      <w:r w:rsidRPr="00F9452D">
        <w:rPr>
          <w:rFonts w:ascii="Times New Roman" w:hAnsi="Times New Roman"/>
          <w:sz w:val="24"/>
          <w:szCs w:val="24"/>
        </w:rPr>
        <w:t>ing to be</w:t>
      </w:r>
      <w:r w:rsidRPr="004B6DE3">
        <w:rPr>
          <w:rFonts w:ascii="Times New Roman" w:hAnsi="Times New Roman"/>
          <w:sz w:val="24"/>
          <w:szCs w:val="24"/>
        </w:rPr>
        <w:t xml:space="preserve"> a powerful instrument to support investment in cohesion, </w:t>
      </w:r>
      <w:r w:rsidRPr="003A1F62">
        <w:rPr>
          <w:rFonts w:ascii="Times New Roman" w:hAnsi="Times New Roman"/>
          <w:sz w:val="24"/>
          <w:szCs w:val="24"/>
        </w:rPr>
        <w:t xml:space="preserve">education and training, connectivity (transport, energy, and digital </w:t>
      </w:r>
      <w:r w:rsidR="004A0AEB">
        <w:rPr>
          <w:rFonts w:ascii="Times New Roman" w:hAnsi="Times New Roman"/>
          <w:sz w:val="24"/>
          <w:szCs w:val="24"/>
        </w:rPr>
        <w:t>infrastructure</w:t>
      </w:r>
      <w:r w:rsidR="00006F0E">
        <w:rPr>
          <w:rFonts w:ascii="Times New Roman" w:hAnsi="Times New Roman"/>
          <w:sz w:val="24"/>
          <w:szCs w:val="24"/>
        </w:rPr>
        <w:t xml:space="preserve"> – also in the context of the Connecting Europe Facility</w:t>
      </w:r>
      <w:r w:rsidRPr="003A1F62">
        <w:rPr>
          <w:rFonts w:ascii="Times New Roman" w:hAnsi="Times New Roman"/>
          <w:sz w:val="24"/>
          <w:szCs w:val="24"/>
        </w:rPr>
        <w:t>), innovation, environment and support to SMEs</w:t>
      </w:r>
      <w:r w:rsidRPr="00F9452D">
        <w:rPr>
          <w:rFonts w:ascii="Times New Roman" w:hAnsi="Times New Roman"/>
          <w:sz w:val="24"/>
          <w:szCs w:val="24"/>
        </w:rPr>
        <w:t>.</w:t>
      </w:r>
      <w:r w:rsidRPr="00FC4396">
        <w:rPr>
          <w:rFonts w:ascii="Times New Roman" w:hAnsi="Times New Roman"/>
          <w:sz w:val="24"/>
          <w:szCs w:val="24"/>
        </w:rPr>
        <w:t xml:space="preserve"> </w:t>
      </w:r>
      <w:r w:rsidRPr="00AC1A5B">
        <w:rPr>
          <w:rFonts w:ascii="Times New Roman" w:hAnsi="Times New Roman"/>
          <w:sz w:val="24"/>
          <w:szCs w:val="24"/>
        </w:rPr>
        <w:t xml:space="preserve">These </w:t>
      </w:r>
      <w:r>
        <w:rPr>
          <w:rFonts w:ascii="Times New Roman" w:hAnsi="Times New Roman"/>
          <w:sz w:val="24"/>
          <w:szCs w:val="24"/>
        </w:rPr>
        <w:t>funds</w:t>
      </w:r>
      <w:r w:rsidRPr="00AC1A5B">
        <w:rPr>
          <w:rFonts w:ascii="Times New Roman" w:hAnsi="Times New Roman"/>
          <w:sz w:val="24"/>
          <w:szCs w:val="24"/>
        </w:rPr>
        <w:t xml:space="preserve"> have also crucially contributed to improving the investment environment through ex-ante conditionalities. In 2017, the Commission completed assessing their fulfilment; the very few cases of non-fulfilment are being followed up</w:t>
      </w:r>
      <w:r>
        <w:rPr>
          <w:rFonts w:ascii="Times New Roman" w:hAnsi="Times New Roman"/>
          <w:sz w:val="24"/>
          <w:szCs w:val="24"/>
        </w:rPr>
        <w:t xml:space="preserve">. </w:t>
      </w:r>
      <w:r w:rsidRPr="00FC4396">
        <w:rPr>
          <w:rFonts w:ascii="Times New Roman" w:hAnsi="Times New Roman"/>
          <w:sz w:val="24"/>
          <w:szCs w:val="24"/>
        </w:rPr>
        <w:t xml:space="preserve">The European Fund for Strategic Investments (EFSI) </w:t>
      </w:r>
      <w:r>
        <w:rPr>
          <w:rFonts w:ascii="Times New Roman" w:hAnsi="Times New Roman"/>
          <w:sz w:val="24"/>
          <w:szCs w:val="24"/>
        </w:rPr>
        <w:t>plays</w:t>
      </w:r>
      <w:r w:rsidRPr="00FC4396">
        <w:rPr>
          <w:rFonts w:ascii="Times New Roman" w:hAnsi="Times New Roman"/>
          <w:sz w:val="24"/>
          <w:szCs w:val="24"/>
        </w:rPr>
        <w:t xml:space="preserve"> a major role in catal</w:t>
      </w:r>
      <w:r>
        <w:rPr>
          <w:rFonts w:ascii="Times New Roman" w:hAnsi="Times New Roman"/>
          <w:sz w:val="24"/>
          <w:szCs w:val="24"/>
        </w:rPr>
        <w:t xml:space="preserve">ysing private investment, showing </w:t>
      </w:r>
      <w:r w:rsidRPr="00FC4396">
        <w:rPr>
          <w:rFonts w:ascii="Times New Roman" w:hAnsi="Times New Roman"/>
          <w:sz w:val="24"/>
          <w:szCs w:val="24"/>
        </w:rPr>
        <w:t xml:space="preserve">how the EU budget can rapidly respond to challenges and create </w:t>
      </w:r>
      <w:r>
        <w:rPr>
          <w:rFonts w:ascii="Times New Roman" w:hAnsi="Times New Roman"/>
          <w:sz w:val="24"/>
          <w:szCs w:val="24"/>
        </w:rPr>
        <w:t xml:space="preserve">substantial </w:t>
      </w:r>
      <w:r w:rsidRPr="00FC4396">
        <w:rPr>
          <w:rFonts w:ascii="Times New Roman" w:hAnsi="Times New Roman"/>
          <w:sz w:val="24"/>
          <w:szCs w:val="24"/>
        </w:rPr>
        <w:t>leverage.</w:t>
      </w:r>
      <w:r>
        <w:rPr>
          <w:rStyle w:val="FootnoteReference"/>
          <w:rFonts w:ascii="Times New Roman" w:hAnsi="Times New Roman"/>
          <w:sz w:val="24"/>
          <w:szCs w:val="24"/>
        </w:rPr>
        <w:footnoteReference w:id="8"/>
      </w:r>
      <w:r w:rsidRPr="00FC4396">
        <w:rPr>
          <w:rFonts w:ascii="Times New Roman" w:hAnsi="Times New Roman"/>
          <w:sz w:val="24"/>
          <w:szCs w:val="24"/>
        </w:rPr>
        <w:t xml:space="preserve"> </w:t>
      </w:r>
    </w:p>
    <w:p w:rsidR="00CE59E1" w:rsidRPr="00F9452D" w:rsidRDefault="00CE59E1" w:rsidP="00CE59E1">
      <w:pPr>
        <w:pStyle w:val="CommentText"/>
      </w:pPr>
      <w:r w:rsidRPr="00F9452D">
        <w:rPr>
          <w:b/>
          <w:sz w:val="24"/>
          <w:szCs w:val="24"/>
        </w:rPr>
        <w:t xml:space="preserve">As part of the package on deepening </w:t>
      </w:r>
      <w:r>
        <w:rPr>
          <w:b/>
          <w:sz w:val="24"/>
          <w:szCs w:val="24"/>
        </w:rPr>
        <w:t xml:space="preserve">Europe's </w:t>
      </w:r>
      <w:r w:rsidRPr="00F9452D">
        <w:rPr>
          <w:b/>
          <w:sz w:val="24"/>
          <w:szCs w:val="24"/>
        </w:rPr>
        <w:t xml:space="preserve">Economic and Monetary Union presented on 6 December 2017, </w:t>
      </w:r>
      <w:r>
        <w:rPr>
          <w:b/>
          <w:sz w:val="24"/>
          <w:szCs w:val="24"/>
        </w:rPr>
        <w:t>the European Commission proposed a r</w:t>
      </w:r>
      <w:r w:rsidRPr="00FC4396">
        <w:rPr>
          <w:b/>
          <w:sz w:val="24"/>
          <w:szCs w:val="24"/>
        </w:rPr>
        <w:t xml:space="preserve">eform </w:t>
      </w:r>
      <w:r>
        <w:rPr>
          <w:b/>
          <w:sz w:val="24"/>
          <w:szCs w:val="24"/>
        </w:rPr>
        <w:t>d</w:t>
      </w:r>
      <w:r w:rsidRPr="00FC4396">
        <w:rPr>
          <w:b/>
          <w:sz w:val="24"/>
          <w:szCs w:val="24"/>
        </w:rPr>
        <w:t xml:space="preserve">elivery </w:t>
      </w:r>
      <w:r>
        <w:rPr>
          <w:b/>
          <w:sz w:val="24"/>
          <w:szCs w:val="24"/>
        </w:rPr>
        <w:t>t</w:t>
      </w:r>
      <w:r w:rsidRPr="00FC4396">
        <w:rPr>
          <w:b/>
          <w:sz w:val="24"/>
          <w:szCs w:val="24"/>
        </w:rPr>
        <w:t xml:space="preserve">ool </w:t>
      </w:r>
      <w:r>
        <w:rPr>
          <w:b/>
          <w:sz w:val="24"/>
          <w:szCs w:val="24"/>
        </w:rPr>
        <w:t>to further</w:t>
      </w:r>
      <w:r w:rsidRPr="00FC4396">
        <w:rPr>
          <w:b/>
          <w:sz w:val="24"/>
          <w:szCs w:val="24"/>
        </w:rPr>
        <w:t xml:space="preserve"> strengt</w:t>
      </w:r>
      <w:r>
        <w:rPr>
          <w:b/>
          <w:sz w:val="24"/>
          <w:szCs w:val="24"/>
        </w:rPr>
        <w:t>h</w:t>
      </w:r>
      <w:r w:rsidRPr="00FC4396">
        <w:rPr>
          <w:b/>
          <w:sz w:val="24"/>
          <w:szCs w:val="24"/>
        </w:rPr>
        <w:t xml:space="preserve">en </w:t>
      </w:r>
      <w:r>
        <w:rPr>
          <w:b/>
          <w:sz w:val="24"/>
          <w:szCs w:val="24"/>
        </w:rPr>
        <w:t>support to national reforms post 2020</w:t>
      </w:r>
      <w:r w:rsidRPr="00FC4396">
        <w:rPr>
          <w:b/>
          <w:sz w:val="24"/>
          <w:szCs w:val="24"/>
        </w:rPr>
        <w:t>.</w:t>
      </w:r>
      <w:r w:rsidRPr="001B135E">
        <w:rPr>
          <w:rStyle w:val="FootnoteReference"/>
          <w:color w:val="000000"/>
          <w:szCs w:val="24"/>
        </w:rPr>
        <w:t xml:space="preserve"> </w:t>
      </w:r>
      <w:r w:rsidRPr="00270565">
        <w:rPr>
          <w:rStyle w:val="FootnoteReference"/>
          <w:color w:val="000000"/>
          <w:szCs w:val="24"/>
        </w:rPr>
        <w:footnoteReference w:id="9"/>
      </w:r>
      <w:r w:rsidRPr="001B135E">
        <w:rPr>
          <w:sz w:val="24"/>
          <w:szCs w:val="24"/>
        </w:rPr>
        <w:t xml:space="preserve"> </w:t>
      </w:r>
      <w:r w:rsidRPr="00187403">
        <w:rPr>
          <w:sz w:val="24"/>
          <w:szCs w:val="24"/>
        </w:rPr>
        <w:t>I</w:t>
      </w:r>
      <w:r>
        <w:rPr>
          <w:sz w:val="24"/>
          <w:szCs w:val="24"/>
        </w:rPr>
        <w:t xml:space="preserve">t also proposed a </w:t>
      </w:r>
      <w:r w:rsidRPr="00187403">
        <w:rPr>
          <w:sz w:val="24"/>
          <w:szCs w:val="24"/>
        </w:rPr>
        <w:t>pilot phase until 2020</w:t>
      </w:r>
      <w:r w:rsidRPr="00FC4396">
        <w:rPr>
          <w:sz w:val="24"/>
          <w:szCs w:val="24"/>
        </w:rPr>
        <w:t xml:space="preserve">. </w:t>
      </w:r>
      <w:r>
        <w:rPr>
          <w:sz w:val="24"/>
          <w:szCs w:val="24"/>
        </w:rPr>
        <w:t xml:space="preserve">The Commission intends to present its more detailed ideas for the new reform delivery tool as part of its proposals for the post-2020 Multiannual Financial Framework. </w:t>
      </w:r>
    </w:p>
    <w:p w:rsidR="00CE59E1" w:rsidRPr="00CE59E1" w:rsidRDefault="00054060" w:rsidP="00CE59E1">
      <w:pPr>
        <w:pStyle w:val="Heading1"/>
        <w:tabs>
          <w:tab w:val="num" w:pos="850"/>
        </w:tabs>
        <w:ind w:left="850" w:hanging="850"/>
        <w:rPr>
          <w:rFonts w:eastAsia="Calibri"/>
        </w:rPr>
      </w:pPr>
      <w:r>
        <w:rPr>
          <w:rFonts w:eastAsia="Calibri"/>
        </w:rPr>
        <w:t>3.</w:t>
      </w:r>
      <w:r>
        <w:rPr>
          <w:rFonts w:eastAsia="Calibri"/>
        </w:rPr>
        <w:tab/>
      </w:r>
      <w:r w:rsidR="00CE59E1" w:rsidRPr="00CE59E1">
        <w:rPr>
          <w:rFonts w:eastAsia="Calibri"/>
        </w:rPr>
        <w:t>Addressing macroeconomic imbalances</w:t>
      </w:r>
    </w:p>
    <w:p w:rsidR="00CE59E1" w:rsidRPr="000B65F5" w:rsidRDefault="00CE59E1" w:rsidP="00CE59E1">
      <w:pPr>
        <w:spacing w:before="120" w:after="120" w:line="240" w:lineRule="auto"/>
        <w:jc w:val="both"/>
        <w:rPr>
          <w:rFonts w:ascii="Times New Roman" w:hAnsi="Times New Roman"/>
          <w:sz w:val="24"/>
          <w:szCs w:val="24"/>
        </w:rPr>
      </w:pPr>
      <w:r w:rsidRPr="005E11A1">
        <w:rPr>
          <w:rFonts w:ascii="Times New Roman" w:hAnsi="Times New Roman"/>
          <w:b/>
          <w:sz w:val="24"/>
          <w:szCs w:val="24"/>
        </w:rPr>
        <w:t xml:space="preserve">The Macroeconomic Imbalances Procedure </w:t>
      </w:r>
      <w:r w:rsidRPr="00F9452D">
        <w:rPr>
          <w:rFonts w:ascii="Times New Roman" w:hAnsi="Times New Roman"/>
          <w:b/>
          <w:sz w:val="24"/>
          <w:szCs w:val="24"/>
        </w:rPr>
        <w:t xml:space="preserve">aims at preventing the emergence of </w:t>
      </w:r>
      <w:r w:rsidRPr="005E11A1">
        <w:rPr>
          <w:rFonts w:ascii="Times New Roman" w:hAnsi="Times New Roman"/>
          <w:b/>
          <w:sz w:val="24"/>
          <w:szCs w:val="24"/>
        </w:rPr>
        <w:t xml:space="preserve">potentially harmful </w:t>
      </w:r>
      <w:r w:rsidRPr="00F9452D">
        <w:rPr>
          <w:rFonts w:ascii="Times New Roman" w:hAnsi="Times New Roman"/>
          <w:b/>
          <w:sz w:val="24"/>
          <w:szCs w:val="24"/>
        </w:rPr>
        <w:t xml:space="preserve">macroeconomic </w:t>
      </w:r>
      <w:r w:rsidRPr="005E11A1">
        <w:rPr>
          <w:rFonts w:ascii="Times New Roman" w:hAnsi="Times New Roman"/>
          <w:b/>
          <w:sz w:val="24"/>
          <w:szCs w:val="24"/>
        </w:rPr>
        <w:t>imbalances and</w:t>
      </w:r>
      <w:r w:rsidRPr="00F9452D">
        <w:rPr>
          <w:rFonts w:ascii="Times New Roman" w:hAnsi="Times New Roman"/>
          <w:b/>
          <w:sz w:val="24"/>
          <w:szCs w:val="24"/>
        </w:rPr>
        <w:t xml:space="preserve">, where such imbalances had been identified, to </w:t>
      </w:r>
      <w:r w:rsidRPr="005E11A1">
        <w:rPr>
          <w:rFonts w:ascii="Times New Roman" w:hAnsi="Times New Roman"/>
          <w:b/>
          <w:sz w:val="24"/>
          <w:szCs w:val="24"/>
        </w:rPr>
        <w:t xml:space="preserve">ensure </w:t>
      </w:r>
      <w:r w:rsidR="004C6193">
        <w:rPr>
          <w:rFonts w:ascii="Times New Roman" w:hAnsi="Times New Roman"/>
          <w:b/>
          <w:sz w:val="24"/>
          <w:szCs w:val="24"/>
        </w:rPr>
        <w:t xml:space="preserve">that </w:t>
      </w:r>
      <w:r w:rsidRPr="00F9452D">
        <w:rPr>
          <w:rFonts w:ascii="Times New Roman" w:hAnsi="Times New Roman"/>
          <w:b/>
          <w:sz w:val="24"/>
          <w:szCs w:val="24"/>
        </w:rPr>
        <w:t xml:space="preserve">Member States concerned take </w:t>
      </w:r>
      <w:r w:rsidRPr="005E11A1">
        <w:rPr>
          <w:rFonts w:ascii="Times New Roman" w:hAnsi="Times New Roman"/>
          <w:b/>
          <w:sz w:val="24"/>
          <w:szCs w:val="24"/>
        </w:rPr>
        <w:t xml:space="preserve">adequate </w:t>
      </w:r>
      <w:r w:rsidRPr="00F9452D">
        <w:rPr>
          <w:rFonts w:ascii="Times New Roman" w:hAnsi="Times New Roman"/>
          <w:b/>
          <w:sz w:val="24"/>
          <w:szCs w:val="24"/>
        </w:rPr>
        <w:t>action to correct them</w:t>
      </w:r>
      <w:r w:rsidRPr="005E11A1">
        <w:rPr>
          <w:rFonts w:ascii="Times New Roman" w:hAnsi="Times New Roman"/>
          <w:b/>
          <w:sz w:val="24"/>
          <w:szCs w:val="24"/>
        </w:rPr>
        <w:t>.</w:t>
      </w:r>
      <w:r>
        <w:rPr>
          <w:rFonts w:ascii="Times New Roman" w:hAnsi="Times New Roman"/>
          <w:sz w:val="24"/>
          <w:szCs w:val="24"/>
        </w:rPr>
        <w:t xml:space="preserve"> </w:t>
      </w:r>
      <w:r w:rsidR="004A0AEB">
        <w:rPr>
          <w:rFonts w:ascii="Times New Roman" w:hAnsi="Times New Roman"/>
          <w:sz w:val="24"/>
          <w:szCs w:val="24"/>
        </w:rPr>
        <w:t xml:space="preserve">Harmful macroeconomic imbalances can </w:t>
      </w:r>
      <w:r w:rsidR="004A0AEB" w:rsidRPr="00377C2E">
        <w:rPr>
          <w:rFonts w:ascii="Times New Roman" w:hAnsi="Times New Roman"/>
          <w:sz w:val="24"/>
          <w:szCs w:val="24"/>
        </w:rPr>
        <w:t>adversely affect economic stability in a particular Member State, the euro area, or the EU as a whole</w:t>
      </w:r>
      <w:r w:rsidR="004A0AEB">
        <w:rPr>
          <w:rFonts w:ascii="Times New Roman" w:hAnsi="Times New Roman"/>
          <w:sz w:val="24"/>
          <w:szCs w:val="24"/>
        </w:rPr>
        <w:t xml:space="preserve">. </w:t>
      </w:r>
      <w:r w:rsidR="00D72644" w:rsidRPr="00977E60">
        <w:rPr>
          <w:rFonts w:ascii="Times New Roman" w:hAnsi="Times New Roman"/>
          <w:sz w:val="24"/>
          <w:szCs w:val="24"/>
        </w:rPr>
        <w:t>This is why their timely and effective correction is so important.</w:t>
      </w:r>
      <w:r w:rsidR="00D72644" w:rsidRPr="00977E60">
        <w:rPr>
          <w:rFonts w:ascii="Times New Roman" w:eastAsia="Times New Roman" w:hAnsi="Times New Roman"/>
          <w:sz w:val="24"/>
          <w:szCs w:val="24"/>
          <w:lang w:eastAsia="en-GB"/>
        </w:rPr>
        <w:t xml:space="preserve"> </w:t>
      </w:r>
      <w:r>
        <w:rPr>
          <w:rFonts w:ascii="Times New Roman" w:hAnsi="Times New Roman"/>
          <w:sz w:val="24"/>
          <w:szCs w:val="24"/>
        </w:rPr>
        <w:t>The in-depth reviews provide a comprehensive analysis of the imbalances experienced by the Member States, allowing for the identification of remaining vulnerabilities and, in the broader context of the European Semester, the identification of remaining policy gaps.</w:t>
      </w:r>
    </w:p>
    <w:p w:rsidR="00CE59E1" w:rsidRDefault="00CE59E1" w:rsidP="00CE59E1">
      <w:pPr>
        <w:spacing w:before="120" w:after="120" w:line="240" w:lineRule="auto"/>
        <w:jc w:val="both"/>
        <w:rPr>
          <w:rFonts w:ascii="Times New Roman" w:eastAsia="Times New Roman" w:hAnsi="Times New Roman"/>
          <w:b/>
          <w:sz w:val="24"/>
          <w:szCs w:val="24"/>
          <w:lang w:eastAsia="en-GB"/>
        </w:rPr>
      </w:pPr>
      <w:r w:rsidRPr="006243D6">
        <w:rPr>
          <w:rFonts w:ascii="Times New Roman" w:hAnsi="Times New Roman"/>
          <w:b/>
          <w:sz w:val="24"/>
          <w:szCs w:val="24"/>
        </w:rPr>
        <w:t>The 2018 Alert Mechanism Report found that 12 Member States</w:t>
      </w:r>
      <w:r>
        <w:rPr>
          <w:rFonts w:ascii="Times New Roman" w:hAnsi="Times New Roman"/>
          <w:b/>
          <w:sz w:val="24"/>
          <w:szCs w:val="24"/>
        </w:rPr>
        <w:t>' macroeconomic imbalances</w:t>
      </w:r>
      <w:r w:rsidRPr="006243D6">
        <w:rPr>
          <w:rFonts w:ascii="Times New Roman" w:hAnsi="Times New Roman"/>
          <w:b/>
          <w:sz w:val="24"/>
          <w:szCs w:val="24"/>
        </w:rPr>
        <w:t xml:space="preserve"> warranted an in-depth review.</w:t>
      </w:r>
      <w:r w:rsidRPr="00A52AEE">
        <w:rPr>
          <w:rFonts w:ascii="Times New Roman" w:hAnsi="Times New Roman"/>
          <w:b/>
          <w:sz w:val="24"/>
          <w:szCs w:val="24"/>
        </w:rPr>
        <w:t xml:space="preserve"> </w:t>
      </w:r>
      <w:r w:rsidRPr="00A52AEE">
        <w:rPr>
          <w:rFonts w:ascii="Times New Roman" w:hAnsi="Times New Roman"/>
          <w:sz w:val="24"/>
          <w:szCs w:val="24"/>
        </w:rPr>
        <w:t>All of these countries</w:t>
      </w:r>
      <w:r>
        <w:rPr>
          <w:rFonts w:ascii="Times New Roman" w:hAnsi="Times New Roman"/>
          <w:sz w:val="24"/>
          <w:szCs w:val="24"/>
        </w:rPr>
        <w:t xml:space="preserve"> were considered</w:t>
      </w:r>
      <w:r w:rsidRPr="00A52AEE">
        <w:rPr>
          <w:rFonts w:ascii="Times New Roman" w:hAnsi="Times New Roman"/>
          <w:sz w:val="24"/>
          <w:szCs w:val="24"/>
        </w:rPr>
        <w:t xml:space="preserve"> </w:t>
      </w:r>
      <w:r>
        <w:rPr>
          <w:rFonts w:ascii="Times New Roman" w:hAnsi="Times New Roman"/>
          <w:sz w:val="24"/>
          <w:szCs w:val="24"/>
        </w:rPr>
        <w:t xml:space="preserve">as </w:t>
      </w:r>
      <w:r w:rsidRPr="00A52AEE">
        <w:rPr>
          <w:rFonts w:ascii="Times New Roman" w:hAnsi="Times New Roman"/>
          <w:sz w:val="24"/>
          <w:szCs w:val="24"/>
        </w:rPr>
        <w:t>experienc</w:t>
      </w:r>
      <w:r>
        <w:rPr>
          <w:rFonts w:ascii="Times New Roman" w:hAnsi="Times New Roman"/>
          <w:sz w:val="24"/>
          <w:szCs w:val="24"/>
        </w:rPr>
        <w:t>ing</w:t>
      </w:r>
      <w:r w:rsidRPr="00A52AEE">
        <w:rPr>
          <w:rFonts w:ascii="Times New Roman" w:hAnsi="Times New Roman"/>
          <w:sz w:val="24"/>
          <w:szCs w:val="24"/>
        </w:rPr>
        <w:t xml:space="preserve"> imbalances or excessive imbalances in 2017 in the context of the </w:t>
      </w:r>
      <w:r>
        <w:rPr>
          <w:rFonts w:ascii="Times New Roman" w:hAnsi="Times New Roman"/>
          <w:sz w:val="24"/>
          <w:szCs w:val="24"/>
        </w:rPr>
        <w:t>M</w:t>
      </w:r>
      <w:r w:rsidRPr="00A52AEE">
        <w:rPr>
          <w:rFonts w:ascii="Times New Roman" w:hAnsi="Times New Roman"/>
          <w:sz w:val="24"/>
          <w:szCs w:val="24"/>
        </w:rPr>
        <w:t xml:space="preserve">acroeconomic </w:t>
      </w:r>
      <w:r>
        <w:rPr>
          <w:rFonts w:ascii="Times New Roman" w:hAnsi="Times New Roman"/>
          <w:sz w:val="24"/>
          <w:szCs w:val="24"/>
        </w:rPr>
        <w:t>I</w:t>
      </w:r>
      <w:r w:rsidRPr="00A52AEE">
        <w:rPr>
          <w:rFonts w:ascii="Times New Roman" w:hAnsi="Times New Roman"/>
          <w:sz w:val="24"/>
          <w:szCs w:val="24"/>
        </w:rPr>
        <w:t>mbalance</w:t>
      </w:r>
      <w:r>
        <w:rPr>
          <w:rFonts w:ascii="Times New Roman" w:hAnsi="Times New Roman"/>
          <w:sz w:val="24"/>
          <w:szCs w:val="24"/>
        </w:rPr>
        <w:t>s</w:t>
      </w:r>
      <w:r w:rsidRPr="00A52AEE">
        <w:rPr>
          <w:rFonts w:ascii="Times New Roman" w:hAnsi="Times New Roman"/>
          <w:sz w:val="24"/>
          <w:szCs w:val="24"/>
        </w:rPr>
        <w:t xml:space="preserve"> </w:t>
      </w:r>
      <w:r>
        <w:rPr>
          <w:rFonts w:ascii="Times New Roman" w:hAnsi="Times New Roman"/>
          <w:sz w:val="24"/>
          <w:szCs w:val="24"/>
        </w:rPr>
        <w:t>P</w:t>
      </w:r>
      <w:r w:rsidRPr="00A52AEE">
        <w:rPr>
          <w:rFonts w:ascii="Times New Roman" w:hAnsi="Times New Roman"/>
          <w:sz w:val="24"/>
          <w:szCs w:val="24"/>
        </w:rPr>
        <w:t xml:space="preserve">rocedure. This </w:t>
      </w:r>
      <w:r>
        <w:rPr>
          <w:rFonts w:ascii="Times New Roman" w:hAnsi="Times New Roman"/>
          <w:sz w:val="24"/>
          <w:szCs w:val="24"/>
        </w:rPr>
        <w:t>categorisation</w:t>
      </w:r>
      <w:r w:rsidRPr="00A52AEE">
        <w:rPr>
          <w:rFonts w:ascii="Times New Roman" w:hAnsi="Times New Roman"/>
          <w:sz w:val="24"/>
          <w:szCs w:val="24"/>
        </w:rPr>
        <w:t xml:space="preserve"> has been supported by the Council in its conclusions on the Alert Mechanism Report</w:t>
      </w:r>
      <w:r w:rsidRPr="00E32E64">
        <w:rPr>
          <w:rFonts w:ascii="Times New Roman" w:hAnsi="Times New Roman"/>
          <w:sz w:val="24"/>
          <w:szCs w:val="24"/>
          <w:vertAlign w:val="superscript"/>
        </w:rPr>
        <w:footnoteReference w:id="10"/>
      </w:r>
      <w:r w:rsidRPr="00A52AEE">
        <w:rPr>
          <w:rFonts w:ascii="Times New Roman" w:hAnsi="Times New Roman"/>
          <w:sz w:val="24"/>
          <w:szCs w:val="24"/>
        </w:rPr>
        <w:t xml:space="preserve">. </w:t>
      </w:r>
      <w:r>
        <w:rPr>
          <w:rFonts w:ascii="Times New Roman" w:hAnsi="Times New Roman"/>
          <w:sz w:val="24"/>
          <w:szCs w:val="24"/>
        </w:rPr>
        <w:t>As every year,</w:t>
      </w:r>
      <w:r w:rsidRPr="00A52AEE">
        <w:rPr>
          <w:rFonts w:ascii="Times New Roman" w:hAnsi="Times New Roman"/>
          <w:sz w:val="24"/>
          <w:szCs w:val="24"/>
        </w:rPr>
        <w:t xml:space="preserve"> country reports analyse macroeconomic developments</w:t>
      </w:r>
      <w:r>
        <w:rPr>
          <w:rFonts w:ascii="Times New Roman" w:hAnsi="Times New Roman"/>
          <w:sz w:val="24"/>
          <w:szCs w:val="24"/>
        </w:rPr>
        <w:t>, the correction of imbalances</w:t>
      </w:r>
      <w:r w:rsidRPr="00A52AEE">
        <w:rPr>
          <w:rFonts w:ascii="Times New Roman" w:hAnsi="Times New Roman"/>
          <w:sz w:val="24"/>
          <w:szCs w:val="24"/>
        </w:rPr>
        <w:t xml:space="preserve"> and progress </w:t>
      </w:r>
      <w:r>
        <w:rPr>
          <w:rFonts w:ascii="Times New Roman" w:hAnsi="Times New Roman"/>
          <w:sz w:val="24"/>
          <w:szCs w:val="24"/>
        </w:rPr>
        <w:t xml:space="preserve">with the </w:t>
      </w:r>
      <w:r w:rsidRPr="00A52AEE">
        <w:rPr>
          <w:rFonts w:ascii="Times New Roman" w:hAnsi="Times New Roman"/>
          <w:sz w:val="24"/>
          <w:szCs w:val="24"/>
        </w:rPr>
        <w:t>response to relevant policy recommendations</w:t>
      </w:r>
      <w:r w:rsidRPr="002536A0">
        <w:rPr>
          <w:rFonts w:ascii="Times New Roman" w:hAnsi="Times New Roman"/>
          <w:sz w:val="24"/>
          <w:szCs w:val="24"/>
          <w:vertAlign w:val="superscript"/>
        </w:rPr>
        <w:footnoteReference w:id="11"/>
      </w:r>
      <w:r>
        <w:rPr>
          <w:rFonts w:ascii="Times New Roman" w:hAnsi="Times New Roman"/>
          <w:sz w:val="24"/>
          <w:szCs w:val="24"/>
        </w:rPr>
        <w:t>, also taking</w:t>
      </w:r>
      <w:r w:rsidRPr="00A52AEE">
        <w:rPr>
          <w:rFonts w:ascii="Times New Roman" w:hAnsi="Times New Roman"/>
          <w:sz w:val="24"/>
          <w:szCs w:val="24"/>
        </w:rPr>
        <w:t xml:space="preserve"> into account</w:t>
      </w:r>
      <w:r>
        <w:rPr>
          <w:rFonts w:ascii="Times New Roman" w:hAnsi="Times New Roman"/>
          <w:sz w:val="24"/>
          <w:szCs w:val="24"/>
        </w:rPr>
        <w:t xml:space="preserve"> </w:t>
      </w:r>
      <w:r w:rsidRPr="00A52AEE">
        <w:rPr>
          <w:rFonts w:ascii="Times New Roman" w:hAnsi="Times New Roman"/>
          <w:sz w:val="24"/>
          <w:szCs w:val="24"/>
        </w:rPr>
        <w:t>cross-border implications.</w:t>
      </w:r>
      <w:r w:rsidRPr="00CA3141">
        <w:rPr>
          <w:rFonts w:ascii="Times New Roman" w:eastAsia="Times New Roman" w:hAnsi="Times New Roman"/>
          <w:b/>
          <w:sz w:val="24"/>
          <w:szCs w:val="24"/>
          <w:lang w:eastAsia="en-GB"/>
        </w:rPr>
        <w:t xml:space="preserve"> </w:t>
      </w:r>
    </w:p>
    <w:p w:rsidR="00CE59E1" w:rsidRDefault="00CE59E1" w:rsidP="00CE59E1">
      <w:pPr>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b/>
          <w:sz w:val="24"/>
          <w:szCs w:val="24"/>
          <w:lang w:eastAsia="en-GB"/>
        </w:rPr>
        <w:t>Structural reforms implemented under the Macroeconomic Imbalance Procedure have paved the way for the rebalancing achieved. The current favourable economic momentum should be used to pursue them vigorously.</w:t>
      </w:r>
      <w:r w:rsidRPr="00132C81">
        <w:rPr>
          <w:rFonts w:ascii="Times New Roman" w:eastAsia="Times New Roman" w:hAnsi="Times New Roman"/>
          <w:b/>
          <w:sz w:val="24"/>
          <w:szCs w:val="24"/>
          <w:lang w:eastAsia="en-GB"/>
        </w:rPr>
        <w:t xml:space="preserve"> </w:t>
      </w:r>
      <w:r>
        <w:rPr>
          <w:rFonts w:ascii="Times New Roman" w:eastAsia="Times New Roman" w:hAnsi="Times New Roman"/>
          <w:sz w:val="24"/>
          <w:szCs w:val="24"/>
          <w:lang w:eastAsia="en-GB"/>
        </w:rPr>
        <w:t>T</w:t>
      </w:r>
      <w:r w:rsidRPr="00132C81">
        <w:rPr>
          <w:rFonts w:ascii="Times New Roman" w:eastAsia="Times New Roman" w:hAnsi="Times New Roman"/>
          <w:sz w:val="24"/>
          <w:szCs w:val="24"/>
          <w:lang w:eastAsia="en-GB"/>
        </w:rPr>
        <w:t xml:space="preserve">he recovery can contribute to </w:t>
      </w:r>
      <w:r>
        <w:rPr>
          <w:rFonts w:ascii="Times New Roman" w:eastAsia="Times New Roman" w:hAnsi="Times New Roman"/>
          <w:sz w:val="24"/>
          <w:szCs w:val="24"/>
          <w:lang w:eastAsia="en-GB"/>
        </w:rPr>
        <w:t xml:space="preserve">sustainably </w:t>
      </w:r>
      <w:r w:rsidRPr="00132C81">
        <w:rPr>
          <w:rFonts w:ascii="Times New Roman" w:eastAsia="Times New Roman" w:hAnsi="Times New Roman"/>
          <w:sz w:val="24"/>
          <w:szCs w:val="24"/>
          <w:lang w:eastAsia="en-GB"/>
        </w:rPr>
        <w:t xml:space="preserve">tackling imbalances only </w:t>
      </w:r>
      <w:r>
        <w:rPr>
          <w:rFonts w:ascii="Times New Roman" w:eastAsia="Times New Roman" w:hAnsi="Times New Roman"/>
          <w:sz w:val="24"/>
          <w:szCs w:val="24"/>
          <w:lang w:eastAsia="en-GB"/>
        </w:rPr>
        <w:t xml:space="preserve">through a continuation of reforms to support competitiveness, resilience and higher </w:t>
      </w:r>
      <w:r w:rsidRPr="00132C81">
        <w:rPr>
          <w:rFonts w:ascii="Times New Roman" w:eastAsia="Times New Roman" w:hAnsi="Times New Roman"/>
          <w:sz w:val="24"/>
          <w:szCs w:val="24"/>
          <w:lang w:eastAsia="en-GB"/>
        </w:rPr>
        <w:t xml:space="preserve">growth potential. </w:t>
      </w:r>
      <w:r w:rsidRPr="00F06A8D">
        <w:rPr>
          <w:rFonts w:ascii="Times New Roman" w:eastAsia="Times New Roman" w:hAnsi="Times New Roman"/>
          <w:sz w:val="24"/>
          <w:szCs w:val="24"/>
          <w:lang w:eastAsia="en-GB"/>
        </w:rPr>
        <w:t xml:space="preserve">Given the positive cyclical conditions, all Member States should prioritise reforms that increase </w:t>
      </w:r>
      <w:r>
        <w:rPr>
          <w:rFonts w:ascii="Times New Roman" w:eastAsia="Times New Roman" w:hAnsi="Times New Roman"/>
          <w:sz w:val="24"/>
          <w:szCs w:val="24"/>
          <w:lang w:eastAsia="en-GB"/>
        </w:rPr>
        <w:t xml:space="preserve">their </w:t>
      </w:r>
      <w:r w:rsidRPr="00F06A8D">
        <w:rPr>
          <w:rFonts w:ascii="Times New Roman" w:eastAsia="Times New Roman" w:hAnsi="Times New Roman"/>
          <w:sz w:val="24"/>
          <w:szCs w:val="24"/>
          <w:lang w:eastAsia="en-GB"/>
        </w:rPr>
        <w:t>growth potential, improve the institutional and business environment, remove bottlenecks to investment, support the creation of quality jobs and reduce inequality.</w:t>
      </w:r>
    </w:p>
    <w:p w:rsidR="00CE59E1" w:rsidRDefault="00CE59E1" w:rsidP="00CE59E1">
      <w:pPr>
        <w:spacing w:before="120" w:after="120" w:line="240" w:lineRule="auto"/>
        <w:jc w:val="both"/>
        <w:rPr>
          <w:rFonts w:ascii="Times New Roman" w:eastAsia="Times New Roman" w:hAnsi="Times New Roman"/>
          <w:sz w:val="24"/>
          <w:szCs w:val="24"/>
          <w:lang w:eastAsia="en-GB"/>
        </w:rPr>
      </w:pPr>
    </w:p>
    <w:p w:rsidR="00CE59E1" w:rsidRPr="00CE59E1" w:rsidRDefault="00054060" w:rsidP="00CE59E1">
      <w:pPr>
        <w:pStyle w:val="Heading2"/>
        <w:tabs>
          <w:tab w:val="num" w:pos="850"/>
        </w:tabs>
        <w:ind w:left="850" w:hanging="850"/>
        <w:rPr>
          <w:rFonts w:eastAsia="Calibri"/>
        </w:rPr>
      </w:pPr>
      <w:r>
        <w:rPr>
          <w:rFonts w:eastAsia="Calibri"/>
        </w:rPr>
        <w:t>3.1.</w:t>
      </w:r>
      <w:r>
        <w:rPr>
          <w:rFonts w:eastAsia="Calibri"/>
        </w:rPr>
        <w:tab/>
      </w:r>
      <w:r w:rsidR="00CE59E1" w:rsidRPr="00CE59E1">
        <w:rPr>
          <w:rFonts w:eastAsia="Calibri"/>
        </w:rPr>
        <w:t>Rebalancing in the EU and the euro area</w:t>
      </w:r>
    </w:p>
    <w:p w:rsidR="00CE59E1" w:rsidRPr="00460651" w:rsidRDefault="00CE59E1" w:rsidP="00CE59E1">
      <w:pPr>
        <w:spacing w:before="120" w:after="120" w:line="240" w:lineRule="auto"/>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 xml:space="preserve">The correction of macroeconomic imbalances continues to advance, supported by reforms and the economic expansion. Nevertheless, some vulnerabilities remain and new risks emerge. </w:t>
      </w:r>
      <w:r w:rsidRPr="00FB77BB">
        <w:rPr>
          <w:rFonts w:ascii="Times New Roman" w:eastAsia="Times New Roman" w:hAnsi="Times New Roman"/>
          <w:sz w:val="24"/>
          <w:szCs w:val="24"/>
          <w:lang w:eastAsia="en-GB"/>
        </w:rPr>
        <w:t xml:space="preserve">Progress in addressing external imbalances </w:t>
      </w:r>
      <w:r>
        <w:rPr>
          <w:rFonts w:ascii="Times New Roman" w:eastAsia="Times New Roman" w:hAnsi="Times New Roman"/>
          <w:sz w:val="24"/>
          <w:szCs w:val="24"/>
          <w:lang w:eastAsia="en-GB"/>
        </w:rPr>
        <w:t xml:space="preserve">has been uneven, with large current account deficits having been corrected, but with persistent </w:t>
      </w:r>
      <w:r w:rsidRPr="00FB77BB">
        <w:rPr>
          <w:rFonts w:ascii="Times New Roman" w:eastAsia="Times New Roman" w:hAnsi="Times New Roman"/>
          <w:sz w:val="24"/>
          <w:szCs w:val="24"/>
          <w:lang w:eastAsia="en-GB"/>
        </w:rPr>
        <w:t xml:space="preserve">large </w:t>
      </w:r>
      <w:r>
        <w:rPr>
          <w:rFonts w:ascii="Times New Roman" w:eastAsia="Times New Roman" w:hAnsi="Times New Roman"/>
          <w:sz w:val="24"/>
          <w:szCs w:val="24"/>
          <w:lang w:eastAsia="en-GB"/>
        </w:rPr>
        <w:t xml:space="preserve">current account </w:t>
      </w:r>
      <w:r w:rsidRPr="00FB77BB">
        <w:rPr>
          <w:rFonts w:ascii="Times New Roman" w:eastAsia="Times New Roman" w:hAnsi="Times New Roman"/>
          <w:sz w:val="24"/>
          <w:szCs w:val="24"/>
          <w:lang w:eastAsia="en-GB"/>
        </w:rPr>
        <w:t>surpluses</w:t>
      </w:r>
      <w:r>
        <w:rPr>
          <w:rFonts w:ascii="Times New Roman" w:eastAsia="Times New Roman" w:hAnsi="Times New Roman"/>
          <w:sz w:val="24"/>
          <w:szCs w:val="24"/>
          <w:lang w:eastAsia="en-GB"/>
        </w:rPr>
        <w:t>.  S</w:t>
      </w:r>
      <w:r w:rsidRPr="00FB77BB">
        <w:rPr>
          <w:rFonts w:ascii="Times New Roman" w:eastAsia="Times New Roman" w:hAnsi="Times New Roman"/>
          <w:sz w:val="24"/>
          <w:szCs w:val="24"/>
          <w:lang w:eastAsia="en-GB"/>
        </w:rPr>
        <w:t>tock imbalances</w:t>
      </w:r>
      <w:r>
        <w:rPr>
          <w:rFonts w:ascii="Times New Roman" w:eastAsia="Times New Roman" w:hAnsi="Times New Roman"/>
          <w:sz w:val="24"/>
          <w:szCs w:val="24"/>
          <w:lang w:eastAsia="en-GB"/>
        </w:rPr>
        <w:t xml:space="preserve"> – </w:t>
      </w:r>
      <w:r w:rsidRPr="00435E61">
        <w:rPr>
          <w:rFonts w:ascii="Times New Roman" w:eastAsia="Times New Roman" w:hAnsi="Times New Roman"/>
          <w:sz w:val="24"/>
          <w:szCs w:val="24"/>
          <w:lang w:eastAsia="en-GB"/>
        </w:rPr>
        <w:t xml:space="preserve">notably </w:t>
      </w:r>
      <w:r>
        <w:rPr>
          <w:rFonts w:ascii="Times New Roman" w:eastAsia="Times New Roman" w:hAnsi="Times New Roman"/>
          <w:sz w:val="24"/>
          <w:szCs w:val="24"/>
          <w:lang w:eastAsia="en-GB"/>
        </w:rPr>
        <w:t xml:space="preserve">private and public </w:t>
      </w:r>
      <w:r w:rsidRPr="00435E61">
        <w:rPr>
          <w:rFonts w:ascii="Times New Roman" w:eastAsia="Times New Roman" w:hAnsi="Times New Roman"/>
          <w:sz w:val="24"/>
          <w:szCs w:val="24"/>
          <w:lang w:eastAsia="en-GB"/>
        </w:rPr>
        <w:t xml:space="preserve">debt </w:t>
      </w:r>
      <w:r>
        <w:rPr>
          <w:rFonts w:ascii="Times New Roman" w:eastAsia="Times New Roman" w:hAnsi="Times New Roman"/>
          <w:sz w:val="24"/>
          <w:szCs w:val="24"/>
          <w:lang w:eastAsia="en-GB"/>
        </w:rPr>
        <w:t xml:space="preserve">levels </w:t>
      </w:r>
      <w:r w:rsidRPr="00435E61">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Pr="00FB77BB">
        <w:rPr>
          <w:rFonts w:ascii="Times New Roman" w:eastAsia="Times New Roman" w:hAnsi="Times New Roman"/>
          <w:sz w:val="24"/>
          <w:szCs w:val="24"/>
          <w:lang w:eastAsia="en-GB"/>
        </w:rPr>
        <w:t>are adjusting</w:t>
      </w:r>
      <w:r>
        <w:rPr>
          <w:rFonts w:ascii="Times New Roman" w:eastAsia="Times New Roman" w:hAnsi="Times New Roman"/>
          <w:sz w:val="24"/>
          <w:szCs w:val="24"/>
          <w:lang w:eastAsia="en-GB"/>
        </w:rPr>
        <w:t xml:space="preserve">, helped by </w:t>
      </w:r>
      <w:r w:rsidRPr="00FB77BB">
        <w:rPr>
          <w:rFonts w:ascii="Times New Roman" w:eastAsia="Times New Roman" w:hAnsi="Times New Roman"/>
          <w:sz w:val="24"/>
          <w:szCs w:val="24"/>
          <w:lang w:eastAsia="en-GB"/>
        </w:rPr>
        <w:t>nominal growth, but</w:t>
      </w:r>
      <w:r>
        <w:rPr>
          <w:rFonts w:ascii="Times New Roman" w:eastAsia="Times New Roman" w:hAnsi="Times New Roman"/>
          <w:sz w:val="24"/>
          <w:szCs w:val="24"/>
          <w:lang w:eastAsia="en-GB"/>
        </w:rPr>
        <w:t xml:space="preserve"> progress</w:t>
      </w:r>
      <w:r w:rsidRPr="00FB77BB">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is unequal.</w:t>
      </w:r>
      <w:r w:rsidRPr="008332B4">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Stocks of net foreign liabilities remain high in a number of countries. Given that internal and external stock imbalances only adjust slowly, despite recent improvements in flows, they remain a source of risks in many Member States. Mainly in countries without identified imbalances at present, there are s</w:t>
      </w:r>
      <w:r w:rsidRPr="00FB77BB">
        <w:rPr>
          <w:rFonts w:ascii="Times New Roman" w:eastAsia="Times New Roman" w:hAnsi="Times New Roman"/>
          <w:sz w:val="24"/>
          <w:szCs w:val="24"/>
          <w:lang w:eastAsia="en-GB"/>
        </w:rPr>
        <w:t xml:space="preserve">igns of </w:t>
      </w:r>
      <w:r>
        <w:rPr>
          <w:rFonts w:ascii="Times New Roman" w:eastAsia="Times New Roman" w:hAnsi="Times New Roman"/>
          <w:sz w:val="24"/>
          <w:szCs w:val="24"/>
          <w:lang w:eastAsia="en-GB"/>
        </w:rPr>
        <w:t xml:space="preserve">a possible </w:t>
      </w:r>
      <w:r w:rsidRPr="00FB77BB">
        <w:rPr>
          <w:rFonts w:ascii="Times New Roman" w:eastAsia="Times New Roman" w:hAnsi="Times New Roman"/>
          <w:sz w:val="24"/>
          <w:szCs w:val="24"/>
          <w:lang w:eastAsia="en-GB"/>
        </w:rPr>
        <w:t>overheating in housing prices</w:t>
      </w:r>
      <w:r>
        <w:rPr>
          <w:rFonts w:ascii="Times New Roman" w:eastAsia="Times New Roman" w:hAnsi="Times New Roman"/>
          <w:sz w:val="24"/>
          <w:szCs w:val="24"/>
          <w:lang w:eastAsia="en-GB"/>
        </w:rPr>
        <w:t xml:space="preserve">. </w:t>
      </w:r>
    </w:p>
    <w:p w:rsidR="00CE59E1" w:rsidRPr="00801BDA" w:rsidRDefault="00CE59E1" w:rsidP="00CE59E1">
      <w:pPr>
        <w:spacing w:before="120" w:after="120" w:line="240" w:lineRule="auto"/>
        <w:jc w:val="both"/>
        <w:rPr>
          <w:rFonts w:ascii="Times New Roman" w:eastAsia="Times New Roman" w:hAnsi="Times New Roman"/>
          <w:sz w:val="24"/>
          <w:szCs w:val="24"/>
          <w:lang w:eastAsia="en-GB"/>
        </w:rPr>
      </w:pPr>
      <w:r w:rsidRPr="00B43EF2">
        <w:rPr>
          <w:rFonts w:ascii="Times New Roman" w:eastAsia="Times New Roman" w:hAnsi="Times New Roman"/>
          <w:b/>
          <w:sz w:val="24"/>
          <w:szCs w:val="24"/>
          <w:lang w:eastAsia="en-GB"/>
        </w:rPr>
        <w:t>The current account surplus for the euro area as a whole has grown considerably over recent years.</w:t>
      </w:r>
      <w:r w:rsidRPr="00B355DF">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The euro area current account has stabilised and is forecast to stay around 3% of GDP until 2019. This large surplus has been </w:t>
      </w:r>
      <w:r w:rsidRPr="00E92E66">
        <w:rPr>
          <w:rFonts w:ascii="Times New Roman" w:eastAsia="Times New Roman" w:hAnsi="Times New Roman"/>
          <w:sz w:val="24"/>
          <w:szCs w:val="24"/>
          <w:lang w:eastAsia="en-GB"/>
        </w:rPr>
        <w:t xml:space="preserve">reflecting </w:t>
      </w:r>
      <w:r>
        <w:rPr>
          <w:rFonts w:ascii="Times New Roman" w:eastAsia="Times New Roman" w:hAnsi="Times New Roman"/>
          <w:sz w:val="24"/>
          <w:szCs w:val="24"/>
          <w:lang w:eastAsia="en-GB"/>
        </w:rPr>
        <w:t xml:space="preserve">weaknesses in </w:t>
      </w:r>
      <w:r w:rsidRPr="00E92E66">
        <w:rPr>
          <w:rFonts w:ascii="Times New Roman" w:eastAsia="Times New Roman" w:hAnsi="Times New Roman"/>
          <w:sz w:val="24"/>
          <w:szCs w:val="24"/>
          <w:lang w:eastAsia="en-GB"/>
        </w:rPr>
        <w:t>aggregate demand</w:t>
      </w:r>
      <w:r>
        <w:rPr>
          <w:rFonts w:ascii="Times New Roman" w:eastAsia="Times New Roman" w:hAnsi="Times New Roman"/>
          <w:sz w:val="24"/>
          <w:szCs w:val="24"/>
          <w:lang w:eastAsia="en-GB"/>
        </w:rPr>
        <w:t xml:space="preserve">, including sluggish wage growth, associated with below-potential economic output since </w:t>
      </w:r>
      <w:r w:rsidRPr="00426FC6">
        <w:rPr>
          <w:rFonts w:ascii="Times New Roman" w:eastAsia="Times New Roman" w:hAnsi="Times New Roman"/>
          <w:sz w:val="24"/>
          <w:szCs w:val="24"/>
          <w:lang w:eastAsia="en-GB"/>
        </w:rPr>
        <w:t>2009</w:t>
      </w:r>
      <w:r>
        <w:rPr>
          <w:rFonts w:ascii="Times New Roman" w:eastAsia="Times New Roman" w:hAnsi="Times New Roman"/>
          <w:sz w:val="24"/>
          <w:szCs w:val="24"/>
          <w:lang w:eastAsia="en-GB"/>
        </w:rPr>
        <w:t>. The output gap for the euro area is</w:t>
      </w:r>
      <w:r w:rsidRPr="00426FC6">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however </w:t>
      </w:r>
      <w:r w:rsidRPr="00426FC6">
        <w:rPr>
          <w:rFonts w:ascii="Times New Roman" w:eastAsia="Times New Roman" w:hAnsi="Times New Roman"/>
          <w:sz w:val="24"/>
          <w:szCs w:val="24"/>
          <w:lang w:eastAsia="en-GB"/>
        </w:rPr>
        <w:t xml:space="preserve">forecast to turn positive </w:t>
      </w:r>
      <w:r>
        <w:rPr>
          <w:rFonts w:ascii="Times New Roman" w:eastAsia="Times New Roman" w:hAnsi="Times New Roman"/>
          <w:sz w:val="24"/>
          <w:szCs w:val="24"/>
          <w:lang w:eastAsia="en-GB"/>
        </w:rPr>
        <w:t xml:space="preserve">in </w:t>
      </w:r>
      <w:r w:rsidRPr="00426FC6">
        <w:rPr>
          <w:rFonts w:ascii="Times New Roman" w:eastAsia="Times New Roman" w:hAnsi="Times New Roman"/>
          <w:sz w:val="24"/>
          <w:szCs w:val="24"/>
          <w:lang w:eastAsia="en-GB"/>
        </w:rPr>
        <w:t>2018</w:t>
      </w:r>
      <w:r>
        <w:rPr>
          <w:rFonts w:ascii="Times New Roman" w:eastAsia="Times New Roman" w:hAnsi="Times New Roman"/>
          <w:sz w:val="24"/>
          <w:szCs w:val="24"/>
          <w:lang w:eastAsia="en-GB"/>
        </w:rPr>
        <w:t xml:space="preserve"> but Euro-area wide </w:t>
      </w:r>
      <w:r w:rsidRPr="00B91BDA">
        <w:rPr>
          <w:rFonts w:ascii="Times New Roman" w:eastAsia="Times New Roman" w:hAnsi="Times New Roman"/>
          <w:sz w:val="24"/>
          <w:szCs w:val="24"/>
          <w:lang w:eastAsia="en-GB"/>
        </w:rPr>
        <w:t>economic slack</w:t>
      </w:r>
      <w:r>
        <w:rPr>
          <w:rFonts w:ascii="Times New Roman" w:eastAsia="Times New Roman" w:hAnsi="Times New Roman"/>
          <w:sz w:val="24"/>
          <w:szCs w:val="24"/>
          <w:lang w:eastAsia="en-GB"/>
        </w:rPr>
        <w:t xml:space="preserve"> has underpinned </w:t>
      </w:r>
      <w:r w:rsidRPr="00426FC6">
        <w:rPr>
          <w:rFonts w:ascii="Times New Roman" w:eastAsia="Times New Roman" w:hAnsi="Times New Roman"/>
          <w:sz w:val="24"/>
          <w:szCs w:val="24"/>
          <w:lang w:eastAsia="en-GB"/>
        </w:rPr>
        <w:t>inflation below the target of monetary authorities</w:t>
      </w:r>
      <w:r>
        <w:rPr>
          <w:rFonts w:ascii="Times New Roman" w:eastAsia="Times New Roman" w:hAnsi="Times New Roman"/>
          <w:sz w:val="24"/>
          <w:szCs w:val="24"/>
          <w:lang w:eastAsia="en-GB"/>
        </w:rPr>
        <w:t xml:space="preserve">, which also reflects subdued wage growth despite tightening labour markets. The evolution of the euro area current account surplus is also linked to the dynamics of euro area exports, building on the competiveness of European producers and supportive global demand for European goods and services. </w:t>
      </w:r>
    </w:p>
    <w:p w:rsidR="00CE59E1" w:rsidRDefault="00CE59E1" w:rsidP="00CE59E1">
      <w:pPr>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b/>
          <w:sz w:val="24"/>
          <w:szCs w:val="24"/>
          <w:lang w:eastAsia="en-GB"/>
        </w:rPr>
        <w:t>The</w:t>
      </w:r>
      <w:r w:rsidRPr="00B91BDA">
        <w:rPr>
          <w:rFonts w:ascii="Times New Roman" w:eastAsia="Times New Roman" w:hAnsi="Times New Roman"/>
          <w:b/>
          <w:sz w:val="24"/>
          <w:szCs w:val="24"/>
          <w:lang w:eastAsia="en-GB"/>
        </w:rPr>
        <w:t xml:space="preserve"> deleveraging</w:t>
      </w:r>
      <w:r>
        <w:rPr>
          <w:rFonts w:ascii="Times New Roman" w:eastAsia="Times New Roman" w:hAnsi="Times New Roman"/>
          <w:b/>
          <w:sz w:val="24"/>
          <w:szCs w:val="24"/>
          <w:lang w:eastAsia="en-GB"/>
        </w:rPr>
        <w:t xml:space="preserve"> of private debt</w:t>
      </w:r>
      <w:r w:rsidRPr="00F873C0">
        <w:rPr>
          <w:rFonts w:ascii="Times New Roman" w:eastAsia="Times New Roman" w:hAnsi="Times New Roman"/>
          <w:b/>
          <w:sz w:val="24"/>
          <w:szCs w:val="24"/>
          <w:lang w:eastAsia="en-GB"/>
        </w:rPr>
        <w:t xml:space="preserve"> is ongoing</w:t>
      </w:r>
      <w:r>
        <w:rPr>
          <w:rFonts w:ascii="Times New Roman" w:eastAsia="Times New Roman" w:hAnsi="Times New Roman"/>
          <w:b/>
          <w:sz w:val="24"/>
          <w:szCs w:val="24"/>
          <w:lang w:eastAsia="en-GB"/>
        </w:rPr>
        <w:t>, at uneven pace</w:t>
      </w:r>
      <w:r>
        <w:rPr>
          <w:rFonts w:ascii="Times New Roman" w:eastAsia="Times New Roman" w:hAnsi="Times New Roman"/>
          <w:sz w:val="24"/>
          <w:szCs w:val="24"/>
          <w:lang w:eastAsia="en-GB"/>
        </w:rPr>
        <w:t xml:space="preserve">. </w:t>
      </w:r>
      <w:r w:rsidRPr="00F873C0">
        <w:rPr>
          <w:rFonts w:ascii="Times New Roman" w:eastAsia="Times New Roman" w:hAnsi="Times New Roman"/>
          <w:sz w:val="24"/>
          <w:szCs w:val="24"/>
          <w:lang w:eastAsia="en-GB"/>
        </w:rPr>
        <w:t>Persistent</w:t>
      </w:r>
      <w:r>
        <w:rPr>
          <w:rFonts w:ascii="Times New Roman" w:eastAsia="Times New Roman" w:hAnsi="Times New Roman"/>
          <w:sz w:val="24"/>
          <w:szCs w:val="24"/>
          <w:lang w:eastAsia="en-GB"/>
        </w:rPr>
        <w:t>ly</w:t>
      </w:r>
      <w:r w:rsidRPr="00F873C0">
        <w:rPr>
          <w:rFonts w:ascii="Times New Roman" w:eastAsia="Times New Roman" w:hAnsi="Times New Roman"/>
          <w:sz w:val="24"/>
          <w:szCs w:val="24"/>
          <w:lang w:eastAsia="en-GB"/>
        </w:rPr>
        <w:t xml:space="preserve"> high private debt in a number of countries, often compounded by high government debt, </w:t>
      </w:r>
      <w:r>
        <w:rPr>
          <w:rFonts w:ascii="Times New Roman" w:eastAsia="Times New Roman" w:hAnsi="Times New Roman"/>
          <w:sz w:val="24"/>
          <w:szCs w:val="24"/>
          <w:lang w:eastAsia="en-GB"/>
        </w:rPr>
        <w:t>is constraining investment and reduces the room to weather potential shocks</w:t>
      </w:r>
      <w:r w:rsidRPr="00F873C0">
        <w:rPr>
          <w:rFonts w:ascii="Times New Roman" w:eastAsia="Times New Roman" w:hAnsi="Times New Roman"/>
          <w:sz w:val="24"/>
          <w:szCs w:val="24"/>
          <w:lang w:eastAsia="en-GB"/>
        </w:rPr>
        <w:t>.</w:t>
      </w:r>
      <w:r w:rsidRPr="00F873C0">
        <w:t xml:space="preserve"> </w:t>
      </w:r>
      <w:r w:rsidRPr="00F873C0">
        <w:rPr>
          <w:rFonts w:ascii="Times New Roman" w:eastAsia="Times New Roman" w:hAnsi="Times New Roman"/>
          <w:sz w:val="24"/>
          <w:szCs w:val="24"/>
          <w:lang w:eastAsia="en-GB"/>
        </w:rPr>
        <w:t>Reductions in debt-to-GDP ra</w:t>
      </w:r>
      <w:r>
        <w:rPr>
          <w:rFonts w:ascii="Times New Roman" w:eastAsia="Times New Roman" w:hAnsi="Times New Roman"/>
          <w:sz w:val="24"/>
          <w:szCs w:val="24"/>
          <w:lang w:eastAsia="en-GB"/>
        </w:rPr>
        <w:t xml:space="preserve">tios, including government debt ratios, are increasingly benefiting from higher </w:t>
      </w:r>
      <w:r w:rsidRPr="00F873C0">
        <w:rPr>
          <w:rFonts w:ascii="Times New Roman" w:eastAsia="Times New Roman" w:hAnsi="Times New Roman"/>
          <w:sz w:val="24"/>
          <w:szCs w:val="24"/>
          <w:lang w:eastAsia="en-GB"/>
        </w:rPr>
        <w:t>nominal growth</w:t>
      </w:r>
      <w:r>
        <w:rPr>
          <w:rFonts w:ascii="Times New Roman" w:eastAsia="Times New Roman" w:hAnsi="Times New Roman"/>
          <w:sz w:val="24"/>
          <w:szCs w:val="24"/>
          <w:lang w:eastAsia="en-GB"/>
        </w:rPr>
        <w:t>, while borrowing by households and non-financial corporations is edging up.</w:t>
      </w:r>
      <w:r w:rsidRPr="00F873C0">
        <w:t xml:space="preserve"> </w:t>
      </w:r>
      <w:r w:rsidRPr="00F873C0">
        <w:rPr>
          <w:rFonts w:ascii="Times New Roman" w:eastAsia="Times New Roman" w:hAnsi="Times New Roman"/>
          <w:sz w:val="24"/>
          <w:szCs w:val="24"/>
          <w:lang w:eastAsia="en-GB"/>
        </w:rPr>
        <w:t>Deleveraging has been faster in the corporate than in the household sector in most Member States</w:t>
      </w:r>
      <w:r>
        <w:rPr>
          <w:rFonts w:ascii="Times New Roman" w:eastAsia="Times New Roman" w:hAnsi="Times New Roman"/>
          <w:sz w:val="24"/>
          <w:szCs w:val="24"/>
          <w:lang w:eastAsia="en-GB"/>
        </w:rPr>
        <w:t>.</w:t>
      </w:r>
      <w:r w:rsidRPr="00F873C0">
        <w:t xml:space="preserve"> </w:t>
      </w:r>
      <w:r>
        <w:rPr>
          <w:rFonts w:ascii="Times New Roman" w:eastAsia="Times New Roman" w:hAnsi="Times New Roman"/>
          <w:sz w:val="24"/>
          <w:szCs w:val="24"/>
          <w:lang w:eastAsia="en-GB"/>
        </w:rPr>
        <w:t xml:space="preserve">Some high </w:t>
      </w:r>
      <w:r w:rsidRPr="00F873C0">
        <w:rPr>
          <w:rFonts w:ascii="Times New Roman" w:eastAsia="Times New Roman" w:hAnsi="Times New Roman"/>
          <w:sz w:val="24"/>
          <w:szCs w:val="24"/>
          <w:lang w:eastAsia="en-GB"/>
        </w:rPr>
        <w:t xml:space="preserve">debt countries </w:t>
      </w:r>
      <w:r>
        <w:rPr>
          <w:rFonts w:ascii="Times New Roman" w:eastAsia="Times New Roman" w:hAnsi="Times New Roman"/>
          <w:sz w:val="24"/>
          <w:szCs w:val="24"/>
          <w:lang w:eastAsia="en-GB"/>
        </w:rPr>
        <w:t xml:space="preserve">are </w:t>
      </w:r>
      <w:r w:rsidRPr="00F873C0">
        <w:rPr>
          <w:rFonts w:ascii="Times New Roman" w:eastAsia="Times New Roman" w:hAnsi="Times New Roman"/>
          <w:sz w:val="24"/>
          <w:szCs w:val="24"/>
          <w:lang w:eastAsia="en-GB"/>
        </w:rPr>
        <w:t xml:space="preserve">reducing their liabilities more slowly than </w:t>
      </w:r>
      <w:r>
        <w:rPr>
          <w:rFonts w:ascii="Times New Roman" w:eastAsia="Times New Roman" w:hAnsi="Times New Roman"/>
          <w:sz w:val="24"/>
          <w:szCs w:val="24"/>
          <w:lang w:eastAsia="en-GB"/>
        </w:rPr>
        <w:t xml:space="preserve">low debt countries. Moreover, in most high debt countries, government </w:t>
      </w:r>
      <w:r w:rsidRPr="00F873C0">
        <w:rPr>
          <w:rFonts w:ascii="Times New Roman" w:eastAsia="Times New Roman" w:hAnsi="Times New Roman"/>
          <w:sz w:val="24"/>
          <w:szCs w:val="24"/>
          <w:lang w:eastAsia="en-GB"/>
        </w:rPr>
        <w:t xml:space="preserve">debt </w:t>
      </w:r>
      <w:r>
        <w:rPr>
          <w:rFonts w:ascii="Times New Roman" w:eastAsia="Times New Roman" w:hAnsi="Times New Roman"/>
          <w:sz w:val="24"/>
          <w:szCs w:val="24"/>
          <w:lang w:eastAsia="en-GB"/>
        </w:rPr>
        <w:t>has</w:t>
      </w:r>
      <w:r w:rsidRPr="00F873C0">
        <w:rPr>
          <w:rFonts w:ascii="Times New Roman" w:eastAsia="Times New Roman" w:hAnsi="Times New Roman"/>
          <w:sz w:val="24"/>
          <w:szCs w:val="24"/>
          <w:lang w:eastAsia="en-GB"/>
        </w:rPr>
        <w:t xml:space="preserve"> only recently </w:t>
      </w:r>
      <w:r>
        <w:rPr>
          <w:rFonts w:ascii="Times New Roman" w:eastAsia="Times New Roman" w:hAnsi="Times New Roman"/>
          <w:sz w:val="24"/>
          <w:szCs w:val="24"/>
          <w:lang w:eastAsia="en-GB"/>
        </w:rPr>
        <w:t xml:space="preserve">started </w:t>
      </w:r>
      <w:r w:rsidRPr="00F873C0">
        <w:rPr>
          <w:rFonts w:ascii="Times New Roman" w:eastAsia="Times New Roman" w:hAnsi="Times New Roman"/>
          <w:sz w:val="24"/>
          <w:szCs w:val="24"/>
          <w:lang w:eastAsia="en-GB"/>
        </w:rPr>
        <w:t>declining</w:t>
      </w:r>
      <w:r>
        <w:rPr>
          <w:rFonts w:ascii="Times New Roman" w:eastAsia="Times New Roman" w:hAnsi="Times New Roman"/>
          <w:sz w:val="24"/>
          <w:szCs w:val="24"/>
          <w:lang w:eastAsia="en-GB"/>
        </w:rPr>
        <w:t>.</w:t>
      </w:r>
    </w:p>
    <w:p w:rsidR="00CE59E1" w:rsidRDefault="00CE59E1" w:rsidP="00CE59E1">
      <w:pPr>
        <w:spacing w:before="120" w:after="120" w:line="240" w:lineRule="auto"/>
        <w:jc w:val="both"/>
        <w:rPr>
          <w:rFonts w:ascii="Times New Roman" w:eastAsia="Times New Roman" w:hAnsi="Times New Roman"/>
          <w:sz w:val="24"/>
          <w:szCs w:val="24"/>
          <w:lang w:eastAsia="en-GB"/>
        </w:rPr>
      </w:pPr>
      <w:r w:rsidRPr="00E82474">
        <w:rPr>
          <w:rFonts w:ascii="Times New Roman" w:eastAsia="Times New Roman" w:hAnsi="Times New Roman"/>
          <w:b/>
          <w:sz w:val="24"/>
          <w:szCs w:val="24"/>
          <w:lang w:eastAsia="en-GB"/>
        </w:rPr>
        <w:t xml:space="preserve">The situation of the banking sector has improved </w:t>
      </w:r>
      <w:r>
        <w:rPr>
          <w:rFonts w:ascii="Times New Roman" w:eastAsia="Times New Roman" w:hAnsi="Times New Roman"/>
          <w:b/>
          <w:sz w:val="24"/>
          <w:szCs w:val="24"/>
          <w:lang w:eastAsia="en-GB"/>
        </w:rPr>
        <w:t xml:space="preserve">significantly </w:t>
      </w:r>
      <w:r w:rsidRPr="00E82474">
        <w:rPr>
          <w:rFonts w:ascii="Times New Roman" w:eastAsia="Times New Roman" w:hAnsi="Times New Roman"/>
          <w:b/>
          <w:sz w:val="24"/>
          <w:szCs w:val="24"/>
          <w:lang w:eastAsia="en-GB"/>
        </w:rPr>
        <w:t>but continues to face challenges</w:t>
      </w:r>
      <w:r>
        <w:rPr>
          <w:rFonts w:ascii="Times New Roman" w:eastAsia="Times New Roman" w:hAnsi="Times New Roman"/>
          <w:b/>
          <w:sz w:val="24"/>
          <w:szCs w:val="24"/>
          <w:lang w:eastAsia="en-GB"/>
        </w:rPr>
        <w:t>.</w:t>
      </w:r>
      <w:r>
        <w:rPr>
          <w:rFonts w:ascii="Times New Roman" w:eastAsia="Times New Roman" w:hAnsi="Times New Roman"/>
          <w:sz w:val="24"/>
          <w:szCs w:val="24"/>
          <w:lang w:eastAsia="en-GB"/>
        </w:rPr>
        <w:t xml:space="preserve"> </w:t>
      </w:r>
      <w:r w:rsidRPr="00E82474">
        <w:rPr>
          <w:rFonts w:ascii="Times New Roman" w:eastAsia="Times New Roman" w:hAnsi="Times New Roman"/>
          <w:sz w:val="24"/>
          <w:szCs w:val="24"/>
          <w:lang w:eastAsia="en-GB"/>
        </w:rPr>
        <w:t xml:space="preserve">Most Member States </w:t>
      </w:r>
      <w:r>
        <w:rPr>
          <w:rFonts w:ascii="Times New Roman" w:eastAsia="Times New Roman" w:hAnsi="Times New Roman"/>
          <w:sz w:val="24"/>
          <w:szCs w:val="24"/>
          <w:lang w:eastAsia="en-GB"/>
        </w:rPr>
        <w:t xml:space="preserve">have lately </w:t>
      </w:r>
      <w:r w:rsidRPr="00E82474">
        <w:rPr>
          <w:rFonts w:ascii="Times New Roman" w:eastAsia="Times New Roman" w:hAnsi="Times New Roman"/>
          <w:sz w:val="24"/>
          <w:szCs w:val="24"/>
          <w:lang w:eastAsia="en-GB"/>
        </w:rPr>
        <w:t xml:space="preserve">witnessed </w:t>
      </w:r>
      <w:r>
        <w:rPr>
          <w:rFonts w:ascii="Times New Roman" w:eastAsia="Times New Roman" w:hAnsi="Times New Roman"/>
          <w:sz w:val="24"/>
          <w:szCs w:val="24"/>
          <w:lang w:eastAsia="en-GB"/>
        </w:rPr>
        <w:t xml:space="preserve">notable </w:t>
      </w:r>
      <w:r w:rsidRPr="00E82474">
        <w:rPr>
          <w:rFonts w:ascii="Times New Roman" w:eastAsia="Times New Roman" w:hAnsi="Times New Roman"/>
          <w:sz w:val="24"/>
          <w:szCs w:val="24"/>
          <w:lang w:eastAsia="en-GB"/>
        </w:rPr>
        <w:t>improvements in capital ratios</w:t>
      </w:r>
      <w:r>
        <w:rPr>
          <w:rFonts w:ascii="Times New Roman" w:eastAsia="Times New Roman" w:hAnsi="Times New Roman"/>
          <w:sz w:val="24"/>
          <w:szCs w:val="24"/>
          <w:lang w:eastAsia="en-GB"/>
        </w:rPr>
        <w:t xml:space="preserve"> and </w:t>
      </w:r>
      <w:r w:rsidRPr="00E82474">
        <w:rPr>
          <w:rFonts w:ascii="Times New Roman" w:eastAsia="Times New Roman" w:hAnsi="Times New Roman"/>
          <w:sz w:val="24"/>
          <w:szCs w:val="24"/>
          <w:lang w:eastAsia="en-GB"/>
        </w:rPr>
        <w:t xml:space="preserve">stocks of </w:t>
      </w:r>
      <w:r>
        <w:rPr>
          <w:rFonts w:ascii="Times New Roman" w:eastAsia="Times New Roman" w:hAnsi="Times New Roman"/>
          <w:sz w:val="24"/>
          <w:szCs w:val="24"/>
          <w:lang w:eastAsia="en-GB"/>
        </w:rPr>
        <w:t>non-performing loans have also been falling significantly.</w:t>
      </w:r>
      <w:r>
        <w:rPr>
          <w:rStyle w:val="FootnoteReference"/>
          <w:rFonts w:ascii="Times New Roman" w:eastAsia="Times New Roman" w:hAnsi="Times New Roman"/>
          <w:sz w:val="24"/>
          <w:szCs w:val="24"/>
          <w:lang w:eastAsia="en-GB"/>
        </w:rPr>
        <w:footnoteReference w:id="12"/>
      </w:r>
      <w:r>
        <w:rPr>
          <w:rFonts w:ascii="Times New Roman" w:eastAsia="Times New Roman" w:hAnsi="Times New Roman"/>
          <w:sz w:val="24"/>
          <w:szCs w:val="24"/>
          <w:lang w:eastAsia="en-GB"/>
        </w:rPr>
        <w:t xml:space="preserve"> Profitability and market valuation of banks have also recovered in most Member States, together with </w:t>
      </w:r>
      <w:r w:rsidRPr="00E82474">
        <w:rPr>
          <w:rFonts w:ascii="Times New Roman" w:eastAsia="Times New Roman" w:hAnsi="Times New Roman"/>
          <w:sz w:val="24"/>
          <w:szCs w:val="24"/>
          <w:lang w:eastAsia="en-GB"/>
        </w:rPr>
        <w:t>credit flows</w:t>
      </w:r>
      <w:r>
        <w:rPr>
          <w:rFonts w:ascii="Times New Roman" w:eastAsia="Times New Roman" w:hAnsi="Times New Roman"/>
          <w:sz w:val="24"/>
          <w:szCs w:val="24"/>
          <w:lang w:eastAsia="en-GB"/>
        </w:rPr>
        <w:t>. I</w:t>
      </w:r>
      <w:r w:rsidRPr="00E82474">
        <w:rPr>
          <w:rFonts w:ascii="Times New Roman" w:eastAsia="Times New Roman" w:hAnsi="Times New Roman"/>
          <w:sz w:val="24"/>
          <w:szCs w:val="24"/>
          <w:lang w:eastAsia="en-GB"/>
        </w:rPr>
        <w:t>n</w:t>
      </w:r>
      <w:r>
        <w:rPr>
          <w:rFonts w:ascii="Times New Roman" w:eastAsia="Times New Roman" w:hAnsi="Times New Roman"/>
          <w:sz w:val="24"/>
          <w:szCs w:val="24"/>
          <w:lang w:eastAsia="en-GB"/>
        </w:rPr>
        <w:t xml:space="preserve"> a few </w:t>
      </w:r>
      <w:r w:rsidRPr="00E82474">
        <w:rPr>
          <w:rFonts w:ascii="Times New Roman" w:eastAsia="Times New Roman" w:hAnsi="Times New Roman"/>
          <w:sz w:val="24"/>
          <w:szCs w:val="24"/>
          <w:lang w:eastAsia="en-GB"/>
        </w:rPr>
        <w:t xml:space="preserve">countries </w:t>
      </w:r>
      <w:r>
        <w:rPr>
          <w:rFonts w:ascii="Times New Roman" w:eastAsia="Times New Roman" w:hAnsi="Times New Roman"/>
          <w:sz w:val="24"/>
          <w:szCs w:val="24"/>
          <w:lang w:eastAsia="en-GB"/>
        </w:rPr>
        <w:t>however, stocks of non-performing loans</w:t>
      </w:r>
      <w:r w:rsidRPr="00E82474">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still remain high and reduce the room for lending, whilst </w:t>
      </w:r>
      <w:r w:rsidRPr="00E82474">
        <w:rPr>
          <w:rFonts w:ascii="Times New Roman" w:eastAsia="Times New Roman" w:hAnsi="Times New Roman"/>
          <w:sz w:val="24"/>
          <w:szCs w:val="24"/>
          <w:lang w:eastAsia="en-GB"/>
        </w:rPr>
        <w:t>low profitability hampers provisioning efforts and the internal generation of capital, and reduces opportunities for raising capital in the market</w:t>
      </w:r>
      <w:r>
        <w:rPr>
          <w:rFonts w:ascii="Times New Roman" w:eastAsia="Times New Roman" w:hAnsi="Times New Roman"/>
          <w:sz w:val="24"/>
          <w:szCs w:val="24"/>
          <w:lang w:eastAsia="en-GB"/>
        </w:rPr>
        <w:t>.</w:t>
      </w:r>
    </w:p>
    <w:p w:rsidR="00CE59E1" w:rsidRDefault="00CE59E1" w:rsidP="00CE59E1">
      <w:pPr>
        <w:spacing w:before="120" w:after="120" w:line="240" w:lineRule="auto"/>
        <w:jc w:val="both"/>
        <w:rPr>
          <w:rFonts w:ascii="Times New Roman" w:eastAsia="Times New Roman" w:hAnsi="Times New Roman"/>
          <w:sz w:val="24"/>
          <w:szCs w:val="24"/>
          <w:lang w:eastAsia="en-GB"/>
        </w:rPr>
      </w:pPr>
      <w:r w:rsidRPr="00E82474">
        <w:rPr>
          <w:rFonts w:ascii="Times New Roman" w:eastAsia="Times New Roman" w:hAnsi="Times New Roman"/>
          <w:b/>
          <w:sz w:val="24"/>
          <w:szCs w:val="24"/>
          <w:lang w:eastAsia="en-GB"/>
        </w:rPr>
        <w:t>House prices are acc</w:t>
      </w:r>
      <w:r>
        <w:rPr>
          <w:rFonts w:ascii="Times New Roman" w:eastAsia="Times New Roman" w:hAnsi="Times New Roman"/>
          <w:b/>
          <w:sz w:val="24"/>
          <w:szCs w:val="24"/>
          <w:lang w:eastAsia="en-GB"/>
        </w:rPr>
        <w:t>elerating in most Member States;</w:t>
      </w:r>
      <w:r w:rsidRPr="00E82474">
        <w:rPr>
          <w:rFonts w:ascii="Times New Roman" w:eastAsia="Times New Roman" w:hAnsi="Times New Roman"/>
          <w:b/>
          <w:sz w:val="24"/>
          <w:szCs w:val="24"/>
          <w:lang w:eastAsia="en-GB"/>
        </w:rPr>
        <w:t xml:space="preserve"> </w:t>
      </w:r>
      <w:r>
        <w:rPr>
          <w:rFonts w:ascii="Times New Roman" w:eastAsia="Times New Roman" w:hAnsi="Times New Roman"/>
          <w:b/>
          <w:sz w:val="24"/>
          <w:szCs w:val="24"/>
          <w:lang w:eastAsia="en-GB"/>
        </w:rPr>
        <w:t xml:space="preserve">possible </w:t>
      </w:r>
      <w:r w:rsidRPr="00E82474">
        <w:rPr>
          <w:rFonts w:ascii="Times New Roman" w:eastAsia="Times New Roman" w:hAnsi="Times New Roman"/>
          <w:b/>
          <w:sz w:val="24"/>
          <w:szCs w:val="24"/>
          <w:lang w:eastAsia="en-GB"/>
        </w:rPr>
        <w:t>overheating risks</w:t>
      </w:r>
      <w:r>
        <w:rPr>
          <w:rFonts w:ascii="Times New Roman" w:eastAsia="Times New Roman" w:hAnsi="Times New Roman"/>
          <w:b/>
          <w:sz w:val="24"/>
          <w:szCs w:val="24"/>
          <w:lang w:eastAsia="en-GB"/>
        </w:rPr>
        <w:t xml:space="preserve"> deserve monitoring</w:t>
      </w:r>
      <w:r>
        <w:rPr>
          <w:rFonts w:ascii="Times New Roman" w:eastAsia="Times New Roman" w:hAnsi="Times New Roman"/>
          <w:sz w:val="24"/>
          <w:szCs w:val="24"/>
          <w:lang w:eastAsia="en-GB"/>
        </w:rPr>
        <w:t xml:space="preserve">. </w:t>
      </w:r>
      <w:r w:rsidRPr="00E82474">
        <w:rPr>
          <w:rFonts w:ascii="Times New Roman" w:eastAsia="Times New Roman" w:hAnsi="Times New Roman"/>
          <w:sz w:val="24"/>
          <w:szCs w:val="24"/>
          <w:lang w:eastAsia="en-GB"/>
        </w:rPr>
        <w:t xml:space="preserve">Valuations are below </w:t>
      </w:r>
      <w:r>
        <w:rPr>
          <w:rFonts w:ascii="Times New Roman" w:eastAsia="Times New Roman" w:hAnsi="Times New Roman"/>
          <w:sz w:val="24"/>
          <w:szCs w:val="24"/>
          <w:lang w:eastAsia="en-GB"/>
        </w:rPr>
        <w:t xml:space="preserve">earlier </w:t>
      </w:r>
      <w:r w:rsidRPr="00E82474">
        <w:rPr>
          <w:rFonts w:ascii="Times New Roman" w:eastAsia="Times New Roman" w:hAnsi="Times New Roman"/>
          <w:sz w:val="24"/>
          <w:szCs w:val="24"/>
          <w:lang w:eastAsia="en-GB"/>
        </w:rPr>
        <w:t>peak levels after the downward post-crisis adjustment, but in some cases indicators point to overvaluation</w:t>
      </w:r>
      <w:r w:rsidRPr="00E92E66">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Signs </w:t>
      </w:r>
      <w:r w:rsidRPr="00E92E66">
        <w:rPr>
          <w:rFonts w:ascii="Times New Roman" w:eastAsia="Times New Roman" w:hAnsi="Times New Roman"/>
          <w:sz w:val="24"/>
          <w:szCs w:val="24"/>
          <w:lang w:eastAsia="en-GB"/>
        </w:rPr>
        <w:t>of possible overheating are present and price dynamics are accelerating in a growing number of countries, including in countries not identified with imbalances</w:t>
      </w:r>
      <w:r>
        <w:rPr>
          <w:rFonts w:ascii="Times New Roman" w:eastAsia="Times New Roman" w:hAnsi="Times New Roman"/>
          <w:sz w:val="24"/>
          <w:szCs w:val="24"/>
          <w:lang w:eastAsia="en-GB"/>
        </w:rPr>
        <w:t>,</w:t>
      </w:r>
      <w:r w:rsidRPr="00E92E66">
        <w:rPr>
          <w:rFonts w:ascii="Times New Roman" w:eastAsia="Times New Roman" w:hAnsi="Times New Roman"/>
          <w:sz w:val="24"/>
          <w:szCs w:val="24"/>
          <w:lang w:eastAsia="en-GB"/>
        </w:rPr>
        <w:t xml:space="preserve"> where these risks appear not of an immediate concern.</w:t>
      </w:r>
      <w:r>
        <w:rPr>
          <w:rFonts w:ascii="Times New Roman" w:eastAsia="Times New Roman" w:hAnsi="Times New Roman"/>
          <w:sz w:val="24"/>
          <w:szCs w:val="24"/>
          <w:lang w:eastAsia="en-GB"/>
        </w:rPr>
        <w:t xml:space="preserve"> Furthermore, the social impact of rising housing prices is a concern in some countries, highlighting the need for investment in adequate social housing and other housing assistance. </w:t>
      </w:r>
    </w:p>
    <w:p w:rsidR="00CE59E1" w:rsidRDefault="00CE59E1" w:rsidP="00CE59E1">
      <w:pPr>
        <w:spacing w:before="120" w:after="120" w:line="240" w:lineRule="auto"/>
        <w:jc w:val="both"/>
        <w:rPr>
          <w:rFonts w:ascii="Times New Roman" w:eastAsia="Times New Roman" w:hAnsi="Times New Roman"/>
          <w:sz w:val="24"/>
          <w:szCs w:val="24"/>
          <w:lang w:eastAsia="en-GB"/>
        </w:rPr>
      </w:pPr>
      <w:r w:rsidRPr="00856390">
        <w:rPr>
          <w:rFonts w:ascii="Times New Roman" w:eastAsia="Times New Roman" w:hAnsi="Times New Roman"/>
          <w:b/>
          <w:sz w:val="24"/>
          <w:szCs w:val="24"/>
          <w:lang w:eastAsia="en-GB"/>
        </w:rPr>
        <w:t>Employment continues to expand at a steady pace in Europe, though vulnerabilities remain in some Member States.</w:t>
      </w:r>
      <w:r w:rsidRPr="00377C2E">
        <w:rPr>
          <w:rFonts w:ascii="Times New Roman" w:eastAsia="Times New Roman" w:hAnsi="Times New Roman"/>
          <w:sz w:val="24"/>
          <w:szCs w:val="24"/>
          <w:lang w:eastAsia="en-GB"/>
        </w:rPr>
        <w:t xml:space="preserve"> </w:t>
      </w:r>
      <w:r w:rsidRPr="00856390">
        <w:rPr>
          <w:rFonts w:ascii="Times New Roman" w:eastAsia="Times New Roman" w:hAnsi="Times New Roman"/>
          <w:sz w:val="24"/>
          <w:szCs w:val="24"/>
          <w:lang w:eastAsia="en-GB"/>
        </w:rPr>
        <w:t xml:space="preserve">Labour markets have continued to improve. Though declining across the board, unemployment remains high in some countries, notably among young people and the long-term unemployed. </w:t>
      </w:r>
      <w:r w:rsidRPr="00377C2E">
        <w:rPr>
          <w:rFonts w:ascii="Times New Roman" w:eastAsia="Times New Roman" w:hAnsi="Times New Roman"/>
          <w:sz w:val="24"/>
          <w:szCs w:val="24"/>
          <w:lang w:eastAsia="en-GB"/>
        </w:rPr>
        <w:t xml:space="preserve">Underutilisation of the labour force is falling but remains sizeable even in countries where unemployment is low. </w:t>
      </w:r>
      <w:r w:rsidRPr="00856390">
        <w:rPr>
          <w:rFonts w:ascii="Times New Roman" w:eastAsia="Times New Roman" w:hAnsi="Times New Roman"/>
          <w:sz w:val="24"/>
          <w:szCs w:val="24"/>
          <w:lang w:eastAsia="en-GB"/>
        </w:rPr>
        <w:t xml:space="preserve">Wage developments remain moderate in most countries and sectors. Poverty risks are generally receding but high in some countries. </w:t>
      </w:r>
      <w:r w:rsidRPr="00377C2E">
        <w:rPr>
          <w:rFonts w:ascii="Times New Roman" w:eastAsia="Times New Roman" w:hAnsi="Times New Roman"/>
          <w:sz w:val="24"/>
          <w:szCs w:val="24"/>
          <w:lang w:eastAsia="en-GB"/>
        </w:rPr>
        <w:t xml:space="preserve"> </w:t>
      </w:r>
    </w:p>
    <w:p w:rsidR="00CE59E1" w:rsidRPr="00856390" w:rsidRDefault="00CE59E1" w:rsidP="00CE59E1">
      <w:pPr>
        <w:spacing w:before="120" w:after="120" w:line="240" w:lineRule="auto"/>
        <w:jc w:val="both"/>
        <w:rPr>
          <w:rFonts w:ascii="Times New Roman" w:eastAsia="Times New Roman" w:hAnsi="Times New Roman"/>
          <w:sz w:val="24"/>
          <w:szCs w:val="24"/>
          <w:lang w:eastAsia="en-GB"/>
        </w:rPr>
      </w:pPr>
    </w:p>
    <w:p w:rsidR="00CE59E1" w:rsidRPr="00CE59E1" w:rsidRDefault="00054060" w:rsidP="00CE59E1">
      <w:pPr>
        <w:pStyle w:val="Heading2"/>
        <w:tabs>
          <w:tab w:val="num" w:pos="850"/>
        </w:tabs>
        <w:ind w:left="850" w:hanging="850"/>
        <w:rPr>
          <w:rFonts w:eastAsia="Calibri"/>
        </w:rPr>
      </w:pPr>
      <w:r>
        <w:rPr>
          <w:rFonts w:eastAsia="Calibri"/>
        </w:rPr>
        <w:t>3.2.</w:t>
      </w:r>
      <w:r>
        <w:rPr>
          <w:rFonts w:eastAsia="Calibri"/>
        </w:rPr>
        <w:tab/>
      </w:r>
      <w:r w:rsidR="00CE59E1" w:rsidRPr="00CE59E1">
        <w:rPr>
          <w:rFonts w:eastAsia="Calibri"/>
        </w:rPr>
        <w:t>Implementing the macroeconomic imbalances procedure</w:t>
      </w:r>
    </w:p>
    <w:p w:rsidR="00A543F3" w:rsidRDefault="00A543F3" w:rsidP="00A543F3">
      <w:pPr>
        <w:autoSpaceDE w:val="0"/>
        <w:autoSpaceDN w:val="0"/>
        <w:adjustRightInd w:val="0"/>
        <w:spacing w:before="120" w:after="120" w:line="240" w:lineRule="auto"/>
        <w:jc w:val="both"/>
        <w:rPr>
          <w:rFonts w:ascii="Times New Roman" w:eastAsia="Calibri" w:hAnsi="Times New Roman" w:cs="Times New Roman"/>
          <w:b/>
          <w:sz w:val="24"/>
          <w:szCs w:val="24"/>
        </w:rPr>
      </w:pPr>
      <w:r w:rsidRPr="008D2255">
        <w:rPr>
          <w:rFonts w:ascii="Times New Roman" w:eastAsia="Calibri" w:hAnsi="Times New Roman" w:cs="Times New Roman"/>
          <w:b/>
          <w:sz w:val="24"/>
          <w:szCs w:val="24"/>
        </w:rPr>
        <w:t>The Commission has reviewed economic developments and policy measures taken by all the countries with imbalances or excessive imbalances in the framework of specific monitoring.</w:t>
      </w:r>
      <w:r>
        <w:rPr>
          <w:rFonts w:ascii="Calibri" w:eastAsia="Calibri" w:hAnsi="Calibri" w:cs="Times New Roman"/>
        </w:rPr>
        <w:t xml:space="preserve"> </w:t>
      </w:r>
      <w:r>
        <w:rPr>
          <w:rFonts w:ascii="Times New Roman" w:eastAsia="Calibri" w:hAnsi="Times New Roman" w:cs="Times New Roman"/>
          <w:sz w:val="24"/>
          <w:szCs w:val="24"/>
        </w:rPr>
        <w:t xml:space="preserve">The Council has supported the conclusions of the specific monitoring reports. The scope and format of in-depth reviews and the categorisation of imbalances in the Macroeconomic Imbalances Procedure framework has remained stable. </w:t>
      </w:r>
    </w:p>
    <w:p w:rsidR="00A543F3" w:rsidRDefault="00B92FAA" w:rsidP="00A543F3">
      <w:pPr>
        <w:autoSpaceDE w:val="0"/>
        <w:autoSpaceDN w:val="0"/>
        <w:adjustRightInd w:val="0"/>
        <w:spacing w:before="120" w:after="120" w:line="240" w:lineRule="auto"/>
        <w:jc w:val="both"/>
        <w:rPr>
          <w:rFonts w:ascii="Calibri" w:eastAsia="Calibri" w:hAnsi="Calibri" w:cs="Times New Roman"/>
        </w:rPr>
      </w:pPr>
      <w:r>
        <w:rPr>
          <w:rFonts w:ascii="Times New Roman" w:eastAsia="Calibri" w:hAnsi="Times New Roman" w:cs="Times New Roman"/>
          <w:b/>
          <w:sz w:val="24"/>
          <w:szCs w:val="24"/>
        </w:rPr>
        <w:t>The n</w:t>
      </w:r>
      <w:r w:rsidR="00A543F3">
        <w:rPr>
          <w:rFonts w:ascii="Times New Roman" w:eastAsia="Calibri" w:hAnsi="Times New Roman" w:cs="Times New Roman"/>
          <w:b/>
          <w:sz w:val="24"/>
          <w:szCs w:val="24"/>
        </w:rPr>
        <w:t>umber of Member States identified with imbalances or excessive imbalances is declining.</w:t>
      </w:r>
      <w:r w:rsidR="00A543F3">
        <w:rPr>
          <w:rFonts w:ascii="Times New Roman" w:eastAsia="Calibri" w:hAnsi="Times New Roman" w:cs="Times New Roman"/>
          <w:sz w:val="24"/>
          <w:szCs w:val="24"/>
        </w:rPr>
        <w:t xml:space="preserve"> In 2017, six Member States were identified with imbalances and six with excessive imbalances. These twelve Member States were retained for further analysis also in 2018. The in-depth reviews have found that one Member State is not experiencing imbalances, </w:t>
      </w:r>
      <w:r w:rsidR="00986267">
        <w:rPr>
          <w:rFonts w:ascii="Times New Roman" w:eastAsia="Calibri" w:hAnsi="Times New Roman" w:cs="Times New Roman"/>
          <w:sz w:val="24"/>
          <w:szCs w:val="24"/>
        </w:rPr>
        <w:t>eight</w:t>
      </w:r>
      <w:r w:rsidR="00A543F3">
        <w:rPr>
          <w:rFonts w:ascii="Times New Roman" w:eastAsia="Calibri" w:hAnsi="Times New Roman" w:cs="Times New Roman"/>
          <w:sz w:val="24"/>
          <w:szCs w:val="24"/>
        </w:rPr>
        <w:t xml:space="preserve"> are experiencing imbalances and </w:t>
      </w:r>
      <w:r w:rsidR="00986267">
        <w:rPr>
          <w:rFonts w:ascii="Times New Roman" w:eastAsia="Calibri" w:hAnsi="Times New Roman" w:cs="Times New Roman"/>
          <w:sz w:val="24"/>
          <w:szCs w:val="24"/>
        </w:rPr>
        <w:t>three</w:t>
      </w:r>
      <w:r w:rsidR="00A543F3">
        <w:rPr>
          <w:rFonts w:ascii="Times New Roman" w:eastAsia="Calibri" w:hAnsi="Times New Roman" w:cs="Times New Roman"/>
          <w:sz w:val="24"/>
          <w:szCs w:val="24"/>
        </w:rPr>
        <w:t xml:space="preserve"> are experiencing excessive imbalances. Appendix 3 summarises the findings from the in-depth reviews by Member State.</w:t>
      </w:r>
      <w:r w:rsidR="00A543F3">
        <w:rPr>
          <w:rFonts w:ascii="Times New Roman" w:eastAsia="Calibri" w:hAnsi="Times New Roman" w:cs="Times New Roman"/>
          <w:sz w:val="24"/>
          <w:szCs w:val="24"/>
          <w:vertAlign w:val="superscript"/>
        </w:rPr>
        <w:footnoteReference w:id="13"/>
      </w:r>
      <w:r w:rsidR="00A543F3">
        <w:rPr>
          <w:rFonts w:ascii="Calibri" w:eastAsia="Calibri" w:hAnsi="Calibri" w:cs="Times New Roman"/>
        </w:rPr>
        <w:t xml:space="preserve"> </w:t>
      </w:r>
    </w:p>
    <w:p w:rsidR="00A543F3" w:rsidRDefault="00A543F3" w:rsidP="00A543F3">
      <w:pPr>
        <w:keepNext/>
        <w:keepLines/>
        <w:autoSpaceDE w:val="0"/>
        <w:autoSpaceDN w:val="0"/>
        <w:adjustRightInd w:val="0"/>
        <w:spacing w:before="240" w:after="240" w:line="23" w:lineRule="atLeast"/>
        <w:jc w:val="both"/>
        <w:rPr>
          <w:rFonts w:ascii="Times New Roman" w:eastAsia="Calibri" w:hAnsi="Times New Roman" w:cs="Times New Roman"/>
          <w:i/>
          <w:sz w:val="24"/>
          <w:szCs w:val="24"/>
        </w:rPr>
      </w:pPr>
      <w:r>
        <w:rPr>
          <w:rFonts w:ascii="Times New Roman" w:eastAsia="Calibri" w:hAnsi="Times New Roman" w:cs="Times New Roman"/>
          <w:i/>
          <w:sz w:val="24"/>
          <w:szCs w:val="24"/>
        </w:rPr>
        <w:t>Table 1: Outcome of the in-depth reviews over 2017-2018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43F3" w:rsidTr="00A543F3">
        <w:tc>
          <w:tcPr>
            <w:tcW w:w="3080" w:type="dxa"/>
            <w:tcBorders>
              <w:top w:val="single" w:sz="4" w:space="0" w:color="auto"/>
              <w:left w:val="nil"/>
              <w:bottom w:val="single" w:sz="4" w:space="0" w:color="auto"/>
              <w:right w:val="nil"/>
            </w:tcBorders>
          </w:tcPr>
          <w:p w:rsidR="00A543F3" w:rsidRDefault="00A543F3">
            <w:pPr>
              <w:spacing w:before="120" w:after="120" w:line="23" w:lineRule="atLeast"/>
            </w:pPr>
          </w:p>
        </w:tc>
        <w:tc>
          <w:tcPr>
            <w:tcW w:w="3081" w:type="dxa"/>
            <w:tcBorders>
              <w:top w:val="single" w:sz="4" w:space="0" w:color="auto"/>
              <w:left w:val="nil"/>
              <w:bottom w:val="single" w:sz="4" w:space="0" w:color="auto"/>
              <w:right w:val="nil"/>
            </w:tcBorders>
            <w:hideMark/>
          </w:tcPr>
          <w:p w:rsidR="00A543F3" w:rsidRDefault="00A543F3">
            <w:pPr>
              <w:spacing w:before="120" w:after="120" w:line="23" w:lineRule="atLeast"/>
              <w:jc w:val="center"/>
            </w:pPr>
            <w:r>
              <w:t>Outcome of 2017 IDRs</w:t>
            </w:r>
          </w:p>
        </w:tc>
        <w:tc>
          <w:tcPr>
            <w:tcW w:w="3081" w:type="dxa"/>
            <w:tcBorders>
              <w:top w:val="single" w:sz="4" w:space="0" w:color="auto"/>
              <w:left w:val="nil"/>
              <w:bottom w:val="single" w:sz="4" w:space="0" w:color="auto"/>
              <w:right w:val="nil"/>
            </w:tcBorders>
            <w:hideMark/>
          </w:tcPr>
          <w:p w:rsidR="00A543F3" w:rsidRDefault="00A543F3">
            <w:pPr>
              <w:spacing w:before="120" w:after="120" w:line="23" w:lineRule="atLeast"/>
              <w:jc w:val="center"/>
            </w:pPr>
            <w:r>
              <w:t>Outcome of 2018 IDRs</w:t>
            </w:r>
          </w:p>
        </w:tc>
      </w:tr>
      <w:tr w:rsidR="00A543F3" w:rsidTr="00A543F3">
        <w:tc>
          <w:tcPr>
            <w:tcW w:w="3080" w:type="dxa"/>
            <w:tcBorders>
              <w:top w:val="single" w:sz="4" w:space="0" w:color="auto"/>
              <w:left w:val="nil"/>
              <w:bottom w:val="nil"/>
              <w:right w:val="nil"/>
            </w:tcBorders>
            <w:hideMark/>
          </w:tcPr>
          <w:p w:rsidR="00A543F3" w:rsidRDefault="00A543F3">
            <w:pPr>
              <w:spacing w:before="120" w:after="120" w:line="23" w:lineRule="atLeast"/>
            </w:pPr>
            <w:r>
              <w:t>No imbalances</w:t>
            </w:r>
          </w:p>
        </w:tc>
        <w:tc>
          <w:tcPr>
            <w:tcW w:w="3081" w:type="dxa"/>
            <w:tcBorders>
              <w:top w:val="single" w:sz="4" w:space="0" w:color="auto"/>
              <w:left w:val="nil"/>
              <w:bottom w:val="nil"/>
              <w:right w:val="nil"/>
            </w:tcBorders>
            <w:hideMark/>
          </w:tcPr>
          <w:p w:rsidR="00A543F3" w:rsidRDefault="00A543F3">
            <w:pPr>
              <w:spacing w:before="120" w:after="120" w:line="23" w:lineRule="atLeast"/>
              <w:jc w:val="center"/>
            </w:pPr>
            <w:r>
              <w:t xml:space="preserve">FI </w:t>
            </w:r>
          </w:p>
        </w:tc>
        <w:tc>
          <w:tcPr>
            <w:tcW w:w="3081" w:type="dxa"/>
            <w:tcBorders>
              <w:top w:val="single" w:sz="4" w:space="0" w:color="auto"/>
              <w:left w:val="nil"/>
              <w:bottom w:val="nil"/>
              <w:right w:val="nil"/>
            </w:tcBorders>
            <w:hideMark/>
          </w:tcPr>
          <w:p w:rsidR="00A543F3" w:rsidRDefault="00A543F3">
            <w:pPr>
              <w:spacing w:before="120" w:after="120" w:line="23" w:lineRule="atLeast"/>
              <w:jc w:val="center"/>
              <w:rPr>
                <w:rFonts w:eastAsiaTheme="minorHAnsi"/>
                <w:szCs w:val="22"/>
                <w:lang w:eastAsia="en-US"/>
              </w:rPr>
            </w:pPr>
            <w:r>
              <w:rPr>
                <w:rFonts w:eastAsiaTheme="minorHAnsi"/>
              </w:rPr>
              <w:t>SI</w:t>
            </w:r>
          </w:p>
        </w:tc>
      </w:tr>
      <w:tr w:rsidR="00A543F3" w:rsidRPr="00C56D97" w:rsidTr="00A543F3">
        <w:tc>
          <w:tcPr>
            <w:tcW w:w="3080" w:type="dxa"/>
            <w:hideMark/>
          </w:tcPr>
          <w:p w:rsidR="00A543F3" w:rsidRDefault="00A543F3">
            <w:pPr>
              <w:spacing w:before="120" w:after="120" w:line="23" w:lineRule="atLeast"/>
            </w:pPr>
            <w:r>
              <w:t>Imbalances</w:t>
            </w:r>
          </w:p>
        </w:tc>
        <w:tc>
          <w:tcPr>
            <w:tcW w:w="3081" w:type="dxa"/>
            <w:hideMark/>
          </w:tcPr>
          <w:p w:rsidR="00A543F3" w:rsidRPr="00D43B69" w:rsidRDefault="00A543F3">
            <w:pPr>
              <w:spacing w:before="120" w:after="120" w:line="23" w:lineRule="atLeast"/>
              <w:jc w:val="center"/>
              <w:rPr>
                <w:lang w:val="es-ES"/>
              </w:rPr>
            </w:pPr>
            <w:r w:rsidRPr="00D43B69">
              <w:rPr>
                <w:lang w:val="es-ES"/>
              </w:rPr>
              <w:t xml:space="preserve">DE, IE, ES, NL, SI, SE </w:t>
            </w:r>
          </w:p>
        </w:tc>
        <w:tc>
          <w:tcPr>
            <w:tcW w:w="3081" w:type="dxa"/>
            <w:hideMark/>
          </w:tcPr>
          <w:p w:rsidR="00A543F3" w:rsidRPr="00D43B69" w:rsidRDefault="00A543F3" w:rsidP="00986267">
            <w:pPr>
              <w:spacing w:before="120" w:after="120" w:line="23" w:lineRule="atLeast"/>
              <w:jc w:val="center"/>
              <w:rPr>
                <w:lang w:val="es-ES"/>
              </w:rPr>
            </w:pPr>
            <w:r w:rsidRPr="00D43B69">
              <w:rPr>
                <w:rFonts w:eastAsiaTheme="minorHAnsi"/>
                <w:lang w:val="es-ES"/>
              </w:rPr>
              <w:t xml:space="preserve">BG, DE, IE, ES, FR, NL, </w:t>
            </w:r>
            <w:r w:rsidR="00986267" w:rsidRPr="00D43B69">
              <w:rPr>
                <w:lang w:val="es-ES"/>
              </w:rPr>
              <w:t>PT</w:t>
            </w:r>
            <w:r w:rsidR="00986267" w:rsidRPr="00D43B69">
              <w:rPr>
                <w:rFonts w:eastAsiaTheme="minorHAnsi"/>
                <w:lang w:val="es-ES"/>
              </w:rPr>
              <w:t xml:space="preserve">, </w:t>
            </w:r>
            <w:r w:rsidRPr="00D43B69">
              <w:rPr>
                <w:rFonts w:eastAsiaTheme="minorHAnsi"/>
                <w:lang w:val="es-ES"/>
              </w:rPr>
              <w:t>SE</w:t>
            </w:r>
          </w:p>
        </w:tc>
      </w:tr>
      <w:tr w:rsidR="00A543F3" w:rsidTr="00A543F3">
        <w:tc>
          <w:tcPr>
            <w:tcW w:w="3080" w:type="dxa"/>
            <w:tcBorders>
              <w:top w:val="nil"/>
              <w:left w:val="nil"/>
              <w:bottom w:val="single" w:sz="4" w:space="0" w:color="auto"/>
              <w:right w:val="nil"/>
            </w:tcBorders>
            <w:hideMark/>
          </w:tcPr>
          <w:p w:rsidR="00A543F3" w:rsidRDefault="00A543F3">
            <w:pPr>
              <w:spacing w:before="120" w:after="120" w:line="23" w:lineRule="atLeast"/>
            </w:pPr>
            <w:r>
              <w:t>Excessive imbalances</w:t>
            </w:r>
          </w:p>
        </w:tc>
        <w:tc>
          <w:tcPr>
            <w:tcW w:w="3081" w:type="dxa"/>
            <w:tcBorders>
              <w:top w:val="nil"/>
              <w:left w:val="nil"/>
              <w:bottom w:val="single" w:sz="4" w:space="0" w:color="auto"/>
              <w:right w:val="nil"/>
            </w:tcBorders>
            <w:hideMark/>
          </w:tcPr>
          <w:p w:rsidR="00A543F3" w:rsidRDefault="00A543F3">
            <w:pPr>
              <w:spacing w:before="120" w:after="120" w:line="23" w:lineRule="atLeast"/>
              <w:jc w:val="center"/>
            </w:pPr>
            <w:r>
              <w:t xml:space="preserve">BG, FR, HR, IT, PT, CY </w:t>
            </w:r>
          </w:p>
        </w:tc>
        <w:tc>
          <w:tcPr>
            <w:tcW w:w="3081" w:type="dxa"/>
            <w:tcBorders>
              <w:top w:val="nil"/>
              <w:left w:val="nil"/>
              <w:bottom w:val="single" w:sz="4" w:space="0" w:color="auto"/>
              <w:right w:val="nil"/>
            </w:tcBorders>
            <w:hideMark/>
          </w:tcPr>
          <w:p w:rsidR="00A543F3" w:rsidRDefault="00A543F3" w:rsidP="00986267">
            <w:pPr>
              <w:spacing w:before="120" w:after="120" w:line="23" w:lineRule="atLeast"/>
              <w:jc w:val="center"/>
            </w:pPr>
            <w:r>
              <w:rPr>
                <w:rFonts w:eastAsiaTheme="minorHAnsi"/>
              </w:rPr>
              <w:t xml:space="preserve">CY, HR, IT </w:t>
            </w:r>
          </w:p>
        </w:tc>
      </w:tr>
    </w:tbl>
    <w:p w:rsidR="00A543F3" w:rsidRDefault="00A543F3" w:rsidP="00A543F3">
      <w:pPr>
        <w:autoSpaceDE w:val="0"/>
        <w:autoSpaceDN w:val="0"/>
        <w:adjustRightInd w:val="0"/>
        <w:spacing w:before="120" w:after="120" w:line="240" w:lineRule="auto"/>
        <w:jc w:val="both"/>
        <w:rPr>
          <w:rFonts w:ascii="Times New Roman" w:eastAsia="Calibri" w:hAnsi="Times New Roman" w:cs="Times New Roman"/>
          <w:b/>
          <w:sz w:val="24"/>
          <w:szCs w:val="24"/>
        </w:rPr>
      </w:pPr>
    </w:p>
    <w:p w:rsidR="00A543F3" w:rsidRDefault="00A543F3" w:rsidP="00A543F3">
      <w:pPr>
        <w:autoSpaceDE w:val="0"/>
        <w:autoSpaceDN w:val="0"/>
        <w:adjustRightInd w:val="0"/>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In-depth reviews indicate that risks are declining in a number of countries, which implies a revision of the respective MIP categorisation.</w:t>
      </w:r>
    </w:p>
    <w:p w:rsidR="00A543F3" w:rsidRPr="00977E60" w:rsidRDefault="00A543F3" w:rsidP="00A543F3">
      <w:pPr>
        <w:numPr>
          <w:ilvl w:val="0"/>
          <w:numId w:val="46"/>
        </w:numPr>
        <w:autoSpaceDE w:val="0"/>
        <w:autoSpaceDN w:val="0"/>
        <w:adjustRightInd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Slovenia, </w:t>
      </w:r>
      <w:r>
        <w:rPr>
          <w:rFonts w:ascii="Times New Roman" w:eastAsia="Times New Roman" w:hAnsi="Times New Roman" w:cs="Times New Roman"/>
          <w:sz w:val="24"/>
          <w:szCs w:val="24"/>
        </w:rPr>
        <w:t xml:space="preserve">identified with imbalances in 2017, is found to be experiencing </w:t>
      </w:r>
      <w:r>
        <w:rPr>
          <w:rFonts w:ascii="Times New Roman" w:eastAsia="Times New Roman" w:hAnsi="Times New Roman" w:cs="Times New Roman"/>
          <w:b/>
          <w:i/>
          <w:sz w:val="24"/>
          <w:szCs w:val="24"/>
        </w:rPr>
        <w:t>no imbalances</w:t>
      </w:r>
      <w:r>
        <w:rPr>
          <w:rFonts w:ascii="Times New Roman" w:eastAsia="Times New Roman" w:hAnsi="Times New Roman" w:cs="Times New Roman"/>
          <w:sz w:val="24"/>
          <w:szCs w:val="24"/>
        </w:rPr>
        <w:t>.</w:t>
      </w:r>
      <w:r>
        <w:rPr>
          <w:rFonts w:ascii="Calibri" w:eastAsia="Times New Roman" w:hAnsi="Calibri" w:cs="Times New Roman"/>
        </w:rPr>
        <w:t xml:space="preserve"> </w:t>
      </w:r>
      <w:r>
        <w:rPr>
          <w:rFonts w:ascii="Times New Roman" w:eastAsia="Times New Roman" w:hAnsi="Times New Roman" w:cs="Times New Roman"/>
          <w:sz w:val="24"/>
          <w:szCs w:val="24"/>
        </w:rPr>
        <w:t xml:space="preserve">Stability risks have receded to lower levels, and progress with the implementation of policy recommendations over past years has been overall </w:t>
      </w:r>
      <w:r w:rsidRPr="00977E60">
        <w:rPr>
          <w:rFonts w:ascii="Times New Roman" w:eastAsia="Times New Roman" w:hAnsi="Times New Roman" w:cs="Times New Roman"/>
          <w:sz w:val="24"/>
          <w:szCs w:val="24"/>
        </w:rPr>
        <w:t>satisfactory and is currently ongoing.</w:t>
      </w:r>
    </w:p>
    <w:p w:rsidR="00A543F3" w:rsidRPr="008D2255" w:rsidRDefault="00A543F3" w:rsidP="00A543F3">
      <w:pPr>
        <w:numPr>
          <w:ilvl w:val="0"/>
          <w:numId w:val="46"/>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8D2255">
        <w:rPr>
          <w:rFonts w:ascii="Times New Roman" w:eastAsia="Times New Roman" w:hAnsi="Times New Roman" w:cs="Times New Roman"/>
          <w:b/>
          <w:sz w:val="24"/>
          <w:szCs w:val="24"/>
        </w:rPr>
        <w:t>France,</w:t>
      </w:r>
      <w:r w:rsidRPr="008D2255">
        <w:rPr>
          <w:rFonts w:ascii="Times New Roman" w:eastAsia="Times New Roman" w:hAnsi="Times New Roman" w:cs="Times New Roman"/>
          <w:sz w:val="24"/>
          <w:szCs w:val="24"/>
        </w:rPr>
        <w:t xml:space="preserve"> identified with excessive imbalances in 2017, is found to be experiencing </w:t>
      </w:r>
      <w:r w:rsidRPr="008D2255">
        <w:rPr>
          <w:rFonts w:ascii="Times New Roman" w:eastAsia="Times New Roman" w:hAnsi="Times New Roman" w:cs="Times New Roman"/>
          <w:b/>
          <w:i/>
          <w:sz w:val="24"/>
          <w:szCs w:val="24"/>
        </w:rPr>
        <w:t>imbalances</w:t>
      </w:r>
      <w:r w:rsidRPr="008D2255">
        <w:rPr>
          <w:rFonts w:ascii="Times New Roman" w:eastAsia="Times New Roman" w:hAnsi="Times New Roman" w:cs="Times New Roman"/>
          <w:sz w:val="24"/>
          <w:szCs w:val="24"/>
        </w:rPr>
        <w:t>. Economic developments and enhanced policy action have contributed to a gradual correction of existing challenges, leading from a revision of the categorisation towards reduced risk.</w:t>
      </w:r>
    </w:p>
    <w:p w:rsidR="00986267" w:rsidRPr="00977E60" w:rsidRDefault="00A543F3" w:rsidP="00325C96">
      <w:pPr>
        <w:numPr>
          <w:ilvl w:val="0"/>
          <w:numId w:val="46"/>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8D2255">
        <w:rPr>
          <w:rFonts w:ascii="Times New Roman" w:eastAsia="Times New Roman" w:hAnsi="Times New Roman" w:cs="Times New Roman"/>
          <w:b/>
          <w:sz w:val="24"/>
          <w:szCs w:val="24"/>
        </w:rPr>
        <w:t>Bulgaria</w:t>
      </w:r>
      <w:r w:rsidRPr="008D2255">
        <w:rPr>
          <w:rFonts w:ascii="Times New Roman" w:eastAsia="Times New Roman" w:hAnsi="Times New Roman" w:cs="Times New Roman"/>
          <w:sz w:val="24"/>
          <w:szCs w:val="24"/>
        </w:rPr>
        <w:t xml:space="preserve"> identified with excessive imbalances in 2017, is found to be experiencing </w:t>
      </w:r>
      <w:r w:rsidRPr="008D2255">
        <w:rPr>
          <w:rFonts w:ascii="Times New Roman" w:eastAsia="Times New Roman" w:hAnsi="Times New Roman" w:cs="Times New Roman"/>
          <w:b/>
          <w:i/>
          <w:sz w:val="24"/>
          <w:szCs w:val="24"/>
        </w:rPr>
        <w:t>imbalances</w:t>
      </w:r>
      <w:r w:rsidRPr="008D2255">
        <w:rPr>
          <w:rFonts w:ascii="Times New Roman" w:eastAsia="Times New Roman" w:hAnsi="Times New Roman" w:cs="Times New Roman"/>
          <w:i/>
          <w:sz w:val="24"/>
          <w:szCs w:val="24"/>
        </w:rPr>
        <w:t>,</w:t>
      </w:r>
      <w:r w:rsidRPr="008D2255">
        <w:rPr>
          <w:rFonts w:ascii="Times New Roman" w:eastAsia="Times New Roman" w:hAnsi="Times New Roman" w:cs="Times New Roman"/>
          <w:sz w:val="24"/>
          <w:szCs w:val="24"/>
        </w:rPr>
        <w:t xml:space="preserve"> as </w:t>
      </w:r>
      <w:r w:rsidR="00325C96">
        <w:rPr>
          <w:rFonts w:ascii="Times New Roman" w:eastAsia="Times New Roman" w:hAnsi="Times New Roman" w:cs="Times New Roman"/>
          <w:sz w:val="24"/>
          <w:szCs w:val="24"/>
        </w:rPr>
        <w:t xml:space="preserve">policy action and </w:t>
      </w:r>
      <w:r w:rsidRPr="008D2255">
        <w:rPr>
          <w:rFonts w:ascii="Times New Roman" w:eastAsia="Times New Roman" w:hAnsi="Times New Roman" w:cs="Times New Roman"/>
          <w:sz w:val="24"/>
          <w:szCs w:val="24"/>
        </w:rPr>
        <w:t xml:space="preserve">a favourable macroeconomic environment </w:t>
      </w:r>
      <w:r w:rsidR="00325C96">
        <w:rPr>
          <w:rFonts w:ascii="Times New Roman" w:eastAsia="Times New Roman" w:hAnsi="Times New Roman" w:cs="Times New Roman"/>
          <w:sz w:val="24"/>
          <w:szCs w:val="24"/>
        </w:rPr>
        <w:t>are</w:t>
      </w:r>
      <w:r w:rsidR="00325C96" w:rsidRPr="008D2255">
        <w:rPr>
          <w:rFonts w:ascii="Times New Roman" w:eastAsia="Times New Roman" w:hAnsi="Times New Roman" w:cs="Times New Roman"/>
          <w:sz w:val="24"/>
          <w:szCs w:val="24"/>
        </w:rPr>
        <w:t xml:space="preserve"> </w:t>
      </w:r>
      <w:r w:rsidR="00325C96">
        <w:rPr>
          <w:rFonts w:ascii="Times New Roman" w:eastAsia="Times New Roman" w:hAnsi="Times New Roman" w:cs="Times New Roman"/>
          <w:sz w:val="24"/>
          <w:szCs w:val="24"/>
        </w:rPr>
        <w:t>reducing</w:t>
      </w:r>
      <w:r w:rsidR="00325C96" w:rsidRPr="008D2255">
        <w:rPr>
          <w:rFonts w:ascii="Times New Roman" w:eastAsia="Times New Roman" w:hAnsi="Times New Roman" w:cs="Times New Roman"/>
          <w:sz w:val="24"/>
          <w:szCs w:val="24"/>
        </w:rPr>
        <w:t xml:space="preserve"> </w:t>
      </w:r>
      <w:r w:rsidRPr="008D2255">
        <w:rPr>
          <w:rFonts w:ascii="Times New Roman" w:eastAsia="Times New Roman" w:hAnsi="Times New Roman" w:cs="Times New Roman"/>
          <w:sz w:val="24"/>
          <w:szCs w:val="24"/>
        </w:rPr>
        <w:t>imbalances,</w:t>
      </w:r>
      <w:r w:rsidR="00325C96">
        <w:rPr>
          <w:rFonts w:ascii="Times New Roman" w:eastAsia="Times New Roman" w:hAnsi="Times New Roman" w:cs="Times New Roman"/>
          <w:sz w:val="24"/>
          <w:szCs w:val="24"/>
        </w:rPr>
        <w:t xml:space="preserve"> notably on the external side</w:t>
      </w:r>
      <w:r w:rsidRPr="008D2255">
        <w:rPr>
          <w:rFonts w:ascii="Times New Roman" w:eastAsia="Times New Roman" w:hAnsi="Times New Roman" w:cs="Times New Roman"/>
          <w:sz w:val="24"/>
          <w:szCs w:val="24"/>
        </w:rPr>
        <w:t>.</w:t>
      </w:r>
      <w:r w:rsidR="00325C96">
        <w:rPr>
          <w:rFonts w:ascii="Times New Roman" w:eastAsia="Times New Roman" w:hAnsi="Times New Roman" w:cs="Times New Roman"/>
          <w:sz w:val="24"/>
          <w:szCs w:val="24"/>
        </w:rPr>
        <w:t xml:space="preserve"> </w:t>
      </w:r>
      <w:r w:rsidR="00325C96" w:rsidRPr="00325C96">
        <w:rPr>
          <w:rFonts w:ascii="Times New Roman" w:eastAsia="Times New Roman" w:hAnsi="Times New Roman" w:cs="Times New Roman"/>
          <w:sz w:val="24"/>
          <w:szCs w:val="24"/>
        </w:rPr>
        <w:t>Further efforts remain necessary to achieve a sustainable correction of the imbalances. The Commission will monitor closely policy commitments, notably the next National Reform Programme (NRP), and the evolution of imbalances in the context of the specific monitoring.</w:t>
      </w:r>
    </w:p>
    <w:p w:rsidR="00986267" w:rsidRPr="00977E60" w:rsidRDefault="00986267" w:rsidP="00D3501B">
      <w:pPr>
        <w:numPr>
          <w:ilvl w:val="0"/>
          <w:numId w:val="46"/>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8D2255">
        <w:rPr>
          <w:rFonts w:ascii="Times New Roman" w:eastAsia="Times New Roman" w:hAnsi="Times New Roman" w:cs="Times New Roman"/>
          <w:b/>
          <w:sz w:val="24"/>
          <w:szCs w:val="24"/>
        </w:rPr>
        <w:t>Portugal</w:t>
      </w:r>
      <w:r w:rsidRPr="008D2255">
        <w:rPr>
          <w:rFonts w:ascii="Times New Roman" w:eastAsia="Times New Roman" w:hAnsi="Times New Roman" w:cs="Times New Roman"/>
          <w:sz w:val="24"/>
          <w:szCs w:val="24"/>
        </w:rPr>
        <w:t xml:space="preserve"> identified with excessive imbalances in 2017, is found to be experiencing </w:t>
      </w:r>
      <w:r w:rsidRPr="008D2255">
        <w:rPr>
          <w:rFonts w:ascii="Times New Roman" w:eastAsia="Times New Roman" w:hAnsi="Times New Roman" w:cs="Times New Roman"/>
          <w:b/>
          <w:i/>
          <w:sz w:val="24"/>
          <w:szCs w:val="24"/>
        </w:rPr>
        <w:t>imbalances</w:t>
      </w:r>
      <w:r w:rsidRPr="008D2255">
        <w:rPr>
          <w:rFonts w:ascii="Times New Roman" w:eastAsia="Times New Roman" w:hAnsi="Times New Roman" w:cs="Times New Roman"/>
          <w:i/>
          <w:sz w:val="24"/>
          <w:szCs w:val="24"/>
        </w:rPr>
        <w:t>,</w:t>
      </w:r>
      <w:r w:rsidRPr="008D2255">
        <w:rPr>
          <w:rFonts w:ascii="Times New Roman" w:eastAsia="Times New Roman" w:hAnsi="Times New Roman" w:cs="Times New Roman"/>
          <w:sz w:val="24"/>
          <w:szCs w:val="24"/>
        </w:rPr>
        <w:t xml:space="preserve"> </w:t>
      </w:r>
      <w:r w:rsidR="00D3501B" w:rsidRPr="00D3501B">
        <w:rPr>
          <w:rFonts w:ascii="Times New Roman" w:eastAsia="Times New Roman" w:hAnsi="Times New Roman" w:cs="Times New Roman"/>
          <w:sz w:val="24"/>
          <w:szCs w:val="24"/>
        </w:rPr>
        <w:t xml:space="preserve">as </w:t>
      </w:r>
      <w:r w:rsidR="00325C96">
        <w:rPr>
          <w:rFonts w:ascii="Times New Roman" w:eastAsia="Times New Roman" w:hAnsi="Times New Roman" w:cs="Times New Roman"/>
          <w:sz w:val="24"/>
          <w:szCs w:val="24"/>
        </w:rPr>
        <w:t xml:space="preserve">policy action and </w:t>
      </w:r>
      <w:r w:rsidR="00D3501B" w:rsidRPr="00D3501B">
        <w:rPr>
          <w:rFonts w:ascii="Times New Roman" w:eastAsia="Times New Roman" w:hAnsi="Times New Roman" w:cs="Times New Roman"/>
          <w:sz w:val="24"/>
          <w:szCs w:val="24"/>
        </w:rPr>
        <w:t xml:space="preserve">the context of favourable macroeconomic and financial conditions </w:t>
      </w:r>
      <w:r w:rsidR="00325C96">
        <w:rPr>
          <w:rFonts w:ascii="Times New Roman" w:eastAsia="Times New Roman" w:hAnsi="Times New Roman" w:cs="Times New Roman"/>
          <w:sz w:val="24"/>
          <w:szCs w:val="24"/>
        </w:rPr>
        <w:t>are</w:t>
      </w:r>
      <w:r w:rsidR="00325C96" w:rsidRPr="00D3501B">
        <w:rPr>
          <w:rFonts w:ascii="Times New Roman" w:eastAsia="Times New Roman" w:hAnsi="Times New Roman" w:cs="Times New Roman"/>
          <w:sz w:val="24"/>
          <w:szCs w:val="24"/>
        </w:rPr>
        <w:t xml:space="preserve"> </w:t>
      </w:r>
      <w:r w:rsidR="00D3501B" w:rsidRPr="00D3501B">
        <w:rPr>
          <w:rFonts w:ascii="Times New Roman" w:eastAsia="Times New Roman" w:hAnsi="Times New Roman" w:cs="Times New Roman"/>
          <w:sz w:val="24"/>
          <w:szCs w:val="24"/>
        </w:rPr>
        <w:t>reducing the balance of risks in terms of public and private sector debt as well as external debt. The unemployment rate in particular, dropped considerably and is now at pre-crisis levels</w:t>
      </w:r>
      <w:r w:rsidR="00325C96">
        <w:rPr>
          <w:rFonts w:ascii="Times New Roman" w:eastAsia="Times New Roman" w:hAnsi="Times New Roman" w:cs="Times New Roman"/>
          <w:sz w:val="24"/>
          <w:szCs w:val="24"/>
        </w:rPr>
        <w:t xml:space="preserve">. </w:t>
      </w:r>
      <w:r w:rsidR="00325C96" w:rsidRPr="00A8526F">
        <w:rPr>
          <w:rFonts w:ascii="Times New Roman" w:eastAsia="Times New Roman" w:hAnsi="Times New Roman" w:cs="Times New Roman"/>
          <w:sz w:val="24"/>
          <w:szCs w:val="24"/>
        </w:rPr>
        <w:t>Further efforts remain necessary to achieve a sustainable correction of the imbalances. The Commission will monitor closely policy commitments, notably the next National Reform Programme (NRP), and the evolution of imbalances in the context of the specific monitoring</w:t>
      </w:r>
      <w:r w:rsidR="00325C96">
        <w:rPr>
          <w:rFonts w:ascii="Times New Roman" w:eastAsia="Times New Roman" w:hAnsi="Times New Roman" w:cs="Times New Roman"/>
          <w:sz w:val="24"/>
          <w:szCs w:val="24"/>
        </w:rPr>
        <w:t>.</w:t>
      </w:r>
    </w:p>
    <w:p w:rsidR="00A543F3" w:rsidRDefault="00A543F3" w:rsidP="00A543F3">
      <w:pPr>
        <w:autoSpaceDE w:val="0"/>
        <w:autoSpaceDN w:val="0"/>
        <w:adjustRightInd w:val="0"/>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Developments are generally favourable in the remaining countries analysed in the in-depth-reviews.</w:t>
      </w:r>
    </w:p>
    <w:p w:rsidR="00A543F3" w:rsidRDefault="00A543F3" w:rsidP="0066083A">
      <w:pPr>
        <w:numPr>
          <w:ilvl w:val="0"/>
          <w:numId w:val="46"/>
        </w:numPr>
        <w:autoSpaceDE w:val="0"/>
        <w:autoSpaceDN w:val="0"/>
        <w:adjustRightInd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Germany, Ireland, Spain, the Netherlands and Sweden are identified, as in 2017, to be experiencing </w:t>
      </w:r>
      <w:r>
        <w:rPr>
          <w:rFonts w:ascii="Times New Roman" w:eastAsia="Times New Roman" w:hAnsi="Times New Roman" w:cs="Times New Roman"/>
          <w:b/>
          <w:i/>
          <w:sz w:val="24"/>
          <w:szCs w:val="24"/>
        </w:rPr>
        <w:t>imbalances</w:t>
      </w:r>
      <w:r>
        <w:rPr>
          <w:rFonts w:ascii="Times New Roman" w:eastAsia="Times New Roman" w:hAnsi="Times New Roman" w:cs="Times New Roman"/>
          <w:sz w:val="24"/>
          <w:szCs w:val="24"/>
        </w:rPr>
        <w:t xml:space="preserve">. Among these countries, a favourable macroeconomic environment is contributing to the reduction of stock imbalances in </w:t>
      </w:r>
      <w:r>
        <w:rPr>
          <w:rFonts w:ascii="Times New Roman" w:eastAsia="Times New Roman" w:hAnsi="Times New Roman" w:cs="Times New Roman"/>
          <w:b/>
          <w:sz w:val="24"/>
          <w:szCs w:val="24"/>
        </w:rPr>
        <w:t>Ireland</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Spain</w:t>
      </w:r>
      <w:r>
        <w:rPr>
          <w:rFonts w:ascii="Times New Roman" w:eastAsia="Times New Roman" w:hAnsi="Times New Roman" w:cs="Times New Roman"/>
          <w:sz w:val="24"/>
          <w:szCs w:val="24"/>
        </w:rPr>
        <w:t xml:space="preserve">, although recent policy advancement has been modest and uneven in Spain. In the </w:t>
      </w:r>
      <w:r>
        <w:rPr>
          <w:rFonts w:ascii="Times New Roman" w:eastAsia="Times New Roman" w:hAnsi="Times New Roman" w:cs="Times New Roman"/>
          <w:b/>
          <w:sz w:val="24"/>
          <w:szCs w:val="24"/>
        </w:rPr>
        <w:t>Netherlands</w:t>
      </w:r>
      <w:r>
        <w:rPr>
          <w:rFonts w:ascii="Times New Roman" w:eastAsia="Times New Roman" w:hAnsi="Times New Roman" w:cs="Times New Roman"/>
          <w:sz w:val="24"/>
          <w:szCs w:val="24"/>
        </w:rPr>
        <w:t xml:space="preserve">, the authorities have made strong commitments to address imbalances, but these have yet to be implemented. </w:t>
      </w:r>
      <w:r w:rsidR="006D631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rogress on the front of the correction of imbalances is limited in </w:t>
      </w:r>
      <w:r>
        <w:rPr>
          <w:rFonts w:ascii="Times New Roman" w:eastAsia="Times New Roman" w:hAnsi="Times New Roman" w:cs="Times New Roman"/>
          <w:b/>
          <w:sz w:val="24"/>
          <w:szCs w:val="24"/>
        </w:rPr>
        <w:t>Germany</w:t>
      </w:r>
      <w:r w:rsidR="00104515" w:rsidRPr="008D2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083A" w:rsidRPr="0066083A">
        <w:rPr>
          <w:rFonts w:ascii="Times New Roman" w:eastAsia="Times New Roman" w:hAnsi="Times New Roman" w:cs="Times New Roman"/>
          <w:sz w:val="24"/>
          <w:szCs w:val="24"/>
        </w:rPr>
        <w:t>where private and public investment, whilst increasing, has still room to grow</w:t>
      </w:r>
      <w:r w:rsidR="00104515">
        <w:rPr>
          <w:rFonts w:ascii="Times New Roman" w:eastAsia="Times New Roman" w:hAnsi="Times New Roman" w:cs="Times New Roman"/>
          <w:sz w:val="24"/>
          <w:szCs w:val="24"/>
        </w:rPr>
        <w:t>.</w:t>
      </w:r>
      <w:r w:rsidR="0066083A">
        <w:rPr>
          <w:rFonts w:ascii="Times New Roman" w:eastAsia="Times New Roman" w:hAnsi="Times New Roman" w:cs="Times New Roman"/>
          <w:sz w:val="24"/>
          <w:szCs w:val="24"/>
        </w:rPr>
        <w:t xml:space="preserve"> </w:t>
      </w:r>
      <w:r w:rsidR="0010451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b/>
          <w:sz w:val="24"/>
          <w:szCs w:val="24"/>
        </w:rPr>
        <w:t>Sweden</w:t>
      </w:r>
      <w:r>
        <w:rPr>
          <w:rFonts w:ascii="Times New Roman" w:eastAsia="Times New Roman" w:hAnsi="Times New Roman" w:cs="Times New Roman"/>
          <w:sz w:val="24"/>
          <w:szCs w:val="24"/>
        </w:rPr>
        <w:t xml:space="preserve">, </w:t>
      </w:r>
      <w:r w:rsidR="00104515">
        <w:rPr>
          <w:rFonts w:ascii="Times New Roman" w:eastAsia="Times New Roman" w:hAnsi="Times New Roman" w:cs="Times New Roman"/>
          <w:sz w:val="24"/>
          <w:szCs w:val="24"/>
        </w:rPr>
        <w:t xml:space="preserve">progress is also limited, </w:t>
      </w:r>
      <w:r>
        <w:rPr>
          <w:rFonts w:ascii="Times New Roman" w:eastAsia="Times New Roman" w:hAnsi="Times New Roman" w:cs="Times New Roman"/>
          <w:sz w:val="24"/>
          <w:szCs w:val="24"/>
        </w:rPr>
        <w:t>despite the first signs that house price growth might be cooling down.</w:t>
      </w:r>
    </w:p>
    <w:p w:rsidR="00A543F3" w:rsidRDefault="00A543F3" w:rsidP="00A543F3">
      <w:pPr>
        <w:numPr>
          <w:ilvl w:val="0"/>
          <w:numId w:val="46"/>
        </w:numPr>
        <w:autoSpaceDE w:val="0"/>
        <w:autoSpaceDN w:val="0"/>
        <w:adjustRightInd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Cyprus, Croatia</w:t>
      </w:r>
      <w:r w:rsidR="0098626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Italy are identified, as in 2017, to be experiencing </w:t>
      </w:r>
      <w:r w:rsidRPr="008D2255">
        <w:rPr>
          <w:rFonts w:ascii="Times New Roman" w:eastAsia="Times New Roman" w:hAnsi="Times New Roman" w:cs="Times New Roman"/>
          <w:b/>
          <w:i/>
          <w:sz w:val="24"/>
          <w:szCs w:val="24"/>
        </w:rPr>
        <w:t>excessive imbalances.</w:t>
      </w:r>
      <w:r>
        <w:rPr>
          <w:rFonts w:ascii="Times New Roman" w:eastAsia="Times New Roman" w:hAnsi="Times New Roman" w:cs="Times New Roman"/>
          <w:sz w:val="24"/>
          <w:szCs w:val="24"/>
        </w:rPr>
        <w:t xml:space="preserve"> </w:t>
      </w:r>
      <w:r w:rsidR="00CA6822">
        <w:rPr>
          <w:rFonts w:ascii="Times New Roman" w:eastAsia="Times New Roman" w:hAnsi="Times New Roman" w:cs="Times New Roman"/>
          <w:sz w:val="24"/>
          <w:szCs w:val="24"/>
        </w:rPr>
        <w:t>Imbalances are being reduced</w:t>
      </w:r>
      <w:r>
        <w:rPr>
          <w:rFonts w:ascii="Times New Roman" w:eastAsia="Times New Roman" w:hAnsi="Times New Roman" w:cs="Times New Roman"/>
          <w:sz w:val="24"/>
          <w:szCs w:val="24"/>
        </w:rPr>
        <w:t xml:space="preserve"> in </w:t>
      </w:r>
      <w:r>
        <w:rPr>
          <w:rFonts w:ascii="Times New Roman" w:eastAsia="Times New Roman" w:hAnsi="Times New Roman" w:cs="Times New Roman"/>
          <w:b/>
          <w:sz w:val="24"/>
          <w:szCs w:val="24"/>
        </w:rPr>
        <w:t>Croatia</w:t>
      </w:r>
      <w:r w:rsidR="00986267">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Italy</w:t>
      </w:r>
      <w:r w:rsidR="00CA6822" w:rsidRPr="008D2255">
        <w:rPr>
          <w:rFonts w:ascii="Times New Roman" w:eastAsia="Times New Roman" w:hAnsi="Times New Roman" w:cs="Times New Roman"/>
          <w:sz w:val="24"/>
          <w:szCs w:val="24"/>
        </w:rPr>
        <w:t>, supported by a combination of reforms,</w:t>
      </w:r>
      <w:r>
        <w:rPr>
          <w:rFonts w:ascii="Times New Roman" w:eastAsia="Times New Roman" w:hAnsi="Times New Roman" w:cs="Times New Roman"/>
          <w:sz w:val="24"/>
          <w:szCs w:val="24"/>
        </w:rPr>
        <w:t xml:space="preserve"> favourable economic conditions</w:t>
      </w:r>
      <w:r w:rsidR="00CA682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a reduction of risks </w:t>
      </w:r>
      <w:r w:rsidR="00CA6822">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banking sector</w:t>
      </w:r>
      <w:r w:rsidR="00CA6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6822">
        <w:rPr>
          <w:rFonts w:ascii="Times New Roman" w:eastAsia="Times New Roman" w:hAnsi="Times New Roman" w:cs="Times New Roman"/>
          <w:sz w:val="24"/>
          <w:szCs w:val="24"/>
        </w:rPr>
        <w:t xml:space="preserve">There is </w:t>
      </w:r>
      <w:r>
        <w:rPr>
          <w:rFonts w:ascii="Times New Roman" w:eastAsia="Times New Roman" w:hAnsi="Times New Roman" w:cs="Times New Roman"/>
          <w:sz w:val="24"/>
          <w:szCs w:val="24"/>
        </w:rPr>
        <w:t xml:space="preserve">however </w:t>
      </w:r>
      <w:r w:rsidR="00CA6822">
        <w:rPr>
          <w:rFonts w:ascii="Times New Roman" w:eastAsia="Times New Roman" w:hAnsi="Times New Roman" w:cs="Times New Roman"/>
          <w:sz w:val="24"/>
          <w:szCs w:val="24"/>
        </w:rPr>
        <w:t xml:space="preserve">a need for more determined </w:t>
      </w:r>
      <w:r>
        <w:rPr>
          <w:rFonts w:ascii="Times New Roman" w:eastAsia="Times New Roman" w:hAnsi="Times New Roman" w:cs="Times New Roman"/>
          <w:sz w:val="24"/>
          <w:szCs w:val="24"/>
        </w:rPr>
        <w:t>policy implementation</w:t>
      </w:r>
      <w:r w:rsidR="00CA6822">
        <w:rPr>
          <w:rFonts w:ascii="Times New Roman" w:eastAsia="Times New Roman" w:hAnsi="Times New Roman" w:cs="Times New Roman"/>
          <w:sz w:val="24"/>
          <w:szCs w:val="24"/>
        </w:rPr>
        <w:t>, notably in Croatia</w:t>
      </w:r>
      <w:r>
        <w:rPr>
          <w:rFonts w:ascii="Times New Roman" w:eastAsia="Times New Roman" w:hAnsi="Times New Roman" w:cs="Times New Roman"/>
          <w:sz w:val="24"/>
          <w:szCs w:val="24"/>
        </w:rPr>
        <w:t xml:space="preserve">. </w:t>
      </w:r>
      <w:r w:rsidR="00CA682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 tangible </w:t>
      </w:r>
      <w:r w:rsidR="00CA6822">
        <w:rPr>
          <w:rFonts w:ascii="Times New Roman" w:eastAsia="Times New Roman" w:hAnsi="Times New Roman" w:cs="Times New Roman"/>
          <w:sz w:val="24"/>
          <w:szCs w:val="24"/>
        </w:rPr>
        <w:t>improvement</w:t>
      </w:r>
      <w:r>
        <w:rPr>
          <w:rFonts w:ascii="Times New Roman" w:eastAsia="Times New Roman" w:hAnsi="Times New Roman" w:cs="Times New Roman"/>
          <w:sz w:val="24"/>
          <w:szCs w:val="24"/>
        </w:rPr>
        <w:t xml:space="preserve"> is recorded in </w:t>
      </w:r>
      <w:r>
        <w:rPr>
          <w:rFonts w:ascii="Times New Roman" w:eastAsia="Times New Roman" w:hAnsi="Times New Roman" w:cs="Times New Roman"/>
          <w:b/>
          <w:sz w:val="24"/>
          <w:szCs w:val="24"/>
        </w:rPr>
        <w:t>Cyprus</w:t>
      </w:r>
      <w:r>
        <w:rPr>
          <w:rFonts w:ascii="Times New Roman" w:eastAsia="Times New Roman" w:hAnsi="Times New Roman" w:cs="Times New Roman"/>
          <w:sz w:val="24"/>
          <w:szCs w:val="24"/>
        </w:rPr>
        <w:t>, where policy implementation has also been rather limited.</w:t>
      </w:r>
    </w:p>
    <w:p w:rsidR="00CE59E1" w:rsidRPr="00CE59E1" w:rsidRDefault="00054060" w:rsidP="00CE59E1">
      <w:pPr>
        <w:pStyle w:val="Heading1"/>
        <w:tabs>
          <w:tab w:val="num" w:pos="850"/>
        </w:tabs>
        <w:ind w:left="850" w:hanging="850"/>
        <w:rPr>
          <w:rFonts w:eastAsia="Calibri"/>
        </w:rPr>
      </w:pPr>
      <w:r>
        <w:rPr>
          <w:rFonts w:eastAsia="Calibri"/>
        </w:rPr>
        <w:t>4.</w:t>
      </w:r>
      <w:r>
        <w:rPr>
          <w:rFonts w:eastAsia="Calibri"/>
        </w:rPr>
        <w:tab/>
      </w:r>
      <w:r w:rsidR="00CE59E1" w:rsidRPr="00CE59E1">
        <w:rPr>
          <w:rFonts w:eastAsia="Calibri"/>
        </w:rPr>
        <w:t xml:space="preserve">Member States </w:t>
      </w:r>
      <w:r w:rsidR="00FA0417">
        <w:rPr>
          <w:rFonts w:eastAsia="Calibri"/>
        </w:rPr>
        <w:t>p</w:t>
      </w:r>
      <w:r w:rsidR="00043A7C">
        <w:rPr>
          <w:rFonts w:eastAsia="Calibri"/>
        </w:rPr>
        <w:t>olicies</w:t>
      </w:r>
    </w:p>
    <w:p w:rsidR="00CE59E1" w:rsidRDefault="00CE59E1" w:rsidP="00CE59E1">
      <w:pPr>
        <w:spacing w:before="120" w:after="120" w:line="240" w:lineRule="auto"/>
        <w:jc w:val="both"/>
        <w:rPr>
          <w:rFonts w:ascii="Times New Roman" w:hAnsi="Times New Roman"/>
          <w:sz w:val="24"/>
          <w:szCs w:val="24"/>
        </w:rPr>
      </w:pPr>
      <w:r w:rsidRPr="00DD744A">
        <w:rPr>
          <w:rFonts w:ascii="Times New Roman" w:hAnsi="Times New Roman"/>
          <w:b/>
          <w:sz w:val="24"/>
          <w:szCs w:val="24"/>
        </w:rPr>
        <w:t xml:space="preserve">The present economic situation reflects the benefits of reforms taken in the recent past and provides </w:t>
      </w:r>
      <w:r>
        <w:rPr>
          <w:rFonts w:ascii="Times New Roman" w:hAnsi="Times New Roman"/>
          <w:b/>
          <w:sz w:val="24"/>
          <w:szCs w:val="24"/>
        </w:rPr>
        <w:t xml:space="preserve">a window of </w:t>
      </w:r>
      <w:r w:rsidRPr="00DD744A">
        <w:rPr>
          <w:rFonts w:ascii="Times New Roman" w:hAnsi="Times New Roman"/>
          <w:b/>
          <w:sz w:val="24"/>
          <w:szCs w:val="24"/>
        </w:rPr>
        <w:t xml:space="preserve">opportunity to </w:t>
      </w:r>
      <w:r>
        <w:rPr>
          <w:rFonts w:ascii="Times New Roman" w:hAnsi="Times New Roman"/>
          <w:b/>
          <w:sz w:val="24"/>
          <w:szCs w:val="24"/>
        </w:rPr>
        <w:t>address pending reform needs</w:t>
      </w:r>
      <w:r w:rsidRPr="00DD744A">
        <w:rPr>
          <w:rFonts w:ascii="Times New Roman" w:hAnsi="Times New Roman"/>
          <w:b/>
          <w:sz w:val="24"/>
          <w:szCs w:val="24"/>
        </w:rPr>
        <w:t>.</w:t>
      </w:r>
      <w:r>
        <w:rPr>
          <w:rFonts w:ascii="Times New Roman" w:hAnsi="Times New Roman"/>
          <w:sz w:val="24"/>
          <w:szCs w:val="24"/>
        </w:rPr>
        <w:t xml:space="preserve"> The benefits of structural reform in Member States in the past years are being felt across Europe. The degree of these benefits – in terms of declining unemployment, raising incomes, and renewed convergence –reflects differences in recent reform activity. Further momentum to reform economies, public administrations and welfare systems would help</w:t>
      </w:r>
      <w:r w:rsidRPr="000F0B1B">
        <w:rPr>
          <w:rFonts w:ascii="Times New Roman" w:hAnsi="Times New Roman"/>
          <w:sz w:val="24"/>
          <w:szCs w:val="24"/>
        </w:rPr>
        <w:t xml:space="preserve"> to improve the </w:t>
      </w:r>
      <w:r>
        <w:rPr>
          <w:rFonts w:ascii="Times New Roman" w:hAnsi="Times New Roman"/>
          <w:sz w:val="24"/>
          <w:szCs w:val="24"/>
        </w:rPr>
        <w:t xml:space="preserve">resilience of </w:t>
      </w:r>
      <w:r w:rsidRPr="000F0B1B">
        <w:rPr>
          <w:rFonts w:ascii="Times New Roman" w:hAnsi="Times New Roman"/>
          <w:sz w:val="24"/>
          <w:szCs w:val="24"/>
        </w:rPr>
        <w:t xml:space="preserve">Europe's economies and societies </w:t>
      </w:r>
      <w:r>
        <w:rPr>
          <w:rFonts w:ascii="Times New Roman" w:hAnsi="Times New Roman"/>
          <w:sz w:val="24"/>
          <w:szCs w:val="24"/>
        </w:rPr>
        <w:t xml:space="preserve">and weather macroeconomic shocks in the future. Adaptation to ongoing </w:t>
      </w:r>
      <w:r w:rsidRPr="000F0B1B">
        <w:rPr>
          <w:rFonts w:ascii="Times New Roman" w:hAnsi="Times New Roman"/>
          <w:sz w:val="24"/>
          <w:szCs w:val="24"/>
        </w:rPr>
        <w:t>structural change</w:t>
      </w:r>
      <w:r>
        <w:rPr>
          <w:rFonts w:ascii="Times New Roman" w:hAnsi="Times New Roman"/>
          <w:sz w:val="24"/>
          <w:szCs w:val="24"/>
        </w:rPr>
        <w:t xml:space="preserve"> would help</w:t>
      </w:r>
      <w:r w:rsidRPr="000F0B1B">
        <w:rPr>
          <w:rFonts w:ascii="Times New Roman" w:hAnsi="Times New Roman"/>
          <w:sz w:val="24"/>
          <w:szCs w:val="24"/>
        </w:rPr>
        <w:t xml:space="preserve"> narrow</w:t>
      </w:r>
      <w:r>
        <w:rPr>
          <w:rFonts w:ascii="Times New Roman" w:hAnsi="Times New Roman"/>
          <w:sz w:val="24"/>
          <w:szCs w:val="24"/>
        </w:rPr>
        <w:t>ing</w:t>
      </w:r>
      <w:r w:rsidRPr="000F0B1B">
        <w:rPr>
          <w:rFonts w:ascii="Times New Roman" w:hAnsi="Times New Roman"/>
          <w:sz w:val="24"/>
          <w:szCs w:val="24"/>
        </w:rPr>
        <w:t xml:space="preserve"> differences in productivity, and improve social outcomes.</w:t>
      </w:r>
      <w:r>
        <w:rPr>
          <w:rFonts w:ascii="Times New Roman" w:hAnsi="Times New Roman"/>
          <w:sz w:val="24"/>
          <w:szCs w:val="24"/>
        </w:rPr>
        <w:t xml:space="preserve"> Reforms will also help our economies to sustain the current expansion by removing supply side constraints. The present favourable economic outlook must not nurture complacency. </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 xml:space="preserve">It might </w:t>
      </w:r>
      <w:r w:rsidRPr="000F0B1B">
        <w:rPr>
          <w:rFonts w:ascii="Times New Roman" w:hAnsi="Times New Roman"/>
          <w:b/>
          <w:sz w:val="24"/>
          <w:szCs w:val="24"/>
        </w:rPr>
        <w:t xml:space="preserve">take </w:t>
      </w:r>
      <w:r>
        <w:rPr>
          <w:rFonts w:ascii="Times New Roman" w:hAnsi="Times New Roman"/>
          <w:b/>
          <w:sz w:val="24"/>
          <w:szCs w:val="24"/>
        </w:rPr>
        <w:t xml:space="preserve">time </w:t>
      </w:r>
      <w:r w:rsidRPr="000F0B1B">
        <w:rPr>
          <w:rFonts w:ascii="Times New Roman" w:hAnsi="Times New Roman"/>
          <w:b/>
          <w:sz w:val="24"/>
          <w:szCs w:val="24"/>
        </w:rPr>
        <w:t>before the benefits of reform</w:t>
      </w:r>
      <w:r>
        <w:rPr>
          <w:rFonts w:ascii="Times New Roman" w:hAnsi="Times New Roman"/>
          <w:b/>
          <w:sz w:val="24"/>
          <w:szCs w:val="24"/>
        </w:rPr>
        <w:t>s</w:t>
      </w:r>
      <w:r w:rsidRPr="000F0B1B">
        <w:rPr>
          <w:rFonts w:ascii="Times New Roman" w:hAnsi="Times New Roman"/>
          <w:b/>
          <w:sz w:val="24"/>
          <w:szCs w:val="24"/>
        </w:rPr>
        <w:t xml:space="preserve"> are </w:t>
      </w:r>
      <w:r>
        <w:rPr>
          <w:rFonts w:ascii="Times New Roman" w:hAnsi="Times New Roman"/>
          <w:b/>
          <w:sz w:val="24"/>
          <w:szCs w:val="24"/>
        </w:rPr>
        <w:t xml:space="preserve">fully </w:t>
      </w:r>
      <w:r w:rsidRPr="000F0B1B">
        <w:rPr>
          <w:rFonts w:ascii="Times New Roman" w:hAnsi="Times New Roman"/>
          <w:b/>
          <w:sz w:val="24"/>
          <w:szCs w:val="24"/>
        </w:rPr>
        <w:t xml:space="preserve">felt, </w:t>
      </w:r>
      <w:r>
        <w:rPr>
          <w:rFonts w:ascii="Times New Roman" w:hAnsi="Times New Roman"/>
          <w:b/>
          <w:sz w:val="24"/>
          <w:szCs w:val="24"/>
        </w:rPr>
        <w:t xml:space="preserve">but </w:t>
      </w:r>
      <w:r w:rsidRPr="000F0B1B">
        <w:rPr>
          <w:rFonts w:ascii="Times New Roman" w:hAnsi="Times New Roman"/>
          <w:b/>
          <w:sz w:val="24"/>
          <w:szCs w:val="24"/>
        </w:rPr>
        <w:t xml:space="preserve">experience shows that reforms work and that today's favourable conditions provide the right environment. </w:t>
      </w:r>
      <w:r>
        <w:rPr>
          <w:rFonts w:ascii="Times New Roman" w:hAnsi="Times New Roman"/>
          <w:sz w:val="24"/>
          <w:szCs w:val="24"/>
        </w:rPr>
        <w:t xml:space="preserve">Many reforms do not have significant pecuniary costs. Keeping </w:t>
      </w:r>
      <w:r w:rsidRPr="000F0B1B">
        <w:rPr>
          <w:rFonts w:ascii="Times New Roman" w:hAnsi="Times New Roman"/>
          <w:sz w:val="24"/>
          <w:szCs w:val="24"/>
        </w:rPr>
        <w:t xml:space="preserve">short-term </w:t>
      </w:r>
      <w:r>
        <w:rPr>
          <w:rFonts w:ascii="Times New Roman" w:hAnsi="Times New Roman"/>
          <w:sz w:val="24"/>
          <w:szCs w:val="24"/>
        </w:rPr>
        <w:t xml:space="preserve">economic </w:t>
      </w:r>
      <w:r w:rsidRPr="000F0B1B">
        <w:rPr>
          <w:rFonts w:ascii="Times New Roman" w:hAnsi="Times New Roman"/>
          <w:sz w:val="24"/>
          <w:szCs w:val="24"/>
        </w:rPr>
        <w:t xml:space="preserve">costs </w:t>
      </w:r>
      <w:r>
        <w:rPr>
          <w:rFonts w:ascii="Times New Roman" w:hAnsi="Times New Roman"/>
          <w:sz w:val="24"/>
          <w:szCs w:val="24"/>
        </w:rPr>
        <w:t xml:space="preserve">low and distributing them fairly can strengthen their efficiency and public support. This calls also for careful </w:t>
      </w:r>
      <w:r w:rsidRPr="000F0B1B">
        <w:rPr>
          <w:rFonts w:ascii="Times New Roman" w:hAnsi="Times New Roman"/>
          <w:sz w:val="24"/>
          <w:szCs w:val="24"/>
        </w:rPr>
        <w:t>sequencing and packag</w:t>
      </w:r>
      <w:r>
        <w:rPr>
          <w:rFonts w:ascii="Times New Roman" w:hAnsi="Times New Roman"/>
          <w:sz w:val="24"/>
          <w:szCs w:val="24"/>
        </w:rPr>
        <w:t xml:space="preserve">ing </w:t>
      </w:r>
      <w:r w:rsidRPr="000F0B1B">
        <w:rPr>
          <w:rFonts w:ascii="Times New Roman" w:hAnsi="Times New Roman"/>
          <w:sz w:val="24"/>
          <w:szCs w:val="24"/>
        </w:rPr>
        <w:t>of measures. For example, certain labour and product market reforms may have short-term costs as compared to long-term benefits, and tend to reinforce each other's impacts</w:t>
      </w:r>
      <w:r>
        <w:rPr>
          <w:rFonts w:ascii="Times New Roman" w:hAnsi="Times New Roman"/>
          <w:sz w:val="24"/>
          <w:szCs w:val="24"/>
        </w:rPr>
        <w:t>. In addition they can be supported by reforms that improve the quality and composition of public finances and in some Member States, by the use of the available fiscal space.</w:t>
      </w:r>
      <w:r w:rsidRPr="000F0B1B">
        <w:rPr>
          <w:rFonts w:ascii="Times New Roman" w:hAnsi="Times New Roman"/>
          <w:sz w:val="24"/>
          <w:szCs w:val="24"/>
        </w:rPr>
        <w:t xml:space="preserve"> </w:t>
      </w:r>
      <w:r>
        <w:rPr>
          <w:rFonts w:ascii="Times New Roman" w:hAnsi="Times New Roman"/>
          <w:sz w:val="24"/>
          <w:szCs w:val="24"/>
        </w:rPr>
        <w:t xml:space="preserve">In general, the political cost of implementing reforms tends to be lower during good economic times. This is yet another strong reason not to forego the opportunity provided by the present economic situation. </w:t>
      </w:r>
    </w:p>
    <w:p w:rsidR="00CE59E1" w:rsidRPr="003F1B1A" w:rsidRDefault="00CE59E1" w:rsidP="00CE59E1">
      <w:pPr>
        <w:spacing w:before="120" w:after="120" w:line="240" w:lineRule="auto"/>
        <w:jc w:val="both"/>
        <w:rPr>
          <w:rFonts w:ascii="Times New Roman" w:hAnsi="Times New Roman"/>
          <w:sz w:val="24"/>
          <w:szCs w:val="24"/>
        </w:rPr>
      </w:pPr>
      <w:r w:rsidRPr="003F1B1A">
        <w:rPr>
          <w:rFonts w:ascii="Times New Roman" w:hAnsi="Times New Roman"/>
          <w:b/>
          <w:sz w:val="24"/>
          <w:szCs w:val="24"/>
        </w:rPr>
        <w:t xml:space="preserve">Reforms require sound preparation and adequate administrative and technical capacity. </w:t>
      </w:r>
      <w:r w:rsidRPr="003F1B1A">
        <w:rPr>
          <w:rFonts w:ascii="Times New Roman" w:hAnsi="Times New Roman"/>
          <w:sz w:val="24"/>
          <w:szCs w:val="24"/>
        </w:rPr>
        <w:t>Reforms to enhance administrative capacity, efficiency and quality are an enabler of reforms. Reforms of public administrations have limited short-term costs and can be effective at any point of the cycle. They can be mutually supportive for other well-designed reforms that have important benefits in the form of confidence effects also in the short term. Building awareness of benefits, developing common ground amid divergent stakeholder interests, and putting focus on the common good is facilitated by sound preparatory work by an adequate administration. Timely implementation of some reforms may involve having appropriate</w:t>
      </w:r>
      <w:r w:rsidRPr="003F1B1A">
        <w:rPr>
          <w:rFonts w:ascii="Times New Roman" w:hAnsi="Times New Roman"/>
          <w:sz w:val="24"/>
        </w:rPr>
        <w:t xml:space="preserve"> legal and technical </w:t>
      </w:r>
      <w:r w:rsidRPr="003F1B1A">
        <w:rPr>
          <w:rFonts w:ascii="Times New Roman" w:hAnsi="Times New Roman"/>
          <w:sz w:val="24"/>
          <w:szCs w:val="24"/>
        </w:rPr>
        <w:t xml:space="preserve">(e.g. IT) conditions in place. Achievable and measurable outcomes of reforms need to be specified, monitored, and communicated. The Commission's Structural Reform Support Programme provides substantial technical support to Member States to provide the appropriate ground for successful reforms (see section 2). </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 xml:space="preserve">The involvement of national stakeholders, including social partners, is instrumental to successful, sustainable reforms. </w:t>
      </w:r>
      <w:r>
        <w:rPr>
          <w:rFonts w:ascii="Times New Roman" w:hAnsi="Times New Roman"/>
          <w:sz w:val="24"/>
          <w:szCs w:val="24"/>
        </w:rPr>
        <w:t>Stakeholders' c</w:t>
      </w:r>
      <w:r w:rsidRPr="00D976D2">
        <w:rPr>
          <w:rFonts w:ascii="Times New Roman" w:hAnsi="Times New Roman"/>
          <w:sz w:val="24"/>
          <w:szCs w:val="24"/>
        </w:rPr>
        <w:t xml:space="preserve">o-ownership of reforms </w:t>
      </w:r>
      <w:r>
        <w:rPr>
          <w:rFonts w:ascii="Times New Roman" w:hAnsi="Times New Roman"/>
          <w:sz w:val="24"/>
          <w:szCs w:val="24"/>
        </w:rPr>
        <w:t xml:space="preserve">improves the outlook on realisation and helps attaining appropriate outcomes, also in terms of fairness. While there is scope for going further, </w:t>
      </w:r>
      <w:r w:rsidRPr="00CF68D0">
        <w:rPr>
          <w:rFonts w:ascii="Times New Roman" w:hAnsi="Times New Roman"/>
          <w:sz w:val="24"/>
          <w:szCs w:val="24"/>
        </w:rPr>
        <w:t xml:space="preserve">Member States have taken steps to </w:t>
      </w:r>
      <w:r>
        <w:rPr>
          <w:rFonts w:ascii="Times New Roman" w:hAnsi="Times New Roman"/>
          <w:sz w:val="24"/>
          <w:szCs w:val="24"/>
        </w:rPr>
        <w:t>better involve</w:t>
      </w:r>
      <w:r w:rsidRPr="00CF68D0">
        <w:rPr>
          <w:rFonts w:ascii="Times New Roman" w:hAnsi="Times New Roman"/>
          <w:sz w:val="24"/>
          <w:szCs w:val="24"/>
        </w:rPr>
        <w:t xml:space="preserve"> social partners in the design and implementation of </w:t>
      </w:r>
      <w:r>
        <w:rPr>
          <w:rFonts w:ascii="Times New Roman" w:hAnsi="Times New Roman"/>
          <w:sz w:val="24"/>
          <w:szCs w:val="24"/>
        </w:rPr>
        <w:t xml:space="preserve">reforms. Estonia, Latvia, Lithuania and Slovakia have used support from the European Social Fund to enhance social partners' capacity to contribute to designing key reforms. </w:t>
      </w:r>
      <w:r w:rsidRPr="00CF68D0">
        <w:rPr>
          <w:rFonts w:ascii="Times New Roman" w:hAnsi="Times New Roman"/>
          <w:sz w:val="24"/>
          <w:szCs w:val="24"/>
        </w:rPr>
        <w:t xml:space="preserve">The French </w:t>
      </w:r>
      <w:r>
        <w:rPr>
          <w:rFonts w:ascii="Times New Roman" w:hAnsi="Times New Roman"/>
          <w:sz w:val="24"/>
          <w:szCs w:val="24"/>
        </w:rPr>
        <w:t>g</w:t>
      </w:r>
      <w:r w:rsidRPr="00CF68D0">
        <w:rPr>
          <w:rFonts w:ascii="Times New Roman" w:hAnsi="Times New Roman"/>
          <w:sz w:val="24"/>
          <w:szCs w:val="24"/>
        </w:rPr>
        <w:t>overnment invited social partners to negotiate a reform of</w:t>
      </w:r>
      <w:r>
        <w:rPr>
          <w:rFonts w:ascii="Times New Roman" w:hAnsi="Times New Roman"/>
          <w:sz w:val="24"/>
          <w:szCs w:val="24"/>
        </w:rPr>
        <w:t xml:space="preserve"> the</w:t>
      </w:r>
      <w:r w:rsidRPr="00CF68D0">
        <w:rPr>
          <w:rFonts w:ascii="Times New Roman" w:hAnsi="Times New Roman"/>
          <w:sz w:val="24"/>
          <w:szCs w:val="24"/>
        </w:rPr>
        <w:t xml:space="preserve"> unemployment insurance. Italian social partners signed a new agreement on </w:t>
      </w:r>
      <w:r>
        <w:rPr>
          <w:rFonts w:ascii="Times New Roman" w:hAnsi="Times New Roman"/>
          <w:sz w:val="24"/>
          <w:szCs w:val="24"/>
        </w:rPr>
        <w:t xml:space="preserve">the representativeness of </w:t>
      </w:r>
      <w:r w:rsidRPr="00CF68D0">
        <w:rPr>
          <w:rFonts w:ascii="Times New Roman" w:hAnsi="Times New Roman"/>
          <w:sz w:val="24"/>
          <w:szCs w:val="24"/>
        </w:rPr>
        <w:t>trade union</w:t>
      </w:r>
      <w:r>
        <w:rPr>
          <w:rFonts w:ascii="Times New Roman" w:hAnsi="Times New Roman"/>
          <w:sz w:val="24"/>
          <w:szCs w:val="24"/>
        </w:rPr>
        <w:t>s</w:t>
      </w:r>
      <w:r w:rsidRPr="00CF68D0">
        <w:rPr>
          <w:rFonts w:ascii="Times New Roman" w:hAnsi="Times New Roman"/>
          <w:sz w:val="24"/>
          <w:szCs w:val="24"/>
        </w:rPr>
        <w:t xml:space="preserve">. In Denmark, a tripartite agreement on adult education and training aims </w:t>
      </w:r>
      <w:r>
        <w:rPr>
          <w:rFonts w:ascii="Times New Roman" w:hAnsi="Times New Roman"/>
          <w:sz w:val="24"/>
          <w:szCs w:val="24"/>
        </w:rPr>
        <w:t xml:space="preserve">to improve </w:t>
      </w:r>
      <w:r w:rsidRPr="00CF68D0">
        <w:rPr>
          <w:rFonts w:ascii="Times New Roman" w:hAnsi="Times New Roman"/>
          <w:sz w:val="24"/>
          <w:szCs w:val="24"/>
        </w:rPr>
        <w:t xml:space="preserve">upskilling. </w:t>
      </w:r>
      <w:r>
        <w:rPr>
          <w:rFonts w:ascii="Times New Roman" w:hAnsi="Times New Roman"/>
          <w:sz w:val="24"/>
          <w:szCs w:val="24"/>
        </w:rPr>
        <w:t>In Portugal, f</w:t>
      </w:r>
      <w:r w:rsidRPr="00483A5F">
        <w:rPr>
          <w:rFonts w:ascii="Times New Roman" w:hAnsi="Times New Roman"/>
          <w:sz w:val="24"/>
          <w:szCs w:val="24"/>
        </w:rPr>
        <w:t xml:space="preserve">ollowing the publication of </w:t>
      </w:r>
      <w:r>
        <w:rPr>
          <w:rFonts w:ascii="Times New Roman" w:hAnsi="Times New Roman"/>
          <w:sz w:val="24"/>
          <w:szCs w:val="24"/>
        </w:rPr>
        <w:t>a</w:t>
      </w:r>
      <w:r w:rsidRPr="00483A5F">
        <w:rPr>
          <w:rFonts w:ascii="Times New Roman" w:hAnsi="Times New Roman"/>
          <w:sz w:val="24"/>
          <w:szCs w:val="24"/>
        </w:rPr>
        <w:t xml:space="preserve"> Green Book on Labour Relations</w:t>
      </w:r>
      <w:r>
        <w:rPr>
          <w:rFonts w:ascii="Times New Roman" w:hAnsi="Times New Roman"/>
          <w:sz w:val="24"/>
          <w:szCs w:val="24"/>
        </w:rPr>
        <w:t>,</w:t>
      </w:r>
      <w:r w:rsidRPr="00483A5F">
        <w:rPr>
          <w:rFonts w:ascii="Times New Roman" w:hAnsi="Times New Roman"/>
          <w:sz w:val="24"/>
          <w:szCs w:val="24"/>
        </w:rPr>
        <w:t xml:space="preserve"> the government began discussions with social partners on measures to tackle </w:t>
      </w:r>
      <w:r>
        <w:rPr>
          <w:rFonts w:ascii="Times New Roman" w:hAnsi="Times New Roman"/>
          <w:sz w:val="24"/>
          <w:szCs w:val="24"/>
        </w:rPr>
        <w:t xml:space="preserve">labour market </w:t>
      </w:r>
      <w:r w:rsidRPr="00483A5F">
        <w:rPr>
          <w:rFonts w:ascii="Times New Roman" w:hAnsi="Times New Roman"/>
          <w:sz w:val="24"/>
          <w:szCs w:val="24"/>
        </w:rPr>
        <w:t>segmentation</w:t>
      </w:r>
      <w:r>
        <w:rPr>
          <w:rFonts w:ascii="Times New Roman" w:hAnsi="Times New Roman"/>
          <w:sz w:val="24"/>
          <w:szCs w:val="24"/>
        </w:rPr>
        <w:t xml:space="preserve">. </w:t>
      </w:r>
      <w:r w:rsidRPr="003865E3">
        <w:rPr>
          <w:rFonts w:ascii="Times New Roman" w:hAnsi="Times New Roman"/>
          <w:sz w:val="24"/>
          <w:szCs w:val="24"/>
        </w:rPr>
        <w:t>In the Netherlands, social partners are being closely involved in the reform of the pension system.</w:t>
      </w:r>
      <w:r>
        <w:rPr>
          <w:rFonts w:ascii="Times New Roman" w:hAnsi="Times New Roman"/>
          <w:sz w:val="24"/>
          <w:szCs w:val="24"/>
        </w:rPr>
        <w:t xml:space="preserve"> Some Member States also involve civil society organisations in designing reforms. </w:t>
      </w:r>
    </w:p>
    <w:p w:rsidR="00CE59E1" w:rsidRDefault="00CE59E1" w:rsidP="00CE59E1">
      <w:pPr>
        <w:spacing w:before="120" w:after="120" w:line="240" w:lineRule="auto"/>
        <w:jc w:val="both"/>
        <w:rPr>
          <w:rFonts w:ascii="Times New Roman" w:hAnsi="Times New Roman"/>
          <w:sz w:val="24"/>
          <w:szCs w:val="24"/>
        </w:rPr>
      </w:pPr>
    </w:p>
    <w:p w:rsidR="00CE59E1" w:rsidRPr="00CE59E1" w:rsidRDefault="00CE59E1" w:rsidP="00CE59E1">
      <w:pPr>
        <w:pStyle w:val="Heading2"/>
        <w:tabs>
          <w:tab w:val="num" w:pos="850"/>
        </w:tabs>
        <w:ind w:left="850" w:hanging="850"/>
        <w:rPr>
          <w:rFonts w:eastAsia="Calibri"/>
        </w:rPr>
      </w:pPr>
      <w:r w:rsidRPr="00CE59E1">
        <w:rPr>
          <w:rFonts w:eastAsia="Calibri"/>
        </w:rPr>
        <w:t>4.1</w:t>
      </w:r>
      <w:r w:rsidRPr="00CE59E1">
        <w:rPr>
          <w:rFonts w:eastAsia="Calibri"/>
        </w:rPr>
        <w:tab/>
        <w:t>Responsible fiscal policies, effective and fair taxation, financial stability</w:t>
      </w:r>
    </w:p>
    <w:p w:rsidR="00CE59E1" w:rsidRDefault="00CE59E1" w:rsidP="00CE59E1">
      <w:pPr>
        <w:spacing w:before="120" w:after="120" w:line="240" w:lineRule="auto"/>
        <w:jc w:val="both"/>
        <w:rPr>
          <w:rFonts w:ascii="Times New Roman" w:eastAsia="Times New Roman" w:hAnsi="Times New Roman"/>
          <w:color w:val="000000"/>
          <w:sz w:val="24"/>
          <w:szCs w:val="24"/>
          <w:u w:color="000000"/>
          <w:bdr w:val="nil"/>
          <w:lang w:eastAsia="en-GB"/>
        </w:rPr>
      </w:pPr>
      <w:r w:rsidRPr="00D118E2">
        <w:rPr>
          <w:rFonts w:ascii="Times New Roman" w:eastAsia="Times New Roman" w:hAnsi="Times New Roman"/>
          <w:b/>
          <w:color w:val="000000"/>
          <w:sz w:val="24"/>
          <w:szCs w:val="24"/>
          <w:u w:color="000000"/>
          <w:bdr w:val="nil"/>
          <w:lang w:eastAsia="en-GB"/>
        </w:rPr>
        <w:t>Across the EU, public deficits and debt continue to decline</w:t>
      </w:r>
      <w:r>
        <w:rPr>
          <w:rFonts w:ascii="Times New Roman" w:eastAsia="Times New Roman" w:hAnsi="Times New Roman"/>
          <w:b/>
          <w:color w:val="000000"/>
          <w:sz w:val="24"/>
          <w:szCs w:val="24"/>
          <w:u w:color="000000"/>
          <w:bdr w:val="nil"/>
          <w:lang w:eastAsia="en-GB"/>
        </w:rPr>
        <w:t>,</w:t>
      </w:r>
      <w:r>
        <w:rPr>
          <w:rFonts w:ascii="Times New Roman" w:eastAsia="Times New Roman" w:hAnsi="Times New Roman"/>
          <w:color w:val="000000"/>
          <w:sz w:val="24"/>
          <w:szCs w:val="24"/>
          <w:u w:color="000000"/>
          <w:bdr w:val="nil"/>
          <w:lang w:eastAsia="en-GB"/>
        </w:rPr>
        <w:t xml:space="preserve"> </w:t>
      </w:r>
      <w:r w:rsidRPr="00CD3C08">
        <w:rPr>
          <w:rFonts w:ascii="Times New Roman" w:eastAsia="Times New Roman" w:hAnsi="Times New Roman"/>
          <w:b/>
          <w:color w:val="000000"/>
          <w:sz w:val="24"/>
          <w:szCs w:val="24"/>
          <w:u w:color="000000"/>
          <w:bdr w:val="nil"/>
          <w:lang w:eastAsia="en-GB"/>
        </w:rPr>
        <w:t>mainly on the back of accelerating growth and low interest rates.</w:t>
      </w:r>
      <w:r>
        <w:rPr>
          <w:rFonts w:ascii="Times New Roman" w:eastAsia="Times New Roman" w:hAnsi="Times New Roman"/>
          <w:color w:val="000000"/>
          <w:sz w:val="24"/>
          <w:szCs w:val="24"/>
          <w:u w:color="000000"/>
          <w:bdr w:val="nil"/>
          <w:lang w:eastAsia="en-GB"/>
        </w:rPr>
        <w:t xml:space="preserve"> In the context of a further strengthened economic outlook, the Commission expects t</w:t>
      </w:r>
      <w:r w:rsidRPr="00EB3924">
        <w:rPr>
          <w:rFonts w:ascii="Times New Roman" w:eastAsia="Times New Roman" w:hAnsi="Times New Roman"/>
          <w:color w:val="000000"/>
          <w:sz w:val="24"/>
          <w:szCs w:val="24"/>
          <w:u w:color="000000"/>
          <w:bdr w:val="nil"/>
          <w:lang w:eastAsia="en-GB"/>
        </w:rPr>
        <w:t xml:space="preserve">he headline government balance to improve </w:t>
      </w:r>
      <w:r>
        <w:rPr>
          <w:rFonts w:ascii="Times New Roman" w:eastAsia="Times New Roman" w:hAnsi="Times New Roman"/>
          <w:color w:val="000000"/>
          <w:sz w:val="24"/>
          <w:szCs w:val="24"/>
          <w:u w:color="000000"/>
          <w:bdr w:val="nil"/>
          <w:lang w:eastAsia="en-GB"/>
        </w:rPr>
        <w:t>further in the EU, with subsequent reductions of the debt-to-GDP ratio in almost all Member States in the years ahead. The current supportive economic environment provides opportunity to build up the fiscal buffers necessary to strengthen to resilience to shocks.</w:t>
      </w:r>
    </w:p>
    <w:p w:rsidR="00CE59E1" w:rsidRDefault="00CE59E1" w:rsidP="00CE59E1">
      <w:pPr>
        <w:spacing w:before="120" w:after="120" w:line="240" w:lineRule="auto"/>
        <w:jc w:val="both"/>
        <w:rPr>
          <w:rFonts w:ascii="Times New Roman" w:hAnsi="Times New Roman"/>
          <w:sz w:val="24"/>
          <w:szCs w:val="24"/>
          <w:lang w:eastAsia="en-GB"/>
        </w:rPr>
      </w:pPr>
      <w:r>
        <w:rPr>
          <w:rFonts w:ascii="Times New Roman" w:hAnsi="Times New Roman"/>
          <w:b/>
          <w:bCs/>
          <w:sz w:val="24"/>
          <w:szCs w:val="24"/>
          <w:lang w:eastAsia="en-GB"/>
        </w:rPr>
        <w:t xml:space="preserve">Fiscal governance has been improved in a number of Member States; continuing improvements would help make public finances more sustainable and predictable.  </w:t>
      </w:r>
      <w:r>
        <w:rPr>
          <w:rFonts w:ascii="Times New Roman" w:hAnsi="Times New Roman"/>
          <w:sz w:val="24"/>
          <w:szCs w:val="24"/>
          <w:lang w:eastAsia="en-GB"/>
        </w:rPr>
        <w:t xml:space="preserve">Bulgaria recently amended its Public Finance Act aiming to achieve full compliance with EU requirements. In the Czech Republic, a new fiscal responsibility law has significantly strengthened fiscal governance. Lithuania refined the application of its national expenditure rules and accountability for meeting fiscal targets. Malta is introducing accrual accounting in all government departments. All Member States except Poland and the Czech Republic, pending parliamentary endorsement of members in the latter, have in place independent fiscal councils. Some challenges to national fiscal governance still prevail though. The financial autonomy of independent fiscal institutions could be strengthened in some Member States. Better coordination of fiscal planning across levels of government is needed in Member States with federal constitutional structures. </w:t>
      </w:r>
    </w:p>
    <w:p w:rsidR="00CE59E1" w:rsidRPr="00580C69" w:rsidRDefault="00CE59E1" w:rsidP="00CE59E1">
      <w:pPr>
        <w:spacing w:before="120" w:after="120" w:line="240" w:lineRule="auto"/>
        <w:jc w:val="both"/>
        <w:rPr>
          <w:rFonts w:ascii="Times New Roman" w:hAnsi="Times New Roman"/>
          <w:b/>
          <w:sz w:val="24"/>
          <w:szCs w:val="24"/>
          <w:lang w:eastAsia="en-GB"/>
        </w:rPr>
      </w:pPr>
      <w:r>
        <w:rPr>
          <w:rFonts w:ascii="Times New Roman" w:hAnsi="Times New Roman"/>
          <w:b/>
          <w:sz w:val="24"/>
          <w:szCs w:val="24"/>
          <w:lang w:eastAsia="en-GB"/>
        </w:rPr>
        <w:t>Rigorously implemented e</w:t>
      </w:r>
      <w:r w:rsidRPr="00CA7F77">
        <w:rPr>
          <w:rFonts w:ascii="Times New Roman" w:hAnsi="Times New Roman"/>
          <w:b/>
          <w:sz w:val="24"/>
          <w:szCs w:val="24"/>
          <w:lang w:eastAsia="en-GB"/>
        </w:rPr>
        <w:t xml:space="preserve">xpenditure reviews </w:t>
      </w:r>
      <w:r>
        <w:rPr>
          <w:rFonts w:ascii="Times New Roman" w:hAnsi="Times New Roman"/>
          <w:b/>
          <w:sz w:val="24"/>
          <w:szCs w:val="24"/>
          <w:lang w:eastAsia="en-GB"/>
        </w:rPr>
        <w:t xml:space="preserve">are conducive to </w:t>
      </w:r>
      <w:r w:rsidRPr="00CA7F77">
        <w:rPr>
          <w:rFonts w:ascii="Times New Roman" w:hAnsi="Times New Roman"/>
          <w:b/>
          <w:sz w:val="24"/>
          <w:szCs w:val="24"/>
          <w:lang w:eastAsia="en-GB"/>
        </w:rPr>
        <w:t xml:space="preserve">spending taxpayers' money efficiently. </w:t>
      </w:r>
      <w:r w:rsidRPr="00DF3DCC">
        <w:rPr>
          <w:rFonts w:ascii="Times New Roman" w:hAnsi="Times New Roman"/>
          <w:sz w:val="24"/>
          <w:szCs w:val="24"/>
          <w:lang w:eastAsia="en-GB"/>
        </w:rPr>
        <w:t>They have the potential to improve the outcome</w:t>
      </w:r>
      <w:r>
        <w:rPr>
          <w:rFonts w:ascii="Times New Roman" w:hAnsi="Times New Roman"/>
          <w:sz w:val="24"/>
          <w:szCs w:val="24"/>
          <w:lang w:eastAsia="en-GB"/>
        </w:rPr>
        <w:t>s</w:t>
      </w:r>
      <w:r w:rsidRPr="00DF3DCC">
        <w:rPr>
          <w:rFonts w:ascii="Times New Roman" w:hAnsi="Times New Roman"/>
          <w:sz w:val="24"/>
          <w:szCs w:val="24"/>
          <w:lang w:eastAsia="en-GB"/>
        </w:rPr>
        <w:t xml:space="preserve"> of public policy and allocation of public funding across policy priorities</w:t>
      </w:r>
      <w:r w:rsidRPr="00580C69">
        <w:rPr>
          <w:rFonts w:ascii="Times New Roman" w:hAnsi="Times New Roman"/>
          <w:sz w:val="24"/>
          <w:szCs w:val="24"/>
          <w:lang w:eastAsia="en-GB"/>
        </w:rPr>
        <w:t>, w</w:t>
      </w:r>
      <w:r w:rsidRPr="00DF3DCC">
        <w:rPr>
          <w:rFonts w:ascii="Times New Roman" w:hAnsi="Times New Roman"/>
          <w:sz w:val="24"/>
          <w:szCs w:val="24"/>
          <w:lang w:eastAsia="en-GB"/>
        </w:rPr>
        <w:t>hile maintaining fiscal responsibility.</w:t>
      </w:r>
      <w:r>
        <w:rPr>
          <w:rFonts w:ascii="Times New Roman" w:hAnsi="Times New Roman"/>
          <w:sz w:val="24"/>
          <w:szCs w:val="24"/>
          <w:lang w:eastAsia="en-GB"/>
        </w:rPr>
        <w:t xml:space="preserve"> Spending reviews are ongoing in many Member States.</w:t>
      </w:r>
      <w:r>
        <w:rPr>
          <w:rStyle w:val="FootnoteReference"/>
          <w:rFonts w:ascii="Times New Roman" w:hAnsi="Times New Roman"/>
          <w:sz w:val="24"/>
          <w:szCs w:val="24"/>
          <w:lang w:eastAsia="en-GB"/>
        </w:rPr>
        <w:footnoteReference w:id="14"/>
      </w:r>
      <w:r>
        <w:rPr>
          <w:rFonts w:ascii="Times New Roman" w:hAnsi="Times New Roman"/>
          <w:sz w:val="24"/>
          <w:szCs w:val="24"/>
          <w:lang w:eastAsia="en-GB"/>
        </w:rPr>
        <w:t xml:space="preserve"> </w:t>
      </w:r>
      <w:r w:rsidRPr="006869EE">
        <w:rPr>
          <w:rFonts w:ascii="Times New Roman" w:hAnsi="Times New Roman"/>
          <w:sz w:val="24"/>
          <w:szCs w:val="24"/>
          <w:lang w:eastAsia="en-GB"/>
        </w:rPr>
        <w:t xml:space="preserve">For example, Spain mandated its independent fiscal institution, AIReF, to carry out a review across government levels. Some initiatives are also </w:t>
      </w:r>
      <w:r>
        <w:rPr>
          <w:rFonts w:ascii="Times New Roman" w:hAnsi="Times New Roman"/>
          <w:sz w:val="24"/>
          <w:szCs w:val="24"/>
          <w:lang w:eastAsia="en-GB"/>
        </w:rPr>
        <w:t>underway</w:t>
      </w:r>
      <w:r w:rsidRPr="006869EE">
        <w:rPr>
          <w:rFonts w:ascii="Times New Roman" w:hAnsi="Times New Roman"/>
          <w:sz w:val="24"/>
          <w:szCs w:val="24"/>
          <w:lang w:eastAsia="en-GB"/>
        </w:rPr>
        <w:t xml:space="preserve"> outside the euro area, for </w:t>
      </w:r>
      <w:r>
        <w:rPr>
          <w:rFonts w:ascii="Times New Roman" w:hAnsi="Times New Roman"/>
          <w:sz w:val="24"/>
          <w:szCs w:val="24"/>
          <w:lang w:eastAsia="en-GB"/>
        </w:rPr>
        <w:t xml:space="preserve">example </w:t>
      </w:r>
      <w:r w:rsidRPr="006869EE">
        <w:rPr>
          <w:rFonts w:ascii="Times New Roman" w:hAnsi="Times New Roman"/>
          <w:sz w:val="24"/>
          <w:szCs w:val="24"/>
          <w:lang w:eastAsia="en-GB"/>
        </w:rPr>
        <w:t>in Bulgaria</w:t>
      </w:r>
      <w:r>
        <w:rPr>
          <w:rFonts w:ascii="Times New Roman" w:hAnsi="Times New Roman"/>
          <w:sz w:val="24"/>
          <w:szCs w:val="24"/>
          <w:lang w:eastAsia="en-GB"/>
        </w:rPr>
        <w:t xml:space="preserve"> where a </w:t>
      </w:r>
      <w:r w:rsidRPr="00BD5074">
        <w:rPr>
          <w:rFonts w:ascii="Times New Roman" w:hAnsi="Times New Roman"/>
          <w:sz w:val="24"/>
          <w:szCs w:val="24"/>
          <w:lang w:eastAsia="en-GB"/>
        </w:rPr>
        <w:t xml:space="preserve">spending reviews focusing on maintenance and staff expenditure in </w:t>
      </w:r>
      <w:r>
        <w:rPr>
          <w:rFonts w:ascii="Times New Roman" w:hAnsi="Times New Roman"/>
          <w:sz w:val="24"/>
          <w:szCs w:val="24"/>
          <w:lang w:eastAsia="en-GB"/>
        </w:rPr>
        <w:t xml:space="preserve">several </w:t>
      </w:r>
      <w:r w:rsidRPr="00BD5074">
        <w:rPr>
          <w:rFonts w:ascii="Times New Roman" w:hAnsi="Times New Roman"/>
          <w:sz w:val="24"/>
          <w:szCs w:val="24"/>
          <w:lang w:eastAsia="en-GB"/>
        </w:rPr>
        <w:t>ministries and municipalities</w:t>
      </w:r>
      <w:r>
        <w:rPr>
          <w:rFonts w:ascii="Times New Roman" w:hAnsi="Times New Roman"/>
          <w:sz w:val="24"/>
          <w:szCs w:val="24"/>
          <w:lang w:eastAsia="en-GB"/>
        </w:rPr>
        <w:t xml:space="preserve"> is ongoing.</w:t>
      </w:r>
    </w:p>
    <w:p w:rsidR="00CE59E1" w:rsidRDefault="00CE59E1" w:rsidP="00CE59E1">
      <w:pPr>
        <w:spacing w:before="120" w:after="120" w:line="240" w:lineRule="auto"/>
        <w:jc w:val="both"/>
        <w:rPr>
          <w:rFonts w:ascii="Times New Roman" w:eastAsia="Times New Roman" w:hAnsi="Times New Roman"/>
          <w:color w:val="000000"/>
          <w:sz w:val="24"/>
          <w:szCs w:val="24"/>
          <w:u w:color="000000"/>
          <w:bdr w:val="nil"/>
          <w:lang w:eastAsia="en-GB"/>
        </w:rPr>
      </w:pPr>
      <w:r>
        <w:rPr>
          <w:rFonts w:ascii="Times New Roman" w:eastAsia="Times New Roman" w:hAnsi="Times New Roman"/>
          <w:b/>
          <w:color w:val="000000"/>
          <w:sz w:val="24"/>
          <w:szCs w:val="24"/>
          <w:u w:color="000000"/>
          <w:bdr w:val="nil"/>
          <w:lang w:eastAsia="en-GB"/>
        </w:rPr>
        <w:t xml:space="preserve">Both public and private </w:t>
      </w:r>
      <w:r w:rsidRPr="003F1B1A">
        <w:rPr>
          <w:rFonts w:ascii="Times New Roman" w:eastAsia="Times New Roman" w:hAnsi="Times New Roman"/>
          <w:b/>
          <w:color w:val="000000"/>
          <w:sz w:val="24"/>
          <w:szCs w:val="24"/>
          <w:u w:color="000000"/>
          <w:bdr w:val="nil"/>
          <w:lang w:eastAsia="en-GB"/>
        </w:rPr>
        <w:t>investment need to be safe</w:t>
      </w:r>
      <w:r w:rsidRPr="003F1B1A">
        <w:rPr>
          <w:rFonts w:ascii="Times New Roman" w:eastAsia="Times New Roman" w:hAnsi="Times New Roman"/>
          <w:b/>
          <w:color w:val="000000"/>
          <w:sz w:val="24"/>
          <w:szCs w:val="24"/>
          <w:u w:color="000000"/>
          <w:bdr w:val="nil"/>
          <w:lang w:eastAsia="en-GB"/>
        </w:rPr>
        <w:softHyphen/>
        <w:t>guarded to strengthen the growth potential of the euro area.</w:t>
      </w:r>
      <w:r w:rsidRPr="003F1B1A">
        <w:rPr>
          <w:rFonts w:ascii="Times New Roman" w:eastAsia="Times New Roman" w:hAnsi="Times New Roman"/>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 xml:space="preserve">In the case of public spending, this can be achieved through a right fiscal composition and improving the quality of public finances. </w:t>
      </w:r>
      <w:r w:rsidRPr="003F1B1A">
        <w:rPr>
          <w:rFonts w:ascii="Times New Roman" w:eastAsia="Times New Roman" w:hAnsi="Times New Roman"/>
          <w:color w:val="000000"/>
          <w:sz w:val="24"/>
          <w:szCs w:val="24"/>
          <w:u w:color="000000"/>
          <w:bdr w:val="nil"/>
          <w:lang w:eastAsia="en-GB"/>
        </w:rPr>
        <w:t xml:space="preserve">Some Member States have adopted multi-annual plans to boost spending on public investment. France adopted a 'Grand plan d'investissement 2018-2022' to prepare the economy for future challenges. Ireland </w:t>
      </w:r>
      <w:r>
        <w:rPr>
          <w:rFonts w:ascii="Times New Roman" w:eastAsia="Times New Roman" w:hAnsi="Times New Roman"/>
          <w:color w:val="000000"/>
          <w:sz w:val="24"/>
          <w:szCs w:val="24"/>
          <w:u w:color="000000"/>
          <w:bdr w:val="nil"/>
          <w:lang w:eastAsia="en-GB"/>
        </w:rPr>
        <w:t>further developed i</w:t>
      </w:r>
      <w:r w:rsidRPr="003F1B1A">
        <w:rPr>
          <w:rFonts w:ascii="Times New Roman" w:eastAsia="Times New Roman" w:hAnsi="Times New Roman"/>
          <w:color w:val="000000"/>
          <w:sz w:val="24"/>
          <w:szCs w:val="24"/>
          <w:u w:color="000000"/>
          <w:bdr w:val="nil"/>
          <w:lang w:eastAsia="en-GB"/>
        </w:rPr>
        <w:t xml:space="preserve">ts 'Capital Investment Plan for 2018-2021' to tackle infrastructure bottlenecks that have resulted from reduced public investment in the aftermath of the crisis in areas such as housing, transport and water infrastructure. Germany made progress in addressing capacity and planning constraints for infrastructure investments, in specific sectors, such as transport. </w:t>
      </w:r>
      <w:r>
        <w:rPr>
          <w:rFonts w:ascii="Times New Roman" w:eastAsia="Times New Roman" w:hAnsi="Times New Roman"/>
          <w:color w:val="000000"/>
          <w:sz w:val="24"/>
          <w:szCs w:val="24"/>
          <w:u w:color="000000"/>
          <w:bdr w:val="nil"/>
          <w:lang w:eastAsia="en-GB"/>
        </w:rPr>
        <w:t>Efforts should continue to mobilise private investment, in</w:t>
      </w:r>
      <w:r w:rsidR="005B52A7">
        <w:rPr>
          <w:rFonts w:ascii="Times New Roman" w:eastAsia="Times New Roman" w:hAnsi="Times New Roman"/>
          <w:color w:val="000000"/>
          <w:sz w:val="24"/>
          <w:szCs w:val="24"/>
          <w:u w:color="000000"/>
          <w:bdr w:val="nil"/>
          <w:lang w:eastAsia="en-GB"/>
        </w:rPr>
        <w:t xml:space="preserve">cluding </w:t>
      </w:r>
      <w:r>
        <w:rPr>
          <w:rFonts w:ascii="Times New Roman" w:eastAsia="Times New Roman" w:hAnsi="Times New Roman"/>
          <w:color w:val="000000"/>
          <w:sz w:val="24"/>
          <w:szCs w:val="24"/>
          <w:u w:color="000000"/>
          <w:bdr w:val="nil"/>
          <w:lang w:eastAsia="en-GB"/>
        </w:rPr>
        <w:t xml:space="preserve"> through Pu</w:t>
      </w:r>
      <w:r w:rsidR="005B52A7">
        <w:rPr>
          <w:rFonts w:ascii="Times New Roman" w:eastAsia="Times New Roman" w:hAnsi="Times New Roman"/>
          <w:color w:val="000000"/>
          <w:sz w:val="24"/>
          <w:szCs w:val="24"/>
          <w:u w:color="000000"/>
          <w:bdr w:val="nil"/>
          <w:lang w:eastAsia="en-GB"/>
        </w:rPr>
        <w:t>bl</w:t>
      </w:r>
      <w:r>
        <w:rPr>
          <w:rFonts w:ascii="Times New Roman" w:eastAsia="Times New Roman" w:hAnsi="Times New Roman"/>
          <w:color w:val="000000"/>
          <w:sz w:val="24"/>
          <w:szCs w:val="24"/>
          <w:u w:color="000000"/>
          <w:bdr w:val="nil"/>
          <w:lang w:eastAsia="en-GB"/>
        </w:rPr>
        <w:t xml:space="preserve">ic Private Partnerships.    </w:t>
      </w:r>
    </w:p>
    <w:p w:rsidR="00CE59E1" w:rsidRDefault="00CE59E1" w:rsidP="00DD7928">
      <w:pPr>
        <w:spacing w:before="120" w:after="120" w:line="240" w:lineRule="auto"/>
        <w:jc w:val="both"/>
        <w:rPr>
          <w:rFonts w:ascii="Times New Roman" w:eastAsia="Times New Roman" w:hAnsi="Times New Roman"/>
          <w:color w:val="000000"/>
          <w:sz w:val="24"/>
          <w:szCs w:val="24"/>
          <w:u w:color="000000"/>
          <w:bdr w:val="nil"/>
          <w:lang w:eastAsia="en-GB"/>
        </w:rPr>
      </w:pPr>
      <w:r w:rsidRPr="00306366">
        <w:rPr>
          <w:rFonts w:ascii="Times New Roman" w:eastAsia="Times New Roman" w:hAnsi="Times New Roman"/>
          <w:b/>
          <w:color w:val="000000"/>
          <w:sz w:val="24"/>
          <w:szCs w:val="24"/>
          <w:u w:color="000000"/>
          <w:bdr w:val="nil"/>
          <w:lang w:eastAsia="en-GB"/>
        </w:rPr>
        <w:t xml:space="preserve">Healthcare and pension reforms are needed to maintain </w:t>
      </w:r>
      <w:r>
        <w:rPr>
          <w:rFonts w:ascii="Times New Roman" w:eastAsia="Times New Roman" w:hAnsi="Times New Roman"/>
          <w:b/>
          <w:color w:val="000000"/>
          <w:sz w:val="24"/>
          <w:szCs w:val="24"/>
          <w:u w:color="000000"/>
          <w:bdr w:val="nil"/>
          <w:lang w:eastAsia="en-GB"/>
        </w:rPr>
        <w:t xml:space="preserve">sustainability, </w:t>
      </w:r>
      <w:r w:rsidRPr="00306366">
        <w:rPr>
          <w:rFonts w:ascii="Times New Roman" w:eastAsia="Times New Roman" w:hAnsi="Times New Roman"/>
          <w:b/>
          <w:color w:val="000000"/>
          <w:sz w:val="24"/>
          <w:szCs w:val="24"/>
          <w:u w:color="000000"/>
          <w:bdr w:val="nil"/>
          <w:lang w:eastAsia="en-GB"/>
        </w:rPr>
        <w:t>accessibility</w:t>
      </w:r>
      <w:r w:rsidR="008F125A">
        <w:rPr>
          <w:rFonts w:ascii="Times New Roman" w:eastAsia="Times New Roman" w:hAnsi="Times New Roman"/>
          <w:b/>
          <w:color w:val="000000"/>
          <w:sz w:val="24"/>
          <w:szCs w:val="24"/>
          <w:u w:color="000000"/>
          <w:bdr w:val="nil"/>
          <w:lang w:eastAsia="en-GB"/>
        </w:rPr>
        <w:t xml:space="preserve"> and</w:t>
      </w:r>
      <w:r w:rsidRPr="00306366">
        <w:rPr>
          <w:rFonts w:ascii="Times New Roman" w:eastAsia="Times New Roman" w:hAnsi="Times New Roman"/>
          <w:b/>
          <w:color w:val="000000"/>
          <w:sz w:val="24"/>
          <w:szCs w:val="24"/>
          <w:u w:color="000000"/>
          <w:bdr w:val="nil"/>
          <w:lang w:eastAsia="en-GB"/>
        </w:rPr>
        <w:t xml:space="preserve"> quality of the respective systems</w:t>
      </w:r>
      <w:r>
        <w:rPr>
          <w:rFonts w:ascii="Times New Roman" w:eastAsia="Times New Roman" w:hAnsi="Times New Roman"/>
          <w:b/>
          <w:color w:val="000000"/>
          <w:sz w:val="24"/>
          <w:szCs w:val="24"/>
          <w:u w:color="000000"/>
          <w:bdr w:val="nil"/>
          <w:lang w:eastAsia="en-GB"/>
        </w:rPr>
        <w:t>, while ensuring adequacy</w:t>
      </w:r>
      <w:r w:rsidRPr="00306366">
        <w:rPr>
          <w:rFonts w:ascii="Times New Roman" w:eastAsia="Times New Roman" w:hAnsi="Times New Roman"/>
          <w:b/>
          <w:color w:val="000000"/>
          <w:sz w:val="24"/>
          <w:szCs w:val="24"/>
          <w:u w:color="000000"/>
          <w:bdr w:val="nil"/>
          <w:lang w:eastAsia="en-GB"/>
        </w:rPr>
        <w:t xml:space="preserve">. </w:t>
      </w:r>
      <w:r w:rsidRPr="00306366">
        <w:rPr>
          <w:rFonts w:ascii="Times New Roman" w:eastAsia="Times New Roman" w:hAnsi="Times New Roman"/>
          <w:color w:val="000000"/>
          <w:sz w:val="24"/>
          <w:szCs w:val="24"/>
          <w:u w:color="000000"/>
          <w:bdr w:val="nil"/>
          <w:lang w:eastAsia="en-GB"/>
        </w:rPr>
        <w:t>Together</w:t>
      </w:r>
      <w:r>
        <w:rPr>
          <w:rFonts w:ascii="Times New Roman" w:eastAsia="Times New Roman" w:hAnsi="Times New Roman"/>
          <w:color w:val="000000"/>
          <w:sz w:val="24"/>
          <w:szCs w:val="24"/>
          <w:u w:color="000000"/>
          <w:bdr w:val="nil"/>
          <w:lang w:eastAsia="en-GB"/>
        </w:rPr>
        <w:t xml:space="preserve"> with the faster growth of the population groups over 60 and technological progress in healthcare, healthcare and pensions are among the largest and fastest-growing public spending sectors. </w:t>
      </w:r>
      <w:r w:rsidR="00362755" w:rsidRPr="00DD7928">
        <w:rPr>
          <w:rFonts w:ascii="Times New Roman" w:eastAsia="Times New Roman" w:hAnsi="Times New Roman"/>
          <w:color w:val="000000"/>
          <w:sz w:val="24"/>
          <w:szCs w:val="24"/>
          <w:u w:color="000000"/>
          <w:bdr w:val="nil"/>
          <w:lang w:eastAsia="en-GB"/>
        </w:rPr>
        <w:t xml:space="preserve">Informal payments to obtain differentiated treatment and access to healthcare </w:t>
      </w:r>
      <w:r w:rsidR="009945FF">
        <w:rPr>
          <w:rFonts w:ascii="Times New Roman" w:eastAsia="Times New Roman" w:hAnsi="Times New Roman"/>
          <w:color w:val="000000"/>
          <w:sz w:val="24"/>
          <w:szCs w:val="24"/>
          <w:u w:color="000000"/>
          <w:bdr w:val="nil"/>
          <w:lang w:eastAsia="en-GB"/>
        </w:rPr>
        <w:t xml:space="preserve">are </w:t>
      </w:r>
      <w:r w:rsidR="00731741">
        <w:rPr>
          <w:rFonts w:ascii="Times New Roman" w:eastAsia="Times New Roman" w:hAnsi="Times New Roman"/>
          <w:color w:val="000000"/>
          <w:sz w:val="24"/>
          <w:szCs w:val="24"/>
          <w:u w:color="000000"/>
          <w:bdr w:val="nil"/>
          <w:lang w:eastAsia="en-GB"/>
        </w:rPr>
        <w:t xml:space="preserve">still </w:t>
      </w:r>
      <w:r w:rsidR="009945FF">
        <w:rPr>
          <w:rFonts w:ascii="Times New Roman" w:eastAsia="Times New Roman" w:hAnsi="Times New Roman"/>
          <w:color w:val="000000"/>
          <w:sz w:val="24"/>
          <w:szCs w:val="24"/>
          <w:u w:color="000000"/>
          <w:bdr w:val="nil"/>
          <w:lang w:eastAsia="en-GB"/>
        </w:rPr>
        <w:t xml:space="preserve">an issue in some Member States and </w:t>
      </w:r>
      <w:r w:rsidR="00362755">
        <w:rPr>
          <w:rFonts w:ascii="Times New Roman" w:eastAsia="Times New Roman" w:hAnsi="Times New Roman"/>
          <w:color w:val="000000"/>
          <w:sz w:val="24"/>
          <w:szCs w:val="24"/>
          <w:u w:color="000000"/>
          <w:bdr w:val="nil"/>
          <w:lang w:eastAsia="en-GB"/>
        </w:rPr>
        <w:t>have</w:t>
      </w:r>
      <w:r w:rsidR="00362755" w:rsidRPr="00DD7928">
        <w:rPr>
          <w:rFonts w:ascii="Times New Roman" w:eastAsia="Times New Roman" w:hAnsi="Times New Roman"/>
          <w:color w:val="000000"/>
          <w:sz w:val="24"/>
          <w:szCs w:val="24"/>
          <w:u w:color="000000"/>
          <w:bdr w:val="nil"/>
          <w:lang w:eastAsia="en-GB"/>
        </w:rPr>
        <w:t xml:space="preserve"> important negative consequences for universal access to healthcare and the sustai</w:t>
      </w:r>
      <w:r w:rsidR="00362755">
        <w:rPr>
          <w:rFonts w:ascii="Times New Roman" w:eastAsia="Times New Roman" w:hAnsi="Times New Roman"/>
          <w:color w:val="000000"/>
          <w:sz w:val="24"/>
          <w:szCs w:val="24"/>
          <w:u w:color="000000"/>
          <w:bdr w:val="nil"/>
          <w:lang w:eastAsia="en-GB"/>
        </w:rPr>
        <w:t>nability of healthcare</w:t>
      </w:r>
      <w:r w:rsidR="00FF241D">
        <w:rPr>
          <w:rFonts w:ascii="Times New Roman" w:eastAsia="Times New Roman" w:hAnsi="Times New Roman"/>
          <w:color w:val="000000"/>
          <w:sz w:val="24"/>
          <w:szCs w:val="24"/>
          <w:u w:color="000000"/>
          <w:bdr w:val="nil"/>
          <w:lang w:eastAsia="en-GB"/>
        </w:rPr>
        <w:t>.</w:t>
      </w:r>
      <w:r w:rsidR="00362755" w:rsidRPr="00257F50">
        <w:rPr>
          <w:rFonts w:ascii="Times New Roman" w:eastAsia="Times New Roman" w:hAnsi="Times New Roman"/>
          <w:color w:val="000000"/>
          <w:sz w:val="24"/>
          <w:szCs w:val="24"/>
          <w:u w:color="000000"/>
          <w:bdr w:val="nil"/>
          <w:lang w:eastAsia="en-GB"/>
        </w:rPr>
        <w:t xml:space="preserve"> </w:t>
      </w:r>
      <w:r w:rsidRPr="00257F50">
        <w:rPr>
          <w:rFonts w:ascii="Times New Roman" w:eastAsia="Times New Roman" w:hAnsi="Times New Roman"/>
          <w:color w:val="000000"/>
          <w:sz w:val="24"/>
          <w:szCs w:val="24"/>
          <w:u w:color="000000"/>
          <w:bdr w:val="nil"/>
          <w:lang w:eastAsia="en-GB"/>
        </w:rPr>
        <w:t>Most M</w:t>
      </w:r>
      <w:r>
        <w:rPr>
          <w:rFonts w:ascii="Times New Roman" w:eastAsia="Times New Roman" w:hAnsi="Times New Roman"/>
          <w:color w:val="000000"/>
          <w:sz w:val="24"/>
          <w:szCs w:val="24"/>
          <w:u w:color="000000"/>
          <w:bdr w:val="nil"/>
          <w:lang w:eastAsia="en-GB"/>
        </w:rPr>
        <w:t xml:space="preserve">ember </w:t>
      </w:r>
      <w:r w:rsidRPr="00257F50">
        <w:rPr>
          <w:rFonts w:ascii="Times New Roman" w:eastAsia="Times New Roman" w:hAnsi="Times New Roman"/>
          <w:color w:val="000000"/>
          <w:sz w:val="24"/>
          <w:szCs w:val="24"/>
          <w:u w:color="000000"/>
          <w:bdr w:val="nil"/>
          <w:lang w:eastAsia="en-GB"/>
        </w:rPr>
        <w:t>S</w:t>
      </w:r>
      <w:r>
        <w:rPr>
          <w:rFonts w:ascii="Times New Roman" w:eastAsia="Times New Roman" w:hAnsi="Times New Roman"/>
          <w:color w:val="000000"/>
          <w:sz w:val="24"/>
          <w:szCs w:val="24"/>
          <w:u w:color="000000"/>
          <w:bdr w:val="nil"/>
          <w:lang w:eastAsia="en-GB"/>
        </w:rPr>
        <w:t>tates</w:t>
      </w:r>
      <w:r w:rsidRPr="00257F50">
        <w:rPr>
          <w:rFonts w:ascii="Times New Roman" w:eastAsia="Times New Roman" w:hAnsi="Times New Roman"/>
          <w:color w:val="000000"/>
          <w:sz w:val="24"/>
          <w:szCs w:val="24"/>
          <w:u w:color="000000"/>
          <w:bdr w:val="nil"/>
          <w:lang w:eastAsia="en-GB"/>
        </w:rPr>
        <w:t xml:space="preserve"> have taken action in the pension </w:t>
      </w:r>
      <w:r w:rsidR="00CF58A0">
        <w:rPr>
          <w:rFonts w:ascii="Times New Roman" w:eastAsia="Times New Roman" w:hAnsi="Times New Roman"/>
          <w:color w:val="000000"/>
          <w:sz w:val="24"/>
          <w:szCs w:val="24"/>
          <w:u w:color="000000"/>
          <w:bdr w:val="nil"/>
          <w:lang w:eastAsia="en-GB"/>
        </w:rPr>
        <w:t xml:space="preserve">and healthcare </w:t>
      </w:r>
      <w:r w:rsidRPr="00257F50">
        <w:rPr>
          <w:rFonts w:ascii="Times New Roman" w:eastAsia="Times New Roman" w:hAnsi="Times New Roman"/>
          <w:color w:val="000000"/>
          <w:sz w:val="24"/>
          <w:szCs w:val="24"/>
          <w:u w:color="000000"/>
          <w:bdr w:val="nil"/>
          <w:lang w:eastAsia="en-GB"/>
        </w:rPr>
        <w:t>field in recent years</w:t>
      </w:r>
      <w:r>
        <w:rPr>
          <w:rFonts w:ascii="Times New Roman" w:eastAsia="Times New Roman" w:hAnsi="Times New Roman"/>
          <w:color w:val="000000"/>
          <w:sz w:val="24"/>
          <w:szCs w:val="24"/>
          <w:u w:color="000000"/>
          <w:bdr w:val="nil"/>
          <w:lang w:eastAsia="en-GB"/>
        </w:rPr>
        <w:t>, however the year-to-year progress seems to be rather</w:t>
      </w:r>
      <w:r w:rsidRPr="007F4F0E">
        <w:rPr>
          <w:rFonts w:ascii="Times New Roman" w:eastAsia="Times New Roman" w:hAnsi="Times New Roman"/>
          <w:color w:val="000000"/>
          <w:sz w:val="24"/>
          <w:szCs w:val="24"/>
          <w:u w:color="000000"/>
          <w:bdr w:val="nil"/>
          <w:lang w:eastAsia="en-GB"/>
        </w:rPr>
        <w:t xml:space="preserve"> modest</w:t>
      </w:r>
      <w:r w:rsidRPr="00257F50">
        <w:rPr>
          <w:rFonts w:ascii="Times New Roman" w:eastAsia="Times New Roman" w:hAnsi="Times New Roman"/>
          <w:color w:val="000000"/>
          <w:sz w:val="24"/>
          <w:szCs w:val="24"/>
          <w:u w:color="000000"/>
          <w:bdr w:val="nil"/>
          <w:lang w:eastAsia="en-GB"/>
        </w:rPr>
        <w:t>.</w:t>
      </w:r>
      <w:r w:rsidR="00977E60">
        <w:rPr>
          <w:rFonts w:ascii="Times New Roman" w:eastAsia="Times New Roman" w:hAnsi="Times New Roman"/>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 xml:space="preserve">More recently, Slovakia is improving </w:t>
      </w:r>
      <w:r w:rsidRPr="007F4F0E">
        <w:rPr>
          <w:rFonts w:ascii="Times New Roman" w:eastAsia="Times New Roman" w:hAnsi="Times New Roman"/>
          <w:color w:val="000000"/>
          <w:sz w:val="24"/>
          <w:szCs w:val="24"/>
          <w:u w:color="000000"/>
          <w:bdr w:val="nil"/>
          <w:lang w:eastAsia="en-GB"/>
        </w:rPr>
        <w:t>the cost-effectiveness of the healthcare system, including by implementing the value-for-money project</w:t>
      </w:r>
      <w:r>
        <w:rPr>
          <w:rFonts w:ascii="Times New Roman" w:eastAsia="Times New Roman" w:hAnsi="Times New Roman"/>
          <w:color w:val="000000"/>
          <w:sz w:val="24"/>
          <w:szCs w:val="24"/>
          <w:u w:color="000000"/>
          <w:bdr w:val="nil"/>
          <w:lang w:eastAsia="en-GB"/>
        </w:rPr>
        <w:t xml:space="preserve"> which </w:t>
      </w:r>
      <w:r w:rsidRPr="007F4F0E">
        <w:rPr>
          <w:rFonts w:ascii="Times New Roman" w:eastAsia="Times New Roman" w:hAnsi="Times New Roman"/>
          <w:color w:val="000000"/>
          <w:sz w:val="24"/>
          <w:szCs w:val="24"/>
          <w:u w:color="000000"/>
          <w:bdr w:val="nil"/>
          <w:lang w:eastAsia="en-GB"/>
        </w:rPr>
        <w:t>appear</w:t>
      </w:r>
      <w:r>
        <w:rPr>
          <w:rFonts w:ascii="Times New Roman" w:eastAsia="Times New Roman" w:hAnsi="Times New Roman"/>
          <w:color w:val="000000"/>
          <w:sz w:val="24"/>
          <w:szCs w:val="24"/>
          <w:u w:color="000000"/>
          <w:bdr w:val="nil"/>
          <w:lang w:eastAsia="en-GB"/>
        </w:rPr>
        <w:t>s</w:t>
      </w:r>
      <w:r w:rsidRPr="007F4F0E">
        <w:rPr>
          <w:rFonts w:ascii="Times New Roman" w:eastAsia="Times New Roman" w:hAnsi="Times New Roman"/>
          <w:color w:val="000000"/>
          <w:sz w:val="24"/>
          <w:szCs w:val="24"/>
          <w:u w:color="000000"/>
          <w:bdr w:val="nil"/>
          <w:lang w:eastAsia="en-GB"/>
        </w:rPr>
        <w:t xml:space="preserve"> to have generated </w:t>
      </w:r>
      <w:r>
        <w:rPr>
          <w:rFonts w:ascii="Times New Roman" w:eastAsia="Times New Roman" w:hAnsi="Times New Roman"/>
          <w:color w:val="000000"/>
          <w:sz w:val="24"/>
          <w:szCs w:val="24"/>
          <w:u w:color="000000"/>
          <w:bdr w:val="nil"/>
          <w:lang w:eastAsia="en-GB"/>
        </w:rPr>
        <w:t xml:space="preserve">some </w:t>
      </w:r>
      <w:r w:rsidRPr="007F4F0E">
        <w:rPr>
          <w:rFonts w:ascii="Times New Roman" w:eastAsia="Times New Roman" w:hAnsi="Times New Roman"/>
          <w:color w:val="000000"/>
          <w:sz w:val="24"/>
          <w:szCs w:val="24"/>
          <w:u w:color="000000"/>
          <w:bdr w:val="nil"/>
          <w:lang w:eastAsia="en-GB"/>
        </w:rPr>
        <w:t>positive, tangible changes leading to savings</w:t>
      </w:r>
      <w:r>
        <w:rPr>
          <w:rFonts w:ascii="Times New Roman" w:eastAsia="Times New Roman" w:hAnsi="Times New Roman"/>
          <w:color w:val="000000"/>
          <w:sz w:val="24"/>
          <w:szCs w:val="24"/>
          <w:u w:color="000000"/>
          <w:bdr w:val="nil"/>
          <w:lang w:eastAsia="en-GB"/>
        </w:rPr>
        <w:t xml:space="preserve">. Denmark adopted new incentives </w:t>
      </w:r>
      <w:r w:rsidRPr="008D6DFB">
        <w:rPr>
          <w:rFonts w:ascii="Times New Roman" w:eastAsia="Times New Roman" w:hAnsi="Times New Roman"/>
          <w:color w:val="000000"/>
          <w:sz w:val="24"/>
          <w:szCs w:val="24"/>
          <w:u w:color="000000"/>
          <w:bdr w:val="nil"/>
          <w:lang w:eastAsia="en-GB"/>
        </w:rPr>
        <w:t>to opt out of the early retirement scheme</w:t>
      </w:r>
      <w:r>
        <w:rPr>
          <w:rFonts w:ascii="Times New Roman" w:eastAsia="Times New Roman" w:hAnsi="Times New Roman"/>
          <w:color w:val="000000"/>
          <w:sz w:val="24"/>
          <w:szCs w:val="24"/>
          <w:u w:color="000000"/>
          <w:bdr w:val="nil"/>
          <w:lang w:eastAsia="en-GB"/>
        </w:rPr>
        <w:t xml:space="preserve"> in order to postpone retirement and also </w:t>
      </w:r>
      <w:r w:rsidRPr="00E678B3">
        <w:rPr>
          <w:rFonts w:ascii="Times New Roman" w:eastAsia="Times New Roman" w:hAnsi="Times New Roman"/>
          <w:color w:val="000000"/>
          <w:sz w:val="24"/>
          <w:szCs w:val="24"/>
          <w:u w:color="000000"/>
          <w:bdr w:val="nil"/>
          <w:lang w:eastAsia="en-GB"/>
        </w:rPr>
        <w:t>L</w:t>
      </w:r>
      <w:r>
        <w:rPr>
          <w:rFonts w:ascii="Times New Roman" w:eastAsia="Times New Roman" w:hAnsi="Times New Roman"/>
          <w:color w:val="000000"/>
          <w:sz w:val="24"/>
          <w:szCs w:val="24"/>
          <w:u w:color="000000"/>
          <w:bdr w:val="nil"/>
          <w:lang w:eastAsia="en-GB"/>
        </w:rPr>
        <w:t xml:space="preserve">ithuania and </w:t>
      </w:r>
      <w:r w:rsidRPr="00E678B3">
        <w:rPr>
          <w:rFonts w:ascii="Times New Roman" w:eastAsia="Times New Roman" w:hAnsi="Times New Roman"/>
          <w:color w:val="000000"/>
          <w:sz w:val="24"/>
          <w:szCs w:val="24"/>
          <w:u w:color="000000"/>
          <w:bdr w:val="nil"/>
          <w:lang w:eastAsia="en-GB"/>
        </w:rPr>
        <w:t>P</w:t>
      </w:r>
      <w:r>
        <w:rPr>
          <w:rFonts w:ascii="Times New Roman" w:eastAsia="Times New Roman" w:hAnsi="Times New Roman"/>
          <w:color w:val="000000"/>
          <w:sz w:val="24"/>
          <w:szCs w:val="24"/>
          <w:u w:color="000000"/>
          <w:bdr w:val="nil"/>
          <w:lang w:eastAsia="en-GB"/>
        </w:rPr>
        <w:t>ortugal</w:t>
      </w:r>
      <w:r w:rsidRPr="00E678B3">
        <w:rPr>
          <w:rFonts w:ascii="Times New Roman" w:eastAsia="Times New Roman" w:hAnsi="Times New Roman"/>
          <w:color w:val="000000"/>
          <w:sz w:val="24"/>
          <w:szCs w:val="24"/>
          <w:u w:color="000000"/>
          <w:bdr w:val="nil"/>
          <w:lang w:eastAsia="en-GB"/>
        </w:rPr>
        <w:t xml:space="preserve"> undertook reforms to limit the negative impacts of </w:t>
      </w:r>
      <w:r>
        <w:rPr>
          <w:rFonts w:ascii="Times New Roman" w:eastAsia="Times New Roman" w:hAnsi="Times New Roman"/>
          <w:color w:val="000000"/>
          <w:sz w:val="24"/>
          <w:szCs w:val="24"/>
          <w:u w:color="000000"/>
          <w:bdr w:val="nil"/>
          <w:lang w:eastAsia="en-GB"/>
        </w:rPr>
        <w:t>some</w:t>
      </w:r>
      <w:r w:rsidRPr="00E678B3">
        <w:rPr>
          <w:rFonts w:ascii="Times New Roman" w:eastAsia="Times New Roman" w:hAnsi="Times New Roman"/>
          <w:color w:val="000000"/>
          <w:sz w:val="24"/>
          <w:szCs w:val="24"/>
          <w:u w:color="000000"/>
          <w:bdr w:val="nil"/>
          <w:lang w:eastAsia="en-GB"/>
        </w:rPr>
        <w:t xml:space="preserve"> aspects of their pension systems on long</w:t>
      </w:r>
      <w:r>
        <w:rPr>
          <w:rFonts w:ascii="Times New Roman" w:eastAsia="Times New Roman" w:hAnsi="Times New Roman"/>
          <w:color w:val="000000"/>
          <w:sz w:val="24"/>
          <w:szCs w:val="24"/>
          <w:u w:color="000000"/>
          <w:bdr w:val="nil"/>
          <w:lang w:eastAsia="en-GB"/>
        </w:rPr>
        <w:t>-</w:t>
      </w:r>
      <w:r w:rsidRPr="00E678B3">
        <w:rPr>
          <w:rFonts w:ascii="Times New Roman" w:eastAsia="Times New Roman" w:hAnsi="Times New Roman"/>
          <w:color w:val="000000"/>
          <w:sz w:val="24"/>
          <w:szCs w:val="24"/>
          <w:u w:color="000000"/>
          <w:bdr w:val="nil"/>
          <w:lang w:eastAsia="en-GB"/>
        </w:rPr>
        <w:t>term fiscal sustainability</w:t>
      </w:r>
      <w:r>
        <w:rPr>
          <w:rFonts w:ascii="Times New Roman" w:eastAsia="Times New Roman" w:hAnsi="Times New Roman"/>
          <w:color w:val="000000"/>
          <w:sz w:val="24"/>
          <w:szCs w:val="24"/>
          <w:u w:color="000000"/>
          <w:bdr w:val="nil"/>
          <w:lang w:eastAsia="en-GB"/>
        </w:rPr>
        <w:t>. These good practices need to be followed more broadly to maintain public finance sustainability</w:t>
      </w:r>
      <w:r w:rsidR="00DC6C06">
        <w:rPr>
          <w:rFonts w:ascii="Times New Roman" w:eastAsia="Times New Roman" w:hAnsi="Times New Roman"/>
          <w:color w:val="000000"/>
          <w:sz w:val="24"/>
          <w:szCs w:val="24"/>
          <w:u w:color="000000"/>
          <w:bdr w:val="nil"/>
          <w:lang w:eastAsia="en-GB"/>
        </w:rPr>
        <w:t xml:space="preserve"> </w:t>
      </w:r>
      <w:r w:rsidR="00DC6C06" w:rsidRPr="00DC6C06">
        <w:rPr>
          <w:rFonts w:ascii="Times New Roman" w:eastAsia="Times New Roman" w:hAnsi="Times New Roman"/>
          <w:color w:val="000000"/>
          <w:sz w:val="24"/>
          <w:szCs w:val="24"/>
          <w:u w:color="000000"/>
          <w:bdr w:val="nil"/>
          <w:lang w:eastAsia="en-GB"/>
        </w:rPr>
        <w:t>and</w:t>
      </w:r>
      <w:r w:rsidR="00DC6C06">
        <w:rPr>
          <w:rFonts w:ascii="Times New Roman" w:eastAsia="Times New Roman" w:hAnsi="Times New Roman"/>
          <w:color w:val="000000"/>
          <w:sz w:val="24"/>
          <w:szCs w:val="24"/>
          <w:u w:color="000000"/>
          <w:bdr w:val="nil"/>
          <w:lang w:eastAsia="en-GB"/>
        </w:rPr>
        <w:t xml:space="preserve"> thus</w:t>
      </w:r>
      <w:r w:rsidR="00DC6C06" w:rsidRPr="00DC6C06">
        <w:rPr>
          <w:rFonts w:ascii="Times New Roman" w:eastAsia="Times New Roman" w:hAnsi="Times New Roman"/>
          <w:color w:val="000000"/>
          <w:sz w:val="24"/>
          <w:szCs w:val="24"/>
          <w:u w:color="000000"/>
          <w:bdr w:val="nil"/>
          <w:lang w:eastAsia="en-GB"/>
        </w:rPr>
        <w:t xml:space="preserve"> guarantee citizens healthcare and pension coverage</w:t>
      </w:r>
      <w:r>
        <w:rPr>
          <w:rFonts w:ascii="Times New Roman" w:eastAsia="Times New Roman" w:hAnsi="Times New Roman"/>
          <w:color w:val="000000"/>
          <w:sz w:val="24"/>
          <w:szCs w:val="24"/>
          <w:u w:color="000000"/>
          <w:bdr w:val="nil"/>
          <w:lang w:eastAsia="en-GB"/>
        </w:rPr>
        <w:t xml:space="preserve">, also in the interest of intergenerational fairness. </w:t>
      </w:r>
    </w:p>
    <w:p w:rsidR="00213699" w:rsidRDefault="00CE59E1" w:rsidP="00CE59E1">
      <w:pPr>
        <w:spacing w:before="120" w:after="120" w:line="240" w:lineRule="auto"/>
        <w:jc w:val="both"/>
        <w:rPr>
          <w:rFonts w:ascii="Times New Roman" w:eastAsia="Times New Roman" w:hAnsi="Times New Roman"/>
          <w:color w:val="000000"/>
          <w:sz w:val="24"/>
          <w:szCs w:val="24"/>
          <w:u w:color="000000"/>
          <w:bdr w:val="nil"/>
          <w:lang w:eastAsia="en-GB"/>
        </w:rPr>
      </w:pPr>
      <w:r w:rsidRPr="00AF2B91">
        <w:rPr>
          <w:rFonts w:ascii="Times New Roman" w:eastAsia="Times New Roman" w:hAnsi="Times New Roman"/>
          <w:b/>
          <w:color w:val="000000"/>
          <w:sz w:val="24"/>
          <w:szCs w:val="24"/>
          <w:u w:color="000000"/>
          <w:bdr w:val="nil"/>
          <w:lang w:eastAsia="en-GB"/>
        </w:rPr>
        <w:t xml:space="preserve">Fair and growth-friendly tax systems can </w:t>
      </w:r>
      <w:r>
        <w:rPr>
          <w:rFonts w:ascii="Times New Roman" w:eastAsia="Times New Roman" w:hAnsi="Times New Roman"/>
          <w:b/>
          <w:color w:val="000000"/>
          <w:sz w:val="24"/>
          <w:szCs w:val="24"/>
          <w:u w:color="000000"/>
          <w:bdr w:val="nil"/>
          <w:lang w:eastAsia="en-GB"/>
        </w:rPr>
        <w:t xml:space="preserve">help </w:t>
      </w:r>
      <w:r w:rsidRPr="00AF2B91">
        <w:rPr>
          <w:rFonts w:ascii="Times New Roman" w:eastAsia="Times New Roman" w:hAnsi="Times New Roman"/>
          <w:b/>
          <w:color w:val="000000"/>
          <w:sz w:val="24"/>
          <w:szCs w:val="24"/>
          <w:u w:color="000000"/>
          <w:bdr w:val="nil"/>
          <w:lang w:eastAsia="en-GB"/>
        </w:rPr>
        <w:t>support private investment</w:t>
      </w:r>
      <w:r>
        <w:rPr>
          <w:rFonts w:ascii="Times New Roman" w:eastAsia="Times New Roman" w:hAnsi="Times New Roman"/>
          <w:b/>
          <w:color w:val="000000"/>
          <w:sz w:val="24"/>
          <w:szCs w:val="24"/>
          <w:u w:color="000000"/>
          <w:bdr w:val="nil"/>
          <w:lang w:eastAsia="en-GB"/>
        </w:rPr>
        <w:t xml:space="preserve"> </w:t>
      </w:r>
      <w:r w:rsidRPr="00AF2B91">
        <w:rPr>
          <w:rFonts w:ascii="Times New Roman" w:eastAsia="Times New Roman" w:hAnsi="Times New Roman"/>
          <w:b/>
          <w:color w:val="000000"/>
          <w:sz w:val="24"/>
          <w:szCs w:val="24"/>
          <w:u w:color="000000"/>
          <w:bdr w:val="nil"/>
          <w:lang w:eastAsia="en-GB"/>
        </w:rPr>
        <w:t>and improve the business environment</w:t>
      </w:r>
      <w:r>
        <w:rPr>
          <w:rFonts w:ascii="Times New Roman" w:eastAsia="Times New Roman" w:hAnsi="Times New Roman"/>
          <w:b/>
          <w:color w:val="000000"/>
          <w:sz w:val="24"/>
          <w:szCs w:val="24"/>
          <w:u w:color="000000"/>
          <w:bdr w:val="nil"/>
          <w:lang w:eastAsia="en-GB"/>
        </w:rPr>
        <w:t xml:space="preserve">, </w:t>
      </w:r>
      <w:r w:rsidRPr="00AF2B91">
        <w:rPr>
          <w:rFonts w:ascii="Times New Roman" w:eastAsia="Times New Roman" w:hAnsi="Times New Roman"/>
          <w:b/>
          <w:color w:val="000000"/>
          <w:sz w:val="24"/>
          <w:szCs w:val="24"/>
          <w:u w:color="000000"/>
          <w:bdr w:val="nil"/>
          <w:lang w:eastAsia="en-GB"/>
        </w:rPr>
        <w:t xml:space="preserve">encourage </w:t>
      </w:r>
      <w:r>
        <w:rPr>
          <w:rFonts w:ascii="Times New Roman" w:eastAsia="Times New Roman" w:hAnsi="Times New Roman"/>
          <w:b/>
          <w:color w:val="000000"/>
          <w:sz w:val="24"/>
          <w:szCs w:val="24"/>
          <w:u w:color="000000"/>
          <w:bdr w:val="nil"/>
          <w:lang w:eastAsia="en-GB"/>
        </w:rPr>
        <w:t>employment</w:t>
      </w:r>
      <w:r w:rsidR="0097162C">
        <w:rPr>
          <w:rFonts w:ascii="Times New Roman" w:eastAsia="Times New Roman" w:hAnsi="Times New Roman"/>
          <w:b/>
          <w:color w:val="000000"/>
          <w:sz w:val="24"/>
          <w:szCs w:val="24"/>
          <w:u w:color="000000"/>
          <w:bdr w:val="nil"/>
          <w:lang w:eastAsia="en-GB"/>
        </w:rPr>
        <w:t>,</w:t>
      </w:r>
      <w:r>
        <w:rPr>
          <w:rFonts w:ascii="Times New Roman" w:eastAsia="Times New Roman" w:hAnsi="Times New Roman"/>
          <w:b/>
          <w:color w:val="000000"/>
          <w:sz w:val="24"/>
          <w:szCs w:val="24"/>
          <w:u w:color="000000"/>
          <w:bdr w:val="nil"/>
          <w:lang w:eastAsia="en-GB"/>
        </w:rPr>
        <w:t xml:space="preserve"> </w:t>
      </w:r>
      <w:r w:rsidRPr="00AF2B91">
        <w:rPr>
          <w:rFonts w:ascii="Times New Roman" w:eastAsia="Times New Roman" w:hAnsi="Times New Roman"/>
          <w:b/>
          <w:color w:val="000000"/>
          <w:sz w:val="24"/>
          <w:szCs w:val="24"/>
          <w:u w:color="000000"/>
          <w:bdr w:val="nil"/>
          <w:lang w:eastAsia="en-GB"/>
        </w:rPr>
        <w:t>reduce inequalities</w:t>
      </w:r>
      <w:r w:rsidR="00974D18">
        <w:rPr>
          <w:rFonts w:ascii="Times New Roman" w:eastAsia="Times New Roman" w:hAnsi="Times New Roman"/>
          <w:b/>
          <w:color w:val="000000"/>
          <w:sz w:val="24"/>
          <w:szCs w:val="24"/>
          <w:u w:color="000000"/>
          <w:bdr w:val="nil"/>
          <w:lang w:eastAsia="en-GB"/>
        </w:rPr>
        <w:t xml:space="preserve"> </w:t>
      </w:r>
      <w:r w:rsidR="00974D18" w:rsidRPr="00974D18">
        <w:rPr>
          <w:rFonts w:ascii="Times New Roman" w:eastAsia="Times New Roman" w:hAnsi="Times New Roman"/>
          <w:b/>
          <w:color w:val="000000"/>
          <w:sz w:val="24"/>
          <w:szCs w:val="24"/>
          <w:u w:color="000000"/>
          <w:bdr w:val="nil"/>
          <w:lang w:eastAsia="en-GB"/>
        </w:rPr>
        <w:t>and contribute to an environmentally resilient economy</w:t>
      </w:r>
      <w:r w:rsidRPr="00AF2B91">
        <w:rPr>
          <w:rFonts w:ascii="Times New Roman" w:eastAsia="Times New Roman" w:hAnsi="Times New Roman"/>
          <w:b/>
          <w:color w:val="000000"/>
          <w:sz w:val="24"/>
          <w:szCs w:val="24"/>
          <w:u w:color="000000"/>
          <w:bdr w:val="nil"/>
          <w:lang w:eastAsia="en-GB"/>
        </w:rPr>
        <w:t xml:space="preserve">. </w:t>
      </w:r>
      <w:r w:rsidRPr="00580C69">
        <w:rPr>
          <w:rFonts w:ascii="Times New Roman" w:eastAsia="Times New Roman" w:hAnsi="Times New Roman"/>
          <w:color w:val="000000"/>
          <w:sz w:val="24"/>
          <w:szCs w:val="24"/>
          <w:u w:color="000000"/>
          <w:bdr w:val="nil"/>
          <w:lang w:eastAsia="en-GB"/>
        </w:rPr>
        <w:t xml:space="preserve">Belgium is gradually implementing a tax shift away from labour. In France, the tax credit for employment and competitiveness </w:t>
      </w:r>
      <w:r>
        <w:rPr>
          <w:rFonts w:ascii="Times New Roman" w:eastAsia="Times New Roman" w:hAnsi="Times New Roman"/>
          <w:color w:val="000000"/>
          <w:sz w:val="24"/>
          <w:szCs w:val="24"/>
          <w:u w:color="000000"/>
          <w:bdr w:val="nil"/>
          <w:lang w:eastAsia="en-GB"/>
        </w:rPr>
        <w:t>is to</w:t>
      </w:r>
      <w:r w:rsidRPr="00580C69">
        <w:rPr>
          <w:rFonts w:ascii="Times New Roman" w:eastAsia="Times New Roman" w:hAnsi="Times New Roman"/>
          <w:color w:val="000000"/>
          <w:sz w:val="24"/>
          <w:szCs w:val="24"/>
          <w:u w:color="000000"/>
          <w:bdr w:val="nil"/>
          <w:lang w:eastAsia="en-GB"/>
        </w:rPr>
        <w:t xml:space="preserve"> be converted into permanent reductions in employers' social security contributions and accompanied with a further reduction for the lowest wages. </w:t>
      </w:r>
      <w:r>
        <w:rPr>
          <w:rFonts w:ascii="Times New Roman" w:eastAsia="Times New Roman" w:hAnsi="Times New Roman"/>
          <w:color w:val="000000"/>
          <w:sz w:val="24"/>
          <w:szCs w:val="24"/>
          <w:u w:color="000000"/>
          <w:bdr w:val="nil"/>
          <w:lang w:eastAsia="en-GB"/>
        </w:rPr>
        <w:t xml:space="preserve">Latvia and Hungary have slightly reduced their </w:t>
      </w:r>
      <w:r w:rsidRPr="00E678B3">
        <w:rPr>
          <w:rFonts w:ascii="Times New Roman" w:eastAsia="Times New Roman" w:hAnsi="Times New Roman"/>
          <w:color w:val="000000"/>
          <w:sz w:val="24"/>
          <w:szCs w:val="24"/>
          <w:u w:color="000000"/>
          <w:bdr w:val="nil"/>
          <w:lang w:eastAsia="en-GB"/>
        </w:rPr>
        <w:t xml:space="preserve">relatively high tax wedge </w:t>
      </w:r>
      <w:r>
        <w:rPr>
          <w:rFonts w:ascii="Times New Roman" w:eastAsia="Times New Roman" w:hAnsi="Times New Roman"/>
          <w:color w:val="000000"/>
          <w:sz w:val="24"/>
          <w:szCs w:val="24"/>
          <w:u w:color="000000"/>
          <w:bdr w:val="nil"/>
          <w:lang w:eastAsia="en-GB"/>
        </w:rPr>
        <w:t>for low income earners.</w:t>
      </w:r>
      <w:r w:rsidR="00974D18" w:rsidRPr="00974D18">
        <w:t xml:space="preserve"> </w:t>
      </w:r>
      <w:r w:rsidR="00974D18" w:rsidRPr="00974D18">
        <w:rPr>
          <w:rFonts w:ascii="Times New Roman" w:eastAsia="Times New Roman" w:hAnsi="Times New Roman"/>
          <w:color w:val="000000"/>
          <w:sz w:val="24"/>
          <w:szCs w:val="24"/>
          <w:u w:color="000000"/>
          <w:bdr w:val="nil"/>
          <w:lang w:eastAsia="en-GB"/>
        </w:rPr>
        <w:t>In Sweden, tax measures are supporting a gr</w:t>
      </w:r>
      <w:r w:rsidR="003D0AFE">
        <w:rPr>
          <w:rFonts w:ascii="Times New Roman" w:eastAsia="Times New Roman" w:hAnsi="Times New Roman"/>
          <w:color w:val="000000"/>
          <w:sz w:val="24"/>
          <w:szCs w:val="24"/>
          <w:u w:color="000000"/>
          <w:bdr w:val="nil"/>
          <w:lang w:eastAsia="en-GB"/>
        </w:rPr>
        <w:t>eener, more sustainable economy</w:t>
      </w:r>
      <w:r w:rsidR="00974D18" w:rsidRPr="00974D18">
        <w:rPr>
          <w:rFonts w:ascii="Times New Roman" w:eastAsia="Times New Roman" w:hAnsi="Times New Roman"/>
          <w:color w:val="000000"/>
          <w:sz w:val="24"/>
          <w:szCs w:val="24"/>
          <w:u w:color="000000"/>
          <w:bdr w:val="nil"/>
          <w:lang w:eastAsia="en-GB"/>
        </w:rPr>
        <w:t>.</w:t>
      </w:r>
      <w:r w:rsidR="00974D18" w:rsidRPr="00974D18" w:rsidDel="00974D18">
        <w:rPr>
          <w:rFonts w:ascii="Times New Roman" w:eastAsia="Times New Roman" w:hAnsi="Times New Roman"/>
          <w:color w:val="000000"/>
          <w:sz w:val="24"/>
          <w:szCs w:val="24"/>
          <w:u w:color="000000"/>
          <w:bdr w:val="nil"/>
          <w:lang w:eastAsia="en-GB"/>
        </w:rPr>
        <w:t xml:space="preserve"> </w:t>
      </w:r>
    </w:p>
    <w:p w:rsidR="00CE59E1" w:rsidRDefault="00CE59E1" w:rsidP="00CE59E1">
      <w:pPr>
        <w:spacing w:before="120" w:after="120" w:line="240" w:lineRule="auto"/>
        <w:jc w:val="both"/>
        <w:rPr>
          <w:rFonts w:ascii="Times New Roman" w:hAnsi="Times New Roman"/>
          <w:color w:val="000000"/>
          <w:sz w:val="24"/>
          <w:szCs w:val="24"/>
          <w:u w:color="000000"/>
          <w:bdr w:val="nil"/>
          <w:lang w:eastAsia="en-GB"/>
        </w:rPr>
      </w:pPr>
      <w:r w:rsidRPr="00C5721E">
        <w:rPr>
          <w:rFonts w:ascii="Times New Roman" w:eastAsia="Times New Roman" w:hAnsi="Times New Roman"/>
          <w:b/>
          <w:color w:val="000000"/>
          <w:sz w:val="24"/>
          <w:szCs w:val="24"/>
          <w:u w:color="000000"/>
          <w:bdr w:val="nil"/>
          <w:lang w:eastAsia="en-GB"/>
        </w:rPr>
        <w:t xml:space="preserve">Aggressive tax planning entails significant losses to European taxpayers; the transposition of </w:t>
      </w:r>
      <w:r>
        <w:rPr>
          <w:rFonts w:ascii="Times New Roman" w:eastAsia="Times New Roman" w:hAnsi="Times New Roman"/>
          <w:b/>
          <w:color w:val="000000"/>
          <w:sz w:val="24"/>
          <w:szCs w:val="24"/>
          <w:u w:color="000000"/>
          <w:bdr w:val="nil"/>
          <w:lang w:eastAsia="en-GB"/>
        </w:rPr>
        <w:t xml:space="preserve">EU </w:t>
      </w:r>
      <w:r w:rsidRPr="00C5721E">
        <w:rPr>
          <w:rFonts w:ascii="Times New Roman" w:eastAsia="Times New Roman" w:hAnsi="Times New Roman"/>
          <w:b/>
          <w:color w:val="000000"/>
          <w:sz w:val="24"/>
          <w:szCs w:val="24"/>
          <w:u w:color="000000"/>
          <w:bdr w:val="nil"/>
          <w:lang w:eastAsia="en-GB"/>
        </w:rPr>
        <w:t xml:space="preserve">legislation will help curtailing such practices. </w:t>
      </w:r>
      <w:r w:rsidRPr="00C5721E">
        <w:rPr>
          <w:rFonts w:ascii="Times New Roman" w:eastAsia="Times New Roman" w:hAnsi="Times New Roman"/>
          <w:color w:val="000000"/>
          <w:sz w:val="24"/>
          <w:szCs w:val="24"/>
          <w:u w:color="000000"/>
          <w:bdr w:val="nil"/>
          <w:lang w:eastAsia="en-GB"/>
        </w:rPr>
        <w:t>Revenue losses from profit shifting</w:t>
      </w:r>
      <w:r>
        <w:rPr>
          <w:rFonts w:ascii="Times New Roman" w:eastAsia="Times New Roman" w:hAnsi="Times New Roman"/>
          <w:color w:val="000000"/>
          <w:sz w:val="24"/>
          <w:szCs w:val="24"/>
          <w:u w:color="000000"/>
          <w:bdr w:val="nil"/>
          <w:lang w:eastAsia="en-GB"/>
        </w:rPr>
        <w:t xml:space="preserve"> within the EU alone are estimated at EUR 50-70 billion. Aggressive tax planning distorts the playing field among companies, and unfairly diverts resources from governments' spending objectives. Tax abuse can be reined in by strengthening national tax legislation, increasing transparency, and cooperation among governments. </w:t>
      </w:r>
      <w:r w:rsidRPr="00A90EDB">
        <w:rPr>
          <w:rFonts w:ascii="Times New Roman" w:hAnsi="Times New Roman"/>
          <w:color w:val="000000"/>
          <w:sz w:val="24"/>
          <w:szCs w:val="24"/>
          <w:u w:color="000000"/>
          <w:bdr w:val="nil"/>
          <w:lang w:eastAsia="en-GB"/>
        </w:rPr>
        <w:t>Belgium</w:t>
      </w:r>
      <w:r>
        <w:rPr>
          <w:rFonts w:ascii="Times New Roman" w:hAnsi="Times New Roman"/>
          <w:color w:val="000000"/>
          <w:sz w:val="24"/>
          <w:szCs w:val="24"/>
          <w:u w:color="000000"/>
          <w:bdr w:val="nil"/>
          <w:lang w:eastAsia="en-GB"/>
        </w:rPr>
        <w:t xml:space="preserve">, Cyprus, Malta and the Netherlands are </w:t>
      </w:r>
      <w:r w:rsidRPr="00A90EDB">
        <w:rPr>
          <w:rFonts w:ascii="Times New Roman" w:hAnsi="Times New Roman"/>
          <w:color w:val="000000"/>
          <w:sz w:val="24"/>
          <w:szCs w:val="24"/>
          <w:u w:color="000000"/>
          <w:bdr w:val="nil"/>
          <w:lang w:eastAsia="en-GB"/>
        </w:rPr>
        <w:t>amend</w:t>
      </w:r>
      <w:r>
        <w:rPr>
          <w:rFonts w:ascii="Times New Roman" w:hAnsi="Times New Roman"/>
          <w:color w:val="000000"/>
          <w:sz w:val="24"/>
          <w:szCs w:val="24"/>
          <w:u w:color="000000"/>
          <w:bdr w:val="nil"/>
          <w:lang w:eastAsia="en-GB"/>
        </w:rPr>
        <w:t xml:space="preserve">ing aspects of their </w:t>
      </w:r>
      <w:r w:rsidRPr="00A90EDB">
        <w:rPr>
          <w:rFonts w:ascii="Times New Roman" w:hAnsi="Times New Roman"/>
          <w:color w:val="000000"/>
          <w:sz w:val="24"/>
          <w:szCs w:val="24"/>
          <w:u w:color="000000"/>
          <w:bdr w:val="nil"/>
          <w:lang w:eastAsia="en-GB"/>
        </w:rPr>
        <w:t>tax system</w:t>
      </w:r>
      <w:r>
        <w:rPr>
          <w:rFonts w:ascii="Times New Roman" w:hAnsi="Times New Roman"/>
          <w:color w:val="000000"/>
          <w:sz w:val="24"/>
          <w:szCs w:val="24"/>
          <w:u w:color="000000"/>
          <w:bdr w:val="nil"/>
          <w:lang w:eastAsia="en-GB"/>
        </w:rPr>
        <w:t xml:space="preserve">s that have facilitated </w:t>
      </w:r>
      <w:r w:rsidRPr="00A90EDB">
        <w:rPr>
          <w:rFonts w:ascii="Times New Roman" w:hAnsi="Times New Roman"/>
          <w:color w:val="000000"/>
          <w:sz w:val="24"/>
          <w:szCs w:val="24"/>
          <w:u w:color="000000"/>
          <w:bdr w:val="nil"/>
          <w:lang w:eastAsia="en-GB"/>
        </w:rPr>
        <w:t>aggressive tax planning</w:t>
      </w:r>
      <w:r>
        <w:rPr>
          <w:rFonts w:ascii="Times New Roman" w:hAnsi="Times New Roman"/>
          <w:color w:val="000000"/>
          <w:sz w:val="24"/>
          <w:szCs w:val="24"/>
          <w:u w:color="000000"/>
          <w:bdr w:val="nil"/>
          <w:lang w:eastAsia="en-GB"/>
        </w:rPr>
        <w:t>. In Ireland, the recommendations of an independent review of the corporation tax code have been submitted to public consultation. B</w:t>
      </w:r>
      <w:r w:rsidRPr="00D47DE4">
        <w:rPr>
          <w:rFonts w:ascii="Times New Roman" w:hAnsi="Times New Roman"/>
          <w:color w:val="000000"/>
          <w:sz w:val="24"/>
          <w:szCs w:val="24"/>
          <w:u w:color="000000"/>
          <w:bdr w:val="nil"/>
          <w:lang w:eastAsia="en-GB"/>
        </w:rPr>
        <w:t xml:space="preserve">y </w:t>
      </w:r>
      <w:r>
        <w:rPr>
          <w:rFonts w:ascii="Times New Roman" w:hAnsi="Times New Roman"/>
          <w:color w:val="000000"/>
          <w:sz w:val="24"/>
          <w:szCs w:val="24"/>
          <w:u w:color="000000"/>
          <w:bdr w:val="nil"/>
          <w:lang w:eastAsia="en-GB"/>
        </w:rPr>
        <w:t xml:space="preserve">the </w:t>
      </w:r>
      <w:r w:rsidRPr="00D47DE4">
        <w:rPr>
          <w:rFonts w:ascii="Times New Roman" w:hAnsi="Times New Roman"/>
          <w:color w:val="000000"/>
          <w:sz w:val="24"/>
          <w:szCs w:val="24"/>
          <w:u w:color="000000"/>
          <w:bdr w:val="nil"/>
          <w:lang w:eastAsia="en-GB"/>
        </w:rPr>
        <w:t>end of 2018</w:t>
      </w:r>
      <w:r>
        <w:rPr>
          <w:rFonts w:ascii="Times New Roman" w:hAnsi="Times New Roman"/>
          <w:color w:val="000000"/>
          <w:sz w:val="24"/>
          <w:szCs w:val="24"/>
          <w:u w:color="000000"/>
          <w:bdr w:val="nil"/>
          <w:lang w:eastAsia="en-GB"/>
        </w:rPr>
        <w:t xml:space="preserve">, </w:t>
      </w:r>
      <w:r w:rsidRPr="00D47DE4">
        <w:rPr>
          <w:rFonts w:ascii="Times New Roman" w:hAnsi="Times New Roman"/>
          <w:color w:val="000000"/>
          <w:sz w:val="24"/>
          <w:szCs w:val="24"/>
          <w:u w:color="000000"/>
          <w:bdr w:val="nil"/>
          <w:lang w:eastAsia="en-GB"/>
        </w:rPr>
        <w:t>Member States have to transpose the provisions of the Anti-Tax Avoidance Directive (ATAD)</w:t>
      </w:r>
      <w:r>
        <w:rPr>
          <w:rFonts w:ascii="Times New Roman" w:hAnsi="Times New Roman"/>
          <w:color w:val="000000"/>
          <w:sz w:val="24"/>
          <w:szCs w:val="24"/>
          <w:u w:color="000000"/>
          <w:bdr w:val="nil"/>
          <w:lang w:eastAsia="en-GB"/>
        </w:rPr>
        <w:t xml:space="preserve"> into their national law.</w:t>
      </w:r>
    </w:p>
    <w:p w:rsidR="00CE59E1" w:rsidRDefault="00CE59E1" w:rsidP="00CE59E1">
      <w:pPr>
        <w:pBdr>
          <w:top w:val="nil"/>
          <w:left w:val="nil"/>
          <w:bottom w:val="nil"/>
          <w:right w:val="nil"/>
          <w:between w:val="nil"/>
          <w:bar w:val="nil"/>
        </w:pBdr>
        <w:spacing w:before="120" w:after="120" w:line="240" w:lineRule="auto"/>
        <w:jc w:val="both"/>
        <w:rPr>
          <w:rFonts w:ascii="Times New Roman" w:eastAsia="Times New Roman" w:hAnsi="Times New Roman"/>
          <w:sz w:val="24"/>
          <w:szCs w:val="24"/>
          <w:u w:color="000000"/>
          <w:bdr w:val="nil"/>
          <w:lang w:eastAsia="en-GB"/>
        </w:rPr>
      </w:pPr>
      <w:r>
        <w:rPr>
          <w:rFonts w:ascii="Times New Roman" w:eastAsia="Times New Roman" w:hAnsi="Times New Roman"/>
          <w:b/>
          <w:sz w:val="24"/>
          <w:szCs w:val="24"/>
          <w:u w:color="000000"/>
          <w:bdr w:val="nil"/>
          <w:lang w:eastAsia="en-GB"/>
        </w:rPr>
        <w:t xml:space="preserve">Measures taken to strengthen the banking sector and tackle high levels of non-performing loans are bearing fruit and need to be further stepped up. </w:t>
      </w:r>
      <w:r>
        <w:rPr>
          <w:rFonts w:ascii="Times New Roman" w:hAnsi="Times New Roman"/>
          <w:sz w:val="24"/>
          <w:szCs w:val="24"/>
        </w:rPr>
        <w:t xml:space="preserve">In July 2017, </w:t>
      </w:r>
      <w:r w:rsidRPr="00D55AEF">
        <w:rPr>
          <w:rFonts w:ascii="Times New Roman" w:eastAsia="Times New Roman" w:hAnsi="Times New Roman"/>
          <w:sz w:val="24"/>
          <w:szCs w:val="24"/>
          <w:lang w:eastAsia="en-GB"/>
        </w:rPr>
        <w:t xml:space="preserve">the Council agreed an </w:t>
      </w:r>
      <w:r>
        <w:rPr>
          <w:rFonts w:ascii="Times New Roman" w:eastAsia="Times New Roman" w:hAnsi="Times New Roman"/>
          <w:sz w:val="24"/>
          <w:szCs w:val="24"/>
          <w:lang w:eastAsia="en-GB"/>
        </w:rPr>
        <w:t xml:space="preserve">EU </w:t>
      </w:r>
      <w:r w:rsidRPr="00D55AEF">
        <w:rPr>
          <w:rFonts w:ascii="Times New Roman" w:eastAsia="Times New Roman" w:hAnsi="Times New Roman"/>
          <w:sz w:val="24"/>
          <w:szCs w:val="24"/>
          <w:lang w:eastAsia="en-GB"/>
        </w:rPr>
        <w:t xml:space="preserve">action plan to </w:t>
      </w:r>
      <w:r>
        <w:rPr>
          <w:rFonts w:ascii="Times New Roman" w:eastAsia="Times New Roman" w:hAnsi="Times New Roman"/>
          <w:sz w:val="24"/>
          <w:szCs w:val="24"/>
          <w:lang w:eastAsia="en-GB"/>
        </w:rPr>
        <w:t>reduce the stocks of non-performing loans in the banking sector and prevent their future emergence.</w:t>
      </w:r>
      <w:r>
        <w:rPr>
          <w:rStyle w:val="FootnoteReference"/>
          <w:rFonts w:ascii="Times New Roman" w:eastAsia="Times New Roman" w:hAnsi="Times New Roman"/>
          <w:sz w:val="24"/>
          <w:szCs w:val="24"/>
          <w:lang w:eastAsia="en-GB"/>
        </w:rPr>
        <w:footnoteReference w:id="15"/>
      </w:r>
      <w:r>
        <w:rPr>
          <w:rFonts w:ascii="Times New Roman" w:eastAsia="Times New Roman" w:hAnsi="Times New Roman"/>
          <w:sz w:val="24"/>
          <w:szCs w:val="24"/>
          <w:lang w:eastAsia="en-GB"/>
        </w:rPr>
        <w:t xml:space="preserve"> The actions on bank supervision, the reform of insolvency and debt recovery frameworks, the development of secondary markets for distressed assets, and the restructuring of the banking industry need to be pursued vigorously, to improve bank profitability, the transmission of monetary policy, and the financing of economic activity. </w:t>
      </w:r>
      <w:r>
        <w:rPr>
          <w:rFonts w:ascii="Times New Roman" w:eastAsia="Times New Roman" w:hAnsi="Times New Roman"/>
          <w:sz w:val="24"/>
          <w:szCs w:val="24"/>
          <w:u w:color="000000"/>
          <w:bdr w:val="nil"/>
          <w:lang w:eastAsia="en-GB"/>
        </w:rPr>
        <w:t xml:space="preserve">Italy's efforts, including the set-up of a securitisation scheme for non-performing loans, show effects. The Bank of Slovenia issued a toolkit </w:t>
      </w:r>
      <w:r w:rsidRPr="00997644">
        <w:rPr>
          <w:rFonts w:ascii="Times New Roman" w:eastAsia="Times New Roman" w:hAnsi="Times New Roman"/>
          <w:sz w:val="24"/>
          <w:szCs w:val="24"/>
          <w:u w:color="000000"/>
          <w:bdr w:val="nil"/>
          <w:lang w:eastAsia="en-GB"/>
        </w:rPr>
        <w:t xml:space="preserve">to prevent, identify </w:t>
      </w:r>
      <w:r>
        <w:rPr>
          <w:rFonts w:ascii="Times New Roman" w:eastAsia="Times New Roman" w:hAnsi="Times New Roman"/>
          <w:sz w:val="24"/>
          <w:szCs w:val="24"/>
          <w:u w:color="000000"/>
          <w:bdr w:val="nil"/>
          <w:lang w:eastAsia="en-GB"/>
        </w:rPr>
        <w:t>and manage non-performing loans</w:t>
      </w:r>
      <w:r w:rsidRPr="00997644">
        <w:rPr>
          <w:rFonts w:ascii="Times New Roman" w:eastAsia="Times New Roman" w:hAnsi="Times New Roman"/>
          <w:sz w:val="24"/>
          <w:szCs w:val="24"/>
          <w:u w:color="000000"/>
          <w:bdr w:val="nil"/>
          <w:lang w:eastAsia="en-GB"/>
        </w:rPr>
        <w:t xml:space="preserve">. Ireland and Croatia also </w:t>
      </w:r>
      <w:r>
        <w:rPr>
          <w:rFonts w:ascii="Times New Roman" w:eastAsia="Times New Roman" w:hAnsi="Times New Roman"/>
          <w:sz w:val="24"/>
          <w:szCs w:val="24"/>
          <w:u w:color="000000"/>
          <w:bdr w:val="nil"/>
          <w:lang w:eastAsia="en-GB"/>
        </w:rPr>
        <w:t xml:space="preserve">promoted the clean-up of non-performing loans, such as by amendments of the tax </w:t>
      </w:r>
      <w:r w:rsidRPr="0024203C">
        <w:rPr>
          <w:rFonts w:ascii="Times New Roman" w:eastAsia="Times New Roman" w:hAnsi="Times New Roman"/>
          <w:sz w:val="24"/>
          <w:szCs w:val="24"/>
          <w:u w:color="000000"/>
          <w:bdr w:val="nil"/>
          <w:lang w:eastAsia="en-GB"/>
        </w:rPr>
        <w:t>rules</w:t>
      </w:r>
      <w:r w:rsidRPr="00522B11">
        <w:rPr>
          <w:rFonts w:ascii="Times New Roman" w:eastAsia="Times New Roman" w:hAnsi="Times New Roman"/>
          <w:sz w:val="24"/>
          <w:szCs w:val="24"/>
          <w:u w:color="000000"/>
          <w:bdr w:val="nil"/>
          <w:lang w:eastAsia="en-GB"/>
        </w:rPr>
        <w:t>.</w:t>
      </w:r>
      <w:r w:rsidRPr="0024203C">
        <w:rPr>
          <w:rFonts w:ascii="Times New Roman" w:eastAsia="Times New Roman" w:hAnsi="Times New Roman"/>
          <w:sz w:val="24"/>
          <w:szCs w:val="24"/>
          <w:u w:color="000000"/>
          <w:bdr w:val="nil"/>
          <w:lang w:eastAsia="en-GB"/>
        </w:rPr>
        <w:t xml:space="preserve"> However</w:t>
      </w:r>
      <w:r>
        <w:rPr>
          <w:rFonts w:ascii="Times New Roman" w:eastAsia="Times New Roman" w:hAnsi="Times New Roman"/>
          <w:sz w:val="24"/>
          <w:szCs w:val="24"/>
          <w:u w:color="000000"/>
          <w:bdr w:val="nil"/>
          <w:lang w:eastAsia="en-GB"/>
        </w:rPr>
        <w:t xml:space="preserve">, the level of non-performing loans still remains high in some Member States, and depresses the profitability of smaller banks in particular. </w:t>
      </w:r>
    </w:p>
    <w:p w:rsidR="00D41E44" w:rsidRDefault="00D41E44" w:rsidP="00CE59E1">
      <w:pPr>
        <w:pBdr>
          <w:top w:val="nil"/>
          <w:left w:val="nil"/>
          <w:bottom w:val="nil"/>
          <w:right w:val="nil"/>
          <w:between w:val="nil"/>
          <w:bar w:val="nil"/>
        </w:pBdr>
        <w:spacing w:before="120" w:after="120" w:line="240" w:lineRule="auto"/>
        <w:jc w:val="both"/>
        <w:rPr>
          <w:rFonts w:ascii="Times New Roman" w:eastAsia="Times New Roman" w:hAnsi="Times New Roman"/>
          <w:sz w:val="24"/>
          <w:szCs w:val="24"/>
          <w:u w:color="000000"/>
          <w:bdr w:val="nil"/>
          <w:lang w:eastAsia="en-GB"/>
        </w:rPr>
      </w:pPr>
    </w:p>
    <w:p w:rsidR="00CE59E1" w:rsidRPr="00D41E44" w:rsidRDefault="00CE59E1" w:rsidP="00D41E44">
      <w:pPr>
        <w:pStyle w:val="Heading2"/>
        <w:tabs>
          <w:tab w:val="num" w:pos="850"/>
        </w:tabs>
        <w:ind w:left="850" w:hanging="850"/>
        <w:rPr>
          <w:rFonts w:eastAsia="Calibri"/>
        </w:rPr>
      </w:pPr>
      <w:r w:rsidRPr="00D41E44">
        <w:rPr>
          <w:rFonts w:eastAsia="Calibri"/>
        </w:rPr>
        <w:t xml:space="preserve">4.2 </w:t>
      </w:r>
      <w:r w:rsidRPr="00D41E44">
        <w:rPr>
          <w:rFonts w:eastAsia="Calibri"/>
        </w:rPr>
        <w:tab/>
        <w:t xml:space="preserve">Resilient and inclusive labour markets, education systems and social policies </w:t>
      </w:r>
    </w:p>
    <w:p w:rsidR="00CE59E1" w:rsidRDefault="00CE59E1" w:rsidP="00CE59E1">
      <w:pPr>
        <w:pBdr>
          <w:top w:val="nil"/>
          <w:left w:val="nil"/>
          <w:bottom w:val="nil"/>
          <w:right w:val="nil"/>
          <w:between w:val="nil"/>
          <w:bar w:val="nil"/>
        </w:pBdr>
        <w:spacing w:before="120" w:after="120" w:line="240" w:lineRule="auto"/>
        <w:jc w:val="both"/>
        <w:rPr>
          <w:rFonts w:ascii="Times New Roman" w:eastAsia="Times New Roman" w:hAnsi="Times New Roman"/>
          <w:b/>
          <w:color w:val="000000"/>
          <w:sz w:val="24"/>
          <w:szCs w:val="24"/>
          <w:u w:color="000000"/>
          <w:bdr w:val="nil"/>
          <w:lang w:eastAsia="en-GB"/>
        </w:rPr>
      </w:pPr>
      <w:r>
        <w:rPr>
          <w:rFonts w:ascii="Times New Roman" w:eastAsia="Times New Roman" w:hAnsi="Times New Roman"/>
          <w:b/>
          <w:color w:val="000000"/>
          <w:sz w:val="24"/>
          <w:szCs w:val="24"/>
          <w:u w:color="000000"/>
          <w:bdr w:val="nil"/>
          <w:lang w:eastAsia="en-GB"/>
        </w:rPr>
        <w:t>Notwithstanding t</w:t>
      </w:r>
      <w:r w:rsidRPr="007A4D6F">
        <w:rPr>
          <w:rFonts w:ascii="Times New Roman" w:eastAsia="Times New Roman" w:hAnsi="Times New Roman"/>
          <w:b/>
          <w:color w:val="000000"/>
          <w:sz w:val="24"/>
          <w:szCs w:val="24"/>
          <w:u w:color="000000"/>
          <w:bdr w:val="nil"/>
          <w:lang w:eastAsia="en-GB"/>
        </w:rPr>
        <w:t xml:space="preserve">he employment rate in Europe </w:t>
      </w:r>
      <w:r>
        <w:rPr>
          <w:rFonts w:ascii="Times New Roman" w:eastAsia="Times New Roman" w:hAnsi="Times New Roman"/>
          <w:b/>
          <w:color w:val="000000"/>
          <w:sz w:val="24"/>
          <w:szCs w:val="24"/>
          <w:u w:color="000000"/>
          <w:bdr w:val="nil"/>
          <w:lang w:eastAsia="en-GB"/>
        </w:rPr>
        <w:t xml:space="preserve">being </w:t>
      </w:r>
      <w:r w:rsidRPr="007A4D6F">
        <w:rPr>
          <w:rFonts w:ascii="Times New Roman" w:eastAsia="Times New Roman" w:hAnsi="Times New Roman"/>
          <w:b/>
          <w:color w:val="000000"/>
          <w:sz w:val="24"/>
          <w:szCs w:val="24"/>
          <w:u w:color="000000"/>
          <w:bdr w:val="nil"/>
          <w:lang w:eastAsia="en-GB"/>
        </w:rPr>
        <w:t xml:space="preserve">now </w:t>
      </w:r>
      <w:r>
        <w:rPr>
          <w:rFonts w:ascii="Times New Roman" w:eastAsia="Times New Roman" w:hAnsi="Times New Roman"/>
          <w:b/>
          <w:color w:val="000000"/>
          <w:sz w:val="24"/>
          <w:szCs w:val="24"/>
          <w:u w:color="000000"/>
          <w:bdr w:val="nil"/>
          <w:lang w:eastAsia="en-GB"/>
        </w:rPr>
        <w:t xml:space="preserve">the highest </w:t>
      </w:r>
      <w:r w:rsidR="00943C65">
        <w:rPr>
          <w:rFonts w:ascii="Times New Roman" w:eastAsia="Times New Roman" w:hAnsi="Times New Roman"/>
          <w:b/>
          <w:color w:val="000000"/>
          <w:sz w:val="24"/>
          <w:szCs w:val="24"/>
          <w:u w:color="000000"/>
          <w:bdr w:val="nil"/>
          <w:lang w:eastAsia="en-GB"/>
        </w:rPr>
        <w:t>ever</w:t>
      </w:r>
      <w:r>
        <w:rPr>
          <w:rFonts w:ascii="Times New Roman" w:eastAsia="Times New Roman" w:hAnsi="Times New Roman"/>
          <w:b/>
          <w:color w:val="000000"/>
          <w:sz w:val="24"/>
          <w:szCs w:val="24"/>
          <w:u w:color="000000"/>
          <w:bdr w:val="nil"/>
          <w:lang w:eastAsia="en-GB"/>
        </w:rPr>
        <w:t xml:space="preserve"> and p</w:t>
      </w:r>
      <w:r w:rsidRPr="007A4D6F">
        <w:rPr>
          <w:rFonts w:ascii="Times New Roman" w:eastAsia="Times New Roman" w:hAnsi="Times New Roman"/>
          <w:b/>
          <w:color w:val="000000"/>
          <w:sz w:val="24"/>
          <w:szCs w:val="24"/>
          <w:u w:color="000000"/>
          <w:bdr w:val="nil"/>
          <w:lang w:eastAsia="en-GB"/>
        </w:rPr>
        <w:t>overty and social exclusion hav</w:t>
      </w:r>
      <w:r>
        <w:rPr>
          <w:rFonts w:ascii="Times New Roman" w:eastAsia="Times New Roman" w:hAnsi="Times New Roman"/>
          <w:b/>
          <w:color w:val="000000"/>
          <w:sz w:val="24"/>
          <w:szCs w:val="24"/>
          <w:u w:color="000000"/>
          <w:bdr w:val="nil"/>
          <w:lang w:eastAsia="en-GB"/>
        </w:rPr>
        <w:t>ing</w:t>
      </w:r>
      <w:r w:rsidRPr="007A4D6F">
        <w:rPr>
          <w:rFonts w:ascii="Times New Roman" w:eastAsia="Times New Roman" w:hAnsi="Times New Roman"/>
          <w:b/>
          <w:color w:val="000000"/>
          <w:sz w:val="24"/>
          <w:szCs w:val="24"/>
          <w:u w:color="000000"/>
          <w:bdr w:val="nil"/>
          <w:lang w:eastAsia="en-GB"/>
        </w:rPr>
        <w:t xml:space="preserve"> started to come down</w:t>
      </w:r>
      <w:r>
        <w:rPr>
          <w:rFonts w:ascii="Times New Roman" w:eastAsia="Times New Roman" w:hAnsi="Times New Roman"/>
          <w:b/>
          <w:color w:val="000000"/>
          <w:sz w:val="24"/>
          <w:szCs w:val="24"/>
          <w:u w:color="000000"/>
          <w:bdr w:val="nil"/>
          <w:lang w:eastAsia="en-GB"/>
        </w:rPr>
        <w:t>, important challenges remain</w:t>
      </w:r>
      <w:r w:rsidRPr="007A4D6F">
        <w:rPr>
          <w:rFonts w:ascii="Times New Roman" w:eastAsia="Times New Roman" w:hAnsi="Times New Roman"/>
          <w:b/>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 xml:space="preserve">Unemployment and the number of people </w:t>
      </w:r>
      <w:r w:rsidR="00943C65">
        <w:rPr>
          <w:rFonts w:ascii="Times New Roman" w:eastAsia="Times New Roman" w:hAnsi="Times New Roman"/>
          <w:color w:val="000000"/>
          <w:sz w:val="24"/>
          <w:szCs w:val="24"/>
          <w:u w:color="000000"/>
          <w:bdr w:val="nil"/>
          <w:lang w:eastAsia="en-GB"/>
        </w:rPr>
        <w:t xml:space="preserve">at </w:t>
      </w:r>
      <w:r>
        <w:rPr>
          <w:rFonts w:ascii="Times New Roman" w:eastAsia="Times New Roman" w:hAnsi="Times New Roman"/>
          <w:color w:val="000000"/>
          <w:sz w:val="24"/>
          <w:szCs w:val="24"/>
          <w:u w:color="000000"/>
          <w:bdr w:val="nil"/>
          <w:lang w:eastAsia="en-GB"/>
        </w:rPr>
        <w:t xml:space="preserve">risk of poverty are still too high, which manifests the fact that the </w:t>
      </w:r>
      <w:r w:rsidRPr="007A4D6F">
        <w:rPr>
          <w:rFonts w:ascii="Times New Roman" w:eastAsia="Times New Roman" w:hAnsi="Times New Roman"/>
          <w:color w:val="000000"/>
          <w:sz w:val="24"/>
          <w:szCs w:val="24"/>
          <w:u w:color="000000"/>
          <w:bdr w:val="nil"/>
          <w:lang w:eastAsia="en-GB"/>
        </w:rPr>
        <w:t>recovery is still not reaching all parts of society and the economy</w:t>
      </w:r>
      <w:r>
        <w:rPr>
          <w:rFonts w:ascii="Times New Roman" w:eastAsia="Times New Roman" w:hAnsi="Times New Roman"/>
          <w:color w:val="000000"/>
          <w:sz w:val="24"/>
          <w:szCs w:val="24"/>
          <w:u w:color="000000"/>
          <w:bdr w:val="nil"/>
          <w:lang w:eastAsia="en-GB"/>
        </w:rPr>
        <w:t>. Apart from having to overcome the burdens of the past, labour markets and social and education systems need to adapt to face challenges of g</w:t>
      </w:r>
      <w:r w:rsidRPr="009B3ED8">
        <w:rPr>
          <w:rFonts w:ascii="Times New Roman" w:eastAsia="Times New Roman" w:hAnsi="Times New Roman"/>
          <w:color w:val="000000"/>
          <w:sz w:val="24"/>
          <w:szCs w:val="24"/>
          <w:u w:color="000000"/>
          <w:bdr w:val="nil"/>
          <w:lang w:eastAsia="en-GB"/>
        </w:rPr>
        <w:t>lobalisation and technological progress</w:t>
      </w:r>
      <w:r>
        <w:rPr>
          <w:rFonts w:ascii="Times New Roman" w:eastAsia="Times New Roman" w:hAnsi="Times New Roman"/>
          <w:color w:val="000000"/>
          <w:sz w:val="24"/>
          <w:szCs w:val="24"/>
          <w:u w:color="000000"/>
          <w:bdr w:val="nil"/>
          <w:lang w:eastAsia="en-GB"/>
        </w:rPr>
        <w:t>.</w:t>
      </w:r>
    </w:p>
    <w:p w:rsidR="00CE59E1" w:rsidRDefault="00CE59E1" w:rsidP="00CE59E1">
      <w:pPr>
        <w:spacing w:before="120" w:after="120" w:line="240" w:lineRule="auto"/>
        <w:jc w:val="both"/>
        <w:rPr>
          <w:rFonts w:ascii="Times New Roman" w:eastAsia="Times New Roman" w:hAnsi="Times New Roman"/>
          <w:color w:val="000000"/>
          <w:sz w:val="24"/>
          <w:szCs w:val="24"/>
          <w:u w:color="000000"/>
          <w:bdr w:val="nil"/>
          <w:lang w:eastAsia="en-GB"/>
        </w:rPr>
      </w:pPr>
      <w:r>
        <w:rPr>
          <w:rFonts w:ascii="Times New Roman" w:eastAsia="Times New Roman" w:hAnsi="Times New Roman"/>
          <w:b/>
          <w:color w:val="000000"/>
          <w:sz w:val="24"/>
          <w:szCs w:val="24"/>
          <w:u w:color="000000"/>
          <w:bdr w:val="nil"/>
          <w:lang w:eastAsia="en-GB"/>
        </w:rPr>
        <w:t>Sustainable</w:t>
      </w:r>
      <w:r w:rsidRPr="00FA0E9C">
        <w:rPr>
          <w:rFonts w:ascii="Times New Roman" w:eastAsia="Times New Roman" w:hAnsi="Times New Roman"/>
          <w:b/>
          <w:color w:val="000000"/>
          <w:sz w:val="24"/>
          <w:szCs w:val="24"/>
          <w:u w:color="000000"/>
          <w:bdr w:val="nil"/>
          <w:lang w:eastAsia="en-GB"/>
        </w:rPr>
        <w:t xml:space="preserve"> and inclusive social protection sy</w:t>
      </w:r>
      <w:r>
        <w:rPr>
          <w:rFonts w:ascii="Times New Roman" w:eastAsia="Times New Roman" w:hAnsi="Times New Roman"/>
          <w:b/>
          <w:color w:val="000000"/>
          <w:sz w:val="24"/>
          <w:szCs w:val="24"/>
          <w:u w:color="000000"/>
          <w:bdr w:val="nil"/>
          <w:lang w:eastAsia="en-GB"/>
        </w:rPr>
        <w:t>stems are central to mitigating the impact of economic shocks</w:t>
      </w:r>
      <w:r w:rsidRPr="00FA0E9C">
        <w:rPr>
          <w:rFonts w:ascii="Times New Roman" w:eastAsia="Times New Roman" w:hAnsi="Times New Roman"/>
          <w:b/>
          <w:color w:val="000000"/>
          <w:sz w:val="24"/>
          <w:szCs w:val="24"/>
          <w:u w:color="000000"/>
          <w:bdr w:val="nil"/>
          <w:lang w:eastAsia="en-GB"/>
        </w:rPr>
        <w:t xml:space="preserve">. </w:t>
      </w:r>
      <w:r w:rsidRPr="00343F45">
        <w:rPr>
          <w:rFonts w:ascii="Times New Roman" w:eastAsia="Times New Roman" w:hAnsi="Times New Roman"/>
          <w:color w:val="000000"/>
          <w:sz w:val="24"/>
          <w:szCs w:val="24"/>
          <w:u w:color="000000"/>
          <w:bdr w:val="nil"/>
          <w:lang w:eastAsia="en-GB"/>
        </w:rPr>
        <w:t xml:space="preserve">In line with </w:t>
      </w:r>
      <w:r>
        <w:rPr>
          <w:rFonts w:ascii="Times New Roman" w:eastAsia="Times New Roman" w:hAnsi="Times New Roman"/>
          <w:color w:val="000000"/>
          <w:sz w:val="24"/>
          <w:szCs w:val="24"/>
          <w:u w:color="000000"/>
          <w:bdr w:val="nil"/>
          <w:lang w:eastAsia="en-GB"/>
        </w:rPr>
        <w:t xml:space="preserve">the </w:t>
      </w:r>
      <w:r w:rsidRPr="00343F45">
        <w:rPr>
          <w:rFonts w:ascii="Times New Roman" w:eastAsia="Times New Roman" w:hAnsi="Times New Roman"/>
          <w:color w:val="000000"/>
          <w:sz w:val="24"/>
          <w:szCs w:val="24"/>
          <w:u w:color="000000"/>
          <w:bdr w:val="nil"/>
          <w:lang w:eastAsia="en-GB"/>
        </w:rPr>
        <w:t>principles</w:t>
      </w:r>
      <w:r>
        <w:rPr>
          <w:rFonts w:ascii="Times New Roman" w:eastAsia="Times New Roman" w:hAnsi="Times New Roman"/>
          <w:color w:val="000000"/>
          <w:sz w:val="24"/>
          <w:szCs w:val="24"/>
          <w:u w:color="000000"/>
          <w:bdr w:val="nil"/>
          <w:lang w:eastAsia="en-GB"/>
        </w:rPr>
        <w:t xml:space="preserve"> of the European Pillar of Social Rights</w:t>
      </w:r>
      <w:r w:rsidRPr="00343F45">
        <w:rPr>
          <w:rFonts w:ascii="Times New Roman" w:eastAsia="Times New Roman" w:hAnsi="Times New Roman"/>
          <w:color w:val="000000"/>
          <w:sz w:val="24"/>
          <w:szCs w:val="24"/>
          <w:u w:color="000000"/>
          <w:bdr w:val="nil"/>
          <w:lang w:eastAsia="en-GB"/>
        </w:rPr>
        <w:t xml:space="preserve">, </w:t>
      </w:r>
      <w:r w:rsidRPr="009B3ED8">
        <w:rPr>
          <w:rFonts w:ascii="Times New Roman" w:eastAsia="Times New Roman" w:hAnsi="Times New Roman"/>
          <w:color w:val="000000"/>
          <w:sz w:val="24"/>
          <w:szCs w:val="24"/>
          <w:u w:color="000000"/>
          <w:bdr w:val="nil"/>
          <w:lang w:eastAsia="en-GB"/>
        </w:rPr>
        <w:t>all workers should have access to social protectio</w:t>
      </w:r>
      <w:r w:rsidRPr="000C270C">
        <w:rPr>
          <w:rFonts w:ascii="Times New Roman" w:eastAsia="Times New Roman" w:hAnsi="Times New Roman"/>
          <w:color w:val="000000"/>
          <w:sz w:val="24"/>
          <w:szCs w:val="24"/>
          <w:u w:color="000000"/>
          <w:bdr w:val="nil"/>
          <w:lang w:eastAsia="en-GB"/>
        </w:rPr>
        <w:t xml:space="preserve">n, irrespective of the type and duration of their working relationship. However, increasing labour mobility and </w:t>
      </w:r>
      <w:r w:rsidR="00943C65">
        <w:rPr>
          <w:rFonts w:ascii="Times New Roman" w:eastAsia="Times New Roman" w:hAnsi="Times New Roman"/>
          <w:color w:val="000000"/>
          <w:sz w:val="24"/>
          <w:szCs w:val="24"/>
          <w:u w:color="000000"/>
          <w:bdr w:val="nil"/>
          <w:lang w:eastAsia="en-GB"/>
        </w:rPr>
        <w:t>new</w:t>
      </w:r>
      <w:r w:rsidR="00943C65" w:rsidRPr="000C270C">
        <w:rPr>
          <w:rFonts w:ascii="Times New Roman" w:eastAsia="Times New Roman" w:hAnsi="Times New Roman"/>
          <w:color w:val="000000"/>
          <w:sz w:val="24"/>
          <w:szCs w:val="24"/>
          <w:u w:color="000000"/>
          <w:bdr w:val="nil"/>
          <w:lang w:eastAsia="en-GB"/>
        </w:rPr>
        <w:t xml:space="preserve"> </w:t>
      </w:r>
      <w:r w:rsidRPr="000C270C">
        <w:rPr>
          <w:rFonts w:ascii="Times New Roman" w:eastAsia="Times New Roman" w:hAnsi="Times New Roman"/>
          <w:color w:val="000000"/>
          <w:sz w:val="24"/>
          <w:szCs w:val="24"/>
          <w:u w:color="000000"/>
          <w:bdr w:val="nil"/>
          <w:lang w:eastAsia="en-GB"/>
        </w:rPr>
        <w:t>forms of employment are trends not easily matched by social protection systems. Denmark, France, Italy, Poland and Portugal started reforms in this field, such as extending the coverage of social rights and unemployment benefits to people in non-standard and self-employment. In Portugal</w:t>
      </w:r>
      <w:r>
        <w:rPr>
          <w:rFonts w:ascii="Times New Roman" w:eastAsia="Times New Roman" w:hAnsi="Times New Roman"/>
          <w:color w:val="000000"/>
          <w:sz w:val="24"/>
          <w:szCs w:val="24"/>
          <w:u w:color="000000"/>
          <w:bdr w:val="nil"/>
          <w:lang w:eastAsia="en-GB"/>
        </w:rPr>
        <w:t>,</w:t>
      </w:r>
      <w:r w:rsidRPr="000C270C">
        <w:rPr>
          <w:rFonts w:ascii="Times New Roman" w:eastAsia="Times New Roman" w:hAnsi="Times New Roman"/>
          <w:color w:val="000000"/>
          <w:sz w:val="24"/>
          <w:szCs w:val="24"/>
          <w:u w:color="000000"/>
          <w:bdr w:val="nil"/>
          <w:lang w:eastAsia="en-GB"/>
        </w:rPr>
        <w:t xml:space="preserve"> this includes </w:t>
      </w:r>
      <w:r w:rsidR="00D722E9">
        <w:rPr>
          <w:rFonts w:ascii="Times New Roman" w:eastAsia="Times New Roman" w:hAnsi="Times New Roman"/>
          <w:color w:val="000000"/>
          <w:sz w:val="24"/>
          <w:szCs w:val="24"/>
          <w:u w:color="000000"/>
          <w:bdr w:val="nil"/>
          <w:lang w:eastAsia="en-GB"/>
        </w:rPr>
        <w:t>plans</w:t>
      </w:r>
      <w:r w:rsidR="00D722E9" w:rsidRPr="000C270C">
        <w:rPr>
          <w:rFonts w:ascii="Times New Roman" w:eastAsia="Times New Roman" w:hAnsi="Times New Roman"/>
          <w:color w:val="000000"/>
          <w:sz w:val="24"/>
          <w:szCs w:val="24"/>
          <w:u w:color="000000"/>
          <w:bdr w:val="nil"/>
          <w:lang w:eastAsia="en-GB"/>
        </w:rPr>
        <w:t xml:space="preserve"> </w:t>
      </w:r>
      <w:r w:rsidRPr="000C270C">
        <w:rPr>
          <w:rFonts w:ascii="Times New Roman" w:eastAsia="Times New Roman" w:hAnsi="Times New Roman"/>
          <w:color w:val="000000"/>
          <w:sz w:val="24"/>
          <w:szCs w:val="24"/>
          <w:u w:color="000000"/>
          <w:bdr w:val="nil"/>
          <w:lang w:eastAsia="en-GB"/>
        </w:rPr>
        <w:t xml:space="preserve">to reinforce its activation of </w:t>
      </w:r>
      <w:r w:rsidRPr="004430C8">
        <w:rPr>
          <w:rFonts w:ascii="Times New Roman" w:eastAsia="Times New Roman" w:hAnsi="Times New Roman"/>
          <w:color w:val="000000"/>
          <w:sz w:val="24"/>
          <w:szCs w:val="24"/>
          <w:u w:color="000000"/>
          <w:bdr w:val="nil"/>
          <w:lang w:eastAsia="en-GB"/>
        </w:rPr>
        <w:t>recipients'</w:t>
      </w:r>
      <w:r w:rsidRPr="000C270C">
        <w:rPr>
          <w:rFonts w:ascii="Times New Roman" w:eastAsia="Times New Roman" w:hAnsi="Times New Roman"/>
          <w:color w:val="000000"/>
          <w:sz w:val="24"/>
          <w:szCs w:val="24"/>
          <w:u w:color="000000"/>
          <w:bdr w:val="nil"/>
          <w:lang w:eastAsia="en-GB"/>
        </w:rPr>
        <w:t xml:space="preserve"> capacity, for instance by improving the cooperation between employment and social services. </w:t>
      </w:r>
      <w:r w:rsidRPr="00FC2170">
        <w:rPr>
          <w:rFonts w:ascii="Times New Roman" w:eastAsia="Times New Roman" w:hAnsi="Times New Roman"/>
          <w:color w:val="000000"/>
          <w:sz w:val="24"/>
          <w:szCs w:val="24"/>
          <w:u w:color="000000"/>
          <w:bdr w:val="nil"/>
          <w:lang w:eastAsia="en-GB"/>
        </w:rPr>
        <w:t xml:space="preserve">Belgium is taking action by providing additional support for pension build-up of self-employed individuals and a reduction of the social security contribution limit for self-employed at the start of their activities. </w:t>
      </w:r>
      <w:r w:rsidRPr="000C270C">
        <w:rPr>
          <w:rFonts w:ascii="Times New Roman" w:eastAsia="Times New Roman" w:hAnsi="Times New Roman"/>
          <w:color w:val="000000"/>
          <w:sz w:val="24"/>
          <w:szCs w:val="24"/>
          <w:u w:color="000000"/>
          <w:bdr w:val="nil"/>
          <w:lang w:eastAsia="en-GB"/>
        </w:rPr>
        <w:t xml:space="preserve">In Sweden, further to the compulsory unemployment insurance, self-employed workers can opt for a </w:t>
      </w:r>
      <w:r>
        <w:rPr>
          <w:rFonts w:ascii="Times New Roman" w:eastAsia="Times New Roman" w:hAnsi="Times New Roman"/>
          <w:color w:val="000000"/>
          <w:sz w:val="24"/>
          <w:szCs w:val="24"/>
          <w:u w:color="000000"/>
          <w:bdr w:val="nil"/>
          <w:lang w:eastAsia="en-GB"/>
        </w:rPr>
        <w:t>S</w:t>
      </w:r>
      <w:r w:rsidRPr="000C270C">
        <w:rPr>
          <w:rFonts w:ascii="Times New Roman" w:eastAsia="Times New Roman" w:hAnsi="Times New Roman"/>
          <w:color w:val="000000"/>
          <w:sz w:val="24"/>
          <w:szCs w:val="24"/>
          <w:u w:color="000000"/>
          <w:bdr w:val="nil"/>
          <w:lang w:eastAsia="en-GB"/>
        </w:rPr>
        <w:t xml:space="preserve">tate-subsidised top-up. France announced reform </w:t>
      </w:r>
      <w:r>
        <w:rPr>
          <w:rFonts w:ascii="Times New Roman" w:eastAsia="Times New Roman" w:hAnsi="Times New Roman"/>
          <w:color w:val="000000"/>
          <w:sz w:val="24"/>
          <w:szCs w:val="24"/>
          <w:u w:color="000000"/>
          <w:bdr w:val="nil"/>
          <w:lang w:eastAsia="en-GB"/>
        </w:rPr>
        <w:t xml:space="preserve">of </w:t>
      </w:r>
      <w:r w:rsidRPr="000C270C">
        <w:rPr>
          <w:rFonts w:ascii="Times New Roman" w:eastAsia="Times New Roman" w:hAnsi="Times New Roman"/>
          <w:color w:val="000000"/>
          <w:sz w:val="24"/>
          <w:szCs w:val="24"/>
          <w:u w:color="000000"/>
          <w:bdr w:val="nil"/>
          <w:lang w:eastAsia="en-GB"/>
        </w:rPr>
        <w:t xml:space="preserve">the unemployment benefit system to encourage firms' use of longer work contracts. </w:t>
      </w:r>
    </w:p>
    <w:p w:rsidR="00CE59E1" w:rsidRPr="000C270C" w:rsidRDefault="00CE59E1" w:rsidP="00054060">
      <w:pPr>
        <w:keepNex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b/>
          <w:sz w:val="24"/>
          <w:szCs w:val="24"/>
        </w:rPr>
      </w:pPr>
      <w:r w:rsidRPr="00C25428">
        <w:rPr>
          <w:rFonts w:ascii="Times New Roman" w:hAnsi="Times New Roman"/>
          <w:b/>
          <w:sz w:val="24"/>
          <w:szCs w:val="24"/>
        </w:rPr>
        <w:t>Box 1:</w:t>
      </w:r>
      <w:r w:rsidRPr="00D233D5">
        <w:rPr>
          <w:rFonts w:ascii="Times New Roman" w:hAnsi="Times New Roman"/>
          <w:b/>
          <w:sz w:val="24"/>
          <w:szCs w:val="24"/>
        </w:rPr>
        <w:t xml:space="preserve"> Sustainable, </w:t>
      </w:r>
      <w:r>
        <w:rPr>
          <w:rFonts w:ascii="Times New Roman" w:hAnsi="Times New Roman"/>
          <w:b/>
          <w:sz w:val="24"/>
          <w:szCs w:val="24"/>
        </w:rPr>
        <w:t>a</w:t>
      </w:r>
      <w:r w:rsidRPr="000C270C">
        <w:rPr>
          <w:rFonts w:ascii="Times New Roman" w:hAnsi="Times New Roman"/>
          <w:b/>
          <w:sz w:val="24"/>
          <w:szCs w:val="24"/>
        </w:rPr>
        <w:t>dequate and effective social safety nets in Europe</w:t>
      </w:r>
      <w:r w:rsidRPr="000C270C" w:rsidDel="00411256">
        <w:rPr>
          <w:rFonts w:ascii="Times New Roman" w:hAnsi="Times New Roman"/>
          <w:b/>
          <w:sz w:val="24"/>
          <w:szCs w:val="24"/>
        </w:rPr>
        <w:t xml:space="preserve"> </w:t>
      </w:r>
    </w:p>
    <w:p w:rsidR="00CE59E1" w:rsidRPr="00D761F7" w:rsidRDefault="00CE59E1" w:rsidP="00054060">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912190">
        <w:rPr>
          <w:rFonts w:ascii="Times New Roman" w:hAnsi="Times New Roman"/>
          <w:sz w:val="24"/>
          <w:szCs w:val="24"/>
        </w:rPr>
        <w:t>In the European Pillar of Social rights, several principles, notably principle</w:t>
      </w:r>
      <w:r w:rsidR="00F411F0">
        <w:rPr>
          <w:rFonts w:ascii="Times New Roman" w:hAnsi="Times New Roman"/>
          <w:sz w:val="24"/>
          <w:szCs w:val="24"/>
        </w:rPr>
        <w:t>s 12 and</w:t>
      </w:r>
      <w:r w:rsidRPr="00912190">
        <w:rPr>
          <w:rFonts w:ascii="Times New Roman" w:hAnsi="Times New Roman"/>
          <w:sz w:val="24"/>
          <w:szCs w:val="24"/>
        </w:rPr>
        <w:t xml:space="preserve"> 14</w:t>
      </w:r>
      <w:r>
        <w:rPr>
          <w:rStyle w:val="FootnoteReference"/>
          <w:rFonts w:ascii="Times New Roman" w:hAnsi="Times New Roman"/>
          <w:sz w:val="24"/>
          <w:szCs w:val="24"/>
        </w:rPr>
        <w:footnoteReference w:id="16"/>
      </w:r>
      <w:r>
        <w:rPr>
          <w:rFonts w:ascii="Times New Roman" w:hAnsi="Times New Roman"/>
          <w:sz w:val="24"/>
          <w:szCs w:val="24"/>
        </w:rPr>
        <w:t xml:space="preserve"> </w:t>
      </w:r>
      <w:r w:rsidRPr="00912190">
        <w:rPr>
          <w:rFonts w:ascii="Times New Roman" w:hAnsi="Times New Roman"/>
          <w:sz w:val="24"/>
          <w:szCs w:val="24"/>
        </w:rPr>
        <w:t xml:space="preserve">underline the importance of adequate social </w:t>
      </w:r>
      <w:r w:rsidR="00F411F0">
        <w:rPr>
          <w:rFonts w:ascii="Times New Roman" w:hAnsi="Times New Roman"/>
          <w:sz w:val="24"/>
          <w:szCs w:val="24"/>
        </w:rPr>
        <w:t>protection</w:t>
      </w:r>
      <w:r>
        <w:rPr>
          <w:rFonts w:ascii="Times New Roman" w:hAnsi="Times New Roman"/>
          <w:sz w:val="24"/>
          <w:szCs w:val="24"/>
        </w:rPr>
        <w:t xml:space="preserve">. </w:t>
      </w:r>
      <w:r w:rsidRPr="00D761F7">
        <w:rPr>
          <w:rFonts w:ascii="Times New Roman" w:hAnsi="Times New Roman"/>
          <w:sz w:val="24"/>
          <w:szCs w:val="24"/>
        </w:rPr>
        <w:t xml:space="preserve">Adequate social protection, including </w:t>
      </w:r>
      <w:r w:rsidRPr="00D806F7">
        <w:rPr>
          <w:rFonts w:ascii="Times New Roman" w:hAnsi="Times New Roman"/>
          <w:sz w:val="24"/>
          <w:szCs w:val="24"/>
        </w:rPr>
        <w:t>old-age pensions,</w:t>
      </w:r>
      <w:r>
        <w:rPr>
          <w:rFonts w:ascii="Times New Roman" w:hAnsi="Times New Roman"/>
          <w:sz w:val="24"/>
          <w:szCs w:val="24"/>
        </w:rPr>
        <w:t xml:space="preserve"> healthcare, unemployment benefits and social assistance</w:t>
      </w:r>
      <w:r w:rsidRPr="00D806F7">
        <w:rPr>
          <w:rFonts w:ascii="Times New Roman" w:hAnsi="Times New Roman"/>
          <w:sz w:val="24"/>
          <w:szCs w:val="24"/>
        </w:rPr>
        <w:t xml:space="preserve"> </w:t>
      </w:r>
      <w:r w:rsidR="00F411F0">
        <w:rPr>
          <w:rFonts w:ascii="Times New Roman" w:hAnsi="Times New Roman"/>
          <w:sz w:val="24"/>
          <w:szCs w:val="24"/>
        </w:rPr>
        <w:t xml:space="preserve">is </w:t>
      </w:r>
      <w:r w:rsidRPr="00D806F7">
        <w:rPr>
          <w:rFonts w:ascii="Times New Roman" w:hAnsi="Times New Roman"/>
          <w:sz w:val="24"/>
          <w:szCs w:val="24"/>
        </w:rPr>
        <w:t>critically important for mitigating the hardship felt by people and</w:t>
      </w:r>
      <w:r w:rsidRPr="00D761F7">
        <w:rPr>
          <w:rFonts w:ascii="Times New Roman" w:hAnsi="Times New Roman"/>
          <w:sz w:val="24"/>
          <w:szCs w:val="24"/>
        </w:rPr>
        <w:t xml:space="preserve"> families when confronted with job losses or other set-backs. </w:t>
      </w:r>
      <w:r w:rsidR="00F411F0" w:rsidRPr="00F411F0">
        <w:rPr>
          <w:rFonts w:ascii="Times New Roman" w:hAnsi="Times New Roman"/>
          <w:sz w:val="24"/>
          <w:szCs w:val="24"/>
        </w:rPr>
        <w:t>This is especially important in a world of rapid transformations due to ageing, technology and globalisation, to support people during career transitions and help them fully embrace the opportunities and address the challenges that the fast-changing economy provides. On a larger scale, adequate and effective social protection is essential for a thriving economy and well-functioning labour markets that create qual</w:t>
      </w:r>
      <w:r w:rsidR="00F411F0">
        <w:rPr>
          <w:rFonts w:ascii="Times New Roman" w:hAnsi="Times New Roman"/>
          <w:sz w:val="24"/>
          <w:szCs w:val="24"/>
        </w:rPr>
        <w:t>ity jobs and sustainable growth.</w:t>
      </w:r>
      <w:r w:rsidRPr="00D761F7">
        <w:rPr>
          <w:rFonts w:ascii="Times New Roman" w:hAnsi="Times New Roman"/>
          <w:sz w:val="24"/>
          <w:szCs w:val="24"/>
        </w:rPr>
        <w:t xml:space="preserve"> </w:t>
      </w:r>
      <w:r>
        <w:rPr>
          <w:rFonts w:ascii="Times New Roman" w:hAnsi="Times New Roman"/>
          <w:sz w:val="24"/>
          <w:szCs w:val="24"/>
        </w:rPr>
        <w:t>The long-term fiscal sustainability of social protection systems can only be ensured if the risk sharing inherent in social protection is widely spread.</w:t>
      </w:r>
    </w:p>
    <w:p w:rsidR="00CE59E1" w:rsidRPr="00BA1288" w:rsidRDefault="00CE59E1" w:rsidP="00054060">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D761F7">
        <w:rPr>
          <w:rFonts w:ascii="Times New Roman" w:hAnsi="Times New Roman"/>
          <w:sz w:val="24"/>
          <w:szCs w:val="24"/>
        </w:rPr>
        <w:t xml:space="preserve">Many Member States are modernising their social protection systems, by improving coverage and adequacy of benefits and services, notably for non-standard workers, and actively encouraging labour market participation. </w:t>
      </w:r>
      <w:r w:rsidRPr="00BA1288">
        <w:rPr>
          <w:rFonts w:ascii="Times New Roman" w:hAnsi="Times New Roman"/>
          <w:sz w:val="24"/>
          <w:szCs w:val="24"/>
        </w:rPr>
        <w:t>Several Member States, such as Italy, Denmark, Latvia</w:t>
      </w:r>
      <w:r>
        <w:rPr>
          <w:rFonts w:ascii="Times New Roman" w:hAnsi="Times New Roman"/>
          <w:sz w:val="24"/>
          <w:szCs w:val="24"/>
        </w:rPr>
        <w:t>, Portugal</w:t>
      </w:r>
      <w:r w:rsidRPr="00BA1288">
        <w:rPr>
          <w:rFonts w:ascii="Times New Roman" w:hAnsi="Times New Roman"/>
          <w:sz w:val="24"/>
          <w:szCs w:val="24"/>
        </w:rPr>
        <w:t xml:space="preserve"> and France extended last year social protection coverage for the self-employed. Member States are also taking action to more actively support labour market participation, often with a focus on specific groups. Slovakia is implementing an ambitious action plan in support of Long Term Unemployed persons to provide tailor-made services. In Spain, a Social Inclusion Network was created as a coordination tool between social and employment services. </w:t>
      </w:r>
    </w:p>
    <w:p w:rsidR="00CE59E1" w:rsidRPr="00BA1288" w:rsidRDefault="00CE59E1" w:rsidP="00054060">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F76550">
        <w:rPr>
          <w:rFonts w:ascii="Times New Roman" w:hAnsi="Times New Roman"/>
          <w:sz w:val="24"/>
          <w:szCs w:val="24"/>
        </w:rPr>
        <w:t xml:space="preserve">However, </w:t>
      </w:r>
      <w:r w:rsidRPr="00BA1288">
        <w:rPr>
          <w:rFonts w:ascii="Times New Roman" w:hAnsi="Times New Roman"/>
          <w:sz w:val="24"/>
          <w:szCs w:val="24"/>
        </w:rPr>
        <w:t xml:space="preserve">globally a more comprehensive and coherent approach is needed to address the challenges shared by Member States. The considerable job creation of recent years has already helped. Whilst having a job remains the best insurance against poverty, close to 10% of workers are classified under “in-work-poverty”. And this share is slowly increasing in a context of changing labour markets. </w:t>
      </w:r>
    </w:p>
    <w:p w:rsidR="00CE59E1" w:rsidRPr="00F76550" w:rsidRDefault="00CE59E1" w:rsidP="00054060">
      <w:pPr>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BA1288">
        <w:rPr>
          <w:rFonts w:ascii="Times New Roman" w:hAnsi="Times New Roman"/>
          <w:sz w:val="24"/>
          <w:szCs w:val="24"/>
        </w:rPr>
        <w:t xml:space="preserve">Last but not least, the depth and persistence of poverty is increasing in some Member States, pointing to gaps in the social protection design and implementation. </w:t>
      </w:r>
      <w:r w:rsidR="00F411F0" w:rsidRPr="00BA1288">
        <w:rPr>
          <w:rFonts w:ascii="Times New Roman" w:hAnsi="Times New Roman"/>
          <w:sz w:val="24"/>
          <w:szCs w:val="24"/>
        </w:rPr>
        <w:t>For example, Italy introduced a universal minimum income</w:t>
      </w:r>
      <w:r w:rsidR="00F411F0">
        <w:rPr>
          <w:rFonts w:ascii="Times New Roman" w:hAnsi="Times New Roman"/>
          <w:sz w:val="24"/>
          <w:szCs w:val="24"/>
        </w:rPr>
        <w:t xml:space="preserve"> </w:t>
      </w:r>
      <w:r w:rsidR="00F411F0" w:rsidRPr="00660712">
        <w:rPr>
          <w:rFonts w:ascii="Times New Roman" w:hAnsi="Times New Roman"/>
          <w:sz w:val="24"/>
          <w:szCs w:val="24"/>
        </w:rPr>
        <w:t>support scheme in March 2017 and further resources were structurally allocated by the 2018 Budget Law. Portugal made important changes to the minimum income scheme to reinforce its capacity to integrate and protect persons living in poverty, without discrimination by nationality.</w:t>
      </w:r>
      <w:r w:rsidR="00F411F0" w:rsidRPr="00BA1288">
        <w:rPr>
          <w:rFonts w:ascii="Times New Roman" w:hAnsi="Times New Roman"/>
          <w:sz w:val="24"/>
          <w:szCs w:val="24"/>
        </w:rPr>
        <w:t xml:space="preserve"> </w:t>
      </w:r>
      <w:r w:rsidR="00F411F0">
        <w:rPr>
          <w:rFonts w:ascii="Times New Roman" w:hAnsi="Times New Roman"/>
          <w:sz w:val="24"/>
          <w:szCs w:val="24"/>
        </w:rPr>
        <w:t>Nevertheless, w</w:t>
      </w:r>
      <w:r w:rsidR="00F411F0" w:rsidRPr="00BA1288">
        <w:rPr>
          <w:rFonts w:ascii="Times New Roman" w:hAnsi="Times New Roman"/>
          <w:sz w:val="24"/>
          <w:szCs w:val="24"/>
        </w:rPr>
        <w:t xml:space="preserve">hile social assistance is necessary to ensure that everyone lacking sufficient resources can live a life in dignity, this should be a last resort, enabling and supporting people to get back into an active role society. </w:t>
      </w:r>
      <w:r w:rsidRPr="00BA1288">
        <w:rPr>
          <w:rFonts w:ascii="Times New Roman" w:hAnsi="Times New Roman"/>
          <w:sz w:val="24"/>
          <w:szCs w:val="24"/>
        </w:rPr>
        <w:t xml:space="preserve">Improving the design of tax and benefits systems, fostering equal opportunities in education and training, ensuring access to quality social services and healthcare, and promoting gender equality, can contribute to reduce inequalities and poverty, as well as their transmission across generations.   </w:t>
      </w:r>
    </w:p>
    <w:p w:rsidR="00361F89" w:rsidRDefault="00CE59E1" w:rsidP="00CE59E1">
      <w:pPr>
        <w:pBdr>
          <w:top w:val="nil"/>
          <w:left w:val="nil"/>
          <w:bottom w:val="nil"/>
          <w:right w:val="nil"/>
          <w:between w:val="nil"/>
          <w:bar w:val="nil"/>
        </w:pBdr>
        <w:spacing w:before="120" w:after="120" w:line="240" w:lineRule="auto"/>
        <w:jc w:val="both"/>
        <w:rPr>
          <w:rFonts w:ascii="Times New Roman" w:hAnsi="Times New Roman"/>
          <w:noProof/>
          <w:sz w:val="24"/>
        </w:rPr>
      </w:pPr>
      <w:r>
        <w:rPr>
          <w:rFonts w:ascii="Times New Roman" w:eastAsia="Times New Roman" w:hAnsi="Times New Roman"/>
          <w:b/>
          <w:color w:val="000000"/>
          <w:sz w:val="24"/>
          <w:szCs w:val="24"/>
          <w:u w:color="000000"/>
          <w:bdr w:val="nil"/>
          <w:lang w:eastAsia="en-GB"/>
        </w:rPr>
        <w:t>T</w:t>
      </w:r>
      <w:r w:rsidRPr="002507D6">
        <w:rPr>
          <w:rFonts w:ascii="Times New Roman" w:eastAsia="Times New Roman" w:hAnsi="Times New Roman"/>
          <w:b/>
          <w:color w:val="000000"/>
          <w:sz w:val="24"/>
          <w:szCs w:val="24"/>
          <w:u w:color="000000"/>
          <w:bdr w:val="nil"/>
          <w:lang w:eastAsia="en-GB"/>
        </w:rPr>
        <w:t xml:space="preserve">he emergence of new </w:t>
      </w:r>
      <w:r>
        <w:rPr>
          <w:rFonts w:ascii="Times New Roman" w:eastAsia="Times New Roman" w:hAnsi="Times New Roman"/>
          <w:b/>
          <w:color w:val="000000"/>
          <w:sz w:val="24"/>
          <w:szCs w:val="24"/>
          <w:u w:color="000000"/>
          <w:bdr w:val="nil"/>
          <w:lang w:eastAsia="en-GB"/>
        </w:rPr>
        <w:t>forms of work calls for an adaptation of labour market institutions.</w:t>
      </w:r>
      <w:r>
        <w:rPr>
          <w:rFonts w:ascii="Times New Roman" w:eastAsia="Times New Roman" w:hAnsi="Times New Roman"/>
          <w:color w:val="000000"/>
          <w:sz w:val="24"/>
          <w:szCs w:val="24"/>
          <w:u w:color="000000"/>
          <w:bdr w:val="nil"/>
          <w:lang w:eastAsia="en-GB"/>
        </w:rPr>
        <w:t xml:space="preserve"> Needs for flexibility to accommodate changing labour demand have to be balanced with workers' and their families' need for security, in order to avoid labour market segmentation.</w:t>
      </w:r>
      <w:r w:rsidRPr="00125A7C">
        <w:rPr>
          <w:rFonts w:ascii="Times New Roman" w:eastAsia="Times New Roman" w:hAnsi="Times New Roman"/>
          <w:color w:val="000000"/>
          <w:sz w:val="24"/>
          <w:szCs w:val="24"/>
          <w:u w:color="000000"/>
          <w:bdr w:val="nil"/>
          <w:lang w:eastAsia="en-GB"/>
        </w:rPr>
        <w:t>.</w:t>
      </w:r>
      <w:r>
        <w:rPr>
          <w:rFonts w:ascii="Times New Roman" w:eastAsia="Times New Roman" w:hAnsi="Times New Roman"/>
          <w:color w:val="000000"/>
          <w:sz w:val="24"/>
          <w:szCs w:val="24"/>
          <w:u w:color="000000"/>
          <w:bdr w:val="nil"/>
          <w:lang w:eastAsia="en-GB"/>
        </w:rPr>
        <w:t xml:space="preserve"> </w:t>
      </w:r>
      <w:r>
        <w:rPr>
          <w:rFonts w:ascii="Times New Roman" w:hAnsi="Times New Roman"/>
          <w:noProof/>
          <w:sz w:val="24"/>
        </w:rPr>
        <w:t xml:space="preserve">For instance, Lithuania introduced a comprehensive reform of its Labour Code, aiming at streamlining rules for termination of employment  while reducing the maximum duration of fixed-term contracts, increasing unemployment benefits </w:t>
      </w:r>
      <w:r w:rsidRPr="00883BB5">
        <w:rPr>
          <w:rFonts w:ascii="Times New Roman" w:hAnsi="Times New Roman"/>
          <w:noProof/>
          <w:sz w:val="24"/>
        </w:rPr>
        <w:t>and encouraging collective bargaining.</w:t>
      </w:r>
      <w:r>
        <w:rPr>
          <w:rFonts w:ascii="Times New Roman" w:hAnsi="Times New Roman"/>
          <w:noProof/>
          <w:sz w:val="24"/>
        </w:rPr>
        <w:t xml:space="preserve"> </w:t>
      </w:r>
    </w:p>
    <w:p w:rsidR="00CE59E1" w:rsidRDefault="00CE59E1" w:rsidP="00CE59E1">
      <w:pPr>
        <w:pBdr>
          <w:top w:val="nil"/>
          <w:left w:val="nil"/>
          <w:bottom w:val="nil"/>
          <w:right w:val="nil"/>
          <w:between w:val="nil"/>
          <w:bar w:val="nil"/>
        </w:pBdr>
        <w:spacing w:before="120" w:after="120" w:line="240" w:lineRule="auto"/>
        <w:jc w:val="both"/>
        <w:rPr>
          <w:rFonts w:ascii="Times New Roman" w:eastAsia="Times New Roman" w:hAnsi="Times New Roman"/>
          <w:b/>
          <w:color w:val="000000"/>
          <w:sz w:val="24"/>
          <w:szCs w:val="24"/>
          <w:u w:color="000000"/>
          <w:bdr w:val="nil"/>
          <w:lang w:eastAsia="en-GB"/>
        </w:rPr>
      </w:pPr>
      <w:r w:rsidRPr="0037407B">
        <w:rPr>
          <w:rFonts w:ascii="Times New Roman" w:eastAsia="Times New Roman" w:hAnsi="Times New Roman"/>
          <w:b/>
          <w:sz w:val="24"/>
          <w:szCs w:val="24"/>
          <w:lang w:eastAsia="en-GB"/>
        </w:rPr>
        <w:t>Demographic ageing entails a decline in the supply of labour</w:t>
      </w:r>
      <w:r>
        <w:rPr>
          <w:rFonts w:ascii="Times New Roman" w:eastAsia="Times New Roman" w:hAnsi="Times New Roman"/>
          <w:b/>
          <w:color w:val="000000"/>
          <w:sz w:val="24"/>
          <w:szCs w:val="24"/>
          <w:u w:color="000000"/>
          <w:bdr w:val="nil"/>
          <w:lang w:eastAsia="en-GB"/>
        </w:rPr>
        <w:t xml:space="preserve">, putting </w:t>
      </w:r>
      <w:r w:rsidRPr="004E446A">
        <w:rPr>
          <w:rFonts w:ascii="Times New Roman" w:eastAsia="Times New Roman" w:hAnsi="Times New Roman"/>
          <w:b/>
          <w:color w:val="000000"/>
          <w:sz w:val="24"/>
          <w:szCs w:val="24"/>
          <w:u w:color="000000"/>
          <w:bdr w:val="nil"/>
          <w:lang w:eastAsia="en-GB"/>
        </w:rPr>
        <w:t xml:space="preserve">pressure on </w:t>
      </w:r>
      <w:r>
        <w:rPr>
          <w:rFonts w:ascii="Times New Roman" w:eastAsia="Times New Roman" w:hAnsi="Times New Roman"/>
          <w:b/>
          <w:color w:val="000000"/>
          <w:sz w:val="24"/>
          <w:szCs w:val="24"/>
          <w:u w:color="000000"/>
          <w:bdr w:val="nil"/>
          <w:lang w:eastAsia="en-GB"/>
        </w:rPr>
        <w:t xml:space="preserve">the active population </w:t>
      </w:r>
      <w:r w:rsidRPr="004E446A">
        <w:rPr>
          <w:rFonts w:ascii="Times New Roman" w:eastAsia="Times New Roman" w:hAnsi="Times New Roman"/>
          <w:b/>
          <w:color w:val="000000"/>
          <w:sz w:val="24"/>
          <w:szCs w:val="24"/>
          <w:u w:color="000000"/>
          <w:bdr w:val="nil"/>
          <w:lang w:eastAsia="en-GB"/>
        </w:rPr>
        <w:t xml:space="preserve">in order to </w:t>
      </w:r>
      <w:r>
        <w:rPr>
          <w:rFonts w:ascii="Times New Roman" w:eastAsia="Times New Roman" w:hAnsi="Times New Roman"/>
          <w:b/>
          <w:color w:val="000000"/>
          <w:sz w:val="24"/>
          <w:szCs w:val="24"/>
          <w:u w:color="000000"/>
          <w:bdr w:val="nil"/>
          <w:lang w:eastAsia="en-GB"/>
        </w:rPr>
        <w:t>ensure the</w:t>
      </w:r>
      <w:r w:rsidRPr="004E446A">
        <w:rPr>
          <w:rFonts w:ascii="Times New Roman" w:eastAsia="Times New Roman" w:hAnsi="Times New Roman"/>
          <w:b/>
          <w:color w:val="000000"/>
          <w:sz w:val="24"/>
          <w:szCs w:val="24"/>
          <w:u w:color="000000"/>
          <w:bdr w:val="nil"/>
          <w:lang w:eastAsia="en-GB"/>
        </w:rPr>
        <w:t xml:space="preserve"> sustainability</w:t>
      </w:r>
      <w:r>
        <w:rPr>
          <w:rFonts w:ascii="Times New Roman" w:eastAsia="Times New Roman" w:hAnsi="Times New Roman"/>
          <w:b/>
          <w:color w:val="000000"/>
          <w:sz w:val="24"/>
          <w:szCs w:val="24"/>
          <w:u w:color="000000"/>
          <w:bdr w:val="nil"/>
          <w:lang w:eastAsia="en-GB"/>
        </w:rPr>
        <w:t xml:space="preserve"> and adequacy of pension systems</w:t>
      </w:r>
      <w:r w:rsidRPr="0037407B">
        <w:rPr>
          <w:rFonts w:ascii="Times New Roman" w:eastAsia="Times New Roman" w:hAnsi="Times New Roman"/>
          <w:b/>
          <w:sz w:val="24"/>
          <w:szCs w:val="24"/>
          <w:lang w:eastAsia="en-GB"/>
        </w:rPr>
        <w:t xml:space="preserve">. </w:t>
      </w:r>
      <w:r w:rsidRPr="0037407B">
        <w:rPr>
          <w:rFonts w:ascii="Times New Roman" w:eastAsia="Times New Roman" w:hAnsi="Times New Roman"/>
          <w:sz w:val="24"/>
          <w:szCs w:val="24"/>
          <w:lang w:eastAsia="en-GB"/>
        </w:rPr>
        <w:t xml:space="preserve">In the next few years, large cohorts are set to retire. </w:t>
      </w:r>
      <w:r>
        <w:rPr>
          <w:rFonts w:ascii="Times New Roman" w:eastAsia="Times New Roman" w:hAnsi="Times New Roman"/>
          <w:sz w:val="24"/>
          <w:szCs w:val="24"/>
          <w:lang w:eastAsia="en-GB"/>
        </w:rPr>
        <w:t>In this perspective, e</w:t>
      </w:r>
      <w:r w:rsidRPr="0037407B">
        <w:rPr>
          <w:rFonts w:ascii="Times New Roman" w:eastAsia="Times New Roman" w:hAnsi="Times New Roman"/>
          <w:sz w:val="24"/>
          <w:szCs w:val="24"/>
          <w:lang w:eastAsia="en-GB"/>
        </w:rPr>
        <w:t xml:space="preserve">nhancing labour </w:t>
      </w:r>
      <w:r>
        <w:rPr>
          <w:rFonts w:ascii="Times New Roman" w:eastAsia="Times New Roman" w:hAnsi="Times New Roman"/>
          <w:sz w:val="24"/>
          <w:szCs w:val="24"/>
          <w:lang w:eastAsia="en-GB"/>
        </w:rPr>
        <w:t>market participation</w:t>
      </w:r>
      <w:r w:rsidRPr="0037407B">
        <w:rPr>
          <w:rFonts w:ascii="Times New Roman" w:eastAsia="Times New Roman" w:hAnsi="Times New Roman"/>
          <w:sz w:val="24"/>
          <w:szCs w:val="24"/>
          <w:lang w:eastAsia="en-GB"/>
        </w:rPr>
        <w:t xml:space="preserve"> and productivity </w:t>
      </w:r>
      <w:r>
        <w:rPr>
          <w:rFonts w:ascii="Times New Roman" w:eastAsia="Times New Roman" w:hAnsi="Times New Roman"/>
          <w:sz w:val="24"/>
          <w:szCs w:val="24"/>
          <w:lang w:eastAsia="en-GB"/>
        </w:rPr>
        <w:t>is crucial</w:t>
      </w:r>
      <w:r w:rsidRPr="0037407B">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T</w:t>
      </w:r>
      <w:r w:rsidRPr="0037407B">
        <w:rPr>
          <w:rFonts w:ascii="Times New Roman" w:eastAsia="Times New Roman" w:hAnsi="Times New Roman"/>
          <w:sz w:val="24"/>
          <w:szCs w:val="24"/>
          <w:lang w:eastAsia="en-GB"/>
        </w:rPr>
        <w:t xml:space="preserve">here is </w:t>
      </w:r>
      <w:r>
        <w:rPr>
          <w:rFonts w:ascii="Times New Roman" w:eastAsia="Times New Roman" w:hAnsi="Times New Roman"/>
          <w:sz w:val="24"/>
          <w:szCs w:val="24"/>
          <w:lang w:eastAsia="en-GB"/>
        </w:rPr>
        <w:t>significant scope for increasing the</w:t>
      </w:r>
      <w:r w:rsidRPr="0037407B">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employment rates of </w:t>
      </w:r>
      <w:r w:rsidRPr="0037407B">
        <w:rPr>
          <w:rFonts w:ascii="Times New Roman" w:eastAsia="Times New Roman" w:hAnsi="Times New Roman"/>
          <w:sz w:val="24"/>
          <w:szCs w:val="24"/>
          <w:lang w:eastAsia="en-GB"/>
        </w:rPr>
        <w:t>women</w:t>
      </w:r>
      <w:r>
        <w:rPr>
          <w:rFonts w:ascii="Times New Roman" w:eastAsia="Times New Roman" w:hAnsi="Times New Roman"/>
          <w:sz w:val="24"/>
          <w:szCs w:val="24"/>
          <w:lang w:eastAsia="en-GB"/>
        </w:rPr>
        <w:t>, older workers, low-skilled workers,</w:t>
      </w:r>
      <w:r w:rsidRPr="0037407B">
        <w:rPr>
          <w:rFonts w:ascii="Times New Roman" w:eastAsia="Times New Roman" w:hAnsi="Times New Roman"/>
          <w:sz w:val="24"/>
          <w:szCs w:val="24"/>
          <w:lang w:eastAsia="en-GB"/>
        </w:rPr>
        <w:t xml:space="preserve"> pe</w:t>
      </w:r>
      <w:r>
        <w:rPr>
          <w:rFonts w:ascii="Times New Roman" w:eastAsia="Times New Roman" w:hAnsi="Times New Roman"/>
          <w:sz w:val="24"/>
          <w:szCs w:val="24"/>
          <w:lang w:eastAsia="en-GB"/>
        </w:rPr>
        <w:t>ople</w:t>
      </w:r>
      <w:r w:rsidRPr="0037407B">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with disabilities and people </w:t>
      </w:r>
      <w:r w:rsidRPr="0037407B">
        <w:rPr>
          <w:rFonts w:ascii="Times New Roman" w:eastAsia="Times New Roman" w:hAnsi="Times New Roman"/>
          <w:sz w:val="24"/>
          <w:szCs w:val="24"/>
          <w:lang w:eastAsia="en-GB"/>
        </w:rPr>
        <w:t xml:space="preserve">with a migrant background. The employment of people from these groups needs to be facilitated, including by </w:t>
      </w:r>
      <w:r>
        <w:rPr>
          <w:rFonts w:ascii="Times New Roman" w:eastAsia="Times New Roman" w:hAnsi="Times New Roman"/>
          <w:color w:val="000000"/>
          <w:sz w:val="24"/>
          <w:szCs w:val="24"/>
          <w:u w:color="000000"/>
          <w:bdr w:val="nil"/>
          <w:lang w:eastAsia="en-GB"/>
        </w:rPr>
        <w:t xml:space="preserve">reducing disincentives to work, providing </w:t>
      </w:r>
      <w:r w:rsidRPr="0037407B">
        <w:rPr>
          <w:rFonts w:ascii="Times New Roman" w:eastAsia="Times New Roman" w:hAnsi="Times New Roman"/>
          <w:sz w:val="24"/>
          <w:szCs w:val="24"/>
          <w:lang w:eastAsia="en-GB"/>
        </w:rPr>
        <w:t>tailor-made education</w:t>
      </w:r>
      <w:r>
        <w:rPr>
          <w:rFonts w:ascii="Times New Roman" w:eastAsia="Times New Roman" w:hAnsi="Times New Roman"/>
          <w:sz w:val="24"/>
          <w:szCs w:val="24"/>
          <w:lang w:eastAsia="en-GB"/>
        </w:rPr>
        <w:t xml:space="preserve"> and training</w:t>
      </w:r>
      <w:r w:rsidRPr="0037407B">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Pr>
          <w:rFonts w:ascii="Times New Roman" w:eastAsia="Times New Roman" w:hAnsi="Times New Roman"/>
          <w:color w:val="000000"/>
          <w:sz w:val="24"/>
          <w:szCs w:val="24"/>
          <w:u w:color="000000"/>
          <w:bdr w:val="nil"/>
          <w:lang w:eastAsia="en-GB"/>
        </w:rPr>
        <w:t xml:space="preserve">allowing </w:t>
      </w:r>
      <w:r w:rsidRPr="008140DE">
        <w:rPr>
          <w:rFonts w:ascii="Times New Roman" w:eastAsia="Times New Roman" w:hAnsi="Times New Roman"/>
          <w:color w:val="000000"/>
          <w:sz w:val="24"/>
          <w:szCs w:val="24"/>
          <w:u w:color="000000"/>
          <w:bdr w:val="nil"/>
          <w:lang w:eastAsia="en-GB"/>
        </w:rPr>
        <w:t>flexible working time arrangements</w:t>
      </w:r>
      <w:r w:rsidRPr="0037407B">
        <w:rPr>
          <w:rFonts w:ascii="Times New Roman" w:eastAsia="Times New Roman" w:hAnsi="Times New Roman"/>
          <w:sz w:val="24"/>
          <w:szCs w:val="24"/>
          <w:lang w:eastAsia="en-GB"/>
        </w:rPr>
        <w:t xml:space="preserve"> and </w:t>
      </w:r>
      <w:r>
        <w:rPr>
          <w:rFonts w:ascii="Times New Roman" w:eastAsia="Times New Roman" w:hAnsi="Times New Roman"/>
          <w:color w:val="000000"/>
          <w:sz w:val="24"/>
          <w:szCs w:val="24"/>
          <w:u w:color="000000"/>
          <w:bdr w:val="nil"/>
          <w:lang w:eastAsia="en-GB"/>
        </w:rPr>
        <w:t xml:space="preserve">ensuring access to </w:t>
      </w:r>
      <w:r w:rsidRPr="008140DE">
        <w:rPr>
          <w:rFonts w:ascii="Times New Roman" w:eastAsia="Times New Roman" w:hAnsi="Times New Roman"/>
          <w:color w:val="000000"/>
          <w:sz w:val="24"/>
          <w:szCs w:val="24"/>
          <w:u w:color="000000"/>
          <w:bdr w:val="nil"/>
          <w:lang w:eastAsia="en-GB"/>
        </w:rPr>
        <w:t xml:space="preserve">affordable and quality </w:t>
      </w:r>
      <w:r w:rsidR="00943C65">
        <w:rPr>
          <w:rFonts w:ascii="Times New Roman" w:eastAsia="Times New Roman" w:hAnsi="Times New Roman"/>
          <w:color w:val="000000"/>
          <w:sz w:val="24"/>
          <w:szCs w:val="24"/>
          <w:u w:color="000000"/>
          <w:bdr w:val="nil"/>
          <w:lang w:eastAsia="en-GB"/>
        </w:rPr>
        <w:t xml:space="preserve">healthcare, </w:t>
      </w:r>
      <w:r w:rsidRPr="008140DE">
        <w:rPr>
          <w:rFonts w:ascii="Times New Roman" w:eastAsia="Times New Roman" w:hAnsi="Times New Roman"/>
          <w:color w:val="000000"/>
          <w:sz w:val="24"/>
          <w:szCs w:val="24"/>
          <w:u w:color="000000"/>
          <w:bdr w:val="nil"/>
          <w:lang w:eastAsia="en-GB"/>
        </w:rPr>
        <w:t>childcare and other care services</w:t>
      </w:r>
      <w:r>
        <w:rPr>
          <w:rFonts w:ascii="Times New Roman" w:eastAsia="Times New Roman" w:hAnsi="Times New Roman"/>
          <w:color w:val="000000"/>
          <w:sz w:val="24"/>
          <w:szCs w:val="24"/>
          <w:u w:color="000000"/>
          <w:bdr w:val="nil"/>
          <w:lang w:eastAsia="en-GB"/>
        </w:rPr>
        <w:t xml:space="preserve">. Measures to promote flexible working time arrangements or access to care services have been taken, among others, by the </w:t>
      </w:r>
      <w:r w:rsidRPr="002E6546">
        <w:rPr>
          <w:rFonts w:ascii="Times New Roman" w:hAnsi="Times New Roman"/>
          <w:iCs/>
          <w:noProof/>
          <w:sz w:val="24"/>
          <w:szCs w:val="24"/>
        </w:rPr>
        <w:t>Czech Republic</w:t>
      </w:r>
      <w:r>
        <w:rPr>
          <w:rFonts w:ascii="Times New Roman" w:hAnsi="Times New Roman"/>
          <w:iCs/>
          <w:noProof/>
          <w:sz w:val="24"/>
          <w:szCs w:val="24"/>
        </w:rPr>
        <w:t xml:space="preserve">, Luxembourg, Romania and Slovakia. </w:t>
      </w:r>
      <w:r w:rsidRPr="002E6546">
        <w:rPr>
          <w:rFonts w:ascii="Times New Roman" w:hAnsi="Times New Roman"/>
          <w:noProof/>
          <w:sz w:val="24"/>
        </w:rPr>
        <w:t xml:space="preserve">Germany </w:t>
      </w:r>
      <w:r>
        <w:rPr>
          <w:rFonts w:ascii="Times New Roman" w:hAnsi="Times New Roman"/>
          <w:noProof/>
          <w:sz w:val="24"/>
        </w:rPr>
        <w:t xml:space="preserve">and Austria promote longer working lives by allowing flexible </w:t>
      </w:r>
      <w:r w:rsidRPr="002E6546">
        <w:rPr>
          <w:rFonts w:ascii="Times New Roman" w:hAnsi="Times New Roman"/>
          <w:noProof/>
          <w:sz w:val="24"/>
        </w:rPr>
        <w:t>transition</w:t>
      </w:r>
      <w:r>
        <w:rPr>
          <w:rFonts w:ascii="Times New Roman" w:hAnsi="Times New Roman"/>
          <w:noProof/>
          <w:sz w:val="24"/>
        </w:rPr>
        <w:t xml:space="preserve">s </w:t>
      </w:r>
      <w:r w:rsidRPr="002E6546">
        <w:rPr>
          <w:rFonts w:ascii="Times New Roman" w:hAnsi="Times New Roman"/>
          <w:noProof/>
          <w:sz w:val="24"/>
        </w:rPr>
        <w:t>of older workers into retirement</w:t>
      </w:r>
      <w:r>
        <w:rPr>
          <w:rFonts w:ascii="Times New Roman" w:hAnsi="Times New Roman"/>
          <w:noProof/>
          <w:sz w:val="24"/>
        </w:rPr>
        <w:t xml:space="preserve">. A number of countries took measures to promote the integration in the labour market of people with a migrant background, including </w:t>
      </w:r>
      <w:r w:rsidR="00FC47F5" w:rsidRPr="00FC47F5">
        <w:rPr>
          <w:rFonts w:ascii="Times New Roman" w:hAnsi="Times New Roman"/>
          <w:noProof/>
          <w:sz w:val="24"/>
        </w:rPr>
        <w:t>Germany, Denmark</w:t>
      </w:r>
      <w:r>
        <w:rPr>
          <w:rFonts w:ascii="Times New Roman" w:hAnsi="Times New Roman"/>
          <w:noProof/>
          <w:sz w:val="24"/>
        </w:rPr>
        <w:t>, Finland and Sweden.</w:t>
      </w:r>
      <w:r w:rsidRPr="00D761F7">
        <w:rPr>
          <w:rFonts w:ascii="Times New Roman" w:eastAsia="Times New Roman" w:hAnsi="Times New Roman"/>
          <w:b/>
          <w:color w:val="000000"/>
          <w:sz w:val="24"/>
          <w:szCs w:val="24"/>
          <w:u w:color="000000"/>
          <w:bdr w:val="nil"/>
          <w:lang w:eastAsia="en-GB"/>
        </w:rPr>
        <w:t xml:space="preserve"> </w:t>
      </w:r>
    </w:p>
    <w:p w:rsidR="00CE59E1" w:rsidRDefault="00CE59E1" w:rsidP="00CE59E1">
      <w:pPr>
        <w:pBdr>
          <w:top w:val="nil"/>
          <w:left w:val="nil"/>
          <w:bottom w:val="nil"/>
          <w:right w:val="nil"/>
          <w:between w:val="nil"/>
          <w:bar w:val="nil"/>
        </w:pBdr>
        <w:spacing w:before="120" w:after="120" w:line="240" w:lineRule="auto"/>
        <w:jc w:val="both"/>
        <w:rPr>
          <w:rFonts w:ascii="Times New Roman" w:eastAsia="Times New Roman" w:hAnsi="Times New Roman"/>
          <w:color w:val="000000"/>
          <w:sz w:val="24"/>
          <w:szCs w:val="24"/>
          <w:u w:color="000000"/>
          <w:bdr w:val="nil"/>
          <w:lang w:eastAsia="en-GB"/>
        </w:rPr>
      </w:pPr>
      <w:r w:rsidRPr="00C22923">
        <w:rPr>
          <w:rFonts w:ascii="Times New Roman" w:eastAsia="Times New Roman" w:hAnsi="Times New Roman"/>
          <w:b/>
          <w:color w:val="000000"/>
          <w:sz w:val="24"/>
          <w:szCs w:val="24"/>
          <w:u w:color="000000"/>
          <w:bdr w:val="nil"/>
          <w:lang w:eastAsia="en-GB"/>
        </w:rPr>
        <w:t>Workers' skills should be up to date with the needs of the labour market throughout their working life.</w:t>
      </w:r>
      <w:r>
        <w:rPr>
          <w:rFonts w:ascii="Times New Roman" w:eastAsia="Times New Roman" w:hAnsi="Times New Roman"/>
          <w:color w:val="000000"/>
          <w:sz w:val="24"/>
          <w:szCs w:val="24"/>
          <w:u w:color="000000"/>
          <w:bdr w:val="nil"/>
          <w:lang w:eastAsia="en-GB"/>
        </w:rPr>
        <w:t xml:space="preserve"> Basic skills of young Europeans have been weakening in several Member States, and access to education is often unequal. Education systems need to be further modernised</w:t>
      </w:r>
      <w:r w:rsidR="005B52A7">
        <w:rPr>
          <w:rFonts w:ascii="Times New Roman" w:eastAsia="Times New Roman" w:hAnsi="Times New Roman"/>
          <w:color w:val="000000"/>
          <w:sz w:val="24"/>
          <w:szCs w:val="24"/>
          <w:u w:color="000000"/>
          <w:bdr w:val="nil"/>
          <w:lang w:eastAsia="en-GB"/>
        </w:rPr>
        <w:t xml:space="preserve"> </w:t>
      </w:r>
      <w:r w:rsidR="005B52A7" w:rsidRPr="005B52A7">
        <w:rPr>
          <w:rFonts w:ascii="Times New Roman" w:eastAsia="Times New Roman" w:hAnsi="Times New Roman"/>
          <w:color w:val="000000"/>
          <w:sz w:val="24"/>
          <w:szCs w:val="24"/>
          <w:u w:color="000000"/>
          <w:bdr w:val="nil"/>
          <w:lang w:eastAsia="en-GB"/>
        </w:rPr>
        <w:t>and made more open to disadvantaged groups</w:t>
      </w:r>
      <w:r>
        <w:rPr>
          <w:rFonts w:ascii="Times New Roman" w:eastAsia="Times New Roman" w:hAnsi="Times New Roman"/>
          <w:color w:val="000000"/>
          <w:sz w:val="24"/>
          <w:szCs w:val="24"/>
          <w:u w:color="000000"/>
          <w:bdr w:val="nil"/>
          <w:lang w:eastAsia="en-GB"/>
        </w:rPr>
        <w:t>, to allow individuals become active citizens and make the most of their working lives, and</w:t>
      </w:r>
      <w:r w:rsidRPr="002B78FE">
        <w:rPr>
          <w:rFonts w:ascii="Times New Roman" w:eastAsia="Times New Roman" w:hAnsi="Times New Roman"/>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 xml:space="preserve">aligned with labour market needs. Efforts to upgrade education systems at all stages have to be taken up broadly to provide perspectives for young and older people alike. Together with continuous upskilling and reskilling, this would prevent the emergence of skills shortages and mismatches that are hurting small and medium-sized enterprises in particular. Some Member States started to confront the challenge. In Ireland, public spending on education is returning to pre-crisis levels and the education system is being strengthened. In Denmark, </w:t>
      </w:r>
      <w:r w:rsidRPr="00AB13BB">
        <w:rPr>
          <w:rFonts w:ascii="Times New Roman" w:eastAsia="Times New Roman" w:hAnsi="Times New Roman"/>
          <w:color w:val="000000"/>
          <w:sz w:val="24"/>
          <w:szCs w:val="24"/>
          <w:u w:color="000000"/>
          <w:bdr w:val="nil"/>
          <w:lang w:eastAsia="en-GB"/>
        </w:rPr>
        <w:t xml:space="preserve">broad education reforms </w:t>
      </w:r>
      <w:r>
        <w:rPr>
          <w:rFonts w:ascii="Times New Roman" w:eastAsia="Times New Roman" w:hAnsi="Times New Roman"/>
          <w:color w:val="000000"/>
          <w:sz w:val="24"/>
          <w:szCs w:val="24"/>
          <w:u w:color="000000"/>
          <w:bdr w:val="nil"/>
          <w:lang w:eastAsia="en-GB"/>
        </w:rPr>
        <w:t xml:space="preserve">are </w:t>
      </w:r>
      <w:r w:rsidRPr="00AB13BB">
        <w:rPr>
          <w:rFonts w:ascii="Times New Roman" w:eastAsia="Times New Roman" w:hAnsi="Times New Roman"/>
          <w:color w:val="000000"/>
          <w:sz w:val="24"/>
          <w:szCs w:val="24"/>
          <w:u w:color="000000"/>
          <w:bdr w:val="nil"/>
          <w:lang w:eastAsia="en-GB"/>
        </w:rPr>
        <w:t xml:space="preserve">aimed at improving school outcomes and raising academic standards. </w:t>
      </w:r>
      <w:r>
        <w:rPr>
          <w:rFonts w:ascii="Times New Roman" w:eastAsia="Times New Roman" w:hAnsi="Times New Roman"/>
          <w:color w:val="000000"/>
          <w:sz w:val="24"/>
          <w:szCs w:val="24"/>
          <w:u w:color="000000"/>
          <w:bdr w:val="nil"/>
          <w:lang w:eastAsia="en-GB"/>
        </w:rPr>
        <w:t xml:space="preserve">Croatia is rolling out a pilot scheme on the digital transformation of schools. In addition to previous measures taken in past years, Portugal recently </w:t>
      </w:r>
      <w:r w:rsidR="00943C65">
        <w:rPr>
          <w:rFonts w:ascii="Times New Roman" w:eastAsia="Times New Roman" w:hAnsi="Times New Roman"/>
          <w:color w:val="000000"/>
          <w:sz w:val="24"/>
          <w:szCs w:val="24"/>
          <w:u w:color="000000"/>
          <w:bdr w:val="nil"/>
          <w:lang w:eastAsia="en-GB"/>
        </w:rPr>
        <w:t xml:space="preserve">introduced </w:t>
      </w:r>
      <w:r>
        <w:rPr>
          <w:rFonts w:ascii="Times New Roman" w:eastAsia="Times New Roman" w:hAnsi="Times New Roman"/>
          <w:color w:val="000000"/>
          <w:sz w:val="24"/>
          <w:szCs w:val="24"/>
          <w:u w:color="000000"/>
          <w:bdr w:val="nil"/>
          <w:lang w:eastAsia="en-GB"/>
        </w:rPr>
        <w:t xml:space="preserve">a </w:t>
      </w:r>
      <w:r w:rsidR="00F411F0">
        <w:rPr>
          <w:rFonts w:ascii="Times New Roman" w:eastAsia="Times New Roman" w:hAnsi="Times New Roman"/>
          <w:color w:val="000000"/>
          <w:sz w:val="24"/>
          <w:szCs w:val="24"/>
          <w:u w:color="000000"/>
          <w:bdr w:val="nil"/>
          <w:lang w:eastAsia="en-GB"/>
        </w:rPr>
        <w:t xml:space="preserve">programme </w:t>
      </w:r>
      <w:r>
        <w:rPr>
          <w:rFonts w:ascii="Times New Roman" w:eastAsia="Times New Roman" w:hAnsi="Times New Roman"/>
          <w:color w:val="000000"/>
          <w:sz w:val="24"/>
          <w:szCs w:val="24"/>
          <w:u w:color="000000"/>
          <w:bdr w:val="nil"/>
          <w:lang w:eastAsia="en-GB"/>
        </w:rPr>
        <w:t>to strengthen the skills and qualifications of the adult population.</w:t>
      </w:r>
    </w:p>
    <w:p w:rsidR="00BE298A" w:rsidRDefault="00BE298A">
      <w:pPr>
        <w:rPr>
          <w:rFonts w:ascii="Times New Roman" w:eastAsia="Times New Roman" w:hAnsi="Times New Roman"/>
          <w:color w:val="000000"/>
          <w:sz w:val="24"/>
          <w:szCs w:val="24"/>
          <w:u w:color="000000"/>
          <w:bdr w:val="nil"/>
          <w:lang w:eastAsia="en-GB"/>
        </w:rPr>
      </w:pPr>
    </w:p>
    <w:p w:rsidR="00CE59E1" w:rsidRPr="000C507F" w:rsidRDefault="00CE59E1" w:rsidP="00054060">
      <w:pPr>
        <w:keepNext/>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b/>
        </w:rPr>
      </w:pPr>
      <w:r w:rsidRPr="001B052A">
        <w:rPr>
          <w:rFonts w:ascii="Times New Roman" w:hAnsi="Times New Roman"/>
          <w:b/>
          <w:sz w:val="24"/>
        </w:rPr>
        <w:t xml:space="preserve">Box </w:t>
      </w:r>
      <w:r>
        <w:rPr>
          <w:rFonts w:ascii="Times New Roman" w:hAnsi="Times New Roman"/>
          <w:b/>
          <w:sz w:val="24"/>
        </w:rPr>
        <w:t>2</w:t>
      </w:r>
      <w:r w:rsidRPr="001B052A">
        <w:rPr>
          <w:rFonts w:ascii="Times New Roman" w:hAnsi="Times New Roman"/>
          <w:b/>
          <w:sz w:val="24"/>
        </w:rPr>
        <w:t xml:space="preserve">: </w:t>
      </w:r>
      <w:r w:rsidRPr="000C270C">
        <w:rPr>
          <w:rFonts w:ascii="Times New Roman" w:hAnsi="Times New Roman"/>
          <w:b/>
          <w:sz w:val="24"/>
          <w:szCs w:val="24"/>
        </w:rPr>
        <w:t>Empowering workers through better</w:t>
      </w:r>
      <w:r>
        <w:rPr>
          <w:rFonts w:ascii="Times New Roman" w:hAnsi="Times New Roman"/>
          <w:b/>
          <w:sz w:val="24"/>
          <w:szCs w:val="24"/>
        </w:rPr>
        <w:t xml:space="preserve"> </w:t>
      </w:r>
      <w:r w:rsidRPr="000C270C">
        <w:rPr>
          <w:rFonts w:ascii="Times New Roman" w:hAnsi="Times New Roman"/>
          <w:b/>
          <w:sz w:val="24"/>
          <w:szCs w:val="24"/>
        </w:rPr>
        <w:t>skills in Europe</w:t>
      </w:r>
    </w:p>
    <w:p w:rsidR="00CE59E1" w:rsidRPr="009A75CF" w:rsidRDefault="00CE59E1" w:rsidP="00054060">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Pr>
          <w:rFonts w:ascii="Times New Roman" w:hAnsi="Times New Roman"/>
          <w:sz w:val="24"/>
          <w:szCs w:val="24"/>
        </w:rPr>
        <w:t>In the European Pillar of Social Rights, several principles, notably principle 1</w:t>
      </w:r>
      <w:r>
        <w:rPr>
          <w:rStyle w:val="FootnoteReference"/>
          <w:rFonts w:ascii="Times New Roman" w:hAnsi="Times New Roman"/>
          <w:sz w:val="24"/>
          <w:szCs w:val="24"/>
        </w:rPr>
        <w:footnoteReference w:id="17"/>
      </w:r>
      <w:r>
        <w:rPr>
          <w:rFonts w:ascii="Times New Roman" w:hAnsi="Times New Roman"/>
          <w:sz w:val="24"/>
          <w:szCs w:val="24"/>
        </w:rPr>
        <w:t xml:space="preserve">, underline the importance of access to education, training and lifelong learning. </w:t>
      </w:r>
      <w:r w:rsidRPr="00C22923">
        <w:rPr>
          <w:rFonts w:ascii="Times New Roman" w:hAnsi="Times New Roman"/>
          <w:sz w:val="24"/>
          <w:szCs w:val="24"/>
        </w:rPr>
        <w:t xml:space="preserve">Europe depends critically on the skills of its workforce. Education and training are drivers of growth, jobs and resilience. Europe is on track towards reaching the 2020 targets on both early school leaving and tertiary education attainment, and Member States are taking action to modernise their education and training systems to </w:t>
      </w:r>
      <w:r w:rsidRPr="00F244A4">
        <w:rPr>
          <w:rFonts w:ascii="Times New Roman" w:hAnsi="Times New Roman"/>
          <w:sz w:val="24"/>
          <w:szCs w:val="24"/>
        </w:rPr>
        <w:t>also tackle low proficiency in basic skills</w:t>
      </w:r>
      <w:r w:rsidRPr="00C22923">
        <w:rPr>
          <w:rFonts w:ascii="Times New Roman" w:hAnsi="Times New Roman"/>
          <w:sz w:val="24"/>
          <w:szCs w:val="24"/>
        </w:rPr>
        <w:t>, improve the labour market relevance of vocational education and training and higher education, expand and increase the quality of apprenticeships, and validate the skills acquired outside the formal system.</w:t>
      </w:r>
      <w:r>
        <w:rPr>
          <w:rFonts w:ascii="Times New Roman" w:hAnsi="Times New Roman"/>
          <w:sz w:val="24"/>
          <w:szCs w:val="24"/>
        </w:rPr>
        <w:t xml:space="preserve"> In line with the </w:t>
      </w:r>
      <w:r w:rsidRPr="009A75CF">
        <w:rPr>
          <w:rFonts w:ascii="Times New Roman" w:hAnsi="Times New Roman"/>
          <w:sz w:val="24"/>
          <w:szCs w:val="24"/>
        </w:rPr>
        <w:t>Council Recommendation on Upskilling Pathway</w:t>
      </w:r>
      <w:r>
        <w:rPr>
          <w:rFonts w:ascii="Times New Roman" w:hAnsi="Times New Roman"/>
          <w:sz w:val="24"/>
          <w:szCs w:val="24"/>
        </w:rPr>
        <w:t xml:space="preserve">s Member States are expected to outline appropriate measures by mid-2018; the Commission suggests this is done as part of the National Reform Programmes expected this Spring and will take stock </w:t>
      </w:r>
      <w:r w:rsidRPr="009A75CF">
        <w:rPr>
          <w:rFonts w:ascii="Times New Roman" w:hAnsi="Times New Roman"/>
          <w:sz w:val="24"/>
          <w:szCs w:val="24"/>
        </w:rPr>
        <w:t>in the framework o</w:t>
      </w:r>
      <w:r>
        <w:rPr>
          <w:rFonts w:ascii="Times New Roman" w:hAnsi="Times New Roman"/>
          <w:sz w:val="24"/>
          <w:szCs w:val="24"/>
        </w:rPr>
        <w:t>f existing reporting procedures.</w:t>
      </w:r>
      <w:r>
        <w:rPr>
          <w:rStyle w:val="FootnoteReference"/>
          <w:rFonts w:ascii="Times New Roman" w:hAnsi="Times New Roman"/>
          <w:sz w:val="24"/>
          <w:szCs w:val="24"/>
        </w:rPr>
        <w:footnoteReference w:id="18"/>
      </w:r>
    </w:p>
    <w:p w:rsidR="00CE59E1" w:rsidRPr="00C22923" w:rsidRDefault="00CE59E1" w:rsidP="00054060">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C22923">
        <w:rPr>
          <w:rFonts w:ascii="Times New Roman" w:hAnsi="Times New Roman"/>
          <w:sz w:val="24"/>
          <w:szCs w:val="24"/>
        </w:rPr>
        <w:t xml:space="preserve">However, many challenges persist. </w:t>
      </w:r>
      <w:r w:rsidRPr="0002028A">
        <w:rPr>
          <w:rFonts w:ascii="Times New Roman" w:hAnsi="Times New Roman"/>
          <w:sz w:val="24"/>
          <w:szCs w:val="24"/>
        </w:rPr>
        <w:t xml:space="preserve">Employers have difficulty finding people with the rights skills. </w:t>
      </w:r>
      <w:r w:rsidRPr="00C22923">
        <w:rPr>
          <w:rFonts w:ascii="Times New Roman" w:hAnsi="Times New Roman"/>
          <w:sz w:val="24"/>
          <w:szCs w:val="24"/>
        </w:rPr>
        <w:t>Low</w:t>
      </w:r>
      <w:r>
        <w:rPr>
          <w:rFonts w:ascii="Times New Roman" w:hAnsi="Times New Roman"/>
          <w:sz w:val="24"/>
          <w:szCs w:val="24"/>
        </w:rPr>
        <w:t>-</w:t>
      </w:r>
      <w:r w:rsidRPr="00C22923">
        <w:rPr>
          <w:rFonts w:ascii="Times New Roman" w:hAnsi="Times New Roman"/>
          <w:sz w:val="24"/>
          <w:szCs w:val="24"/>
        </w:rPr>
        <w:t>skilled or low</w:t>
      </w:r>
      <w:r>
        <w:rPr>
          <w:rFonts w:ascii="Times New Roman" w:hAnsi="Times New Roman"/>
          <w:sz w:val="24"/>
          <w:szCs w:val="24"/>
        </w:rPr>
        <w:t>-</w:t>
      </w:r>
      <w:r w:rsidRPr="00C22923">
        <w:rPr>
          <w:rFonts w:ascii="Times New Roman" w:hAnsi="Times New Roman"/>
          <w:sz w:val="24"/>
          <w:szCs w:val="24"/>
        </w:rPr>
        <w:t>qualified people are at risk of unemployment, poverty, poorer health, social exclusion and democratic participation. Only half of them work, against 80% of the highly</w:t>
      </w:r>
      <w:r>
        <w:rPr>
          <w:rFonts w:ascii="Times New Roman" w:hAnsi="Times New Roman"/>
          <w:sz w:val="24"/>
          <w:szCs w:val="24"/>
        </w:rPr>
        <w:t>-</w:t>
      </w:r>
      <w:r w:rsidRPr="00C22923">
        <w:rPr>
          <w:rFonts w:ascii="Times New Roman" w:hAnsi="Times New Roman"/>
          <w:sz w:val="24"/>
          <w:szCs w:val="24"/>
        </w:rPr>
        <w:t>qualified, thus weighing on labour supply and productivity. A disadvantaged socio-economic background remains the most significant factor associated with low educational achievement. Technological change and demographic ageing require investment in re- and up-skilling, but only one in ten adults engages in learning opportunities and many do</w:t>
      </w:r>
      <w:r>
        <w:rPr>
          <w:rFonts w:ascii="Times New Roman" w:hAnsi="Times New Roman"/>
          <w:sz w:val="24"/>
          <w:szCs w:val="24"/>
        </w:rPr>
        <w:t xml:space="preserve"> not</w:t>
      </w:r>
      <w:r w:rsidRPr="00C22923">
        <w:rPr>
          <w:rFonts w:ascii="Times New Roman" w:hAnsi="Times New Roman"/>
          <w:sz w:val="24"/>
          <w:szCs w:val="24"/>
        </w:rPr>
        <w:t xml:space="preserve"> develop the skills necessary to benefit from the digital transformation. This is why the first principle of the European Pillar of Social Rights promotes access to high-quality education and training in a lifelong learning perspective, enabling people to participate fully in society.</w:t>
      </w:r>
    </w:p>
    <w:p w:rsidR="00CE59E1" w:rsidRPr="00C22923" w:rsidRDefault="00CE59E1" w:rsidP="00054060">
      <w:pPr>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C22923">
        <w:rPr>
          <w:rFonts w:ascii="Times New Roman" w:hAnsi="Times New Roman"/>
          <w:sz w:val="24"/>
          <w:szCs w:val="24"/>
        </w:rPr>
        <w:t xml:space="preserve">To pursue this principle the </w:t>
      </w:r>
      <w:r>
        <w:rPr>
          <w:rFonts w:ascii="Times New Roman" w:hAnsi="Times New Roman"/>
          <w:sz w:val="24"/>
          <w:szCs w:val="24"/>
        </w:rPr>
        <w:t>full</w:t>
      </w:r>
      <w:r w:rsidRPr="00C22923">
        <w:rPr>
          <w:rFonts w:ascii="Times New Roman" w:hAnsi="Times New Roman"/>
          <w:sz w:val="24"/>
          <w:szCs w:val="24"/>
        </w:rPr>
        <w:t xml:space="preserve"> implement</w:t>
      </w:r>
      <w:r>
        <w:rPr>
          <w:rFonts w:ascii="Times New Roman" w:hAnsi="Times New Roman"/>
          <w:sz w:val="24"/>
          <w:szCs w:val="24"/>
        </w:rPr>
        <w:t>ation of</w:t>
      </w:r>
      <w:r w:rsidRPr="00C22923">
        <w:rPr>
          <w:rFonts w:ascii="Times New Roman" w:hAnsi="Times New Roman"/>
          <w:sz w:val="24"/>
          <w:szCs w:val="24"/>
        </w:rPr>
        <w:t xml:space="preserve"> the New Skills Agenda launched in 2016</w:t>
      </w:r>
      <w:r>
        <w:rPr>
          <w:rFonts w:ascii="Times New Roman" w:hAnsi="Times New Roman"/>
          <w:sz w:val="24"/>
          <w:szCs w:val="24"/>
        </w:rPr>
        <w:t xml:space="preserve"> is key</w:t>
      </w:r>
      <w:r w:rsidRPr="00C22923">
        <w:rPr>
          <w:rFonts w:ascii="Times New Roman" w:hAnsi="Times New Roman"/>
          <w:sz w:val="24"/>
          <w:szCs w:val="24"/>
        </w:rPr>
        <w:t xml:space="preserve">. Its ten actions tackle the main challenges, by promoting the acquisition of </w:t>
      </w:r>
      <w:r w:rsidRPr="00B25F7F">
        <w:rPr>
          <w:rFonts w:ascii="Times New Roman" w:hAnsi="Times New Roman"/>
          <w:sz w:val="24"/>
          <w:szCs w:val="24"/>
        </w:rPr>
        <w:t>basic skills by low qualified adults (the 'Upskilling Pathways' initiative)</w:t>
      </w:r>
      <w:r w:rsidRPr="00C22923">
        <w:rPr>
          <w:rFonts w:ascii="Times New Roman" w:hAnsi="Times New Roman"/>
          <w:sz w:val="24"/>
          <w:szCs w:val="24"/>
        </w:rPr>
        <w:t xml:space="preserve">, fostering investment in digital skills (National Coalitions for Digital Skills and Jobs), </w:t>
      </w:r>
      <w:r w:rsidRPr="0002028A">
        <w:rPr>
          <w:rFonts w:ascii="Times New Roman" w:hAnsi="Times New Roman"/>
          <w:sz w:val="24"/>
          <w:szCs w:val="24"/>
        </w:rPr>
        <w:t xml:space="preserve">reducing the mismatch between the skills  taught and the skills needed by the service sector and manufacturing industry ( Blueprint for sectoral cooperation on skills), </w:t>
      </w:r>
      <w:r w:rsidRPr="00C22923">
        <w:rPr>
          <w:rFonts w:ascii="Times New Roman" w:hAnsi="Times New Roman"/>
          <w:sz w:val="24"/>
          <w:szCs w:val="24"/>
        </w:rPr>
        <w:t>improving the transparency of skills and qualifications (the European Qualifications Framework, Europass)</w:t>
      </w:r>
      <w:r>
        <w:rPr>
          <w:rFonts w:ascii="Times New Roman" w:hAnsi="Times New Roman"/>
          <w:sz w:val="24"/>
          <w:szCs w:val="24"/>
        </w:rPr>
        <w:t>,</w:t>
      </w:r>
      <w:r w:rsidRPr="00C22923">
        <w:rPr>
          <w:rFonts w:ascii="Times New Roman" w:hAnsi="Times New Roman"/>
          <w:sz w:val="24"/>
          <w:szCs w:val="24"/>
        </w:rPr>
        <w:t xml:space="preserve"> modernising vocational education and training while increasing its attractiveness</w:t>
      </w:r>
      <w:r>
        <w:rPr>
          <w:rFonts w:ascii="Times New Roman" w:hAnsi="Times New Roman"/>
          <w:sz w:val="24"/>
          <w:szCs w:val="24"/>
        </w:rPr>
        <w:t xml:space="preserve"> and addressing “brain drain” across the EU</w:t>
      </w:r>
      <w:r w:rsidR="005B52A7">
        <w:rPr>
          <w:rFonts w:ascii="Times New Roman" w:hAnsi="Times New Roman"/>
          <w:sz w:val="24"/>
          <w:szCs w:val="24"/>
        </w:rPr>
        <w:t xml:space="preserve"> </w:t>
      </w:r>
      <w:r w:rsidR="005B52A7" w:rsidRPr="005B52A7">
        <w:rPr>
          <w:rFonts w:ascii="Times New Roman" w:hAnsi="Times New Roman"/>
          <w:sz w:val="24"/>
          <w:szCs w:val="24"/>
        </w:rPr>
        <w:t>a</w:t>
      </w:r>
      <w:r w:rsidR="005B52A7">
        <w:rPr>
          <w:rFonts w:ascii="Times New Roman" w:hAnsi="Times New Roman"/>
          <w:sz w:val="24"/>
          <w:szCs w:val="24"/>
        </w:rPr>
        <w:t xml:space="preserve">s well as </w:t>
      </w:r>
      <w:r w:rsidR="005B52A7" w:rsidRPr="005B52A7">
        <w:rPr>
          <w:rFonts w:ascii="Times New Roman" w:hAnsi="Times New Roman"/>
          <w:sz w:val="24"/>
          <w:szCs w:val="24"/>
        </w:rPr>
        <w:t>boosting key competences of European citizens</w:t>
      </w:r>
      <w:r w:rsidRPr="00C22923">
        <w:rPr>
          <w:rFonts w:ascii="Times New Roman" w:hAnsi="Times New Roman"/>
          <w:sz w:val="24"/>
          <w:szCs w:val="24"/>
        </w:rPr>
        <w:t>.</w:t>
      </w:r>
      <w:r>
        <w:rPr>
          <w:rFonts w:ascii="Times New Roman" w:hAnsi="Times New Roman"/>
          <w:sz w:val="24"/>
          <w:szCs w:val="24"/>
        </w:rPr>
        <w:t xml:space="preserve"> The Commission will continue the collaboration with OECD in 2018 in support of skills strategies in the respective Member States and in relation to various actions focusing on vocational education and training with a view to concrete labour market skills needs.  </w:t>
      </w:r>
      <w:r w:rsidRPr="00C22923">
        <w:rPr>
          <w:rFonts w:ascii="Times New Roman" w:hAnsi="Times New Roman"/>
          <w:sz w:val="24"/>
          <w:szCs w:val="24"/>
        </w:rPr>
        <w:t xml:space="preserve">In November 2017, the Commission specified the perspective of a European Education Area, </w:t>
      </w:r>
      <w:r w:rsidR="005B52A7" w:rsidRPr="005B52A7">
        <w:rPr>
          <w:rFonts w:ascii="Times New Roman" w:hAnsi="Times New Roman"/>
          <w:sz w:val="24"/>
          <w:szCs w:val="24"/>
        </w:rPr>
        <w:t xml:space="preserve">in which strengthened cross-border cooperation and enhanced mobility will help improve the quality of teaching and learning, boosting young people’s </w:t>
      </w:r>
      <w:r w:rsidR="00393E5F">
        <w:rPr>
          <w:rFonts w:ascii="Times New Roman" w:hAnsi="Times New Roman"/>
          <w:sz w:val="24"/>
          <w:szCs w:val="24"/>
        </w:rPr>
        <w:t>skills</w:t>
      </w:r>
      <w:r w:rsidR="005B52A7" w:rsidRPr="005B52A7">
        <w:rPr>
          <w:rFonts w:ascii="Times New Roman" w:hAnsi="Times New Roman"/>
          <w:sz w:val="24"/>
          <w:szCs w:val="24"/>
        </w:rPr>
        <w:t xml:space="preserve"> and making them more employable</w:t>
      </w:r>
      <w:r w:rsidR="005B52A7">
        <w:rPr>
          <w:rFonts w:ascii="Times New Roman" w:hAnsi="Times New Roman"/>
          <w:sz w:val="24"/>
          <w:szCs w:val="24"/>
        </w:rPr>
        <w:t xml:space="preserve">. </w:t>
      </w:r>
      <w:r w:rsidRPr="00C22923">
        <w:rPr>
          <w:rFonts w:ascii="Times New Roman" w:hAnsi="Times New Roman"/>
          <w:sz w:val="24"/>
          <w:szCs w:val="24"/>
        </w:rPr>
        <w:t>The Commission also presented an action plan on digital education on 17 January 2018.</w:t>
      </w:r>
      <w:r w:rsidRPr="00FA0E9C">
        <w:rPr>
          <w:rFonts w:ascii="Times New Roman" w:hAnsi="Times New Roman"/>
          <w:sz w:val="24"/>
          <w:szCs w:val="24"/>
        </w:rPr>
        <w:t xml:space="preserve"> </w:t>
      </w:r>
    </w:p>
    <w:p w:rsidR="00BE298A" w:rsidRDefault="00BE298A">
      <w:pPr>
        <w:rPr>
          <w:rFonts w:ascii="Times New Roman" w:eastAsia="Calibri" w:hAnsi="Times New Roman" w:cs="Times New Roman"/>
          <w:b/>
          <w:bCs/>
          <w:sz w:val="24"/>
          <w:szCs w:val="26"/>
          <w:lang w:eastAsia="en-GB"/>
        </w:rPr>
      </w:pPr>
    </w:p>
    <w:p w:rsidR="00CE59E1" w:rsidRPr="00D41E44" w:rsidRDefault="00CE59E1" w:rsidP="00D41E44">
      <w:pPr>
        <w:pStyle w:val="Heading2"/>
        <w:tabs>
          <w:tab w:val="num" w:pos="850"/>
        </w:tabs>
        <w:ind w:left="850" w:hanging="850"/>
        <w:rPr>
          <w:rFonts w:eastAsia="Calibri"/>
        </w:rPr>
      </w:pPr>
      <w:r w:rsidRPr="00D41E44">
        <w:rPr>
          <w:rFonts w:eastAsia="Calibri"/>
        </w:rPr>
        <w:t>4.3</w:t>
      </w:r>
      <w:r w:rsidRPr="00D41E44">
        <w:rPr>
          <w:rFonts w:eastAsia="Calibri"/>
        </w:rPr>
        <w:tab/>
        <w:t>Quality investment, enhanced productivity, competitiveness</w:t>
      </w:r>
    </w:p>
    <w:p w:rsidR="00CE59E1" w:rsidRDefault="00CE59E1">
      <w:pPr>
        <w:pBdr>
          <w:top w:val="nil"/>
          <w:left w:val="nil"/>
          <w:bottom w:val="nil"/>
          <w:right w:val="nil"/>
          <w:between w:val="nil"/>
          <w:bar w:val="nil"/>
        </w:pBdr>
        <w:spacing w:before="120" w:after="120" w:line="240" w:lineRule="auto"/>
        <w:jc w:val="both"/>
        <w:rPr>
          <w:rFonts w:ascii="Times New Roman" w:hAnsi="Times New Roman"/>
          <w:sz w:val="24"/>
          <w:szCs w:val="24"/>
        </w:rPr>
      </w:pPr>
      <w:r>
        <w:rPr>
          <w:rFonts w:ascii="Times New Roman" w:hAnsi="Times New Roman"/>
          <w:b/>
          <w:sz w:val="24"/>
          <w:szCs w:val="24"/>
        </w:rPr>
        <w:t>With</w:t>
      </w:r>
      <w:r w:rsidRPr="00F03150">
        <w:rPr>
          <w:rFonts w:ascii="Times New Roman" w:hAnsi="Times New Roman"/>
          <w:b/>
          <w:sz w:val="24"/>
          <w:szCs w:val="24"/>
        </w:rPr>
        <w:t xml:space="preserve"> favourable financing conditions and </w:t>
      </w:r>
      <w:r>
        <w:rPr>
          <w:rFonts w:ascii="Times New Roman" w:hAnsi="Times New Roman"/>
          <w:b/>
          <w:sz w:val="24"/>
          <w:szCs w:val="24"/>
        </w:rPr>
        <w:t>a brighter</w:t>
      </w:r>
      <w:r w:rsidRPr="00F03150">
        <w:rPr>
          <w:rFonts w:ascii="Times New Roman" w:hAnsi="Times New Roman"/>
          <w:b/>
          <w:sz w:val="24"/>
          <w:szCs w:val="24"/>
        </w:rPr>
        <w:t xml:space="preserve"> economic sentiment</w:t>
      </w:r>
      <w:r>
        <w:rPr>
          <w:rFonts w:ascii="Times New Roman" w:hAnsi="Times New Roman"/>
          <w:b/>
          <w:sz w:val="24"/>
          <w:szCs w:val="24"/>
        </w:rPr>
        <w:t xml:space="preserve">, partly due to the removal of barriers to investment, investment is picking up. </w:t>
      </w:r>
      <w:r>
        <w:rPr>
          <w:rFonts w:ascii="Times New Roman" w:hAnsi="Times New Roman"/>
          <w:sz w:val="24"/>
          <w:szCs w:val="24"/>
        </w:rPr>
        <w:t xml:space="preserve">Conditions for investment have improved lately, with declining uncertainty, receding corporate deleveraging pressures, supportive financing conditions, and an improved outlook on aggregate demand. At the same time, overall investment and public investment in particular still account for </w:t>
      </w:r>
      <w:r w:rsidRPr="00A5470F">
        <w:rPr>
          <w:rFonts w:ascii="Times New Roman" w:hAnsi="Times New Roman"/>
          <w:sz w:val="24"/>
          <w:szCs w:val="24"/>
        </w:rPr>
        <w:t>a relatively low</w:t>
      </w:r>
      <w:r>
        <w:rPr>
          <w:rFonts w:ascii="Times New Roman" w:hAnsi="Times New Roman"/>
          <w:sz w:val="24"/>
          <w:szCs w:val="24"/>
        </w:rPr>
        <w:t xml:space="preserve"> proportion of GDP. Investment in intangible assets is growing, from low levels.</w:t>
      </w:r>
    </w:p>
    <w:p w:rsidR="00CE59E1" w:rsidRDefault="00CE59E1">
      <w:pPr>
        <w:pBdr>
          <w:top w:val="nil"/>
          <w:left w:val="nil"/>
          <w:bottom w:val="nil"/>
          <w:right w:val="nil"/>
          <w:between w:val="nil"/>
          <w:bar w:val="nil"/>
        </w:pBdr>
        <w:spacing w:before="120" w:after="120" w:line="240" w:lineRule="auto"/>
        <w:jc w:val="both"/>
        <w:rPr>
          <w:rFonts w:ascii="Times New Roman" w:eastAsia="Times New Roman" w:hAnsi="Times New Roman"/>
          <w:color w:val="000000"/>
          <w:sz w:val="24"/>
          <w:szCs w:val="24"/>
          <w:u w:color="000000"/>
          <w:bdr w:val="nil"/>
          <w:lang w:eastAsia="en-GB"/>
        </w:rPr>
      </w:pPr>
      <w:r w:rsidRPr="008D0DFC">
        <w:rPr>
          <w:rFonts w:ascii="Times New Roman" w:hAnsi="Times New Roman"/>
          <w:b/>
          <w:sz w:val="24"/>
          <w:szCs w:val="24"/>
        </w:rPr>
        <w:t xml:space="preserve">The removal of structural barriers to investment, in line with the Investment Plan for Europe, is being addressed. </w:t>
      </w:r>
      <w:r w:rsidRPr="00680A51">
        <w:rPr>
          <w:rFonts w:ascii="Times New Roman" w:hAnsi="Times New Roman"/>
          <w:sz w:val="24"/>
          <w:szCs w:val="24"/>
        </w:rPr>
        <w:t xml:space="preserve">The 'third pillar' of the Investment Plan promotes the removal of barriers to investment and greater regulatory predictability in order to keep Europe attractive for investments. </w:t>
      </w:r>
      <w:r>
        <w:rPr>
          <w:rFonts w:ascii="Times New Roman" w:hAnsi="Times New Roman"/>
          <w:sz w:val="24"/>
          <w:szCs w:val="24"/>
        </w:rPr>
        <w:t>In order to increase the competitiveness of the European economies, e</w:t>
      </w:r>
      <w:r w:rsidRPr="00CA2EF7">
        <w:rPr>
          <w:rFonts w:ascii="Times New Roman" w:hAnsi="Times New Roman"/>
          <w:sz w:val="24"/>
          <w:szCs w:val="24"/>
        </w:rPr>
        <w:t xml:space="preserve">nhancing </w:t>
      </w:r>
      <w:r>
        <w:rPr>
          <w:rFonts w:ascii="Times New Roman" w:hAnsi="Times New Roman"/>
          <w:sz w:val="24"/>
          <w:szCs w:val="24"/>
        </w:rPr>
        <w:t xml:space="preserve">product market reforms </w:t>
      </w:r>
      <w:r w:rsidRPr="00CA2EF7">
        <w:rPr>
          <w:rFonts w:ascii="Times New Roman" w:hAnsi="Times New Roman"/>
          <w:sz w:val="24"/>
          <w:szCs w:val="24"/>
        </w:rPr>
        <w:t xml:space="preserve">and reforms fostering innovation </w:t>
      </w:r>
      <w:r>
        <w:rPr>
          <w:rFonts w:ascii="Times New Roman" w:hAnsi="Times New Roman"/>
          <w:sz w:val="24"/>
          <w:szCs w:val="24"/>
        </w:rPr>
        <w:t xml:space="preserve">is crucial. </w:t>
      </w:r>
      <w:r w:rsidRPr="00680A51">
        <w:rPr>
          <w:rFonts w:ascii="Times New Roman" w:hAnsi="Times New Roman"/>
          <w:sz w:val="24"/>
          <w:szCs w:val="24"/>
        </w:rPr>
        <w:t>Though reduced lately, high costs of regulation and administrative burdens constrain the business environment</w:t>
      </w:r>
      <w:r>
        <w:rPr>
          <w:rFonts w:ascii="Times New Roman" w:hAnsi="Times New Roman"/>
          <w:sz w:val="24"/>
          <w:szCs w:val="24"/>
        </w:rPr>
        <w:t xml:space="preserve">. </w:t>
      </w:r>
      <w:r w:rsidRPr="00680A51">
        <w:rPr>
          <w:rFonts w:ascii="Times New Roman" w:hAnsi="Times New Roman"/>
          <w:sz w:val="24"/>
          <w:szCs w:val="24"/>
        </w:rPr>
        <w:t>Institutional shortcomings to be addressed include inefficiencies in public administration, regulatory burdens</w:t>
      </w:r>
      <w:r w:rsidR="00F9104B">
        <w:rPr>
          <w:rFonts w:ascii="Times New Roman" w:hAnsi="Times New Roman"/>
          <w:sz w:val="24"/>
          <w:szCs w:val="24"/>
        </w:rPr>
        <w:t>, corruption</w:t>
      </w:r>
      <w:r w:rsidRPr="00680A51">
        <w:rPr>
          <w:rFonts w:ascii="Times New Roman" w:hAnsi="Times New Roman"/>
          <w:sz w:val="24"/>
          <w:szCs w:val="24"/>
        </w:rPr>
        <w:t xml:space="preserve">, </w:t>
      </w:r>
      <w:r w:rsidR="00EA7D7F">
        <w:rPr>
          <w:rFonts w:ascii="Times New Roman" w:hAnsi="Times New Roman"/>
          <w:sz w:val="24"/>
          <w:szCs w:val="24"/>
        </w:rPr>
        <w:t>as</w:t>
      </w:r>
      <w:r w:rsidR="005B52A7">
        <w:rPr>
          <w:rFonts w:ascii="Times New Roman" w:hAnsi="Times New Roman"/>
          <w:sz w:val="24"/>
          <w:szCs w:val="24"/>
        </w:rPr>
        <w:t xml:space="preserve"> well as the</w:t>
      </w:r>
      <w:r w:rsidRPr="00680A51">
        <w:rPr>
          <w:rFonts w:ascii="Times New Roman" w:hAnsi="Times New Roman"/>
          <w:sz w:val="24"/>
          <w:szCs w:val="24"/>
        </w:rPr>
        <w:t xml:space="preserve"> challenges to the rule of law</w:t>
      </w:r>
      <w:r w:rsidR="005B52A7">
        <w:rPr>
          <w:rFonts w:ascii="Times New Roman" w:hAnsi="Times New Roman"/>
          <w:sz w:val="24"/>
          <w:szCs w:val="24"/>
        </w:rPr>
        <w:t xml:space="preserve"> and </w:t>
      </w:r>
      <w:r w:rsidR="005B52A7" w:rsidRPr="005B52A7">
        <w:rPr>
          <w:rFonts w:ascii="Times New Roman" w:hAnsi="Times New Roman"/>
          <w:sz w:val="24"/>
          <w:szCs w:val="24"/>
        </w:rPr>
        <w:t>to the effectiveness of justice systems</w:t>
      </w:r>
      <w:r w:rsidRPr="00CA2EF7">
        <w:rPr>
          <w:rFonts w:ascii="Times New Roman" w:hAnsi="Times New Roman"/>
          <w:sz w:val="24"/>
          <w:szCs w:val="24"/>
        </w:rPr>
        <w:t xml:space="preserve">. </w:t>
      </w:r>
      <w:r>
        <w:rPr>
          <w:rFonts w:ascii="Times New Roman" w:hAnsi="Times New Roman"/>
          <w:sz w:val="24"/>
          <w:szCs w:val="24"/>
        </w:rPr>
        <w:t>C</w:t>
      </w:r>
      <w:r w:rsidRPr="00C845CF">
        <w:rPr>
          <w:rFonts w:ascii="Times New Roman" w:hAnsi="Times New Roman"/>
          <w:sz w:val="24"/>
          <w:szCs w:val="24"/>
        </w:rPr>
        <w:t xml:space="preserve">ompetition in </w:t>
      </w:r>
      <w:r>
        <w:rPr>
          <w:rFonts w:ascii="Times New Roman" w:hAnsi="Times New Roman"/>
          <w:sz w:val="24"/>
          <w:szCs w:val="24"/>
        </w:rPr>
        <w:t xml:space="preserve">the </w:t>
      </w:r>
      <w:r w:rsidRPr="00C845CF">
        <w:rPr>
          <w:rFonts w:ascii="Times New Roman" w:hAnsi="Times New Roman"/>
          <w:sz w:val="24"/>
          <w:szCs w:val="24"/>
        </w:rPr>
        <w:t xml:space="preserve">services </w:t>
      </w:r>
      <w:r w:rsidRPr="00680A51">
        <w:rPr>
          <w:rFonts w:ascii="Times New Roman" w:hAnsi="Times New Roman"/>
          <w:sz w:val="24"/>
          <w:szCs w:val="24"/>
        </w:rPr>
        <w:t>sector</w:t>
      </w:r>
      <w:r w:rsidRPr="00C845CF">
        <w:rPr>
          <w:rFonts w:ascii="Times New Roman" w:hAnsi="Times New Roman"/>
          <w:sz w:val="24"/>
          <w:szCs w:val="24"/>
        </w:rPr>
        <w:t xml:space="preserve"> continues to improve</w:t>
      </w:r>
      <w:r w:rsidRPr="00680A51">
        <w:rPr>
          <w:rFonts w:ascii="Times New Roman" w:hAnsi="Times New Roman"/>
          <w:sz w:val="24"/>
          <w:szCs w:val="24"/>
        </w:rPr>
        <w:t xml:space="preserve">, </w:t>
      </w:r>
      <w:r>
        <w:rPr>
          <w:rFonts w:ascii="Times New Roman" w:hAnsi="Times New Roman"/>
          <w:sz w:val="24"/>
          <w:szCs w:val="24"/>
        </w:rPr>
        <w:t xml:space="preserve">allowing </w:t>
      </w:r>
      <w:r w:rsidRPr="00680A51">
        <w:rPr>
          <w:rFonts w:ascii="Times New Roman" w:hAnsi="Times New Roman"/>
          <w:sz w:val="24"/>
          <w:szCs w:val="24"/>
        </w:rPr>
        <w:t>grasp</w:t>
      </w:r>
      <w:r>
        <w:rPr>
          <w:rFonts w:ascii="Times New Roman" w:hAnsi="Times New Roman"/>
          <w:sz w:val="24"/>
          <w:szCs w:val="24"/>
        </w:rPr>
        <w:t>ing</w:t>
      </w:r>
      <w:r w:rsidRPr="00680A51">
        <w:rPr>
          <w:rFonts w:ascii="Times New Roman" w:hAnsi="Times New Roman"/>
          <w:sz w:val="24"/>
          <w:szCs w:val="24"/>
        </w:rPr>
        <w:t xml:space="preserve"> the benefits of digitisation, more efficient value chains, better choice, and lower prices</w:t>
      </w:r>
      <w:r>
        <w:rPr>
          <w:rFonts w:ascii="Times New Roman" w:hAnsi="Times New Roman"/>
          <w:sz w:val="24"/>
          <w:szCs w:val="24"/>
        </w:rPr>
        <w:t>.</w:t>
      </w:r>
      <w:r w:rsidRPr="00C845CF">
        <w:rPr>
          <w:rFonts w:ascii="Times New Roman" w:hAnsi="Times New Roman"/>
          <w:sz w:val="24"/>
          <w:szCs w:val="24"/>
        </w:rPr>
        <w:t xml:space="preserve"> Finland, in particular</w:t>
      </w:r>
      <w:r>
        <w:rPr>
          <w:rFonts w:ascii="Times New Roman" w:hAnsi="Times New Roman"/>
          <w:sz w:val="24"/>
          <w:szCs w:val="24"/>
        </w:rPr>
        <w:t>,</w:t>
      </w:r>
      <w:r w:rsidRPr="00310384">
        <w:rPr>
          <w:rFonts w:ascii="Times New Roman" w:hAnsi="Times New Roman"/>
          <w:sz w:val="24"/>
          <w:szCs w:val="24"/>
        </w:rPr>
        <w:t xml:space="preserve"> </w:t>
      </w:r>
      <w:r w:rsidRPr="00C845CF">
        <w:rPr>
          <w:rFonts w:ascii="Times New Roman" w:hAnsi="Times New Roman"/>
          <w:sz w:val="24"/>
          <w:szCs w:val="24"/>
        </w:rPr>
        <w:t>made substantial progress on improving the regulatory framework</w:t>
      </w:r>
      <w:r w:rsidRPr="00310384">
        <w:t xml:space="preserve"> </w:t>
      </w:r>
      <w:r>
        <w:t>a</w:t>
      </w:r>
      <w:r w:rsidRPr="00310384">
        <w:rPr>
          <w:rFonts w:ascii="Times New Roman" w:hAnsi="Times New Roman"/>
          <w:sz w:val="24"/>
          <w:szCs w:val="24"/>
        </w:rPr>
        <w:t>nd reduc</w:t>
      </w:r>
      <w:r>
        <w:rPr>
          <w:rFonts w:ascii="Times New Roman" w:hAnsi="Times New Roman"/>
          <w:sz w:val="24"/>
          <w:szCs w:val="24"/>
        </w:rPr>
        <w:t>ing</w:t>
      </w:r>
      <w:r w:rsidRPr="00310384">
        <w:rPr>
          <w:rFonts w:ascii="Times New Roman" w:hAnsi="Times New Roman"/>
          <w:sz w:val="24"/>
          <w:szCs w:val="24"/>
        </w:rPr>
        <w:t xml:space="preserve"> the administrative burden </w:t>
      </w:r>
      <w:r>
        <w:rPr>
          <w:rFonts w:ascii="Times New Roman" w:hAnsi="Times New Roman"/>
          <w:sz w:val="24"/>
          <w:szCs w:val="24"/>
        </w:rPr>
        <w:t>to further improve</w:t>
      </w:r>
      <w:r w:rsidRPr="00310384">
        <w:rPr>
          <w:rFonts w:ascii="Times New Roman" w:hAnsi="Times New Roman"/>
          <w:sz w:val="24"/>
          <w:szCs w:val="24"/>
        </w:rPr>
        <w:t xml:space="preserve"> competition in services</w:t>
      </w:r>
      <w:r>
        <w:rPr>
          <w:rFonts w:ascii="Times New Roman" w:hAnsi="Times New Roman"/>
          <w:sz w:val="24"/>
          <w:szCs w:val="24"/>
        </w:rPr>
        <w:t>,</w:t>
      </w:r>
      <w:r w:rsidRPr="00310384">
        <w:rPr>
          <w:rFonts w:ascii="Times New Roman" w:hAnsi="Times New Roman"/>
          <w:sz w:val="24"/>
          <w:szCs w:val="24"/>
        </w:rPr>
        <w:t xml:space="preserve"> </w:t>
      </w:r>
      <w:r>
        <w:rPr>
          <w:rFonts w:ascii="Times New Roman" w:hAnsi="Times New Roman"/>
          <w:sz w:val="24"/>
          <w:szCs w:val="24"/>
        </w:rPr>
        <w:t xml:space="preserve">including progress on the </w:t>
      </w:r>
      <w:r w:rsidRPr="00C845CF">
        <w:rPr>
          <w:rFonts w:ascii="Times New Roman" w:hAnsi="Times New Roman"/>
          <w:sz w:val="24"/>
          <w:szCs w:val="24"/>
        </w:rPr>
        <w:t>framework governing collaborative economy service providers</w:t>
      </w:r>
      <w:r>
        <w:rPr>
          <w:rFonts w:ascii="Times New Roman" w:hAnsi="Times New Roman"/>
          <w:sz w:val="24"/>
          <w:szCs w:val="24"/>
        </w:rPr>
        <w:t>. In Slovakia,</w:t>
      </w:r>
      <w:r w:rsidRPr="00C82065">
        <w:rPr>
          <w:rFonts w:ascii="Times New Roman" w:hAnsi="Times New Roman"/>
          <w:sz w:val="24"/>
          <w:szCs w:val="24"/>
        </w:rPr>
        <w:t xml:space="preserve"> a package of measures to improve the business environment and boost investment</w:t>
      </w:r>
      <w:r>
        <w:rPr>
          <w:rFonts w:ascii="Times New Roman" w:hAnsi="Times New Roman"/>
          <w:sz w:val="24"/>
          <w:szCs w:val="24"/>
        </w:rPr>
        <w:t xml:space="preserve"> has been adopted and is </w:t>
      </w:r>
      <w:r w:rsidRPr="00C82065">
        <w:rPr>
          <w:rFonts w:ascii="Times New Roman" w:hAnsi="Times New Roman"/>
          <w:sz w:val="24"/>
          <w:szCs w:val="24"/>
        </w:rPr>
        <w:t>to be implemented by 2019</w:t>
      </w:r>
      <w:r w:rsidRPr="00680A51">
        <w:rPr>
          <w:rFonts w:ascii="Times New Roman" w:eastAsia="Times New Roman" w:hAnsi="Times New Roman"/>
          <w:color w:val="000000"/>
          <w:sz w:val="24"/>
          <w:szCs w:val="24"/>
          <w:u w:color="000000"/>
          <w:bdr w:val="nil"/>
          <w:lang w:eastAsia="en-GB"/>
        </w:rPr>
        <w:t xml:space="preserve">, and France in turn acted </w:t>
      </w:r>
      <w:r>
        <w:rPr>
          <w:rFonts w:ascii="Times New Roman" w:eastAsia="Times New Roman" w:hAnsi="Times New Roman"/>
          <w:color w:val="000000"/>
          <w:sz w:val="24"/>
          <w:szCs w:val="24"/>
          <w:u w:color="000000"/>
          <w:bdr w:val="nil"/>
          <w:lang w:eastAsia="en-GB"/>
        </w:rPr>
        <w:t>by</w:t>
      </w:r>
      <w:r w:rsidRPr="00680A51">
        <w:rPr>
          <w:rFonts w:ascii="Times New Roman" w:eastAsia="Times New Roman" w:hAnsi="Times New Roman"/>
          <w:color w:val="000000"/>
          <w:sz w:val="24"/>
          <w:szCs w:val="24"/>
          <w:u w:color="000000"/>
          <w:bdr w:val="nil"/>
          <w:lang w:eastAsia="en-GB"/>
        </w:rPr>
        <w:t xml:space="preserve"> decreasing the high tax burden on companies. </w:t>
      </w:r>
    </w:p>
    <w:p w:rsidR="00CE59E1" w:rsidRPr="00680A51" w:rsidRDefault="00CE59E1">
      <w:pPr>
        <w:pBdr>
          <w:top w:val="nil"/>
          <w:left w:val="nil"/>
          <w:bottom w:val="nil"/>
          <w:right w:val="nil"/>
          <w:between w:val="nil"/>
          <w:bar w:val="nil"/>
        </w:pBdr>
        <w:spacing w:before="120" w:after="120" w:line="240" w:lineRule="auto"/>
        <w:jc w:val="both"/>
        <w:rPr>
          <w:rFonts w:ascii="Times New Roman" w:hAnsi="Times New Roman"/>
          <w:sz w:val="24"/>
          <w:szCs w:val="24"/>
        </w:rPr>
      </w:pPr>
      <w:r w:rsidRPr="00EA6CE2">
        <w:rPr>
          <w:rFonts w:ascii="Times New Roman" w:eastAsia="Times New Roman" w:hAnsi="Times New Roman"/>
          <w:b/>
          <w:color w:val="000000"/>
          <w:sz w:val="24"/>
          <w:szCs w:val="24"/>
          <w:u w:color="000000"/>
          <w:bdr w:val="nil"/>
          <w:lang w:eastAsia="en-GB"/>
        </w:rPr>
        <w:t>Weaknesses in administrative capacity add to the shortcomings of the business environment.</w:t>
      </w:r>
      <w:r>
        <w:rPr>
          <w:rFonts w:ascii="Times New Roman" w:eastAsia="Times New Roman" w:hAnsi="Times New Roman"/>
          <w:color w:val="000000"/>
          <w:sz w:val="24"/>
          <w:szCs w:val="24"/>
          <w:u w:color="000000"/>
          <w:bdr w:val="nil"/>
          <w:lang w:eastAsia="en-GB"/>
        </w:rPr>
        <w:t xml:space="preserve"> </w:t>
      </w:r>
      <w:r>
        <w:rPr>
          <w:rFonts w:ascii="Times New Roman" w:hAnsi="Times New Roman"/>
          <w:sz w:val="24"/>
          <w:szCs w:val="24"/>
        </w:rPr>
        <w:t>T</w:t>
      </w:r>
      <w:r w:rsidRPr="00680A51">
        <w:rPr>
          <w:rFonts w:ascii="Times New Roman" w:hAnsi="Times New Roman"/>
          <w:sz w:val="24"/>
          <w:szCs w:val="24"/>
        </w:rPr>
        <w:t>he public procurement framework is being improved in Spain</w:t>
      </w:r>
      <w:r>
        <w:rPr>
          <w:rFonts w:ascii="Times New Roman" w:hAnsi="Times New Roman"/>
          <w:sz w:val="24"/>
          <w:szCs w:val="24"/>
        </w:rPr>
        <w:t>, Hungary and Romania</w:t>
      </w:r>
      <w:r w:rsidRPr="00680A51">
        <w:rPr>
          <w:rFonts w:ascii="Times New Roman" w:hAnsi="Times New Roman"/>
          <w:sz w:val="24"/>
          <w:szCs w:val="24"/>
        </w:rPr>
        <w:t xml:space="preserve">. </w:t>
      </w:r>
      <w:r w:rsidRPr="00680A51">
        <w:rPr>
          <w:rFonts w:ascii="Times New Roman" w:eastAsia="Times New Roman" w:hAnsi="Times New Roman"/>
          <w:color w:val="000000"/>
          <w:sz w:val="24"/>
          <w:szCs w:val="24"/>
          <w:u w:color="000000"/>
          <w:bdr w:val="nil"/>
          <w:lang w:eastAsia="en-GB"/>
        </w:rPr>
        <w:t>Portugal</w:t>
      </w:r>
      <w:r>
        <w:rPr>
          <w:rFonts w:ascii="Times New Roman" w:eastAsia="Times New Roman" w:hAnsi="Times New Roman"/>
          <w:color w:val="000000"/>
          <w:sz w:val="24"/>
          <w:szCs w:val="24"/>
          <w:u w:color="000000"/>
          <w:bdr w:val="nil"/>
          <w:lang w:eastAsia="en-GB"/>
        </w:rPr>
        <w:t xml:space="preserve"> </w:t>
      </w:r>
      <w:r w:rsidRPr="00680A51">
        <w:rPr>
          <w:rFonts w:ascii="Times New Roman" w:eastAsia="Times New Roman" w:hAnsi="Times New Roman"/>
          <w:color w:val="000000"/>
          <w:sz w:val="24"/>
          <w:szCs w:val="24"/>
          <w:u w:color="000000"/>
          <w:bdr w:val="nil"/>
          <w:lang w:eastAsia="en-GB"/>
        </w:rPr>
        <w:t xml:space="preserve">took measures to improve the functioning of </w:t>
      </w:r>
      <w:r w:rsidRPr="00F24A56">
        <w:rPr>
          <w:rFonts w:ascii="Times New Roman" w:eastAsia="Times New Roman" w:hAnsi="Times New Roman"/>
          <w:color w:val="000000"/>
          <w:sz w:val="24"/>
          <w:szCs w:val="24"/>
          <w:u w:color="000000"/>
          <w:bdr w:val="nil"/>
          <w:lang w:eastAsia="en-GB"/>
        </w:rPr>
        <w:t>efficiency of insolvency and tax proceedings</w:t>
      </w:r>
      <w:r w:rsidRPr="00680A51">
        <w:rPr>
          <w:rFonts w:ascii="Times New Roman" w:eastAsia="Times New Roman" w:hAnsi="Times New Roman"/>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 xml:space="preserve">Cyprus and the Czech Republic are progressing with rolling out e-government services and Slovenia adopted the rules that </w:t>
      </w:r>
      <w:r w:rsidRPr="006C0829">
        <w:rPr>
          <w:rFonts w:ascii="Times New Roman" w:eastAsia="Times New Roman" w:hAnsi="Times New Roman"/>
          <w:color w:val="000000"/>
          <w:sz w:val="24"/>
          <w:szCs w:val="24"/>
          <w:u w:color="000000"/>
          <w:bdr w:val="nil"/>
          <w:lang w:eastAsia="en-GB"/>
        </w:rPr>
        <w:t xml:space="preserve">are expected to </w:t>
      </w:r>
      <w:r>
        <w:rPr>
          <w:rFonts w:ascii="Times New Roman" w:eastAsia="Times New Roman" w:hAnsi="Times New Roman"/>
          <w:color w:val="000000"/>
          <w:sz w:val="24"/>
          <w:szCs w:val="24"/>
          <w:u w:color="000000"/>
          <w:bdr w:val="nil"/>
          <w:lang w:eastAsia="en-GB"/>
        </w:rPr>
        <w:t>speed up</w:t>
      </w:r>
      <w:r w:rsidRPr="006C0829">
        <w:rPr>
          <w:rFonts w:ascii="Times New Roman" w:eastAsia="Times New Roman" w:hAnsi="Times New Roman"/>
          <w:color w:val="000000"/>
          <w:sz w:val="24"/>
          <w:szCs w:val="24"/>
          <w:u w:color="000000"/>
          <w:bdr w:val="nil"/>
          <w:lang w:eastAsia="en-GB"/>
        </w:rPr>
        <w:t xml:space="preserve"> the construction application procedure and strengthen the legal certainty of investors, thus providing more incentives to invest</w:t>
      </w:r>
      <w:r>
        <w:rPr>
          <w:rFonts w:ascii="Times New Roman" w:eastAsia="Times New Roman" w:hAnsi="Times New Roman"/>
          <w:color w:val="000000"/>
          <w:sz w:val="24"/>
          <w:szCs w:val="24"/>
          <w:u w:color="000000"/>
          <w:bdr w:val="nil"/>
          <w:lang w:eastAsia="en-GB"/>
        </w:rPr>
        <w:t xml:space="preserve">.  </w:t>
      </w:r>
    </w:p>
    <w:p w:rsidR="004A0AEB" w:rsidRDefault="004A0AEB">
      <w:pPr>
        <w:pBdr>
          <w:top w:val="nil"/>
          <w:left w:val="nil"/>
          <w:bottom w:val="nil"/>
          <w:right w:val="nil"/>
          <w:between w:val="nil"/>
          <w:bar w:val="nil"/>
        </w:pBdr>
        <w:spacing w:before="120" w:after="120" w:line="240" w:lineRule="auto"/>
        <w:jc w:val="both"/>
        <w:rPr>
          <w:rFonts w:ascii="Times New Roman" w:hAnsi="Times New Roman"/>
          <w:sz w:val="24"/>
          <w:szCs w:val="24"/>
        </w:rPr>
      </w:pPr>
      <w:r w:rsidRPr="008D2255">
        <w:rPr>
          <w:rFonts w:ascii="Times New Roman" w:hAnsi="Times New Roman"/>
          <w:b/>
          <w:sz w:val="24"/>
          <w:szCs w:val="24"/>
        </w:rPr>
        <w:t xml:space="preserve">Corruption </w:t>
      </w:r>
      <w:r w:rsidR="00DD7928">
        <w:rPr>
          <w:rFonts w:ascii="Times New Roman" w:hAnsi="Times New Roman"/>
          <w:b/>
          <w:sz w:val="24"/>
          <w:szCs w:val="24"/>
        </w:rPr>
        <w:t>r</w:t>
      </w:r>
      <w:r w:rsidR="00DD7928" w:rsidRPr="00DD7928">
        <w:rPr>
          <w:rFonts w:ascii="Times New Roman" w:hAnsi="Times New Roman"/>
          <w:b/>
          <w:sz w:val="24"/>
          <w:szCs w:val="24"/>
        </w:rPr>
        <w:t xml:space="preserve">emains </w:t>
      </w:r>
      <w:r w:rsidR="00006F0E">
        <w:rPr>
          <w:rFonts w:ascii="Times New Roman" w:hAnsi="Times New Roman"/>
          <w:b/>
          <w:sz w:val="24"/>
          <w:szCs w:val="24"/>
        </w:rPr>
        <w:t>an</w:t>
      </w:r>
      <w:r w:rsidR="00DD7928" w:rsidRPr="00DD7928">
        <w:rPr>
          <w:rFonts w:ascii="Times New Roman" w:hAnsi="Times New Roman"/>
          <w:b/>
          <w:sz w:val="24"/>
          <w:szCs w:val="24"/>
        </w:rPr>
        <w:t xml:space="preserve"> obstacle for growth</w:t>
      </w:r>
      <w:r w:rsidR="00006F0E">
        <w:rPr>
          <w:rFonts w:ascii="Times New Roman" w:hAnsi="Times New Roman"/>
          <w:b/>
          <w:sz w:val="24"/>
          <w:szCs w:val="24"/>
        </w:rPr>
        <w:t xml:space="preserve"> in parts of Europe</w:t>
      </w:r>
      <w:r w:rsidR="00DD7928">
        <w:rPr>
          <w:rFonts w:ascii="Times New Roman" w:hAnsi="Times New Roman"/>
          <w:b/>
          <w:sz w:val="24"/>
          <w:szCs w:val="24"/>
        </w:rPr>
        <w:t>, cr</w:t>
      </w:r>
      <w:r w:rsidR="008F125A">
        <w:rPr>
          <w:rFonts w:ascii="Times New Roman" w:hAnsi="Times New Roman"/>
          <w:b/>
          <w:sz w:val="24"/>
          <w:szCs w:val="24"/>
        </w:rPr>
        <w:t>e</w:t>
      </w:r>
      <w:r w:rsidR="00DD7928">
        <w:rPr>
          <w:rFonts w:ascii="Times New Roman" w:hAnsi="Times New Roman"/>
          <w:b/>
          <w:sz w:val="24"/>
          <w:szCs w:val="24"/>
        </w:rPr>
        <w:t xml:space="preserve">ating </w:t>
      </w:r>
      <w:r w:rsidR="00DD7928" w:rsidRPr="00DD7928">
        <w:rPr>
          <w:rFonts w:ascii="Times New Roman" w:hAnsi="Times New Roman"/>
          <w:b/>
          <w:sz w:val="24"/>
          <w:szCs w:val="24"/>
        </w:rPr>
        <w:t>uncertainty for business</w:t>
      </w:r>
      <w:r w:rsidR="00DD7928" w:rsidRPr="008D2255">
        <w:rPr>
          <w:rFonts w:ascii="Times New Roman" w:hAnsi="Times New Roman"/>
          <w:b/>
          <w:sz w:val="24"/>
          <w:szCs w:val="24"/>
        </w:rPr>
        <w:t>es, s</w:t>
      </w:r>
      <w:r w:rsidR="00DD7928" w:rsidRPr="00DD7928">
        <w:rPr>
          <w:rFonts w:ascii="Times New Roman" w:hAnsi="Times New Roman"/>
          <w:b/>
          <w:sz w:val="24"/>
          <w:szCs w:val="24"/>
        </w:rPr>
        <w:t xml:space="preserve">lowing </w:t>
      </w:r>
      <w:r w:rsidR="00006F0E">
        <w:rPr>
          <w:rFonts w:ascii="Times New Roman" w:hAnsi="Times New Roman"/>
          <w:b/>
          <w:sz w:val="24"/>
          <w:szCs w:val="24"/>
        </w:rPr>
        <w:t xml:space="preserve">administrative </w:t>
      </w:r>
      <w:r w:rsidR="00DD7928" w:rsidRPr="00DD7928">
        <w:rPr>
          <w:rFonts w:ascii="Times New Roman" w:hAnsi="Times New Roman"/>
          <w:b/>
          <w:sz w:val="24"/>
          <w:szCs w:val="24"/>
        </w:rPr>
        <w:t>processes and imposing additional costs</w:t>
      </w:r>
      <w:r w:rsidR="00006F0E">
        <w:rPr>
          <w:rFonts w:ascii="Times New Roman" w:hAnsi="Times New Roman"/>
          <w:b/>
          <w:sz w:val="24"/>
          <w:szCs w:val="24"/>
        </w:rPr>
        <w:t xml:space="preserve"> for society and the economy</w:t>
      </w:r>
      <w:r w:rsidR="00DD7928">
        <w:rPr>
          <w:rFonts w:ascii="Times New Roman" w:hAnsi="Times New Roman"/>
          <w:b/>
          <w:sz w:val="24"/>
          <w:szCs w:val="24"/>
        </w:rPr>
        <w:t>.</w:t>
      </w:r>
      <w:r w:rsidR="00DD7928" w:rsidRPr="008D2255">
        <w:rPr>
          <w:rFonts w:ascii="Times New Roman" w:hAnsi="Times New Roman"/>
          <w:sz w:val="24"/>
          <w:szCs w:val="24"/>
        </w:rPr>
        <w:t xml:space="preserve"> </w:t>
      </w:r>
      <w:r w:rsidR="003C4B41" w:rsidRPr="00A07E12">
        <w:rPr>
          <w:rFonts w:ascii="Times New Roman" w:hAnsi="Times New Roman"/>
          <w:sz w:val="24"/>
          <w:szCs w:val="24"/>
        </w:rPr>
        <w:t xml:space="preserve">37% of companies across the EU cite corruption as a problem when doing business, the </w:t>
      </w:r>
      <w:r w:rsidR="003C4B41">
        <w:rPr>
          <w:rFonts w:ascii="Times New Roman" w:hAnsi="Times New Roman"/>
          <w:sz w:val="24"/>
          <w:szCs w:val="24"/>
        </w:rPr>
        <w:t>issue</w:t>
      </w:r>
      <w:r w:rsidR="003C4B41" w:rsidRPr="00A07E12">
        <w:rPr>
          <w:rFonts w:ascii="Times New Roman" w:hAnsi="Times New Roman"/>
          <w:sz w:val="24"/>
          <w:szCs w:val="24"/>
        </w:rPr>
        <w:t xml:space="preserve"> being particularly acute in some</w:t>
      </w:r>
      <w:r w:rsidR="003C4B41">
        <w:rPr>
          <w:rFonts w:ascii="Times New Roman" w:hAnsi="Times New Roman"/>
          <w:sz w:val="24"/>
          <w:szCs w:val="24"/>
        </w:rPr>
        <w:t xml:space="preserve"> Member States.</w:t>
      </w:r>
      <w:r w:rsidR="00731741">
        <w:rPr>
          <w:rStyle w:val="FootnoteReference"/>
          <w:rFonts w:ascii="Times New Roman" w:hAnsi="Times New Roman"/>
          <w:sz w:val="24"/>
          <w:szCs w:val="24"/>
        </w:rPr>
        <w:footnoteReference w:id="19"/>
      </w:r>
      <w:r w:rsidR="00977E60">
        <w:rPr>
          <w:rFonts w:ascii="Times New Roman" w:hAnsi="Times New Roman"/>
          <w:sz w:val="24"/>
          <w:szCs w:val="24"/>
        </w:rPr>
        <w:t xml:space="preserve"> </w:t>
      </w:r>
      <w:r w:rsidR="00C34DB9">
        <w:rPr>
          <w:rFonts w:ascii="Times New Roman" w:hAnsi="Times New Roman"/>
          <w:sz w:val="24"/>
          <w:szCs w:val="24"/>
        </w:rPr>
        <w:t>At national level, some action has been taken to address these challenges.</w:t>
      </w:r>
      <w:r>
        <w:rPr>
          <w:rFonts w:ascii="Times New Roman" w:hAnsi="Times New Roman"/>
          <w:sz w:val="24"/>
          <w:szCs w:val="24"/>
        </w:rPr>
        <w:t xml:space="preserve"> </w:t>
      </w:r>
      <w:r w:rsidRPr="00680A51">
        <w:rPr>
          <w:rFonts w:ascii="Times New Roman" w:eastAsia="Times New Roman" w:hAnsi="Times New Roman"/>
          <w:color w:val="000000"/>
          <w:sz w:val="24"/>
          <w:szCs w:val="24"/>
          <w:u w:color="000000"/>
          <w:bdr w:val="nil"/>
          <w:lang w:eastAsia="en-GB"/>
        </w:rPr>
        <w:t>Italy made efforts to improve its public administration</w:t>
      </w:r>
      <w:r w:rsidRPr="00C845CF">
        <w:rPr>
          <w:rFonts w:ascii="Times New Roman" w:eastAsia="Times New Roman" w:hAnsi="Times New Roman"/>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 xml:space="preserve">and </w:t>
      </w:r>
      <w:r w:rsidR="008F125A" w:rsidRPr="008F125A">
        <w:rPr>
          <w:rFonts w:ascii="Times New Roman" w:eastAsia="Times New Roman" w:hAnsi="Times New Roman"/>
          <w:color w:val="000000"/>
          <w:sz w:val="24"/>
          <w:szCs w:val="24"/>
          <w:u w:color="000000"/>
          <w:bdr w:val="nil"/>
          <w:lang w:eastAsia="en-GB"/>
        </w:rPr>
        <w:t xml:space="preserve">adopted important anti-corruption legislation. Spain </w:t>
      </w:r>
      <w:r w:rsidR="00974D18">
        <w:rPr>
          <w:rFonts w:ascii="Times New Roman" w:eastAsia="Times New Roman" w:hAnsi="Times New Roman"/>
          <w:color w:val="000000"/>
          <w:sz w:val="24"/>
          <w:szCs w:val="24"/>
          <w:u w:color="000000"/>
          <w:bdr w:val="nil"/>
          <w:lang w:eastAsia="en-GB"/>
        </w:rPr>
        <w:t xml:space="preserve">also </w:t>
      </w:r>
      <w:r w:rsidR="008F125A" w:rsidRPr="008F125A">
        <w:rPr>
          <w:rFonts w:ascii="Times New Roman" w:eastAsia="Times New Roman" w:hAnsi="Times New Roman"/>
          <w:color w:val="000000"/>
          <w:sz w:val="24"/>
          <w:szCs w:val="24"/>
          <w:u w:color="000000"/>
          <w:bdr w:val="nil"/>
          <w:lang w:eastAsia="en-GB"/>
        </w:rPr>
        <w:t xml:space="preserve">made progress in implementing the transparency and anti-corruption framework. New legislation on </w:t>
      </w:r>
      <w:r w:rsidR="00C34DB9" w:rsidRPr="008F125A">
        <w:rPr>
          <w:rFonts w:ascii="Times New Roman" w:eastAsia="Times New Roman" w:hAnsi="Times New Roman"/>
          <w:color w:val="000000"/>
          <w:sz w:val="24"/>
          <w:szCs w:val="24"/>
          <w:u w:color="000000"/>
          <w:bdr w:val="nil"/>
          <w:lang w:eastAsia="en-GB"/>
        </w:rPr>
        <w:t>whistle-blower</w:t>
      </w:r>
      <w:r w:rsidR="008F125A" w:rsidRPr="008F125A">
        <w:rPr>
          <w:rFonts w:ascii="Times New Roman" w:eastAsia="Times New Roman" w:hAnsi="Times New Roman"/>
          <w:color w:val="000000"/>
          <w:sz w:val="24"/>
          <w:szCs w:val="24"/>
          <w:u w:color="000000"/>
          <w:bdr w:val="nil"/>
          <w:lang w:eastAsia="en-GB"/>
        </w:rPr>
        <w:t xml:space="preserve"> protection has been adopted in </w:t>
      </w:r>
      <w:r w:rsidR="00C34DB9">
        <w:rPr>
          <w:rFonts w:ascii="Times New Roman" w:eastAsia="Times New Roman" w:hAnsi="Times New Roman"/>
          <w:color w:val="000000"/>
          <w:sz w:val="24"/>
          <w:szCs w:val="24"/>
          <w:u w:color="000000"/>
          <w:bdr w:val="nil"/>
          <w:lang w:eastAsia="en-GB"/>
        </w:rPr>
        <w:t xml:space="preserve">both </w:t>
      </w:r>
      <w:r w:rsidR="008F125A" w:rsidRPr="008F125A">
        <w:rPr>
          <w:rFonts w:ascii="Times New Roman" w:eastAsia="Times New Roman" w:hAnsi="Times New Roman"/>
          <w:color w:val="000000"/>
          <w:sz w:val="24"/>
          <w:szCs w:val="24"/>
          <w:u w:color="000000"/>
          <w:bdr w:val="nil"/>
          <w:lang w:eastAsia="en-GB"/>
        </w:rPr>
        <w:t xml:space="preserve">Lithuania and Italy </w:t>
      </w:r>
      <w:r w:rsidR="00C34DB9">
        <w:rPr>
          <w:rFonts w:ascii="Times New Roman" w:eastAsia="Times New Roman" w:hAnsi="Times New Roman"/>
          <w:color w:val="000000"/>
          <w:sz w:val="24"/>
          <w:szCs w:val="24"/>
          <w:u w:color="000000"/>
          <w:bdr w:val="nil"/>
          <w:lang w:eastAsia="en-GB"/>
        </w:rPr>
        <w:t>and</w:t>
      </w:r>
      <w:r w:rsidR="008F125A" w:rsidRPr="008F125A">
        <w:rPr>
          <w:rFonts w:ascii="Times New Roman" w:eastAsia="Times New Roman" w:hAnsi="Times New Roman"/>
          <w:color w:val="000000"/>
          <w:sz w:val="24"/>
          <w:szCs w:val="24"/>
          <w:u w:color="000000"/>
          <w:bdr w:val="nil"/>
          <w:lang w:eastAsia="en-GB"/>
        </w:rPr>
        <w:t xml:space="preserve"> is under consideration in several Member States</w:t>
      </w:r>
      <w:r w:rsidR="008F125A">
        <w:rPr>
          <w:rFonts w:ascii="Times New Roman" w:eastAsia="Times New Roman" w:hAnsi="Times New Roman"/>
          <w:color w:val="000000"/>
          <w:sz w:val="24"/>
          <w:szCs w:val="24"/>
          <w:u w:color="000000"/>
          <w:bdr w:val="nil"/>
          <w:lang w:eastAsia="en-GB"/>
        </w:rPr>
        <w:t>.</w:t>
      </w:r>
    </w:p>
    <w:p w:rsidR="00CE59E1" w:rsidRPr="00D56721" w:rsidRDefault="00CE59E1">
      <w:pPr>
        <w:pBdr>
          <w:top w:val="nil"/>
          <w:left w:val="nil"/>
          <w:bottom w:val="nil"/>
          <w:right w:val="nil"/>
          <w:between w:val="nil"/>
          <w:bar w:val="nil"/>
        </w:pBdr>
        <w:spacing w:before="120" w:after="120" w:line="240" w:lineRule="auto"/>
        <w:jc w:val="both"/>
        <w:rPr>
          <w:rFonts w:ascii="Times New Roman" w:eastAsia="Times New Roman" w:hAnsi="Times New Roman"/>
          <w:color w:val="000000"/>
          <w:sz w:val="24"/>
          <w:szCs w:val="24"/>
          <w:u w:color="000000"/>
          <w:bdr w:val="nil"/>
          <w:lang w:eastAsia="en-GB"/>
        </w:rPr>
      </w:pPr>
      <w:r w:rsidRPr="005A3C1A">
        <w:rPr>
          <w:rFonts w:ascii="Times New Roman" w:eastAsia="Times New Roman" w:hAnsi="Times New Roman"/>
          <w:b/>
          <w:color w:val="000000"/>
          <w:sz w:val="24"/>
          <w:szCs w:val="24"/>
          <w:u w:color="000000"/>
          <w:bdr w:val="nil"/>
          <w:lang w:eastAsia="en-GB"/>
        </w:rPr>
        <w:t>Access to finance, especially for the small and medium</w:t>
      </w:r>
      <w:r>
        <w:rPr>
          <w:rFonts w:ascii="Times New Roman" w:eastAsia="Times New Roman" w:hAnsi="Times New Roman"/>
          <w:b/>
          <w:color w:val="000000"/>
          <w:sz w:val="24"/>
          <w:szCs w:val="24"/>
          <w:u w:color="000000"/>
          <w:bdr w:val="nil"/>
          <w:lang w:eastAsia="en-GB"/>
        </w:rPr>
        <w:t>-</w:t>
      </w:r>
      <w:r w:rsidRPr="005A3C1A">
        <w:rPr>
          <w:rFonts w:ascii="Times New Roman" w:eastAsia="Times New Roman" w:hAnsi="Times New Roman"/>
          <w:b/>
          <w:color w:val="000000"/>
          <w:sz w:val="24"/>
          <w:szCs w:val="24"/>
          <w:u w:color="000000"/>
          <w:bdr w:val="nil"/>
          <w:lang w:eastAsia="en-GB"/>
        </w:rPr>
        <w:t>sized enterprises, is gradually improving across the Europe</w:t>
      </w:r>
      <w:r>
        <w:rPr>
          <w:rFonts w:ascii="Times New Roman" w:eastAsia="Times New Roman" w:hAnsi="Times New Roman"/>
          <w:b/>
          <w:color w:val="000000"/>
          <w:sz w:val="24"/>
          <w:szCs w:val="24"/>
          <w:u w:color="000000"/>
          <w:bdr w:val="nil"/>
          <w:lang w:eastAsia="en-GB"/>
        </w:rPr>
        <w:t>.</w:t>
      </w:r>
      <w:r>
        <w:rPr>
          <w:rFonts w:ascii="Times New Roman" w:eastAsia="Times New Roman" w:hAnsi="Times New Roman"/>
          <w:color w:val="000000"/>
          <w:sz w:val="24"/>
          <w:szCs w:val="24"/>
          <w:u w:color="000000"/>
          <w:bdr w:val="nil"/>
          <w:lang w:eastAsia="en-GB"/>
        </w:rPr>
        <w:t xml:space="preserve"> </w:t>
      </w:r>
      <w:r w:rsidRPr="00DE4BA2">
        <w:rPr>
          <w:rFonts w:ascii="Times New Roman" w:eastAsia="Times New Roman" w:hAnsi="Times New Roman"/>
          <w:sz w:val="24"/>
          <w:szCs w:val="24"/>
          <w:lang w:eastAsia="en-GB"/>
        </w:rPr>
        <w:t>F</w:t>
      </w:r>
      <w:r>
        <w:rPr>
          <w:rFonts w:ascii="Times New Roman" w:eastAsia="Times New Roman" w:hAnsi="Times New Roman"/>
          <w:sz w:val="24"/>
          <w:szCs w:val="24"/>
          <w:lang w:eastAsia="en-GB"/>
        </w:rPr>
        <w:t xml:space="preserve">unding other than by banks plays a major role for start-ups and the scale-up of successful firms. Venture and scale-up funding </w:t>
      </w:r>
      <w:r w:rsidRPr="005A3C1A">
        <w:rPr>
          <w:rFonts w:ascii="Times New Roman" w:eastAsia="Times New Roman" w:hAnsi="Times New Roman"/>
          <w:color w:val="000000"/>
          <w:sz w:val="24"/>
          <w:szCs w:val="24"/>
          <w:u w:color="000000"/>
          <w:bdr w:val="nil"/>
          <w:lang w:eastAsia="en-GB"/>
        </w:rPr>
        <w:t>are</w:t>
      </w:r>
      <w:r>
        <w:rPr>
          <w:rFonts w:ascii="Times New Roman" w:eastAsia="Times New Roman" w:hAnsi="Times New Roman"/>
          <w:color w:val="000000"/>
          <w:sz w:val="24"/>
          <w:szCs w:val="24"/>
          <w:u w:color="000000"/>
          <w:bdr w:val="nil"/>
          <w:lang w:eastAsia="en-GB"/>
        </w:rPr>
        <w:t xml:space="preserve"> still </w:t>
      </w:r>
      <w:r w:rsidRPr="005A3C1A">
        <w:rPr>
          <w:rFonts w:ascii="Times New Roman" w:eastAsia="Times New Roman" w:hAnsi="Times New Roman"/>
          <w:color w:val="000000"/>
          <w:sz w:val="24"/>
          <w:szCs w:val="24"/>
          <w:u w:color="000000"/>
          <w:bdr w:val="nil"/>
          <w:lang w:eastAsia="en-GB"/>
        </w:rPr>
        <w:t>only</w:t>
      </w:r>
      <w:r>
        <w:rPr>
          <w:rFonts w:ascii="Times New Roman" w:eastAsia="Times New Roman" w:hAnsi="Times New Roman"/>
          <w:color w:val="000000"/>
          <w:sz w:val="24"/>
          <w:szCs w:val="24"/>
          <w:u w:color="000000"/>
          <w:bdr w:val="nil"/>
          <w:lang w:eastAsia="en-GB"/>
        </w:rPr>
        <w:t xml:space="preserve"> emerging </w:t>
      </w:r>
      <w:r>
        <w:rPr>
          <w:rFonts w:ascii="Times New Roman" w:eastAsia="Times New Roman" w:hAnsi="Times New Roman"/>
          <w:sz w:val="24"/>
          <w:szCs w:val="24"/>
          <w:lang w:eastAsia="en-GB"/>
        </w:rPr>
        <w:t>in smaller countries or even outside financial centres in larger countries.</w:t>
      </w:r>
      <w:r w:rsidRPr="006856A3">
        <w:rPr>
          <w:rFonts w:ascii="Times New Roman" w:eastAsia="Times New Roman" w:hAnsi="Times New Roman"/>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A</w:t>
      </w:r>
      <w:r w:rsidRPr="00C9466F">
        <w:rPr>
          <w:rFonts w:ascii="Times New Roman" w:eastAsia="Times New Roman" w:hAnsi="Times New Roman"/>
          <w:color w:val="000000"/>
          <w:sz w:val="24"/>
          <w:szCs w:val="24"/>
          <w:u w:color="000000"/>
          <w:bdr w:val="nil"/>
          <w:lang w:eastAsia="en-GB"/>
        </w:rPr>
        <w:t xml:space="preserve">ctions </w:t>
      </w:r>
      <w:r>
        <w:rPr>
          <w:rFonts w:ascii="Times New Roman" w:eastAsia="Times New Roman" w:hAnsi="Times New Roman"/>
          <w:color w:val="000000"/>
          <w:sz w:val="24"/>
          <w:szCs w:val="24"/>
          <w:u w:color="000000"/>
          <w:bdr w:val="nil"/>
          <w:lang w:eastAsia="en-GB"/>
        </w:rPr>
        <w:t>ta</w:t>
      </w:r>
      <w:r w:rsidRPr="00C9466F">
        <w:rPr>
          <w:rFonts w:ascii="Times New Roman" w:eastAsia="Times New Roman" w:hAnsi="Times New Roman"/>
          <w:color w:val="000000"/>
          <w:sz w:val="24"/>
          <w:szCs w:val="24"/>
          <w:u w:color="000000"/>
          <w:bdr w:val="nil"/>
          <w:lang w:eastAsia="en-GB"/>
        </w:rPr>
        <w:t>k</w:t>
      </w:r>
      <w:r>
        <w:rPr>
          <w:rFonts w:ascii="Times New Roman" w:eastAsia="Times New Roman" w:hAnsi="Times New Roman"/>
          <w:color w:val="000000"/>
          <w:sz w:val="24"/>
          <w:szCs w:val="24"/>
          <w:u w:color="000000"/>
          <w:bdr w:val="nil"/>
          <w:lang w:eastAsia="en-GB"/>
        </w:rPr>
        <w:t xml:space="preserve">en by Portugal </w:t>
      </w:r>
      <w:r w:rsidRPr="00C9466F">
        <w:rPr>
          <w:rFonts w:ascii="Times New Roman" w:eastAsia="Times New Roman" w:hAnsi="Times New Roman"/>
          <w:color w:val="000000"/>
          <w:sz w:val="24"/>
          <w:szCs w:val="24"/>
          <w:u w:color="000000"/>
          <w:bdr w:val="nil"/>
          <w:lang w:eastAsia="en-GB"/>
        </w:rPr>
        <w:t>to improve access to capital</w:t>
      </w:r>
      <w:r>
        <w:rPr>
          <w:rFonts w:ascii="Times New Roman" w:eastAsia="Times New Roman" w:hAnsi="Times New Roman"/>
          <w:color w:val="000000"/>
          <w:sz w:val="24"/>
          <w:szCs w:val="24"/>
          <w:u w:color="000000"/>
          <w:bdr w:val="nil"/>
          <w:lang w:eastAsia="en-GB"/>
        </w:rPr>
        <w:t xml:space="preserve">, such as introduction of </w:t>
      </w:r>
      <w:r w:rsidRPr="00C9466F">
        <w:rPr>
          <w:rFonts w:ascii="Times New Roman" w:eastAsia="Times New Roman" w:hAnsi="Times New Roman"/>
          <w:color w:val="000000"/>
          <w:sz w:val="24"/>
          <w:szCs w:val="24"/>
          <w:u w:color="000000"/>
          <w:bdr w:val="nil"/>
          <w:lang w:eastAsia="en-GB"/>
        </w:rPr>
        <w:t>new financial instruments</w:t>
      </w:r>
      <w:r>
        <w:rPr>
          <w:rFonts w:ascii="Times New Roman" w:eastAsia="Times New Roman" w:hAnsi="Times New Roman"/>
          <w:color w:val="000000"/>
          <w:sz w:val="24"/>
          <w:szCs w:val="24"/>
          <w:u w:color="000000"/>
          <w:bdr w:val="nil"/>
          <w:lang w:eastAsia="en-GB"/>
        </w:rPr>
        <w:t>,</w:t>
      </w:r>
      <w:r w:rsidRPr="005A3C1A">
        <w:rPr>
          <w:rFonts w:ascii="Times New Roman" w:eastAsia="Times New Roman" w:hAnsi="Times New Roman"/>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serve as a good example of support to such efforts.</w:t>
      </w:r>
      <w:r w:rsidRPr="005A3C1A">
        <w:rPr>
          <w:rFonts w:ascii="Times New Roman" w:eastAsia="Times New Roman" w:hAnsi="Times New Roman"/>
          <w:color w:val="000000"/>
          <w:sz w:val="24"/>
          <w:szCs w:val="24"/>
          <w:u w:color="000000"/>
          <w:bdr w:val="nil"/>
          <w:lang w:eastAsia="en-GB"/>
        </w:rPr>
        <w:t xml:space="preserve"> </w:t>
      </w:r>
      <w:r>
        <w:rPr>
          <w:rFonts w:ascii="Times New Roman" w:eastAsia="Times New Roman" w:hAnsi="Times New Roman"/>
          <w:color w:val="000000"/>
          <w:sz w:val="24"/>
          <w:szCs w:val="24"/>
          <w:u w:color="000000"/>
          <w:bdr w:val="nil"/>
          <w:lang w:eastAsia="en-GB"/>
        </w:rPr>
        <w:t xml:space="preserve">By the same token, Slovenia is offering new </w:t>
      </w:r>
      <w:r w:rsidRPr="005A3C1A">
        <w:rPr>
          <w:rFonts w:ascii="Times New Roman" w:eastAsia="Times New Roman" w:hAnsi="Times New Roman"/>
          <w:color w:val="000000"/>
          <w:sz w:val="24"/>
          <w:szCs w:val="24"/>
          <w:u w:color="000000"/>
          <w:bdr w:val="nil"/>
          <w:lang w:eastAsia="en-GB"/>
        </w:rPr>
        <w:t>financial measures to SMEs to improve their access to alternative financing sources</w:t>
      </w:r>
      <w:r>
        <w:rPr>
          <w:rFonts w:ascii="Times New Roman" w:eastAsia="Times New Roman" w:hAnsi="Times New Roman"/>
          <w:color w:val="000000"/>
          <w:sz w:val="24"/>
          <w:szCs w:val="24"/>
          <w:u w:color="000000"/>
          <w:bdr w:val="nil"/>
          <w:lang w:eastAsia="en-GB"/>
        </w:rPr>
        <w:t xml:space="preserve">. </w:t>
      </w:r>
      <w:r w:rsidRPr="00B551CE">
        <w:rPr>
          <w:rFonts w:ascii="Times New Roman" w:eastAsia="Times New Roman" w:hAnsi="Times New Roman"/>
          <w:color w:val="000000"/>
          <w:sz w:val="24"/>
          <w:szCs w:val="24"/>
          <w:u w:color="000000"/>
          <w:bdr w:val="nil"/>
          <w:lang w:eastAsia="en-GB"/>
        </w:rPr>
        <w:t>C</w:t>
      </w:r>
      <w:r>
        <w:rPr>
          <w:rFonts w:ascii="Times New Roman" w:eastAsia="Times New Roman" w:hAnsi="Times New Roman"/>
          <w:color w:val="000000"/>
          <w:sz w:val="24"/>
          <w:szCs w:val="24"/>
          <w:u w:color="000000"/>
          <w:bdr w:val="nil"/>
          <w:lang w:eastAsia="en-GB"/>
        </w:rPr>
        <w:t xml:space="preserve">yprus </w:t>
      </w:r>
      <w:r w:rsidRPr="00C9466F">
        <w:rPr>
          <w:rFonts w:ascii="Times New Roman" w:eastAsia="Times New Roman" w:hAnsi="Times New Roman"/>
          <w:color w:val="000000"/>
          <w:sz w:val="24"/>
          <w:szCs w:val="24"/>
          <w:u w:color="000000"/>
          <w:bdr w:val="nil"/>
          <w:lang w:eastAsia="en-GB"/>
        </w:rPr>
        <w:t>i</w:t>
      </w:r>
      <w:r>
        <w:rPr>
          <w:rFonts w:ascii="Times New Roman" w:eastAsia="Times New Roman" w:hAnsi="Times New Roman"/>
          <w:color w:val="000000"/>
          <w:sz w:val="24"/>
          <w:szCs w:val="24"/>
          <w:u w:color="000000"/>
          <w:bdr w:val="nil"/>
          <w:lang w:eastAsia="en-GB"/>
        </w:rPr>
        <w:t>s</w:t>
      </w:r>
      <w:r w:rsidRPr="00C9466F">
        <w:rPr>
          <w:rFonts w:ascii="Times New Roman" w:eastAsia="Times New Roman" w:hAnsi="Times New Roman"/>
          <w:color w:val="000000"/>
          <w:sz w:val="24"/>
          <w:szCs w:val="24"/>
          <w:u w:color="000000"/>
          <w:bdr w:val="nil"/>
          <w:lang w:eastAsia="en-GB"/>
        </w:rPr>
        <w:t xml:space="preserve"> implementing the action plan for growth</w:t>
      </w:r>
      <w:r>
        <w:rPr>
          <w:rFonts w:ascii="Times New Roman" w:eastAsia="Times New Roman" w:hAnsi="Times New Roman"/>
          <w:color w:val="000000"/>
          <w:sz w:val="24"/>
          <w:szCs w:val="24"/>
          <w:u w:color="000000"/>
          <w:bdr w:val="nil"/>
          <w:lang w:eastAsia="en-GB"/>
        </w:rPr>
        <w:t xml:space="preserve"> including</w:t>
      </w:r>
      <w:r w:rsidRPr="00B551CE">
        <w:rPr>
          <w:rFonts w:ascii="Times New Roman" w:eastAsia="Times New Roman" w:hAnsi="Times New Roman"/>
          <w:color w:val="000000"/>
          <w:sz w:val="24"/>
          <w:szCs w:val="24"/>
          <w:u w:color="000000"/>
          <w:bdr w:val="nil"/>
          <w:lang w:eastAsia="en-GB"/>
        </w:rPr>
        <w:t xml:space="preserve"> the framework to attract and facilitate large</w:t>
      </w:r>
      <w:r>
        <w:rPr>
          <w:rFonts w:ascii="Times New Roman" w:eastAsia="Times New Roman" w:hAnsi="Times New Roman"/>
          <w:color w:val="000000"/>
          <w:sz w:val="24"/>
          <w:szCs w:val="24"/>
          <w:u w:color="000000"/>
          <w:bdr w:val="nil"/>
          <w:lang w:eastAsia="en-GB"/>
        </w:rPr>
        <w:t>-</w:t>
      </w:r>
      <w:r w:rsidRPr="00B551CE">
        <w:rPr>
          <w:rFonts w:ascii="Times New Roman" w:eastAsia="Times New Roman" w:hAnsi="Times New Roman"/>
          <w:color w:val="000000"/>
          <w:sz w:val="24"/>
          <w:szCs w:val="24"/>
          <w:u w:color="000000"/>
          <w:bdr w:val="nil"/>
          <w:lang w:eastAsia="en-GB"/>
        </w:rPr>
        <w:t>scale investments</w:t>
      </w:r>
      <w:r>
        <w:rPr>
          <w:rFonts w:ascii="Times New Roman" w:eastAsia="Times New Roman" w:hAnsi="Times New Roman"/>
          <w:color w:val="000000"/>
          <w:sz w:val="24"/>
          <w:szCs w:val="24"/>
          <w:u w:color="000000"/>
          <w:bdr w:val="nil"/>
          <w:lang w:eastAsia="en-GB"/>
        </w:rPr>
        <w:t>.</w:t>
      </w:r>
    </w:p>
    <w:p w:rsidR="00CE59E1" w:rsidRDefault="00CE59E1">
      <w:pPr>
        <w:pBdr>
          <w:top w:val="nil"/>
          <w:left w:val="nil"/>
          <w:bottom w:val="nil"/>
          <w:right w:val="nil"/>
          <w:between w:val="nil"/>
          <w:bar w:val="nil"/>
        </w:pBdr>
        <w:spacing w:before="120" w:after="120" w:line="240" w:lineRule="auto"/>
        <w:jc w:val="both"/>
        <w:rPr>
          <w:rFonts w:ascii="Times New Roman" w:eastAsia="Times New Roman" w:hAnsi="Times New Roman"/>
          <w:color w:val="000000"/>
          <w:sz w:val="24"/>
          <w:szCs w:val="24"/>
          <w:u w:color="000000"/>
          <w:bdr w:val="nil"/>
          <w:lang w:eastAsia="en-GB"/>
        </w:rPr>
      </w:pPr>
      <w:r w:rsidRPr="00110EBD">
        <w:rPr>
          <w:rFonts w:ascii="Times New Roman" w:eastAsia="Times New Roman" w:hAnsi="Times New Roman"/>
          <w:b/>
          <w:color w:val="000000"/>
          <w:sz w:val="24"/>
          <w:szCs w:val="24"/>
          <w:u w:color="000000"/>
          <w:bdr w:val="nil"/>
          <w:lang w:eastAsia="en-GB"/>
        </w:rPr>
        <w:t xml:space="preserve">Positive examples to support productivity growth need to be followed. </w:t>
      </w:r>
      <w:r>
        <w:rPr>
          <w:rFonts w:ascii="Times New Roman" w:eastAsia="Times New Roman" w:hAnsi="Times New Roman"/>
          <w:color w:val="000000"/>
          <w:sz w:val="24"/>
          <w:szCs w:val="24"/>
          <w:u w:color="000000"/>
          <w:bdr w:val="nil"/>
          <w:lang w:eastAsia="en-GB"/>
        </w:rPr>
        <w:t>E</w:t>
      </w:r>
      <w:r w:rsidRPr="00680A51">
        <w:rPr>
          <w:rFonts w:ascii="Times New Roman" w:hAnsi="Times New Roman"/>
          <w:sz w:val="24"/>
          <w:szCs w:val="24"/>
        </w:rPr>
        <w:t>ncouraging measures taken across Member States respond to challenges</w:t>
      </w:r>
      <w:r>
        <w:rPr>
          <w:rFonts w:ascii="Times New Roman" w:hAnsi="Times New Roman"/>
          <w:sz w:val="24"/>
          <w:szCs w:val="24"/>
        </w:rPr>
        <w:t xml:space="preserve"> which are, at least to some extent, country-specific.</w:t>
      </w:r>
      <w:r w:rsidRPr="00680A51">
        <w:rPr>
          <w:rFonts w:ascii="Times New Roman" w:hAnsi="Times New Roman"/>
          <w:sz w:val="24"/>
          <w:szCs w:val="24"/>
        </w:rPr>
        <w:t xml:space="preserve"> </w:t>
      </w:r>
      <w:r>
        <w:rPr>
          <w:rFonts w:ascii="Times New Roman" w:eastAsia="Times New Roman" w:hAnsi="Times New Roman"/>
          <w:color w:val="000000"/>
          <w:sz w:val="24"/>
          <w:szCs w:val="24"/>
          <w:u w:color="000000"/>
          <w:bdr w:val="nil"/>
          <w:lang w:eastAsia="en-GB"/>
        </w:rPr>
        <w:t>Luxembourg s</w:t>
      </w:r>
      <w:r w:rsidRPr="00A03077">
        <w:rPr>
          <w:rFonts w:ascii="Times New Roman" w:eastAsia="Times New Roman" w:hAnsi="Times New Roman"/>
          <w:color w:val="000000"/>
          <w:sz w:val="24"/>
          <w:szCs w:val="24"/>
          <w:u w:color="000000"/>
          <w:bdr w:val="nil"/>
          <w:lang w:eastAsia="en-GB"/>
        </w:rPr>
        <w:t>trengthen</w:t>
      </w:r>
      <w:r>
        <w:rPr>
          <w:rFonts w:ascii="Times New Roman" w:eastAsia="Times New Roman" w:hAnsi="Times New Roman"/>
          <w:color w:val="000000"/>
          <w:sz w:val="24"/>
          <w:szCs w:val="24"/>
          <w:u w:color="000000"/>
          <w:bdr w:val="nil"/>
          <w:lang w:eastAsia="en-GB"/>
        </w:rPr>
        <w:t>ed</w:t>
      </w:r>
      <w:r w:rsidRPr="00A03077">
        <w:rPr>
          <w:rFonts w:ascii="Times New Roman" w:eastAsia="Times New Roman" w:hAnsi="Times New Roman"/>
          <w:color w:val="000000"/>
          <w:sz w:val="24"/>
          <w:szCs w:val="24"/>
          <w:u w:color="000000"/>
          <w:bdr w:val="nil"/>
          <w:lang w:eastAsia="en-GB"/>
        </w:rPr>
        <w:t xml:space="preserve"> the diversification of </w:t>
      </w:r>
      <w:r>
        <w:rPr>
          <w:rFonts w:ascii="Times New Roman" w:eastAsia="Times New Roman" w:hAnsi="Times New Roman"/>
          <w:color w:val="000000"/>
          <w:sz w:val="24"/>
          <w:szCs w:val="24"/>
          <w:u w:color="000000"/>
          <w:bdr w:val="nil"/>
          <w:lang w:eastAsia="en-GB"/>
        </w:rPr>
        <w:t xml:space="preserve">its </w:t>
      </w:r>
      <w:r w:rsidRPr="00A03077">
        <w:rPr>
          <w:rFonts w:ascii="Times New Roman" w:eastAsia="Times New Roman" w:hAnsi="Times New Roman"/>
          <w:color w:val="000000"/>
          <w:sz w:val="24"/>
          <w:szCs w:val="24"/>
          <w:u w:color="000000"/>
          <w:bdr w:val="nil"/>
          <w:lang w:eastAsia="en-GB"/>
        </w:rPr>
        <w:t>economy, including by removing barriers to investment and innovation</w:t>
      </w:r>
      <w:r>
        <w:rPr>
          <w:rFonts w:ascii="Times New Roman" w:eastAsia="Times New Roman" w:hAnsi="Times New Roman"/>
          <w:color w:val="000000"/>
          <w:sz w:val="24"/>
          <w:szCs w:val="24"/>
          <w:u w:color="000000"/>
          <w:bdr w:val="nil"/>
          <w:lang w:eastAsia="en-GB"/>
        </w:rPr>
        <w:t>.</w:t>
      </w:r>
      <w:r w:rsidRPr="00680A51" w:rsidDel="002D7FA0">
        <w:rPr>
          <w:rFonts w:ascii="Times New Roman" w:hAnsi="Times New Roman"/>
          <w:sz w:val="24"/>
          <w:szCs w:val="24"/>
        </w:rPr>
        <w:t xml:space="preserve"> </w:t>
      </w:r>
      <w:r>
        <w:rPr>
          <w:rFonts w:ascii="Times New Roman" w:hAnsi="Times New Roman"/>
          <w:sz w:val="24"/>
          <w:szCs w:val="24"/>
        </w:rPr>
        <w:t>In Belgium, numerous activities are f</w:t>
      </w:r>
      <w:r w:rsidRPr="00365480">
        <w:rPr>
          <w:rFonts w:ascii="Times New Roman" w:hAnsi="Times New Roman"/>
          <w:sz w:val="24"/>
          <w:szCs w:val="24"/>
        </w:rPr>
        <w:t>oster</w:t>
      </w:r>
      <w:r>
        <w:rPr>
          <w:rFonts w:ascii="Times New Roman" w:hAnsi="Times New Roman"/>
          <w:sz w:val="24"/>
          <w:szCs w:val="24"/>
        </w:rPr>
        <w:t>ing</w:t>
      </w:r>
      <w:r w:rsidRPr="00365480">
        <w:rPr>
          <w:rFonts w:ascii="Times New Roman" w:hAnsi="Times New Roman"/>
          <w:sz w:val="24"/>
          <w:szCs w:val="24"/>
        </w:rPr>
        <w:t xml:space="preserve"> investment in knowledge-based capital, in particular with measures to increase digital technologies adoption, and innovation diffusion</w:t>
      </w:r>
      <w:r>
        <w:rPr>
          <w:rFonts w:ascii="Times New Roman" w:hAnsi="Times New Roman"/>
          <w:sz w:val="24"/>
          <w:szCs w:val="24"/>
        </w:rPr>
        <w:t xml:space="preserve">. </w:t>
      </w:r>
      <w:r w:rsidRPr="00680A51">
        <w:rPr>
          <w:rFonts w:ascii="Times New Roman" w:hAnsi="Times New Roman"/>
          <w:sz w:val="24"/>
          <w:szCs w:val="24"/>
        </w:rPr>
        <w:t xml:space="preserve">Spain </w:t>
      </w:r>
      <w:r>
        <w:rPr>
          <w:rFonts w:ascii="Times New Roman" w:hAnsi="Times New Roman"/>
          <w:sz w:val="24"/>
          <w:szCs w:val="24"/>
        </w:rPr>
        <w:t>took</w:t>
      </w:r>
      <w:r w:rsidRPr="00680A51">
        <w:rPr>
          <w:rFonts w:ascii="Times New Roman" w:hAnsi="Times New Roman"/>
          <w:sz w:val="24"/>
          <w:szCs w:val="24"/>
        </w:rPr>
        <w:t xml:space="preserve"> </w:t>
      </w:r>
      <w:r>
        <w:rPr>
          <w:rFonts w:ascii="Times New Roman" w:hAnsi="Times New Roman"/>
          <w:sz w:val="24"/>
          <w:szCs w:val="24"/>
        </w:rPr>
        <w:t>first steps</w:t>
      </w:r>
      <w:r w:rsidRPr="00680A51">
        <w:rPr>
          <w:rFonts w:ascii="Times New Roman" w:hAnsi="Times New Roman"/>
          <w:sz w:val="24"/>
          <w:szCs w:val="24"/>
        </w:rPr>
        <w:t xml:space="preserve"> to improve the governance of its research and innovation system.</w:t>
      </w:r>
      <w:r>
        <w:rPr>
          <w:rFonts w:ascii="Times New Roman" w:hAnsi="Times New Roman"/>
          <w:sz w:val="24"/>
          <w:szCs w:val="24"/>
        </w:rPr>
        <w:t xml:space="preserve"> </w:t>
      </w:r>
      <w:r w:rsidRPr="00680A51">
        <w:rPr>
          <w:rFonts w:ascii="Times New Roman" w:hAnsi="Times New Roman"/>
          <w:sz w:val="24"/>
          <w:szCs w:val="24"/>
        </w:rPr>
        <w:t>Denmark introduced a programme to increase productivity and improve the business environment</w:t>
      </w:r>
      <w:r>
        <w:rPr>
          <w:rFonts w:ascii="Times New Roman" w:hAnsi="Times New Roman"/>
          <w:sz w:val="24"/>
          <w:szCs w:val="24"/>
        </w:rPr>
        <w:t xml:space="preserve"> and</w:t>
      </w:r>
      <w:r w:rsidRPr="00680A51">
        <w:rPr>
          <w:rFonts w:ascii="Times New Roman" w:hAnsi="Times New Roman"/>
          <w:sz w:val="24"/>
          <w:szCs w:val="24"/>
        </w:rPr>
        <w:t xml:space="preserve"> </w:t>
      </w:r>
      <w:r>
        <w:rPr>
          <w:rFonts w:ascii="Times New Roman" w:hAnsi="Times New Roman"/>
          <w:sz w:val="24"/>
          <w:szCs w:val="24"/>
        </w:rPr>
        <w:t xml:space="preserve">Poland and </w:t>
      </w:r>
      <w:r w:rsidRPr="00680A51">
        <w:rPr>
          <w:rFonts w:ascii="Times New Roman" w:hAnsi="Times New Roman"/>
          <w:sz w:val="24"/>
          <w:szCs w:val="24"/>
        </w:rPr>
        <w:t>Latvia introduced tax cuts to encourage investment.</w:t>
      </w:r>
      <w:r>
        <w:rPr>
          <w:rFonts w:ascii="Times New Roman" w:hAnsi="Times New Roman"/>
          <w:sz w:val="24"/>
          <w:szCs w:val="24"/>
        </w:rPr>
        <w:t xml:space="preserve"> </w:t>
      </w:r>
      <w:r w:rsidRPr="009C6C55">
        <w:rPr>
          <w:rFonts w:ascii="Times New Roman" w:hAnsi="Times New Roman"/>
          <w:sz w:val="24"/>
          <w:szCs w:val="24"/>
        </w:rPr>
        <w:t>In Germany, a network of competence centres supports the digitisation of small and medium-sized businesses and 'digital hubs' facilitate the cooperation between start-ups, SMEs, industry, science and administration. To support the start-up ecosystem the Estonian government has introduced a new visa programme for non-EU entrepreneurs who wish to establish their start-up company in the country.</w:t>
      </w:r>
      <w:r w:rsidR="0097162C">
        <w:rPr>
          <w:rFonts w:ascii="Times New Roman" w:hAnsi="Times New Roman"/>
          <w:sz w:val="24"/>
          <w:szCs w:val="24"/>
        </w:rPr>
        <w:t xml:space="preserve"> </w:t>
      </w:r>
      <w:r w:rsidR="0097162C" w:rsidRPr="008D2255">
        <w:rPr>
          <w:rFonts w:ascii="Times New Roman" w:hAnsi="Times New Roman"/>
          <w:sz w:val="24"/>
          <w:szCs w:val="24"/>
        </w:rPr>
        <w:t xml:space="preserve">In the Netherlands, </w:t>
      </w:r>
      <w:r w:rsidR="00D52AEE">
        <w:rPr>
          <w:rFonts w:ascii="Times New Roman" w:hAnsi="Times New Roman"/>
          <w:sz w:val="24"/>
          <w:szCs w:val="24"/>
        </w:rPr>
        <w:t xml:space="preserve">a number of measures </w:t>
      </w:r>
      <w:r w:rsidR="00D52AEE" w:rsidRPr="00D52AEE">
        <w:rPr>
          <w:rFonts w:ascii="Times New Roman" w:hAnsi="Times New Roman"/>
          <w:sz w:val="24"/>
          <w:szCs w:val="24"/>
        </w:rPr>
        <w:t>are fostering the uptake of the circular economy</w:t>
      </w:r>
      <w:r w:rsidR="00D52AEE">
        <w:rPr>
          <w:rFonts w:ascii="Times New Roman" w:hAnsi="Times New Roman"/>
          <w:sz w:val="24"/>
          <w:szCs w:val="24"/>
        </w:rPr>
        <w:t>,</w:t>
      </w:r>
      <w:r w:rsidR="00D52AEE" w:rsidRPr="00D52AEE">
        <w:rPr>
          <w:rFonts w:ascii="Times New Roman" w:hAnsi="Times New Roman"/>
          <w:sz w:val="24"/>
          <w:szCs w:val="24"/>
        </w:rPr>
        <w:t xml:space="preserve"> </w:t>
      </w:r>
      <w:r w:rsidR="0097162C" w:rsidRPr="008D2255">
        <w:rPr>
          <w:rFonts w:ascii="Times New Roman" w:hAnsi="Times New Roman"/>
          <w:sz w:val="24"/>
          <w:szCs w:val="24"/>
        </w:rPr>
        <w:t>including through public procurement.</w:t>
      </w:r>
    </w:p>
    <w:p w:rsidR="00CE59E1" w:rsidRPr="00D41E44" w:rsidRDefault="00CE59E1" w:rsidP="00D41E44">
      <w:pPr>
        <w:pStyle w:val="Heading1"/>
        <w:tabs>
          <w:tab w:val="num" w:pos="850"/>
        </w:tabs>
        <w:ind w:left="850" w:hanging="850"/>
        <w:rPr>
          <w:rFonts w:eastAsia="Calibri"/>
        </w:rPr>
      </w:pPr>
      <w:r w:rsidRPr="00D41E44">
        <w:rPr>
          <w:rFonts w:eastAsia="Calibri"/>
        </w:rPr>
        <w:t>5.</w:t>
      </w:r>
      <w:r w:rsidRPr="00D41E44">
        <w:rPr>
          <w:rFonts w:eastAsia="Calibri"/>
        </w:rPr>
        <w:tab/>
        <w:t>Next steps</w:t>
      </w:r>
    </w:p>
    <w:p w:rsidR="00CE59E1" w:rsidRDefault="00CE59E1" w:rsidP="00CE59E1">
      <w:pPr>
        <w:spacing w:before="120" w:after="120" w:line="240" w:lineRule="auto"/>
        <w:jc w:val="both"/>
        <w:rPr>
          <w:rFonts w:ascii="Times New Roman" w:hAnsi="Times New Roman"/>
          <w:sz w:val="24"/>
          <w:szCs w:val="24"/>
        </w:rPr>
      </w:pPr>
      <w:r>
        <w:rPr>
          <w:rFonts w:ascii="Times New Roman" w:hAnsi="Times New Roman"/>
          <w:b/>
          <w:sz w:val="24"/>
          <w:szCs w:val="24"/>
        </w:rPr>
        <w:t xml:space="preserve">The European Semester offers the opportunity of a constant dialogue between the Commission, Member States, social partners and stakeholders at all levels throughout the year. </w:t>
      </w:r>
      <w:r w:rsidRPr="00B51F62">
        <w:rPr>
          <w:rFonts w:ascii="Times New Roman" w:hAnsi="Times New Roman"/>
          <w:sz w:val="24"/>
          <w:szCs w:val="24"/>
        </w:rPr>
        <w:t xml:space="preserve">The country reports </w:t>
      </w:r>
      <w:r>
        <w:rPr>
          <w:rFonts w:ascii="Times New Roman" w:hAnsi="Times New Roman"/>
          <w:sz w:val="24"/>
          <w:szCs w:val="24"/>
        </w:rPr>
        <w:t>published today draw on in-depth exchanges with governments, national authorities and stakeholders at both technical and political level, including high-level bilateral meetings held in December 2017. Their findings will be presented in the Commission's representation offices in the capitals of the Member States, and followed up in bilateral meetings as well. Commission Vice-Presidents and Commissioners will visit Member States to seek the views of social partners, parliaments, governments and other stakeholders on the analysis in the country reports. The Commission will discuss the summary findings of the country reports with the European Parliament.</w:t>
      </w:r>
    </w:p>
    <w:p w:rsidR="00CE59E1" w:rsidRDefault="00CE59E1" w:rsidP="00CE59E1">
      <w:pPr>
        <w:spacing w:before="120" w:after="120" w:line="240" w:lineRule="auto"/>
        <w:jc w:val="both"/>
        <w:rPr>
          <w:rFonts w:ascii="Times New Roman" w:hAnsi="Times New Roman"/>
          <w:b/>
          <w:sz w:val="24"/>
          <w:szCs w:val="24"/>
        </w:rPr>
      </w:pPr>
      <w:r w:rsidRPr="000F0B1B">
        <w:rPr>
          <w:rFonts w:ascii="Times New Roman" w:hAnsi="Times New Roman"/>
          <w:b/>
          <w:sz w:val="24"/>
          <w:szCs w:val="24"/>
        </w:rPr>
        <w:t>The next step is for</w:t>
      </w:r>
      <w:r>
        <w:rPr>
          <w:rFonts w:ascii="Times New Roman" w:hAnsi="Times New Roman"/>
          <w:b/>
          <w:sz w:val="24"/>
          <w:szCs w:val="24"/>
        </w:rPr>
        <w:t xml:space="preserve"> </w:t>
      </w:r>
      <w:r w:rsidRPr="00B51F62">
        <w:rPr>
          <w:rFonts w:ascii="Times New Roman" w:hAnsi="Times New Roman"/>
          <w:b/>
          <w:sz w:val="24"/>
          <w:szCs w:val="24"/>
        </w:rPr>
        <w:t>Member States</w:t>
      </w:r>
      <w:r>
        <w:rPr>
          <w:rFonts w:ascii="Times New Roman" w:hAnsi="Times New Roman"/>
          <w:b/>
          <w:sz w:val="24"/>
          <w:szCs w:val="24"/>
        </w:rPr>
        <w:t>, in the light of the challenges identified,</w:t>
      </w:r>
      <w:r w:rsidRPr="00B51F62">
        <w:rPr>
          <w:rFonts w:ascii="Times New Roman" w:hAnsi="Times New Roman"/>
          <w:b/>
          <w:sz w:val="24"/>
          <w:szCs w:val="24"/>
        </w:rPr>
        <w:t xml:space="preserve"> to present their economic and social </w:t>
      </w:r>
      <w:r>
        <w:rPr>
          <w:rFonts w:ascii="Times New Roman" w:hAnsi="Times New Roman"/>
          <w:b/>
          <w:sz w:val="24"/>
          <w:szCs w:val="24"/>
        </w:rPr>
        <w:t>priorities</w:t>
      </w:r>
      <w:r w:rsidRPr="00B51F62">
        <w:rPr>
          <w:rFonts w:ascii="Times New Roman" w:hAnsi="Times New Roman"/>
          <w:b/>
          <w:sz w:val="24"/>
          <w:szCs w:val="24"/>
        </w:rPr>
        <w:t xml:space="preserve"> in the</w:t>
      </w:r>
      <w:r>
        <w:rPr>
          <w:rFonts w:ascii="Times New Roman" w:hAnsi="Times New Roman"/>
          <w:b/>
          <w:sz w:val="24"/>
          <w:szCs w:val="24"/>
        </w:rPr>
        <w:t>ir</w:t>
      </w:r>
      <w:r w:rsidRPr="00B51F62">
        <w:rPr>
          <w:rFonts w:ascii="Times New Roman" w:hAnsi="Times New Roman"/>
          <w:b/>
          <w:sz w:val="24"/>
          <w:szCs w:val="24"/>
        </w:rPr>
        <w:t xml:space="preserve"> national reform programmes</w:t>
      </w:r>
      <w:r>
        <w:rPr>
          <w:rFonts w:ascii="Times New Roman" w:hAnsi="Times New Roman"/>
          <w:b/>
          <w:sz w:val="24"/>
          <w:szCs w:val="24"/>
        </w:rPr>
        <w:t xml:space="preserve"> by mid-April. </w:t>
      </w:r>
      <w:r w:rsidRPr="00D25C5F">
        <w:rPr>
          <w:rFonts w:ascii="Times New Roman" w:hAnsi="Times New Roman"/>
          <w:sz w:val="24"/>
          <w:szCs w:val="24"/>
        </w:rPr>
        <w:t>To</w:t>
      </w:r>
      <w:r>
        <w:rPr>
          <w:rFonts w:ascii="Times New Roman" w:hAnsi="Times New Roman"/>
          <w:sz w:val="24"/>
          <w:szCs w:val="24"/>
        </w:rPr>
        <w:t xml:space="preserve"> provide an adequate and sustainable response to the challenges, the Commission recommends that these programmes are drawn up with the support of all key stakeholders, such as social partners, regional and local authorities, and civil society organisations as appropriate. </w:t>
      </w:r>
    </w:p>
    <w:p w:rsidR="00CE59E1" w:rsidRPr="005B22B7" w:rsidRDefault="00D41E44" w:rsidP="00CE59E1">
      <w:pPr>
        <w:keepNext/>
        <w:pageBreakBefore/>
        <w:tabs>
          <w:tab w:val="left" w:pos="0"/>
        </w:tabs>
        <w:spacing w:after="0" w:line="240" w:lineRule="auto"/>
        <w:jc w:val="both"/>
        <w:outlineLvl w:val="0"/>
        <w:rPr>
          <w:rFonts w:ascii="Times New Roman" w:eastAsia="Times New Roman" w:hAnsi="Times New Roman"/>
          <w:b/>
          <w:smallCaps/>
          <w:sz w:val="20"/>
          <w:szCs w:val="20"/>
          <w:lang w:eastAsia="en-GB"/>
        </w:rPr>
      </w:pPr>
      <w:r w:rsidRPr="009C4294">
        <w:rPr>
          <w:rFonts w:ascii="Times New Roman" w:eastAsia="Times New Roman" w:hAnsi="Times New Roman" w:cs="Times New Roman"/>
          <w:b/>
          <w:smallCaps/>
          <w:sz w:val="20"/>
          <w:szCs w:val="20"/>
          <w:lang w:eastAsia="en-GB"/>
        </w:rPr>
        <w:t>Appendix 1</w:t>
      </w:r>
      <w:r w:rsidR="00CE59E1" w:rsidRPr="00CF6ED9">
        <w:rPr>
          <w:rFonts w:ascii="Times New Roman" w:eastAsia="Times New Roman" w:hAnsi="Times New Roman"/>
          <w:b/>
          <w:smallCaps/>
          <w:sz w:val="20"/>
          <w:szCs w:val="20"/>
          <w:lang w:eastAsia="en-GB"/>
        </w:rPr>
        <w:t xml:space="preserve"> </w:t>
      </w:r>
      <w:r w:rsidR="00A50063" w:rsidRPr="005B22B7">
        <w:rPr>
          <w:rFonts w:ascii="Times New Roman" w:eastAsia="Times New Roman" w:hAnsi="Times New Roman"/>
          <w:b/>
          <w:smallCaps/>
          <w:sz w:val="20"/>
          <w:szCs w:val="20"/>
          <w:lang w:eastAsia="en-GB"/>
        </w:rPr>
        <w:t xml:space="preserve">– </w:t>
      </w:r>
      <w:r w:rsidR="00CE59E1" w:rsidRPr="00CF6ED9">
        <w:rPr>
          <w:rFonts w:ascii="Times New Roman" w:eastAsia="Times New Roman" w:hAnsi="Times New Roman"/>
          <w:b/>
          <w:smallCaps/>
          <w:sz w:val="20"/>
          <w:szCs w:val="20"/>
          <w:lang w:eastAsia="en-GB"/>
        </w:rPr>
        <w:t xml:space="preserve">Integrated surveillance </w:t>
      </w:r>
      <w:r w:rsidR="00CE59E1" w:rsidRPr="005B22B7">
        <w:rPr>
          <w:rFonts w:ascii="Times New Roman" w:eastAsia="Times New Roman" w:hAnsi="Times New Roman"/>
          <w:b/>
          <w:smallCaps/>
          <w:sz w:val="20"/>
          <w:szCs w:val="20"/>
          <w:lang w:eastAsia="en-GB"/>
        </w:rPr>
        <w:t xml:space="preserve">of macroeconomic and Fiscal imbalances </w:t>
      </w:r>
      <w:r w:rsidR="00CE59E1" w:rsidRPr="005B22B7">
        <w:rPr>
          <w:rFonts w:ascii="Times New Roman" w:eastAsia="Times New Roman" w:hAnsi="Times New Roman"/>
          <w:b/>
          <w:smallCaps/>
          <w:sz w:val="20"/>
          <w:szCs w:val="20"/>
          <w:lang w:eastAsia="en-GB"/>
        </w:rPr>
        <w:br/>
      </w:r>
    </w:p>
    <w:tbl>
      <w:tblPr>
        <w:tblW w:w="897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06"/>
        <w:gridCol w:w="2849"/>
        <w:gridCol w:w="3119"/>
        <w:gridCol w:w="2505"/>
      </w:tblGrid>
      <w:tr w:rsidR="00A50063" w:rsidRPr="00D80A4C" w:rsidTr="00EA779B">
        <w:trPr>
          <w:trHeight w:val="263"/>
          <w:jc w:val="center"/>
        </w:trPr>
        <w:tc>
          <w:tcPr>
            <w:tcW w:w="506" w:type="dxa"/>
            <w:tcBorders>
              <w:top w:val="single" w:sz="12" w:space="0" w:color="auto"/>
              <w:left w:val="nil"/>
              <w:right w:val="single" w:sz="4" w:space="0" w:color="auto"/>
            </w:tcBorders>
            <w:vAlign w:val="center"/>
          </w:tcPr>
          <w:p w:rsidR="00A50063" w:rsidRPr="00D80A4C" w:rsidRDefault="00A50063" w:rsidP="00EA779B">
            <w:pPr>
              <w:spacing w:before="60" w:after="60" w:line="240" w:lineRule="auto"/>
              <w:jc w:val="center"/>
              <w:rPr>
                <w:rFonts w:ascii="Times New Roman" w:eastAsia="Times New Roman" w:hAnsi="Times New Roman" w:cs="Times New Roman"/>
                <w:b/>
                <w:sz w:val="18"/>
                <w:szCs w:val="18"/>
              </w:rPr>
            </w:pPr>
          </w:p>
        </w:tc>
        <w:tc>
          <w:tcPr>
            <w:tcW w:w="2849" w:type="dxa"/>
            <w:tcBorders>
              <w:top w:val="single" w:sz="12" w:space="0" w:color="auto"/>
              <w:left w:val="single" w:sz="4" w:space="0" w:color="auto"/>
              <w:right w:val="single" w:sz="4" w:space="0" w:color="auto"/>
            </w:tcBorders>
            <w:vAlign w:val="center"/>
          </w:tcPr>
          <w:p w:rsidR="00A50063" w:rsidRPr="00D80A4C" w:rsidRDefault="00A50063" w:rsidP="00EA779B">
            <w:pPr>
              <w:spacing w:before="60" w:after="6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Macroeconomic Imbalances Procedure (MIP)</w:t>
            </w:r>
            <w:r w:rsidRPr="00D80A4C">
              <w:rPr>
                <w:rFonts w:ascii="Times New Roman" w:eastAsia="Times New Roman" w:hAnsi="Times New Roman" w:cs="Times New Roman"/>
                <w:b/>
                <w:sz w:val="18"/>
                <w:szCs w:val="18"/>
                <w:vertAlign w:val="superscript"/>
              </w:rPr>
              <w:footnoteReference w:id="20"/>
            </w:r>
            <w:r w:rsidRPr="00D80A4C">
              <w:rPr>
                <w:rFonts w:ascii="Times New Roman" w:eastAsia="Times New Roman" w:hAnsi="Times New Roman" w:cs="Times New Roman"/>
                <w:b/>
                <w:sz w:val="18"/>
                <w:szCs w:val="18"/>
              </w:rPr>
              <w:t xml:space="preserve"> </w:t>
            </w:r>
          </w:p>
        </w:tc>
        <w:tc>
          <w:tcPr>
            <w:tcW w:w="3119" w:type="dxa"/>
            <w:tcBorders>
              <w:top w:val="single" w:sz="12" w:space="0" w:color="auto"/>
              <w:left w:val="single" w:sz="4" w:space="0" w:color="auto"/>
              <w:right w:val="nil"/>
            </w:tcBorders>
            <w:vAlign w:val="center"/>
          </w:tcPr>
          <w:p w:rsidR="00A50063" w:rsidRPr="00D80A4C" w:rsidRDefault="00A50063" w:rsidP="00EA779B">
            <w:pPr>
              <w:spacing w:before="60" w:after="6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Stability and Growth Pact</w:t>
            </w:r>
            <w:r w:rsidRPr="00D80A4C">
              <w:rPr>
                <w:rFonts w:ascii="Times New Roman" w:eastAsia="Times New Roman" w:hAnsi="Times New Roman" w:cs="Times New Roman"/>
                <w:b/>
                <w:sz w:val="18"/>
                <w:szCs w:val="18"/>
              </w:rPr>
              <w:br/>
              <w:t>(MTO: medium term objective / EDP: excessive deficit procedure)</w:t>
            </w:r>
          </w:p>
        </w:tc>
        <w:tc>
          <w:tcPr>
            <w:tcW w:w="2505" w:type="dxa"/>
            <w:tcBorders>
              <w:top w:val="single" w:sz="12" w:space="0" w:color="auto"/>
              <w:left w:val="single" w:sz="4" w:space="0" w:color="auto"/>
              <w:right w:val="nil"/>
            </w:tcBorders>
            <w:vAlign w:val="center"/>
          </w:tcPr>
          <w:p w:rsidR="00A50063" w:rsidRPr="00D80A4C" w:rsidRDefault="00A50063" w:rsidP="00EA779B">
            <w:pPr>
              <w:spacing w:before="60" w:after="6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Comments</w:t>
            </w:r>
          </w:p>
        </w:tc>
      </w:tr>
      <w:tr w:rsidR="00A50063" w:rsidRPr="00D80A4C" w:rsidTr="00EA779B">
        <w:trPr>
          <w:trHeight w:val="454"/>
          <w:jc w:val="center"/>
        </w:trPr>
        <w:tc>
          <w:tcPr>
            <w:tcW w:w="506" w:type="dxa"/>
            <w:tcBorders>
              <w:top w:val="single" w:sz="12"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AT</w:t>
            </w:r>
          </w:p>
        </w:tc>
        <w:tc>
          <w:tcPr>
            <w:tcW w:w="2849" w:type="dxa"/>
            <w:tcBorders>
              <w:top w:val="single" w:sz="12" w:space="0" w:color="auto"/>
              <w:left w:val="single" w:sz="4" w:space="0" w:color="auto"/>
              <w:bottom w:val="single" w:sz="4" w:space="0" w:color="auto"/>
              <w:right w:val="single" w:sz="4" w:space="0" w:color="auto"/>
            </w:tcBorders>
            <w:shd w:val="clear" w:color="auto" w:fill="FFFFFF"/>
            <w:vAlign w:val="center"/>
          </w:tcPr>
          <w:p w:rsidR="00A50063" w:rsidRPr="00463BA0"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12"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Not yet at MTO; subject to debt rule</w:t>
            </w:r>
            <w:r w:rsidRPr="008D2255">
              <w:rPr>
                <w:rFonts w:ascii="Times New Roman" w:eastAsia="Times New Roman" w:hAnsi="Times New Roman" w:cs="Times New Roman"/>
                <w:sz w:val="18"/>
                <w:szCs w:val="18"/>
                <w:vertAlign w:val="superscript"/>
              </w:rPr>
              <w:footnoteReference w:id="21"/>
            </w:r>
          </w:p>
        </w:tc>
        <w:tc>
          <w:tcPr>
            <w:tcW w:w="2505" w:type="dxa"/>
            <w:tcBorders>
              <w:top w:val="single" w:sz="12"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20"/>
                <w:szCs w:val="18"/>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BE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u w:val="single"/>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rPr>
              <w:t>Not yet at MTO; subject to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b/>
                <w:sz w:val="20"/>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BG</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977E60">
              <w:rPr>
                <w:rFonts w:ascii="Times New Roman" w:eastAsia="Times New Roman" w:hAnsi="Times New Roman" w:cs="Times New Roman"/>
                <w:sz w:val="18"/>
                <w:szCs w:val="18"/>
              </w:rPr>
              <w:t>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Overachieving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20"/>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CY</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Excessive 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At MTO; subject to transitional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20"/>
                <w:szCs w:val="14"/>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CZ</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Overachieving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20"/>
                <w:szCs w:val="14"/>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DE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Overachieving MTO; subject to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20"/>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DK</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AT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ind w:left="-51"/>
              <w:jc w:val="center"/>
              <w:rPr>
                <w:rFonts w:ascii="Times New Roman" w:eastAsia="Times New Roman" w:hAnsi="Times New Roman" w:cs="Times New Roman"/>
                <w:sz w:val="20"/>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EE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Not yet at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ind w:left="-51"/>
              <w:jc w:val="center"/>
              <w:rPr>
                <w:rFonts w:ascii="Times New Roman" w:eastAsia="Times New Roman" w:hAnsi="Times New Roman" w:cs="Times New Roman"/>
                <w:sz w:val="20"/>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EL</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ind w:left="-51"/>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Under a dedicated financial assistance programme</w:t>
            </w: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IE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At MTO; subject to transitional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ind w:left="-51"/>
              <w:jc w:val="center"/>
              <w:rPr>
                <w:rFonts w:ascii="Times New Roman" w:eastAsia="Times New Roman" w:hAnsi="Times New Roman" w:cs="Times New Roman"/>
                <w:sz w:val="20"/>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ES</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Corrective arm</w:t>
            </w:r>
          </w:p>
          <w:p w:rsidR="00A50063" w:rsidRPr="008D2255" w:rsidRDefault="00A50063" w:rsidP="00EA779B">
            <w:pPr>
              <w:spacing w:before="80" w:after="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 xml:space="preserve">Excessive deficit, deadline for correction: </w:t>
            </w:r>
          </w:p>
          <w:p w:rsidR="00A50063" w:rsidRPr="008D2255" w:rsidRDefault="00A50063" w:rsidP="00EA779B">
            <w:pPr>
              <w:spacing w:before="80" w:after="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2018</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20"/>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FR</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A76F43">
            <w:pPr>
              <w:spacing w:before="80" w:after="80" w:line="240" w:lineRule="auto"/>
              <w:jc w:val="center"/>
              <w:rPr>
                <w:rFonts w:ascii="Times New Roman" w:eastAsia="Times New Roman" w:hAnsi="Times New Roman" w:cs="Times New Roman"/>
                <w:sz w:val="18"/>
                <w:szCs w:val="18"/>
              </w:rPr>
            </w:pPr>
            <w:r w:rsidRPr="00977E60">
              <w:rPr>
                <w:rFonts w:ascii="Times New Roman" w:eastAsia="Times New Roman" w:hAnsi="Times New Roman" w:cs="Times New Roman"/>
                <w:sz w:val="18"/>
                <w:szCs w:val="18"/>
              </w:rPr>
              <w:t>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Corrective arm</w:t>
            </w:r>
          </w:p>
          <w:p w:rsidR="00A50063" w:rsidRPr="008D2255" w:rsidRDefault="00A50063" w:rsidP="00EA779B">
            <w:pPr>
              <w:spacing w:before="80" w:after="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Excessive deficit, deadline for correction:</w:t>
            </w:r>
          </w:p>
          <w:p w:rsidR="00A50063" w:rsidRPr="008D2255" w:rsidRDefault="00A50063" w:rsidP="00EA779B">
            <w:pPr>
              <w:spacing w:before="80" w:after="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2017</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 xml:space="preserve">Not yet at MTO; subject to transitional debt rule </w:t>
            </w:r>
            <w:r w:rsidRPr="008D2255">
              <w:rPr>
                <w:rFonts w:ascii="Times New Roman" w:eastAsia="Times New Roman" w:hAnsi="Times New Roman" w:cs="Times New Roman"/>
                <w:sz w:val="18"/>
                <w:szCs w:val="18"/>
                <w:vertAlign w:val="superscript"/>
              </w:rPr>
              <w:footnoteReference w:id="22"/>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20"/>
                <w:szCs w:val="14"/>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HR</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Excessive 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 subject to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HU</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 subject to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IT</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Excessive 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 subject to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LT</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At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LU</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Overachieving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LV</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MT</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At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NL</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Overachieving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PL</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PT</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977E60" w:rsidRDefault="00C0329A" w:rsidP="00EA779B">
            <w:pPr>
              <w:spacing w:before="80" w:after="8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00A50063" w:rsidRPr="008D2255">
              <w:rPr>
                <w:rFonts w:ascii="Times New Roman" w:eastAsia="Times New Roman" w:hAnsi="Times New Roman" w:cs="Times New Roman"/>
                <w:sz w:val="18"/>
                <w:szCs w:val="18"/>
              </w:rPr>
              <w:t>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977E60" w:rsidRDefault="00A50063" w:rsidP="00EA779B">
            <w:pPr>
              <w:spacing w:before="80" w:after="80" w:line="240" w:lineRule="auto"/>
              <w:jc w:val="center"/>
              <w:rPr>
                <w:rFonts w:ascii="Times New Roman" w:eastAsia="Times New Roman" w:hAnsi="Times New Roman" w:cs="Times New Roman"/>
                <w:sz w:val="18"/>
                <w:szCs w:val="18"/>
                <w:lang w:eastAsia="en-GB"/>
              </w:rPr>
            </w:pPr>
            <w:r w:rsidRPr="00977E60">
              <w:rPr>
                <w:rFonts w:ascii="Times New Roman" w:eastAsia="Times New Roman" w:hAnsi="Times New Roman" w:cs="Times New Roman"/>
                <w:sz w:val="18"/>
                <w:szCs w:val="18"/>
                <w:lang w:eastAsia="en-GB"/>
              </w:rPr>
              <w:t>Preventive arm</w:t>
            </w:r>
          </w:p>
          <w:p w:rsidR="00A50063" w:rsidRPr="00977E60" w:rsidRDefault="00A50063" w:rsidP="00EA779B">
            <w:pPr>
              <w:spacing w:before="80" w:after="80" w:line="240" w:lineRule="auto"/>
              <w:jc w:val="center"/>
              <w:rPr>
                <w:rFonts w:ascii="Times New Roman" w:eastAsia="Times New Roman" w:hAnsi="Times New Roman" w:cs="Times New Roman"/>
                <w:sz w:val="18"/>
                <w:szCs w:val="18"/>
              </w:rPr>
            </w:pPr>
            <w:r w:rsidRPr="00977E60">
              <w:rPr>
                <w:rFonts w:ascii="Times New Roman" w:eastAsia="Times New Roman" w:hAnsi="Times New Roman" w:cs="Times New Roman"/>
                <w:sz w:val="18"/>
                <w:szCs w:val="18"/>
                <w:lang w:eastAsia="en-GB"/>
              </w:rPr>
              <w:t>Not yet at MTO; subject to transitional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SI</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 subject to transitional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977E60">
        <w:trPr>
          <w:trHeight w:val="492"/>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SE</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rPr>
              <w:t>Imbalances</w:t>
            </w: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Overachieving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SK</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RO</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Subject to significant deviation procedure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FI</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 subject to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b/>
                <w:sz w:val="18"/>
                <w:szCs w:val="18"/>
              </w:rPr>
            </w:pPr>
            <w:r w:rsidRPr="00D80A4C">
              <w:rPr>
                <w:rFonts w:ascii="Times New Roman" w:eastAsia="Times New Roman" w:hAnsi="Times New Roman" w:cs="Times New Roman"/>
                <w:b/>
                <w:sz w:val="18"/>
                <w:szCs w:val="18"/>
              </w:rPr>
              <w:t>UK</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A50063" w:rsidRPr="008D2255" w:rsidRDefault="00A50063" w:rsidP="00EA779B">
            <w:pPr>
              <w:spacing w:before="80" w:after="80" w:line="240" w:lineRule="auto"/>
              <w:jc w:val="center"/>
              <w:rPr>
                <w:rFonts w:ascii="Times New Roman" w:eastAsia="Times New Roman" w:hAnsi="Times New Roman" w:cs="Times New Roman"/>
                <w:sz w:val="18"/>
                <w:szCs w:val="18"/>
                <w:lang w:eastAsia="en-GB"/>
              </w:rPr>
            </w:pPr>
            <w:r w:rsidRPr="008D2255">
              <w:rPr>
                <w:rFonts w:ascii="Times New Roman" w:eastAsia="Times New Roman" w:hAnsi="Times New Roman" w:cs="Times New Roman"/>
                <w:sz w:val="18"/>
                <w:szCs w:val="18"/>
                <w:lang w:eastAsia="en-GB"/>
              </w:rPr>
              <w:t>Preventive arm</w:t>
            </w:r>
          </w:p>
          <w:p w:rsidR="00A50063" w:rsidRPr="008D2255" w:rsidRDefault="00A50063" w:rsidP="00EA779B">
            <w:pPr>
              <w:spacing w:before="80" w:after="80" w:line="240" w:lineRule="auto"/>
              <w:jc w:val="center"/>
              <w:rPr>
                <w:rFonts w:ascii="Times New Roman" w:eastAsia="Times New Roman" w:hAnsi="Times New Roman" w:cs="Times New Roman"/>
                <w:sz w:val="18"/>
                <w:szCs w:val="18"/>
              </w:rPr>
            </w:pPr>
            <w:r w:rsidRPr="008D2255">
              <w:rPr>
                <w:rFonts w:ascii="Times New Roman" w:eastAsia="Times New Roman" w:hAnsi="Times New Roman" w:cs="Times New Roman"/>
                <w:sz w:val="18"/>
                <w:szCs w:val="18"/>
                <w:lang w:eastAsia="en-GB"/>
              </w:rPr>
              <w:t>Not yet at MTO; subject to transitional debt rule</w:t>
            </w:r>
          </w:p>
        </w:tc>
        <w:tc>
          <w:tcPr>
            <w:tcW w:w="2505" w:type="dxa"/>
            <w:tcBorders>
              <w:top w:val="single" w:sz="4" w:space="0" w:color="auto"/>
              <w:left w:val="single" w:sz="4" w:space="0" w:color="auto"/>
              <w:bottom w:val="single" w:sz="4" w:space="0" w:color="auto"/>
              <w:right w:val="nil"/>
            </w:tcBorders>
            <w:shd w:val="clear" w:color="auto" w:fill="FFFFFF"/>
            <w:vAlign w:val="center"/>
          </w:tcPr>
          <w:p w:rsidR="00A50063" w:rsidRPr="00D80A4C" w:rsidRDefault="00A50063" w:rsidP="00EA779B">
            <w:pPr>
              <w:spacing w:before="80" w:after="80" w:line="240" w:lineRule="auto"/>
              <w:jc w:val="center"/>
              <w:rPr>
                <w:rFonts w:ascii="Times New Roman" w:eastAsia="Times New Roman" w:hAnsi="Times New Roman" w:cs="Times New Roman"/>
                <w:sz w:val="14"/>
                <w:szCs w:val="14"/>
                <w:lang w:eastAsia="en-GB"/>
              </w:rPr>
            </w:pPr>
          </w:p>
        </w:tc>
      </w:tr>
      <w:tr w:rsidR="00A50063" w:rsidRPr="00D80A4C" w:rsidTr="00EA779B">
        <w:trPr>
          <w:jc w:val="center"/>
        </w:trPr>
        <w:tc>
          <w:tcPr>
            <w:tcW w:w="8979" w:type="dxa"/>
            <w:gridSpan w:val="4"/>
            <w:tcBorders>
              <w:top w:val="single" w:sz="4" w:space="0" w:color="auto"/>
              <w:left w:val="nil"/>
              <w:bottom w:val="single" w:sz="4" w:space="0" w:color="auto"/>
              <w:right w:val="single" w:sz="4" w:space="0" w:color="auto"/>
            </w:tcBorders>
            <w:shd w:val="clear" w:color="auto" w:fill="FFFFFF"/>
            <w:vAlign w:val="center"/>
          </w:tcPr>
          <w:p w:rsidR="00A50063" w:rsidRPr="00D80A4C" w:rsidRDefault="00A50063" w:rsidP="00EA779B">
            <w:pPr>
              <w:spacing w:before="80" w:after="80" w:line="240" w:lineRule="auto"/>
              <w:rPr>
                <w:rFonts w:ascii="Times New Roman" w:eastAsia="Times New Roman" w:hAnsi="Times New Roman" w:cs="Times New Roman"/>
                <w:sz w:val="14"/>
                <w:szCs w:val="14"/>
                <w:lang w:eastAsia="en-GB"/>
              </w:rPr>
            </w:pPr>
            <w:r w:rsidRPr="008D2255">
              <w:rPr>
                <w:rFonts w:ascii="Times New Roman" w:eastAsia="Times New Roman" w:hAnsi="Times New Roman" w:cs="Times New Roman"/>
                <w:sz w:val="16"/>
                <w:szCs w:val="14"/>
              </w:rPr>
              <w:t>(*) The Recommendations under the '2-pack' (Reg. No 473/2013) regarding measures to be taken in order to ensure a timely correction of its excessive government deficit only concern euro area Member States.</w:t>
            </w:r>
          </w:p>
        </w:tc>
      </w:tr>
    </w:tbl>
    <w:p w:rsidR="00CE59E1" w:rsidRPr="005B22B7" w:rsidRDefault="00CE59E1" w:rsidP="00CE59E1">
      <w:pPr>
        <w:spacing w:before="120" w:after="120" w:line="240" w:lineRule="auto"/>
        <w:rPr>
          <w:rFonts w:ascii="Times New Roman" w:eastAsia="Times New Roman" w:hAnsi="Times New Roman"/>
          <w:b/>
          <w:smallCaps/>
          <w:sz w:val="20"/>
          <w:szCs w:val="20"/>
          <w:lang w:eastAsia="en-GB"/>
        </w:rPr>
      </w:pPr>
      <w:r w:rsidRPr="005B22B7">
        <w:br w:type="page"/>
      </w:r>
      <w:r w:rsidR="00D41E44" w:rsidRPr="009C4294">
        <w:rPr>
          <w:rFonts w:ascii="Times New Roman" w:eastAsia="Times New Roman" w:hAnsi="Times New Roman" w:cs="Times New Roman"/>
          <w:b/>
          <w:smallCaps/>
          <w:sz w:val="20"/>
          <w:szCs w:val="20"/>
          <w:lang w:eastAsia="en-GB"/>
        </w:rPr>
        <w:t xml:space="preserve">Appendix 2 </w:t>
      </w:r>
      <w:r w:rsidRPr="005B22B7">
        <w:rPr>
          <w:rFonts w:ascii="Times New Roman" w:eastAsia="Times New Roman" w:hAnsi="Times New Roman"/>
          <w:b/>
          <w:smallCaps/>
          <w:sz w:val="20"/>
          <w:szCs w:val="20"/>
          <w:lang w:eastAsia="en-GB"/>
        </w:rPr>
        <w:t xml:space="preserve">– Progress towards Europe 2020 targets </w:t>
      </w:r>
    </w:p>
    <w:p w:rsidR="00CE59E1" w:rsidRPr="005B22B7" w:rsidRDefault="00CE59E1" w:rsidP="00CE59E1">
      <w:pPr>
        <w:spacing w:after="0" w:line="240" w:lineRule="auto"/>
        <w:rPr>
          <w:rFonts w:ascii="Times New Roman" w:eastAsia="Times New Roman" w:hAnsi="Times New Roman"/>
          <w:b/>
          <w:smallCaps/>
          <w:sz w:val="20"/>
          <w:szCs w:val="20"/>
          <w:lang w:eastAsia="en-GB"/>
        </w:rPr>
      </w:pPr>
    </w:p>
    <w:tbl>
      <w:tblPr>
        <w:tblStyle w:val="MediumShading2-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02"/>
        <w:gridCol w:w="1701"/>
        <w:gridCol w:w="2268"/>
        <w:gridCol w:w="2517"/>
      </w:tblGrid>
      <w:tr w:rsidR="00CE59E1" w:rsidRPr="005B22B7" w:rsidTr="005527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2" w:type="dxa"/>
            <w:tcBorders>
              <w:top w:val="single" w:sz="12" w:space="0" w:color="auto"/>
              <w:left w:val="none" w:sz="0" w:space="0" w:color="auto"/>
              <w:bottom w:val="single" w:sz="12" w:space="0" w:color="auto"/>
              <w:right w:val="none" w:sz="0" w:space="0" w:color="auto"/>
            </w:tcBorders>
            <w:shd w:val="clear" w:color="auto" w:fill="auto"/>
          </w:tcPr>
          <w:p w:rsidR="00CE59E1" w:rsidRPr="005B22B7" w:rsidRDefault="00CE59E1" w:rsidP="005527B5">
            <w:pPr>
              <w:rPr>
                <w:rFonts w:ascii="Times New Roman" w:hAnsi="Times New Roman"/>
                <w:b w:val="0"/>
                <w:color w:val="auto"/>
              </w:rPr>
            </w:pPr>
            <w:r w:rsidRPr="005B22B7">
              <w:rPr>
                <w:rFonts w:ascii="Times New Roman" w:hAnsi="Times New Roman"/>
                <w:color w:val="auto"/>
              </w:rPr>
              <w:t xml:space="preserve">Europe 2020 targets </w:t>
            </w:r>
            <w:r w:rsidRPr="005B22B7">
              <w:rPr>
                <w:rFonts w:ascii="Times New Roman" w:hAnsi="Times New Roman"/>
                <w:color w:val="auto"/>
              </w:rPr>
              <w:br/>
              <w:t>for the EU</w:t>
            </w:r>
          </w:p>
        </w:tc>
        <w:tc>
          <w:tcPr>
            <w:tcW w:w="1701" w:type="dxa"/>
            <w:tcBorders>
              <w:top w:val="single" w:sz="12" w:space="0" w:color="auto"/>
              <w:left w:val="none" w:sz="0" w:space="0" w:color="auto"/>
              <w:bottom w:val="single" w:sz="12" w:space="0" w:color="auto"/>
              <w:right w:val="none" w:sz="0" w:space="0" w:color="auto"/>
            </w:tcBorders>
            <w:shd w:val="clear" w:color="auto" w:fill="auto"/>
          </w:tcPr>
          <w:p w:rsidR="00CE59E1" w:rsidRPr="005B22B7" w:rsidRDefault="00CE59E1" w:rsidP="005527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B22B7">
              <w:rPr>
                <w:rFonts w:ascii="Times New Roman" w:hAnsi="Times New Roman"/>
                <w:color w:val="auto"/>
              </w:rPr>
              <w:t>2010 data</w:t>
            </w:r>
          </w:p>
        </w:tc>
        <w:tc>
          <w:tcPr>
            <w:tcW w:w="2268" w:type="dxa"/>
            <w:tcBorders>
              <w:top w:val="single" w:sz="12" w:space="0" w:color="auto"/>
              <w:left w:val="none" w:sz="0" w:space="0" w:color="auto"/>
              <w:bottom w:val="single" w:sz="12" w:space="0" w:color="auto"/>
              <w:right w:val="none" w:sz="0" w:space="0" w:color="auto"/>
            </w:tcBorders>
            <w:shd w:val="clear" w:color="auto" w:fill="auto"/>
          </w:tcPr>
          <w:p w:rsidR="00CE59E1" w:rsidRPr="005B22B7" w:rsidRDefault="00CE59E1" w:rsidP="005527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B22B7">
              <w:rPr>
                <w:rFonts w:ascii="Times New Roman" w:hAnsi="Times New Roman"/>
                <w:color w:val="auto"/>
              </w:rPr>
              <w:t>Latest available data</w:t>
            </w:r>
          </w:p>
        </w:tc>
        <w:tc>
          <w:tcPr>
            <w:tcW w:w="2517" w:type="dxa"/>
            <w:tcBorders>
              <w:top w:val="single" w:sz="12" w:space="0" w:color="auto"/>
              <w:left w:val="none" w:sz="0" w:space="0" w:color="auto"/>
              <w:bottom w:val="single" w:sz="12" w:space="0" w:color="auto"/>
              <w:right w:val="none" w:sz="0" w:space="0" w:color="auto"/>
            </w:tcBorders>
            <w:shd w:val="clear" w:color="auto" w:fill="auto"/>
          </w:tcPr>
          <w:p w:rsidR="00CE59E1" w:rsidRPr="005B22B7" w:rsidRDefault="00CE59E1" w:rsidP="005527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B22B7">
              <w:rPr>
                <w:rFonts w:ascii="Times New Roman" w:hAnsi="Times New Roman"/>
                <w:color w:val="auto"/>
              </w:rPr>
              <w:t>In 2020, based on recent trends</w:t>
            </w:r>
          </w:p>
        </w:tc>
      </w:tr>
      <w:tr w:rsidR="00CE59E1" w:rsidRPr="005B22B7" w:rsidTr="00552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single" w:sz="12" w:space="0" w:color="auto"/>
              <w:left w:val="none" w:sz="0" w:space="0" w:color="auto"/>
              <w:bottom w:val="none" w:sz="0" w:space="0" w:color="auto"/>
              <w:right w:val="none" w:sz="0" w:space="0" w:color="auto"/>
            </w:tcBorders>
            <w:shd w:val="clear" w:color="auto" w:fill="auto"/>
          </w:tcPr>
          <w:p w:rsidR="00CE59E1" w:rsidRPr="005B22B7" w:rsidRDefault="00CE59E1" w:rsidP="005527B5">
            <w:pPr>
              <w:rPr>
                <w:rFonts w:ascii="Times New Roman" w:hAnsi="Times New Roman"/>
                <w:b w:val="0"/>
                <w:color w:val="auto"/>
              </w:rPr>
            </w:pPr>
            <w:r w:rsidRPr="005B22B7">
              <w:rPr>
                <w:rFonts w:ascii="Times New Roman" w:hAnsi="Times New Roman"/>
                <w:b w:val="0"/>
                <w:color w:val="auto"/>
              </w:rPr>
              <w:t>1. Increasing the employment rate of the population aged 20-64 to at least 75%</w:t>
            </w:r>
          </w:p>
        </w:tc>
        <w:tc>
          <w:tcPr>
            <w:tcW w:w="1701" w:type="dxa"/>
            <w:tcBorders>
              <w:top w:val="single" w:sz="12" w:space="0" w:color="auto"/>
            </w:tcBorders>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68.6%</w:t>
            </w:r>
          </w:p>
        </w:tc>
        <w:tc>
          <w:tcPr>
            <w:tcW w:w="2268" w:type="dxa"/>
            <w:tcBorders>
              <w:top w:val="single" w:sz="12" w:space="0" w:color="auto"/>
            </w:tcBorders>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sidDel="00EA6CE2">
              <w:rPr>
                <w:rFonts w:ascii="Times New Roman" w:hAnsi="Times New Roman"/>
              </w:rPr>
              <w:t xml:space="preserve"> </w:t>
            </w:r>
            <w:r w:rsidRPr="005B22B7">
              <w:rPr>
                <w:rFonts w:ascii="Times New Roman" w:hAnsi="Times New Roman"/>
              </w:rPr>
              <w:t>72.3% (Q3-2017)</w:t>
            </w:r>
          </w:p>
        </w:tc>
        <w:tc>
          <w:tcPr>
            <w:tcW w:w="2517" w:type="dxa"/>
            <w:tcBorders>
              <w:top w:val="single" w:sz="12" w:space="0" w:color="auto"/>
            </w:tcBorders>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Target likely to be met</w:t>
            </w:r>
          </w:p>
        </w:tc>
      </w:tr>
      <w:tr w:rsidR="00CE59E1" w:rsidRPr="005B22B7" w:rsidTr="005527B5">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E59E1" w:rsidRPr="005B22B7" w:rsidRDefault="00CE59E1" w:rsidP="005527B5">
            <w:pPr>
              <w:rPr>
                <w:rFonts w:ascii="Times New Roman" w:hAnsi="Times New Roman"/>
                <w:b w:val="0"/>
                <w:color w:val="auto"/>
              </w:rPr>
            </w:pPr>
            <w:r w:rsidRPr="005B22B7">
              <w:rPr>
                <w:rFonts w:ascii="Times New Roman" w:hAnsi="Times New Roman"/>
                <w:b w:val="0"/>
                <w:color w:val="auto"/>
              </w:rPr>
              <w:t>2. Increasing combined public and private investment in R&amp;D to 3% of GDP</w:t>
            </w:r>
          </w:p>
        </w:tc>
        <w:tc>
          <w:tcPr>
            <w:tcW w:w="1701"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1.93%</w:t>
            </w:r>
          </w:p>
        </w:tc>
        <w:tc>
          <w:tcPr>
            <w:tcW w:w="2268"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2.03% (2016)</w:t>
            </w:r>
          </w:p>
        </w:tc>
        <w:tc>
          <w:tcPr>
            <w:tcW w:w="2517"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Target unlikely to be met</w:t>
            </w:r>
          </w:p>
        </w:tc>
      </w:tr>
      <w:tr w:rsidR="00CE59E1" w:rsidRPr="005B22B7" w:rsidTr="00552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E59E1" w:rsidRPr="005B22B7" w:rsidRDefault="00CE59E1" w:rsidP="005527B5">
            <w:pPr>
              <w:rPr>
                <w:rFonts w:ascii="Times New Roman" w:hAnsi="Times New Roman"/>
                <w:b w:val="0"/>
                <w:color w:val="auto"/>
              </w:rPr>
            </w:pPr>
            <w:r w:rsidRPr="005B22B7">
              <w:rPr>
                <w:rFonts w:ascii="Times New Roman" w:hAnsi="Times New Roman"/>
                <w:b w:val="0"/>
                <w:color w:val="auto"/>
              </w:rPr>
              <w:t>3a. Reducing greenhouse gas emissions by at least 20% compared to 1990 levels</w:t>
            </w:r>
          </w:p>
        </w:tc>
        <w:tc>
          <w:tcPr>
            <w:tcW w:w="1701" w:type="dxa"/>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14% reduction</w:t>
            </w:r>
          </w:p>
        </w:tc>
        <w:tc>
          <w:tcPr>
            <w:tcW w:w="2268" w:type="dxa"/>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23% reduction (2016)</w:t>
            </w:r>
          </w:p>
        </w:tc>
        <w:tc>
          <w:tcPr>
            <w:tcW w:w="2517" w:type="dxa"/>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Target likely to be met</w:t>
            </w:r>
          </w:p>
        </w:tc>
      </w:tr>
      <w:tr w:rsidR="00CE59E1" w:rsidRPr="005B22B7" w:rsidTr="005527B5">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E59E1" w:rsidRPr="005B22B7" w:rsidRDefault="00CE59E1" w:rsidP="005527B5">
            <w:pPr>
              <w:rPr>
                <w:rFonts w:ascii="Times New Roman" w:hAnsi="Times New Roman"/>
                <w:b w:val="0"/>
                <w:color w:val="auto"/>
              </w:rPr>
            </w:pPr>
            <w:r w:rsidRPr="005B22B7">
              <w:rPr>
                <w:rFonts w:ascii="Times New Roman" w:hAnsi="Times New Roman"/>
                <w:b w:val="0"/>
                <w:color w:val="auto"/>
              </w:rPr>
              <w:t>3b. Increasing the share of renewable energy in final energy consumption to 20%</w:t>
            </w:r>
          </w:p>
        </w:tc>
        <w:tc>
          <w:tcPr>
            <w:tcW w:w="1701"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12.5%</w:t>
            </w:r>
          </w:p>
        </w:tc>
        <w:tc>
          <w:tcPr>
            <w:tcW w:w="2268"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17.04</w:t>
            </w:r>
          </w:p>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(2016)</w:t>
            </w:r>
          </w:p>
        </w:tc>
        <w:tc>
          <w:tcPr>
            <w:tcW w:w="2517"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Target likely to be met</w:t>
            </w:r>
          </w:p>
        </w:tc>
      </w:tr>
      <w:tr w:rsidR="00CE59E1" w:rsidRPr="00A543F3" w:rsidTr="00552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E59E1" w:rsidRPr="005B22B7" w:rsidRDefault="00CE59E1" w:rsidP="00A543F3">
            <w:pPr>
              <w:rPr>
                <w:rFonts w:ascii="Times New Roman" w:hAnsi="Times New Roman"/>
                <w:b w:val="0"/>
                <w:color w:val="auto"/>
              </w:rPr>
            </w:pPr>
            <w:r w:rsidRPr="005B22B7">
              <w:rPr>
                <w:rFonts w:ascii="Times New Roman" w:hAnsi="Times New Roman"/>
                <w:b w:val="0"/>
                <w:color w:val="auto"/>
              </w:rPr>
              <w:t>3c.</w:t>
            </w:r>
            <w:r w:rsidRPr="005B22B7">
              <w:t xml:space="preserve"> </w:t>
            </w:r>
            <w:r w:rsidRPr="005B22B7">
              <w:rPr>
                <w:rFonts w:ascii="Times New Roman" w:hAnsi="Times New Roman"/>
                <w:b w:val="0"/>
                <w:color w:val="auto"/>
              </w:rPr>
              <w:t xml:space="preserve">Moving towards a 20 % </w:t>
            </w:r>
            <w:r w:rsidR="00A543F3">
              <w:rPr>
                <w:rFonts w:ascii="Times New Roman" w:hAnsi="Times New Roman"/>
                <w:b w:val="0"/>
                <w:color w:val="auto"/>
              </w:rPr>
              <w:t>target</w:t>
            </w:r>
            <w:r w:rsidR="00A543F3" w:rsidRPr="005B22B7">
              <w:rPr>
                <w:rFonts w:ascii="Times New Roman" w:hAnsi="Times New Roman"/>
                <w:b w:val="0"/>
                <w:color w:val="auto"/>
              </w:rPr>
              <w:t xml:space="preserve"> </w:t>
            </w:r>
            <w:r w:rsidRPr="005B22B7">
              <w:rPr>
                <w:rFonts w:ascii="Times New Roman" w:hAnsi="Times New Roman"/>
                <w:b w:val="0"/>
                <w:color w:val="auto"/>
              </w:rPr>
              <w:t>in energy efficiency</w:t>
            </w:r>
          </w:p>
        </w:tc>
        <w:tc>
          <w:tcPr>
            <w:tcW w:w="1701" w:type="dxa"/>
            <w:shd w:val="clear" w:color="auto" w:fill="auto"/>
          </w:tcPr>
          <w:p w:rsidR="00CE59E1" w:rsidRPr="005B22B7" w:rsidRDefault="00CE59E1" w:rsidP="00A54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5.7% (for primary energy consumption)</w:t>
            </w:r>
          </w:p>
        </w:tc>
        <w:tc>
          <w:tcPr>
            <w:tcW w:w="2268" w:type="dxa"/>
            <w:shd w:val="clear" w:color="auto" w:fill="auto"/>
          </w:tcPr>
          <w:p w:rsidR="00CE59E1"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16.0% (2016)</w:t>
            </w:r>
          </w:p>
          <w:p w:rsidR="00A543F3" w:rsidRPr="005B22B7" w:rsidRDefault="00A543F3"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(for primary energy consumption)</w:t>
            </w:r>
          </w:p>
        </w:tc>
        <w:tc>
          <w:tcPr>
            <w:tcW w:w="2517" w:type="dxa"/>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D2255">
              <w:rPr>
                <w:rFonts w:ascii="Times New Roman" w:hAnsi="Times New Roman"/>
              </w:rPr>
              <w:t>Target likely to be met</w:t>
            </w:r>
          </w:p>
        </w:tc>
      </w:tr>
      <w:tr w:rsidR="00CE59E1" w:rsidRPr="005B22B7" w:rsidTr="005527B5">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E59E1" w:rsidRPr="005B22B7" w:rsidRDefault="00CE59E1" w:rsidP="005527B5">
            <w:pPr>
              <w:rPr>
                <w:rFonts w:ascii="Times New Roman" w:hAnsi="Times New Roman"/>
                <w:b w:val="0"/>
                <w:color w:val="auto"/>
              </w:rPr>
            </w:pPr>
            <w:r w:rsidRPr="005B22B7">
              <w:rPr>
                <w:rFonts w:ascii="Times New Roman" w:hAnsi="Times New Roman"/>
                <w:b w:val="0"/>
                <w:color w:val="auto"/>
              </w:rPr>
              <w:t>4a. Reducing school drop-out rates to less than 10%</w:t>
            </w:r>
          </w:p>
        </w:tc>
        <w:tc>
          <w:tcPr>
            <w:tcW w:w="1701"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13.9%</w:t>
            </w:r>
          </w:p>
        </w:tc>
        <w:tc>
          <w:tcPr>
            <w:tcW w:w="2268"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10.7%  (2016)</w:t>
            </w:r>
          </w:p>
        </w:tc>
        <w:tc>
          <w:tcPr>
            <w:tcW w:w="2517" w:type="dxa"/>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Target likely to be met</w:t>
            </w:r>
          </w:p>
        </w:tc>
      </w:tr>
      <w:tr w:rsidR="00CE59E1" w:rsidRPr="005B22B7" w:rsidTr="00552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single" w:sz="4" w:space="0" w:color="auto"/>
              <w:right w:val="none" w:sz="0" w:space="0" w:color="auto"/>
            </w:tcBorders>
            <w:shd w:val="clear" w:color="auto" w:fill="auto"/>
          </w:tcPr>
          <w:p w:rsidR="00CE59E1" w:rsidRPr="005B22B7" w:rsidRDefault="00CE59E1" w:rsidP="005527B5">
            <w:pPr>
              <w:rPr>
                <w:rFonts w:ascii="Times New Roman" w:hAnsi="Times New Roman"/>
                <w:b w:val="0"/>
                <w:color w:val="auto"/>
              </w:rPr>
            </w:pPr>
            <w:r w:rsidRPr="005B22B7">
              <w:rPr>
                <w:rFonts w:ascii="Times New Roman" w:hAnsi="Times New Roman"/>
                <w:b w:val="0"/>
                <w:color w:val="auto"/>
              </w:rPr>
              <w:t>4b. Increasing the share of the population aged 30-34 having completed tertiary education to at least 40%</w:t>
            </w:r>
          </w:p>
        </w:tc>
        <w:tc>
          <w:tcPr>
            <w:tcW w:w="1701" w:type="dxa"/>
            <w:tcBorders>
              <w:bottom w:val="single" w:sz="4" w:space="0" w:color="auto"/>
            </w:tcBorders>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33.8%</w:t>
            </w:r>
          </w:p>
        </w:tc>
        <w:tc>
          <w:tcPr>
            <w:tcW w:w="2268" w:type="dxa"/>
            <w:tcBorders>
              <w:bottom w:val="single" w:sz="4" w:space="0" w:color="auto"/>
            </w:tcBorders>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39.1% (2016)</w:t>
            </w:r>
          </w:p>
        </w:tc>
        <w:tc>
          <w:tcPr>
            <w:tcW w:w="2517" w:type="dxa"/>
            <w:tcBorders>
              <w:bottom w:val="single" w:sz="4" w:space="0" w:color="auto"/>
            </w:tcBorders>
            <w:shd w:val="clear" w:color="auto" w:fill="auto"/>
          </w:tcPr>
          <w:p w:rsidR="00CE59E1" w:rsidRPr="005B22B7" w:rsidRDefault="00CE59E1" w:rsidP="00552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B22B7">
              <w:rPr>
                <w:rFonts w:ascii="Times New Roman" w:hAnsi="Times New Roman"/>
              </w:rPr>
              <w:t>Target likely to be met</w:t>
            </w:r>
          </w:p>
        </w:tc>
      </w:tr>
      <w:tr w:rsidR="00CE59E1" w:rsidRPr="005B22B7" w:rsidTr="005527B5">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single" w:sz="12" w:space="0" w:color="auto"/>
              <w:right w:val="none" w:sz="0" w:space="0" w:color="auto"/>
            </w:tcBorders>
            <w:shd w:val="clear" w:color="auto" w:fill="auto"/>
          </w:tcPr>
          <w:p w:rsidR="00CE59E1" w:rsidRPr="005B22B7" w:rsidRDefault="00CE59E1" w:rsidP="005527B5">
            <w:pPr>
              <w:rPr>
                <w:rFonts w:ascii="Times New Roman" w:hAnsi="Times New Roman"/>
                <w:b w:val="0"/>
                <w:color w:val="auto"/>
              </w:rPr>
            </w:pPr>
            <w:r w:rsidRPr="005B22B7">
              <w:rPr>
                <w:rFonts w:ascii="Times New Roman" w:hAnsi="Times New Roman"/>
                <w:b w:val="0"/>
                <w:color w:val="auto"/>
              </w:rPr>
              <w:t>5. Lifting at least 20 million people out of the risk of poverty and social exclusion</w:t>
            </w:r>
          </w:p>
        </w:tc>
        <w:tc>
          <w:tcPr>
            <w:tcW w:w="1701" w:type="dxa"/>
            <w:tcBorders>
              <w:bottom w:val="single" w:sz="12" w:space="0" w:color="auto"/>
            </w:tcBorders>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0.5 million increase (compared to the 2008 base year)</w:t>
            </w:r>
          </w:p>
        </w:tc>
        <w:tc>
          <w:tcPr>
            <w:tcW w:w="2268" w:type="dxa"/>
            <w:tcBorders>
              <w:bottom w:val="single" w:sz="12" w:space="0" w:color="auto"/>
            </w:tcBorders>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1 million increase (compared to the 2008 base year)</w:t>
            </w:r>
          </w:p>
        </w:tc>
        <w:tc>
          <w:tcPr>
            <w:tcW w:w="2517" w:type="dxa"/>
            <w:tcBorders>
              <w:bottom w:val="single" w:sz="12" w:space="0" w:color="auto"/>
            </w:tcBorders>
            <w:shd w:val="clear" w:color="auto" w:fill="auto"/>
          </w:tcPr>
          <w:p w:rsidR="00CE59E1" w:rsidRPr="005B22B7" w:rsidRDefault="00CE59E1" w:rsidP="00552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B22B7">
              <w:rPr>
                <w:rFonts w:ascii="Times New Roman" w:hAnsi="Times New Roman"/>
              </w:rPr>
              <w:t>Target unlikely to be met</w:t>
            </w:r>
          </w:p>
        </w:tc>
      </w:tr>
    </w:tbl>
    <w:p w:rsidR="00BE298A" w:rsidRDefault="00BE298A" w:rsidP="00CE59E1">
      <w:pPr>
        <w:rPr>
          <w:b/>
        </w:rPr>
      </w:pPr>
    </w:p>
    <w:p w:rsidR="00BE298A" w:rsidRDefault="00BE298A" w:rsidP="00BE298A">
      <w:r>
        <w:br w:type="page"/>
      </w:r>
    </w:p>
    <w:p w:rsidR="00CE59E1" w:rsidRPr="005B22B7" w:rsidRDefault="00D41E44" w:rsidP="00CE59E1">
      <w:pPr>
        <w:spacing w:before="120" w:after="120" w:line="240" w:lineRule="auto"/>
        <w:rPr>
          <w:rFonts w:ascii="Times New Roman" w:eastAsia="Times New Roman" w:hAnsi="Times New Roman"/>
          <w:b/>
          <w:smallCaps/>
          <w:sz w:val="24"/>
          <w:szCs w:val="20"/>
          <w:lang w:eastAsia="en-GB"/>
        </w:rPr>
      </w:pPr>
      <w:r w:rsidRPr="009C4294">
        <w:rPr>
          <w:rFonts w:ascii="Times New Roman" w:eastAsia="Times New Roman" w:hAnsi="Times New Roman" w:cs="Times New Roman"/>
          <w:b/>
          <w:smallCaps/>
          <w:sz w:val="24"/>
          <w:szCs w:val="20"/>
          <w:lang w:eastAsia="en-GB"/>
        </w:rPr>
        <w:t>Appendix 3</w:t>
      </w:r>
      <w:r w:rsidR="00A50063">
        <w:rPr>
          <w:rFonts w:ascii="Times New Roman" w:eastAsia="Times New Roman" w:hAnsi="Times New Roman" w:cs="Times New Roman"/>
          <w:b/>
          <w:smallCaps/>
          <w:sz w:val="24"/>
          <w:szCs w:val="20"/>
          <w:lang w:eastAsia="en-GB"/>
        </w:rPr>
        <w:t xml:space="preserve"> </w:t>
      </w:r>
      <w:r w:rsidR="00A50063" w:rsidRPr="005B22B7">
        <w:rPr>
          <w:rFonts w:ascii="Times New Roman" w:eastAsia="Times New Roman" w:hAnsi="Times New Roman"/>
          <w:b/>
          <w:smallCaps/>
          <w:sz w:val="20"/>
          <w:szCs w:val="20"/>
          <w:lang w:eastAsia="en-GB"/>
        </w:rPr>
        <w:t>–</w:t>
      </w:r>
      <w:r w:rsidR="00A50063">
        <w:rPr>
          <w:rFonts w:ascii="Times New Roman" w:eastAsia="Times New Roman" w:hAnsi="Times New Roman"/>
          <w:b/>
          <w:smallCaps/>
          <w:sz w:val="20"/>
          <w:szCs w:val="20"/>
          <w:lang w:eastAsia="en-GB"/>
        </w:rPr>
        <w:t xml:space="preserve"> </w:t>
      </w:r>
      <w:r w:rsidR="00CE59E1" w:rsidRPr="005B22B7">
        <w:rPr>
          <w:rFonts w:ascii="Times New Roman" w:eastAsia="Times New Roman" w:hAnsi="Times New Roman"/>
          <w:b/>
          <w:smallCaps/>
          <w:sz w:val="24"/>
          <w:szCs w:val="20"/>
          <w:lang w:eastAsia="en-GB"/>
        </w:rPr>
        <w:t xml:space="preserve">Findings from in-depth-reviews by Member State </w:t>
      </w:r>
    </w:p>
    <w:p w:rsidR="00A543F3" w:rsidRPr="00226ABF" w:rsidRDefault="00A543F3" w:rsidP="00A543F3">
      <w:pPr>
        <w:spacing w:before="120" w:after="120" w:line="240" w:lineRule="auto"/>
        <w:jc w:val="both"/>
        <w:rPr>
          <w:rFonts w:ascii="Calibri" w:eastAsia="Calibri" w:hAnsi="Calibri" w:cs="Times New Roman"/>
        </w:rPr>
      </w:pPr>
      <w:r w:rsidRPr="00226ABF">
        <w:rPr>
          <w:rFonts w:ascii="Times New Roman" w:eastAsia="Times New Roman" w:hAnsi="Times New Roman" w:cs="Times New Roman"/>
          <w:b/>
          <w:sz w:val="24"/>
          <w:szCs w:val="24"/>
          <w:lang w:eastAsia="en-GB"/>
        </w:rPr>
        <w:t>Bulgaria</w:t>
      </w:r>
      <w:r w:rsidRPr="00226ABF">
        <w:rPr>
          <w:rFonts w:ascii="Times New Roman" w:eastAsia="Times New Roman" w:hAnsi="Times New Roman" w:cs="Times New Roman"/>
          <w:sz w:val="24"/>
          <w:szCs w:val="24"/>
          <w:lang w:eastAsia="en-GB"/>
        </w:rPr>
        <w:t xml:space="preserve"> is experiencing imbalances.</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Vulnerabilities in the financial sector are coupled with high indebtedness and non-performing loans in the corporate sector, in a context of incomplete labour market adjustment. Meanwhile, the net external position has improved, mainly due to the current account surplus. The authorities have made progress in implementing the recommendations addressed after the asset quality and balance sheet reviews, but the legacy issues linked to weak governance, asset quality and supervision have not yet been fully dealt with. The robust growth has supported continuous private deleveraging and further decreases in non-performing loan ratios, but stocks</w:t>
      </w:r>
      <w:r w:rsidR="00943C65" w:rsidRPr="00226ABF">
        <w:rPr>
          <w:rFonts w:ascii="Times New Roman" w:eastAsia="Times New Roman" w:hAnsi="Times New Roman" w:cs="Times New Roman"/>
          <w:sz w:val="24"/>
          <w:szCs w:val="24"/>
          <w:lang w:eastAsia="en-GB"/>
        </w:rPr>
        <w:t xml:space="preserve"> of non-performing loans in the corporate sector</w:t>
      </w:r>
      <w:r w:rsidRPr="00226ABF">
        <w:rPr>
          <w:rFonts w:ascii="Times New Roman" w:eastAsia="Times New Roman" w:hAnsi="Times New Roman" w:cs="Times New Roman"/>
          <w:sz w:val="24"/>
          <w:szCs w:val="24"/>
          <w:lang w:eastAsia="en-GB"/>
        </w:rPr>
        <w:t xml:space="preserve"> are still high.</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Labour market improvement has continued despite persistent structural issues, such as the high share of young people not in employment, education or training and labour shortages and mismatches. Some measures have been taken to tackle the main sources of imbalances, but further progress is needed to address remaining vulnerabilities in the financial sector, including further improving banking and non-banking supervision, dealing with hard-to-value assets and group level supervision, and completing the reform of the insolvency framework.</w:t>
      </w:r>
    </w:p>
    <w:p w:rsidR="00CF58A0" w:rsidRPr="00226ABF" w:rsidRDefault="00CF58A0" w:rsidP="00CF58A0">
      <w:pPr>
        <w:spacing w:before="120" w:after="120" w:line="240" w:lineRule="auto"/>
        <w:jc w:val="both"/>
        <w:rPr>
          <w:rFonts w:ascii="Times New Roman" w:eastAsia="Times New Roman" w:hAnsi="Times New Roman" w:cs="Times New Roman"/>
          <w:sz w:val="24"/>
          <w:szCs w:val="24"/>
          <w:lang w:eastAsia="en-GB"/>
        </w:rPr>
      </w:pPr>
      <w:r w:rsidRPr="00226ABF">
        <w:rPr>
          <w:rFonts w:ascii="Times New Roman" w:eastAsia="Times New Roman" w:hAnsi="Times New Roman" w:cs="Times New Roman"/>
          <w:b/>
          <w:sz w:val="24"/>
          <w:szCs w:val="24"/>
          <w:lang w:eastAsia="en-GB"/>
        </w:rPr>
        <w:t>Croatia</w:t>
      </w:r>
      <w:r w:rsidRPr="00226ABF">
        <w:rPr>
          <w:rFonts w:ascii="Times New Roman" w:eastAsia="Times New Roman" w:hAnsi="Times New Roman" w:cs="Times New Roman"/>
          <w:sz w:val="24"/>
          <w:szCs w:val="24"/>
          <w:lang w:eastAsia="en-GB"/>
        </w:rPr>
        <w:t xml:space="preserve"> is experiencing excessive imbalances.</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Vulnerabilities are linked to high levels of public, private and external debt, all largely denominated in foreign currency, in a context of low potential growth. Strong growth, above its estimated potential, is helping to reduce stock imbalances: public, private and external debt</w:t>
      </w:r>
      <w:r w:rsidR="00943C65" w:rsidRPr="00226ABF">
        <w:rPr>
          <w:rFonts w:ascii="Times New Roman" w:eastAsia="Times New Roman" w:hAnsi="Times New Roman" w:cs="Times New Roman"/>
          <w:sz w:val="24"/>
          <w:szCs w:val="24"/>
          <w:lang w:eastAsia="en-GB"/>
        </w:rPr>
        <w:t xml:space="preserve"> ratio</w:t>
      </w:r>
      <w:r w:rsidRPr="00226ABF">
        <w:rPr>
          <w:rFonts w:ascii="Times New Roman" w:eastAsia="Times New Roman" w:hAnsi="Times New Roman" w:cs="Times New Roman"/>
          <w:sz w:val="24"/>
          <w:szCs w:val="24"/>
          <w:lang w:eastAsia="en-GB"/>
        </w:rPr>
        <w:t>s are declining at a fast pace. The negative</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net external position remains large, but has been improving due to a current account surplus. Strong growth supported further debt reduction, and the pace of deleveraging is set to slow down, as credit flows to households and corporates turn positive. Government debt peaked in 2014, and is currently on a declining path, driven by both strong GDP growth and a reduction in the headline deficit. The banking sector is increasingly profitable and the stock of non-performing loans continued to decline. Still, the foreign currency exposure (mainly euro) of corporations and households remains a source of vulnerability. While the economic environment is improving, there has been little advancement in the adoption of policy measures aimed at addressing macroeconomic imbalances, including by raising the still low growth potential.</w:t>
      </w:r>
    </w:p>
    <w:p w:rsidR="00CF58A0" w:rsidRPr="00226ABF" w:rsidRDefault="00CF58A0" w:rsidP="00CF58A0">
      <w:pPr>
        <w:spacing w:before="120" w:after="120" w:line="240" w:lineRule="auto"/>
        <w:jc w:val="both"/>
        <w:rPr>
          <w:rFonts w:ascii="Times New Roman" w:eastAsia="Times New Roman" w:hAnsi="Times New Roman" w:cs="Times New Roman"/>
          <w:sz w:val="24"/>
          <w:szCs w:val="24"/>
          <w:lang w:eastAsia="en-GB"/>
        </w:rPr>
      </w:pPr>
      <w:r w:rsidRPr="00226ABF">
        <w:rPr>
          <w:rFonts w:ascii="Times New Roman" w:eastAsia="Times New Roman" w:hAnsi="Times New Roman" w:cs="Times New Roman"/>
          <w:b/>
          <w:sz w:val="24"/>
          <w:szCs w:val="24"/>
          <w:lang w:eastAsia="en-GB"/>
        </w:rPr>
        <w:t>Cyprus</w:t>
      </w:r>
      <w:r w:rsidRPr="00226ABF">
        <w:rPr>
          <w:rFonts w:ascii="Times New Roman" w:eastAsia="Times New Roman" w:hAnsi="Times New Roman" w:cs="Times New Roman"/>
          <w:sz w:val="24"/>
          <w:szCs w:val="24"/>
          <w:lang w:eastAsia="en-GB"/>
        </w:rPr>
        <w:t xml:space="preserve"> is experiencing excessive imbalances.</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A very high share of non-performing loans burdens the financial sector and high stock of private, public, and external debt hangs on the economy, in a context of still relatively high, even though declining, unemployment and weak potential growth. The current account is still negative and widening, and is not adequate to guarantee a sustainable evolution of the large net external liabilities stock. Private debt is only slowly decreasing, and credit flows to the private sector are picking up despite very high levels of private debt. Loan restructuring efforts by banks, the strong cyclical upturn, and the implementation of past reforms have allowed a reduction of non-performing loans, but their stock remains very high. Poor contract enforcement, inefficiencies in the judicial system,  bottlenecks in the implementation of the foreclosure and insolvency legislation</w:t>
      </w:r>
      <w:r w:rsidR="00943C65" w:rsidRPr="00226ABF">
        <w:rPr>
          <w:rFonts w:ascii="Times New Roman" w:eastAsia="Times New Roman" w:hAnsi="Times New Roman" w:cs="Times New Roman"/>
          <w:sz w:val="24"/>
          <w:szCs w:val="24"/>
          <w:lang w:eastAsia="en-GB"/>
        </w:rPr>
        <w:t xml:space="preserve"> as well as weak repayment discipline </w:t>
      </w:r>
      <w:r w:rsidRPr="00226ABF">
        <w:rPr>
          <w:rFonts w:ascii="Times New Roman" w:eastAsia="Times New Roman" w:hAnsi="Times New Roman" w:cs="Times New Roman"/>
          <w:sz w:val="24"/>
          <w:szCs w:val="24"/>
          <w:lang w:eastAsia="en-GB"/>
        </w:rPr>
        <w:t>hamper private sector deleveraging and the reduction of non-performing loans. A prudent fiscal stance and an active debt management policy accelerated public debt reduction.</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Renewed reform momentum is needed, notably to help reduce public debt, improve competitiveness, accelerate the reduction of non-performing loans and raise potential growth.</w:t>
      </w:r>
    </w:p>
    <w:p w:rsidR="00CF58A0" w:rsidRPr="00226ABF" w:rsidRDefault="00CF58A0" w:rsidP="00CF58A0">
      <w:pPr>
        <w:spacing w:before="120" w:after="120" w:line="240" w:lineRule="auto"/>
        <w:jc w:val="both"/>
        <w:rPr>
          <w:rFonts w:ascii="Times New Roman" w:eastAsia="Times New Roman" w:hAnsi="Times New Roman" w:cs="Times New Roman"/>
          <w:sz w:val="24"/>
          <w:szCs w:val="24"/>
          <w:lang w:eastAsia="en-GB"/>
        </w:rPr>
      </w:pPr>
      <w:r w:rsidRPr="00226ABF">
        <w:rPr>
          <w:rFonts w:ascii="Times New Roman" w:eastAsia="Times New Roman" w:hAnsi="Times New Roman" w:cs="Times New Roman"/>
          <w:b/>
          <w:sz w:val="24"/>
          <w:szCs w:val="24"/>
          <w:lang w:eastAsia="en-GB"/>
        </w:rPr>
        <w:t>France</w:t>
      </w:r>
      <w:r w:rsidRPr="00226ABF">
        <w:rPr>
          <w:rFonts w:ascii="Times New Roman" w:eastAsia="Times New Roman" w:hAnsi="Times New Roman" w:cs="Times New Roman"/>
          <w:sz w:val="24"/>
          <w:szCs w:val="24"/>
          <w:lang w:eastAsia="en-GB"/>
        </w:rPr>
        <w:t xml:space="preserve"> is experiencing imbalances. Vulnerabilities stem from high public debt and weak competitiveness dynamics in a context of low productivity growth, which carry cross</w:t>
      </w:r>
      <w:r w:rsidRPr="00226ABF">
        <w:rPr>
          <w:rFonts w:ascii="Times New Roman" w:eastAsia="Times New Roman" w:hAnsi="Times New Roman" w:cs="Times New Roman"/>
          <w:sz w:val="24"/>
          <w:szCs w:val="24"/>
          <w:lang w:eastAsia="en-GB"/>
        </w:rPr>
        <w:noBreakHyphen/>
        <w:t>border relevance.  Moderate wage growth supports on-going improvements in cost competitiveness. Subdued productivity growth is instead acting as a headwind. Labour market's low responsiveness</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to changing demand and supply conditions and some elements of the business environment still weigh on non-cost competitiveness. The government debt-to-GDP ratio rose further in 2017, but it is forecast to stabilise in 2018 and 2019.</w:t>
      </w:r>
      <w:r w:rsidRPr="00226ABF">
        <w:rPr>
          <w:rFonts w:ascii="Times New Roman" w:eastAsia="Calibri" w:hAnsi="Times New Roman" w:cs="Times New Roman"/>
          <w:sz w:val="24"/>
          <w:szCs w:val="24"/>
        </w:rPr>
        <w:t xml:space="preserve"> Previously adverse trends have thus abated, economic conditions are improving and</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reform efforts are gaining momentum. Recently announced and undertaken policy actions can carry both domestic and cross-border positive effects in the medium term. Progress on several fronts including labour markets and taxation has been achieved, while announced initiatives to improve the business environment, vocational education and training, unemployment benefit, and pension systems have still to materialise. Further action is warranted for ensuring a better access to the labour market for the jobseekers, simplifying the tax system and reviewing government expenditure to ensure sustainability of public finances and enhance growth potential.</w:t>
      </w:r>
    </w:p>
    <w:p w:rsidR="00CF58A0" w:rsidRPr="00226ABF" w:rsidRDefault="00CF58A0" w:rsidP="00CF58A0">
      <w:pPr>
        <w:spacing w:before="120" w:after="120" w:line="240" w:lineRule="auto"/>
        <w:jc w:val="both"/>
        <w:rPr>
          <w:rFonts w:ascii="Times New Roman" w:eastAsia="Times New Roman" w:hAnsi="Times New Roman" w:cs="Times New Roman"/>
          <w:sz w:val="24"/>
          <w:szCs w:val="24"/>
          <w:lang w:eastAsia="en-GB"/>
        </w:rPr>
      </w:pPr>
      <w:r w:rsidRPr="00226ABF">
        <w:rPr>
          <w:rFonts w:ascii="Times New Roman" w:eastAsia="Times New Roman" w:hAnsi="Times New Roman" w:cs="Times New Roman"/>
          <w:b/>
          <w:sz w:val="24"/>
          <w:szCs w:val="24"/>
          <w:lang w:eastAsia="en-GB"/>
        </w:rPr>
        <w:t>Germany</w:t>
      </w:r>
      <w:r w:rsidRPr="00226ABF">
        <w:rPr>
          <w:rFonts w:ascii="Times New Roman" w:eastAsia="Times New Roman" w:hAnsi="Times New Roman" w:cs="Times New Roman"/>
          <w:sz w:val="24"/>
          <w:szCs w:val="24"/>
          <w:lang w:eastAsia="en-GB"/>
        </w:rPr>
        <w:t xml:space="preserve"> is experiencing imbalances.</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The persistently high current account surplus has cross-border relevance and reflects a subdued level of investment relative to saving in both the private and the public sector. The surplus</w:t>
      </w:r>
      <w:r w:rsidR="00943C65" w:rsidRPr="00226ABF">
        <w:rPr>
          <w:rFonts w:ascii="Times New Roman" w:eastAsia="Times New Roman" w:hAnsi="Times New Roman" w:cs="Times New Roman"/>
          <w:sz w:val="24"/>
          <w:szCs w:val="24"/>
          <w:lang w:eastAsia="en-GB"/>
        </w:rPr>
        <w:t>, which is largely with non-EU countries,</w:t>
      </w:r>
      <w:r w:rsidRPr="00226ABF">
        <w:rPr>
          <w:rFonts w:ascii="Times New Roman" w:eastAsia="Times New Roman" w:hAnsi="Times New Roman" w:cs="Times New Roman"/>
          <w:sz w:val="24"/>
          <w:szCs w:val="24"/>
          <w:lang w:eastAsia="en-GB"/>
        </w:rPr>
        <w:t xml:space="preserve"> has slightly narrowed since 2016 and is expected to gradually decline due to a pick-up in domestic demand in the coming years whilst remaining at historically high levels over the forecast horizon.</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While there is currently a shift towards more domestic demand-driven growth, both consumption and investment remain muted as a share of GDP despite the favourable cyclical and financing conditions and the infrastructure investment needs for which there is fiscal space.</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While a number of measures have been taken to strengthen public investment, these efforts have not yet resulted in a sustainable upward trend in public investment as a share of GDP. Progress in addressing recommendations in other areas has also been limited.</w:t>
      </w:r>
    </w:p>
    <w:p w:rsidR="00CF58A0" w:rsidRPr="00226ABF" w:rsidRDefault="00CF58A0" w:rsidP="00CF58A0">
      <w:pPr>
        <w:spacing w:before="120" w:after="120" w:line="240" w:lineRule="auto"/>
        <w:jc w:val="both"/>
        <w:rPr>
          <w:rFonts w:ascii="Times New Roman" w:eastAsia="Times New Roman" w:hAnsi="Times New Roman" w:cs="Times New Roman"/>
          <w:sz w:val="24"/>
          <w:szCs w:val="24"/>
          <w:lang w:eastAsia="en-GB"/>
        </w:rPr>
      </w:pPr>
      <w:r w:rsidRPr="00226ABF">
        <w:rPr>
          <w:rFonts w:ascii="Times New Roman" w:eastAsia="Times New Roman" w:hAnsi="Times New Roman" w:cs="Times New Roman"/>
          <w:b/>
          <w:sz w:val="24"/>
          <w:szCs w:val="24"/>
          <w:lang w:eastAsia="en-GB"/>
        </w:rPr>
        <w:t>Ireland</w:t>
      </w:r>
      <w:r w:rsidRPr="00226ABF">
        <w:rPr>
          <w:rFonts w:ascii="Times New Roman" w:eastAsia="Times New Roman" w:hAnsi="Times New Roman" w:cs="Times New Roman"/>
          <w:sz w:val="24"/>
          <w:szCs w:val="24"/>
          <w:lang w:eastAsia="en-GB"/>
        </w:rPr>
        <w:t xml:space="preserve"> is experiencing imbalances.</w:t>
      </w:r>
      <w:r w:rsidRPr="00226ABF">
        <w:rPr>
          <w:rFonts w:ascii="Times New Roman" w:eastAsia="Calibri" w:hAnsi="Times New Roman" w:cs="Times New Roman"/>
          <w:sz w:val="24"/>
        </w:rPr>
        <w:t xml:space="preserve"> L</w:t>
      </w:r>
      <w:r w:rsidRPr="00226ABF">
        <w:rPr>
          <w:rFonts w:ascii="Times New Roman" w:eastAsia="Times New Roman" w:hAnsi="Times New Roman" w:cs="Times New Roman"/>
          <w:sz w:val="24"/>
          <w:szCs w:val="24"/>
          <w:lang w:eastAsia="en-GB"/>
        </w:rPr>
        <w:t xml:space="preserve">arge stocks of </w:t>
      </w:r>
      <w:r w:rsidRPr="00226ABF">
        <w:rPr>
          <w:rFonts w:ascii="Times New Roman" w:eastAsia="Calibri" w:hAnsi="Times New Roman" w:cs="Times New Roman"/>
          <w:sz w:val="24"/>
        </w:rPr>
        <w:t xml:space="preserve">private and public debt and net external liabilities </w:t>
      </w:r>
      <w:r w:rsidRPr="00226ABF">
        <w:rPr>
          <w:rFonts w:ascii="Times New Roman" w:eastAsia="Times New Roman" w:hAnsi="Times New Roman" w:cs="Times New Roman"/>
          <w:sz w:val="24"/>
          <w:szCs w:val="24"/>
          <w:lang w:eastAsia="en-GB"/>
        </w:rPr>
        <w:t>constitute vulnerabilities. However, the improvements have been substantial. Strong productivity growth in past years has implied improved competitiveness and a positive current account balance entailing a rapid reduction in the high stock of net foreign liabilities. Strong economic growth continues to support private deleveraging but the stock of private debt remains high, although the strong influence of the activities of multinational enterprises needs to be taken into account when evaluating corporate debt, and household debt appears broadly in line with fundamentals.</w:t>
      </w:r>
      <w:r w:rsidRPr="00226ABF">
        <w:rPr>
          <w:rFonts w:ascii="Times New Roman" w:eastAsia="Calibri" w:hAnsi="Times New Roman" w:cs="Times New Roman"/>
          <w:sz w:val="24"/>
        </w:rPr>
        <w:t xml:space="preserve"> </w:t>
      </w:r>
      <w:r w:rsidRPr="00226ABF">
        <w:rPr>
          <w:rFonts w:ascii="Times New Roman" w:eastAsia="Times New Roman" w:hAnsi="Times New Roman" w:cs="Times New Roman"/>
          <w:sz w:val="24"/>
          <w:szCs w:val="24"/>
          <w:lang w:eastAsia="en-GB"/>
        </w:rPr>
        <w:t>Government debt is projected to remain on a downward trajectory, and the deficit is moving closer to balance.  House prices are growing at a rapid pace, albeit from likely undervalued levels, thereby also strengthening households' balance sheets. Banks are well recapitalised and their profitability is improving gradually. The stock of NPLs, although remaining high, continues to decrease.</w:t>
      </w:r>
      <w:r w:rsidRPr="00226ABF">
        <w:rPr>
          <w:rFonts w:ascii="Times New Roman" w:eastAsia="Calibri" w:hAnsi="Times New Roman" w:cs="Times New Roman"/>
          <w:sz w:val="24"/>
        </w:rPr>
        <w:t xml:space="preserve"> </w:t>
      </w:r>
      <w:r w:rsidRPr="00226ABF">
        <w:rPr>
          <w:rFonts w:ascii="Times New Roman" w:eastAsia="Times New Roman" w:hAnsi="Times New Roman" w:cs="Times New Roman"/>
          <w:sz w:val="24"/>
          <w:szCs w:val="24"/>
          <w:lang w:eastAsia="en-GB"/>
        </w:rPr>
        <w:t xml:space="preserve">Policy action addressing these vulnerabilities has been taken, but some measures will take time to generate the expected effects. </w:t>
      </w:r>
    </w:p>
    <w:p w:rsidR="00CF58A0" w:rsidRDefault="00CF58A0" w:rsidP="00CF58A0">
      <w:pPr>
        <w:spacing w:before="120" w:after="120" w:line="240" w:lineRule="auto"/>
        <w:jc w:val="both"/>
        <w:rPr>
          <w:rFonts w:ascii="Times New Roman" w:eastAsia="Times New Roman" w:hAnsi="Times New Roman" w:cs="Times New Roman"/>
          <w:sz w:val="24"/>
          <w:szCs w:val="24"/>
          <w:lang w:eastAsia="en-GB"/>
        </w:rPr>
      </w:pPr>
      <w:r w:rsidRPr="00226ABF">
        <w:rPr>
          <w:rFonts w:ascii="Times New Roman" w:eastAsia="Times New Roman" w:hAnsi="Times New Roman" w:cs="Times New Roman"/>
          <w:b/>
          <w:sz w:val="24"/>
          <w:szCs w:val="24"/>
          <w:lang w:eastAsia="en-GB"/>
        </w:rPr>
        <w:t>Italy</w:t>
      </w:r>
      <w:r w:rsidRPr="00226ABF">
        <w:rPr>
          <w:rFonts w:ascii="Times New Roman" w:eastAsia="Times New Roman" w:hAnsi="Times New Roman" w:cs="Times New Roman"/>
          <w:sz w:val="24"/>
          <w:szCs w:val="24"/>
          <w:lang w:eastAsia="en-GB"/>
        </w:rPr>
        <w:t xml:space="preserve"> is experiencing excessive imbalances.</w:t>
      </w:r>
      <w:r w:rsidRPr="00226ABF">
        <w:rPr>
          <w:rFonts w:ascii="Calibri" w:eastAsia="Calibri" w:hAnsi="Calibri" w:cs="Times New Roman"/>
        </w:rPr>
        <w:t xml:space="preserve"> </w:t>
      </w:r>
      <w:r w:rsidRPr="00226ABF">
        <w:rPr>
          <w:rFonts w:ascii="Times New Roman" w:eastAsia="Times New Roman" w:hAnsi="Times New Roman" w:cs="Times New Roman"/>
          <w:sz w:val="24"/>
          <w:szCs w:val="24"/>
          <w:lang w:eastAsia="en-GB"/>
        </w:rPr>
        <w:t>High government debt and protracted weak productivity dynamics imply risks with cross-border relevance looking forward, in a context of still high</w:t>
      </w:r>
      <w:r w:rsidR="00943C65" w:rsidRPr="00226ABF">
        <w:rPr>
          <w:rFonts w:ascii="Times New Roman" w:eastAsia="Times New Roman" w:hAnsi="Times New Roman" w:cs="Times New Roman"/>
          <w:sz w:val="24"/>
          <w:szCs w:val="24"/>
          <w:lang w:eastAsia="en-GB"/>
        </w:rPr>
        <w:t xml:space="preserve"> level of</w:t>
      </w:r>
      <w:r w:rsidRPr="00226ABF">
        <w:rPr>
          <w:rFonts w:ascii="Times New Roman" w:eastAsia="Times New Roman" w:hAnsi="Times New Roman" w:cs="Times New Roman"/>
          <w:sz w:val="24"/>
          <w:szCs w:val="24"/>
          <w:lang w:eastAsia="en-GB"/>
        </w:rPr>
        <w:t xml:space="preserve"> non-performing loans and unemployment. The government debt ratio is set to stabilise but has not yet embarked on a firm downward path due to the worsening of the structural primary balance. External competitiveness has improved, but weak productivity growth, linked to structural obstacles which continue to hamper an efficient allocation of productive factors across the economy, accelerating unit</w:t>
      </w:r>
      <w:r>
        <w:rPr>
          <w:rFonts w:ascii="Times New Roman" w:eastAsia="Times New Roman" w:hAnsi="Times New Roman" w:cs="Times New Roman"/>
          <w:sz w:val="24"/>
          <w:szCs w:val="24"/>
          <w:lang w:eastAsia="en-GB"/>
        </w:rPr>
        <w:t xml:space="preserve"> labour costs and the general low inflation environment are making it challenging to reverse past large competitiveness losses. Market pressures on the banking sector have abated, following, among other measures, the government's support for capitalisation of a few distressed banks. The stock of non-performing loans has only recently started to decrease, and still weighs on banks’ capital needs, profits, and lending policies. The reform momentum has somehow slowed, but some progress has been made in addressing recommendations. Several measures are now in the pipeline, notably in the fields of labour and social policies, civil justice and business environment. </w:t>
      </w:r>
    </w:p>
    <w:p w:rsidR="00384568" w:rsidRDefault="00384568" w:rsidP="00384568">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The Netherlands</w:t>
      </w:r>
      <w:r>
        <w:rPr>
          <w:rFonts w:ascii="Times New Roman" w:eastAsia="Times New Roman" w:hAnsi="Times New Roman" w:cs="Times New Roman"/>
          <w:sz w:val="24"/>
          <w:szCs w:val="24"/>
          <w:lang w:eastAsia="en-GB"/>
        </w:rPr>
        <w:t xml:space="preserve"> is experiencing imbalances. The high stock of private debt and the large current account surplus constitute sources of imbalances, with cross-border relevance.</w:t>
      </w:r>
      <w:r>
        <w:rPr>
          <w:rFonts w:ascii="Calibri" w:eastAsia="Calibri" w:hAnsi="Calibri" w:cs="Times New Roman"/>
        </w:rPr>
        <w:t xml:space="preserve"> </w:t>
      </w:r>
      <w:r>
        <w:rPr>
          <w:rFonts w:ascii="Times New Roman" w:eastAsia="Times New Roman" w:hAnsi="Times New Roman" w:cs="Times New Roman"/>
          <w:sz w:val="24"/>
          <w:szCs w:val="24"/>
          <w:lang w:eastAsia="en-GB"/>
        </w:rPr>
        <w:t>The large current account surplus, which mainly reflects structural features of the economy and policy settings regarding non-financial corporations and is partly explained by deleveraging pressures, has increased recently but is forecast to decline somewhat. The private debt-to-GDP ratio has only very gradually decreased in the last years, supported by economic growth. At the same time, nominal household debt is increasing again, as the ongoing recovery in the housing market is driving up nominal mortgage debt levels. Recent reform announcements, such as the speeding-up of the reduction of mortgage interest deductibility and the fiscal stimulus should contribute to support aggregate demand.</w:t>
      </w:r>
    </w:p>
    <w:p w:rsidR="00CF58A0" w:rsidRDefault="00CF58A0" w:rsidP="00CF58A0">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Portugal</w:t>
      </w:r>
      <w:r>
        <w:rPr>
          <w:rFonts w:ascii="Times New Roman" w:eastAsia="Times New Roman" w:hAnsi="Times New Roman" w:cs="Times New Roman"/>
          <w:sz w:val="24"/>
          <w:szCs w:val="24"/>
          <w:lang w:eastAsia="en-GB"/>
        </w:rPr>
        <w:t xml:space="preserve"> is experiencing imbalances.</w:t>
      </w:r>
      <w:r>
        <w:rPr>
          <w:rFonts w:ascii="Calibri" w:eastAsia="Calibri" w:hAnsi="Calibri" w:cs="Times New Roman"/>
        </w:rPr>
        <w:t xml:space="preserve"> </w:t>
      </w:r>
      <w:r>
        <w:rPr>
          <w:rFonts w:ascii="Times New Roman" w:eastAsia="Times New Roman" w:hAnsi="Times New Roman" w:cs="Times New Roman"/>
          <w:sz w:val="24"/>
          <w:szCs w:val="24"/>
          <w:lang w:eastAsia="en-GB"/>
        </w:rPr>
        <w:t>The large stocks of net external liabilities, private and public debt, and a high share of non-performing loans constitute vulnerabilities in a context of low productivity growth.</w:t>
      </w:r>
      <w:r>
        <w:rPr>
          <w:rFonts w:ascii="Calibri" w:eastAsia="Calibri" w:hAnsi="Calibri" w:cs="Times New Roman"/>
        </w:rPr>
        <w:t xml:space="preserve"> </w:t>
      </w:r>
      <w:r>
        <w:rPr>
          <w:rFonts w:ascii="Times New Roman" w:eastAsia="Times New Roman" w:hAnsi="Times New Roman" w:cs="Times New Roman"/>
          <w:sz w:val="24"/>
          <w:szCs w:val="24"/>
          <w:lang w:eastAsia="en-GB"/>
        </w:rPr>
        <w:t xml:space="preserve">A prudent current account position and the maintenance of competitiveness gains are required to ensure the adjustment of net external liabilities. Private debt ratios continue </w:t>
      </w:r>
      <w:r w:rsidRPr="00226ABF">
        <w:rPr>
          <w:rFonts w:ascii="Times New Roman" w:eastAsia="Times New Roman" w:hAnsi="Times New Roman" w:cs="Times New Roman"/>
          <w:sz w:val="24"/>
          <w:szCs w:val="24"/>
          <w:lang w:eastAsia="en-GB"/>
        </w:rPr>
        <w:t>to decline from high levels due to both resumed nominal growth and slightly negative credit flows</w:t>
      </w:r>
      <w:r w:rsidR="00226ABF" w:rsidRPr="00226ABF">
        <w:rPr>
          <w:rFonts w:ascii="Times New Roman" w:eastAsia="Times New Roman" w:hAnsi="Times New Roman" w:cs="Times New Roman"/>
          <w:sz w:val="24"/>
          <w:szCs w:val="24"/>
          <w:lang w:eastAsia="en-GB"/>
        </w:rPr>
        <w:t xml:space="preserve">, and the </w:t>
      </w:r>
      <w:r w:rsidRPr="00226ABF">
        <w:rPr>
          <w:rFonts w:ascii="Times New Roman" w:eastAsia="Times New Roman" w:hAnsi="Times New Roman" w:cs="Times New Roman"/>
          <w:sz w:val="24"/>
          <w:szCs w:val="24"/>
          <w:lang w:eastAsia="en-GB"/>
        </w:rPr>
        <w:t>government debt-to-GDP ratio is projected to have entered a decreasing trend, in a context of persistent</w:t>
      </w:r>
      <w:r>
        <w:rPr>
          <w:rFonts w:ascii="Times New Roman" w:eastAsia="Times New Roman" w:hAnsi="Times New Roman" w:cs="Times New Roman"/>
          <w:sz w:val="24"/>
          <w:szCs w:val="24"/>
          <w:lang w:eastAsia="en-GB"/>
        </w:rPr>
        <w:t xml:space="preserve"> deleveraging needs. Financial sector interventions contributed to reduce stability risks, although banks remain penalised by low profitability and a large stock of non-performing loans, which have nonetheless started declining.</w:t>
      </w:r>
      <w:r>
        <w:rPr>
          <w:rFonts w:ascii="Calibri" w:eastAsia="Calibri" w:hAnsi="Calibri" w:cs="Times New Roman"/>
        </w:rPr>
        <w:t xml:space="preserve"> </w:t>
      </w:r>
      <w:r>
        <w:rPr>
          <w:rFonts w:ascii="Times New Roman" w:eastAsia="Times New Roman" w:hAnsi="Times New Roman" w:cs="Times New Roman"/>
          <w:sz w:val="24"/>
          <w:szCs w:val="24"/>
          <w:lang w:eastAsia="en-GB"/>
        </w:rPr>
        <w:t xml:space="preserve">Higher productivity growth is key for improved prospects in competitiveness, deleveraging and potential growth. Unemployment has been decreasing at a strong pace for several years. Policy gaps remain, notably in terms of implementing the measures outlined to reduce non-performing loans and to improve the business environment. The adoption and implementation of several reform plans, including measures to tackle labour market segmentation or fiscal-structural reforms to improve the sustainability of public finances, will need to be monitored. </w:t>
      </w:r>
    </w:p>
    <w:p w:rsidR="00CF58A0" w:rsidRDefault="00CF58A0" w:rsidP="00CF58A0">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Slovenia</w:t>
      </w:r>
      <w:r>
        <w:rPr>
          <w:rFonts w:ascii="Times New Roman" w:eastAsia="Times New Roman" w:hAnsi="Times New Roman" w:cs="Times New Roman"/>
          <w:sz w:val="24"/>
          <w:szCs w:val="24"/>
          <w:lang w:eastAsia="en-GB"/>
        </w:rPr>
        <w:t xml:space="preserve"> is experiencing no imbalances. </w:t>
      </w:r>
      <w:r>
        <w:rPr>
          <w:rFonts w:ascii="Times New Roman" w:eastAsia="Calibri" w:hAnsi="Times New Roman" w:cs="Times New Roman"/>
          <w:sz w:val="24"/>
          <w:szCs w:val="24"/>
        </w:rPr>
        <w:t xml:space="preserve">Risks arising from </w:t>
      </w:r>
      <w:r>
        <w:rPr>
          <w:rFonts w:ascii="Times New Roman" w:eastAsia="Times New Roman" w:hAnsi="Times New Roman" w:cs="Times New Roman"/>
          <w:sz w:val="24"/>
          <w:szCs w:val="24"/>
          <w:lang w:eastAsia="en-GB"/>
        </w:rPr>
        <w:t xml:space="preserve">weaknesses in the banking sector, corporate indebtedness and short-term fiscal situation </w:t>
      </w:r>
      <w:r>
        <w:rPr>
          <w:rFonts w:ascii="Times New Roman" w:eastAsia="Calibri" w:hAnsi="Times New Roman" w:cs="Times New Roman"/>
          <w:sz w:val="24"/>
          <w:szCs w:val="24"/>
        </w:rPr>
        <w:t>have receded</w:t>
      </w:r>
      <w:r>
        <w:rPr>
          <w:rFonts w:ascii="Times New Roman" w:eastAsia="Times New Roman" w:hAnsi="Times New Roman" w:cs="Times New Roman"/>
          <w:sz w:val="24"/>
          <w:szCs w:val="24"/>
          <w:lang w:eastAsia="en-GB"/>
        </w:rPr>
        <w:t>. Government debt has peaked in 2015 and has been on a downward trend since then. The corporate sector underwent a</w:t>
      </w:r>
      <w:r>
        <w:rPr>
          <w:rFonts w:ascii="Calibri" w:eastAsia="Calibri" w:hAnsi="Calibri" w:cs="Times New Roman"/>
        </w:rPr>
        <w:t xml:space="preserve"> </w:t>
      </w:r>
      <w:r>
        <w:rPr>
          <w:rFonts w:ascii="Times New Roman" w:eastAsia="Times New Roman" w:hAnsi="Times New Roman" w:cs="Times New Roman"/>
          <w:sz w:val="24"/>
          <w:szCs w:val="24"/>
          <w:lang w:eastAsia="en-GB"/>
        </w:rPr>
        <w:t>substantial deleveraging, which weakened investment and potential growth. However, investment is now accelerating, and foreign direct investment inflows have recovered considerably in the most recent years.</w:t>
      </w:r>
      <w:r>
        <w:rPr>
          <w:rFonts w:ascii="Calibri" w:eastAsia="Calibri" w:hAnsi="Calibri" w:cs="Times New Roman"/>
        </w:rPr>
        <w:t xml:space="preserve"> </w:t>
      </w:r>
      <w:r>
        <w:rPr>
          <w:rFonts w:ascii="Times New Roman" w:eastAsia="Times New Roman" w:hAnsi="Times New Roman" w:cs="Times New Roman"/>
          <w:sz w:val="24"/>
          <w:szCs w:val="24"/>
          <w:lang w:eastAsia="en-GB"/>
        </w:rPr>
        <w:t>Banking sector restructuring has coincided with a rapidly falling share of non-performing loans.</w:t>
      </w:r>
      <w:r>
        <w:rPr>
          <w:rFonts w:ascii="Calibri" w:eastAsia="Calibri" w:hAnsi="Calibri" w:cs="Times New Roman"/>
        </w:rPr>
        <w:t xml:space="preserve"> </w:t>
      </w:r>
      <w:r>
        <w:rPr>
          <w:rFonts w:ascii="Times New Roman" w:eastAsia="Times New Roman" w:hAnsi="Times New Roman" w:cs="Times New Roman"/>
          <w:sz w:val="24"/>
          <w:szCs w:val="24"/>
          <w:lang w:eastAsia="en-GB"/>
        </w:rPr>
        <w:t>Policy action which contributed to the unwinding of imbalances has been taken, but measures to enhance the sustainability of the pension, health care and long-term care systems remain a key priority.</w:t>
      </w:r>
    </w:p>
    <w:p w:rsidR="00A543F3" w:rsidRDefault="00A543F3" w:rsidP="00A543F3">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Spain</w:t>
      </w:r>
      <w:r>
        <w:rPr>
          <w:rFonts w:ascii="Times New Roman" w:eastAsia="Times New Roman" w:hAnsi="Times New Roman" w:cs="Times New Roman"/>
          <w:sz w:val="24"/>
          <w:szCs w:val="24"/>
          <w:lang w:eastAsia="en-GB"/>
        </w:rPr>
        <w:t xml:space="preserve"> is experiencing imbalances. Large stocks of external and</w:t>
      </w:r>
      <w:r>
        <w:rPr>
          <w:rFonts w:ascii="Calibri" w:eastAsia="Calibri" w:hAnsi="Calibri" w:cs="Times New Roman"/>
        </w:rPr>
        <w:t xml:space="preserve"> </w:t>
      </w:r>
      <w:r>
        <w:rPr>
          <w:rFonts w:ascii="Times New Roman" w:eastAsia="Times New Roman" w:hAnsi="Times New Roman" w:cs="Times New Roman"/>
          <w:sz w:val="24"/>
          <w:szCs w:val="24"/>
          <w:lang w:eastAsia="en-GB"/>
        </w:rPr>
        <w:t>internal debt, both public and private, continue to constitute vulnerabilities in a context of high unemployment and have cross-border relevance. The external rebalancing is advancing, thanks to the current account surpluses recorded since 2013. However, net external liabilities remain high and Spain will have to record sustained current account surpluses for an extended period of time before the net external liabilities reach prudent levels. Private sector debt reduction is also progressing, supported by favourable growth conditions, but deleveraging needs are still present. A healthier financial sector supports economic activity, and the non-performing loans ratio decreased further. Despite the strong nominal GDP growth, government debt as a share of GDP has only just begun to slowly decrease, with deficits forecast to narrow over time. Unemployment has continued its rapid decline, but remains very high and the high degree of labour market segmentation impedes faster labour productivity growth. Policy progress has been especially made between 2012 and 2015, and recently only limited progress has been made in addressing recommendations. Challenges remain, in particular concerning fiscal governance, active labour market policies and improving innovation and skills to boost non-cost competiveness.</w:t>
      </w:r>
    </w:p>
    <w:p w:rsidR="00CF58A0" w:rsidRDefault="00CF58A0" w:rsidP="00CF58A0">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Sweden</w:t>
      </w:r>
      <w:r>
        <w:rPr>
          <w:rFonts w:ascii="Times New Roman" w:eastAsia="Times New Roman" w:hAnsi="Times New Roman" w:cs="Times New Roman"/>
          <w:sz w:val="24"/>
          <w:szCs w:val="24"/>
          <w:lang w:eastAsia="en-GB"/>
        </w:rPr>
        <w:t xml:space="preserve"> is experiencing imbalances.</w:t>
      </w:r>
      <w:r>
        <w:rPr>
          <w:rFonts w:ascii="Calibri" w:eastAsia="Calibri" w:hAnsi="Calibri" w:cs="Times New Roman"/>
        </w:rPr>
        <w:t xml:space="preserve"> </w:t>
      </w:r>
      <w:r>
        <w:rPr>
          <w:rFonts w:ascii="Times New Roman" w:eastAsia="Times New Roman" w:hAnsi="Times New Roman" w:cs="Times New Roman"/>
          <w:sz w:val="24"/>
          <w:szCs w:val="24"/>
          <w:lang w:eastAsia="en-GB"/>
        </w:rPr>
        <w:t xml:space="preserve">Overvalued house price levels coupled with a continued rise in household debt poses risks of a disorderly correction. The already high household debt remains on an upward path. House prices have been growing at fast and virtually </w:t>
      </w:r>
      <w:bookmarkStart w:id="1" w:name="_GoBack"/>
      <w:bookmarkEnd w:id="1"/>
      <w:r>
        <w:rPr>
          <w:rFonts w:ascii="Times New Roman" w:eastAsia="Times New Roman" w:hAnsi="Times New Roman" w:cs="Times New Roman"/>
          <w:sz w:val="24"/>
          <w:szCs w:val="24"/>
          <w:lang w:eastAsia="en-GB"/>
        </w:rPr>
        <w:t>uninterrupted pace for about 20 years. Negative growth has been recorded in the last quarter of 2017. Still, valuation indicators suggest that house prices remain very high relative to fundamentals. Although banks appear adequately capitalised, a disorderly correction could also affect the financial sector as banks have a growing exposure to household mortgages.</w:t>
      </w:r>
      <w:r>
        <w:rPr>
          <w:rFonts w:ascii="Calibri" w:eastAsia="Calibri" w:hAnsi="Calibri" w:cs="Times New Roman"/>
        </w:rPr>
        <w:t xml:space="preserve"> </w:t>
      </w:r>
      <w:r>
        <w:rPr>
          <w:rFonts w:ascii="Times New Roman" w:eastAsia="Times New Roman" w:hAnsi="Times New Roman" w:cs="Times New Roman"/>
          <w:sz w:val="24"/>
          <w:szCs w:val="24"/>
          <w:lang w:eastAsia="en-GB"/>
        </w:rPr>
        <w:t>In such a case, there could be spill-overs to neighbouring countries given the systemic financial interlinkages. Awareness of mounting risks among the authorities is high, and in recent years measures have been taken to rein in mortgage debt growth and raise housing construction.</w:t>
      </w:r>
      <w:r>
        <w:rPr>
          <w:rFonts w:ascii="Calibri" w:eastAsia="Calibri" w:hAnsi="Calibri" w:cs="Times New Roman"/>
        </w:rPr>
        <w:t xml:space="preserve"> </w:t>
      </w:r>
      <w:r>
        <w:rPr>
          <w:rFonts w:ascii="Times New Roman" w:eastAsia="Times New Roman" w:hAnsi="Times New Roman" w:cs="Times New Roman"/>
          <w:sz w:val="24"/>
          <w:szCs w:val="24"/>
          <w:lang w:eastAsia="en-GB"/>
        </w:rPr>
        <w:t>However, policy steps implemented so far have not been sufficient to address overvaluation in the housing sector, and key policy gaps remain, particularly in relation to tax incentives for home ownership as well as the functioning of housing supply and the rental market.</w:t>
      </w:r>
    </w:p>
    <w:p w:rsidR="00FD12D5" w:rsidRDefault="00C56D97" w:rsidP="00CE59E1">
      <w:pPr>
        <w:pStyle w:val="Heading1"/>
        <w:ind w:left="850"/>
      </w:pPr>
    </w:p>
    <w:sectPr w:rsidR="00FD12D5" w:rsidSect="00BE298A">
      <w:headerReference w:type="even" r:id="rId16"/>
      <w:headerReference w:type="default" r:id="rId17"/>
      <w:footerReference w:type="even" r:id="rId18"/>
      <w:footerReference w:type="default" r:id="rId19"/>
      <w:headerReference w:type="first" r:id="rId20"/>
      <w:footerReference w:type="first" r:id="rId21"/>
      <w:pgSz w:w="11907" w:h="16839"/>
      <w:pgMar w:top="1417" w:right="1417" w:bottom="1417" w:left="1417" w:header="709" w:footer="8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D3" w:rsidRDefault="00E16AD3" w:rsidP="009C4294">
      <w:pPr>
        <w:spacing w:after="0" w:line="240" w:lineRule="auto"/>
      </w:pPr>
      <w:r>
        <w:separator/>
      </w:r>
    </w:p>
  </w:endnote>
  <w:endnote w:type="continuationSeparator" w:id="0">
    <w:p w:rsidR="00E16AD3" w:rsidRDefault="00E16AD3" w:rsidP="009C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97" w:rsidRPr="00C56D97" w:rsidRDefault="00C56D97" w:rsidP="00C56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97" w:rsidRPr="00C56D97" w:rsidRDefault="00C56D97" w:rsidP="00C56D97">
    <w:pPr>
      <w:pStyle w:val="FooterCoverPage"/>
      <w:rPr>
        <w:rFonts w:ascii="Arial" w:hAnsi="Arial" w:cs="Arial"/>
        <w:b/>
        <w:sz w:val="48"/>
      </w:rPr>
    </w:pPr>
    <w:r w:rsidRPr="00C56D97">
      <w:rPr>
        <w:rFonts w:ascii="Arial" w:hAnsi="Arial" w:cs="Arial"/>
        <w:b/>
        <w:sz w:val="48"/>
      </w:rPr>
      <w:t>EN</w:t>
    </w:r>
    <w:r w:rsidRPr="00C56D97">
      <w:rPr>
        <w:rFonts w:ascii="Arial" w:hAnsi="Arial" w:cs="Arial"/>
        <w:b/>
        <w:sz w:val="48"/>
      </w:rPr>
      <w:tab/>
    </w:r>
    <w:r w:rsidRPr="00C56D97">
      <w:rPr>
        <w:rFonts w:ascii="Arial" w:hAnsi="Arial" w:cs="Arial"/>
        <w:b/>
        <w:sz w:val="48"/>
      </w:rPr>
      <w:tab/>
    </w:r>
    <w:r w:rsidRPr="00C56D97">
      <w:tab/>
    </w:r>
    <w:r w:rsidRPr="00C56D9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97" w:rsidRPr="00C56D97" w:rsidRDefault="00C56D97" w:rsidP="00C56D9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713"/>
      <w:docPartObj>
        <w:docPartGallery w:val="Page Numbers (Bottom of Page)"/>
        <w:docPartUnique/>
      </w:docPartObj>
    </w:sdtPr>
    <w:sdtEndPr>
      <w:rPr>
        <w:noProof/>
      </w:rPr>
    </w:sdtEndPr>
    <w:sdtContent>
      <w:p w:rsidR="00375DA7" w:rsidRDefault="000D09C1">
        <w:pPr>
          <w:pStyle w:val="Footer"/>
          <w:jc w:val="center"/>
        </w:pPr>
        <w:r>
          <w:fldChar w:fldCharType="begin"/>
        </w:r>
        <w:r>
          <w:instrText xml:space="preserve"> PAGE   \* MERGEFORMAT </w:instrText>
        </w:r>
        <w:r>
          <w:fldChar w:fldCharType="separate"/>
        </w:r>
        <w:r w:rsidR="00C56D97">
          <w:rPr>
            <w:noProof/>
          </w:rPr>
          <w:t>22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D3" w:rsidRDefault="00E16AD3" w:rsidP="009C4294">
      <w:pPr>
        <w:spacing w:after="0" w:line="240" w:lineRule="auto"/>
      </w:pPr>
      <w:r>
        <w:separator/>
      </w:r>
    </w:p>
  </w:footnote>
  <w:footnote w:type="continuationSeparator" w:id="0">
    <w:p w:rsidR="00E16AD3" w:rsidRDefault="00E16AD3" w:rsidP="009C4294">
      <w:pPr>
        <w:spacing w:after="0" w:line="240" w:lineRule="auto"/>
      </w:pPr>
      <w:r>
        <w:continuationSeparator/>
      </w:r>
    </w:p>
  </w:footnote>
  <w:footnote w:id="1">
    <w:p w:rsidR="00CE59E1" w:rsidRPr="000F1197" w:rsidRDefault="00CE59E1" w:rsidP="00CE59E1">
      <w:pPr>
        <w:pStyle w:val="FootnoteText"/>
      </w:pPr>
      <w:r>
        <w:rPr>
          <w:rStyle w:val="FootnoteReference"/>
        </w:rPr>
        <w:footnoteRef/>
      </w:r>
      <w:r>
        <w:t xml:space="preserve"> See </w:t>
      </w:r>
      <w:r w:rsidRPr="002D7FA0">
        <w:t>European Economic Forecast</w:t>
      </w:r>
      <w:r w:rsidR="00EF1D3A">
        <w:t>,</w:t>
      </w:r>
      <w:r w:rsidRPr="002D7FA0">
        <w:t xml:space="preserve"> Winter 2018</w:t>
      </w:r>
      <w:r>
        <w:t xml:space="preserve">. </w:t>
      </w:r>
    </w:p>
  </w:footnote>
  <w:footnote w:id="2">
    <w:p w:rsidR="00CE59E1" w:rsidRPr="004039C1" w:rsidRDefault="00CE59E1" w:rsidP="00CE59E1">
      <w:pPr>
        <w:pStyle w:val="FootnoteText"/>
        <w:ind w:left="0" w:firstLine="0"/>
      </w:pPr>
      <w:r>
        <w:rPr>
          <w:rStyle w:val="FootnoteReference"/>
        </w:rPr>
        <w:footnoteRef/>
      </w:r>
      <w:r>
        <w:t xml:space="preserve"> The euro area recommendation was adopted by the Council on 23 January 2018. It provides overall orientation on main economic and financial challenges for the euro area and its Member States, thereby guiding the process leading to the issuance to country specific recommendations to euro area Members States. </w:t>
      </w:r>
    </w:p>
  </w:footnote>
  <w:footnote w:id="3">
    <w:p w:rsidR="00CE59E1" w:rsidRPr="00B52905" w:rsidRDefault="00CE59E1" w:rsidP="00CE59E1">
      <w:pPr>
        <w:pStyle w:val="FootnoteText"/>
        <w:ind w:left="0" w:firstLine="0"/>
      </w:pPr>
      <w:r>
        <w:rPr>
          <w:rStyle w:val="FootnoteReference"/>
        </w:rPr>
        <w:footnoteRef/>
      </w:r>
      <w:r>
        <w:t xml:space="preserve"> No country report is provided for Greece which is under the European Stability Mechanism Stability Support Programme. </w:t>
      </w:r>
    </w:p>
  </w:footnote>
  <w:footnote w:id="4">
    <w:p w:rsidR="00CE59E1" w:rsidRPr="00DE4BA2" w:rsidRDefault="00CE59E1" w:rsidP="00CE59E1">
      <w:pPr>
        <w:pStyle w:val="FootnoteText"/>
        <w:ind w:left="0" w:firstLine="0"/>
      </w:pPr>
      <w:r>
        <w:rPr>
          <w:rStyle w:val="FootnoteReference"/>
        </w:rPr>
        <w:footnoteRef/>
      </w:r>
      <w:r>
        <w:t xml:space="preserve"> Communication from the Commission to the European Parliament, The European Council, the Council, the European Central Bank, The European Economic and Social Committee, The Committee of Regions and the European Investment Bank, 2017 European Semester: Country-specific recommendations</w:t>
      </w:r>
      <w:r w:rsidRPr="00DE4BA2" w:rsidDel="00CE7409">
        <w:t xml:space="preserve"> </w:t>
      </w:r>
      <w:r w:rsidRPr="00DE4BA2">
        <w:t>COM(2017) 500 final</w:t>
      </w:r>
      <w:r>
        <w:t>.</w:t>
      </w:r>
    </w:p>
  </w:footnote>
  <w:footnote w:id="5">
    <w:p w:rsidR="00CE59E1" w:rsidRDefault="00CE59E1" w:rsidP="00CE59E1">
      <w:pPr>
        <w:pStyle w:val="FootnoteText"/>
        <w:ind w:left="0" w:firstLine="0"/>
      </w:pPr>
      <w:r>
        <w:rPr>
          <w:rStyle w:val="FootnoteReference"/>
        </w:rPr>
        <w:footnoteRef/>
      </w:r>
      <w:r>
        <w:t xml:space="preserve"> </w:t>
      </w:r>
      <w:r w:rsidRPr="00500AF7">
        <w:t>These goals include increase</w:t>
      </w:r>
      <w:r>
        <w:t xml:space="preserve"> of employment rate of the population aged 20-64 to 75</w:t>
      </w:r>
      <w:r w:rsidRPr="00500AF7">
        <w:t xml:space="preserve">%, increase of investment in R&amp;D to 3% of GDP, 20% reduction of greenhouse gas emissions, </w:t>
      </w:r>
      <w:r>
        <w:t xml:space="preserve">20% increase of the </w:t>
      </w:r>
      <w:r w:rsidRPr="00500AF7">
        <w:t xml:space="preserve">share </w:t>
      </w:r>
      <w:r>
        <w:t>of renewable energy in final energy consumption and</w:t>
      </w:r>
      <w:r w:rsidRPr="00500AF7">
        <w:t xml:space="preserve"> 20% increase in energy efficiency</w:t>
      </w:r>
      <w:r>
        <w:t>, r</w:t>
      </w:r>
      <w:r w:rsidRPr="00500AF7">
        <w:t>educ</w:t>
      </w:r>
      <w:r>
        <w:t>tion</w:t>
      </w:r>
      <w:r w:rsidRPr="00500AF7">
        <w:t xml:space="preserve"> </w:t>
      </w:r>
      <w:r>
        <w:t xml:space="preserve">of </w:t>
      </w:r>
      <w:r w:rsidRPr="00500AF7">
        <w:t>school drop-out rates to less than 10%</w:t>
      </w:r>
      <w:r>
        <w:t>, i</w:t>
      </w:r>
      <w:r w:rsidRPr="00500AF7">
        <w:t>ncreas</w:t>
      </w:r>
      <w:r>
        <w:t>e of</w:t>
      </w:r>
      <w:r w:rsidRPr="00500AF7">
        <w:t xml:space="preserve"> the share of the population aged 30-34 having completed tertiary education to 40% and </w:t>
      </w:r>
      <w:r>
        <w:t>l</w:t>
      </w:r>
      <w:r w:rsidRPr="00500AF7">
        <w:t>ifting at least 20 million people out of the risk of poverty and social exclusion</w:t>
      </w:r>
      <w:r>
        <w:t>.</w:t>
      </w:r>
    </w:p>
  </w:footnote>
  <w:footnote w:id="6">
    <w:p w:rsidR="00CE59E1" w:rsidRDefault="00CE59E1" w:rsidP="00CE59E1">
      <w:pPr>
        <w:pStyle w:val="FootnoteText"/>
        <w:ind w:left="0" w:firstLine="0"/>
      </w:pPr>
      <w:r>
        <w:rPr>
          <w:rStyle w:val="FootnoteReference"/>
        </w:rPr>
        <w:footnoteRef/>
      </w:r>
      <w:r>
        <w:t xml:space="preserve"> The reference year for the data is 2016.</w:t>
      </w:r>
    </w:p>
  </w:footnote>
  <w:footnote w:id="7">
    <w:p w:rsidR="00CE59E1" w:rsidRPr="003D3208" w:rsidRDefault="00CE59E1" w:rsidP="00CE59E1">
      <w:pPr>
        <w:pStyle w:val="FootnoteText"/>
        <w:ind w:left="0" w:firstLine="0"/>
      </w:pPr>
      <w:r>
        <w:rPr>
          <w:rStyle w:val="FootnoteReference"/>
        </w:rPr>
        <w:footnoteRef/>
      </w:r>
      <w:r>
        <w:t xml:space="preserve"> </w:t>
      </w:r>
      <w:r w:rsidRPr="00016D22">
        <w:t>The demand for technical support from the</w:t>
      </w:r>
      <w:r>
        <w:t xml:space="preserve"> Structural Reform Support Programme</w:t>
      </w:r>
      <w:r w:rsidRPr="00016D22">
        <w:t xml:space="preserve"> </w:t>
      </w:r>
      <w:r>
        <w:t>significantly exceeded the means available</w:t>
      </w:r>
      <w:r w:rsidRPr="00016D22">
        <w:t xml:space="preserve"> for 2017 and 2018.</w:t>
      </w:r>
      <w:r>
        <w:t xml:space="preserve"> Under </w:t>
      </w:r>
      <w:r w:rsidRPr="00016D22">
        <w:t xml:space="preserve">SRSP 2017, more than ten Member States were selected to receive support for over 150 projects. Today, a Financing Decision was adopted for SRSP 2018, under which the </w:t>
      </w:r>
      <w:r>
        <w:t xml:space="preserve">Structural Reform Support Service </w:t>
      </w:r>
      <w:r w:rsidRPr="00016D22">
        <w:t>will provide support to over twenty Member States through over 140 projects supporting the implementation of reforms relevant for the European Semester or other Union-wide policy initiatives, such as the Single Market Strategy, the Digital Single Market, the Energy Union, the Capital Markets Union and the European Pillar of Social Rights.</w:t>
      </w:r>
      <w:r w:rsidRPr="00AC1A5B">
        <w:rPr>
          <w:color w:val="1F497D"/>
        </w:rPr>
        <w:t xml:space="preserve">  </w:t>
      </w:r>
    </w:p>
  </w:footnote>
  <w:footnote w:id="8">
    <w:p w:rsidR="00CE59E1" w:rsidRDefault="00CE59E1" w:rsidP="00CE59E1">
      <w:pPr>
        <w:pStyle w:val="FootnoteText"/>
        <w:ind w:left="0" w:firstLine="0"/>
      </w:pPr>
      <w:r w:rsidRPr="008D0DFC">
        <w:footnoteRef/>
      </w:r>
      <w:r>
        <w:t xml:space="preserve"> As of February 2018, the European Fund for Strategic Investments has triggered EUR </w:t>
      </w:r>
      <w:r w:rsidRPr="008D0DFC">
        <w:t>264.3</w:t>
      </w:r>
      <w:r>
        <w:t xml:space="preserve"> billion</w:t>
      </w:r>
      <w:r w:rsidRPr="008D0DFC">
        <w:t xml:space="preserve"> of total investments.</w:t>
      </w:r>
    </w:p>
  </w:footnote>
  <w:footnote w:id="9">
    <w:p w:rsidR="00CE59E1" w:rsidRPr="00C82065" w:rsidRDefault="00CE59E1" w:rsidP="00CE59E1">
      <w:pPr>
        <w:pStyle w:val="FootnoteText"/>
        <w:ind w:left="0" w:firstLine="0"/>
      </w:pPr>
      <w:r>
        <w:rPr>
          <w:rStyle w:val="FootnoteReference"/>
        </w:rPr>
        <w:footnoteRef/>
      </w:r>
      <w:r w:rsidRPr="00C82065">
        <w:t xml:space="preserve"> </w:t>
      </w:r>
      <w:r w:rsidRPr="00CE7409">
        <w:t>Communication fr</w:t>
      </w:r>
      <w:r>
        <w:t>o</w:t>
      </w:r>
      <w:r w:rsidRPr="00CE7409">
        <w:t xml:space="preserve">m the Commission to the European Parliament, The European Council, the Council, the European Central Bank, </w:t>
      </w:r>
      <w:r>
        <w:t xml:space="preserve">New budgetary instruments for a stable euro area within the Union framework, </w:t>
      </w:r>
      <w:r w:rsidRPr="00C82065">
        <w:t>COM(2017) 822</w:t>
      </w:r>
      <w:r>
        <w:t>.</w:t>
      </w:r>
    </w:p>
  </w:footnote>
  <w:footnote w:id="10">
    <w:p w:rsidR="00CE59E1" w:rsidRPr="00C82065" w:rsidRDefault="00CE59E1" w:rsidP="00CE59E1">
      <w:pPr>
        <w:pStyle w:val="FootnoteText"/>
        <w:ind w:left="0" w:firstLine="0"/>
      </w:pPr>
      <w:r>
        <w:rPr>
          <w:rStyle w:val="FootnoteReference"/>
        </w:rPr>
        <w:footnoteRef/>
      </w:r>
      <w:r w:rsidRPr="00C82065">
        <w:t xml:space="preserve"> Council </w:t>
      </w:r>
      <w:r>
        <w:t>Conclusions</w:t>
      </w:r>
      <w:r w:rsidRPr="00C82065">
        <w:t xml:space="preserve"> 5542/18</w:t>
      </w:r>
      <w:r>
        <w:t xml:space="preserve"> of </w:t>
      </w:r>
      <w:r w:rsidRPr="00F17ACC">
        <w:t>23 January 2018</w:t>
      </w:r>
      <w:r w:rsidRPr="00C82065">
        <w:t>.</w:t>
      </w:r>
    </w:p>
  </w:footnote>
  <w:footnote w:id="11">
    <w:p w:rsidR="00CE59E1" w:rsidRPr="00AF6FA3" w:rsidRDefault="00CE59E1" w:rsidP="00CE59E1">
      <w:pPr>
        <w:pStyle w:val="FootnoteText"/>
        <w:ind w:left="0" w:firstLine="0"/>
      </w:pPr>
      <w:r>
        <w:rPr>
          <w:rStyle w:val="FootnoteReference"/>
        </w:rPr>
        <w:footnoteRef/>
      </w:r>
      <w:r>
        <w:t xml:space="preserve"> </w:t>
      </w:r>
      <w:r w:rsidRPr="00AF6FA3">
        <w:t xml:space="preserve">Article 2 of Regulation </w:t>
      </w:r>
      <w:r>
        <w:t xml:space="preserve">(EU) </w:t>
      </w:r>
      <w:r w:rsidRPr="00AF6FA3">
        <w:t>No 1176/2011 defines imbalances as "any trend giving rise to macroeconomic developments which are adversely affecting, or have the potential to adversely affect, the proper functioning of the economy of a Member State or of the economic and monetary union, or of the Union as a whole".</w:t>
      </w:r>
    </w:p>
  </w:footnote>
  <w:footnote w:id="12">
    <w:p w:rsidR="00CE59E1" w:rsidRPr="000E3FF7" w:rsidRDefault="00CE59E1" w:rsidP="00CE59E1">
      <w:pPr>
        <w:pStyle w:val="FootnoteText"/>
        <w:ind w:left="0" w:firstLine="0"/>
      </w:pPr>
      <w:r>
        <w:rPr>
          <w:rStyle w:val="FootnoteReference"/>
        </w:rPr>
        <w:footnoteRef/>
      </w:r>
      <w:r>
        <w:t xml:space="preserve"> See </w:t>
      </w:r>
      <w:r w:rsidRPr="00A37D20">
        <w:t xml:space="preserve">Communication from the Commission: First progress report on the reduction of </w:t>
      </w:r>
      <w:r>
        <w:t>non-performing loans</w:t>
      </w:r>
      <w:r w:rsidRPr="00A37D20">
        <w:t xml:space="preserve"> in Europe</w:t>
      </w:r>
      <w:r>
        <w:t xml:space="preserve">, </w:t>
      </w:r>
      <w:r w:rsidRPr="00A37D20">
        <w:t>COM(2018) 37 final</w:t>
      </w:r>
      <w:r>
        <w:t xml:space="preserve">. The </w:t>
      </w:r>
      <w:r w:rsidRPr="000E3FF7">
        <w:t xml:space="preserve">total volume of </w:t>
      </w:r>
      <w:r>
        <w:t>non-performing loans</w:t>
      </w:r>
      <w:r w:rsidRPr="000E3FF7">
        <w:t xml:space="preserve"> across the EU is still at the level of EUR 950 billion, clearly above pre-crisis levels</w:t>
      </w:r>
      <w:r>
        <w:t>. It is however on a steady declining trend, and the average ratio of non-performing loans has decreased by one-third since 2014.</w:t>
      </w:r>
    </w:p>
  </w:footnote>
  <w:footnote w:id="13">
    <w:p w:rsidR="00A543F3" w:rsidRDefault="00A543F3" w:rsidP="00A543F3">
      <w:pPr>
        <w:pStyle w:val="FootnoteText"/>
        <w:ind w:left="0" w:firstLine="0"/>
      </w:pPr>
      <w:r>
        <w:rPr>
          <w:rStyle w:val="FootnoteReference"/>
        </w:rPr>
        <w:footnoteRef/>
      </w:r>
      <w:r>
        <w:t xml:space="preserve"> For Greece, the surveillance of imbalances and monitoring of corrective measures has been taking place in the context of </w:t>
      </w:r>
      <w:r w:rsidR="00226ABF">
        <w:t>ESM stability support</w:t>
      </w:r>
      <w:r>
        <w:t xml:space="preserve"> programme</w:t>
      </w:r>
      <w:r w:rsidR="00226ABF">
        <w:t>.</w:t>
      </w:r>
    </w:p>
  </w:footnote>
  <w:footnote w:id="14">
    <w:p w:rsidR="00CE59E1" w:rsidRPr="004603D6" w:rsidRDefault="00CE59E1" w:rsidP="00CE59E1">
      <w:pPr>
        <w:pStyle w:val="FootnoteText"/>
      </w:pPr>
      <w:r>
        <w:rPr>
          <w:rStyle w:val="FootnoteReference"/>
        </w:rPr>
        <w:footnoteRef/>
      </w:r>
      <w:r>
        <w:t xml:space="preserve"> </w:t>
      </w:r>
      <w:r w:rsidRPr="004603D6">
        <w:t xml:space="preserve">Source: June 2017 Commission note to the Eurogroup </w:t>
      </w:r>
      <w:r w:rsidRPr="006869EE">
        <w:t>based on a survey to the euro area</w:t>
      </w:r>
      <w:r>
        <w:t xml:space="preserve">, </w:t>
      </w:r>
    </w:p>
    <w:p w:rsidR="00CE59E1" w:rsidRPr="006869EE" w:rsidRDefault="00CE59E1" w:rsidP="00CE59E1">
      <w:pPr>
        <w:pStyle w:val="FootnoteText"/>
      </w:pPr>
      <w:r w:rsidRPr="00D761F7">
        <w:t>http://www.consilium.europa.eu/media/23582/eg-15-june-2017_note-on-spending-reviews.pdf</w:t>
      </w:r>
    </w:p>
  </w:footnote>
  <w:footnote w:id="15">
    <w:p w:rsidR="00CE59E1" w:rsidRDefault="00CE59E1" w:rsidP="00CE59E1">
      <w:pPr>
        <w:pStyle w:val="FootnoteText"/>
        <w:ind w:left="0" w:hanging="11"/>
      </w:pPr>
      <w:r>
        <w:rPr>
          <w:rStyle w:val="FootnoteReference"/>
        </w:rPr>
        <w:footnoteRef/>
      </w:r>
      <w:r>
        <w:t xml:space="preserve"> See </w:t>
      </w:r>
      <w:r w:rsidRPr="005D1BE3">
        <w:t xml:space="preserve">Council conclusions on Action plan to tackle </w:t>
      </w:r>
      <w:r>
        <w:t>non-performing loans</w:t>
      </w:r>
      <w:r w:rsidRPr="005D1BE3">
        <w:t xml:space="preserve"> in Europe</w:t>
      </w:r>
      <w:r>
        <w:t xml:space="preserve"> from 11.7.2017 and </w:t>
      </w:r>
      <w:r w:rsidRPr="00A37D20">
        <w:t xml:space="preserve">Communication from the Commission: First progress report on the reduction of </w:t>
      </w:r>
      <w:r>
        <w:t>non-performing loans</w:t>
      </w:r>
      <w:r w:rsidRPr="00A37D20">
        <w:t xml:space="preserve"> in Europe</w:t>
      </w:r>
      <w:r>
        <w:t xml:space="preserve">, </w:t>
      </w:r>
      <w:r w:rsidRPr="00A37D20">
        <w:t>COM(2018) 37 final</w:t>
      </w:r>
      <w:r>
        <w:t>.</w:t>
      </w:r>
    </w:p>
  </w:footnote>
  <w:footnote w:id="16">
    <w:p w:rsidR="00CE59E1" w:rsidRPr="002F65CB" w:rsidRDefault="00CE59E1" w:rsidP="008D2255">
      <w:pPr>
        <w:pStyle w:val="FootnoteText"/>
        <w:ind w:left="0" w:firstLine="0"/>
      </w:pPr>
      <w:r w:rsidRPr="008D2255">
        <w:rPr>
          <w:vertAlign w:val="superscript"/>
        </w:rPr>
        <w:footnoteRef/>
      </w:r>
      <w:r w:rsidRPr="008D2255">
        <w:rPr>
          <w:vertAlign w:val="superscript"/>
        </w:rPr>
        <w:t xml:space="preserve"> </w:t>
      </w:r>
      <w:r w:rsidRPr="002F65CB">
        <w:t>Everyone lacking sufficient resources has the right to adequate minimum income benefits ensuring a life in dignity at all stages of life, and effective access to enabling goods and services. For those who can work, minimum income benefits should be combined with incentives to (re)integrate into the labour market.</w:t>
      </w:r>
    </w:p>
  </w:footnote>
  <w:footnote w:id="17">
    <w:p w:rsidR="00CE59E1" w:rsidRPr="00E92AE9" w:rsidRDefault="00CE59E1" w:rsidP="004A0AEB">
      <w:pPr>
        <w:pStyle w:val="FootnoteText"/>
        <w:tabs>
          <w:tab w:val="left" w:pos="0"/>
        </w:tabs>
        <w:ind w:left="0" w:firstLine="0"/>
      </w:pPr>
      <w:r>
        <w:rPr>
          <w:rStyle w:val="FootnoteReference"/>
        </w:rPr>
        <w:footnoteRef/>
      </w:r>
      <w:r>
        <w:t xml:space="preserve"> </w:t>
      </w:r>
      <w:r w:rsidRPr="002F65CB">
        <w:t>Everyone has the right to quality and inclusive education, training and life-long learning in order to maintain and acquire skills that enable them to participate fully in society and manage successfully transitions in the labour market.</w:t>
      </w:r>
    </w:p>
  </w:footnote>
  <w:footnote w:id="18">
    <w:p w:rsidR="00CE59E1" w:rsidRPr="00691786" w:rsidRDefault="00CE59E1" w:rsidP="004A0AEB">
      <w:pPr>
        <w:pStyle w:val="FootnoteText"/>
        <w:tabs>
          <w:tab w:val="left" w:pos="0"/>
        </w:tabs>
        <w:ind w:left="0" w:firstLine="0"/>
      </w:pPr>
      <w:r>
        <w:rPr>
          <w:rStyle w:val="FootnoteReference"/>
        </w:rPr>
        <w:footnoteRef/>
      </w:r>
      <w:r>
        <w:t xml:space="preserve"> </w:t>
      </w:r>
      <w:r w:rsidRPr="00691786">
        <w:t>Council Recommendation of 19 December 2016 on Upskilling Pathways: New Opportunities for Adults (OJ C 484, 24.12.2016)</w:t>
      </w:r>
    </w:p>
  </w:footnote>
  <w:footnote w:id="19">
    <w:p w:rsidR="00731741" w:rsidRDefault="00731741" w:rsidP="008D2255">
      <w:pPr>
        <w:pStyle w:val="FootnoteText"/>
        <w:ind w:left="0" w:firstLine="0"/>
      </w:pPr>
      <w:r>
        <w:rPr>
          <w:rStyle w:val="FootnoteReference"/>
        </w:rPr>
        <w:footnoteRef/>
      </w:r>
      <w:r>
        <w:t xml:space="preserve"> </w:t>
      </w:r>
      <w:r w:rsidR="0034219E" w:rsidRPr="00731741">
        <w:t>All Member States are subject to ongoing assessment of their anti-corruption general policy landscape and</w:t>
      </w:r>
      <w:r w:rsidR="0034219E">
        <w:t xml:space="preserve"> </w:t>
      </w:r>
      <w:r w:rsidR="0034219E" w:rsidRPr="00731741">
        <w:t>anti-corruption efforts.  The Commission has analysed the key challenges in the country reports for several Member States, where there are particularly significant risks and gaps that act as obstacles for investment, efficient resource allocation, economic performance and growth.</w:t>
      </w:r>
    </w:p>
  </w:footnote>
  <w:footnote w:id="20">
    <w:p w:rsidR="00A50063" w:rsidRPr="00CB67E3" w:rsidRDefault="00A50063" w:rsidP="00A50063">
      <w:pPr>
        <w:spacing w:after="0"/>
        <w:jc w:val="both"/>
        <w:rPr>
          <w:rFonts w:ascii="Times New Roman" w:hAnsi="Times New Roman"/>
          <w:sz w:val="14"/>
          <w:szCs w:val="16"/>
        </w:rPr>
      </w:pPr>
      <w:r w:rsidRPr="008D2255">
        <w:rPr>
          <w:rStyle w:val="FootnoteReference"/>
          <w:rFonts w:ascii="Times New Roman" w:hAnsi="Times New Roman"/>
          <w:sz w:val="16"/>
          <w:szCs w:val="16"/>
        </w:rPr>
        <w:footnoteRef/>
      </w:r>
      <w:r w:rsidRPr="008D2255">
        <w:rPr>
          <w:rFonts w:ascii="Times New Roman" w:hAnsi="Times New Roman"/>
          <w:sz w:val="16"/>
          <w:szCs w:val="16"/>
        </w:rPr>
        <w:t xml:space="preserve"> Both the 'imbalances' and 'excessive imbalances' categories entail specific monitoring, to be modulated depending on the severity of the challenges.  </w:t>
      </w:r>
    </w:p>
  </w:footnote>
  <w:footnote w:id="21">
    <w:p w:rsidR="00A50063" w:rsidRPr="008D2255" w:rsidRDefault="00A50063" w:rsidP="00A50063">
      <w:pPr>
        <w:spacing w:after="0"/>
        <w:jc w:val="both"/>
        <w:rPr>
          <w:rFonts w:ascii="Times New Roman" w:hAnsi="Times New Roman"/>
          <w:sz w:val="16"/>
          <w:szCs w:val="16"/>
        </w:rPr>
      </w:pPr>
      <w:r w:rsidRPr="008D2255">
        <w:rPr>
          <w:rStyle w:val="FootnoteReference"/>
          <w:rFonts w:ascii="Times New Roman" w:hAnsi="Times New Roman"/>
          <w:sz w:val="16"/>
          <w:szCs w:val="16"/>
        </w:rPr>
        <w:footnoteRef/>
      </w:r>
      <w:r w:rsidRPr="008D2255">
        <w:rPr>
          <w:rFonts w:ascii="Times New Roman" w:hAnsi="Times New Roman"/>
          <w:sz w:val="16"/>
          <w:szCs w:val="16"/>
        </w:rPr>
        <w:t xml:space="preserve"> Debt rule: If the 60% reference for the debt-to-GDP ratio is not respected, the Member State concerned will be put in the Excessive Deficit Procedure, after taking into account all relevant factors and the impact of the economic cycle, if the gap between its debt ratio and the 60% reference is not reduced by 1/20th annually (on average over three years). Transitional debt rule: each Member State in the Excessive Deficit Procedure is granted a three-year period following the correction of the excessive deficit for meeting the debt rule. This does not mean that the debt rule does not apply during this period as Member States should make sufficient progress towards compliance during this transitional period. A negative assessment of progress made towards compliance with the debt benchmark during the transition period could lead to the opening of an Excessive Deficit Procedure.</w:t>
      </w:r>
    </w:p>
  </w:footnote>
  <w:footnote w:id="22">
    <w:p w:rsidR="00A50063" w:rsidRPr="008D2255" w:rsidRDefault="00A50063" w:rsidP="00A50063">
      <w:pPr>
        <w:pStyle w:val="FootnoteText"/>
        <w:rPr>
          <w:sz w:val="22"/>
        </w:rPr>
      </w:pPr>
      <w:r w:rsidRPr="008D2255">
        <w:rPr>
          <w:rStyle w:val="FootnoteReference"/>
          <w:sz w:val="16"/>
          <w:szCs w:val="16"/>
        </w:rPr>
        <w:footnoteRef/>
      </w:r>
      <w:r w:rsidRPr="008D2255">
        <w:rPr>
          <w:sz w:val="16"/>
          <w:szCs w:val="16"/>
        </w:rPr>
        <w:t xml:space="preserve"> Conditioned on the abrogation of the EDP decision based on validated outturn budgetary data for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97" w:rsidRPr="00C56D97" w:rsidRDefault="00C56D97" w:rsidP="00C56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97" w:rsidRPr="00C56D97" w:rsidRDefault="00C56D97" w:rsidP="00C56D9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97" w:rsidRPr="00C56D97" w:rsidRDefault="00C56D97" w:rsidP="00C56D9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A2E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80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CA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18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1A4C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708F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40FE8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661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8D7A1C"/>
    <w:multiLevelType w:val="hybridMultilevel"/>
    <w:tmpl w:val="B97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207E1C"/>
    <w:multiLevelType w:val="hybridMultilevel"/>
    <w:tmpl w:val="7F94F1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706B30"/>
    <w:multiLevelType w:val="hybridMultilevel"/>
    <w:tmpl w:val="C4B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B357D7"/>
    <w:multiLevelType w:val="hybridMultilevel"/>
    <w:tmpl w:val="530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3267FF8"/>
    <w:multiLevelType w:val="hybridMultilevel"/>
    <w:tmpl w:val="E578B2DE"/>
    <w:lvl w:ilvl="0" w:tplc="48707CA2">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3493D87"/>
    <w:multiLevelType w:val="hybridMultilevel"/>
    <w:tmpl w:val="C15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54262F9"/>
    <w:multiLevelType w:val="hybridMultilevel"/>
    <w:tmpl w:val="37F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7757AB"/>
    <w:multiLevelType w:val="hybridMultilevel"/>
    <w:tmpl w:val="EB2A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8E17EB"/>
    <w:multiLevelType w:val="hybridMultilevel"/>
    <w:tmpl w:val="7F902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12313C5"/>
    <w:multiLevelType w:val="hybridMultilevel"/>
    <w:tmpl w:val="61DA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144660F"/>
    <w:multiLevelType w:val="hybridMultilevel"/>
    <w:tmpl w:val="340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DF0084"/>
    <w:multiLevelType w:val="hybridMultilevel"/>
    <w:tmpl w:val="B814640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ABF1D1B"/>
    <w:multiLevelType w:val="hybridMultilevel"/>
    <w:tmpl w:val="8A5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DB23442"/>
    <w:multiLevelType w:val="hybridMultilevel"/>
    <w:tmpl w:val="60EA5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DE01B5D"/>
    <w:multiLevelType w:val="hybridMultilevel"/>
    <w:tmpl w:val="0C66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CC6DC3"/>
    <w:multiLevelType w:val="hybridMultilevel"/>
    <w:tmpl w:val="6634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65055BD"/>
    <w:multiLevelType w:val="hybridMultilevel"/>
    <w:tmpl w:val="09DEECE2"/>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823489E"/>
    <w:multiLevelType w:val="hybridMultilevel"/>
    <w:tmpl w:val="1DEC5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F0D1CAC"/>
    <w:multiLevelType w:val="hybridMultilevel"/>
    <w:tmpl w:val="40E8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17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44DE1"/>
    <w:multiLevelType w:val="hybridMultilevel"/>
    <w:tmpl w:val="D4C08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4B1388"/>
    <w:multiLevelType w:val="hybridMultilevel"/>
    <w:tmpl w:val="2B604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6C96096"/>
    <w:multiLevelType w:val="hybridMultilevel"/>
    <w:tmpl w:val="6A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9"/>
    <w:lvlOverride w:ilvl="0">
      <w:startOverride w:val="1"/>
    </w:lvlOverride>
  </w:num>
  <w:num w:numId="10">
    <w:abstractNumId w:val="31"/>
  </w:num>
  <w:num w:numId="11">
    <w:abstractNumId w:val="22"/>
  </w:num>
  <w:num w:numId="12">
    <w:abstractNumId w:val="37"/>
  </w:num>
  <w:num w:numId="13">
    <w:abstractNumId w:val="15"/>
  </w:num>
  <w:num w:numId="14">
    <w:abstractNumId w:val="23"/>
  </w:num>
  <w:num w:numId="15">
    <w:abstractNumId w:val="12"/>
  </w:num>
  <w:num w:numId="16">
    <w:abstractNumId w:val="35"/>
  </w:num>
  <w:num w:numId="17">
    <w:abstractNumId w:val="10"/>
  </w:num>
  <w:num w:numId="18">
    <w:abstractNumId w:val="24"/>
  </w:num>
  <w:num w:numId="19">
    <w:abstractNumId w:val="30"/>
  </w:num>
  <w:num w:numId="20">
    <w:abstractNumId w:val="14"/>
  </w:num>
  <w:num w:numId="21">
    <w:abstractNumId w:val="27"/>
  </w:num>
  <w:num w:numId="22">
    <w:abstractNumId w:val="43"/>
  </w:num>
  <w:num w:numId="23">
    <w:abstractNumId w:val="39"/>
  </w:num>
  <w:num w:numId="24">
    <w:abstractNumId w:val="26"/>
  </w:num>
  <w:num w:numId="25">
    <w:abstractNumId w:val="36"/>
  </w:num>
  <w:num w:numId="26">
    <w:abstractNumId w:val="25"/>
  </w:num>
  <w:num w:numId="27">
    <w:abstractNumId w:val="28"/>
  </w:num>
  <w:num w:numId="28">
    <w:abstractNumId w:val="41"/>
  </w:num>
  <w:num w:numId="29">
    <w:abstractNumId w:val="40"/>
  </w:num>
  <w:num w:numId="30">
    <w:abstractNumId w:val="29"/>
  </w:num>
  <w:num w:numId="31">
    <w:abstractNumId w:val="17"/>
  </w:num>
  <w:num w:numId="32">
    <w:abstractNumId w:val="9"/>
  </w:num>
  <w:num w:numId="33">
    <w:abstractNumId w:val="32"/>
  </w:num>
  <w:num w:numId="34">
    <w:abstractNumId w:val="19"/>
  </w:num>
  <w:num w:numId="35">
    <w:abstractNumId w:val="16"/>
  </w:num>
  <w:num w:numId="36">
    <w:abstractNumId w:val="38"/>
  </w:num>
  <w:num w:numId="37">
    <w:abstractNumId w:val="20"/>
  </w:num>
  <w:num w:numId="38">
    <w:abstractNumId w:val="18"/>
  </w:num>
  <w:num w:numId="39">
    <w:abstractNumId w:val="42"/>
  </w:num>
  <w:num w:numId="40">
    <w:abstractNumId w:val="33"/>
  </w:num>
  <w:num w:numId="41">
    <w:abstractNumId w:val="34"/>
  </w:num>
  <w:num w:numId="42">
    <w:abstractNumId w:val="8"/>
  </w:num>
  <w:num w:numId="43">
    <w:abstractNumId w:val="11"/>
  </w:num>
  <w:num w:numId="44">
    <w:abstractNumId w:val="13"/>
  </w:num>
  <w:num w:numId="45">
    <w:abstractNumId w:val="21"/>
  </w:num>
  <w:num w:numId="4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7E5B27-A360-4578-83A1-3F5B8A90D1E1"/>
    <w:docVar w:name="LW_COVERPAGE_TYPE" w:val="1"/>
    <w:docVar w:name="LW_CROSSREFERENCE" w:val="{SWD(2018) 200-226}"/>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8) 12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2018 European Semester: Assessment of progress on structural reforms, _x000b_prevention and correction of macroeconomic imbalances, and results of in-depth reviews under Regulation (EU) No 1176/2011"/>
    <w:docVar w:name="LW_TYPE.DOC.CP" w:val="COMMUNICATION FROM THE COMMISSION"/>
    <w:docVar w:name="LW_TYPE.DOC.CP.USERTEXT" w:val="TO THE EUROPEAN PARLIAMENT, THE COUNCIL, THE EUROPEAN CENTRAL BANK AND THE EUROGROUP_x000b_"/>
  </w:docVars>
  <w:rsids>
    <w:rsidRoot w:val="009C4294"/>
    <w:rsid w:val="00000472"/>
    <w:rsid w:val="00006F0E"/>
    <w:rsid w:val="00036B87"/>
    <w:rsid w:val="00043A7C"/>
    <w:rsid w:val="00054060"/>
    <w:rsid w:val="00083065"/>
    <w:rsid w:val="000C106E"/>
    <w:rsid w:val="000D09C1"/>
    <w:rsid w:val="000F0120"/>
    <w:rsid w:val="00104515"/>
    <w:rsid w:val="00124AF8"/>
    <w:rsid w:val="001546E8"/>
    <w:rsid w:val="00155F8D"/>
    <w:rsid w:val="00164CEA"/>
    <w:rsid w:val="001866BD"/>
    <w:rsid w:val="001A020E"/>
    <w:rsid w:val="001B78A7"/>
    <w:rsid w:val="001F0524"/>
    <w:rsid w:val="00202C1C"/>
    <w:rsid w:val="00213699"/>
    <w:rsid w:val="00215141"/>
    <w:rsid w:val="00226ABF"/>
    <w:rsid w:val="00314A0E"/>
    <w:rsid w:val="00325C96"/>
    <w:rsid w:val="0034219E"/>
    <w:rsid w:val="00361F89"/>
    <w:rsid w:val="00362755"/>
    <w:rsid w:val="00384568"/>
    <w:rsid w:val="00393E5F"/>
    <w:rsid w:val="003C4B41"/>
    <w:rsid w:val="003D0AFE"/>
    <w:rsid w:val="003F5E15"/>
    <w:rsid w:val="004123BD"/>
    <w:rsid w:val="00463BA0"/>
    <w:rsid w:val="004778EE"/>
    <w:rsid w:val="00492D99"/>
    <w:rsid w:val="004A0AEB"/>
    <w:rsid w:val="004B48AE"/>
    <w:rsid w:val="004C6193"/>
    <w:rsid w:val="00570C63"/>
    <w:rsid w:val="005B52A7"/>
    <w:rsid w:val="00614915"/>
    <w:rsid w:val="0066083A"/>
    <w:rsid w:val="006A38C0"/>
    <w:rsid w:val="006B44F3"/>
    <w:rsid w:val="006D631C"/>
    <w:rsid w:val="006E1C88"/>
    <w:rsid w:val="00703922"/>
    <w:rsid w:val="00730608"/>
    <w:rsid w:val="00731741"/>
    <w:rsid w:val="007561B7"/>
    <w:rsid w:val="00794747"/>
    <w:rsid w:val="007D0D60"/>
    <w:rsid w:val="007D4028"/>
    <w:rsid w:val="00807A41"/>
    <w:rsid w:val="00821EC2"/>
    <w:rsid w:val="00825756"/>
    <w:rsid w:val="008A7CEE"/>
    <w:rsid w:val="008D2255"/>
    <w:rsid w:val="008D3102"/>
    <w:rsid w:val="008F125A"/>
    <w:rsid w:val="00931628"/>
    <w:rsid w:val="00943C65"/>
    <w:rsid w:val="0097162C"/>
    <w:rsid w:val="00974D18"/>
    <w:rsid w:val="00977E60"/>
    <w:rsid w:val="00986267"/>
    <w:rsid w:val="009945FF"/>
    <w:rsid w:val="009B42B2"/>
    <w:rsid w:val="009C4294"/>
    <w:rsid w:val="009F2B8E"/>
    <w:rsid w:val="00A02E76"/>
    <w:rsid w:val="00A305DF"/>
    <w:rsid w:val="00A36199"/>
    <w:rsid w:val="00A50063"/>
    <w:rsid w:val="00A543F3"/>
    <w:rsid w:val="00A66981"/>
    <w:rsid w:val="00A673A5"/>
    <w:rsid w:val="00A701D1"/>
    <w:rsid w:val="00A76F43"/>
    <w:rsid w:val="00A80C16"/>
    <w:rsid w:val="00B04FFF"/>
    <w:rsid w:val="00B141DE"/>
    <w:rsid w:val="00B21FE3"/>
    <w:rsid w:val="00B37D0C"/>
    <w:rsid w:val="00B409AA"/>
    <w:rsid w:val="00B92FAA"/>
    <w:rsid w:val="00BE298A"/>
    <w:rsid w:val="00C0329A"/>
    <w:rsid w:val="00C34DB9"/>
    <w:rsid w:val="00C56D97"/>
    <w:rsid w:val="00C60240"/>
    <w:rsid w:val="00C823B9"/>
    <w:rsid w:val="00CA6822"/>
    <w:rsid w:val="00CB67E3"/>
    <w:rsid w:val="00CE59E1"/>
    <w:rsid w:val="00CF58A0"/>
    <w:rsid w:val="00CF601D"/>
    <w:rsid w:val="00D02662"/>
    <w:rsid w:val="00D05650"/>
    <w:rsid w:val="00D3501B"/>
    <w:rsid w:val="00D3594B"/>
    <w:rsid w:val="00D41E44"/>
    <w:rsid w:val="00D43B69"/>
    <w:rsid w:val="00D52AEE"/>
    <w:rsid w:val="00D722E9"/>
    <w:rsid w:val="00D72644"/>
    <w:rsid w:val="00DC6C06"/>
    <w:rsid w:val="00DD7928"/>
    <w:rsid w:val="00E16AD3"/>
    <w:rsid w:val="00E31CCA"/>
    <w:rsid w:val="00EA2746"/>
    <w:rsid w:val="00EA7D7F"/>
    <w:rsid w:val="00ED7412"/>
    <w:rsid w:val="00EE660D"/>
    <w:rsid w:val="00EF1D3A"/>
    <w:rsid w:val="00F411F0"/>
    <w:rsid w:val="00F7049F"/>
    <w:rsid w:val="00F9104B"/>
    <w:rsid w:val="00F92005"/>
    <w:rsid w:val="00FA0417"/>
    <w:rsid w:val="00FC162E"/>
    <w:rsid w:val="00FC47F5"/>
    <w:rsid w:val="00FE2F6C"/>
    <w:rsid w:val="00FF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rsid w:val="009C4294"/>
    <w:pPr>
      <w:keepNext/>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qFormat/>
    <w:rsid w:val="009C4294"/>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rsid w:val="009C4294"/>
    <w:pPr>
      <w:keepNext/>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qFormat/>
    <w:rsid w:val="009C4294"/>
    <w:pPr>
      <w:keepNext/>
      <w:spacing w:before="120" w:after="120" w:line="240" w:lineRule="auto"/>
      <w:jc w:val="both"/>
      <w:outlineLvl w:val="3"/>
    </w:pPr>
    <w:rPr>
      <w:rFonts w:ascii="Times New Roman" w:eastAsia="Times New Roman" w:hAnsi="Times New Roman" w:cs="Times New Roman"/>
      <w:bCs/>
      <w:iCs/>
      <w:sz w:val="24"/>
      <w:szCs w:val="20"/>
      <w:lang w:eastAsia="en-GB"/>
    </w:rPr>
  </w:style>
  <w:style w:type="paragraph" w:styleId="Heading5">
    <w:name w:val="heading 5"/>
    <w:basedOn w:val="Normal"/>
    <w:next w:val="Normal"/>
    <w:link w:val="Heading5Char"/>
    <w:uiPriority w:val="9"/>
    <w:unhideWhenUsed/>
    <w:qFormat/>
    <w:rsid w:val="009C42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94"/>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9C4294"/>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9C4294"/>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sid w:val="009C4294"/>
    <w:rPr>
      <w:rFonts w:ascii="Times New Roman" w:eastAsia="Times New Roman" w:hAnsi="Times New Roman" w:cs="Times New Roman"/>
      <w:bCs/>
      <w:iCs/>
      <w:sz w:val="24"/>
      <w:szCs w:val="20"/>
      <w:lang w:eastAsia="en-GB"/>
    </w:rPr>
  </w:style>
  <w:style w:type="character" w:customStyle="1" w:styleId="Heading5Char">
    <w:name w:val="Heading 5 Char"/>
    <w:basedOn w:val="DefaultParagraphFont"/>
    <w:link w:val="Heading5"/>
    <w:uiPriority w:val="9"/>
    <w:rsid w:val="009C429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9C4294"/>
  </w:style>
  <w:style w:type="numbering" w:customStyle="1" w:styleId="NoList11">
    <w:name w:val="No List11"/>
    <w:next w:val="NoList"/>
    <w:uiPriority w:val="99"/>
    <w:semiHidden/>
    <w:unhideWhenUsed/>
    <w:rsid w:val="009C4294"/>
  </w:style>
  <w:style w:type="character" w:customStyle="1" w:styleId="Marker">
    <w:name w:val="Marker"/>
    <w:rsid w:val="009C4294"/>
    <w:rPr>
      <w:color w:val="0000FF"/>
      <w:shd w:val="clear" w:color="auto" w:fill="auto"/>
    </w:rPr>
  </w:style>
  <w:style w:type="paragraph" w:customStyle="1" w:styleId="Pagedecouverture">
    <w:name w:val="Page de couverture"/>
    <w:basedOn w:val="Normal"/>
    <w:next w:val="Normal"/>
    <w:rsid w:val="009C4294"/>
    <w:pPr>
      <w:spacing w:after="0" w:line="240" w:lineRule="auto"/>
      <w:jc w:val="both"/>
    </w:pPr>
    <w:rPr>
      <w:rFonts w:ascii="Times New Roman" w:eastAsia="Calibri" w:hAnsi="Times New Roman" w:cs="Times New Roman"/>
      <w:sz w:val="24"/>
      <w:lang w:val="fr-BE"/>
    </w:rPr>
  </w:style>
  <w:style w:type="paragraph" w:styleId="Header">
    <w:name w:val="header"/>
    <w:basedOn w:val="Normal"/>
    <w:link w:val="HeaderChar"/>
    <w:uiPriority w:val="99"/>
    <w:unhideWhenUsed/>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9C4294"/>
    <w:rPr>
      <w:rFonts w:ascii="Times New Roman" w:hAnsi="Times New Roman" w:cs="Times New Roman"/>
      <w:sz w:val="24"/>
    </w:rPr>
  </w:style>
  <w:style w:type="paragraph" w:styleId="Footer">
    <w:name w:val="footer"/>
    <w:basedOn w:val="Normal"/>
    <w:link w:val="FooterChar"/>
    <w:uiPriority w:val="99"/>
    <w:unhideWhenUsed/>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9C4294"/>
    <w:rPr>
      <w:rFonts w:ascii="Times New Roman" w:hAnsi="Times New Roman" w:cs="Times New Roman"/>
      <w:sz w:val="24"/>
    </w:rPr>
  </w:style>
  <w:style w:type="paragraph" w:customStyle="1" w:styleId="FooterCoverPage">
    <w:name w:val="Footer Cover Page"/>
    <w:basedOn w:val="Normal"/>
    <w:link w:val="FooterCoverPageChar"/>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9C4294"/>
    <w:rPr>
      <w:rFonts w:ascii="Times New Roman" w:hAnsi="Times New Roman" w:cs="Times New Roman"/>
      <w:sz w:val="24"/>
    </w:rPr>
  </w:style>
  <w:style w:type="paragraph" w:customStyle="1" w:styleId="HeaderCoverPage">
    <w:name w:val="Header Cover Page"/>
    <w:basedOn w:val="Normal"/>
    <w:link w:val="HeaderCoverPageChar"/>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9C4294"/>
    <w:rPr>
      <w:rFonts w:ascii="Times New Roman" w:hAnsi="Times New Roman" w:cs="Times New Roman"/>
      <w:sz w:val="24"/>
    </w:rPr>
  </w:style>
  <w:style w:type="paragraph" w:styleId="ListBullet">
    <w:name w:val="List Bullet"/>
    <w:basedOn w:val="Normal"/>
    <w:uiPriority w:val="99"/>
    <w:rsid w:val="009C4294"/>
    <w:pPr>
      <w:numPr>
        <w:numId w:val="1"/>
      </w:numPr>
      <w:spacing w:before="120" w:after="120" w:line="240" w:lineRule="auto"/>
      <w:jc w:val="both"/>
    </w:pPr>
    <w:rPr>
      <w:rFonts w:ascii="Times New Roman" w:eastAsia="Times New Roman" w:hAnsi="Times New Roman" w:cs="Times New Roman"/>
      <w:sz w:val="24"/>
      <w:szCs w:val="24"/>
      <w:lang w:eastAsia="en-GB"/>
    </w:rPr>
  </w:style>
  <w:style w:type="character" w:styleId="CommentReference">
    <w:name w:val="annotation reference"/>
    <w:uiPriority w:val="99"/>
    <w:rsid w:val="009C4294"/>
    <w:rPr>
      <w:sz w:val="16"/>
    </w:rPr>
  </w:style>
  <w:style w:type="paragraph" w:styleId="ListBullet2">
    <w:name w:val="List Bullet 2"/>
    <w:basedOn w:val="Normal"/>
    <w:uiPriority w:val="99"/>
    <w:semiHidden/>
    <w:unhideWhenUsed/>
    <w:rsid w:val="009C4294"/>
    <w:pPr>
      <w:numPr>
        <w:numId w:val="2"/>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semiHidden/>
    <w:unhideWhenUsed/>
    <w:rsid w:val="009C4294"/>
    <w:pPr>
      <w:numPr>
        <w:numId w:val="3"/>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semiHidden/>
    <w:unhideWhenUsed/>
    <w:rsid w:val="009C4294"/>
    <w:pPr>
      <w:numPr>
        <w:numId w:val="4"/>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9C4294"/>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9C4294"/>
    <w:rPr>
      <w:rFonts w:ascii="Tahoma" w:eastAsia="Times New Roman" w:hAnsi="Tahoma" w:cs="Tahoma"/>
      <w:sz w:val="16"/>
      <w:szCs w:val="16"/>
      <w:lang w:eastAsia="en-GB"/>
    </w:rPr>
  </w:style>
  <w:style w:type="character" w:styleId="Hyperlink">
    <w:name w:val="Hyperlink"/>
    <w:uiPriority w:val="99"/>
    <w:unhideWhenUsed/>
    <w:rsid w:val="009C4294"/>
    <w:rPr>
      <w:color w:val="0000FF"/>
      <w:u w:val="single"/>
    </w:rPr>
  </w:style>
  <w:style w:type="paragraph" w:styleId="CommentText">
    <w:name w:val="annotation text"/>
    <w:basedOn w:val="Normal"/>
    <w:link w:val="CommentTextChar"/>
    <w:uiPriority w:val="99"/>
    <w:unhideWhenUsed/>
    <w:rsid w:val="009C4294"/>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C42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4294"/>
    <w:rPr>
      <w:b/>
      <w:bCs/>
    </w:rPr>
  </w:style>
  <w:style w:type="character" w:customStyle="1" w:styleId="CommentSubjectChar">
    <w:name w:val="Comment Subject Char"/>
    <w:basedOn w:val="CommentTextChar"/>
    <w:link w:val="CommentSubject"/>
    <w:uiPriority w:val="99"/>
    <w:semiHidden/>
    <w:rsid w:val="009C4294"/>
    <w:rPr>
      <w:rFonts w:ascii="Times New Roman" w:eastAsia="Times New Roman" w:hAnsi="Times New Roman" w:cs="Times New Roman"/>
      <w:b/>
      <w:bCs/>
      <w:sz w:val="20"/>
      <w:szCs w:val="20"/>
      <w:lang w:eastAsia="en-GB"/>
    </w:rPr>
  </w:style>
  <w:style w:type="paragraph" w:customStyle="1" w:styleId="Default">
    <w:name w:val="Default"/>
    <w:rsid w:val="009C429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eaderTitleRight30">
    <w:name w:val="Header Title Right (30)"/>
    <w:basedOn w:val="Normal"/>
    <w:next w:val="Normal"/>
    <w:rsid w:val="009C4294"/>
    <w:pPr>
      <w:spacing w:before="100" w:after="40" w:line="240" w:lineRule="auto"/>
      <w:ind w:right="-850"/>
      <w:jc w:val="right"/>
    </w:pPr>
    <w:rPr>
      <w:rFonts w:ascii="Century Gothic" w:eastAsia="Times New Roman" w:hAnsi="Century Gothic" w:cs="Times New Roman"/>
      <w:color w:val="333399"/>
      <w:sz w:val="14"/>
      <w:szCs w:val="24"/>
      <w:lang w:eastAsia="en-GB"/>
    </w:rPr>
  </w:style>
  <w:style w:type="table" w:styleId="TableGrid">
    <w:name w:val="Table Grid"/>
    <w:basedOn w:val="TableNormal"/>
    <w:uiPriority w:val="59"/>
    <w:rsid w:val="009C429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C4294"/>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semiHidden/>
    <w:unhideWhenUsed/>
    <w:rsid w:val="009C4294"/>
    <w:p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uiPriority w:val="99"/>
    <w:semiHidden/>
    <w:unhideWhenUsed/>
    <w:rsid w:val="009C4294"/>
    <w:pPr>
      <w:numPr>
        <w:numId w:val="5"/>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uiPriority w:val="99"/>
    <w:semiHidden/>
    <w:unhideWhenUsed/>
    <w:rsid w:val="009C4294"/>
    <w:pPr>
      <w:numPr>
        <w:numId w:val="6"/>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uiPriority w:val="99"/>
    <w:semiHidden/>
    <w:unhideWhenUsed/>
    <w:rsid w:val="009C4294"/>
    <w:pPr>
      <w:numPr>
        <w:numId w:val="7"/>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uiPriority w:val="99"/>
    <w:semiHidden/>
    <w:unhideWhenUsed/>
    <w:rsid w:val="009C4294"/>
    <w:pPr>
      <w:numPr>
        <w:numId w:val="8"/>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rsid w:val="009C4294"/>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sid w:val="009C4294"/>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rsid w:val="009C4294"/>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rsid w:val="009C4294"/>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rsid w:val="009C4294"/>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rsid w:val="009C4294"/>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rsid w:val="009C4294"/>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rsid w:val="009C4294"/>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rsid w:val="009C4294"/>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9C4294"/>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sid w:val="009C4294"/>
    <w:rPr>
      <w:vertAlign w:val="superscript"/>
    </w:rPr>
  </w:style>
  <w:style w:type="paragraph" w:customStyle="1" w:styleId="Text1">
    <w:name w:val="Text 1"/>
    <w:basedOn w:val="Normal"/>
    <w:rsid w:val="009C4294"/>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rsid w:val="009C4294"/>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rsid w:val="009C4294"/>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rsid w:val="009C4294"/>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rsid w:val="009C4294"/>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rsid w:val="009C4294"/>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rsid w:val="009C4294"/>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rsid w:val="009C4294"/>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rsid w:val="009C4294"/>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rsid w:val="009C4294"/>
    <w:pPr>
      <w:numPr>
        <w:numId w:val="10"/>
      </w:numPr>
    </w:pPr>
  </w:style>
  <w:style w:type="paragraph" w:customStyle="1" w:styleId="Tiret1">
    <w:name w:val="Tiret 1"/>
    <w:basedOn w:val="Point1"/>
    <w:rsid w:val="009C4294"/>
    <w:pPr>
      <w:numPr>
        <w:numId w:val="11"/>
      </w:numPr>
    </w:pPr>
  </w:style>
  <w:style w:type="paragraph" w:customStyle="1" w:styleId="Tiret2">
    <w:name w:val="Tiret 2"/>
    <w:basedOn w:val="Point2"/>
    <w:rsid w:val="009C4294"/>
    <w:pPr>
      <w:numPr>
        <w:numId w:val="12"/>
      </w:numPr>
    </w:pPr>
  </w:style>
  <w:style w:type="paragraph" w:customStyle="1" w:styleId="Tiret3">
    <w:name w:val="Tiret 3"/>
    <w:basedOn w:val="Point3"/>
    <w:rsid w:val="009C4294"/>
    <w:pPr>
      <w:numPr>
        <w:numId w:val="13"/>
      </w:numPr>
    </w:pPr>
  </w:style>
  <w:style w:type="paragraph" w:customStyle="1" w:styleId="Tiret4">
    <w:name w:val="Tiret 4"/>
    <w:basedOn w:val="Point4"/>
    <w:rsid w:val="009C4294"/>
    <w:pPr>
      <w:numPr>
        <w:numId w:val="14"/>
      </w:numPr>
    </w:pPr>
  </w:style>
  <w:style w:type="paragraph" w:customStyle="1" w:styleId="PointDouble0">
    <w:name w:val="PointDouble 0"/>
    <w:basedOn w:val="Normal"/>
    <w:rsid w:val="009C4294"/>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rsid w:val="009C4294"/>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rsid w:val="009C4294"/>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rsid w:val="009C4294"/>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rsid w:val="009C4294"/>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rsid w:val="009C4294"/>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rsid w:val="009C4294"/>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rsid w:val="009C4294"/>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rsid w:val="009C4294"/>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rsid w:val="009C4294"/>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rsid w:val="009C4294"/>
    <w:pPr>
      <w:numPr>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rsid w:val="009C4294"/>
    <w:pPr>
      <w:numPr>
        <w:ilvl w:val="1"/>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rsid w:val="009C4294"/>
    <w:pPr>
      <w:numPr>
        <w:ilvl w:val="2"/>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rsid w:val="009C4294"/>
    <w:pPr>
      <w:numPr>
        <w:ilvl w:val="3"/>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rsid w:val="009C429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rsid w:val="009C4294"/>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rsid w:val="009C4294"/>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rsid w:val="009C4294"/>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rsid w:val="009C4294"/>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rsid w:val="009C4294"/>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rsid w:val="009C4294"/>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rsid w:val="009C4294"/>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1">
    <w:name w:val="Marker1"/>
    <w:rsid w:val="009C4294"/>
    <w:rPr>
      <w:color w:val="008000"/>
      <w:shd w:val="clear" w:color="auto" w:fill="auto"/>
    </w:rPr>
  </w:style>
  <w:style w:type="character" w:customStyle="1" w:styleId="Marker2">
    <w:name w:val="Marker2"/>
    <w:rsid w:val="009C4294"/>
    <w:rPr>
      <w:color w:val="FF0000"/>
      <w:shd w:val="clear" w:color="auto" w:fill="auto"/>
    </w:rPr>
  </w:style>
  <w:style w:type="paragraph" w:customStyle="1" w:styleId="Point0number">
    <w:name w:val="Point 0 (number)"/>
    <w:basedOn w:val="Normal"/>
    <w:rsid w:val="009C4294"/>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9C4294"/>
    <w:pPr>
      <w:numPr>
        <w:ilvl w:val="2"/>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9C4294"/>
    <w:pPr>
      <w:numPr>
        <w:ilvl w:val="4"/>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9C4294"/>
    <w:pPr>
      <w:numPr>
        <w:ilvl w:val="6"/>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9C4294"/>
    <w:pPr>
      <w:numPr>
        <w:ilvl w:val="1"/>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9C4294"/>
    <w:pPr>
      <w:numPr>
        <w:ilvl w:val="3"/>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9C4294"/>
    <w:pPr>
      <w:numPr>
        <w:ilvl w:val="5"/>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9C4294"/>
    <w:pPr>
      <w:numPr>
        <w:ilvl w:val="7"/>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9C4294"/>
    <w:pPr>
      <w:numPr>
        <w:ilvl w:val="8"/>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9C4294"/>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rsid w:val="009C4294"/>
    <w:pPr>
      <w:numPr>
        <w:numId w:val="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rsid w:val="009C4294"/>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rsid w:val="009C4294"/>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rsid w:val="009C4294"/>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rsid w:val="009C4294"/>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rsid w:val="009C4294"/>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rsid w:val="009C4294"/>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rsid w:val="009C4294"/>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rsid w:val="009C4294"/>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rsid w:val="009C4294"/>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rsid w:val="009C4294"/>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rsid w:val="009C4294"/>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rsid w:val="009C4294"/>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rsid w:val="009C4294"/>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rsid w:val="009C4294"/>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rsid w:val="009C4294"/>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rsid w:val="009C4294"/>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rsid w:val="009C4294"/>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rsid w:val="009C4294"/>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rsid w:val="009C4294"/>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rsid w:val="009C4294"/>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sid w:val="009C4294"/>
    <w:rPr>
      <w:b/>
      <w:u w:val="single"/>
      <w:shd w:val="clear" w:color="auto" w:fill="auto"/>
    </w:rPr>
  </w:style>
  <w:style w:type="character" w:customStyle="1" w:styleId="Deleted">
    <w:name w:val="Deleted"/>
    <w:rsid w:val="009C4294"/>
    <w:rPr>
      <w:strike/>
      <w:dstrike w:val="0"/>
      <w:shd w:val="clear" w:color="auto" w:fill="auto"/>
    </w:rPr>
  </w:style>
  <w:style w:type="paragraph" w:customStyle="1" w:styleId="Address">
    <w:name w:val="Address"/>
    <w:basedOn w:val="Normal"/>
    <w:next w:val="Normal"/>
    <w:rsid w:val="009C4294"/>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rsid w:val="009C4294"/>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Supertitre">
    <w:name w:val="Supertitre"/>
    <w:basedOn w:val="Normal"/>
    <w:next w:val="Normal"/>
    <w:rsid w:val="009C4294"/>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rsid w:val="009C4294"/>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9C4294"/>
  </w:style>
  <w:style w:type="paragraph" w:customStyle="1" w:styleId="RfrenceinterinstitutionnellePagedecouverture">
    <w:name w:val="Référence interinstitutionnelle (Page de couverture)"/>
    <w:basedOn w:val="Rfrenceinterinstitutionnelle"/>
    <w:next w:val="Confidentialit"/>
    <w:rsid w:val="009C4294"/>
  </w:style>
  <w:style w:type="paragraph" w:customStyle="1" w:styleId="Sous-titreobjetPagedecouverture">
    <w:name w:val="Sous-titre objet (Page de couverture)"/>
    <w:basedOn w:val="Sous-titreobjet"/>
    <w:rsid w:val="009C4294"/>
  </w:style>
  <w:style w:type="paragraph" w:customStyle="1" w:styleId="StatutPagedecouverture">
    <w:name w:val="Statut (Page de couverture)"/>
    <w:basedOn w:val="Statut"/>
    <w:next w:val="TypedudocumentPagedecouverture"/>
    <w:rsid w:val="009C4294"/>
  </w:style>
  <w:style w:type="paragraph" w:customStyle="1" w:styleId="TitreobjetPagedecouverture">
    <w:name w:val="Titre objet (Page de couverture)"/>
    <w:basedOn w:val="Titreobjet"/>
    <w:next w:val="Sous-titreobjetPagedecouverture"/>
    <w:rsid w:val="009C4294"/>
  </w:style>
  <w:style w:type="paragraph" w:customStyle="1" w:styleId="TypedudocumentPagedecouverture">
    <w:name w:val="Type du document (Page de couverture)"/>
    <w:basedOn w:val="Typedudocument"/>
    <w:next w:val="TitreobjetPagedecouverture"/>
    <w:rsid w:val="009C4294"/>
  </w:style>
  <w:style w:type="paragraph" w:customStyle="1" w:styleId="Volume">
    <w:name w:val="Volum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rsid w:val="009C4294"/>
    <w:pPr>
      <w:spacing w:after="240"/>
    </w:pPr>
  </w:style>
  <w:style w:type="paragraph" w:customStyle="1" w:styleId="Accompagnant">
    <w:name w:val="Accompagnant"/>
    <w:basedOn w:val="Normal"/>
    <w:next w:val="Typeacteprincipal"/>
    <w:rsid w:val="009C4294"/>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9C4294"/>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rsid w:val="009C4294"/>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rsid w:val="009C4294"/>
  </w:style>
  <w:style w:type="paragraph" w:customStyle="1" w:styleId="AccompagnantPagedecouverture">
    <w:name w:val="Accompagnant (Page de couverture)"/>
    <w:basedOn w:val="Accompagnant"/>
    <w:next w:val="TypeacteprincipalPagedecouverture"/>
    <w:rsid w:val="009C4294"/>
  </w:style>
  <w:style w:type="paragraph" w:customStyle="1" w:styleId="TypeacteprincipalPagedecouverture">
    <w:name w:val="Type acte principal (Page de couverture)"/>
    <w:basedOn w:val="Typeacteprincipal"/>
    <w:next w:val="ObjetacteprincipalPagedecouverture"/>
    <w:rsid w:val="009C4294"/>
  </w:style>
  <w:style w:type="paragraph" w:customStyle="1" w:styleId="ObjetacteprincipalPagedecouverture">
    <w:name w:val="Objet acte principal (Page de couverture)"/>
    <w:basedOn w:val="Objetacteprincipal"/>
    <w:next w:val="Rfrencecroise"/>
    <w:rsid w:val="009C4294"/>
  </w:style>
  <w:style w:type="paragraph" w:customStyle="1" w:styleId="LanguesfaisantfoiPagedecouverture">
    <w:name w:val="Langues faisant foi (Page de couverture)"/>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Date1">
    <w:name w:val="Date1"/>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9C4294"/>
    <w:rPr>
      <w:i/>
      <w:iCs/>
    </w:rPr>
  </w:style>
  <w:style w:type="character" w:styleId="Strong">
    <w:name w:val="Strong"/>
    <w:uiPriority w:val="22"/>
    <w:qFormat/>
    <w:rsid w:val="009C4294"/>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C4294"/>
    <w:pPr>
      <w:spacing w:after="160" w:line="240" w:lineRule="exact"/>
      <w:jc w:val="both"/>
    </w:pPr>
    <w:rPr>
      <w:vertAlign w:val="superscript"/>
    </w:rPr>
  </w:style>
  <w:style w:type="paragraph" w:styleId="Revision">
    <w:name w:val="Revision"/>
    <w:hidden/>
    <w:uiPriority w:val="99"/>
    <w:semiHidden/>
    <w:rsid w:val="009C4294"/>
    <w:pPr>
      <w:spacing w:after="0" w:line="240" w:lineRule="auto"/>
    </w:pPr>
    <w:rPr>
      <w:rFonts w:ascii="Calibri" w:eastAsia="Calibri" w:hAnsi="Calibri" w:cs="Times New Roman"/>
      <w:lang w:val="fr-BE"/>
    </w:rPr>
  </w:style>
  <w:style w:type="paragraph" w:customStyle="1" w:styleId="Date2">
    <w:name w:val="Date2"/>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4294"/>
    <w:pPr>
      <w:spacing w:after="0" w:line="240" w:lineRule="auto"/>
      <w:ind w:left="720"/>
      <w:contextualSpacing/>
    </w:pPr>
    <w:rPr>
      <w:rFonts w:ascii="Calibri" w:eastAsia="Times New Roman" w:hAnsi="Calibri" w:cs="Times New Roman"/>
      <w:lang w:val="fr-BE"/>
    </w:rPr>
  </w:style>
  <w:style w:type="paragraph" w:customStyle="1" w:styleId="Body">
    <w:name w:val="Body"/>
    <w:rsid w:val="009C4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basedOn w:val="Normal"/>
    <w:link w:val="EndnoteTextChar"/>
    <w:uiPriority w:val="99"/>
    <w:semiHidden/>
    <w:unhideWhenUsed/>
    <w:rsid w:val="009C429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429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4294"/>
    <w:rPr>
      <w:vertAlign w:val="superscript"/>
    </w:rPr>
  </w:style>
  <w:style w:type="table" w:styleId="MediumShading2-Accent1">
    <w:name w:val="Medium Shading 2 Accent 1"/>
    <w:basedOn w:val="TableNormal"/>
    <w:uiPriority w:val="64"/>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rsid w:val="009C429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ZCom">
    <w:name w:val="Z_Com"/>
    <w:basedOn w:val="Normal"/>
    <w:next w:val="ZDGName"/>
    <w:uiPriority w:val="99"/>
    <w:rsid w:val="009C4294"/>
    <w:pPr>
      <w:widowControl w:val="0"/>
      <w:autoSpaceDE w:val="0"/>
      <w:autoSpaceDN w:val="0"/>
      <w:spacing w:before="120"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9C4294"/>
    <w:pPr>
      <w:widowControl w:val="0"/>
      <w:autoSpaceDE w:val="0"/>
      <w:autoSpaceDN w:val="0"/>
      <w:spacing w:before="120" w:after="0" w:line="240" w:lineRule="auto"/>
      <w:ind w:right="85"/>
      <w:jc w:val="both"/>
    </w:pPr>
    <w:rPr>
      <w:rFonts w:ascii="Arial" w:eastAsia="Times New Roman" w:hAnsi="Arial" w:cs="Arial"/>
      <w:sz w:val="16"/>
      <w:szCs w:val="16"/>
      <w:lang w:eastAsia="en-GB"/>
    </w:rPr>
  </w:style>
  <w:style w:type="paragraph" w:customStyle="1" w:styleId="Declassification">
    <w:name w:val="Declassification"/>
    <w:basedOn w:val="Normal"/>
    <w:next w:val="Normal"/>
    <w:rsid w:val="009C4294"/>
    <w:pPr>
      <w:spacing w:after="0" w:line="240" w:lineRule="auto"/>
      <w:jc w:val="both"/>
    </w:pPr>
    <w:rPr>
      <w:rFonts w:ascii="Times New Roman" w:hAnsi="Times New Roman" w:cs="Times New Roman"/>
      <w:sz w:val="24"/>
    </w:rPr>
  </w:style>
  <w:style w:type="paragraph" w:customStyle="1" w:styleId="HeaderSensitivity">
    <w:name w:val="Header Sensitivity"/>
    <w:basedOn w:val="Normal"/>
    <w:rsid w:val="009C429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rsid w:val="009C429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ColorfulGrid-Accent6">
    <w:name w:val="Colorful Grid Accent 6"/>
    <w:basedOn w:val="TableNormal"/>
    <w:uiPriority w:val="73"/>
    <w:rsid w:val="009C4294"/>
    <w:pPr>
      <w:spacing w:after="0" w:line="240" w:lineRule="auto"/>
    </w:pPr>
    <w:rPr>
      <w:rFonts w:ascii="Calibri" w:eastAsia="Calibri" w:hAnsi="Calibri"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otnoteCharacters">
    <w:name w:val="Footnote Characters"/>
    <w:rsid w:val="009C4294"/>
  </w:style>
  <w:style w:type="paragraph" w:customStyle="1" w:styleId="Heqd">
    <w:name w:val="Heqd"/>
    <w:basedOn w:val="Normal"/>
    <w:rsid w:val="00215141"/>
    <w:pPr>
      <w:spacing w:before="120" w:after="120" w:line="240" w:lineRule="auto"/>
      <w:jc w:val="center"/>
    </w:pPr>
    <w:rPr>
      <w:rFonts w:ascii="Times New Roman" w:eastAsia="Calibri" w:hAnsi="Times New Roman" w:cs="Times New Roman"/>
      <w:b/>
      <w:smallCap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rsid w:val="009C4294"/>
    <w:pPr>
      <w:keepNext/>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qFormat/>
    <w:rsid w:val="009C4294"/>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rsid w:val="009C4294"/>
    <w:pPr>
      <w:keepNext/>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qFormat/>
    <w:rsid w:val="009C4294"/>
    <w:pPr>
      <w:keepNext/>
      <w:spacing w:before="120" w:after="120" w:line="240" w:lineRule="auto"/>
      <w:jc w:val="both"/>
      <w:outlineLvl w:val="3"/>
    </w:pPr>
    <w:rPr>
      <w:rFonts w:ascii="Times New Roman" w:eastAsia="Times New Roman" w:hAnsi="Times New Roman" w:cs="Times New Roman"/>
      <w:bCs/>
      <w:iCs/>
      <w:sz w:val="24"/>
      <w:szCs w:val="20"/>
      <w:lang w:eastAsia="en-GB"/>
    </w:rPr>
  </w:style>
  <w:style w:type="paragraph" w:styleId="Heading5">
    <w:name w:val="heading 5"/>
    <w:basedOn w:val="Normal"/>
    <w:next w:val="Normal"/>
    <w:link w:val="Heading5Char"/>
    <w:uiPriority w:val="9"/>
    <w:unhideWhenUsed/>
    <w:qFormat/>
    <w:rsid w:val="009C42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94"/>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9C4294"/>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9C4294"/>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sid w:val="009C4294"/>
    <w:rPr>
      <w:rFonts w:ascii="Times New Roman" w:eastAsia="Times New Roman" w:hAnsi="Times New Roman" w:cs="Times New Roman"/>
      <w:bCs/>
      <w:iCs/>
      <w:sz w:val="24"/>
      <w:szCs w:val="20"/>
      <w:lang w:eastAsia="en-GB"/>
    </w:rPr>
  </w:style>
  <w:style w:type="character" w:customStyle="1" w:styleId="Heading5Char">
    <w:name w:val="Heading 5 Char"/>
    <w:basedOn w:val="DefaultParagraphFont"/>
    <w:link w:val="Heading5"/>
    <w:uiPriority w:val="9"/>
    <w:rsid w:val="009C429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9C4294"/>
  </w:style>
  <w:style w:type="numbering" w:customStyle="1" w:styleId="NoList11">
    <w:name w:val="No List11"/>
    <w:next w:val="NoList"/>
    <w:uiPriority w:val="99"/>
    <w:semiHidden/>
    <w:unhideWhenUsed/>
    <w:rsid w:val="009C4294"/>
  </w:style>
  <w:style w:type="character" w:customStyle="1" w:styleId="Marker">
    <w:name w:val="Marker"/>
    <w:rsid w:val="009C4294"/>
    <w:rPr>
      <w:color w:val="0000FF"/>
      <w:shd w:val="clear" w:color="auto" w:fill="auto"/>
    </w:rPr>
  </w:style>
  <w:style w:type="paragraph" w:customStyle="1" w:styleId="Pagedecouverture">
    <w:name w:val="Page de couverture"/>
    <w:basedOn w:val="Normal"/>
    <w:next w:val="Normal"/>
    <w:rsid w:val="009C4294"/>
    <w:pPr>
      <w:spacing w:after="0" w:line="240" w:lineRule="auto"/>
      <w:jc w:val="both"/>
    </w:pPr>
    <w:rPr>
      <w:rFonts w:ascii="Times New Roman" w:eastAsia="Calibri" w:hAnsi="Times New Roman" w:cs="Times New Roman"/>
      <w:sz w:val="24"/>
      <w:lang w:val="fr-BE"/>
    </w:rPr>
  </w:style>
  <w:style w:type="paragraph" w:styleId="Header">
    <w:name w:val="header"/>
    <w:basedOn w:val="Normal"/>
    <w:link w:val="HeaderChar"/>
    <w:uiPriority w:val="99"/>
    <w:unhideWhenUsed/>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9C4294"/>
    <w:rPr>
      <w:rFonts w:ascii="Times New Roman" w:hAnsi="Times New Roman" w:cs="Times New Roman"/>
      <w:sz w:val="24"/>
    </w:rPr>
  </w:style>
  <w:style w:type="paragraph" w:styleId="Footer">
    <w:name w:val="footer"/>
    <w:basedOn w:val="Normal"/>
    <w:link w:val="FooterChar"/>
    <w:uiPriority w:val="99"/>
    <w:unhideWhenUsed/>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9C4294"/>
    <w:rPr>
      <w:rFonts w:ascii="Times New Roman" w:hAnsi="Times New Roman" w:cs="Times New Roman"/>
      <w:sz w:val="24"/>
    </w:rPr>
  </w:style>
  <w:style w:type="paragraph" w:customStyle="1" w:styleId="FooterCoverPage">
    <w:name w:val="Footer Cover Page"/>
    <w:basedOn w:val="Normal"/>
    <w:link w:val="FooterCoverPageChar"/>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9C4294"/>
    <w:rPr>
      <w:rFonts w:ascii="Times New Roman" w:hAnsi="Times New Roman" w:cs="Times New Roman"/>
      <w:sz w:val="24"/>
    </w:rPr>
  </w:style>
  <w:style w:type="paragraph" w:customStyle="1" w:styleId="HeaderCoverPage">
    <w:name w:val="Header Cover Page"/>
    <w:basedOn w:val="Normal"/>
    <w:link w:val="HeaderCoverPageChar"/>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9C4294"/>
    <w:rPr>
      <w:rFonts w:ascii="Times New Roman" w:hAnsi="Times New Roman" w:cs="Times New Roman"/>
      <w:sz w:val="24"/>
    </w:rPr>
  </w:style>
  <w:style w:type="paragraph" w:styleId="ListBullet">
    <w:name w:val="List Bullet"/>
    <w:basedOn w:val="Normal"/>
    <w:uiPriority w:val="99"/>
    <w:rsid w:val="009C4294"/>
    <w:pPr>
      <w:numPr>
        <w:numId w:val="1"/>
      </w:numPr>
      <w:spacing w:before="120" w:after="120" w:line="240" w:lineRule="auto"/>
      <w:jc w:val="both"/>
    </w:pPr>
    <w:rPr>
      <w:rFonts w:ascii="Times New Roman" w:eastAsia="Times New Roman" w:hAnsi="Times New Roman" w:cs="Times New Roman"/>
      <w:sz w:val="24"/>
      <w:szCs w:val="24"/>
      <w:lang w:eastAsia="en-GB"/>
    </w:rPr>
  </w:style>
  <w:style w:type="character" w:styleId="CommentReference">
    <w:name w:val="annotation reference"/>
    <w:uiPriority w:val="99"/>
    <w:rsid w:val="009C4294"/>
    <w:rPr>
      <w:sz w:val="16"/>
    </w:rPr>
  </w:style>
  <w:style w:type="paragraph" w:styleId="ListBullet2">
    <w:name w:val="List Bullet 2"/>
    <w:basedOn w:val="Normal"/>
    <w:uiPriority w:val="99"/>
    <w:semiHidden/>
    <w:unhideWhenUsed/>
    <w:rsid w:val="009C4294"/>
    <w:pPr>
      <w:numPr>
        <w:numId w:val="2"/>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semiHidden/>
    <w:unhideWhenUsed/>
    <w:rsid w:val="009C4294"/>
    <w:pPr>
      <w:numPr>
        <w:numId w:val="3"/>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semiHidden/>
    <w:unhideWhenUsed/>
    <w:rsid w:val="009C4294"/>
    <w:pPr>
      <w:numPr>
        <w:numId w:val="4"/>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9C4294"/>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9C4294"/>
    <w:rPr>
      <w:rFonts w:ascii="Tahoma" w:eastAsia="Times New Roman" w:hAnsi="Tahoma" w:cs="Tahoma"/>
      <w:sz w:val="16"/>
      <w:szCs w:val="16"/>
      <w:lang w:eastAsia="en-GB"/>
    </w:rPr>
  </w:style>
  <w:style w:type="character" w:styleId="Hyperlink">
    <w:name w:val="Hyperlink"/>
    <w:uiPriority w:val="99"/>
    <w:unhideWhenUsed/>
    <w:rsid w:val="009C4294"/>
    <w:rPr>
      <w:color w:val="0000FF"/>
      <w:u w:val="single"/>
    </w:rPr>
  </w:style>
  <w:style w:type="paragraph" w:styleId="CommentText">
    <w:name w:val="annotation text"/>
    <w:basedOn w:val="Normal"/>
    <w:link w:val="CommentTextChar"/>
    <w:uiPriority w:val="99"/>
    <w:unhideWhenUsed/>
    <w:rsid w:val="009C4294"/>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C42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4294"/>
    <w:rPr>
      <w:b/>
      <w:bCs/>
    </w:rPr>
  </w:style>
  <w:style w:type="character" w:customStyle="1" w:styleId="CommentSubjectChar">
    <w:name w:val="Comment Subject Char"/>
    <w:basedOn w:val="CommentTextChar"/>
    <w:link w:val="CommentSubject"/>
    <w:uiPriority w:val="99"/>
    <w:semiHidden/>
    <w:rsid w:val="009C4294"/>
    <w:rPr>
      <w:rFonts w:ascii="Times New Roman" w:eastAsia="Times New Roman" w:hAnsi="Times New Roman" w:cs="Times New Roman"/>
      <w:b/>
      <w:bCs/>
      <w:sz w:val="20"/>
      <w:szCs w:val="20"/>
      <w:lang w:eastAsia="en-GB"/>
    </w:rPr>
  </w:style>
  <w:style w:type="paragraph" w:customStyle="1" w:styleId="Default">
    <w:name w:val="Default"/>
    <w:rsid w:val="009C429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eaderTitleRight30">
    <w:name w:val="Header Title Right (30)"/>
    <w:basedOn w:val="Normal"/>
    <w:next w:val="Normal"/>
    <w:rsid w:val="009C4294"/>
    <w:pPr>
      <w:spacing w:before="100" w:after="40" w:line="240" w:lineRule="auto"/>
      <w:ind w:right="-850"/>
      <w:jc w:val="right"/>
    </w:pPr>
    <w:rPr>
      <w:rFonts w:ascii="Century Gothic" w:eastAsia="Times New Roman" w:hAnsi="Century Gothic" w:cs="Times New Roman"/>
      <w:color w:val="333399"/>
      <w:sz w:val="14"/>
      <w:szCs w:val="24"/>
      <w:lang w:eastAsia="en-GB"/>
    </w:rPr>
  </w:style>
  <w:style w:type="table" w:styleId="TableGrid">
    <w:name w:val="Table Grid"/>
    <w:basedOn w:val="TableNormal"/>
    <w:uiPriority w:val="59"/>
    <w:rsid w:val="009C429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C4294"/>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semiHidden/>
    <w:unhideWhenUsed/>
    <w:rsid w:val="009C4294"/>
    <w:p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uiPriority w:val="99"/>
    <w:semiHidden/>
    <w:unhideWhenUsed/>
    <w:rsid w:val="009C4294"/>
    <w:pPr>
      <w:numPr>
        <w:numId w:val="5"/>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uiPriority w:val="99"/>
    <w:semiHidden/>
    <w:unhideWhenUsed/>
    <w:rsid w:val="009C4294"/>
    <w:pPr>
      <w:numPr>
        <w:numId w:val="6"/>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uiPriority w:val="99"/>
    <w:semiHidden/>
    <w:unhideWhenUsed/>
    <w:rsid w:val="009C4294"/>
    <w:pPr>
      <w:numPr>
        <w:numId w:val="7"/>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uiPriority w:val="99"/>
    <w:semiHidden/>
    <w:unhideWhenUsed/>
    <w:rsid w:val="009C4294"/>
    <w:pPr>
      <w:numPr>
        <w:numId w:val="8"/>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rsid w:val="009C4294"/>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sid w:val="009C4294"/>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rsid w:val="009C4294"/>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rsid w:val="009C4294"/>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rsid w:val="009C4294"/>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rsid w:val="009C4294"/>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rsid w:val="009C4294"/>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rsid w:val="009C4294"/>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rsid w:val="009C4294"/>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9C4294"/>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sid w:val="009C4294"/>
    <w:rPr>
      <w:vertAlign w:val="superscript"/>
    </w:rPr>
  </w:style>
  <w:style w:type="paragraph" w:customStyle="1" w:styleId="Text1">
    <w:name w:val="Text 1"/>
    <w:basedOn w:val="Normal"/>
    <w:rsid w:val="009C4294"/>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rsid w:val="009C4294"/>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rsid w:val="009C4294"/>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rsid w:val="009C4294"/>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rsid w:val="009C4294"/>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rsid w:val="009C4294"/>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rsid w:val="009C4294"/>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rsid w:val="009C4294"/>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rsid w:val="009C4294"/>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rsid w:val="009C4294"/>
    <w:pPr>
      <w:numPr>
        <w:numId w:val="10"/>
      </w:numPr>
    </w:pPr>
  </w:style>
  <w:style w:type="paragraph" w:customStyle="1" w:styleId="Tiret1">
    <w:name w:val="Tiret 1"/>
    <w:basedOn w:val="Point1"/>
    <w:rsid w:val="009C4294"/>
    <w:pPr>
      <w:numPr>
        <w:numId w:val="11"/>
      </w:numPr>
    </w:pPr>
  </w:style>
  <w:style w:type="paragraph" w:customStyle="1" w:styleId="Tiret2">
    <w:name w:val="Tiret 2"/>
    <w:basedOn w:val="Point2"/>
    <w:rsid w:val="009C4294"/>
    <w:pPr>
      <w:numPr>
        <w:numId w:val="12"/>
      </w:numPr>
    </w:pPr>
  </w:style>
  <w:style w:type="paragraph" w:customStyle="1" w:styleId="Tiret3">
    <w:name w:val="Tiret 3"/>
    <w:basedOn w:val="Point3"/>
    <w:rsid w:val="009C4294"/>
    <w:pPr>
      <w:numPr>
        <w:numId w:val="13"/>
      </w:numPr>
    </w:pPr>
  </w:style>
  <w:style w:type="paragraph" w:customStyle="1" w:styleId="Tiret4">
    <w:name w:val="Tiret 4"/>
    <w:basedOn w:val="Point4"/>
    <w:rsid w:val="009C4294"/>
    <w:pPr>
      <w:numPr>
        <w:numId w:val="14"/>
      </w:numPr>
    </w:pPr>
  </w:style>
  <w:style w:type="paragraph" w:customStyle="1" w:styleId="PointDouble0">
    <w:name w:val="PointDouble 0"/>
    <w:basedOn w:val="Normal"/>
    <w:rsid w:val="009C4294"/>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rsid w:val="009C4294"/>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rsid w:val="009C4294"/>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rsid w:val="009C4294"/>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rsid w:val="009C4294"/>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rsid w:val="009C4294"/>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rsid w:val="009C4294"/>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rsid w:val="009C4294"/>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rsid w:val="009C4294"/>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rsid w:val="009C4294"/>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rsid w:val="009C4294"/>
    <w:pPr>
      <w:numPr>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rsid w:val="009C4294"/>
    <w:pPr>
      <w:numPr>
        <w:ilvl w:val="1"/>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rsid w:val="009C4294"/>
    <w:pPr>
      <w:numPr>
        <w:ilvl w:val="2"/>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rsid w:val="009C4294"/>
    <w:pPr>
      <w:numPr>
        <w:ilvl w:val="3"/>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rsid w:val="009C429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rsid w:val="009C4294"/>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rsid w:val="009C4294"/>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rsid w:val="009C4294"/>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rsid w:val="009C4294"/>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rsid w:val="009C4294"/>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rsid w:val="009C4294"/>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rsid w:val="009C4294"/>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1">
    <w:name w:val="Marker1"/>
    <w:rsid w:val="009C4294"/>
    <w:rPr>
      <w:color w:val="008000"/>
      <w:shd w:val="clear" w:color="auto" w:fill="auto"/>
    </w:rPr>
  </w:style>
  <w:style w:type="character" w:customStyle="1" w:styleId="Marker2">
    <w:name w:val="Marker2"/>
    <w:rsid w:val="009C4294"/>
    <w:rPr>
      <w:color w:val="FF0000"/>
      <w:shd w:val="clear" w:color="auto" w:fill="auto"/>
    </w:rPr>
  </w:style>
  <w:style w:type="paragraph" w:customStyle="1" w:styleId="Point0number">
    <w:name w:val="Point 0 (number)"/>
    <w:basedOn w:val="Normal"/>
    <w:rsid w:val="009C4294"/>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9C4294"/>
    <w:pPr>
      <w:numPr>
        <w:ilvl w:val="2"/>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9C4294"/>
    <w:pPr>
      <w:numPr>
        <w:ilvl w:val="4"/>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9C4294"/>
    <w:pPr>
      <w:numPr>
        <w:ilvl w:val="6"/>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9C4294"/>
    <w:pPr>
      <w:numPr>
        <w:ilvl w:val="1"/>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9C4294"/>
    <w:pPr>
      <w:numPr>
        <w:ilvl w:val="3"/>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9C4294"/>
    <w:pPr>
      <w:numPr>
        <w:ilvl w:val="5"/>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9C4294"/>
    <w:pPr>
      <w:numPr>
        <w:ilvl w:val="7"/>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9C4294"/>
    <w:pPr>
      <w:numPr>
        <w:ilvl w:val="8"/>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9C4294"/>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rsid w:val="009C4294"/>
    <w:pPr>
      <w:numPr>
        <w:numId w:val="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rsid w:val="009C4294"/>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rsid w:val="009C4294"/>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rsid w:val="009C4294"/>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rsid w:val="009C4294"/>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rsid w:val="009C4294"/>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rsid w:val="009C4294"/>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rsid w:val="009C4294"/>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rsid w:val="009C4294"/>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rsid w:val="009C4294"/>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rsid w:val="009C4294"/>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rsid w:val="009C4294"/>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rsid w:val="009C4294"/>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rsid w:val="009C4294"/>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rsid w:val="009C4294"/>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rsid w:val="009C4294"/>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rsid w:val="009C4294"/>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rsid w:val="009C4294"/>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rsid w:val="009C4294"/>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rsid w:val="009C4294"/>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rsid w:val="009C4294"/>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sid w:val="009C4294"/>
    <w:rPr>
      <w:b/>
      <w:u w:val="single"/>
      <w:shd w:val="clear" w:color="auto" w:fill="auto"/>
    </w:rPr>
  </w:style>
  <w:style w:type="character" w:customStyle="1" w:styleId="Deleted">
    <w:name w:val="Deleted"/>
    <w:rsid w:val="009C4294"/>
    <w:rPr>
      <w:strike/>
      <w:dstrike w:val="0"/>
      <w:shd w:val="clear" w:color="auto" w:fill="auto"/>
    </w:rPr>
  </w:style>
  <w:style w:type="paragraph" w:customStyle="1" w:styleId="Address">
    <w:name w:val="Address"/>
    <w:basedOn w:val="Normal"/>
    <w:next w:val="Normal"/>
    <w:rsid w:val="009C4294"/>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rsid w:val="009C4294"/>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Supertitre">
    <w:name w:val="Supertitre"/>
    <w:basedOn w:val="Normal"/>
    <w:next w:val="Normal"/>
    <w:rsid w:val="009C4294"/>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rsid w:val="009C4294"/>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9C4294"/>
  </w:style>
  <w:style w:type="paragraph" w:customStyle="1" w:styleId="RfrenceinterinstitutionnellePagedecouverture">
    <w:name w:val="Référence interinstitutionnelle (Page de couverture)"/>
    <w:basedOn w:val="Rfrenceinterinstitutionnelle"/>
    <w:next w:val="Confidentialit"/>
    <w:rsid w:val="009C4294"/>
  </w:style>
  <w:style w:type="paragraph" w:customStyle="1" w:styleId="Sous-titreobjetPagedecouverture">
    <w:name w:val="Sous-titre objet (Page de couverture)"/>
    <w:basedOn w:val="Sous-titreobjet"/>
    <w:rsid w:val="009C4294"/>
  </w:style>
  <w:style w:type="paragraph" w:customStyle="1" w:styleId="StatutPagedecouverture">
    <w:name w:val="Statut (Page de couverture)"/>
    <w:basedOn w:val="Statut"/>
    <w:next w:val="TypedudocumentPagedecouverture"/>
    <w:rsid w:val="009C4294"/>
  </w:style>
  <w:style w:type="paragraph" w:customStyle="1" w:styleId="TitreobjetPagedecouverture">
    <w:name w:val="Titre objet (Page de couverture)"/>
    <w:basedOn w:val="Titreobjet"/>
    <w:next w:val="Sous-titreobjetPagedecouverture"/>
    <w:rsid w:val="009C4294"/>
  </w:style>
  <w:style w:type="paragraph" w:customStyle="1" w:styleId="TypedudocumentPagedecouverture">
    <w:name w:val="Type du document (Page de couverture)"/>
    <w:basedOn w:val="Typedudocument"/>
    <w:next w:val="TitreobjetPagedecouverture"/>
    <w:rsid w:val="009C4294"/>
  </w:style>
  <w:style w:type="paragraph" w:customStyle="1" w:styleId="Volume">
    <w:name w:val="Volum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rsid w:val="009C4294"/>
    <w:pPr>
      <w:spacing w:after="240"/>
    </w:pPr>
  </w:style>
  <w:style w:type="paragraph" w:customStyle="1" w:styleId="Accompagnant">
    <w:name w:val="Accompagnant"/>
    <w:basedOn w:val="Normal"/>
    <w:next w:val="Typeacteprincipal"/>
    <w:rsid w:val="009C4294"/>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9C4294"/>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rsid w:val="009C4294"/>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rsid w:val="009C4294"/>
  </w:style>
  <w:style w:type="paragraph" w:customStyle="1" w:styleId="AccompagnantPagedecouverture">
    <w:name w:val="Accompagnant (Page de couverture)"/>
    <w:basedOn w:val="Accompagnant"/>
    <w:next w:val="TypeacteprincipalPagedecouverture"/>
    <w:rsid w:val="009C4294"/>
  </w:style>
  <w:style w:type="paragraph" w:customStyle="1" w:styleId="TypeacteprincipalPagedecouverture">
    <w:name w:val="Type acte principal (Page de couverture)"/>
    <w:basedOn w:val="Typeacteprincipal"/>
    <w:next w:val="ObjetacteprincipalPagedecouverture"/>
    <w:rsid w:val="009C4294"/>
  </w:style>
  <w:style w:type="paragraph" w:customStyle="1" w:styleId="ObjetacteprincipalPagedecouverture">
    <w:name w:val="Objet acte principal (Page de couverture)"/>
    <w:basedOn w:val="Objetacteprincipal"/>
    <w:next w:val="Rfrencecroise"/>
    <w:rsid w:val="009C4294"/>
  </w:style>
  <w:style w:type="paragraph" w:customStyle="1" w:styleId="LanguesfaisantfoiPagedecouverture">
    <w:name w:val="Langues faisant foi (Page de couverture)"/>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Date1">
    <w:name w:val="Date1"/>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9C4294"/>
    <w:rPr>
      <w:i/>
      <w:iCs/>
    </w:rPr>
  </w:style>
  <w:style w:type="character" w:styleId="Strong">
    <w:name w:val="Strong"/>
    <w:uiPriority w:val="22"/>
    <w:qFormat/>
    <w:rsid w:val="009C4294"/>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C4294"/>
    <w:pPr>
      <w:spacing w:after="160" w:line="240" w:lineRule="exact"/>
      <w:jc w:val="both"/>
    </w:pPr>
    <w:rPr>
      <w:vertAlign w:val="superscript"/>
    </w:rPr>
  </w:style>
  <w:style w:type="paragraph" w:styleId="Revision">
    <w:name w:val="Revision"/>
    <w:hidden/>
    <w:uiPriority w:val="99"/>
    <w:semiHidden/>
    <w:rsid w:val="009C4294"/>
    <w:pPr>
      <w:spacing w:after="0" w:line="240" w:lineRule="auto"/>
    </w:pPr>
    <w:rPr>
      <w:rFonts w:ascii="Calibri" w:eastAsia="Calibri" w:hAnsi="Calibri" w:cs="Times New Roman"/>
      <w:lang w:val="fr-BE"/>
    </w:rPr>
  </w:style>
  <w:style w:type="paragraph" w:customStyle="1" w:styleId="Date2">
    <w:name w:val="Date2"/>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4294"/>
    <w:pPr>
      <w:spacing w:after="0" w:line="240" w:lineRule="auto"/>
      <w:ind w:left="720"/>
      <w:contextualSpacing/>
    </w:pPr>
    <w:rPr>
      <w:rFonts w:ascii="Calibri" w:eastAsia="Times New Roman" w:hAnsi="Calibri" w:cs="Times New Roman"/>
      <w:lang w:val="fr-BE"/>
    </w:rPr>
  </w:style>
  <w:style w:type="paragraph" w:customStyle="1" w:styleId="Body">
    <w:name w:val="Body"/>
    <w:rsid w:val="009C4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basedOn w:val="Normal"/>
    <w:link w:val="EndnoteTextChar"/>
    <w:uiPriority w:val="99"/>
    <w:semiHidden/>
    <w:unhideWhenUsed/>
    <w:rsid w:val="009C429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429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4294"/>
    <w:rPr>
      <w:vertAlign w:val="superscript"/>
    </w:rPr>
  </w:style>
  <w:style w:type="table" w:styleId="MediumShading2-Accent1">
    <w:name w:val="Medium Shading 2 Accent 1"/>
    <w:basedOn w:val="TableNormal"/>
    <w:uiPriority w:val="64"/>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rsid w:val="009C429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ZCom">
    <w:name w:val="Z_Com"/>
    <w:basedOn w:val="Normal"/>
    <w:next w:val="ZDGName"/>
    <w:uiPriority w:val="99"/>
    <w:rsid w:val="009C4294"/>
    <w:pPr>
      <w:widowControl w:val="0"/>
      <w:autoSpaceDE w:val="0"/>
      <w:autoSpaceDN w:val="0"/>
      <w:spacing w:before="120"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9C4294"/>
    <w:pPr>
      <w:widowControl w:val="0"/>
      <w:autoSpaceDE w:val="0"/>
      <w:autoSpaceDN w:val="0"/>
      <w:spacing w:before="120" w:after="0" w:line="240" w:lineRule="auto"/>
      <w:ind w:right="85"/>
      <w:jc w:val="both"/>
    </w:pPr>
    <w:rPr>
      <w:rFonts w:ascii="Arial" w:eastAsia="Times New Roman" w:hAnsi="Arial" w:cs="Arial"/>
      <w:sz w:val="16"/>
      <w:szCs w:val="16"/>
      <w:lang w:eastAsia="en-GB"/>
    </w:rPr>
  </w:style>
  <w:style w:type="paragraph" w:customStyle="1" w:styleId="Declassification">
    <w:name w:val="Declassification"/>
    <w:basedOn w:val="Normal"/>
    <w:next w:val="Normal"/>
    <w:rsid w:val="009C4294"/>
    <w:pPr>
      <w:spacing w:after="0" w:line="240" w:lineRule="auto"/>
      <w:jc w:val="both"/>
    </w:pPr>
    <w:rPr>
      <w:rFonts w:ascii="Times New Roman" w:hAnsi="Times New Roman" w:cs="Times New Roman"/>
      <w:sz w:val="24"/>
    </w:rPr>
  </w:style>
  <w:style w:type="paragraph" w:customStyle="1" w:styleId="HeaderSensitivity">
    <w:name w:val="Header Sensitivity"/>
    <w:basedOn w:val="Normal"/>
    <w:rsid w:val="009C429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rsid w:val="009C429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ColorfulGrid-Accent6">
    <w:name w:val="Colorful Grid Accent 6"/>
    <w:basedOn w:val="TableNormal"/>
    <w:uiPriority w:val="73"/>
    <w:rsid w:val="009C4294"/>
    <w:pPr>
      <w:spacing w:after="0" w:line="240" w:lineRule="auto"/>
    </w:pPr>
    <w:rPr>
      <w:rFonts w:ascii="Calibri" w:eastAsia="Calibri" w:hAnsi="Calibri"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otnoteCharacters">
    <w:name w:val="Footnote Characters"/>
    <w:rsid w:val="009C4294"/>
  </w:style>
  <w:style w:type="paragraph" w:customStyle="1" w:styleId="Heqd">
    <w:name w:val="Heqd"/>
    <w:basedOn w:val="Normal"/>
    <w:rsid w:val="00215141"/>
    <w:pPr>
      <w:spacing w:before="120" w:after="120" w:line="240" w:lineRule="auto"/>
      <w:jc w:val="center"/>
    </w:pPr>
    <w:rPr>
      <w:rFonts w:ascii="Times New Roman" w:eastAsia="Calibri" w:hAnsi="Times New Roman" w:cs="Times New Roman"/>
      <w:b/>
      <w:smallCap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5805">
      <w:bodyDiv w:val="1"/>
      <w:marLeft w:val="0"/>
      <w:marRight w:val="0"/>
      <w:marTop w:val="0"/>
      <w:marBottom w:val="0"/>
      <w:divBdr>
        <w:top w:val="none" w:sz="0" w:space="0" w:color="auto"/>
        <w:left w:val="none" w:sz="0" w:space="0" w:color="auto"/>
        <w:bottom w:val="none" w:sz="0" w:space="0" w:color="auto"/>
        <w:right w:val="none" w:sz="0" w:space="0" w:color="auto"/>
      </w:divBdr>
    </w:div>
    <w:div w:id="201524399">
      <w:bodyDiv w:val="1"/>
      <w:marLeft w:val="0"/>
      <w:marRight w:val="0"/>
      <w:marTop w:val="0"/>
      <w:marBottom w:val="0"/>
      <w:divBdr>
        <w:top w:val="none" w:sz="0" w:space="0" w:color="auto"/>
        <w:left w:val="none" w:sz="0" w:space="0" w:color="auto"/>
        <w:bottom w:val="none" w:sz="0" w:space="0" w:color="auto"/>
        <w:right w:val="none" w:sz="0" w:space="0" w:color="auto"/>
      </w:divBdr>
    </w:div>
    <w:div w:id="1613979818">
      <w:bodyDiv w:val="1"/>
      <w:marLeft w:val="0"/>
      <w:marRight w:val="0"/>
      <w:marTop w:val="0"/>
      <w:marBottom w:val="0"/>
      <w:divBdr>
        <w:top w:val="none" w:sz="0" w:space="0" w:color="auto"/>
        <w:left w:val="none" w:sz="0" w:space="0" w:color="auto"/>
        <w:bottom w:val="none" w:sz="0" w:space="0" w:color="auto"/>
        <w:right w:val="none" w:sz="0" w:space="0" w:color="auto"/>
      </w:divBdr>
    </w:div>
    <w:div w:id="1616138584">
      <w:bodyDiv w:val="1"/>
      <w:marLeft w:val="0"/>
      <w:marRight w:val="0"/>
      <w:marTop w:val="0"/>
      <w:marBottom w:val="0"/>
      <w:divBdr>
        <w:top w:val="none" w:sz="0" w:space="0" w:color="auto"/>
        <w:left w:val="none" w:sz="0" w:space="0" w:color="auto"/>
        <w:bottom w:val="none" w:sz="0" w:space="0" w:color="auto"/>
        <w:right w:val="none" w:sz="0" w:space="0" w:color="auto"/>
      </w:divBdr>
    </w:div>
    <w:div w:id="1692224494">
      <w:bodyDiv w:val="1"/>
      <w:marLeft w:val="0"/>
      <w:marRight w:val="0"/>
      <w:marTop w:val="0"/>
      <w:marBottom w:val="0"/>
      <w:divBdr>
        <w:top w:val="none" w:sz="0" w:space="0" w:color="auto"/>
        <w:left w:val="none" w:sz="0" w:space="0" w:color="auto"/>
        <w:bottom w:val="none" w:sz="0" w:space="0" w:color="auto"/>
        <w:right w:val="none" w:sz="0" w:space="0" w:color="auto"/>
      </w:divBdr>
    </w:div>
    <w:div w:id="1864853828">
      <w:bodyDiv w:val="1"/>
      <w:marLeft w:val="0"/>
      <w:marRight w:val="0"/>
      <w:marTop w:val="0"/>
      <w:marBottom w:val="0"/>
      <w:divBdr>
        <w:top w:val="none" w:sz="0" w:space="0" w:color="auto"/>
        <w:left w:val="none" w:sz="0" w:space="0" w:color="auto"/>
        <w:bottom w:val="none" w:sz="0" w:space="0" w:color="auto"/>
        <w:right w:val="none" w:sz="0" w:space="0" w:color="auto"/>
      </w:divBdr>
    </w:div>
    <w:div w:id="2001538788">
      <w:bodyDiv w:val="1"/>
      <w:marLeft w:val="0"/>
      <w:marRight w:val="0"/>
      <w:marTop w:val="0"/>
      <w:marBottom w:val="0"/>
      <w:divBdr>
        <w:top w:val="none" w:sz="0" w:space="0" w:color="auto"/>
        <w:left w:val="none" w:sz="0" w:space="0" w:color="auto"/>
        <w:bottom w:val="none" w:sz="0" w:space="0" w:color="auto"/>
        <w:right w:val="none" w:sz="0" w:space="0" w:color="auto"/>
      </w:divBdr>
    </w:div>
    <w:div w:id="2046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9FF4-841D-4207-960A-985D270F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10120</Words>
  <Characters>58699</Characters>
  <Application>Microsoft Office Word</Application>
  <DocSecurity>4</DocSecurity>
  <Lines>1029</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2018-03-07T12:48:00Z</dcterms:created>
  <dcterms:modified xsi:type="dcterms:W3CDTF">2018-03-07T12:48:00Z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