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3.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4.xml" ContentType="application/vnd.openxmlformats-officedocument.drawingml.chart+xml"/>
  <Override PartName="/word/theme/themeOverride3.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charts/chart5.xml" ContentType="application/vnd.openxmlformats-officedocument.drawingml.chart+xml"/>
  <Override PartName="/word/theme/themeOverride4.xml" ContentType="application/vnd.openxmlformats-officedocument.themeOverride+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162" w:rsidRDefault="00EC2A75" w:rsidP="00EC2A75">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59402169-E244-4855-BF85-A7AF7130F678" style="width:450.85pt;height:485.15pt">
            <v:imagedata r:id="rId9" o:title=""/>
          </v:shape>
        </w:pict>
      </w:r>
    </w:p>
    <w:bookmarkEnd w:id="0"/>
    <w:p w:rsidR="001E7162" w:rsidRDefault="001E7162">
      <w:pPr>
        <w:rPr>
          <w:noProof/>
        </w:rPr>
        <w:sectPr w:rsidR="001E7162" w:rsidSect="00EC2A75">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endnotePr>
          <w:pgSz w:w="11907" w:h="16839"/>
          <w:pgMar w:top="1134" w:right="1417" w:bottom="1134" w:left="1417" w:header="709" w:footer="709" w:gutter="0"/>
          <w:pgNumType w:start="1"/>
          <w:cols w:space="720"/>
          <w:docGrid w:linePitch="360"/>
        </w:sectPr>
      </w:pPr>
    </w:p>
    <w:p w:rsidR="001E7162" w:rsidRDefault="00EC2A75">
      <w:pPr>
        <w:pStyle w:val="SectionTitleFramed1"/>
        <w:framePr w:wrap="notBeside"/>
        <w:rPr>
          <w:noProof/>
        </w:rPr>
      </w:pPr>
      <w:r>
        <w:rPr>
          <w:noProof/>
        </w:rPr>
        <w:lastRenderedPageBreak/>
        <w:t>Contents</w:t>
      </w:r>
    </w:p>
    <w:p w:rsidR="001E7162" w:rsidRDefault="00EC2A75">
      <w:pPr>
        <w:pStyle w:val="TOC2"/>
        <w:rPr>
          <w:rFonts w:asciiTheme="minorHAnsi" w:eastAsiaTheme="minorEastAsia" w:hAnsiTheme="minorHAnsi" w:cstheme="minorBidi"/>
          <w:noProof/>
          <w:color w:val="auto"/>
          <w:sz w:val="22"/>
          <w:lang w:eastAsia="en-GB"/>
        </w:rPr>
      </w:pPr>
      <w:r>
        <w:rPr>
          <w:noProof/>
        </w:rPr>
        <w:fldChar w:fldCharType="begin"/>
      </w:r>
      <w:r>
        <w:rPr>
          <w:noProof/>
        </w:rPr>
        <w:instrText xml:space="preserve"> TOC \o "1-4" \h \z </w:instrText>
      </w:r>
      <w:r>
        <w:rPr>
          <w:noProof/>
        </w:rPr>
        <w:fldChar w:fldCharType="separate"/>
      </w:r>
      <w:hyperlink w:anchor="_Toc507359616" w:history="1">
        <w:r>
          <w:rPr>
            <w:rStyle w:val="Hyperlink"/>
            <w:noProof/>
          </w:rPr>
          <w:t>Executive summary</w:t>
        </w:r>
        <w:r>
          <w:rPr>
            <w:noProof/>
            <w:webHidden/>
          </w:rPr>
          <w:tab/>
        </w:r>
        <w:r>
          <w:rPr>
            <w:noProof/>
            <w:webHidden/>
          </w:rPr>
          <w:fldChar w:fldCharType="begin"/>
        </w:r>
        <w:r>
          <w:rPr>
            <w:noProof/>
            <w:webHidden/>
          </w:rPr>
          <w:instrText xml:space="preserve"> PAGEREF _Toc507359616 \h </w:instrText>
        </w:r>
        <w:r>
          <w:rPr>
            <w:noProof/>
            <w:webHidden/>
          </w:rPr>
        </w:r>
        <w:r>
          <w:rPr>
            <w:noProof/>
            <w:webHidden/>
          </w:rPr>
          <w:fldChar w:fldCharType="separate"/>
        </w:r>
        <w:r>
          <w:rPr>
            <w:noProof/>
            <w:webHidden/>
          </w:rPr>
          <w:t>1</w:t>
        </w:r>
        <w:r>
          <w:rPr>
            <w:noProof/>
            <w:webHidden/>
          </w:rPr>
          <w:fldChar w:fldCharType="end"/>
        </w:r>
      </w:hyperlink>
    </w:p>
    <w:p w:rsidR="001E7162" w:rsidRDefault="00EC2A75">
      <w:pPr>
        <w:pStyle w:val="TOC2"/>
        <w:rPr>
          <w:rFonts w:eastAsiaTheme="minorEastAsia" w:cstheme="minorBidi"/>
          <w:noProof/>
          <w:color w:val="auto"/>
          <w:sz w:val="22"/>
          <w:lang w:eastAsia="en-GB"/>
        </w:rPr>
      </w:pPr>
      <w:hyperlink w:anchor="_Toc507359617" w:history="1">
        <w:r>
          <w:rPr>
            <w:rStyle w:val="Hyperlink"/>
            <w:noProof/>
          </w:rPr>
          <w:t>1.</w:t>
        </w:r>
        <w:r>
          <w:rPr>
            <w:rFonts w:eastAsiaTheme="minorEastAsia" w:cstheme="minorBidi"/>
            <w:noProof/>
            <w:color w:val="auto"/>
            <w:sz w:val="22"/>
            <w:lang w:eastAsia="en-GB"/>
          </w:rPr>
          <w:tab/>
        </w:r>
        <w:r>
          <w:rPr>
            <w:rStyle w:val="Hyperlink"/>
            <w:noProof/>
          </w:rPr>
          <w:t>Economic situation and outlook</w:t>
        </w:r>
        <w:r>
          <w:rPr>
            <w:noProof/>
            <w:webHidden/>
          </w:rPr>
          <w:tab/>
        </w:r>
        <w:r>
          <w:rPr>
            <w:noProof/>
            <w:webHidden/>
          </w:rPr>
          <w:fldChar w:fldCharType="begin"/>
        </w:r>
        <w:r>
          <w:rPr>
            <w:noProof/>
            <w:webHidden/>
          </w:rPr>
          <w:instrText xml:space="preserve"> PAGEREF _Toc507359617 \h </w:instrText>
        </w:r>
        <w:r>
          <w:rPr>
            <w:noProof/>
            <w:webHidden/>
          </w:rPr>
        </w:r>
        <w:r>
          <w:rPr>
            <w:noProof/>
            <w:webHidden/>
          </w:rPr>
          <w:fldChar w:fldCharType="separate"/>
        </w:r>
        <w:r>
          <w:rPr>
            <w:noProof/>
            <w:webHidden/>
          </w:rPr>
          <w:t>4</w:t>
        </w:r>
        <w:r>
          <w:rPr>
            <w:noProof/>
            <w:webHidden/>
          </w:rPr>
          <w:fldChar w:fldCharType="end"/>
        </w:r>
      </w:hyperlink>
    </w:p>
    <w:p w:rsidR="001E7162" w:rsidRDefault="00EC2A75">
      <w:pPr>
        <w:pStyle w:val="TOC2"/>
        <w:rPr>
          <w:rFonts w:eastAsiaTheme="minorEastAsia" w:cstheme="minorBidi"/>
          <w:noProof/>
          <w:color w:val="auto"/>
          <w:sz w:val="22"/>
          <w:lang w:eastAsia="en-GB"/>
        </w:rPr>
      </w:pPr>
      <w:hyperlink w:anchor="_Toc507359618" w:history="1">
        <w:r>
          <w:rPr>
            <w:rStyle w:val="Hyperlink"/>
            <w:noProof/>
          </w:rPr>
          <w:t>2.</w:t>
        </w:r>
        <w:r>
          <w:rPr>
            <w:rFonts w:eastAsiaTheme="minorEastAsia" w:cstheme="minorBidi"/>
            <w:noProof/>
            <w:color w:val="auto"/>
            <w:sz w:val="22"/>
            <w:lang w:eastAsia="en-GB"/>
          </w:rPr>
          <w:tab/>
        </w:r>
        <w:r>
          <w:rPr>
            <w:rStyle w:val="Hyperlink"/>
            <w:noProof/>
          </w:rPr>
          <w:t>Progress with country-specific recommendations</w:t>
        </w:r>
        <w:r>
          <w:rPr>
            <w:noProof/>
            <w:webHidden/>
          </w:rPr>
          <w:tab/>
        </w:r>
        <w:r>
          <w:rPr>
            <w:noProof/>
            <w:webHidden/>
          </w:rPr>
          <w:fldChar w:fldCharType="begin"/>
        </w:r>
        <w:r>
          <w:rPr>
            <w:noProof/>
            <w:webHidden/>
          </w:rPr>
          <w:instrText xml:space="preserve"> PAGEREF _Toc507359618 \h </w:instrText>
        </w:r>
        <w:r>
          <w:rPr>
            <w:noProof/>
            <w:webHidden/>
          </w:rPr>
        </w:r>
        <w:r>
          <w:rPr>
            <w:noProof/>
            <w:webHidden/>
          </w:rPr>
          <w:fldChar w:fldCharType="separate"/>
        </w:r>
        <w:r>
          <w:rPr>
            <w:noProof/>
            <w:webHidden/>
          </w:rPr>
          <w:t>9</w:t>
        </w:r>
        <w:r>
          <w:rPr>
            <w:noProof/>
            <w:webHidden/>
          </w:rPr>
          <w:fldChar w:fldCharType="end"/>
        </w:r>
      </w:hyperlink>
    </w:p>
    <w:p w:rsidR="001E7162" w:rsidRDefault="00EC2A75">
      <w:pPr>
        <w:pStyle w:val="TOC2"/>
        <w:rPr>
          <w:rFonts w:eastAsiaTheme="minorEastAsia" w:cstheme="minorBidi"/>
          <w:noProof/>
          <w:color w:val="auto"/>
          <w:sz w:val="22"/>
          <w:lang w:eastAsia="en-GB"/>
        </w:rPr>
      </w:pPr>
      <w:hyperlink w:anchor="_Toc507359619" w:history="1">
        <w:r>
          <w:rPr>
            <w:rStyle w:val="Hyperlink"/>
            <w:noProof/>
          </w:rPr>
          <w:t>3.</w:t>
        </w:r>
        <w:r>
          <w:rPr>
            <w:rFonts w:eastAsiaTheme="minorEastAsia" w:cstheme="minorBidi"/>
            <w:noProof/>
            <w:color w:val="auto"/>
            <w:sz w:val="22"/>
            <w:lang w:eastAsia="en-GB"/>
          </w:rPr>
          <w:tab/>
        </w:r>
        <w:r>
          <w:rPr>
            <w:rStyle w:val="Hyperlink"/>
            <w:noProof/>
          </w:rPr>
          <w:t>Summary of the main findings from the Macro</w:t>
        </w:r>
        <w:r>
          <w:rPr>
            <w:rStyle w:val="Hyperlink"/>
            <w:noProof/>
          </w:rPr>
          <w:t>economic Imbalance Procedure in­depth review</w:t>
        </w:r>
        <w:r>
          <w:rPr>
            <w:noProof/>
            <w:webHidden/>
          </w:rPr>
          <w:tab/>
        </w:r>
        <w:r>
          <w:rPr>
            <w:noProof/>
            <w:webHidden/>
          </w:rPr>
          <w:fldChar w:fldCharType="begin"/>
        </w:r>
        <w:r>
          <w:rPr>
            <w:noProof/>
            <w:webHidden/>
          </w:rPr>
          <w:instrText xml:space="preserve"> PAGEREF _Toc507359619 \h </w:instrText>
        </w:r>
        <w:r>
          <w:rPr>
            <w:noProof/>
            <w:webHidden/>
          </w:rPr>
        </w:r>
        <w:r>
          <w:rPr>
            <w:noProof/>
            <w:webHidden/>
          </w:rPr>
          <w:fldChar w:fldCharType="separate"/>
        </w:r>
        <w:r>
          <w:rPr>
            <w:noProof/>
            <w:webHidden/>
          </w:rPr>
          <w:t>13</w:t>
        </w:r>
        <w:r>
          <w:rPr>
            <w:noProof/>
            <w:webHidden/>
          </w:rPr>
          <w:fldChar w:fldCharType="end"/>
        </w:r>
      </w:hyperlink>
    </w:p>
    <w:p w:rsidR="001E7162" w:rsidRDefault="00EC2A75">
      <w:pPr>
        <w:pStyle w:val="TOC2"/>
        <w:rPr>
          <w:rFonts w:eastAsiaTheme="minorEastAsia" w:cstheme="minorBidi"/>
          <w:noProof/>
          <w:color w:val="auto"/>
          <w:sz w:val="22"/>
          <w:lang w:eastAsia="en-GB"/>
        </w:rPr>
      </w:pPr>
      <w:hyperlink w:anchor="_Toc507359620" w:history="1">
        <w:r>
          <w:rPr>
            <w:rStyle w:val="Hyperlink"/>
            <w:noProof/>
          </w:rPr>
          <w:t>4.</w:t>
        </w:r>
        <w:r>
          <w:rPr>
            <w:rFonts w:eastAsiaTheme="minorEastAsia" w:cstheme="minorBidi"/>
            <w:noProof/>
            <w:color w:val="auto"/>
            <w:sz w:val="22"/>
            <w:lang w:eastAsia="en-GB"/>
          </w:rPr>
          <w:tab/>
        </w:r>
        <w:r>
          <w:rPr>
            <w:rStyle w:val="Hyperlink"/>
            <w:noProof/>
          </w:rPr>
          <w:t>Reform priorities</w:t>
        </w:r>
        <w:r>
          <w:rPr>
            <w:noProof/>
            <w:webHidden/>
          </w:rPr>
          <w:tab/>
        </w:r>
        <w:r>
          <w:rPr>
            <w:noProof/>
            <w:webHidden/>
          </w:rPr>
          <w:fldChar w:fldCharType="begin"/>
        </w:r>
        <w:r>
          <w:rPr>
            <w:noProof/>
            <w:webHidden/>
          </w:rPr>
          <w:instrText xml:space="preserve"> PAGEREF _Toc507359620 \h </w:instrText>
        </w:r>
        <w:r>
          <w:rPr>
            <w:noProof/>
            <w:webHidden/>
          </w:rPr>
        </w:r>
        <w:r>
          <w:rPr>
            <w:noProof/>
            <w:webHidden/>
          </w:rPr>
          <w:fldChar w:fldCharType="separate"/>
        </w:r>
        <w:r>
          <w:rPr>
            <w:noProof/>
            <w:webHidden/>
          </w:rPr>
          <w:t>18</w:t>
        </w:r>
        <w:r>
          <w:rPr>
            <w:noProof/>
            <w:webHidden/>
          </w:rPr>
          <w:fldChar w:fldCharType="end"/>
        </w:r>
      </w:hyperlink>
    </w:p>
    <w:p w:rsidR="001E7162" w:rsidRDefault="00EC2A75">
      <w:pPr>
        <w:pStyle w:val="TOC3"/>
        <w:rPr>
          <w:rFonts w:asciiTheme="minorHAnsi" w:eastAsiaTheme="minorEastAsia" w:hAnsiTheme="minorHAnsi" w:cstheme="minorBidi"/>
          <w:noProof/>
          <w:color w:val="auto"/>
          <w:sz w:val="22"/>
          <w:lang w:eastAsia="en-GB"/>
        </w:rPr>
      </w:pPr>
      <w:hyperlink w:anchor="_Toc507359621" w:history="1">
        <w:r>
          <w:rPr>
            <w:rStyle w:val="Hyperlink"/>
            <w:noProof/>
          </w:rPr>
          <w:t>4.1.</w:t>
        </w:r>
        <w:r>
          <w:rPr>
            <w:rFonts w:asciiTheme="minorHAnsi" w:eastAsiaTheme="minorEastAsia" w:hAnsiTheme="minorHAnsi" w:cstheme="minorBidi"/>
            <w:noProof/>
            <w:color w:val="auto"/>
            <w:sz w:val="22"/>
            <w:lang w:eastAsia="en-GB"/>
          </w:rPr>
          <w:tab/>
        </w:r>
        <w:r>
          <w:rPr>
            <w:rStyle w:val="Hyperlink"/>
            <w:noProof/>
          </w:rPr>
          <w:t>Public finances* and taxation</w:t>
        </w:r>
        <w:r>
          <w:rPr>
            <w:noProof/>
            <w:webHidden/>
          </w:rPr>
          <w:tab/>
        </w:r>
        <w:r>
          <w:rPr>
            <w:noProof/>
            <w:webHidden/>
          </w:rPr>
          <w:fldChar w:fldCharType="begin"/>
        </w:r>
        <w:r>
          <w:rPr>
            <w:noProof/>
            <w:webHidden/>
          </w:rPr>
          <w:instrText xml:space="preserve"> PAGEREF _Toc507359621 \h </w:instrText>
        </w:r>
        <w:r>
          <w:rPr>
            <w:noProof/>
            <w:webHidden/>
          </w:rPr>
        </w:r>
        <w:r>
          <w:rPr>
            <w:noProof/>
            <w:webHidden/>
          </w:rPr>
          <w:fldChar w:fldCharType="separate"/>
        </w:r>
        <w:r>
          <w:rPr>
            <w:noProof/>
            <w:webHidden/>
          </w:rPr>
          <w:t>18</w:t>
        </w:r>
        <w:r>
          <w:rPr>
            <w:noProof/>
            <w:webHidden/>
          </w:rPr>
          <w:fldChar w:fldCharType="end"/>
        </w:r>
      </w:hyperlink>
    </w:p>
    <w:p w:rsidR="001E7162" w:rsidRDefault="00EC2A75">
      <w:pPr>
        <w:pStyle w:val="TOC3"/>
        <w:rPr>
          <w:rFonts w:asciiTheme="minorHAnsi" w:eastAsiaTheme="minorEastAsia" w:hAnsiTheme="minorHAnsi" w:cstheme="minorBidi"/>
          <w:noProof/>
          <w:color w:val="auto"/>
          <w:sz w:val="22"/>
          <w:lang w:eastAsia="en-GB"/>
        </w:rPr>
      </w:pPr>
      <w:hyperlink w:anchor="_Toc507359622" w:history="1">
        <w:r>
          <w:rPr>
            <w:rStyle w:val="Hyperlink"/>
            <w:noProof/>
          </w:rPr>
          <w:t>4.2.</w:t>
        </w:r>
        <w:r>
          <w:rPr>
            <w:rFonts w:asciiTheme="minorHAnsi" w:eastAsiaTheme="minorEastAsia" w:hAnsiTheme="minorHAnsi" w:cstheme="minorBidi"/>
            <w:noProof/>
            <w:color w:val="auto"/>
            <w:sz w:val="22"/>
            <w:lang w:eastAsia="en-GB"/>
          </w:rPr>
          <w:tab/>
        </w:r>
        <w:r>
          <w:rPr>
            <w:rStyle w:val="Hyperlink"/>
            <w:noProof/>
          </w:rPr>
          <w:t>Private sector debt</w:t>
        </w:r>
        <w:r>
          <w:rPr>
            <w:rStyle w:val="Hyperlink"/>
            <w:noProof/>
          </w:rPr>
          <w:t xml:space="preserve"> and financial sector*</w:t>
        </w:r>
        <w:r>
          <w:rPr>
            <w:noProof/>
            <w:webHidden/>
          </w:rPr>
          <w:tab/>
        </w:r>
        <w:r>
          <w:rPr>
            <w:noProof/>
            <w:webHidden/>
          </w:rPr>
          <w:fldChar w:fldCharType="begin"/>
        </w:r>
        <w:r>
          <w:rPr>
            <w:noProof/>
            <w:webHidden/>
          </w:rPr>
          <w:instrText xml:space="preserve"> PAGEREF _Toc507359622 \h </w:instrText>
        </w:r>
        <w:r>
          <w:rPr>
            <w:noProof/>
            <w:webHidden/>
          </w:rPr>
        </w:r>
        <w:r>
          <w:rPr>
            <w:noProof/>
            <w:webHidden/>
          </w:rPr>
          <w:fldChar w:fldCharType="separate"/>
        </w:r>
        <w:r>
          <w:rPr>
            <w:noProof/>
            <w:webHidden/>
          </w:rPr>
          <w:t>24</w:t>
        </w:r>
        <w:r>
          <w:rPr>
            <w:noProof/>
            <w:webHidden/>
          </w:rPr>
          <w:fldChar w:fldCharType="end"/>
        </w:r>
      </w:hyperlink>
    </w:p>
    <w:p w:rsidR="001E7162" w:rsidRDefault="00EC2A75">
      <w:pPr>
        <w:pStyle w:val="TOC3"/>
        <w:rPr>
          <w:rFonts w:asciiTheme="minorHAnsi" w:eastAsiaTheme="minorEastAsia" w:hAnsiTheme="minorHAnsi" w:cstheme="minorBidi"/>
          <w:noProof/>
          <w:color w:val="auto"/>
          <w:sz w:val="22"/>
          <w:lang w:eastAsia="en-GB"/>
        </w:rPr>
      </w:pPr>
      <w:hyperlink w:anchor="_Toc507359623" w:history="1">
        <w:r>
          <w:rPr>
            <w:rStyle w:val="Hyperlink"/>
            <w:noProof/>
          </w:rPr>
          <w:t>4.3.</w:t>
        </w:r>
        <w:r>
          <w:rPr>
            <w:rFonts w:asciiTheme="minorHAnsi" w:eastAsiaTheme="minorEastAsia" w:hAnsiTheme="minorHAnsi" w:cstheme="minorBidi"/>
            <w:noProof/>
            <w:color w:val="auto"/>
            <w:sz w:val="22"/>
            <w:lang w:eastAsia="en-GB"/>
          </w:rPr>
          <w:tab/>
        </w:r>
        <w:r>
          <w:rPr>
            <w:rStyle w:val="Hyperlink"/>
            <w:noProof/>
          </w:rPr>
          <w:t>Labour market, social policies and education*</w:t>
        </w:r>
        <w:r>
          <w:rPr>
            <w:noProof/>
            <w:webHidden/>
          </w:rPr>
          <w:tab/>
        </w:r>
        <w:r>
          <w:rPr>
            <w:noProof/>
            <w:webHidden/>
          </w:rPr>
          <w:fldChar w:fldCharType="begin"/>
        </w:r>
        <w:r>
          <w:rPr>
            <w:noProof/>
            <w:webHidden/>
          </w:rPr>
          <w:instrText xml:space="preserve"> PAGEREF _Toc507359623 \h </w:instrText>
        </w:r>
        <w:r>
          <w:rPr>
            <w:noProof/>
            <w:webHidden/>
          </w:rPr>
        </w:r>
        <w:r>
          <w:rPr>
            <w:noProof/>
            <w:webHidden/>
          </w:rPr>
          <w:fldChar w:fldCharType="separate"/>
        </w:r>
        <w:r>
          <w:rPr>
            <w:noProof/>
            <w:webHidden/>
          </w:rPr>
          <w:t>31</w:t>
        </w:r>
        <w:r>
          <w:rPr>
            <w:noProof/>
            <w:webHidden/>
          </w:rPr>
          <w:fldChar w:fldCharType="end"/>
        </w:r>
      </w:hyperlink>
    </w:p>
    <w:p w:rsidR="001E7162" w:rsidRDefault="00EC2A75">
      <w:pPr>
        <w:pStyle w:val="TOC3"/>
        <w:rPr>
          <w:rFonts w:asciiTheme="minorHAnsi" w:eastAsiaTheme="minorEastAsia" w:hAnsiTheme="minorHAnsi" w:cstheme="minorBidi"/>
          <w:noProof/>
          <w:color w:val="auto"/>
          <w:sz w:val="22"/>
          <w:lang w:eastAsia="en-GB"/>
        </w:rPr>
      </w:pPr>
      <w:hyperlink w:anchor="_Toc507359624" w:history="1">
        <w:r>
          <w:rPr>
            <w:rStyle w:val="Hyperlink"/>
            <w:noProof/>
          </w:rPr>
          <w:t xml:space="preserve">4.4. </w:t>
        </w:r>
        <w:r>
          <w:rPr>
            <w:rStyle w:val="Hyperlink"/>
            <w:noProof/>
          </w:rPr>
          <w:tab/>
          <w:t>Competitiveness and investment*</w:t>
        </w:r>
        <w:r>
          <w:rPr>
            <w:noProof/>
            <w:webHidden/>
          </w:rPr>
          <w:tab/>
        </w:r>
        <w:r>
          <w:rPr>
            <w:noProof/>
            <w:webHidden/>
          </w:rPr>
          <w:fldChar w:fldCharType="begin"/>
        </w:r>
        <w:r>
          <w:rPr>
            <w:noProof/>
            <w:webHidden/>
          </w:rPr>
          <w:instrText xml:space="preserve"> PAGEREF _Toc507359624 \h </w:instrText>
        </w:r>
        <w:r>
          <w:rPr>
            <w:noProof/>
            <w:webHidden/>
          </w:rPr>
        </w:r>
        <w:r>
          <w:rPr>
            <w:noProof/>
            <w:webHidden/>
          </w:rPr>
          <w:fldChar w:fldCharType="separate"/>
        </w:r>
        <w:r>
          <w:rPr>
            <w:noProof/>
            <w:webHidden/>
          </w:rPr>
          <w:t>39</w:t>
        </w:r>
        <w:r>
          <w:rPr>
            <w:noProof/>
            <w:webHidden/>
          </w:rPr>
          <w:fldChar w:fldCharType="end"/>
        </w:r>
      </w:hyperlink>
    </w:p>
    <w:p w:rsidR="001E7162" w:rsidRDefault="00EC2A75">
      <w:pPr>
        <w:pStyle w:val="TOC3"/>
        <w:rPr>
          <w:rFonts w:asciiTheme="minorHAnsi" w:eastAsiaTheme="minorEastAsia" w:hAnsiTheme="minorHAnsi" w:cstheme="minorBidi"/>
          <w:noProof/>
          <w:color w:val="auto"/>
          <w:sz w:val="22"/>
          <w:lang w:eastAsia="en-GB"/>
        </w:rPr>
      </w:pPr>
      <w:hyperlink w:anchor="_Toc507359625" w:history="1">
        <w:r>
          <w:rPr>
            <w:rStyle w:val="Hyperlink"/>
            <w:noProof/>
          </w:rPr>
          <w:t xml:space="preserve">4.5. </w:t>
        </w:r>
        <w:r>
          <w:rPr>
            <w:rStyle w:val="Hyperlink"/>
            <w:noProof/>
          </w:rPr>
          <w:tab/>
          <w:t>Public</w:t>
        </w:r>
        <w:r>
          <w:rPr>
            <w:rStyle w:val="Hyperlink"/>
            <w:noProof/>
          </w:rPr>
          <w:t xml:space="preserve"> governance*</w:t>
        </w:r>
        <w:r>
          <w:rPr>
            <w:noProof/>
            <w:webHidden/>
          </w:rPr>
          <w:tab/>
        </w:r>
        <w:r>
          <w:rPr>
            <w:noProof/>
            <w:webHidden/>
          </w:rPr>
          <w:fldChar w:fldCharType="begin"/>
        </w:r>
        <w:r>
          <w:rPr>
            <w:noProof/>
            <w:webHidden/>
          </w:rPr>
          <w:instrText xml:space="preserve"> PAGEREF _Toc507359625 \h </w:instrText>
        </w:r>
        <w:r>
          <w:rPr>
            <w:noProof/>
            <w:webHidden/>
          </w:rPr>
        </w:r>
        <w:r>
          <w:rPr>
            <w:noProof/>
            <w:webHidden/>
          </w:rPr>
          <w:fldChar w:fldCharType="separate"/>
        </w:r>
        <w:r>
          <w:rPr>
            <w:noProof/>
            <w:webHidden/>
          </w:rPr>
          <w:t>47</w:t>
        </w:r>
        <w:r>
          <w:rPr>
            <w:noProof/>
            <w:webHidden/>
          </w:rPr>
          <w:fldChar w:fldCharType="end"/>
        </w:r>
      </w:hyperlink>
    </w:p>
    <w:p w:rsidR="001E7162" w:rsidRDefault="00EC2A75">
      <w:pPr>
        <w:pStyle w:val="TOC2"/>
        <w:rPr>
          <w:rFonts w:asciiTheme="minorHAnsi" w:eastAsiaTheme="minorEastAsia" w:hAnsiTheme="minorHAnsi" w:cstheme="minorBidi"/>
          <w:noProof/>
          <w:color w:val="auto"/>
          <w:sz w:val="22"/>
          <w:lang w:eastAsia="en-GB"/>
        </w:rPr>
      </w:pPr>
      <w:hyperlink w:anchor="_Toc507359626" w:history="1">
        <w:r>
          <w:rPr>
            <w:rStyle w:val="Hyperlink"/>
            <w:noProof/>
          </w:rPr>
          <w:t>Annex A: Overview table</w:t>
        </w:r>
        <w:r>
          <w:rPr>
            <w:noProof/>
            <w:webHidden/>
          </w:rPr>
          <w:tab/>
        </w:r>
        <w:r>
          <w:rPr>
            <w:noProof/>
            <w:webHidden/>
          </w:rPr>
          <w:fldChar w:fldCharType="begin"/>
        </w:r>
        <w:r>
          <w:rPr>
            <w:noProof/>
            <w:webHidden/>
          </w:rPr>
          <w:instrText xml:space="preserve"> PAGEREF _Toc507359626 \h </w:instrText>
        </w:r>
        <w:r>
          <w:rPr>
            <w:noProof/>
            <w:webHidden/>
          </w:rPr>
        </w:r>
        <w:r>
          <w:rPr>
            <w:noProof/>
            <w:webHidden/>
          </w:rPr>
          <w:fldChar w:fldCharType="separate"/>
        </w:r>
        <w:r>
          <w:rPr>
            <w:noProof/>
            <w:webHidden/>
          </w:rPr>
          <w:t>54</w:t>
        </w:r>
        <w:r>
          <w:rPr>
            <w:noProof/>
            <w:webHidden/>
          </w:rPr>
          <w:fldChar w:fldCharType="end"/>
        </w:r>
      </w:hyperlink>
    </w:p>
    <w:p w:rsidR="001E7162" w:rsidRDefault="00EC2A75">
      <w:pPr>
        <w:pStyle w:val="TOC2"/>
        <w:rPr>
          <w:rFonts w:asciiTheme="minorHAnsi" w:eastAsiaTheme="minorEastAsia" w:hAnsiTheme="minorHAnsi" w:cstheme="minorBidi"/>
          <w:noProof/>
          <w:color w:val="auto"/>
          <w:sz w:val="22"/>
          <w:lang w:eastAsia="en-GB"/>
        </w:rPr>
      </w:pPr>
      <w:hyperlink w:anchor="_Toc507359628" w:history="1">
        <w:r>
          <w:rPr>
            <w:rStyle w:val="Hyperlink"/>
            <w:noProof/>
          </w:rPr>
          <w:t>Annex B: Macroeconomic Imbalance Procedure scoreboard</w:t>
        </w:r>
        <w:r>
          <w:rPr>
            <w:noProof/>
            <w:webHidden/>
          </w:rPr>
          <w:tab/>
        </w:r>
        <w:r>
          <w:rPr>
            <w:noProof/>
            <w:webHidden/>
          </w:rPr>
          <w:fldChar w:fldCharType="begin"/>
        </w:r>
        <w:r>
          <w:rPr>
            <w:noProof/>
            <w:webHidden/>
          </w:rPr>
          <w:instrText xml:space="preserve"> PAGEREF _Toc507359628 \h </w:instrText>
        </w:r>
        <w:r>
          <w:rPr>
            <w:noProof/>
            <w:webHidden/>
          </w:rPr>
        </w:r>
        <w:r>
          <w:rPr>
            <w:noProof/>
            <w:webHidden/>
          </w:rPr>
          <w:fldChar w:fldCharType="separate"/>
        </w:r>
        <w:r>
          <w:rPr>
            <w:noProof/>
            <w:webHidden/>
          </w:rPr>
          <w:t>60</w:t>
        </w:r>
        <w:r>
          <w:rPr>
            <w:noProof/>
            <w:webHidden/>
          </w:rPr>
          <w:fldChar w:fldCharType="end"/>
        </w:r>
      </w:hyperlink>
    </w:p>
    <w:p w:rsidR="001E7162" w:rsidRDefault="00EC2A75">
      <w:pPr>
        <w:pStyle w:val="TOC2"/>
        <w:rPr>
          <w:rFonts w:asciiTheme="minorHAnsi" w:eastAsiaTheme="minorEastAsia" w:hAnsiTheme="minorHAnsi" w:cstheme="minorBidi"/>
          <w:noProof/>
          <w:color w:val="auto"/>
          <w:sz w:val="22"/>
          <w:lang w:eastAsia="en-GB"/>
        </w:rPr>
      </w:pPr>
      <w:hyperlink w:anchor="_Toc507359630" w:history="1">
        <w:r>
          <w:rPr>
            <w:rStyle w:val="Hyperlink"/>
            <w:noProof/>
          </w:rPr>
          <w:t>Annex C: Standard tables</w:t>
        </w:r>
        <w:r>
          <w:rPr>
            <w:noProof/>
            <w:webHidden/>
          </w:rPr>
          <w:tab/>
        </w:r>
        <w:r>
          <w:rPr>
            <w:noProof/>
            <w:webHidden/>
          </w:rPr>
          <w:fldChar w:fldCharType="begin"/>
        </w:r>
        <w:r>
          <w:rPr>
            <w:noProof/>
            <w:webHidden/>
          </w:rPr>
          <w:instrText xml:space="preserve"> PAGEREF _Toc507359630 \h </w:instrText>
        </w:r>
        <w:r>
          <w:rPr>
            <w:noProof/>
            <w:webHidden/>
          </w:rPr>
        </w:r>
        <w:r>
          <w:rPr>
            <w:noProof/>
            <w:webHidden/>
          </w:rPr>
          <w:fldChar w:fldCharType="separate"/>
        </w:r>
        <w:r>
          <w:rPr>
            <w:noProof/>
            <w:webHidden/>
          </w:rPr>
          <w:t>61</w:t>
        </w:r>
        <w:r>
          <w:rPr>
            <w:noProof/>
            <w:webHidden/>
          </w:rPr>
          <w:fldChar w:fldCharType="end"/>
        </w:r>
      </w:hyperlink>
    </w:p>
    <w:p w:rsidR="001E7162" w:rsidRDefault="00EC2A75">
      <w:pPr>
        <w:pStyle w:val="TOC2"/>
        <w:rPr>
          <w:rFonts w:asciiTheme="minorHAnsi" w:eastAsiaTheme="minorEastAsia" w:hAnsiTheme="minorHAnsi" w:cstheme="minorBidi"/>
          <w:noProof/>
          <w:color w:val="auto"/>
          <w:sz w:val="22"/>
          <w:lang w:eastAsia="en-GB"/>
        </w:rPr>
      </w:pPr>
      <w:hyperlink w:anchor="_Toc507359632" w:history="1">
        <w:r>
          <w:rPr>
            <w:rStyle w:val="Hyperlink"/>
            <w:noProof/>
          </w:rPr>
          <w:t>Refe</w:t>
        </w:r>
        <w:r>
          <w:rPr>
            <w:rStyle w:val="Hyperlink"/>
            <w:noProof/>
          </w:rPr>
          <w:t>rences</w:t>
        </w:r>
        <w:r>
          <w:rPr>
            <w:noProof/>
            <w:webHidden/>
          </w:rPr>
          <w:tab/>
        </w:r>
        <w:r>
          <w:rPr>
            <w:noProof/>
            <w:webHidden/>
          </w:rPr>
          <w:fldChar w:fldCharType="begin"/>
        </w:r>
        <w:r>
          <w:rPr>
            <w:noProof/>
            <w:webHidden/>
          </w:rPr>
          <w:instrText xml:space="preserve"> PAGEREF _Toc507359632 \h </w:instrText>
        </w:r>
        <w:r>
          <w:rPr>
            <w:noProof/>
            <w:webHidden/>
          </w:rPr>
        </w:r>
        <w:r>
          <w:rPr>
            <w:noProof/>
            <w:webHidden/>
          </w:rPr>
          <w:fldChar w:fldCharType="separate"/>
        </w:r>
        <w:r>
          <w:rPr>
            <w:noProof/>
            <w:webHidden/>
          </w:rPr>
          <w:t>67</w:t>
        </w:r>
        <w:r>
          <w:rPr>
            <w:noProof/>
            <w:webHidden/>
          </w:rPr>
          <w:fldChar w:fldCharType="end"/>
        </w:r>
      </w:hyperlink>
    </w:p>
    <w:p w:rsidR="001E7162" w:rsidRDefault="00EC2A75">
      <w:pPr>
        <w:rPr>
          <w:noProof/>
        </w:rPr>
      </w:pPr>
      <w:r>
        <w:rPr>
          <w:noProof/>
        </w:rPr>
        <w:fldChar w:fldCharType="end"/>
      </w:r>
    </w:p>
    <w:p w:rsidR="001E7162" w:rsidRDefault="00EC2A75">
      <w:pPr>
        <w:pStyle w:val="HEADINGTOC"/>
        <w:rPr>
          <w:noProof/>
        </w:rPr>
      </w:pPr>
      <w:r>
        <w:rPr>
          <w:noProof/>
        </w:rPr>
        <w:t>LIST OF Tables</w:t>
      </w:r>
    </w:p>
    <w:p w:rsidR="001E7162" w:rsidRDefault="00EC2A75">
      <w:pPr>
        <w:pStyle w:val="TOC5"/>
        <w:rPr>
          <w:noProof/>
        </w:rPr>
      </w:pPr>
      <w:r>
        <w:rPr>
          <w:noProof/>
        </w:rPr>
        <w:fldChar w:fldCharType="begin"/>
      </w:r>
      <w:r>
        <w:rPr>
          <w:noProof/>
        </w:rPr>
        <w:instrText xml:space="preserve"> TOC \o "5-5" \h \z \u </w:instrText>
      </w:r>
      <w:r>
        <w:rPr>
          <w:noProof/>
        </w:rPr>
        <w:fldChar w:fldCharType="separate"/>
      </w:r>
      <w:hyperlink w:anchor="_Toc505083179" w:history="1">
        <w:r>
          <w:rPr>
            <w:noProof/>
          </w:rPr>
          <w:t>Table 2.1:</w:t>
        </w:r>
        <w:r>
          <w:rPr>
            <w:noProof/>
          </w:rPr>
          <w:tab/>
          <w:t>CSR progress</w:t>
        </w:r>
        <w:r>
          <w:rPr>
            <w:noProof/>
            <w:webHidden/>
          </w:rPr>
          <w:tab/>
        </w:r>
        <w:r>
          <w:rPr>
            <w:noProof/>
            <w:webHidden/>
          </w:rPr>
          <w:fldChar w:fldCharType="begin"/>
        </w:r>
        <w:r>
          <w:rPr>
            <w:noProof/>
            <w:webHidden/>
          </w:rPr>
          <w:instrText xml:space="preserve"> PAGEREF _Toc505083179 \h </w:instrText>
        </w:r>
        <w:r>
          <w:rPr>
            <w:noProof/>
            <w:webHidden/>
          </w:rPr>
        </w:r>
        <w:r>
          <w:rPr>
            <w:noProof/>
            <w:webHidden/>
          </w:rPr>
          <w:fldChar w:fldCharType="separate"/>
        </w:r>
        <w:r>
          <w:rPr>
            <w:noProof/>
            <w:webHidden/>
          </w:rPr>
          <w:t>11</w:t>
        </w:r>
        <w:r>
          <w:rPr>
            <w:noProof/>
            <w:webHidden/>
          </w:rPr>
          <w:fldChar w:fldCharType="end"/>
        </w:r>
      </w:hyperlink>
    </w:p>
    <w:p w:rsidR="001E7162" w:rsidRDefault="00EC2A75">
      <w:pPr>
        <w:pStyle w:val="TOC5"/>
        <w:rPr>
          <w:noProof/>
        </w:rPr>
      </w:pPr>
      <w:hyperlink w:anchor="_Toc505083180" w:history="1">
        <w:r>
          <w:rPr>
            <w:noProof/>
          </w:rPr>
          <w:t>Table 3.1:</w:t>
        </w:r>
        <w:r>
          <w:rPr>
            <w:noProof/>
          </w:rPr>
          <w:tab/>
          <w:t>MIP Matrix</w:t>
        </w:r>
        <w:r>
          <w:rPr>
            <w:noProof/>
            <w:webHidden/>
          </w:rPr>
          <w:tab/>
        </w:r>
        <w:r>
          <w:rPr>
            <w:noProof/>
            <w:webHidden/>
          </w:rPr>
          <w:fldChar w:fldCharType="begin"/>
        </w:r>
        <w:r>
          <w:rPr>
            <w:noProof/>
            <w:webHidden/>
          </w:rPr>
          <w:instrText xml:space="preserve"> PAGEREF _Toc505083180 \h </w:instrText>
        </w:r>
        <w:r>
          <w:rPr>
            <w:noProof/>
            <w:webHidden/>
          </w:rPr>
        </w:r>
        <w:r>
          <w:rPr>
            <w:noProof/>
            <w:webHidden/>
          </w:rPr>
          <w:fldChar w:fldCharType="separate"/>
        </w:r>
        <w:r>
          <w:rPr>
            <w:noProof/>
            <w:webHidden/>
          </w:rPr>
          <w:t>16</w:t>
        </w:r>
        <w:r>
          <w:rPr>
            <w:noProof/>
            <w:webHidden/>
          </w:rPr>
          <w:fldChar w:fldCharType="end"/>
        </w:r>
      </w:hyperlink>
    </w:p>
    <w:p w:rsidR="001E7162" w:rsidRDefault="00EC2A75">
      <w:pPr>
        <w:pStyle w:val="TOC5"/>
        <w:rPr>
          <w:noProof/>
        </w:rPr>
      </w:pPr>
      <w:hyperlink w:anchor="_Toc505083181" w:history="1">
        <w:r>
          <w:rPr>
            <w:noProof/>
          </w:rPr>
          <w:t>Table 4.1.1:</w:t>
        </w:r>
        <w:r>
          <w:rPr>
            <w:noProof/>
          </w:rPr>
          <w:tab/>
          <w:t>Tax wedge comparison with peers</w:t>
        </w:r>
        <w:r>
          <w:rPr>
            <w:noProof/>
            <w:webHidden/>
          </w:rPr>
          <w:tab/>
        </w:r>
        <w:r>
          <w:rPr>
            <w:noProof/>
            <w:webHidden/>
          </w:rPr>
          <w:fldChar w:fldCharType="begin"/>
        </w:r>
        <w:r>
          <w:rPr>
            <w:noProof/>
            <w:webHidden/>
          </w:rPr>
          <w:instrText xml:space="preserve"> PAGEREF _Toc505083181 \h </w:instrText>
        </w:r>
        <w:r>
          <w:rPr>
            <w:noProof/>
            <w:webHidden/>
          </w:rPr>
        </w:r>
        <w:r>
          <w:rPr>
            <w:noProof/>
            <w:webHidden/>
          </w:rPr>
          <w:fldChar w:fldCharType="separate"/>
        </w:r>
        <w:r>
          <w:rPr>
            <w:noProof/>
            <w:webHidden/>
          </w:rPr>
          <w:t>21</w:t>
        </w:r>
        <w:r>
          <w:rPr>
            <w:noProof/>
            <w:webHidden/>
          </w:rPr>
          <w:fldChar w:fldCharType="end"/>
        </w:r>
      </w:hyperlink>
    </w:p>
    <w:p w:rsidR="001E7162" w:rsidRDefault="00EC2A75">
      <w:pPr>
        <w:pStyle w:val="TOC5"/>
        <w:rPr>
          <w:noProof/>
        </w:rPr>
      </w:pPr>
      <w:hyperlink w:anchor="_Toc505083182" w:history="1">
        <w:r>
          <w:rPr>
            <w:noProof/>
          </w:rPr>
          <w:t>Table 4.2.1:</w:t>
        </w:r>
        <w:r>
          <w:rPr>
            <w:noProof/>
          </w:rPr>
          <w:tab/>
          <w:t>Financial soundness indicators, all banks in Croatia</w:t>
        </w:r>
        <w:r>
          <w:rPr>
            <w:noProof/>
            <w:webHidden/>
          </w:rPr>
          <w:tab/>
        </w:r>
        <w:r>
          <w:rPr>
            <w:noProof/>
            <w:webHidden/>
          </w:rPr>
          <w:fldChar w:fldCharType="begin"/>
        </w:r>
        <w:r>
          <w:rPr>
            <w:noProof/>
            <w:webHidden/>
          </w:rPr>
          <w:instrText xml:space="preserve"> PAGEREF _Toc505083182 \h </w:instrText>
        </w:r>
        <w:r>
          <w:rPr>
            <w:noProof/>
            <w:webHidden/>
          </w:rPr>
        </w:r>
        <w:r>
          <w:rPr>
            <w:noProof/>
            <w:webHidden/>
          </w:rPr>
          <w:fldChar w:fldCharType="separate"/>
        </w:r>
        <w:r>
          <w:rPr>
            <w:noProof/>
            <w:webHidden/>
          </w:rPr>
          <w:t>29</w:t>
        </w:r>
        <w:r>
          <w:rPr>
            <w:noProof/>
            <w:webHidden/>
          </w:rPr>
          <w:fldChar w:fldCharType="end"/>
        </w:r>
      </w:hyperlink>
    </w:p>
    <w:p w:rsidR="001E7162" w:rsidRDefault="00EC2A75">
      <w:pPr>
        <w:pStyle w:val="TOC5"/>
        <w:rPr>
          <w:noProof/>
        </w:rPr>
      </w:pPr>
      <w:hyperlink w:anchor="_Toc505083183" w:history="1">
        <w:r>
          <w:rPr>
            <w:noProof/>
          </w:rPr>
          <w:t>Table 4.5.1:</w:t>
        </w:r>
        <w:r>
          <w:rPr>
            <w:noProof/>
          </w:rPr>
          <w:tab/>
          <w:t xml:space="preserve">Hospital beds by type, per 100 </w:t>
        </w:r>
        <w:r>
          <w:rPr>
            <w:noProof/>
          </w:rPr>
          <w:t>000 inhabitants, 2015</w:t>
        </w:r>
        <w:r>
          <w:rPr>
            <w:noProof/>
            <w:webHidden/>
          </w:rPr>
          <w:tab/>
        </w:r>
        <w:r>
          <w:rPr>
            <w:noProof/>
            <w:webHidden/>
          </w:rPr>
          <w:fldChar w:fldCharType="begin"/>
        </w:r>
        <w:r>
          <w:rPr>
            <w:noProof/>
            <w:webHidden/>
          </w:rPr>
          <w:instrText xml:space="preserve"> PAGEREF _Toc505083183 \h </w:instrText>
        </w:r>
        <w:r>
          <w:rPr>
            <w:noProof/>
            <w:webHidden/>
          </w:rPr>
        </w:r>
        <w:r>
          <w:rPr>
            <w:noProof/>
            <w:webHidden/>
          </w:rPr>
          <w:fldChar w:fldCharType="separate"/>
        </w:r>
        <w:r>
          <w:rPr>
            <w:noProof/>
            <w:webHidden/>
          </w:rPr>
          <w:t>52</w:t>
        </w:r>
        <w:r>
          <w:rPr>
            <w:noProof/>
            <w:webHidden/>
          </w:rPr>
          <w:fldChar w:fldCharType="end"/>
        </w:r>
      </w:hyperlink>
    </w:p>
    <w:p w:rsidR="001E7162" w:rsidRDefault="00EC2A75">
      <w:pPr>
        <w:pStyle w:val="TOC5"/>
        <w:rPr>
          <w:noProof/>
        </w:rPr>
      </w:pPr>
      <w:hyperlink w:anchor="_Toc505083184" w:history="1">
        <w:r>
          <w:rPr>
            <w:noProof/>
          </w:rPr>
          <w:t>Table B.1:</w:t>
        </w:r>
        <w:r>
          <w:rPr>
            <w:noProof/>
          </w:rPr>
          <w:tab/>
          <w:t>The MIP scoreboard for Croatia (AMR 2018)</w:t>
        </w:r>
        <w:r>
          <w:rPr>
            <w:noProof/>
            <w:webHidden/>
          </w:rPr>
          <w:tab/>
        </w:r>
        <w:r>
          <w:rPr>
            <w:noProof/>
            <w:webHidden/>
          </w:rPr>
          <w:fldChar w:fldCharType="begin"/>
        </w:r>
        <w:r>
          <w:rPr>
            <w:noProof/>
            <w:webHidden/>
          </w:rPr>
          <w:instrText xml:space="preserve"> PAGEREF _Toc505083184 \h </w:instrText>
        </w:r>
        <w:r>
          <w:rPr>
            <w:noProof/>
            <w:webHidden/>
          </w:rPr>
        </w:r>
        <w:r>
          <w:rPr>
            <w:noProof/>
            <w:webHidden/>
          </w:rPr>
          <w:fldChar w:fldCharType="separate"/>
        </w:r>
        <w:r>
          <w:rPr>
            <w:noProof/>
            <w:webHidden/>
          </w:rPr>
          <w:t>60</w:t>
        </w:r>
        <w:r>
          <w:rPr>
            <w:noProof/>
            <w:webHidden/>
          </w:rPr>
          <w:fldChar w:fldCharType="end"/>
        </w:r>
      </w:hyperlink>
    </w:p>
    <w:p w:rsidR="001E7162" w:rsidRDefault="00EC2A75">
      <w:pPr>
        <w:pStyle w:val="TOC5"/>
        <w:rPr>
          <w:noProof/>
        </w:rPr>
      </w:pPr>
      <w:hyperlink w:anchor="_Toc505083185" w:history="1">
        <w:r>
          <w:rPr>
            <w:noProof/>
          </w:rPr>
          <w:t>Table C.1:</w:t>
        </w:r>
        <w:r>
          <w:rPr>
            <w:noProof/>
          </w:rPr>
          <w:tab/>
          <w:t>Financial market indicators</w:t>
        </w:r>
        <w:r>
          <w:rPr>
            <w:noProof/>
            <w:webHidden/>
          </w:rPr>
          <w:tab/>
        </w:r>
        <w:r>
          <w:rPr>
            <w:noProof/>
            <w:webHidden/>
          </w:rPr>
          <w:fldChar w:fldCharType="begin"/>
        </w:r>
        <w:r>
          <w:rPr>
            <w:noProof/>
            <w:webHidden/>
          </w:rPr>
          <w:instrText xml:space="preserve"> PAGEREF _Toc505083185 \h </w:instrText>
        </w:r>
        <w:r>
          <w:rPr>
            <w:noProof/>
            <w:webHidden/>
          </w:rPr>
        </w:r>
        <w:r>
          <w:rPr>
            <w:noProof/>
            <w:webHidden/>
          </w:rPr>
          <w:fldChar w:fldCharType="separate"/>
        </w:r>
        <w:r>
          <w:rPr>
            <w:noProof/>
            <w:webHidden/>
          </w:rPr>
          <w:t>61</w:t>
        </w:r>
        <w:r>
          <w:rPr>
            <w:noProof/>
            <w:webHidden/>
          </w:rPr>
          <w:fldChar w:fldCharType="end"/>
        </w:r>
      </w:hyperlink>
    </w:p>
    <w:p w:rsidR="001E7162" w:rsidRDefault="00EC2A75">
      <w:pPr>
        <w:pStyle w:val="TOC5"/>
        <w:rPr>
          <w:noProof/>
        </w:rPr>
      </w:pPr>
      <w:hyperlink w:anchor="_Toc505083186" w:history="1">
        <w:r>
          <w:rPr>
            <w:noProof/>
          </w:rPr>
          <w:t>Table C.2:</w:t>
        </w:r>
        <w:r>
          <w:rPr>
            <w:noProof/>
          </w:rPr>
          <w:tab/>
          <w:t>Headline Social Scoreboard indicators</w:t>
        </w:r>
        <w:r>
          <w:rPr>
            <w:noProof/>
            <w:webHidden/>
          </w:rPr>
          <w:tab/>
        </w:r>
        <w:r>
          <w:rPr>
            <w:noProof/>
            <w:webHidden/>
          </w:rPr>
          <w:fldChar w:fldCharType="begin"/>
        </w:r>
        <w:r>
          <w:rPr>
            <w:noProof/>
            <w:webHidden/>
          </w:rPr>
          <w:instrText xml:space="preserve"> PAGEREF _Toc505083186 \h </w:instrText>
        </w:r>
        <w:r>
          <w:rPr>
            <w:noProof/>
            <w:webHidden/>
          </w:rPr>
        </w:r>
        <w:r>
          <w:rPr>
            <w:noProof/>
            <w:webHidden/>
          </w:rPr>
          <w:fldChar w:fldCharType="separate"/>
        </w:r>
        <w:r>
          <w:rPr>
            <w:noProof/>
            <w:webHidden/>
          </w:rPr>
          <w:t>62</w:t>
        </w:r>
        <w:r>
          <w:rPr>
            <w:noProof/>
            <w:webHidden/>
          </w:rPr>
          <w:fldChar w:fldCharType="end"/>
        </w:r>
      </w:hyperlink>
    </w:p>
    <w:p w:rsidR="001E7162" w:rsidRDefault="00EC2A75">
      <w:pPr>
        <w:pStyle w:val="TOC5"/>
        <w:rPr>
          <w:noProof/>
        </w:rPr>
      </w:pPr>
      <w:hyperlink w:anchor="_Toc505083187" w:history="1">
        <w:r>
          <w:rPr>
            <w:noProof/>
          </w:rPr>
          <w:t>Table C.3:</w:t>
        </w:r>
        <w:r>
          <w:rPr>
            <w:noProof/>
          </w:rPr>
          <w:tab/>
          <w:t>Labour market and education indicators</w:t>
        </w:r>
        <w:r>
          <w:rPr>
            <w:noProof/>
            <w:webHidden/>
          </w:rPr>
          <w:tab/>
        </w:r>
        <w:r>
          <w:rPr>
            <w:noProof/>
            <w:webHidden/>
          </w:rPr>
          <w:fldChar w:fldCharType="begin"/>
        </w:r>
        <w:r>
          <w:rPr>
            <w:noProof/>
            <w:webHidden/>
          </w:rPr>
          <w:instrText xml:space="preserve"> PAGEREF _Toc505083187 \h </w:instrText>
        </w:r>
        <w:r>
          <w:rPr>
            <w:noProof/>
            <w:webHidden/>
          </w:rPr>
        </w:r>
        <w:r>
          <w:rPr>
            <w:noProof/>
            <w:webHidden/>
          </w:rPr>
          <w:fldChar w:fldCharType="separate"/>
        </w:r>
        <w:r>
          <w:rPr>
            <w:noProof/>
            <w:webHidden/>
          </w:rPr>
          <w:t>63</w:t>
        </w:r>
        <w:r>
          <w:rPr>
            <w:noProof/>
            <w:webHidden/>
          </w:rPr>
          <w:fldChar w:fldCharType="end"/>
        </w:r>
      </w:hyperlink>
    </w:p>
    <w:p w:rsidR="001E7162" w:rsidRDefault="00EC2A75">
      <w:pPr>
        <w:pStyle w:val="TOC5"/>
        <w:rPr>
          <w:noProof/>
        </w:rPr>
      </w:pPr>
      <w:hyperlink w:anchor="_Toc505083188" w:history="1">
        <w:r>
          <w:rPr>
            <w:noProof/>
          </w:rPr>
          <w:t>Table C.4:</w:t>
        </w:r>
        <w:r>
          <w:rPr>
            <w:noProof/>
          </w:rPr>
          <w:tab/>
          <w:t>Social inclusion and health indicators</w:t>
        </w:r>
        <w:r>
          <w:rPr>
            <w:noProof/>
            <w:webHidden/>
          </w:rPr>
          <w:tab/>
        </w:r>
        <w:r>
          <w:rPr>
            <w:noProof/>
            <w:webHidden/>
          </w:rPr>
          <w:fldChar w:fldCharType="begin"/>
        </w:r>
        <w:r>
          <w:rPr>
            <w:noProof/>
            <w:webHidden/>
          </w:rPr>
          <w:instrText xml:space="preserve"> PAGEREF _Toc505083188 \h </w:instrText>
        </w:r>
        <w:r>
          <w:rPr>
            <w:noProof/>
            <w:webHidden/>
          </w:rPr>
        </w:r>
        <w:r>
          <w:rPr>
            <w:noProof/>
            <w:webHidden/>
          </w:rPr>
          <w:fldChar w:fldCharType="separate"/>
        </w:r>
        <w:r>
          <w:rPr>
            <w:noProof/>
            <w:webHidden/>
          </w:rPr>
          <w:t>64</w:t>
        </w:r>
        <w:r>
          <w:rPr>
            <w:noProof/>
            <w:webHidden/>
          </w:rPr>
          <w:fldChar w:fldCharType="end"/>
        </w:r>
      </w:hyperlink>
    </w:p>
    <w:p w:rsidR="001E7162" w:rsidRDefault="00EC2A75">
      <w:pPr>
        <w:pStyle w:val="TOC5"/>
        <w:rPr>
          <w:noProof/>
        </w:rPr>
      </w:pPr>
      <w:hyperlink w:anchor="_Toc505083189" w:history="1">
        <w:r>
          <w:rPr>
            <w:noProof/>
          </w:rPr>
          <w:t>Table C.5:</w:t>
        </w:r>
        <w:r>
          <w:rPr>
            <w:noProof/>
          </w:rPr>
          <w:tab/>
          <w:t>Product market performance and policy indicators</w:t>
        </w:r>
        <w:r>
          <w:rPr>
            <w:noProof/>
            <w:webHidden/>
          </w:rPr>
          <w:tab/>
        </w:r>
        <w:r>
          <w:rPr>
            <w:noProof/>
            <w:webHidden/>
          </w:rPr>
          <w:fldChar w:fldCharType="begin"/>
        </w:r>
        <w:r>
          <w:rPr>
            <w:noProof/>
            <w:webHidden/>
          </w:rPr>
          <w:instrText xml:space="preserve"> PAGEREF _Toc505083189 \h </w:instrText>
        </w:r>
        <w:r>
          <w:rPr>
            <w:noProof/>
            <w:webHidden/>
          </w:rPr>
        </w:r>
        <w:r>
          <w:rPr>
            <w:noProof/>
            <w:webHidden/>
          </w:rPr>
          <w:fldChar w:fldCharType="separate"/>
        </w:r>
        <w:r>
          <w:rPr>
            <w:noProof/>
            <w:webHidden/>
          </w:rPr>
          <w:t>65</w:t>
        </w:r>
        <w:r>
          <w:rPr>
            <w:noProof/>
            <w:webHidden/>
          </w:rPr>
          <w:fldChar w:fldCharType="end"/>
        </w:r>
      </w:hyperlink>
    </w:p>
    <w:p w:rsidR="001E7162" w:rsidRDefault="00EC2A75">
      <w:pPr>
        <w:pStyle w:val="TOC5"/>
        <w:rPr>
          <w:noProof/>
        </w:rPr>
      </w:pPr>
      <w:hyperlink w:anchor="_Toc505083190" w:history="1">
        <w:r>
          <w:rPr>
            <w:noProof/>
          </w:rPr>
          <w:t>Table C.6:</w:t>
        </w:r>
        <w:r>
          <w:rPr>
            <w:noProof/>
          </w:rPr>
          <w:tab/>
          <w:t>Green growth</w:t>
        </w:r>
        <w:r>
          <w:rPr>
            <w:noProof/>
            <w:webHidden/>
          </w:rPr>
          <w:tab/>
        </w:r>
        <w:r>
          <w:rPr>
            <w:noProof/>
            <w:webHidden/>
          </w:rPr>
          <w:fldChar w:fldCharType="begin"/>
        </w:r>
        <w:r>
          <w:rPr>
            <w:noProof/>
            <w:webHidden/>
          </w:rPr>
          <w:instrText xml:space="preserve"> PAGEREF _Toc505083190 \h </w:instrText>
        </w:r>
        <w:r>
          <w:rPr>
            <w:noProof/>
            <w:webHidden/>
          </w:rPr>
        </w:r>
        <w:r>
          <w:rPr>
            <w:noProof/>
            <w:webHidden/>
          </w:rPr>
          <w:fldChar w:fldCharType="separate"/>
        </w:r>
        <w:r>
          <w:rPr>
            <w:noProof/>
            <w:webHidden/>
          </w:rPr>
          <w:t>66</w:t>
        </w:r>
        <w:r>
          <w:rPr>
            <w:noProof/>
            <w:webHidden/>
          </w:rPr>
          <w:fldChar w:fldCharType="end"/>
        </w:r>
      </w:hyperlink>
    </w:p>
    <w:p w:rsidR="001E7162" w:rsidRDefault="00EC2A75">
      <w:pPr>
        <w:rPr>
          <w:noProof/>
        </w:rPr>
      </w:pPr>
      <w:r>
        <w:rPr>
          <w:noProof/>
        </w:rPr>
        <w:fldChar w:fldCharType="end"/>
      </w:r>
    </w:p>
    <w:p w:rsidR="001E7162" w:rsidRDefault="00EC2A75">
      <w:pPr>
        <w:pStyle w:val="HEADINGTOC"/>
        <w:rPr>
          <w:noProof/>
        </w:rPr>
      </w:pPr>
      <w:r>
        <w:rPr>
          <w:noProof/>
        </w:rPr>
        <w:lastRenderedPageBreak/>
        <w:t>LIST OF Graphs</w:t>
      </w:r>
    </w:p>
    <w:p w:rsidR="001E7162" w:rsidRDefault="00EC2A75">
      <w:pPr>
        <w:pStyle w:val="TOC6"/>
        <w:rPr>
          <w:noProof/>
        </w:rPr>
      </w:pPr>
      <w:r>
        <w:rPr>
          <w:noProof/>
        </w:rPr>
        <w:fldChar w:fldCharType="begin"/>
      </w:r>
      <w:r>
        <w:rPr>
          <w:noProof/>
        </w:rPr>
        <w:instrText xml:space="preserve"> TOC \o "6-6" \h \z \u </w:instrText>
      </w:r>
      <w:r>
        <w:rPr>
          <w:noProof/>
        </w:rPr>
        <w:fldChar w:fldCharType="separate"/>
      </w:r>
      <w:hyperlink w:anchor="_Toc505083013" w:history="1">
        <w:r>
          <w:rPr>
            <w:noProof/>
          </w:rPr>
          <w:t>Graph 1.1:</w:t>
        </w:r>
        <w:r>
          <w:rPr>
            <w:noProof/>
          </w:rPr>
          <w:tab/>
          <w:t>Real GDP growth by demand component</w:t>
        </w:r>
        <w:r>
          <w:rPr>
            <w:noProof/>
            <w:webHidden/>
          </w:rPr>
          <w:tab/>
        </w:r>
        <w:r>
          <w:rPr>
            <w:noProof/>
            <w:webHidden/>
          </w:rPr>
          <w:fldChar w:fldCharType="begin"/>
        </w:r>
        <w:r>
          <w:rPr>
            <w:noProof/>
            <w:webHidden/>
          </w:rPr>
          <w:instrText xml:space="preserve"> PAGEREF _Toc505083013 \h </w:instrText>
        </w:r>
        <w:r>
          <w:rPr>
            <w:noProof/>
            <w:webHidden/>
          </w:rPr>
        </w:r>
        <w:r>
          <w:rPr>
            <w:noProof/>
            <w:webHidden/>
          </w:rPr>
          <w:fldChar w:fldCharType="separate"/>
        </w:r>
        <w:r>
          <w:rPr>
            <w:noProof/>
            <w:webHidden/>
          </w:rPr>
          <w:t>4</w:t>
        </w:r>
        <w:r>
          <w:rPr>
            <w:noProof/>
            <w:webHidden/>
          </w:rPr>
          <w:fldChar w:fldCharType="end"/>
        </w:r>
      </w:hyperlink>
    </w:p>
    <w:p w:rsidR="001E7162" w:rsidRDefault="00EC2A75">
      <w:pPr>
        <w:pStyle w:val="TOC6"/>
        <w:rPr>
          <w:noProof/>
        </w:rPr>
      </w:pPr>
      <w:hyperlink w:anchor="_Toc505083014" w:history="1">
        <w:r>
          <w:rPr>
            <w:noProof/>
          </w:rPr>
          <w:t>Graph 1.2:</w:t>
        </w:r>
        <w:r>
          <w:rPr>
            <w:noProof/>
          </w:rPr>
          <w:tab/>
          <w:t>Current account composition, gross external debt and net international investment position</w:t>
        </w:r>
        <w:r>
          <w:rPr>
            <w:noProof/>
            <w:webHidden/>
          </w:rPr>
          <w:tab/>
        </w:r>
        <w:r>
          <w:rPr>
            <w:noProof/>
            <w:webHidden/>
          </w:rPr>
          <w:fldChar w:fldCharType="begin"/>
        </w:r>
        <w:r>
          <w:rPr>
            <w:noProof/>
            <w:webHidden/>
          </w:rPr>
          <w:instrText xml:space="preserve"> PAGEREF _Toc505083014 \h </w:instrText>
        </w:r>
        <w:r>
          <w:rPr>
            <w:noProof/>
            <w:webHidden/>
          </w:rPr>
        </w:r>
        <w:r>
          <w:rPr>
            <w:noProof/>
            <w:webHidden/>
          </w:rPr>
          <w:fldChar w:fldCharType="separate"/>
        </w:r>
        <w:r>
          <w:rPr>
            <w:noProof/>
            <w:webHidden/>
          </w:rPr>
          <w:t>5</w:t>
        </w:r>
        <w:r>
          <w:rPr>
            <w:noProof/>
            <w:webHidden/>
          </w:rPr>
          <w:fldChar w:fldCharType="end"/>
        </w:r>
      </w:hyperlink>
    </w:p>
    <w:p w:rsidR="001E7162" w:rsidRDefault="00EC2A75">
      <w:pPr>
        <w:pStyle w:val="TOC6"/>
        <w:rPr>
          <w:noProof/>
        </w:rPr>
      </w:pPr>
      <w:hyperlink w:anchor="_Toc505083015" w:history="1">
        <w:r>
          <w:rPr>
            <w:noProof/>
          </w:rPr>
          <w:t>Graph 1.3:</w:t>
        </w:r>
        <w:r>
          <w:rPr>
            <w:noProof/>
          </w:rPr>
          <w:tab/>
          <w:t>Inflation and main components in Croatia and the EU</w:t>
        </w:r>
        <w:r>
          <w:rPr>
            <w:noProof/>
            <w:webHidden/>
          </w:rPr>
          <w:tab/>
        </w:r>
        <w:r>
          <w:rPr>
            <w:noProof/>
            <w:webHidden/>
          </w:rPr>
          <w:fldChar w:fldCharType="begin"/>
        </w:r>
        <w:r>
          <w:rPr>
            <w:noProof/>
            <w:webHidden/>
          </w:rPr>
          <w:instrText xml:space="preserve"> PAGEREF _Toc505083015 \h </w:instrText>
        </w:r>
        <w:r>
          <w:rPr>
            <w:noProof/>
            <w:webHidden/>
          </w:rPr>
        </w:r>
        <w:r>
          <w:rPr>
            <w:noProof/>
            <w:webHidden/>
          </w:rPr>
          <w:fldChar w:fldCharType="separate"/>
        </w:r>
        <w:r>
          <w:rPr>
            <w:noProof/>
            <w:webHidden/>
          </w:rPr>
          <w:t>5</w:t>
        </w:r>
        <w:r>
          <w:rPr>
            <w:noProof/>
            <w:webHidden/>
          </w:rPr>
          <w:fldChar w:fldCharType="end"/>
        </w:r>
      </w:hyperlink>
    </w:p>
    <w:p w:rsidR="001E7162" w:rsidRDefault="00EC2A75">
      <w:pPr>
        <w:pStyle w:val="TOC6"/>
        <w:rPr>
          <w:noProof/>
        </w:rPr>
      </w:pPr>
      <w:hyperlink w:anchor="_Toc505083016" w:history="1">
        <w:r>
          <w:rPr>
            <w:noProof/>
          </w:rPr>
          <w:t>Graph 1.4:</w:t>
        </w:r>
        <w:r>
          <w:rPr>
            <w:noProof/>
          </w:rPr>
          <w:tab/>
          <w:t>Contributions to rate of change in yearly unit labour costs</w:t>
        </w:r>
        <w:r>
          <w:rPr>
            <w:noProof/>
            <w:webHidden/>
          </w:rPr>
          <w:tab/>
        </w:r>
        <w:r>
          <w:rPr>
            <w:noProof/>
            <w:webHidden/>
          </w:rPr>
          <w:fldChar w:fldCharType="begin"/>
        </w:r>
        <w:r>
          <w:rPr>
            <w:noProof/>
            <w:webHidden/>
          </w:rPr>
          <w:instrText xml:space="preserve"> PAGEREF _Toc505083016 \h </w:instrText>
        </w:r>
        <w:r>
          <w:rPr>
            <w:noProof/>
            <w:webHidden/>
          </w:rPr>
        </w:r>
        <w:r>
          <w:rPr>
            <w:noProof/>
            <w:webHidden/>
          </w:rPr>
          <w:fldChar w:fldCharType="separate"/>
        </w:r>
        <w:r>
          <w:rPr>
            <w:noProof/>
            <w:webHidden/>
          </w:rPr>
          <w:t>6</w:t>
        </w:r>
        <w:r>
          <w:rPr>
            <w:noProof/>
            <w:webHidden/>
          </w:rPr>
          <w:fldChar w:fldCharType="end"/>
        </w:r>
      </w:hyperlink>
    </w:p>
    <w:p w:rsidR="001E7162" w:rsidRDefault="00EC2A75">
      <w:pPr>
        <w:pStyle w:val="TOC6"/>
        <w:rPr>
          <w:noProof/>
        </w:rPr>
      </w:pPr>
      <w:hyperlink w:anchor="_Toc505083017" w:history="1">
        <w:r>
          <w:rPr>
            <w:noProof/>
          </w:rPr>
          <w:t>Graph 1.5:</w:t>
        </w:r>
        <w:r>
          <w:rPr>
            <w:noProof/>
          </w:rPr>
          <w:tab/>
          <w:t>Actual and potential output growth</w:t>
        </w:r>
        <w:r>
          <w:rPr>
            <w:noProof/>
            <w:webHidden/>
          </w:rPr>
          <w:tab/>
        </w:r>
        <w:r>
          <w:rPr>
            <w:noProof/>
            <w:webHidden/>
          </w:rPr>
          <w:fldChar w:fldCharType="begin"/>
        </w:r>
        <w:r>
          <w:rPr>
            <w:noProof/>
            <w:webHidden/>
          </w:rPr>
          <w:instrText xml:space="preserve"> P</w:instrText>
        </w:r>
        <w:r>
          <w:rPr>
            <w:noProof/>
            <w:webHidden/>
          </w:rPr>
          <w:instrText xml:space="preserve">AGEREF _Toc505083017 \h </w:instrText>
        </w:r>
        <w:r>
          <w:rPr>
            <w:noProof/>
            <w:webHidden/>
          </w:rPr>
        </w:r>
        <w:r>
          <w:rPr>
            <w:noProof/>
            <w:webHidden/>
          </w:rPr>
          <w:fldChar w:fldCharType="separate"/>
        </w:r>
        <w:r>
          <w:rPr>
            <w:noProof/>
            <w:webHidden/>
          </w:rPr>
          <w:t>7</w:t>
        </w:r>
        <w:r>
          <w:rPr>
            <w:noProof/>
            <w:webHidden/>
          </w:rPr>
          <w:fldChar w:fldCharType="end"/>
        </w:r>
      </w:hyperlink>
    </w:p>
    <w:p w:rsidR="001E7162" w:rsidRDefault="00EC2A75">
      <w:pPr>
        <w:pStyle w:val="TOC6"/>
        <w:rPr>
          <w:noProof/>
        </w:rPr>
      </w:pPr>
      <w:hyperlink w:anchor="_Toc505083018" w:history="1">
        <w:r>
          <w:rPr>
            <w:noProof/>
          </w:rPr>
          <w:t>Graph 2.1:</w:t>
        </w:r>
        <w:r>
          <w:rPr>
            <w:noProof/>
          </w:rPr>
          <w:tab/>
          <w:t>Level of implementation of 2014-2017 CSRs</w:t>
        </w:r>
        <w:r>
          <w:rPr>
            <w:noProof/>
            <w:webHidden/>
          </w:rPr>
          <w:tab/>
        </w:r>
        <w:r>
          <w:rPr>
            <w:noProof/>
            <w:webHidden/>
          </w:rPr>
          <w:fldChar w:fldCharType="begin"/>
        </w:r>
        <w:r>
          <w:rPr>
            <w:noProof/>
            <w:webHidden/>
          </w:rPr>
          <w:instrText xml:space="preserve"> PAGEREF _Toc505083018 \h </w:instrText>
        </w:r>
        <w:r>
          <w:rPr>
            <w:noProof/>
            <w:webHidden/>
          </w:rPr>
        </w:r>
        <w:r>
          <w:rPr>
            <w:noProof/>
            <w:webHidden/>
          </w:rPr>
          <w:fldChar w:fldCharType="separate"/>
        </w:r>
        <w:r>
          <w:rPr>
            <w:noProof/>
            <w:webHidden/>
          </w:rPr>
          <w:t>9</w:t>
        </w:r>
        <w:r>
          <w:rPr>
            <w:noProof/>
            <w:webHidden/>
          </w:rPr>
          <w:fldChar w:fldCharType="end"/>
        </w:r>
      </w:hyperlink>
    </w:p>
    <w:p w:rsidR="001E7162" w:rsidRDefault="00EC2A75">
      <w:pPr>
        <w:pStyle w:val="TOC6"/>
        <w:rPr>
          <w:noProof/>
        </w:rPr>
      </w:pPr>
      <w:hyperlink w:anchor="_Toc505083019" w:history="1">
        <w:r>
          <w:rPr>
            <w:noProof/>
          </w:rPr>
          <w:t>Graph 4.1.1:</w:t>
        </w:r>
        <w:r>
          <w:rPr>
            <w:noProof/>
          </w:rPr>
          <w:tab/>
          <w:t>General government debt trends</w:t>
        </w:r>
        <w:r>
          <w:rPr>
            <w:noProof/>
            <w:webHidden/>
          </w:rPr>
          <w:tab/>
        </w:r>
        <w:r>
          <w:rPr>
            <w:noProof/>
            <w:webHidden/>
          </w:rPr>
          <w:fldChar w:fldCharType="begin"/>
        </w:r>
        <w:r>
          <w:rPr>
            <w:noProof/>
            <w:webHidden/>
          </w:rPr>
          <w:instrText xml:space="preserve"> PAGEREF _Toc505083019 \h </w:instrText>
        </w:r>
        <w:r>
          <w:rPr>
            <w:noProof/>
            <w:webHidden/>
          </w:rPr>
        </w:r>
        <w:r>
          <w:rPr>
            <w:noProof/>
            <w:webHidden/>
          </w:rPr>
          <w:fldChar w:fldCharType="separate"/>
        </w:r>
        <w:r>
          <w:rPr>
            <w:noProof/>
            <w:webHidden/>
          </w:rPr>
          <w:t>18</w:t>
        </w:r>
        <w:r>
          <w:rPr>
            <w:noProof/>
            <w:webHidden/>
          </w:rPr>
          <w:fldChar w:fldCharType="end"/>
        </w:r>
      </w:hyperlink>
    </w:p>
    <w:p w:rsidR="001E7162" w:rsidRDefault="00EC2A75">
      <w:pPr>
        <w:pStyle w:val="TOC6"/>
        <w:rPr>
          <w:noProof/>
        </w:rPr>
      </w:pPr>
      <w:hyperlink w:anchor="_Toc505083020" w:history="1">
        <w:r>
          <w:rPr>
            <w:noProof/>
          </w:rPr>
          <w:t>Graph 4.1.2:</w:t>
        </w:r>
        <w:r>
          <w:rPr>
            <w:noProof/>
          </w:rPr>
          <w:tab/>
          <w:t>Active government guarantees</w:t>
        </w:r>
        <w:r>
          <w:rPr>
            <w:noProof/>
            <w:webHidden/>
          </w:rPr>
          <w:tab/>
        </w:r>
        <w:r>
          <w:rPr>
            <w:noProof/>
            <w:webHidden/>
          </w:rPr>
          <w:fldChar w:fldCharType="begin"/>
        </w:r>
        <w:r>
          <w:rPr>
            <w:noProof/>
            <w:webHidden/>
          </w:rPr>
          <w:instrText xml:space="preserve"> PAGEREF _Toc505083020 \h </w:instrText>
        </w:r>
        <w:r>
          <w:rPr>
            <w:noProof/>
            <w:webHidden/>
          </w:rPr>
        </w:r>
        <w:r>
          <w:rPr>
            <w:noProof/>
            <w:webHidden/>
          </w:rPr>
          <w:fldChar w:fldCharType="separate"/>
        </w:r>
        <w:r>
          <w:rPr>
            <w:noProof/>
            <w:webHidden/>
          </w:rPr>
          <w:t>19</w:t>
        </w:r>
        <w:r>
          <w:rPr>
            <w:noProof/>
            <w:webHidden/>
          </w:rPr>
          <w:fldChar w:fldCharType="end"/>
        </w:r>
      </w:hyperlink>
    </w:p>
    <w:p w:rsidR="001E7162" w:rsidRDefault="00EC2A75">
      <w:pPr>
        <w:pStyle w:val="TOC6"/>
        <w:rPr>
          <w:noProof/>
        </w:rPr>
      </w:pPr>
      <w:hyperlink w:anchor="_Toc505083021" w:history="1">
        <w:r>
          <w:rPr>
            <w:noProof/>
          </w:rPr>
          <w:t>Graph 4.1.3:</w:t>
        </w:r>
        <w:r>
          <w:rPr>
            <w:noProof/>
          </w:rPr>
          <w:tab/>
          <w:t>Primary expenditure compared to peers in 2016</w:t>
        </w:r>
        <w:r>
          <w:rPr>
            <w:noProof/>
            <w:webHidden/>
          </w:rPr>
          <w:tab/>
        </w:r>
        <w:r>
          <w:rPr>
            <w:noProof/>
            <w:webHidden/>
          </w:rPr>
          <w:fldChar w:fldCharType="begin"/>
        </w:r>
        <w:r>
          <w:rPr>
            <w:noProof/>
            <w:webHidden/>
          </w:rPr>
          <w:instrText xml:space="preserve"> PAGEREF _Toc505083021 \h </w:instrText>
        </w:r>
        <w:r>
          <w:rPr>
            <w:noProof/>
            <w:webHidden/>
          </w:rPr>
        </w:r>
        <w:r>
          <w:rPr>
            <w:noProof/>
            <w:webHidden/>
          </w:rPr>
          <w:fldChar w:fldCharType="separate"/>
        </w:r>
        <w:r>
          <w:rPr>
            <w:noProof/>
            <w:webHidden/>
          </w:rPr>
          <w:t>19</w:t>
        </w:r>
        <w:r>
          <w:rPr>
            <w:noProof/>
            <w:webHidden/>
          </w:rPr>
          <w:fldChar w:fldCharType="end"/>
        </w:r>
      </w:hyperlink>
    </w:p>
    <w:p w:rsidR="001E7162" w:rsidRDefault="00EC2A75">
      <w:pPr>
        <w:pStyle w:val="TOC6"/>
        <w:rPr>
          <w:noProof/>
        </w:rPr>
      </w:pPr>
      <w:hyperlink w:anchor="_Toc505083022" w:history="1">
        <w:r>
          <w:rPr>
            <w:noProof/>
          </w:rPr>
          <w:t>Graph 4.1.4:</w:t>
        </w:r>
        <w:r>
          <w:rPr>
            <w:noProof/>
          </w:rPr>
          <w:tab/>
          <w:t>Expenditure by main functions in 2015 compared to peers</w:t>
        </w:r>
        <w:r>
          <w:rPr>
            <w:noProof/>
            <w:webHidden/>
          </w:rPr>
          <w:tab/>
        </w:r>
        <w:r>
          <w:rPr>
            <w:noProof/>
            <w:webHidden/>
          </w:rPr>
          <w:fldChar w:fldCharType="begin"/>
        </w:r>
        <w:r>
          <w:rPr>
            <w:noProof/>
            <w:webHidden/>
          </w:rPr>
          <w:instrText xml:space="preserve"> PAGEREF _Toc505083022 \h </w:instrText>
        </w:r>
        <w:r>
          <w:rPr>
            <w:noProof/>
            <w:webHidden/>
          </w:rPr>
        </w:r>
        <w:r>
          <w:rPr>
            <w:noProof/>
            <w:webHidden/>
          </w:rPr>
          <w:fldChar w:fldCharType="separate"/>
        </w:r>
        <w:r>
          <w:rPr>
            <w:noProof/>
            <w:webHidden/>
          </w:rPr>
          <w:t>20</w:t>
        </w:r>
        <w:r>
          <w:rPr>
            <w:noProof/>
            <w:webHidden/>
          </w:rPr>
          <w:fldChar w:fldCharType="end"/>
        </w:r>
      </w:hyperlink>
    </w:p>
    <w:p w:rsidR="001E7162" w:rsidRDefault="00EC2A75">
      <w:pPr>
        <w:pStyle w:val="TOC6"/>
        <w:rPr>
          <w:noProof/>
        </w:rPr>
      </w:pPr>
      <w:hyperlink w:anchor="_Toc505083023" w:history="1">
        <w:r>
          <w:rPr>
            <w:noProof/>
          </w:rPr>
          <w:t>Graph 4.2.1:</w:t>
        </w:r>
        <w:r>
          <w:rPr>
            <w:noProof/>
          </w:rPr>
          <w:tab/>
          <w:t>Debt compositio</w:t>
        </w:r>
        <w:r>
          <w:rPr>
            <w:noProof/>
          </w:rPr>
          <w:t>n of non-financial corporations</w:t>
        </w:r>
        <w:r>
          <w:rPr>
            <w:noProof/>
            <w:webHidden/>
          </w:rPr>
          <w:tab/>
        </w:r>
        <w:r>
          <w:rPr>
            <w:noProof/>
            <w:webHidden/>
          </w:rPr>
          <w:fldChar w:fldCharType="begin"/>
        </w:r>
        <w:r>
          <w:rPr>
            <w:noProof/>
            <w:webHidden/>
          </w:rPr>
          <w:instrText xml:space="preserve"> PAGEREF _Toc505083023 \h </w:instrText>
        </w:r>
        <w:r>
          <w:rPr>
            <w:noProof/>
            <w:webHidden/>
          </w:rPr>
        </w:r>
        <w:r>
          <w:rPr>
            <w:noProof/>
            <w:webHidden/>
          </w:rPr>
          <w:fldChar w:fldCharType="separate"/>
        </w:r>
        <w:r>
          <w:rPr>
            <w:noProof/>
            <w:webHidden/>
          </w:rPr>
          <w:t>24</w:t>
        </w:r>
        <w:r>
          <w:rPr>
            <w:noProof/>
            <w:webHidden/>
          </w:rPr>
          <w:fldChar w:fldCharType="end"/>
        </w:r>
      </w:hyperlink>
    </w:p>
    <w:p w:rsidR="001E7162" w:rsidRDefault="00EC2A75">
      <w:pPr>
        <w:pStyle w:val="TOC6"/>
        <w:rPr>
          <w:noProof/>
        </w:rPr>
      </w:pPr>
      <w:hyperlink w:anchor="_Toc505083024" w:history="1">
        <w:r>
          <w:rPr>
            <w:noProof/>
          </w:rPr>
          <w:t>Graph 4.2.2:</w:t>
        </w:r>
        <w:r>
          <w:rPr>
            <w:noProof/>
          </w:rPr>
          <w:tab/>
          <w:t>Contributions to change in total corporate debt-to-GDP ratio</w:t>
        </w:r>
        <w:r>
          <w:rPr>
            <w:noProof/>
            <w:webHidden/>
          </w:rPr>
          <w:tab/>
        </w:r>
        <w:r>
          <w:rPr>
            <w:noProof/>
            <w:webHidden/>
          </w:rPr>
          <w:fldChar w:fldCharType="begin"/>
        </w:r>
        <w:r>
          <w:rPr>
            <w:noProof/>
            <w:webHidden/>
          </w:rPr>
          <w:instrText xml:space="preserve"> PAGEREF _Toc5050830</w:instrText>
        </w:r>
        <w:r>
          <w:rPr>
            <w:noProof/>
            <w:webHidden/>
          </w:rPr>
          <w:instrText xml:space="preserve">24 \h </w:instrText>
        </w:r>
        <w:r>
          <w:rPr>
            <w:noProof/>
            <w:webHidden/>
          </w:rPr>
        </w:r>
        <w:r>
          <w:rPr>
            <w:noProof/>
            <w:webHidden/>
          </w:rPr>
          <w:fldChar w:fldCharType="separate"/>
        </w:r>
        <w:r>
          <w:rPr>
            <w:noProof/>
            <w:webHidden/>
          </w:rPr>
          <w:t>24</w:t>
        </w:r>
        <w:r>
          <w:rPr>
            <w:noProof/>
            <w:webHidden/>
          </w:rPr>
          <w:fldChar w:fldCharType="end"/>
        </w:r>
      </w:hyperlink>
    </w:p>
    <w:p w:rsidR="001E7162" w:rsidRDefault="00EC2A75">
      <w:pPr>
        <w:pStyle w:val="TOC6"/>
        <w:rPr>
          <w:noProof/>
        </w:rPr>
      </w:pPr>
      <w:hyperlink w:anchor="_Toc505083025" w:history="1">
        <w:r>
          <w:rPr>
            <w:noProof/>
          </w:rPr>
          <w:t>Graph 4.2.3:</w:t>
        </w:r>
        <w:r>
          <w:rPr>
            <w:noProof/>
          </w:rPr>
          <w:tab/>
          <w:t>Interest rates on bank loans to corporations</w:t>
        </w:r>
        <w:r>
          <w:rPr>
            <w:noProof/>
            <w:webHidden/>
          </w:rPr>
          <w:tab/>
        </w:r>
        <w:r>
          <w:rPr>
            <w:noProof/>
            <w:webHidden/>
          </w:rPr>
          <w:fldChar w:fldCharType="begin"/>
        </w:r>
        <w:r>
          <w:rPr>
            <w:noProof/>
            <w:webHidden/>
          </w:rPr>
          <w:instrText xml:space="preserve"> PAGEREF _Toc505083025 \h </w:instrText>
        </w:r>
        <w:r>
          <w:rPr>
            <w:noProof/>
            <w:webHidden/>
          </w:rPr>
        </w:r>
        <w:r>
          <w:rPr>
            <w:noProof/>
            <w:webHidden/>
          </w:rPr>
          <w:fldChar w:fldCharType="separate"/>
        </w:r>
        <w:r>
          <w:rPr>
            <w:noProof/>
            <w:webHidden/>
          </w:rPr>
          <w:t>25</w:t>
        </w:r>
        <w:r>
          <w:rPr>
            <w:noProof/>
            <w:webHidden/>
          </w:rPr>
          <w:fldChar w:fldCharType="end"/>
        </w:r>
      </w:hyperlink>
    </w:p>
    <w:p w:rsidR="001E7162" w:rsidRDefault="00EC2A75">
      <w:pPr>
        <w:pStyle w:val="TOC6"/>
        <w:rPr>
          <w:noProof/>
        </w:rPr>
      </w:pPr>
      <w:hyperlink w:anchor="_Toc505083026" w:history="1">
        <w:r>
          <w:rPr>
            <w:noProof/>
          </w:rPr>
          <w:t>Graph 4.2.4:</w:t>
        </w:r>
        <w:r>
          <w:rPr>
            <w:noProof/>
          </w:rPr>
          <w:tab/>
          <w:t>Composition of household lending</w:t>
        </w:r>
        <w:r>
          <w:rPr>
            <w:noProof/>
            <w:webHidden/>
          </w:rPr>
          <w:tab/>
        </w:r>
        <w:r>
          <w:rPr>
            <w:noProof/>
            <w:webHidden/>
          </w:rPr>
          <w:fldChar w:fldCharType="begin"/>
        </w:r>
        <w:r>
          <w:rPr>
            <w:noProof/>
            <w:webHidden/>
          </w:rPr>
          <w:instrText xml:space="preserve"> PAGEREF _Toc505083026 \h </w:instrText>
        </w:r>
        <w:r>
          <w:rPr>
            <w:noProof/>
            <w:webHidden/>
          </w:rPr>
        </w:r>
        <w:r>
          <w:rPr>
            <w:noProof/>
            <w:webHidden/>
          </w:rPr>
          <w:fldChar w:fldCharType="separate"/>
        </w:r>
        <w:r>
          <w:rPr>
            <w:noProof/>
            <w:webHidden/>
          </w:rPr>
          <w:t>26</w:t>
        </w:r>
        <w:r>
          <w:rPr>
            <w:noProof/>
            <w:webHidden/>
          </w:rPr>
          <w:fldChar w:fldCharType="end"/>
        </w:r>
      </w:hyperlink>
    </w:p>
    <w:p w:rsidR="001E7162" w:rsidRDefault="00EC2A75">
      <w:pPr>
        <w:pStyle w:val="TOC6"/>
        <w:rPr>
          <w:noProof/>
        </w:rPr>
      </w:pPr>
      <w:hyperlink w:anchor="_Toc505083027" w:history="1">
        <w:r>
          <w:rPr>
            <w:noProof/>
          </w:rPr>
          <w:t>Graph 4.2.5:</w:t>
        </w:r>
        <w:r>
          <w:rPr>
            <w:noProof/>
          </w:rPr>
          <w:tab/>
          <w:t>Contributions to change in total households debt-to-GDP ratio</w:t>
        </w:r>
        <w:r>
          <w:rPr>
            <w:noProof/>
            <w:webHidden/>
          </w:rPr>
          <w:tab/>
        </w:r>
        <w:r>
          <w:rPr>
            <w:noProof/>
            <w:webHidden/>
          </w:rPr>
          <w:fldChar w:fldCharType="begin"/>
        </w:r>
        <w:r>
          <w:rPr>
            <w:noProof/>
            <w:webHidden/>
          </w:rPr>
          <w:instrText xml:space="preserve"> PAGEREF _Toc505083027 \h </w:instrText>
        </w:r>
        <w:r>
          <w:rPr>
            <w:noProof/>
            <w:webHidden/>
          </w:rPr>
        </w:r>
        <w:r>
          <w:rPr>
            <w:noProof/>
            <w:webHidden/>
          </w:rPr>
          <w:fldChar w:fldCharType="separate"/>
        </w:r>
        <w:r>
          <w:rPr>
            <w:noProof/>
            <w:webHidden/>
          </w:rPr>
          <w:t>26</w:t>
        </w:r>
        <w:r>
          <w:rPr>
            <w:noProof/>
            <w:webHidden/>
          </w:rPr>
          <w:fldChar w:fldCharType="end"/>
        </w:r>
      </w:hyperlink>
    </w:p>
    <w:p w:rsidR="001E7162" w:rsidRDefault="00EC2A75">
      <w:pPr>
        <w:pStyle w:val="TOC6"/>
        <w:rPr>
          <w:noProof/>
        </w:rPr>
      </w:pPr>
      <w:hyperlink w:anchor="_Toc505083028" w:history="1">
        <w:r>
          <w:rPr>
            <w:noProof/>
          </w:rPr>
          <w:t>Graph 4.2.6:</w:t>
        </w:r>
        <w:r>
          <w:rPr>
            <w:noProof/>
          </w:rPr>
          <w:tab/>
          <w:t>Dwellings price devel</w:t>
        </w:r>
        <w:r>
          <w:rPr>
            <w:noProof/>
          </w:rPr>
          <w:t>opments</w:t>
        </w:r>
        <w:r>
          <w:rPr>
            <w:noProof/>
            <w:webHidden/>
          </w:rPr>
          <w:tab/>
        </w:r>
        <w:r>
          <w:rPr>
            <w:noProof/>
            <w:webHidden/>
          </w:rPr>
          <w:fldChar w:fldCharType="begin"/>
        </w:r>
        <w:r>
          <w:rPr>
            <w:noProof/>
            <w:webHidden/>
          </w:rPr>
          <w:instrText xml:space="preserve"> PAGEREF _Toc505083028 \h </w:instrText>
        </w:r>
        <w:r>
          <w:rPr>
            <w:noProof/>
            <w:webHidden/>
          </w:rPr>
        </w:r>
        <w:r>
          <w:rPr>
            <w:noProof/>
            <w:webHidden/>
          </w:rPr>
          <w:fldChar w:fldCharType="separate"/>
        </w:r>
        <w:r>
          <w:rPr>
            <w:noProof/>
            <w:webHidden/>
          </w:rPr>
          <w:t>27</w:t>
        </w:r>
        <w:r>
          <w:rPr>
            <w:noProof/>
            <w:webHidden/>
          </w:rPr>
          <w:fldChar w:fldCharType="end"/>
        </w:r>
      </w:hyperlink>
    </w:p>
    <w:p w:rsidR="001E7162" w:rsidRDefault="00EC2A75">
      <w:pPr>
        <w:pStyle w:val="TOC6"/>
        <w:rPr>
          <w:noProof/>
        </w:rPr>
      </w:pPr>
      <w:hyperlink w:anchor="_Toc505083029" w:history="1">
        <w:r>
          <w:rPr>
            <w:noProof/>
          </w:rPr>
          <w:t>Graph 4.2.7:</w:t>
        </w:r>
        <w:r>
          <w:rPr>
            <w:noProof/>
          </w:rPr>
          <w:tab/>
          <w:t>Evolution of NPLs and coverage ratio</w:t>
        </w:r>
        <w:r>
          <w:rPr>
            <w:noProof/>
            <w:webHidden/>
          </w:rPr>
          <w:tab/>
        </w:r>
        <w:r>
          <w:rPr>
            <w:noProof/>
            <w:webHidden/>
          </w:rPr>
          <w:fldChar w:fldCharType="begin"/>
        </w:r>
        <w:r>
          <w:rPr>
            <w:noProof/>
            <w:webHidden/>
          </w:rPr>
          <w:instrText xml:space="preserve"> PAGEREF _Toc505083029 \h </w:instrText>
        </w:r>
        <w:r>
          <w:rPr>
            <w:noProof/>
            <w:webHidden/>
          </w:rPr>
        </w:r>
        <w:r>
          <w:rPr>
            <w:noProof/>
            <w:webHidden/>
          </w:rPr>
          <w:fldChar w:fldCharType="separate"/>
        </w:r>
        <w:r>
          <w:rPr>
            <w:noProof/>
            <w:webHidden/>
          </w:rPr>
          <w:t>29</w:t>
        </w:r>
        <w:r>
          <w:rPr>
            <w:noProof/>
            <w:webHidden/>
          </w:rPr>
          <w:fldChar w:fldCharType="end"/>
        </w:r>
      </w:hyperlink>
    </w:p>
    <w:p w:rsidR="001E7162" w:rsidRDefault="00EC2A75">
      <w:pPr>
        <w:pStyle w:val="TOC6"/>
        <w:rPr>
          <w:noProof/>
        </w:rPr>
      </w:pPr>
      <w:hyperlink w:anchor="_Toc505083030" w:history="1">
        <w:r>
          <w:rPr>
            <w:noProof/>
          </w:rPr>
          <w:t>Graph 4.2.8:</w:t>
        </w:r>
        <w:r>
          <w:rPr>
            <w:noProof/>
          </w:rPr>
          <w:tab/>
          <w:t>NPL sales and other NPL flows</w:t>
        </w:r>
        <w:r>
          <w:rPr>
            <w:noProof/>
            <w:webHidden/>
          </w:rPr>
          <w:tab/>
        </w:r>
        <w:r>
          <w:rPr>
            <w:noProof/>
            <w:webHidden/>
          </w:rPr>
          <w:fldChar w:fldCharType="begin"/>
        </w:r>
        <w:r>
          <w:rPr>
            <w:noProof/>
            <w:webHidden/>
          </w:rPr>
          <w:instrText xml:space="preserve"> PAGEREF _Toc505083030 \h </w:instrText>
        </w:r>
        <w:r>
          <w:rPr>
            <w:noProof/>
            <w:webHidden/>
          </w:rPr>
        </w:r>
        <w:r>
          <w:rPr>
            <w:noProof/>
            <w:webHidden/>
          </w:rPr>
          <w:fldChar w:fldCharType="separate"/>
        </w:r>
        <w:r>
          <w:rPr>
            <w:noProof/>
            <w:webHidden/>
          </w:rPr>
          <w:t>29</w:t>
        </w:r>
        <w:r>
          <w:rPr>
            <w:noProof/>
            <w:webHidden/>
          </w:rPr>
          <w:fldChar w:fldCharType="end"/>
        </w:r>
      </w:hyperlink>
    </w:p>
    <w:p w:rsidR="001E7162" w:rsidRDefault="00EC2A75">
      <w:pPr>
        <w:pStyle w:val="TOC6"/>
        <w:rPr>
          <w:noProof/>
        </w:rPr>
      </w:pPr>
      <w:hyperlink w:anchor="_Toc505083031" w:history="1">
        <w:r>
          <w:rPr>
            <w:noProof/>
          </w:rPr>
          <w:t>Graph 4.3.1:</w:t>
        </w:r>
        <w:r>
          <w:rPr>
            <w:noProof/>
          </w:rPr>
          <w:tab/>
          <w:t>Activity,</w:t>
        </w:r>
        <w:r>
          <w:rPr>
            <w:noProof/>
          </w:rPr>
          <w:t xml:space="preserve"> unemployment, long-term unemployment, youth unemployment, NEET and employment rates</w:t>
        </w:r>
        <w:r>
          <w:rPr>
            <w:noProof/>
            <w:webHidden/>
          </w:rPr>
          <w:tab/>
        </w:r>
        <w:r>
          <w:rPr>
            <w:noProof/>
            <w:webHidden/>
          </w:rPr>
          <w:fldChar w:fldCharType="begin"/>
        </w:r>
        <w:r>
          <w:rPr>
            <w:noProof/>
            <w:webHidden/>
          </w:rPr>
          <w:instrText xml:space="preserve"> PAGEREF _Toc505083031 \h </w:instrText>
        </w:r>
        <w:r>
          <w:rPr>
            <w:noProof/>
            <w:webHidden/>
          </w:rPr>
        </w:r>
        <w:r>
          <w:rPr>
            <w:noProof/>
            <w:webHidden/>
          </w:rPr>
          <w:fldChar w:fldCharType="separate"/>
        </w:r>
        <w:r>
          <w:rPr>
            <w:noProof/>
            <w:webHidden/>
          </w:rPr>
          <w:t>31</w:t>
        </w:r>
        <w:r>
          <w:rPr>
            <w:noProof/>
            <w:webHidden/>
          </w:rPr>
          <w:fldChar w:fldCharType="end"/>
        </w:r>
      </w:hyperlink>
    </w:p>
    <w:p w:rsidR="001E7162" w:rsidRDefault="00EC2A75">
      <w:pPr>
        <w:pStyle w:val="TOC6"/>
        <w:rPr>
          <w:noProof/>
        </w:rPr>
      </w:pPr>
      <w:hyperlink w:anchor="_Toc505083032" w:history="1">
        <w:r>
          <w:rPr>
            <w:noProof/>
          </w:rPr>
          <w:t>Graph 4.3.2:</w:t>
        </w:r>
        <w:r>
          <w:rPr>
            <w:noProof/>
          </w:rPr>
          <w:tab/>
          <w:t>Employment rate by educationa</w:t>
        </w:r>
        <w:r>
          <w:rPr>
            <w:noProof/>
          </w:rPr>
          <w:t>l attainment</w:t>
        </w:r>
        <w:r>
          <w:rPr>
            <w:noProof/>
            <w:webHidden/>
          </w:rPr>
          <w:tab/>
        </w:r>
        <w:r>
          <w:rPr>
            <w:noProof/>
            <w:webHidden/>
          </w:rPr>
          <w:fldChar w:fldCharType="begin"/>
        </w:r>
        <w:r>
          <w:rPr>
            <w:noProof/>
            <w:webHidden/>
          </w:rPr>
          <w:instrText xml:space="preserve"> PAGEREF _Toc505083032 \h </w:instrText>
        </w:r>
        <w:r>
          <w:rPr>
            <w:noProof/>
            <w:webHidden/>
          </w:rPr>
        </w:r>
        <w:r>
          <w:rPr>
            <w:noProof/>
            <w:webHidden/>
          </w:rPr>
          <w:fldChar w:fldCharType="separate"/>
        </w:r>
        <w:r>
          <w:rPr>
            <w:noProof/>
            <w:webHidden/>
          </w:rPr>
          <w:t>33</w:t>
        </w:r>
        <w:r>
          <w:rPr>
            <w:noProof/>
            <w:webHidden/>
          </w:rPr>
          <w:fldChar w:fldCharType="end"/>
        </w:r>
      </w:hyperlink>
    </w:p>
    <w:p w:rsidR="001E7162" w:rsidRDefault="00EC2A75">
      <w:pPr>
        <w:pStyle w:val="TOC6"/>
        <w:rPr>
          <w:noProof/>
        </w:rPr>
      </w:pPr>
      <w:hyperlink w:anchor="_Toc505083033" w:history="1">
        <w:r>
          <w:rPr>
            <w:noProof/>
          </w:rPr>
          <w:t>Graph 4.3.3:</w:t>
        </w:r>
        <w:r>
          <w:rPr>
            <w:noProof/>
          </w:rPr>
          <w:tab/>
          <w:t>Employment change year-on-year</w:t>
        </w:r>
        <w:r>
          <w:rPr>
            <w:noProof/>
            <w:webHidden/>
          </w:rPr>
          <w:tab/>
        </w:r>
        <w:r>
          <w:rPr>
            <w:noProof/>
            <w:webHidden/>
          </w:rPr>
          <w:fldChar w:fldCharType="begin"/>
        </w:r>
        <w:r>
          <w:rPr>
            <w:noProof/>
            <w:webHidden/>
          </w:rPr>
          <w:instrText xml:space="preserve"> PAGEREF _Toc505083033 \h </w:instrText>
        </w:r>
        <w:r>
          <w:rPr>
            <w:noProof/>
            <w:webHidden/>
          </w:rPr>
        </w:r>
        <w:r>
          <w:rPr>
            <w:noProof/>
            <w:webHidden/>
          </w:rPr>
          <w:fldChar w:fldCharType="separate"/>
        </w:r>
        <w:r>
          <w:rPr>
            <w:noProof/>
            <w:webHidden/>
          </w:rPr>
          <w:t>34</w:t>
        </w:r>
        <w:r>
          <w:rPr>
            <w:noProof/>
            <w:webHidden/>
          </w:rPr>
          <w:fldChar w:fldCharType="end"/>
        </w:r>
      </w:hyperlink>
    </w:p>
    <w:p w:rsidR="001E7162" w:rsidRDefault="00EC2A75">
      <w:pPr>
        <w:pStyle w:val="TOC6"/>
        <w:rPr>
          <w:noProof/>
        </w:rPr>
      </w:pPr>
      <w:hyperlink w:anchor="_Toc505083034" w:history="1">
        <w:r>
          <w:rPr>
            <w:noProof/>
          </w:rPr>
          <w:t>Graph 4.3.4:</w:t>
        </w:r>
        <w:r>
          <w:rPr>
            <w:noProof/>
          </w:rPr>
          <w:tab/>
          <w:t>At-risk-of-poverty or social exclusion rate and two of its components (SMD, LWI)</w:t>
        </w:r>
        <w:r>
          <w:rPr>
            <w:noProof/>
            <w:webHidden/>
          </w:rPr>
          <w:tab/>
        </w:r>
        <w:r>
          <w:rPr>
            <w:noProof/>
            <w:webHidden/>
          </w:rPr>
          <w:fldChar w:fldCharType="begin"/>
        </w:r>
        <w:r>
          <w:rPr>
            <w:noProof/>
            <w:webHidden/>
          </w:rPr>
          <w:instrText xml:space="preserve"> PAGEREF _Toc505083034 \h </w:instrText>
        </w:r>
        <w:r>
          <w:rPr>
            <w:noProof/>
            <w:webHidden/>
          </w:rPr>
        </w:r>
        <w:r>
          <w:rPr>
            <w:noProof/>
            <w:webHidden/>
          </w:rPr>
          <w:fldChar w:fldCharType="separate"/>
        </w:r>
        <w:r>
          <w:rPr>
            <w:noProof/>
            <w:webHidden/>
          </w:rPr>
          <w:t>35</w:t>
        </w:r>
        <w:r>
          <w:rPr>
            <w:noProof/>
            <w:webHidden/>
          </w:rPr>
          <w:fldChar w:fldCharType="end"/>
        </w:r>
      </w:hyperlink>
    </w:p>
    <w:p w:rsidR="001E7162" w:rsidRDefault="00EC2A75">
      <w:pPr>
        <w:pStyle w:val="TOC6"/>
        <w:rPr>
          <w:noProof/>
        </w:rPr>
      </w:pPr>
      <w:hyperlink w:anchor="_Toc505083035" w:history="1">
        <w:r>
          <w:rPr>
            <w:noProof/>
          </w:rPr>
          <w:t>Graph 4.3.5:</w:t>
        </w:r>
        <w:r>
          <w:rPr>
            <w:noProof/>
          </w:rPr>
          <w:tab/>
          <w:t>Early childhood education and care</w:t>
        </w:r>
        <w:r>
          <w:rPr>
            <w:noProof/>
            <w:webHidden/>
          </w:rPr>
          <w:tab/>
        </w:r>
        <w:r>
          <w:rPr>
            <w:noProof/>
            <w:webHidden/>
          </w:rPr>
          <w:fldChar w:fldCharType="begin"/>
        </w:r>
        <w:r>
          <w:rPr>
            <w:noProof/>
            <w:webHidden/>
          </w:rPr>
          <w:instrText xml:space="preserve"> PAGEREF _Toc505083035 \h </w:instrText>
        </w:r>
        <w:r>
          <w:rPr>
            <w:noProof/>
            <w:webHidden/>
          </w:rPr>
        </w:r>
        <w:r>
          <w:rPr>
            <w:noProof/>
            <w:webHidden/>
          </w:rPr>
          <w:fldChar w:fldCharType="separate"/>
        </w:r>
        <w:r>
          <w:rPr>
            <w:noProof/>
            <w:webHidden/>
          </w:rPr>
          <w:t>36</w:t>
        </w:r>
        <w:r>
          <w:rPr>
            <w:noProof/>
            <w:webHidden/>
          </w:rPr>
          <w:fldChar w:fldCharType="end"/>
        </w:r>
      </w:hyperlink>
    </w:p>
    <w:p w:rsidR="001E7162" w:rsidRDefault="00EC2A75">
      <w:pPr>
        <w:pStyle w:val="TOC6"/>
        <w:rPr>
          <w:noProof/>
        </w:rPr>
      </w:pPr>
      <w:hyperlink w:anchor="_Toc505083036" w:history="1">
        <w:r>
          <w:rPr>
            <w:noProof/>
          </w:rPr>
          <w:t>Graph 4.4.1:</w:t>
        </w:r>
        <w:r>
          <w:rPr>
            <w:noProof/>
          </w:rPr>
          <w:tab/>
          <w:t>Exports of goods (volumes) in Croatia</w:t>
        </w:r>
        <w:r>
          <w:rPr>
            <w:noProof/>
          </w:rPr>
          <w:t>, EU15 and CEE10, index (2013=100)</w:t>
        </w:r>
        <w:r>
          <w:rPr>
            <w:noProof/>
            <w:webHidden/>
          </w:rPr>
          <w:tab/>
        </w:r>
        <w:r>
          <w:rPr>
            <w:noProof/>
            <w:webHidden/>
          </w:rPr>
          <w:fldChar w:fldCharType="begin"/>
        </w:r>
        <w:r>
          <w:rPr>
            <w:noProof/>
            <w:webHidden/>
          </w:rPr>
          <w:instrText xml:space="preserve"> PAGEREF _Toc505083036 \h </w:instrText>
        </w:r>
        <w:r>
          <w:rPr>
            <w:noProof/>
            <w:webHidden/>
          </w:rPr>
        </w:r>
        <w:r>
          <w:rPr>
            <w:noProof/>
            <w:webHidden/>
          </w:rPr>
          <w:fldChar w:fldCharType="separate"/>
        </w:r>
        <w:r>
          <w:rPr>
            <w:noProof/>
            <w:webHidden/>
          </w:rPr>
          <w:t>39</w:t>
        </w:r>
        <w:r>
          <w:rPr>
            <w:noProof/>
            <w:webHidden/>
          </w:rPr>
          <w:fldChar w:fldCharType="end"/>
        </w:r>
      </w:hyperlink>
    </w:p>
    <w:p w:rsidR="001E7162" w:rsidRDefault="00EC2A75">
      <w:pPr>
        <w:pStyle w:val="TOC6"/>
        <w:rPr>
          <w:noProof/>
        </w:rPr>
      </w:pPr>
      <w:hyperlink w:anchor="_Toc505083037" w:history="1">
        <w:r>
          <w:rPr>
            <w:noProof/>
          </w:rPr>
          <w:t>Graph 4.4.2:</w:t>
        </w:r>
        <w:r>
          <w:rPr>
            <w:noProof/>
          </w:rPr>
          <w:tab/>
          <w:t>Goods' export growth (values) between 2013 and 2016 by markets and product type</w:t>
        </w:r>
        <w:r>
          <w:rPr>
            <w:noProof/>
            <w:webHidden/>
          </w:rPr>
          <w:tab/>
        </w:r>
        <w:r>
          <w:rPr>
            <w:noProof/>
            <w:webHidden/>
          </w:rPr>
          <w:fldChar w:fldCharType="begin"/>
        </w:r>
        <w:r>
          <w:rPr>
            <w:noProof/>
            <w:webHidden/>
          </w:rPr>
          <w:instrText xml:space="preserve"> PAGEREF _Toc505083037 \h </w:instrText>
        </w:r>
        <w:r>
          <w:rPr>
            <w:noProof/>
            <w:webHidden/>
          </w:rPr>
        </w:r>
        <w:r>
          <w:rPr>
            <w:noProof/>
            <w:webHidden/>
          </w:rPr>
          <w:fldChar w:fldCharType="separate"/>
        </w:r>
        <w:r>
          <w:rPr>
            <w:noProof/>
            <w:webHidden/>
          </w:rPr>
          <w:t>39</w:t>
        </w:r>
        <w:r>
          <w:rPr>
            <w:noProof/>
            <w:webHidden/>
          </w:rPr>
          <w:fldChar w:fldCharType="end"/>
        </w:r>
      </w:hyperlink>
    </w:p>
    <w:p w:rsidR="001E7162" w:rsidRDefault="00EC2A75">
      <w:pPr>
        <w:pStyle w:val="TOC6"/>
        <w:rPr>
          <w:noProof/>
        </w:rPr>
      </w:pPr>
      <w:hyperlink w:anchor="_Toc505083038" w:history="1">
        <w:r>
          <w:rPr>
            <w:noProof/>
          </w:rPr>
          <w:t>Graph 4.4.3:</w:t>
        </w:r>
        <w:r>
          <w:rPr>
            <w:noProof/>
          </w:rPr>
          <w:tab/>
          <w:t>Global competitiveness index scores of Croatia and peers</w:t>
        </w:r>
        <w:r>
          <w:rPr>
            <w:noProof/>
            <w:webHidden/>
          </w:rPr>
          <w:tab/>
        </w:r>
        <w:r>
          <w:rPr>
            <w:noProof/>
            <w:webHidden/>
          </w:rPr>
          <w:fldChar w:fldCharType="begin"/>
        </w:r>
        <w:r>
          <w:rPr>
            <w:noProof/>
            <w:webHidden/>
          </w:rPr>
          <w:instrText xml:space="preserve"> PAGEREF _Toc505083038 \h </w:instrText>
        </w:r>
        <w:r>
          <w:rPr>
            <w:noProof/>
            <w:webHidden/>
          </w:rPr>
        </w:r>
        <w:r>
          <w:rPr>
            <w:noProof/>
            <w:webHidden/>
          </w:rPr>
          <w:fldChar w:fldCharType="separate"/>
        </w:r>
        <w:r>
          <w:rPr>
            <w:noProof/>
            <w:webHidden/>
          </w:rPr>
          <w:t>40</w:t>
        </w:r>
        <w:r>
          <w:rPr>
            <w:noProof/>
            <w:webHidden/>
          </w:rPr>
          <w:fldChar w:fldCharType="end"/>
        </w:r>
      </w:hyperlink>
    </w:p>
    <w:p w:rsidR="001E7162" w:rsidRDefault="00EC2A75">
      <w:pPr>
        <w:pStyle w:val="TOC6"/>
        <w:rPr>
          <w:noProof/>
        </w:rPr>
      </w:pPr>
      <w:hyperlink w:anchor="_Toc505083039" w:history="1">
        <w:r>
          <w:rPr>
            <w:noProof/>
          </w:rPr>
          <w:t>Graph 4.4.4:</w:t>
        </w:r>
        <w:r>
          <w:rPr>
            <w:noProof/>
          </w:rPr>
          <w:tab/>
          <w:t>Connectivity index in Croatia and peers</w:t>
        </w:r>
        <w:r>
          <w:rPr>
            <w:noProof/>
            <w:webHidden/>
          </w:rPr>
          <w:tab/>
        </w:r>
        <w:r>
          <w:rPr>
            <w:noProof/>
            <w:webHidden/>
          </w:rPr>
          <w:fldChar w:fldCharType="begin"/>
        </w:r>
        <w:r>
          <w:rPr>
            <w:noProof/>
            <w:webHidden/>
          </w:rPr>
          <w:instrText xml:space="preserve"> PAGEREF _Toc505083039 \h </w:instrText>
        </w:r>
        <w:r>
          <w:rPr>
            <w:noProof/>
            <w:webHidden/>
          </w:rPr>
        </w:r>
        <w:r>
          <w:rPr>
            <w:noProof/>
            <w:webHidden/>
          </w:rPr>
          <w:fldChar w:fldCharType="separate"/>
        </w:r>
        <w:r>
          <w:rPr>
            <w:noProof/>
            <w:webHidden/>
          </w:rPr>
          <w:t>42</w:t>
        </w:r>
        <w:r>
          <w:rPr>
            <w:noProof/>
            <w:webHidden/>
          </w:rPr>
          <w:fldChar w:fldCharType="end"/>
        </w:r>
      </w:hyperlink>
    </w:p>
    <w:p w:rsidR="001E7162" w:rsidRDefault="00EC2A75">
      <w:pPr>
        <w:pStyle w:val="TOC6"/>
        <w:rPr>
          <w:noProof/>
        </w:rPr>
      </w:pPr>
      <w:hyperlink w:anchor="_Toc505083040" w:history="1">
        <w:r>
          <w:rPr>
            <w:noProof/>
          </w:rPr>
          <w:t>Graph 4.5.1:</w:t>
        </w:r>
        <w:r>
          <w:rPr>
            <w:noProof/>
          </w:rPr>
          <w:tab/>
          <w:t>Cohesion Policy funding as an estimated share of public investment, 2015-2017</w:t>
        </w:r>
        <w:r>
          <w:rPr>
            <w:noProof/>
            <w:webHidden/>
          </w:rPr>
          <w:tab/>
        </w:r>
        <w:r>
          <w:rPr>
            <w:noProof/>
            <w:webHidden/>
          </w:rPr>
          <w:fldChar w:fldCharType="begin"/>
        </w:r>
        <w:r>
          <w:rPr>
            <w:noProof/>
            <w:webHidden/>
          </w:rPr>
          <w:instrText xml:space="preserve"> PAGEREF _Toc505083040 \h </w:instrText>
        </w:r>
        <w:r>
          <w:rPr>
            <w:noProof/>
            <w:webHidden/>
          </w:rPr>
        </w:r>
        <w:r>
          <w:rPr>
            <w:noProof/>
            <w:webHidden/>
          </w:rPr>
          <w:fldChar w:fldCharType="separate"/>
        </w:r>
        <w:r>
          <w:rPr>
            <w:noProof/>
            <w:webHidden/>
          </w:rPr>
          <w:t>48</w:t>
        </w:r>
        <w:r>
          <w:rPr>
            <w:noProof/>
            <w:webHidden/>
          </w:rPr>
          <w:fldChar w:fldCharType="end"/>
        </w:r>
      </w:hyperlink>
    </w:p>
    <w:p w:rsidR="001E7162" w:rsidRDefault="00EC2A75">
      <w:pPr>
        <w:pStyle w:val="TOC6"/>
        <w:rPr>
          <w:noProof/>
        </w:rPr>
      </w:pPr>
      <w:hyperlink w:anchor="_Toc505083041" w:history="1">
        <w:r>
          <w:rPr>
            <w:noProof/>
          </w:rPr>
          <w:t>Graph 4.5.2:</w:t>
        </w:r>
        <w:r>
          <w:rPr>
            <w:noProof/>
          </w:rPr>
          <w:tab/>
          <w:t>Healthcare expenditure</w:t>
        </w:r>
        <w:r>
          <w:rPr>
            <w:noProof/>
            <w:webHidden/>
          </w:rPr>
          <w:tab/>
        </w:r>
        <w:r>
          <w:rPr>
            <w:noProof/>
            <w:webHidden/>
          </w:rPr>
          <w:fldChar w:fldCharType="begin"/>
        </w:r>
        <w:r>
          <w:rPr>
            <w:noProof/>
            <w:webHidden/>
          </w:rPr>
          <w:instrText xml:space="preserve"> PAGEREF _Toc505083041 \h </w:instrText>
        </w:r>
        <w:r>
          <w:rPr>
            <w:noProof/>
            <w:webHidden/>
          </w:rPr>
        </w:r>
        <w:r>
          <w:rPr>
            <w:noProof/>
            <w:webHidden/>
          </w:rPr>
          <w:fldChar w:fldCharType="separate"/>
        </w:r>
        <w:r>
          <w:rPr>
            <w:noProof/>
            <w:webHidden/>
          </w:rPr>
          <w:t>51</w:t>
        </w:r>
        <w:r>
          <w:rPr>
            <w:noProof/>
            <w:webHidden/>
          </w:rPr>
          <w:fldChar w:fldCharType="end"/>
        </w:r>
      </w:hyperlink>
    </w:p>
    <w:p w:rsidR="001E7162" w:rsidRDefault="00EC2A75">
      <w:pPr>
        <w:pStyle w:val="TOC6"/>
        <w:rPr>
          <w:noProof/>
        </w:rPr>
      </w:pPr>
      <w:hyperlink w:anchor="_Toc505083042" w:history="1">
        <w:r>
          <w:rPr>
            <w:noProof/>
          </w:rPr>
          <w:t>Graph 4.5.3:</w:t>
        </w:r>
        <w:r>
          <w:rPr>
            <w:noProof/>
          </w:rPr>
          <w:tab/>
          <w:t>Staff in hospitals, 2015</w:t>
        </w:r>
        <w:r>
          <w:rPr>
            <w:noProof/>
            <w:webHidden/>
          </w:rPr>
          <w:tab/>
        </w:r>
        <w:r>
          <w:rPr>
            <w:noProof/>
            <w:webHidden/>
          </w:rPr>
          <w:fldChar w:fldCharType="begin"/>
        </w:r>
        <w:r>
          <w:rPr>
            <w:noProof/>
            <w:webHidden/>
          </w:rPr>
          <w:instrText xml:space="preserve"> PAGEREF _Toc505083042 \h </w:instrText>
        </w:r>
        <w:r>
          <w:rPr>
            <w:noProof/>
            <w:webHidden/>
          </w:rPr>
        </w:r>
        <w:r>
          <w:rPr>
            <w:noProof/>
            <w:webHidden/>
          </w:rPr>
          <w:fldChar w:fldCharType="separate"/>
        </w:r>
        <w:r>
          <w:rPr>
            <w:noProof/>
            <w:webHidden/>
          </w:rPr>
          <w:t>52</w:t>
        </w:r>
        <w:r>
          <w:rPr>
            <w:noProof/>
            <w:webHidden/>
          </w:rPr>
          <w:fldChar w:fldCharType="end"/>
        </w:r>
      </w:hyperlink>
    </w:p>
    <w:p w:rsidR="001E7162" w:rsidRDefault="00EC2A75">
      <w:pPr>
        <w:rPr>
          <w:noProof/>
        </w:rPr>
      </w:pPr>
      <w:r>
        <w:rPr>
          <w:noProof/>
        </w:rPr>
        <w:fldChar w:fldCharType="end"/>
      </w:r>
    </w:p>
    <w:p w:rsidR="001E7162" w:rsidRDefault="00EC2A75">
      <w:pPr>
        <w:pStyle w:val="HEADINGTOC"/>
        <w:rPr>
          <w:noProof/>
        </w:rPr>
      </w:pPr>
      <w:r>
        <w:rPr>
          <w:noProof/>
        </w:rPr>
        <w:t>LIST OF Boxes</w:t>
      </w:r>
    </w:p>
    <w:p w:rsidR="001E7162" w:rsidRDefault="00EC2A75">
      <w:pPr>
        <w:pStyle w:val="TOC7"/>
        <w:rPr>
          <w:noProof/>
        </w:rPr>
      </w:pPr>
      <w:r>
        <w:rPr>
          <w:noProof/>
        </w:rPr>
        <w:fldChar w:fldCharType="begin"/>
      </w:r>
      <w:r>
        <w:rPr>
          <w:noProof/>
        </w:rPr>
        <w:instrText xml:space="preserve"> TOC \o "7-7" \h \z \u </w:instrText>
      </w:r>
      <w:r>
        <w:rPr>
          <w:noProof/>
        </w:rPr>
        <w:fldChar w:fldCharType="separate"/>
      </w:r>
      <w:hyperlink w:anchor="_Toc505082846" w:history="1">
        <w:r>
          <w:rPr>
            <w:noProof/>
          </w:rPr>
          <w:t>Box 2.1: Tangible results delivered through EU support to structural change in in Croatia</w:t>
        </w:r>
        <w:r>
          <w:rPr>
            <w:noProof/>
            <w:webHidden/>
          </w:rPr>
          <w:tab/>
        </w:r>
        <w:r>
          <w:rPr>
            <w:noProof/>
            <w:webHidden/>
          </w:rPr>
          <w:fldChar w:fldCharType="begin"/>
        </w:r>
        <w:r>
          <w:rPr>
            <w:noProof/>
            <w:webHidden/>
          </w:rPr>
          <w:instrText xml:space="preserve"> PAGEREF _Toc505082846 \h </w:instrText>
        </w:r>
        <w:r>
          <w:rPr>
            <w:noProof/>
            <w:webHidden/>
          </w:rPr>
        </w:r>
        <w:r>
          <w:rPr>
            <w:noProof/>
            <w:webHidden/>
          </w:rPr>
          <w:fldChar w:fldCharType="separate"/>
        </w:r>
        <w:r>
          <w:rPr>
            <w:noProof/>
            <w:webHidden/>
          </w:rPr>
          <w:t>12</w:t>
        </w:r>
        <w:r>
          <w:rPr>
            <w:noProof/>
            <w:webHidden/>
          </w:rPr>
          <w:fldChar w:fldCharType="end"/>
        </w:r>
      </w:hyperlink>
    </w:p>
    <w:p w:rsidR="001E7162" w:rsidRDefault="00EC2A75">
      <w:pPr>
        <w:pStyle w:val="TOC7"/>
        <w:rPr>
          <w:noProof/>
        </w:rPr>
      </w:pPr>
      <w:hyperlink w:anchor="_Toc505082847" w:history="1">
        <w:r>
          <w:rPr>
            <w:noProof/>
          </w:rPr>
          <w:t>Box 4.1.2: Efficiency of spending in Croatia</w:t>
        </w:r>
        <w:r>
          <w:rPr>
            <w:noProof/>
            <w:webHidden/>
          </w:rPr>
          <w:tab/>
        </w:r>
        <w:r>
          <w:rPr>
            <w:noProof/>
            <w:webHidden/>
          </w:rPr>
          <w:fldChar w:fldCharType="begin"/>
        </w:r>
        <w:r>
          <w:rPr>
            <w:noProof/>
            <w:webHidden/>
          </w:rPr>
          <w:instrText xml:space="preserve"> PAGEREF _Toc505082847 \h </w:instrText>
        </w:r>
        <w:r>
          <w:rPr>
            <w:noProof/>
            <w:webHidden/>
          </w:rPr>
        </w:r>
        <w:r>
          <w:rPr>
            <w:noProof/>
            <w:webHidden/>
          </w:rPr>
          <w:fldChar w:fldCharType="separate"/>
        </w:r>
        <w:r>
          <w:rPr>
            <w:noProof/>
            <w:webHidden/>
          </w:rPr>
          <w:t>22</w:t>
        </w:r>
        <w:r>
          <w:rPr>
            <w:noProof/>
            <w:webHidden/>
          </w:rPr>
          <w:fldChar w:fldCharType="end"/>
        </w:r>
      </w:hyperlink>
    </w:p>
    <w:p w:rsidR="001E7162" w:rsidRDefault="00EC2A75">
      <w:pPr>
        <w:pStyle w:val="TOC7"/>
        <w:rPr>
          <w:noProof/>
        </w:rPr>
      </w:pPr>
      <w:hyperlink w:anchor="_Toc505082848" w:history="1">
        <w:r>
          <w:rPr>
            <w:noProof/>
          </w:rPr>
          <w:t>Box 4.2.3: Crisis and restructuring of Agrokor</w:t>
        </w:r>
        <w:r>
          <w:rPr>
            <w:noProof/>
            <w:webHidden/>
          </w:rPr>
          <w:tab/>
        </w:r>
        <w:r>
          <w:rPr>
            <w:noProof/>
            <w:webHidden/>
          </w:rPr>
          <w:fldChar w:fldCharType="begin"/>
        </w:r>
        <w:r>
          <w:rPr>
            <w:noProof/>
            <w:webHidden/>
          </w:rPr>
          <w:instrText xml:space="preserve"> PAGEREF _Toc505082848 \h </w:instrText>
        </w:r>
        <w:r>
          <w:rPr>
            <w:noProof/>
            <w:webHidden/>
          </w:rPr>
        </w:r>
        <w:r>
          <w:rPr>
            <w:noProof/>
            <w:webHidden/>
          </w:rPr>
          <w:fldChar w:fldCharType="separate"/>
        </w:r>
        <w:r>
          <w:rPr>
            <w:noProof/>
            <w:webHidden/>
          </w:rPr>
          <w:t>30</w:t>
        </w:r>
        <w:r>
          <w:rPr>
            <w:noProof/>
            <w:webHidden/>
          </w:rPr>
          <w:fldChar w:fldCharType="end"/>
        </w:r>
      </w:hyperlink>
    </w:p>
    <w:p w:rsidR="001E7162" w:rsidRDefault="00EC2A75">
      <w:pPr>
        <w:pStyle w:val="TOC7"/>
        <w:rPr>
          <w:noProof/>
        </w:rPr>
      </w:pPr>
      <w:hyperlink w:anchor="_Toc505082849" w:history="1">
        <w:r>
          <w:rPr>
            <w:noProof/>
          </w:rPr>
          <w:t>Box 4.3.4: European Pillar of Social Rights in Croatia</w:t>
        </w:r>
        <w:r>
          <w:rPr>
            <w:noProof/>
            <w:webHidden/>
          </w:rPr>
          <w:tab/>
        </w:r>
        <w:r>
          <w:rPr>
            <w:noProof/>
            <w:webHidden/>
          </w:rPr>
          <w:fldChar w:fldCharType="begin"/>
        </w:r>
        <w:r>
          <w:rPr>
            <w:noProof/>
            <w:webHidden/>
          </w:rPr>
          <w:instrText xml:space="preserve"> PAGEREF _Toc505082849 \h </w:instrText>
        </w:r>
        <w:r>
          <w:rPr>
            <w:noProof/>
            <w:webHidden/>
          </w:rPr>
        </w:r>
        <w:r>
          <w:rPr>
            <w:noProof/>
            <w:webHidden/>
          </w:rPr>
          <w:fldChar w:fldCharType="separate"/>
        </w:r>
        <w:r>
          <w:rPr>
            <w:noProof/>
            <w:webHidden/>
          </w:rPr>
          <w:t>32</w:t>
        </w:r>
        <w:r>
          <w:rPr>
            <w:noProof/>
            <w:webHidden/>
          </w:rPr>
          <w:fldChar w:fldCharType="end"/>
        </w:r>
      </w:hyperlink>
    </w:p>
    <w:p w:rsidR="001E7162" w:rsidRDefault="00EC2A75">
      <w:pPr>
        <w:pStyle w:val="TOC7"/>
        <w:rPr>
          <w:noProof/>
        </w:rPr>
      </w:pPr>
      <w:hyperlink w:anchor="_Toc505082850" w:history="1">
        <w:r>
          <w:rPr>
            <w:noProof/>
          </w:rPr>
          <w:t>Box 4.4.5: The role of Tourism in the Croatian economy</w:t>
        </w:r>
        <w:r>
          <w:rPr>
            <w:noProof/>
            <w:webHidden/>
          </w:rPr>
          <w:tab/>
        </w:r>
        <w:r>
          <w:rPr>
            <w:noProof/>
            <w:webHidden/>
          </w:rPr>
          <w:fldChar w:fldCharType="begin"/>
        </w:r>
        <w:r>
          <w:rPr>
            <w:noProof/>
            <w:webHidden/>
          </w:rPr>
          <w:instrText xml:space="preserve"> PAGEREF _Toc505082850 \h </w:instrText>
        </w:r>
        <w:r>
          <w:rPr>
            <w:noProof/>
            <w:webHidden/>
          </w:rPr>
        </w:r>
        <w:r>
          <w:rPr>
            <w:noProof/>
            <w:webHidden/>
          </w:rPr>
          <w:fldChar w:fldCharType="separate"/>
        </w:r>
        <w:r>
          <w:rPr>
            <w:noProof/>
            <w:webHidden/>
          </w:rPr>
          <w:t>41</w:t>
        </w:r>
        <w:r>
          <w:rPr>
            <w:noProof/>
            <w:webHidden/>
          </w:rPr>
          <w:fldChar w:fldCharType="end"/>
        </w:r>
      </w:hyperlink>
    </w:p>
    <w:p w:rsidR="001E7162" w:rsidRDefault="00EC2A75">
      <w:pPr>
        <w:pStyle w:val="TOC7"/>
        <w:rPr>
          <w:noProof/>
        </w:rPr>
      </w:pPr>
      <w:hyperlink w:anchor="_Toc505082851" w:history="1">
        <w:r>
          <w:rPr>
            <w:noProof/>
          </w:rPr>
          <w:t>Box 4.4.6: Investment challenges and reforms in Croatia</w:t>
        </w:r>
        <w:r>
          <w:rPr>
            <w:noProof/>
            <w:webHidden/>
          </w:rPr>
          <w:tab/>
        </w:r>
        <w:r>
          <w:rPr>
            <w:noProof/>
            <w:webHidden/>
          </w:rPr>
          <w:fldChar w:fldCharType="begin"/>
        </w:r>
        <w:r>
          <w:rPr>
            <w:noProof/>
            <w:webHidden/>
          </w:rPr>
          <w:instrText xml:space="preserve"> PAGEREF _Toc505082851 \h </w:instrText>
        </w:r>
        <w:r>
          <w:rPr>
            <w:noProof/>
            <w:webHidden/>
          </w:rPr>
        </w:r>
        <w:r>
          <w:rPr>
            <w:noProof/>
            <w:webHidden/>
          </w:rPr>
          <w:fldChar w:fldCharType="separate"/>
        </w:r>
        <w:r>
          <w:rPr>
            <w:noProof/>
            <w:webHidden/>
          </w:rPr>
          <w:t>46</w:t>
        </w:r>
        <w:r>
          <w:rPr>
            <w:noProof/>
            <w:webHidden/>
          </w:rPr>
          <w:fldChar w:fldCharType="end"/>
        </w:r>
      </w:hyperlink>
    </w:p>
    <w:p w:rsidR="001E7162" w:rsidRDefault="00EC2A75">
      <w:pPr>
        <w:pStyle w:val="TOC7"/>
        <w:rPr>
          <w:noProof/>
        </w:rPr>
      </w:pPr>
      <w:hyperlink w:anchor="_Toc505082852" w:history="1">
        <w:r>
          <w:rPr>
            <w:noProof/>
          </w:rPr>
          <w:t>Box 4.5.7: Policy Highlight: Developing a Comprehensive Curricular Reform</w:t>
        </w:r>
        <w:r>
          <w:rPr>
            <w:noProof/>
            <w:webHidden/>
          </w:rPr>
          <w:tab/>
        </w:r>
        <w:r>
          <w:rPr>
            <w:noProof/>
            <w:webHidden/>
          </w:rPr>
          <w:fldChar w:fldCharType="begin"/>
        </w:r>
        <w:r>
          <w:rPr>
            <w:noProof/>
            <w:webHidden/>
          </w:rPr>
          <w:instrText xml:space="preserve"> PAGEREF _Toc505082852 \h </w:instrText>
        </w:r>
        <w:r>
          <w:rPr>
            <w:noProof/>
            <w:webHidden/>
          </w:rPr>
        </w:r>
        <w:r>
          <w:rPr>
            <w:noProof/>
            <w:webHidden/>
          </w:rPr>
          <w:fldChar w:fldCharType="separate"/>
        </w:r>
        <w:r>
          <w:rPr>
            <w:noProof/>
            <w:webHidden/>
          </w:rPr>
          <w:t>53</w:t>
        </w:r>
        <w:r>
          <w:rPr>
            <w:noProof/>
            <w:webHidden/>
          </w:rPr>
          <w:fldChar w:fldCharType="end"/>
        </w:r>
      </w:hyperlink>
    </w:p>
    <w:p w:rsidR="001E7162" w:rsidRDefault="00EC2A75">
      <w:pPr>
        <w:rPr>
          <w:noProof/>
        </w:rPr>
      </w:pPr>
      <w:r>
        <w:rPr>
          <w:noProof/>
        </w:rPr>
        <w:fldChar w:fldCharType="end"/>
      </w:r>
    </w:p>
    <w:p w:rsidR="001E7162" w:rsidRDefault="001E7162">
      <w:pPr>
        <w:rPr>
          <w:noProof/>
          <w:lang w:val="en-US"/>
        </w:rPr>
      </w:pPr>
    </w:p>
    <w:p w:rsidR="001E7162" w:rsidRDefault="001E7162">
      <w:pPr>
        <w:rPr>
          <w:noProof/>
          <w:lang w:val="en-US"/>
        </w:rPr>
        <w:sectPr w:rsidR="001E7162">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1E7162" w:rsidRDefault="00EC2A75">
      <w:pPr>
        <w:pStyle w:val="SectionTitleFramed2"/>
        <w:framePr w:wrap="notBeside"/>
        <w:rPr>
          <w:noProof/>
        </w:rPr>
      </w:pPr>
      <w:bookmarkStart w:id="2" w:name="_Toc507359616"/>
      <w:r>
        <w:rPr>
          <w:noProof/>
        </w:rPr>
        <w:t>Executive summary</w:t>
      </w:r>
      <w:bookmarkEnd w:id="2"/>
    </w:p>
    <w:p w:rsidR="001E7162" w:rsidRDefault="00EC2A75">
      <w:pPr>
        <w:rPr>
          <w:noProof/>
        </w:rPr>
      </w:pPr>
      <w:r>
        <w:rPr>
          <w:b/>
          <w:noProof/>
        </w:rPr>
        <w:t>The favourable economic environment lends itself to stepping up reform efforts and ensuring sustainable and inclusive growth.</w:t>
      </w:r>
      <w:r>
        <w:rPr>
          <w:noProof/>
        </w:rPr>
        <w:t xml:space="preserve"> Croatia's potential growth remains insufficient to enable faste</w:t>
      </w:r>
      <w:r>
        <w:rPr>
          <w:noProof/>
        </w:rPr>
        <w:t>r convergence although projected to increase somewhat over the medium term. As the working age population continues shrinking and labour utilisation remains chronically low, Croatia's prospects of speeding up its economic growth will increasingly depend on</w:t>
      </w:r>
      <w:r>
        <w:rPr>
          <w:noProof/>
        </w:rPr>
        <w:t xml:space="preserve"> the capacity to implement structural reforms. Raising potential growth requires structural reforms that will allow for faster productivity growth, higher participation in the labour market, and a business environment that is more attractive for investment</w:t>
      </w:r>
      <w:r>
        <w:rPr>
          <w:noProof/>
        </w:rPr>
        <w:t xml:space="preserve"> (</w:t>
      </w:r>
      <w:r>
        <w:rPr>
          <w:rStyle w:val="FootnoteReference"/>
          <w:noProof/>
        </w:rPr>
        <w:footnoteReference w:id="1"/>
      </w:r>
      <w:r>
        <w:rPr>
          <w:noProof/>
        </w:rPr>
        <w:t xml:space="preserve">). </w:t>
      </w:r>
    </w:p>
    <w:p w:rsidR="001E7162" w:rsidRDefault="00EC2A75">
      <w:pPr>
        <w:rPr>
          <w:noProof/>
        </w:rPr>
      </w:pPr>
      <w:r>
        <w:rPr>
          <w:b/>
          <w:noProof/>
        </w:rPr>
        <w:t>As the economy enters its fourth year of recovery, economic growth remains broad-based and robust.</w:t>
      </w:r>
      <w:r>
        <w:rPr>
          <w:noProof/>
        </w:rPr>
        <w:t xml:space="preserve"> Following a sizeable acceleration in 2016, the real GDP growth rate in 2017 is projected to have remained at 3.2 %. Household consumption continues to</w:t>
      </w:r>
      <w:r>
        <w:rPr>
          <w:noProof/>
        </w:rPr>
        <w:t xml:space="preserve"> be the main driver of growth, underpinned by resumed wage growth, steadily increasing employment and high consumer confidence. Investment is recovering, albeit at a slower pace than anticipated. On the external side, strong global demand and further marke</w:t>
      </w:r>
      <w:r>
        <w:rPr>
          <w:noProof/>
        </w:rPr>
        <w:t>t share gains pushed exports up, but the associated surge in imports of goods is projected to have resulted in net exports slightly detracting from growth in 2017. </w:t>
      </w:r>
    </w:p>
    <w:p w:rsidR="001E7162" w:rsidRDefault="00EC2A75">
      <w:pPr>
        <w:rPr>
          <w:noProof/>
        </w:rPr>
      </w:pPr>
      <w:r>
        <w:rPr>
          <w:b/>
          <w:noProof/>
        </w:rPr>
        <w:t>The recovery is expected to continue in the next two years, with somewhat lower growth rate</w:t>
      </w:r>
      <w:r>
        <w:rPr>
          <w:b/>
          <w:noProof/>
        </w:rPr>
        <w:t>s.</w:t>
      </w:r>
      <w:r>
        <w:rPr>
          <w:noProof/>
        </w:rPr>
        <w:t xml:space="preserve"> Low potential output is preventing the economy from reaching higher growth rates in the longer run. Following several sharp declines in previous years, unemployment is set to continue decreasing at slower rates, on the back of an expected slowdown in ou</w:t>
      </w:r>
      <w:r>
        <w:rPr>
          <w:noProof/>
        </w:rPr>
        <w:t xml:space="preserve">tbound migration. Private consumption is expected to remain the driver of growth, as rising wages are projected to offset the effects of the rebound in inflation on disposable income. In 2018 and 2019, investment is expected to intensify, as uncertainties </w:t>
      </w:r>
      <w:r>
        <w:rPr>
          <w:noProof/>
        </w:rPr>
        <w:t>surrounding the restructuring of Agrokor unwind and the use of EU funding improves. Exports are projected to continue performing strongly, but imports are expected to increasingly weigh on the contribution of net exports to growth. With its steady expansio</w:t>
      </w:r>
      <w:r>
        <w:rPr>
          <w:noProof/>
        </w:rPr>
        <w:t>n, tourism creates opportunities for employment and growth. However, challenges for policy planning to anticipate and respond to the growing and diversifying tourism demand lay ahead if this sector is to become a key driver of continued economic growth. In</w:t>
      </w:r>
      <w:r>
        <w:rPr>
          <w:noProof/>
        </w:rPr>
        <w:t xml:space="preserve"> all, real GDP is forecast to expand by 2.8 % in 2018 and a further 2.7 % in 2019. </w:t>
      </w:r>
    </w:p>
    <w:p w:rsidR="001E7162" w:rsidRDefault="00EC2A75">
      <w:pPr>
        <w:rPr>
          <w:noProof/>
        </w:rPr>
      </w:pPr>
      <w:r>
        <w:rPr>
          <w:b/>
          <w:noProof/>
        </w:rPr>
        <w:t>Public and private debt ratios continue decreasing, aided by the sustained economic recovery and domestic currency appreciation.</w:t>
      </w:r>
      <w:r>
        <w:rPr>
          <w:noProof/>
        </w:rPr>
        <w:t xml:space="preserve"> With revenues boosted by the recovering eco</w:t>
      </w:r>
      <w:r>
        <w:rPr>
          <w:noProof/>
        </w:rPr>
        <w:t>nomic activity, and spending contained, the general government is keeping a low deficit and the public debt ratio on a steadily declining path. Debt levels in the private sector are also falling, while credit activity is slowly picking up. Corporate debt r</w:t>
      </w:r>
      <w:r>
        <w:rPr>
          <w:noProof/>
        </w:rPr>
        <w:t xml:space="preserve">emains only slightly above prudential levels, but vulnerable to foreign currency shocks. Reflecting declining private and public debt, and as the current account remains in a comfortable surplus, external debt is set to continue reducing.  </w:t>
      </w:r>
    </w:p>
    <w:p w:rsidR="001E7162" w:rsidRDefault="00EC2A75">
      <w:pPr>
        <w:rPr>
          <w:noProof/>
        </w:rPr>
      </w:pPr>
      <w:r>
        <w:rPr>
          <w:b/>
          <w:noProof/>
        </w:rPr>
        <w:t>Croatia has mad</w:t>
      </w:r>
      <w:r>
        <w:rPr>
          <w:b/>
          <w:noProof/>
        </w:rPr>
        <w:t>e limited progress in addressing the 2017 country-specific recommendations.</w:t>
      </w:r>
      <w:r>
        <w:rPr>
          <w:noProof/>
        </w:rPr>
        <w:t xml:space="preserve"> Fiscal policy, supported by favourable macroeconomic conditions, has ensured a declining debt ratio, but structural measures have not advanced. Legislation needed to reinforce the </w:t>
      </w:r>
      <w:r>
        <w:rPr>
          <w:noProof/>
        </w:rPr>
        <w:t xml:space="preserve">fiscal framework has not been adopted, while the previously legislated recurrent property tax has been abandoned. Some steps are being taken to rationalise the healthcare system, in particular for hospitals. However, payment arrears in healthcare continue </w:t>
      </w:r>
      <w:r>
        <w:rPr>
          <w:noProof/>
        </w:rPr>
        <w:t>to grow. Measures planned for the social benefits system have been narrowed in scope, while the package of pension system reforms has been further postponed. Active labour market policy measures for low-skilled and long-term unemployed remain largely under</w:t>
      </w:r>
      <w:r>
        <w:rPr>
          <w:noProof/>
        </w:rPr>
        <w:t>utilised, while the education reform is still pending, despite some encouraging steps. Major public administration reforms are largely at a standstill. Measures to improve the business environment have advanced somewhat as regards relieving the administrat</w:t>
      </w:r>
      <w:r>
        <w:rPr>
          <w:noProof/>
        </w:rPr>
        <w:t>ive burden and reducing parafiscal charges. Some progress has been made in the sale of minority shares in state-owned enterprises and activating state property, while backlogs in the judicial system have marginally reduced. Some measures to address the hig</w:t>
      </w:r>
      <w:r>
        <w:rPr>
          <w:noProof/>
        </w:rPr>
        <w:t xml:space="preserve">h level of non-performing loans were put in place. The Croatian Bank for Reconstruction and Development has undergone an Asset Quality Review, the results of which are yet to be unveiled. </w:t>
      </w:r>
    </w:p>
    <w:p w:rsidR="001E7162" w:rsidRDefault="00EC2A75">
      <w:pPr>
        <w:rPr>
          <w:noProof/>
        </w:rPr>
      </w:pPr>
      <w:r>
        <w:rPr>
          <w:noProof/>
        </w:rPr>
        <w:t>Regarding progress towards the national targets under the Europe 20</w:t>
      </w:r>
      <w:r>
        <w:rPr>
          <w:noProof/>
        </w:rPr>
        <w:t>20 strategy, Croatia is on track to reaching its targets, or has already done so, in energy efficiency, greenhouse gas emissions,  renewables (except in transport), early school leaving and poverty and social exclusion. The target for tertiary education at</w:t>
      </w:r>
      <w:r>
        <w:rPr>
          <w:noProof/>
        </w:rPr>
        <w:t>tainment by 2020 does not appear within reach, while the largest distance to target remains in R&amp;D investment.</w:t>
      </w:r>
    </w:p>
    <w:p w:rsidR="001E7162" w:rsidRDefault="00EC2A75">
      <w:pPr>
        <w:rPr>
          <w:noProof/>
        </w:rPr>
      </w:pPr>
      <w:r>
        <w:rPr>
          <w:b/>
          <w:noProof/>
        </w:rPr>
        <w:t xml:space="preserve">Croatia faces challenges with regard to a number of indicators of the Social Scoreboard supporting the European Pillar of Social Rights. </w:t>
      </w:r>
      <w:r>
        <w:rPr>
          <w:noProof/>
        </w:rPr>
        <w:t>These ar</w:t>
      </w:r>
      <w:r>
        <w:rPr>
          <w:noProof/>
        </w:rPr>
        <w:t>e related to equal opportunities, access to the labour market and fair working conditions. Economic growth has translated into reducing unemployment, but the employment rate remains comparatively very low. Croatia still faces a high rate of young people no</w:t>
      </w:r>
      <w:r>
        <w:rPr>
          <w:noProof/>
        </w:rPr>
        <w:t>t in employment, education or training and low participation in active labour market policy measures. Croatia has a high share of people at-risk-of poverty or social exclusion.</w:t>
      </w:r>
    </w:p>
    <w:p w:rsidR="001E7162" w:rsidRDefault="00EC2A75">
      <w:pPr>
        <w:rPr>
          <w:noProof/>
        </w:rPr>
      </w:pPr>
      <w:r>
        <w:rPr>
          <w:noProof/>
        </w:rPr>
        <w:t xml:space="preserve">The main findings of the in-depth review contained in this report and the related policy challenges are as follows: </w:t>
      </w:r>
    </w:p>
    <w:p w:rsidR="001E7162" w:rsidRDefault="00EC2A75">
      <w:pPr>
        <w:pStyle w:val="ListBullet"/>
        <w:numPr>
          <w:ilvl w:val="0"/>
          <w:numId w:val="1"/>
        </w:numPr>
        <w:rPr>
          <w:noProof/>
        </w:rPr>
      </w:pPr>
      <w:r>
        <w:rPr>
          <w:b/>
          <w:noProof/>
        </w:rPr>
        <w:t>In 2017, the general government debt ratio is projected to have declined further on the back of continued growth and fiscal discipline.</w:t>
      </w:r>
      <w:r>
        <w:rPr>
          <w:noProof/>
        </w:rPr>
        <w:t xml:space="preserve"> Dur</w:t>
      </w:r>
      <w:r>
        <w:rPr>
          <w:noProof/>
        </w:rPr>
        <w:t>ing the protracted crisis, the general government debt more than doubled, driven largely by deficits and reclassifications of state-owned enterprises' debt. The decline in the debt ratio from a high of almost 86 % started in 2015 and picked up pace in 2016</w:t>
      </w:r>
      <w:r>
        <w:rPr>
          <w:noProof/>
        </w:rPr>
        <w:t>. It is expected to have shrunk to around 80 % of GDP in 2017 and continue declining in the short term. The decrease has been driven by economic growth but also expenditure restraint. Nevertheless, public debt is still high in comparison with both pre-cris</w:t>
      </w:r>
      <w:r>
        <w:rPr>
          <w:noProof/>
        </w:rPr>
        <w:t>is levels and peer countries. Sustainability risks in the medium term have declined but remain relatively high, especially under some stress scenarios. Furthermore, it is subject to foreign currency risk, as the bulk of it is issued or denominated in forei</w:t>
      </w:r>
      <w:r>
        <w:rPr>
          <w:noProof/>
        </w:rPr>
        <w:t xml:space="preserve">gn currency. Positive developments are the sustained reduction in the cost of debt servicing, the lengthening of maturities achieved in recent years as well as some improvements in debt management. </w:t>
      </w:r>
    </w:p>
    <w:p w:rsidR="001E7162" w:rsidRDefault="00EC2A75">
      <w:pPr>
        <w:pStyle w:val="ListBullet"/>
        <w:numPr>
          <w:ilvl w:val="0"/>
          <w:numId w:val="1"/>
        </w:numPr>
        <w:rPr>
          <w:noProof/>
        </w:rPr>
      </w:pPr>
      <w:r>
        <w:rPr>
          <w:b/>
          <w:noProof/>
        </w:rPr>
        <w:t>Private sector debt reduction progressed, while still hea</w:t>
      </w:r>
      <w:r>
        <w:rPr>
          <w:b/>
          <w:noProof/>
        </w:rPr>
        <w:t>vily exposed to currency risk.</w:t>
      </w:r>
      <w:r>
        <w:rPr>
          <w:noProof/>
        </w:rPr>
        <w:t xml:space="preserve"> The decrease in private debt was driven by intensified economic activity. Furthermore, the continued appreciation of the national currency against the euro reduced the value of outstanding liabilities indexed to or denominate</w:t>
      </w:r>
      <w:r>
        <w:rPr>
          <w:noProof/>
        </w:rPr>
        <w:t>d in foreign currency – a positive development that however highlights foreign currency risk. The pace of corporate and household debt reduction slowed down in 2017, following a pickup in net credit flows, which is supporting investment. However, in the co</w:t>
      </w:r>
      <w:r>
        <w:rPr>
          <w:noProof/>
        </w:rPr>
        <w:t xml:space="preserve">rporate sector, debt is concentrated in a few segments and remains high relative to the sectors' financial assets, which may indicate potential solvency risks.  </w:t>
      </w:r>
    </w:p>
    <w:p w:rsidR="001E7162" w:rsidRDefault="00EC2A75">
      <w:pPr>
        <w:pStyle w:val="ListBullet"/>
        <w:numPr>
          <w:ilvl w:val="0"/>
          <w:numId w:val="1"/>
        </w:numPr>
        <w:rPr>
          <w:noProof/>
        </w:rPr>
      </w:pPr>
      <w:r>
        <w:rPr>
          <w:b/>
          <w:noProof/>
        </w:rPr>
        <w:t>Indirect credit risk weighs on the well-capitalised and increasingly profitable financial sect</w:t>
      </w:r>
      <w:r>
        <w:rPr>
          <w:b/>
          <w:noProof/>
        </w:rPr>
        <w:t>or.</w:t>
      </w:r>
      <w:r>
        <w:rPr>
          <w:noProof/>
        </w:rPr>
        <w:t xml:space="preserve"> Credit demand is recovering thanks to better macroeconomic conditions and lower interest rates. This, coupled with continued improvement in the quality of banks' assets and profitability, helped turn net credit flows positive in 2017. The relatively fa</w:t>
      </w:r>
      <w:r>
        <w:rPr>
          <w:noProof/>
        </w:rPr>
        <w:t>st reduction of the non-performing loans ratio seen in 2016 was halted in 2017, as the underlying declining trend was partially offset by a net inflow of non-performing loans related to Agrokor's defaulted loans. Overall, indirect credit risk remains a sou</w:t>
      </w:r>
      <w:r>
        <w:rPr>
          <w:noProof/>
        </w:rPr>
        <w:t>rce of vulnerability for the banking sector, in particular due to the extensive exposure to foreign currency of its corporate and household clients.</w:t>
      </w:r>
    </w:p>
    <w:p w:rsidR="001E7162" w:rsidRDefault="00EC2A75">
      <w:pPr>
        <w:pStyle w:val="ListBullet"/>
        <w:numPr>
          <w:ilvl w:val="0"/>
          <w:numId w:val="1"/>
        </w:numPr>
        <w:rPr>
          <w:noProof/>
        </w:rPr>
      </w:pPr>
      <w:r>
        <w:rPr>
          <w:b/>
          <w:noProof/>
        </w:rPr>
        <w:t>The labour market continued to improve, but participation remains very low.</w:t>
      </w:r>
      <w:r>
        <w:rPr>
          <w:noProof/>
        </w:rPr>
        <w:t xml:space="preserve"> In 2017, the unemployment rate </w:t>
      </w:r>
      <w:r>
        <w:rPr>
          <w:noProof/>
        </w:rPr>
        <w:t>fell to 11.1 %. Migration outflows and population ageing contributed to the reduction of the working age population, while activity and employment rates for both men and women are very low, partly due to care responsibilities and the availability of multip</w:t>
      </w:r>
      <w:r>
        <w:rPr>
          <w:noProof/>
        </w:rPr>
        <w:t>le pathways to early exit from the labour market. Despite an increase in employment on permanent contracts in 2017, the share of temporary contracts in total employment remains sizable. Youth and long-term unemployment are also on a downward path, but rema</w:t>
      </w:r>
      <w:r>
        <w:rPr>
          <w:noProof/>
        </w:rPr>
        <w:t xml:space="preserve">in high. The social dialogue between the government and the social partners is overall underdeveloped. </w:t>
      </w:r>
    </w:p>
    <w:p w:rsidR="001E7162" w:rsidRDefault="00EC2A75">
      <w:pPr>
        <w:pStyle w:val="ListBullet"/>
        <w:numPr>
          <w:ilvl w:val="0"/>
          <w:numId w:val="1"/>
        </w:numPr>
        <w:rPr>
          <w:noProof/>
        </w:rPr>
      </w:pPr>
      <w:r>
        <w:rPr>
          <w:b/>
          <w:noProof/>
        </w:rPr>
        <w:t>Competitiveness and investment are hindered by a restrictive business environment.</w:t>
      </w:r>
      <w:r>
        <w:rPr>
          <w:noProof/>
        </w:rPr>
        <w:t xml:space="preserve"> The functioning of the product and capital markets is constrained, in</w:t>
      </w:r>
      <w:r>
        <w:rPr>
          <w:noProof/>
        </w:rPr>
        <w:t>hibiting the smooth allocation of resources to the most productive companies and sectors. The suboptimal performance of the research, development and innovation system represents an additional barrier to increasing the competitiveness of Croatian businesse</w:t>
      </w:r>
      <w:r>
        <w:rPr>
          <w:noProof/>
        </w:rPr>
        <w:t>s. Liberalisation is progressing slowly as numerous professions and major sectors remain highly regulated. There remain a number of distortions to competition in the legal consultancy and tax advisory. Parafiscal charges and the administrative burden conti</w:t>
      </w:r>
      <w:r>
        <w:rPr>
          <w:noProof/>
        </w:rPr>
        <w:t>nue to constrain business creation and expansion. The implementation of the anti-corruption strategy suffers delays.</w:t>
      </w:r>
    </w:p>
    <w:p w:rsidR="001E7162" w:rsidRDefault="00EC2A75">
      <w:pPr>
        <w:rPr>
          <w:noProof/>
        </w:rPr>
      </w:pPr>
      <w:r>
        <w:rPr>
          <w:noProof/>
        </w:rPr>
        <w:t xml:space="preserve">Other key structural issues analysed in this report, – which point to particular challenges for Croatia’s economy – are the following: </w:t>
      </w:r>
    </w:p>
    <w:p w:rsidR="001E7162" w:rsidRDefault="00EC2A75">
      <w:pPr>
        <w:pStyle w:val="ListBullet"/>
        <w:numPr>
          <w:ilvl w:val="0"/>
          <w:numId w:val="1"/>
        </w:numPr>
        <w:rPr>
          <w:noProof/>
        </w:rPr>
      </w:pPr>
      <w:r>
        <w:rPr>
          <w:b/>
          <w:noProof/>
        </w:rPr>
        <w:t xml:space="preserve">The fragmentation of the public administration continues to weigh on efficiency in the provision of public services. </w:t>
      </w:r>
      <w:r>
        <w:rPr>
          <w:noProof/>
        </w:rPr>
        <w:t>Croatia’s marked territorial fragmentation and complex relations across levels of government are not conducive to the efficient utilisation</w:t>
      </w:r>
      <w:r>
        <w:rPr>
          <w:noProof/>
        </w:rPr>
        <w:t xml:space="preserve"> of resources and delivery of public services. Weak administrative capacity hinders the implementation of public policies and a more effective use of European Structural Investment Funds. The wage setting framework lacks consistency across the public admin</w:t>
      </w:r>
      <w:r>
        <w:rPr>
          <w:noProof/>
        </w:rPr>
        <w:t>istration and public services. While backlogs in courts were reduced largely on the back of a reduced inflow of new cases, measures to improve the efficiency and quality of the justice system remain on the agenda. Some progress has been made in the disposa</w:t>
      </w:r>
      <w:r>
        <w:rPr>
          <w:noProof/>
        </w:rPr>
        <w:t xml:space="preserve">l of minority ownership, and the government's list of companies of strategic and special interest has been further reduced. A more determined progress on the planned privatisation of state-owned enterprises has yet to be seen. </w:t>
      </w:r>
    </w:p>
    <w:p w:rsidR="001E7162" w:rsidRDefault="00EC2A75">
      <w:pPr>
        <w:pStyle w:val="ListBullet"/>
        <w:numPr>
          <w:ilvl w:val="0"/>
          <w:numId w:val="1"/>
        </w:numPr>
        <w:rPr>
          <w:noProof/>
        </w:rPr>
      </w:pPr>
      <w:r>
        <w:rPr>
          <w:b/>
          <w:noProof/>
        </w:rPr>
        <w:t>Although falling, poverty an</w:t>
      </w:r>
      <w:r>
        <w:rPr>
          <w:b/>
          <w:noProof/>
        </w:rPr>
        <w:t>d social exclusion levels are still high.</w:t>
      </w:r>
      <w:r>
        <w:rPr>
          <w:noProof/>
        </w:rPr>
        <w:t xml:space="preserve"> This is particularly the case for the low skilled, the elderly and the disabled. Territorial differences are marked, with very high at-risk-of-poverty rates in some counties. The uneven provision of social services</w:t>
      </w:r>
      <w:r>
        <w:rPr>
          <w:noProof/>
        </w:rPr>
        <w:t xml:space="preserve"> and a fragmented coverage of the population by the social protection system across the territory exacerbate existing disparities in labour market outcomes. The length of working lives is one of the shortest in Europe, impacting negatively on the adequacy </w:t>
      </w:r>
      <w:r>
        <w:rPr>
          <w:noProof/>
        </w:rPr>
        <w:t xml:space="preserve">of both current and future pensions and creating high risks of poverty in old age. </w:t>
      </w:r>
    </w:p>
    <w:p w:rsidR="001E7162" w:rsidRDefault="00EC2A75">
      <w:pPr>
        <w:pStyle w:val="ListBullet"/>
        <w:numPr>
          <w:ilvl w:val="0"/>
          <w:numId w:val="1"/>
        </w:numPr>
        <w:rPr>
          <w:noProof/>
        </w:rPr>
      </w:pPr>
      <w:r>
        <w:rPr>
          <w:b/>
          <w:noProof/>
        </w:rPr>
        <w:t>Education and health outcomes point to structural weaknesses.</w:t>
      </w:r>
      <w:r>
        <w:rPr>
          <w:noProof/>
        </w:rPr>
        <w:t xml:space="preserve"> Education system performance indicators have stagnated or worsened in most relevant areas, highlighting the ne</w:t>
      </w:r>
      <w:r>
        <w:rPr>
          <w:noProof/>
        </w:rPr>
        <w:t>ed for reform. The recent measures to implement the national strategy for education, science and technology should, if maintained, help address the quality and inclusiveness challenges. Efforts to improve vocational education and training and equip the wor</w:t>
      </w:r>
      <w:r>
        <w:rPr>
          <w:noProof/>
        </w:rPr>
        <w:t>kforce with the skills needed in the labour market remain insufficient. Participation in adult education remains very low. Health outcomes continue to improve, but remain below the EU average. Some measures aimed at rationalising the hospital system were i</w:t>
      </w:r>
      <w:r>
        <w:rPr>
          <w:noProof/>
        </w:rPr>
        <w:t>nitiated in 2017. Hospitals, however, remain inadequately financed and overburdened with arrears.</w:t>
      </w:r>
    </w:p>
    <w:p w:rsidR="001E7162" w:rsidRDefault="001E7162">
      <w:pPr>
        <w:rPr>
          <w:noProof/>
        </w:rPr>
      </w:pPr>
    </w:p>
    <w:p w:rsidR="001E7162" w:rsidRDefault="001E7162">
      <w:pPr>
        <w:rPr>
          <w:noProof/>
        </w:rPr>
        <w:sectPr w:rsidR="001E7162">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1E7162" w:rsidRDefault="00EC2A75">
      <w:pPr>
        <w:pStyle w:val="SectionTitleFramed3"/>
        <w:framePr w:wrap="notBeside"/>
        <w:rPr>
          <w:noProof/>
        </w:rPr>
      </w:pPr>
      <w:bookmarkStart w:id="3" w:name="_Toc507359617"/>
      <w:r>
        <w:rPr>
          <w:rFonts w:ascii="Times New Roman" w:hAnsi="Times New Roman"/>
          <w:b/>
          <w:noProof/>
          <w:color w:val="808080"/>
          <w:sz w:val="72"/>
        </w:rPr>
        <w:t>1.</w:t>
      </w:r>
      <w:r>
        <w:rPr>
          <w:noProof/>
        </w:rPr>
        <w:tab/>
        <w:t>Economic situa</w:t>
      </w:r>
      <w:r>
        <w:rPr>
          <w:noProof/>
        </w:rPr>
        <w:t>tion and outlook</w:t>
      </w:r>
      <w:bookmarkEnd w:id="3"/>
    </w:p>
    <w:p w:rsidR="001E7162" w:rsidRDefault="00EC2A75">
      <w:pPr>
        <w:pStyle w:val="Heading"/>
        <w:rPr>
          <w:noProof/>
        </w:rPr>
      </w:pPr>
      <w:r>
        <w:rPr>
          <w:noProof/>
        </w:rPr>
        <w:t xml:space="preserve">GDP growth </w:t>
      </w:r>
    </w:p>
    <w:p w:rsidR="001E7162" w:rsidRDefault="00EC2A75">
      <w:pPr>
        <w:rPr>
          <w:noProof/>
        </w:rPr>
      </w:pPr>
      <w:r>
        <w:rPr>
          <w:b/>
          <w:noProof/>
        </w:rPr>
        <w:t xml:space="preserve">Croatia's economy continues on its path of recovery from one of the longest and deepest recessions in the EU. </w:t>
      </w:r>
      <w:r>
        <w:rPr>
          <w:noProof/>
        </w:rPr>
        <w:t xml:space="preserve">In the last three years, the economic recovery has been robust and broad-based, with economic growth on a more solid </w:t>
      </w:r>
      <w:r>
        <w:rPr>
          <w:noProof/>
        </w:rPr>
        <w:t>ground than the credit-driven growth leading up to the 2008 financial crisis. In 2017, domestic demand, and especially private consumption, remained the main engine of growth. Public consumption also contributed to growth following years of negative to neu</w:t>
      </w:r>
      <w:r>
        <w:rPr>
          <w:noProof/>
        </w:rPr>
        <w:t>tral contribution. After a long-awaited rebound in 2015, investment picked up further in 2016, but showed signs of slowing down in 2017, under the impact of lower public sector investment and the operational and financial restructuring of the distressed fo</w:t>
      </w:r>
      <w:r>
        <w:rPr>
          <w:noProof/>
        </w:rPr>
        <w:t>od-processing and retail giant Agrokor (see Box 4.2.1). Exports continued to perform strongly, with goods' exporters gaining further market shares and tourism adding on its record growth achieved the year before. However, the strong internal demand and the</w:t>
      </w:r>
      <w:r>
        <w:rPr>
          <w:noProof/>
        </w:rPr>
        <w:t xml:space="preserve"> relatively high import content of tourism boosted imports further, edging the overall contribution of net exports to GDP growth to the negative side (see Graph </w:t>
      </w:r>
      <w:r>
        <w:rPr>
          <w:noProof/>
        </w:rPr>
        <w:fldChar w:fldCharType="begin"/>
      </w:r>
      <w:r>
        <w:rPr>
          <w:noProof/>
        </w:rPr>
        <w:instrText xml:space="preserve"> QUOTE "1.1"</w:instrText>
      </w:r>
      <w:r>
        <w:rPr>
          <w:noProof/>
        </w:rPr>
        <w:fldChar w:fldCharType="begin">
          <w:fldData xml:space="preserve">QwBSAE8AUwBTAFIARQBGAEUAUgBFAE4AQwBFACoARwBSAEEAUABIACoAMAAwADgANQA2ADEANgA3
AC0ANgA2AGIAYQAtADQAZABkADIALQA5ADIAMQAwAC0AOQA3ADAANgAzADUAZQBlAGIAOAA1AGUA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Overall, in 2017 the real GDP growth rate is projected to have matched the rate of 3.2 % from the previous year.</w:t>
      </w:r>
    </w:p>
    <w:p w:rsidR="001E7162" w:rsidRDefault="00EC2A75">
      <w:pPr>
        <w:rPr>
          <w:noProof/>
        </w:rPr>
      </w:pPr>
      <w:r>
        <w:rPr>
          <w:b/>
          <w:noProof/>
        </w:rPr>
        <w:t>Growth is expected to remain robust and real GDP is projected to finally reach the pre-crisis level in 2019.</w:t>
      </w:r>
      <w:r>
        <w:rPr>
          <w:noProof/>
        </w:rPr>
        <w:t xml:space="preserve"> The ec</w:t>
      </w:r>
      <w:r>
        <w:rPr>
          <w:noProof/>
        </w:rPr>
        <w:t>onomy continues to benefit from favourable external conditions, most notably from the positive trends in global trade and still increasing demand for Croatian exports. As the effects of the recent tax reform fade, private consumption is expected to maintai</w:t>
      </w:r>
      <w:r>
        <w:rPr>
          <w:noProof/>
        </w:rPr>
        <w:t>n the momentum thanks to slow but steady employment growth and the pick-up in wage growth. Higher growth rates are projected for investment in 2018 and 2019, driven by the continued favourable financing conditions and increased use of EU funds. In all, the</w:t>
      </w:r>
      <w:r>
        <w:rPr>
          <w:noProof/>
        </w:rPr>
        <w:t xml:space="preserve"> macroeconomic outlook is favourable, but short-run risks remain on the downside, as structural challenges keep weighing on the long-run growth potential, and uncertainties surrounding the outcome of Agrokor’s restructuring linger. The Commission’s winter </w:t>
      </w:r>
      <w:r>
        <w:rPr>
          <w:noProof/>
        </w:rPr>
        <w:t>2018 forecast sees real GDP growth slowing down to 2.8 % in 2018 and  2.7 % in 2019.</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4" w:name="_Toc505083013"/>
            <w:r>
              <w:rPr>
                <w:noProof/>
              </w:rPr>
              <w:t>Graph 1.1:</w:t>
            </w:r>
            <w:r>
              <w:rPr>
                <w:b/>
                <w:noProof/>
              </w:rPr>
              <w:tab/>
              <w:t>Real GDP growth by demand component</w:t>
            </w:r>
            <w:bookmarkEnd w:id="4"/>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25CE8C8C" wp14:editId="7FF29EC9">
                  <wp:extent cx="2597595" cy="2439475"/>
                  <wp:effectExtent l="0" t="0" r="0" b="0"/>
                  <wp:docPr id="3" name="Picture 3" descr="&lt;nbr&gt;&lt;GETTEXTFROMWORD&gt;&lt;/nbr&gt;&#10;&lt;title&gt;&lt;GETTEXTFROMWORD&gt;&lt;/title&gt;&#10;&lt;id&gt;00856167-66ba-4dd2-9210-970635eeb85e&lt;/id&gt;&#10;&lt;srcType&gt;EXCEL&lt;/srcType&gt;&#10;&lt;srcPath&gt;O:\2017 CRs\2018 European semester\11 HR\Excel\&lt;/srcPath&gt;&#10;&lt;srcName&gt;CR.HR.2018_1_Economic.xlsm&lt;/srcName&gt;&#10;&lt;type&gt;graph&lt;/type&gt;&#10; &lt;srcSheet&gt;eco.gdp.component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09:15:14&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39475"/>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 xml:space="preserve">Year-on-year contributions are obtained as the moving average of four quarters GDP component compared to the moving </w:t>
            </w:r>
            <w:r>
              <w:rPr>
                <w:noProof/>
              </w:rPr>
              <w:t>average of the respective components in the same quarters of previous year.</w:t>
            </w:r>
          </w:p>
          <w:p w:rsidR="001E7162" w:rsidRDefault="00EC2A75">
            <w:pPr>
              <w:pStyle w:val="GraphSource"/>
              <w:keepNext/>
              <w:rPr>
                <w:noProof/>
              </w:rPr>
            </w:pPr>
            <w:r>
              <w:rPr>
                <w:b/>
                <w:i/>
                <w:noProof/>
              </w:rPr>
              <w:t>Source:</w:t>
            </w:r>
            <w:r>
              <w:rPr>
                <w:noProof/>
              </w:rPr>
              <w:t xml:space="preserve"> Eurostat.</w:t>
            </w:r>
          </w:p>
        </w:tc>
      </w:tr>
    </w:tbl>
    <w:p w:rsidR="001E7162" w:rsidRDefault="00EC2A75">
      <w:pPr>
        <w:pStyle w:val="Heading"/>
        <w:rPr>
          <w:noProof/>
        </w:rPr>
      </w:pPr>
      <w:r>
        <w:rPr>
          <w:noProof/>
        </w:rPr>
        <w:t xml:space="preserve">External position </w:t>
      </w:r>
    </w:p>
    <w:p w:rsidR="001E7162" w:rsidRDefault="00EC2A75">
      <w:pPr>
        <w:rPr>
          <w:noProof/>
        </w:rPr>
      </w:pPr>
      <w:r>
        <w:rPr>
          <w:b/>
          <w:noProof/>
        </w:rPr>
        <w:t>Despite the deteriorating trade balance, the current account surplus increases</w:t>
      </w:r>
      <w:r>
        <w:rPr>
          <w:noProof/>
        </w:rPr>
        <w:t>. Declining net exports combined with worsening terms of trade a</w:t>
      </w:r>
      <w:r>
        <w:rPr>
          <w:noProof/>
        </w:rPr>
        <w:t xml:space="preserve">re set to drive a decrease in the overall trade balance of goods and services in 2017. However, the current account balance is projected to have increased to 3.1 % in 2017, in part thanks to the temporary improvement in the primary income balance owing to </w:t>
      </w:r>
      <w:r>
        <w:rPr>
          <w:noProof/>
        </w:rPr>
        <w:t>the profits in the largely foreign</w:t>
      </w:r>
      <w:r>
        <w:rPr>
          <w:noProof/>
        </w:rPr>
        <w:noBreakHyphen/>
        <w:t>owned banking sector having fallen due to Agrokor</w:t>
      </w:r>
      <w:r>
        <w:rPr>
          <w:noProof/>
        </w:rPr>
        <w:noBreakHyphen/>
        <w:t>related provisioning. The cyclically adjusted current account surplus of 4.2 % in 2017 was considerably above level of -1.5 % of GDP suggested by fundamentals (</w:t>
      </w:r>
      <w:r>
        <w:rPr>
          <w:rStyle w:val="FootnoteReference"/>
          <w:noProof/>
        </w:rPr>
        <w:footnoteReference w:id="2"/>
      </w:r>
      <w:r>
        <w:rPr>
          <w:noProof/>
        </w:rPr>
        <w:t>). The sur</w:t>
      </w:r>
      <w:r>
        <w:rPr>
          <w:noProof/>
        </w:rPr>
        <w:t>plus is projected to remain at around 2 % during the forecast period.</w:t>
      </w:r>
    </w:p>
    <w:p w:rsidR="001E7162" w:rsidRDefault="00EC2A75">
      <w:pPr>
        <w:rPr>
          <w:noProof/>
        </w:rPr>
      </w:pPr>
      <w:r>
        <w:rPr>
          <w:b/>
          <w:noProof/>
        </w:rPr>
        <w:t>The continued current account surplus translates into a further reduction of Croatia's external liabilities.</w:t>
      </w:r>
      <w:r>
        <w:rPr>
          <w:noProof/>
        </w:rPr>
        <w:t xml:space="preserve"> By September 2017, gross external debt had fallen to just above 81 % of GDP 2</w:t>
      </w:r>
      <w:r>
        <w:rPr>
          <w:noProof/>
        </w:rPr>
        <w:t>017, and the NIIP had improved to -62 % of GDP, more than 30 pps above its lowest level attained in the aftermath of the crisis (see Graph </w:t>
      </w:r>
      <w:r>
        <w:rPr>
          <w:noProof/>
        </w:rPr>
        <w:fldChar w:fldCharType="begin"/>
      </w:r>
      <w:r>
        <w:rPr>
          <w:noProof/>
        </w:rPr>
        <w:instrText xml:space="preserve"> QUOTE "1.2"</w:instrText>
      </w:r>
      <w:r>
        <w:rPr>
          <w:noProof/>
        </w:rPr>
        <w:fldChar w:fldCharType="begin">
          <w:fldData xml:space="preserve">QwBSAE8AUwBTAFIARQBGAEUAUgBFAE4AQwBFACoARwBSAEEAUABIACoAYQBjAGEANwBiADgAYQA1
AC0ANwAxADUAOQAtADQAYgA1AGQALQBhADgAYQA4AC0ANQBiADQAYQBiADEAMwBjADgAMQA1ADQA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A continued kuna appreciation contributed to the reduction of the external debt ratio in 2017, but it also reminded of the extent of Croatia's debt exposure to currency shocks. The net external debt ratio is expected to continue declining in line wit</w:t>
      </w:r>
      <w:r>
        <w:rPr>
          <w:noProof/>
        </w:rPr>
        <w:t xml:space="preserve">h the continued growth and current account surpluses. </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5" w:name="_Toc505083014"/>
            <w:r>
              <w:rPr>
                <w:noProof/>
              </w:rPr>
              <w:t>Graph 1.2:</w:t>
            </w:r>
            <w:r>
              <w:rPr>
                <w:b/>
                <w:noProof/>
              </w:rPr>
              <w:tab/>
              <w:t>Current account composition, gross external debt and net international investment position</w:t>
            </w:r>
            <w:bookmarkEnd w:id="5"/>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19C2939C" wp14:editId="58A5949F">
                  <wp:extent cx="2597595" cy="2415441"/>
                  <wp:effectExtent l="0" t="0" r="0" b="4445"/>
                  <wp:docPr id="4" name="Picture 4" descr="&lt;nbr&gt;&lt;GETTEXTFROMWORD&gt;&lt;/nbr&gt;&#10;&lt;title&gt;&lt;GETTEXTFROMWORD&gt;&lt;/title&gt;&#10;&lt;id&gt;aca7b8a5-7159-4b5d-a8a8-5b4ab13c8154&lt;/id&gt;&#10;&lt;srcType&gt;EXCEL&lt;/srcType&gt;&#10;&lt;srcPath&gt;O:\2017 CRs\2018 European semester\11 HR\Excel\&lt;/srcPath&gt;&#10;&lt;srcName&gt;CR.HR.2018_1_Economic.xlsm&lt;/srcName&gt;&#10;&lt;type&gt;graph&lt;/type&gt;&#10; &lt;srcSheet&gt;eco.struct.ca.niip.deb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09:15:14&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15441"/>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Gross external debt is expressed in absolute terms.</w:t>
            </w:r>
          </w:p>
          <w:p w:rsidR="001E7162" w:rsidRDefault="00EC2A75">
            <w:pPr>
              <w:pStyle w:val="GraphSource"/>
              <w:keepNext/>
              <w:rPr>
                <w:noProof/>
              </w:rPr>
            </w:pPr>
            <w:r>
              <w:rPr>
                <w:b/>
                <w:i/>
                <w:noProof/>
              </w:rPr>
              <w:t>Source:</w:t>
            </w:r>
            <w:r>
              <w:rPr>
                <w:noProof/>
              </w:rPr>
              <w:t xml:space="preserve"> Eurostat, Croatian National Bank.</w:t>
            </w:r>
          </w:p>
        </w:tc>
      </w:tr>
    </w:tbl>
    <w:p w:rsidR="001E7162" w:rsidRDefault="00EC2A75">
      <w:pPr>
        <w:pStyle w:val="Heading"/>
        <w:rPr>
          <w:noProof/>
        </w:rPr>
      </w:pPr>
      <w:r>
        <w:rPr>
          <w:noProof/>
        </w:rPr>
        <w:t xml:space="preserve">Inflation and interest rates </w:t>
      </w:r>
    </w:p>
    <w:p w:rsidR="001E7162" w:rsidRDefault="00EC2A75">
      <w:pPr>
        <w:rPr>
          <w:noProof/>
        </w:rPr>
      </w:pPr>
      <w:r>
        <w:rPr>
          <w:b/>
          <w:noProof/>
        </w:rPr>
        <w:t>Wage pressures and higher energy prices set the scene for a modest rebound in inflation.</w:t>
      </w:r>
      <w:r>
        <w:rPr>
          <w:noProof/>
        </w:rPr>
        <w:t xml:space="preserve">  Tightening labour market conditions and wage increases in the public sector are projected to raise the cost of labour in both 2017 and 2</w:t>
      </w:r>
      <w:r>
        <w:rPr>
          <w:noProof/>
        </w:rPr>
        <w:t>018. This, coupled with rising energy prices, pushed inflation up to 1.3 % in 2017, after more than three years of negative or stagnant price dynamics. The headline inflation rate is projected to keep increasing slightly, with core inflation outpacing it a</w:t>
      </w:r>
      <w:r>
        <w:rPr>
          <w:noProof/>
        </w:rPr>
        <w:t>nd picking up towards the end of 2019.</w:t>
      </w:r>
    </w:p>
    <w:p w:rsidR="001E7162" w:rsidRDefault="00EC2A75">
      <w:pPr>
        <w:rPr>
          <w:noProof/>
        </w:rPr>
      </w:pPr>
      <w:r>
        <w:rPr>
          <w:b/>
          <w:noProof/>
        </w:rPr>
        <w:t>Continued abundant liquidity in the financial system and the decreasing country risk premium are contributing to a further decline in interest rates.</w:t>
      </w:r>
      <w:r>
        <w:rPr>
          <w:noProof/>
        </w:rPr>
        <w:t xml:space="preserve"> Interest rates on all new loans to households and non-financial cor</w:t>
      </w:r>
      <w:r>
        <w:rPr>
          <w:noProof/>
        </w:rPr>
        <w:t>porations are decreasing, and most notably on loans for house purchases indexed in euro. These favourable trends in interest rates are expected to continue as the perception of country risk improves thanks to a solid economic outlook and improved public fi</w:t>
      </w:r>
      <w:r>
        <w:rPr>
          <w:noProof/>
        </w:rPr>
        <w:t>nances. Notably, Croatia's risk premium has reduced strongly, as reflected by the spread between the yield on Croatia's sovereign debt and the German bund dropping to just about 200 basis points at the end of 2017 from 390 in mid</w:t>
      </w:r>
      <w:r>
        <w:rPr>
          <w:noProof/>
        </w:rPr>
        <w:noBreakHyphen/>
        <w:t xml:space="preserve">2016. However, it remains </w:t>
      </w:r>
      <w:r>
        <w:rPr>
          <w:noProof/>
        </w:rPr>
        <w:t xml:space="preserve">higher than for most EU countries. </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6" w:name="_Toc505083015"/>
            <w:r>
              <w:rPr>
                <w:noProof/>
              </w:rPr>
              <w:t>Graph 1.3:</w:t>
            </w:r>
            <w:r>
              <w:rPr>
                <w:b/>
                <w:noProof/>
              </w:rPr>
              <w:tab/>
              <w:t>Inflation and main components in Croatia and the EU</w:t>
            </w:r>
            <w:bookmarkEnd w:id="6"/>
          </w:p>
        </w:tc>
      </w:tr>
      <w:tr w:rsidR="001E7162">
        <w:tblPrEx>
          <w:tblCellMar>
            <w:left w:w="108" w:type="dxa"/>
            <w:right w:w="108" w:type="dxa"/>
          </w:tblCellMar>
        </w:tblPrEx>
        <w:trPr>
          <w:cantSplit/>
        </w:trPr>
        <w:tc>
          <w:tcPr>
            <w:tcW w:w="4110" w:type="dxa"/>
            <w:shd w:val="clear" w:color="auto" w:fill="auto"/>
          </w:tcPr>
          <w:p w:rsidR="001E7162" w:rsidRDefault="00EC2A75">
            <w:pPr>
              <w:pStyle w:val="GraphShape"/>
              <w:rPr>
                <w:noProof/>
                <w:sz w:val="2"/>
              </w:rPr>
            </w:pPr>
            <w:r>
              <w:rPr>
                <w:noProof/>
                <w:lang w:eastAsia="en-GB"/>
              </w:rPr>
              <w:drawing>
                <wp:inline distT="0" distB="0" distL="0" distR="0" wp14:anchorId="63438681" wp14:editId="308BEE89">
                  <wp:extent cx="2595600" cy="2415600"/>
                  <wp:effectExtent l="0" t="0" r="0" b="381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1E7162">
        <w:trPr>
          <w:cantSplit/>
        </w:trPr>
        <w:tc>
          <w:tcPr>
            <w:tcW w:w="4110" w:type="dxa"/>
            <w:shd w:val="clear" w:color="auto" w:fill="auto"/>
            <w:tcMar>
              <w:bottom w:w="240" w:type="dxa"/>
            </w:tcMar>
          </w:tcPr>
          <w:p w:rsidR="001E7162" w:rsidRDefault="00EC2A75">
            <w:pPr>
              <w:pStyle w:val="GraphSource"/>
              <w:keepNext/>
              <w:rPr>
                <w:noProof/>
              </w:rPr>
            </w:pPr>
            <w:r>
              <w:rPr>
                <w:b/>
                <w:i/>
                <w:noProof/>
              </w:rPr>
              <w:t>Source:</w:t>
            </w:r>
            <w:r>
              <w:rPr>
                <w:noProof/>
              </w:rPr>
              <w:t xml:space="preserve"> Eurostat.</w:t>
            </w:r>
          </w:p>
        </w:tc>
      </w:tr>
    </w:tbl>
    <w:p w:rsidR="001E7162" w:rsidRDefault="00EC2A75">
      <w:pPr>
        <w:pStyle w:val="Heading"/>
        <w:rPr>
          <w:noProof/>
        </w:rPr>
      </w:pPr>
      <w:r>
        <w:rPr>
          <w:noProof/>
        </w:rPr>
        <w:t>Public finances</w:t>
      </w:r>
    </w:p>
    <w:p w:rsidR="001E7162" w:rsidRDefault="00EC2A75">
      <w:pPr>
        <w:rPr>
          <w:noProof/>
        </w:rPr>
      </w:pPr>
      <w:r>
        <w:rPr>
          <w:b/>
          <w:noProof/>
        </w:rPr>
        <w:t>The general government deficit decreases further as revenues surge and expenditures are contained.</w:t>
      </w:r>
      <w:r>
        <w:rPr>
          <w:noProof/>
        </w:rPr>
        <w:t xml:space="preserve"> The general government deficit decreased sharply to 0.9 % of GDP in 2016, from 3.3 % the year before, leading Croatia out of the excessive deficit procedure in 2017. Revenues were boosted by the pick-up in economic activity, especially household consumpti</w:t>
      </w:r>
      <w:r>
        <w:rPr>
          <w:noProof/>
        </w:rPr>
        <w:t>on, employment and corporate profits. Primary expenditure growth was contained well below nominal GDP growth, while interest expenditure declined as debt was reduced and refinanced at lower interest rates. In spite of the negative budgetary impact of the r</w:t>
      </w:r>
      <w:r>
        <w:rPr>
          <w:noProof/>
        </w:rPr>
        <w:t>ecent tax rate reductions in 2017, the headline deficit is expected to have reduced further in 2017. Solid growth rates and low deficits in the coming years are set to keep the general government debt ratio on a declining path. The ratio is expected to hav</w:t>
      </w:r>
      <w:r>
        <w:rPr>
          <w:noProof/>
        </w:rPr>
        <w:t>e declined to below 80 % in 2017, and is set to fall below 75 % by 2019.</w:t>
      </w:r>
    </w:p>
    <w:p w:rsidR="001E7162" w:rsidRDefault="00EC2A75">
      <w:pPr>
        <w:pStyle w:val="Heading"/>
        <w:rPr>
          <w:noProof/>
        </w:rPr>
      </w:pPr>
      <w:r>
        <w:rPr>
          <w:noProof/>
        </w:rPr>
        <w:t xml:space="preserve">Private indebtedness </w:t>
      </w:r>
    </w:p>
    <w:p w:rsidR="001E7162" w:rsidRDefault="00EC2A75">
      <w:pPr>
        <w:rPr>
          <w:noProof/>
        </w:rPr>
      </w:pPr>
      <w:r>
        <w:rPr>
          <w:b/>
          <w:noProof/>
        </w:rPr>
        <w:t>The reduction of private debt progressed further, but bank lending to households and corporates has resumed.</w:t>
      </w:r>
      <w:r>
        <w:rPr>
          <w:noProof/>
        </w:rPr>
        <w:t xml:space="preserve"> By mid-2017, consolidated corporate and household debt decreased to roughly 67.8 % and 34.6 % of GDP, respectively – some 15 and 7 pps below the peaks registered in 2010. In 2017, the private debt ratio continued to decrease, mainly on account of GDP grow</w:t>
      </w:r>
      <w:r>
        <w:rPr>
          <w:noProof/>
        </w:rPr>
        <w:t>th and, to a lesser extent, valuation effects, as the kuna continued appreciating against the euro, reducing the value of outstanding liabilities indexed to or denominated in foreign currency. In the corporate sector, debt reduction during 2016 was also dr</w:t>
      </w:r>
      <w:r>
        <w:rPr>
          <w:noProof/>
        </w:rPr>
        <w:t>iven by active deleveraging, with net aggregate credit flows remaining mildly negative. In 2017, however, loans to the non-bank private sector (adjusted for sales and securitisation) from domestic credit institutions increased by 3.4 %, with a sharp increa</w:t>
      </w:r>
      <w:r>
        <w:rPr>
          <w:noProof/>
        </w:rPr>
        <w:t xml:space="preserve">se in new loans contracted in kuna with fixed rates, particularly in the household sector. While debt levels are still high, the decreasing debt servicing burden for both households and corporates is expected to continue supporting new credit. The private </w:t>
      </w:r>
      <w:r>
        <w:rPr>
          <w:noProof/>
        </w:rPr>
        <w:t xml:space="preserve">debt ratio is therefore set to keep decreasing, but at a slower pace than in recent years. </w:t>
      </w:r>
    </w:p>
    <w:p w:rsidR="001E7162" w:rsidRDefault="00EC2A75">
      <w:pPr>
        <w:pStyle w:val="Heading"/>
        <w:rPr>
          <w:noProof/>
        </w:rPr>
      </w:pPr>
      <w:r>
        <w:rPr>
          <w:noProof/>
        </w:rPr>
        <w:t>Labour market</w:t>
      </w:r>
    </w:p>
    <w:p w:rsidR="001E7162" w:rsidRDefault="00EC2A75">
      <w:pPr>
        <w:rPr>
          <w:noProof/>
        </w:rPr>
      </w:pPr>
      <w:r>
        <w:rPr>
          <w:b/>
          <w:noProof/>
        </w:rPr>
        <w:t>The labour market continued to improve in 2017, but labour utilisation remains chronically low.</w:t>
      </w:r>
      <w:r>
        <w:rPr>
          <w:noProof/>
        </w:rPr>
        <w:t xml:space="preserve"> Despite moderate improvements in the aftermath of the </w:t>
      </w:r>
      <w:r>
        <w:rPr>
          <w:noProof/>
        </w:rPr>
        <w:t>crisis, both the activity and the employment rates, respectively at 71.7 % and 65.6 % in Q3 2017 (see Graph 4.3.1), were among the lowest in the EU (average 78.2 % and 72.6 % respectively). The decline in the labour force was driven by negative migration f</w:t>
      </w:r>
      <w:r>
        <w:rPr>
          <w:noProof/>
        </w:rPr>
        <w:t>lows and population ageing. Also as a result of this decline, the unemployment rate has been on a rapid declining path and is projected to have dropped to around 11.1 % in 2017, from 17.6 % in early 2014. The share of young people who are not in employment</w:t>
      </w:r>
      <w:r>
        <w:rPr>
          <w:noProof/>
        </w:rPr>
        <w:t>, education or training has decreased, but remains very high, as does the youth unemployment rate and the rate of long-term unemployed. With outbound migration pressures expected to ease and stable employment growth, the unemployment rate is projected to f</w:t>
      </w:r>
      <w:r>
        <w:rPr>
          <w:noProof/>
        </w:rPr>
        <w:t xml:space="preserve">all below 8 % in 2019. In 2017, new hiring on permanent contracts increased, but the share of temporary contracts in total employment remains sizable. </w:t>
      </w:r>
    </w:p>
    <w:p w:rsidR="001E7162" w:rsidRDefault="00EC2A75">
      <w:pPr>
        <w:rPr>
          <w:noProof/>
        </w:rPr>
      </w:pPr>
      <w:r>
        <w:rPr>
          <w:b/>
          <w:noProof/>
        </w:rPr>
        <w:t>Despite low labour utilisation, the tightening labour market has resulted in renewed wage growth.</w:t>
      </w:r>
      <w:r>
        <w:rPr>
          <w:noProof/>
        </w:rPr>
        <w:t xml:space="preserve"> The no</w:t>
      </w:r>
      <w:r>
        <w:rPr>
          <w:noProof/>
        </w:rPr>
        <w:t xml:space="preserve">minal compensation per employee has decreased every year since 2013, but it is projected to have increased by 2.5 % in 2017. Coupled with modest productivity growth, unit labour cost is projected to have increased by just over 1 % (see Graph </w:t>
      </w:r>
      <w:r>
        <w:rPr>
          <w:noProof/>
        </w:rPr>
        <w:fldChar w:fldCharType="begin"/>
      </w:r>
      <w:r>
        <w:rPr>
          <w:noProof/>
        </w:rPr>
        <w:instrText xml:space="preserve"> QUOTE "1.4"</w:instrText>
      </w:r>
      <w:r>
        <w:rPr>
          <w:noProof/>
        </w:rPr>
        <w:fldChar w:fldCharType="begin">
          <w:fldData xml:space="preserve">QwBSAE8AUwBTAFIARQBGAEUAUgBFAE4AQwBFACoARwBSAEEAUABIACoAMgAwAGIAOAA0ADIAZgBj
AC0AYwA3ADYANAAtADQAZQA0ADUALQBhAGYANgA3AC0AZgAzAGIAYgBkADUAMQBjAGIAYgBkAGIA
</w:fldData>
        </w:fldChar>
      </w:r>
      <w:r>
        <w:rPr>
          <w:noProof/>
        </w:rPr>
        <w:instrText xml:space="preserve"> A</w:instrText>
      </w:r>
      <w:r>
        <w:rPr>
          <w:noProof/>
        </w:rPr>
        <w:instrText xml:space="preserve">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Wages are expected to continue increasing, following upward pressures from the legislated increases in the public sector, as well as from workforc</w:t>
      </w:r>
      <w:r>
        <w:rPr>
          <w:noProof/>
        </w:rPr>
        <w:t>e shortages in several key sectors, such as tourism and construction.</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7" w:name="_Toc505083016"/>
            <w:r>
              <w:rPr>
                <w:noProof/>
              </w:rPr>
              <w:t>Graph 1.4:</w:t>
            </w:r>
            <w:r>
              <w:rPr>
                <w:b/>
                <w:noProof/>
              </w:rPr>
              <w:tab/>
              <w:t>Contributions to rate of change in yearly unit labour costs</w:t>
            </w:r>
            <w:bookmarkEnd w:id="7"/>
          </w:p>
        </w:tc>
      </w:tr>
      <w:tr w:rsidR="001E7162">
        <w:tblPrEx>
          <w:tblCellMar>
            <w:left w:w="108" w:type="dxa"/>
            <w:right w:w="108" w:type="dxa"/>
          </w:tblCellMar>
        </w:tblPrEx>
        <w:trPr>
          <w:cantSplit/>
        </w:trPr>
        <w:tc>
          <w:tcPr>
            <w:tcW w:w="4110" w:type="dxa"/>
            <w:shd w:val="clear" w:color="auto" w:fill="auto"/>
          </w:tcPr>
          <w:p w:rsidR="001E7162" w:rsidRDefault="00EC2A75">
            <w:pPr>
              <w:pStyle w:val="GraphShape"/>
              <w:rPr>
                <w:noProof/>
                <w:sz w:val="2"/>
              </w:rPr>
            </w:pPr>
            <w:r>
              <w:rPr>
                <w:noProof/>
                <w:lang w:eastAsia="en-GB"/>
              </w:rPr>
              <w:drawing>
                <wp:inline distT="0" distB="0" distL="0" distR="0" wp14:anchorId="034AD849" wp14:editId="69582C2D">
                  <wp:extent cx="2595600" cy="2415600"/>
                  <wp:effectExtent l="0" t="0" r="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Forecast: European Commission's Autumn forecast data.</w:t>
            </w:r>
          </w:p>
          <w:p w:rsidR="001E7162" w:rsidRDefault="00EC2A75">
            <w:pPr>
              <w:pStyle w:val="GraphSource"/>
              <w:keepNext/>
              <w:rPr>
                <w:noProof/>
              </w:rPr>
            </w:pPr>
            <w:r>
              <w:rPr>
                <w:b/>
                <w:i/>
                <w:noProof/>
              </w:rPr>
              <w:t>Source:</w:t>
            </w:r>
            <w:r>
              <w:rPr>
                <w:noProof/>
              </w:rPr>
              <w:t xml:space="preserve"> Eurostat, European Commission.</w:t>
            </w:r>
          </w:p>
        </w:tc>
      </w:tr>
    </w:tbl>
    <w:p w:rsidR="001E7162" w:rsidRDefault="00EC2A75">
      <w:pPr>
        <w:pStyle w:val="Heading"/>
        <w:rPr>
          <w:noProof/>
        </w:rPr>
      </w:pPr>
      <w:r>
        <w:rPr>
          <w:noProof/>
        </w:rPr>
        <w:t xml:space="preserve">Social </w:t>
      </w:r>
      <w:r>
        <w:rPr>
          <w:noProof/>
        </w:rPr>
        <w:t>developments</w:t>
      </w:r>
    </w:p>
    <w:p w:rsidR="001E7162" w:rsidRDefault="00EC2A75">
      <w:pPr>
        <w:rPr>
          <w:noProof/>
        </w:rPr>
      </w:pPr>
      <w:r>
        <w:rPr>
          <w:b/>
          <w:noProof/>
        </w:rPr>
        <w:t>The share of people at risk of poverty and social exclusion declined in 2016, but remains high.</w:t>
      </w:r>
      <w:r>
        <w:rPr>
          <w:noProof/>
        </w:rPr>
        <w:t xml:space="preserve"> Risks of poverty and social exclusion (AROPE) are still high in Croatia, particularly for some vulnerable groups such as the disabled and the elder</w:t>
      </w:r>
      <w:r>
        <w:rPr>
          <w:noProof/>
        </w:rPr>
        <w:t>ly (see Section 4.3). Croatia registers high shares of population living in severe material deprivation and in households with very low work intensity, exceeding the EU average by 5.0 and 3.2 pps, respectively. The share of people at risk of poverty (AROP)</w:t>
      </w:r>
      <w:r>
        <w:rPr>
          <w:noProof/>
        </w:rPr>
        <w:t xml:space="preserve"> at 19.5 % is above the EU average and exceeds most of the peer countries (income data from 2015). Regional differences are particularly marked, with the AROP rate exceeding 40 % in some counties.</w:t>
      </w:r>
    </w:p>
    <w:p w:rsidR="001E7162" w:rsidRDefault="00EC2A75">
      <w:pPr>
        <w:rPr>
          <w:noProof/>
        </w:rPr>
      </w:pPr>
      <w:r>
        <w:rPr>
          <w:b/>
          <w:noProof/>
        </w:rPr>
        <w:t xml:space="preserve">Inequality of income is close to the EU average, but risks </w:t>
      </w:r>
      <w:r>
        <w:rPr>
          <w:b/>
          <w:noProof/>
        </w:rPr>
        <w:t>of poverty and social exclusion remain particularly high among the low skilled</w:t>
      </w:r>
      <w:r>
        <w:rPr>
          <w:noProof/>
        </w:rPr>
        <w:t>. In 2016, the richest 20 % of Croatian households had five times as much income as the poorest 20 %, a ratio just below the EU average (2015 data). The distribution of market in</w:t>
      </w:r>
      <w:r>
        <w:rPr>
          <w:noProof/>
        </w:rPr>
        <w:t>come was slightly less unequal than the EU average, while the impact of social transfers on poverty reduction was below EU average in 2016. The concentration of the risk of poverty and social exclusion among the low skilled, often living in rural areas, po</w:t>
      </w:r>
      <w:r>
        <w:rPr>
          <w:noProof/>
        </w:rPr>
        <w:t>ses crucial challenges and weighs on the capacity of the country to reduce inequalities (see section 4.3.2).</w:t>
      </w:r>
    </w:p>
    <w:p w:rsidR="001E7162" w:rsidRDefault="00EC2A75">
      <w:pPr>
        <w:pStyle w:val="Heading"/>
        <w:rPr>
          <w:noProof/>
        </w:rPr>
      </w:pPr>
      <w:r>
        <w:rPr>
          <w:noProof/>
        </w:rPr>
        <w:t xml:space="preserve">Potential growth </w:t>
      </w:r>
    </w:p>
    <w:p w:rsidR="001E7162" w:rsidRDefault="00EC2A75">
      <w:pPr>
        <w:rPr>
          <w:noProof/>
        </w:rPr>
      </w:pPr>
      <w:r>
        <w:rPr>
          <w:b/>
          <w:noProof/>
        </w:rPr>
        <w:t>Croatia is currently growing well above its estimated potential.</w:t>
      </w:r>
      <w:r>
        <w:rPr>
          <w:noProof/>
        </w:rPr>
        <w:t xml:space="preserve"> The negative output gap is projected to have closed in 2017, and</w:t>
      </w:r>
      <w:r>
        <w:rPr>
          <w:noProof/>
        </w:rPr>
        <w:t xml:space="preserve"> forecast to turn positive in 2018. The solid pick-up in investment is adding to potential growth, but the utilisation of labour input and the contribution of total factor productivity remain low, especially for a catching-up economy. Negative migration fl</w:t>
      </w:r>
      <w:r>
        <w:rPr>
          <w:noProof/>
        </w:rPr>
        <w:t>ows and population aging, in the context of one of the lowest activity rates in the EU weigh on the size of the working age population, with negative impact on the long-term prospects for employment growth. In the absence of policy measures capable of boos</w:t>
      </w:r>
      <w:r>
        <w:rPr>
          <w:noProof/>
        </w:rPr>
        <w:t>ting the participation rate, the shrinking labour force is set to continue detracting from the growth potential (see Graph </w:t>
      </w:r>
      <w:r>
        <w:rPr>
          <w:noProof/>
        </w:rPr>
        <w:fldChar w:fldCharType="begin"/>
      </w:r>
      <w:r>
        <w:rPr>
          <w:noProof/>
        </w:rPr>
        <w:instrText xml:space="preserve"> QUOTE "1.5"</w:instrText>
      </w:r>
      <w:r>
        <w:rPr>
          <w:noProof/>
        </w:rPr>
        <w:fldChar w:fldCharType="begin">
          <w:fldData xml:space="preserve">QwBSAE8AUwBTAFIARQBGAEUAUgBFAE4AQwBFACoARwBSAEEAUABIACoAOQBiAGEAYgAxADAAZAAy
AC0ANAA1ADYAYgAtADQAYgA1ADMALQBiADUAMwBjAC0AMQA5AGEAMABiADgANAA1AGUAMgA1ADkA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8" w:name="_Toc505083017"/>
            <w:r>
              <w:rPr>
                <w:noProof/>
              </w:rPr>
              <w:t>Graph 1.5</w:t>
            </w:r>
            <w:r>
              <w:rPr>
                <w:noProof/>
              </w:rPr>
              <w:t>:</w:t>
            </w:r>
            <w:r>
              <w:rPr>
                <w:b/>
                <w:noProof/>
              </w:rPr>
              <w:tab/>
              <w:t>Actual and potential output growth</w:t>
            </w:r>
            <w:bookmarkEnd w:id="8"/>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76A3BB60" wp14:editId="02583A7B">
                  <wp:extent cx="2597595" cy="2392039"/>
                  <wp:effectExtent l="0" t="0" r="0" b="8890"/>
                  <wp:docPr id="9" name="Picture 9" descr="&lt;nbr&gt;&lt;GETTEXTFROMWORD&gt;&lt;/nbr&gt;&#10;&lt;title&gt;&lt;GETTEXTFROMWORD&gt;&lt;/title&gt;&#10;&lt;id&gt;9bab10d2-456b-4b53-b53c-19a0b845e259&lt;/id&gt;&#10;&lt;srcType&gt;EXCEL&lt;/srcType&gt;&#10;&lt;srcPath&gt;O:\2017 CRs\2018 European semester\11 HR\Excel\&lt;/srcPath&gt;&#10;&lt;srcName&gt;CR.HR.2018_1_Economic.xlsm&lt;/srcName&gt;&#10;&lt;type&gt;graph&lt;/type&gt;&#10; &lt;srcSheet&gt;eco.potential.output&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09:15:14&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392039"/>
                          </a:xfrm>
                          <a:prstGeom prst="rect">
                            <a:avLst/>
                          </a:prstGeom>
                          <a:noFill/>
                          <a:ln>
                            <a:noFill/>
                          </a:ln>
                        </pic:spPr>
                      </pic:pic>
                    </a:graphicData>
                  </a:graphic>
                </wp:inline>
              </w:drawing>
            </w:r>
          </w:p>
        </w:tc>
      </w:tr>
      <w:tr w:rsidR="001E7162" w:rsidRPr="00EC2A75">
        <w:trPr>
          <w:cantSplit/>
        </w:trPr>
        <w:tc>
          <w:tcPr>
            <w:tcW w:w="4110" w:type="dxa"/>
            <w:shd w:val="clear" w:color="auto" w:fill="auto"/>
            <w:tcMar>
              <w:bottom w:w="240" w:type="dxa"/>
            </w:tcMar>
          </w:tcPr>
          <w:p w:rsidR="001E7162" w:rsidRDefault="00EC2A75">
            <w:pPr>
              <w:pStyle w:val="GraphFootnote"/>
              <w:keepNext/>
              <w:rPr>
                <w:noProof/>
              </w:rPr>
            </w:pPr>
            <w:r>
              <w:rPr>
                <w:noProof/>
              </w:rPr>
              <w:t>Potential output: production function approach.</w:t>
            </w:r>
          </w:p>
          <w:p w:rsidR="001E7162" w:rsidRDefault="00EC2A75">
            <w:pPr>
              <w:pStyle w:val="GraphSource"/>
              <w:keepNext/>
              <w:rPr>
                <w:noProof/>
                <w:lang w:val="fr-BE"/>
              </w:rPr>
            </w:pPr>
            <w:r>
              <w:rPr>
                <w:b/>
                <w:i/>
                <w:noProof/>
                <w:lang w:val="fr-BE"/>
              </w:rPr>
              <w:t>Source:</w:t>
            </w:r>
            <w:r>
              <w:rPr>
                <w:noProof/>
                <w:lang w:val="fr-BE"/>
              </w:rPr>
              <w:t xml:space="preserve"> European Commission, DG ECFIN.</w:t>
            </w:r>
          </w:p>
        </w:tc>
      </w:tr>
    </w:tbl>
    <w:p w:rsidR="001E7162" w:rsidRDefault="001E7162">
      <w:pPr>
        <w:rPr>
          <w:noProof/>
          <w:lang w:val="fr-BE"/>
        </w:rPr>
      </w:pPr>
    </w:p>
    <w:p w:rsidR="001E7162" w:rsidRDefault="00EC2A75">
      <w:pPr>
        <w:rPr>
          <w:noProof/>
          <w:lang w:val="fr-BE"/>
        </w:rPr>
      </w:pPr>
      <w:r>
        <w:rPr>
          <w:noProof/>
          <w:lang w:val="fr-BE"/>
        </w:rP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1E7162" w:rsidRPr="00EC2A75">
        <w:trPr>
          <w:cantSplit/>
          <w:trHeight w:val="20"/>
        </w:trPr>
        <w:tc>
          <w:tcPr>
            <w:tcW w:w="8505" w:type="dxa"/>
            <w:shd w:val="clear" w:color="auto" w:fill="auto"/>
          </w:tcPr>
          <w:p w:rsidR="001E7162" w:rsidRDefault="001E7162">
            <w:pPr>
              <w:keepNext/>
              <w:spacing w:after="0" w:line="240" w:lineRule="auto"/>
              <w:rPr>
                <w:rFonts w:eastAsia="Times New Roman"/>
                <w:noProof/>
                <w:sz w:val="2"/>
                <w:szCs w:val="24"/>
                <w:lang w:val="fr-BE"/>
              </w:rPr>
            </w:pPr>
          </w:p>
        </w:tc>
      </w:tr>
      <w:tr w:rsidR="001E7162">
        <w:trPr>
          <w:cantSplit/>
        </w:trPr>
        <w:tc>
          <w:tcPr>
            <w:tcW w:w="8505" w:type="dxa"/>
            <w:shd w:val="clear" w:color="auto" w:fill="auto"/>
          </w:tcPr>
          <w:p w:rsidR="001E7162" w:rsidRDefault="00EC2A75">
            <w:pPr>
              <w:keepNext/>
              <w:pBdr>
                <w:top w:val="single" w:sz="2" w:space="2" w:color="auto"/>
                <w:bottom w:val="single" w:sz="2" w:space="2" w:color="auto"/>
              </w:pBdr>
              <w:spacing w:after="60" w:line="240" w:lineRule="auto"/>
              <w:ind w:left="935" w:hanging="935"/>
              <w:jc w:val="left"/>
              <w:rPr>
                <w:rFonts w:ascii="Century Gothic" w:eastAsia="Times New Roman" w:hAnsi="Century Gothic"/>
                <w:b/>
                <w:noProof/>
                <w:color w:val="333399"/>
                <w:sz w:val="14"/>
                <w:szCs w:val="24"/>
              </w:rPr>
            </w:pPr>
            <w:r>
              <w:rPr>
                <w:rFonts w:ascii="Century Gothic" w:eastAsia="Times New Roman" w:hAnsi="Century Gothic"/>
                <w:noProof/>
                <w:color w:val="333399"/>
                <w:sz w:val="14"/>
                <w:szCs w:val="24"/>
              </w:rPr>
              <w:t>Table 1.1:</w:t>
            </w:r>
            <w:r>
              <w:rPr>
                <w:rFonts w:ascii="Century Gothic" w:eastAsia="Times New Roman" w:hAnsi="Century Gothic"/>
                <w:b/>
                <w:noProof/>
                <w:color w:val="333399"/>
                <w:sz w:val="14"/>
                <w:szCs w:val="24"/>
              </w:rPr>
              <w:tab/>
            </w:r>
            <w:r>
              <w:rPr>
                <w:b/>
                <w:noProof/>
              </w:rPr>
              <w:t xml:space="preserve"> </w:t>
            </w:r>
            <w:r>
              <w:rPr>
                <w:rFonts w:ascii="Century Gothic" w:eastAsia="Times New Roman" w:hAnsi="Century Gothic"/>
                <w:b/>
                <w:noProof/>
                <w:color w:val="333399"/>
                <w:sz w:val="14"/>
                <w:szCs w:val="24"/>
              </w:rPr>
              <w:t>Key economic and financial indicators - Croatia</w:t>
            </w:r>
          </w:p>
        </w:tc>
      </w:tr>
      <w:tr w:rsidR="001E7162">
        <w:trPr>
          <w:cantSplit/>
        </w:trPr>
        <w:tc>
          <w:tcPr>
            <w:tcW w:w="8505" w:type="dxa"/>
            <w:shd w:val="clear" w:color="auto" w:fill="auto"/>
          </w:tcPr>
          <w:p w:rsidR="001E7162" w:rsidRDefault="00EC2A75">
            <w:pPr>
              <w:keepNext/>
              <w:spacing w:after="0" w:line="240" w:lineRule="auto"/>
              <w:jc w:val="center"/>
              <w:rPr>
                <w:rFonts w:eastAsia="Times New Roman"/>
                <w:noProof/>
                <w:sz w:val="2"/>
                <w:szCs w:val="24"/>
              </w:rPr>
            </w:pPr>
            <w:r>
              <w:rPr>
                <w:rFonts w:eastAsia="Times New Roman"/>
                <w:noProof/>
                <w:sz w:val="2"/>
                <w:szCs w:val="24"/>
                <w:lang w:eastAsia="en-GB"/>
              </w:rPr>
              <w:drawing>
                <wp:inline distT="0" distB="0" distL="0" distR="0" wp14:anchorId="0DC823AE" wp14:editId="520D7705">
                  <wp:extent cx="5148011" cy="699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8011" cy="6991350"/>
                          </a:xfrm>
                          <a:prstGeom prst="rect">
                            <a:avLst/>
                          </a:prstGeom>
                          <a:noFill/>
                          <a:ln>
                            <a:noFill/>
                          </a:ln>
                        </pic:spPr>
                      </pic:pic>
                    </a:graphicData>
                  </a:graphic>
                </wp:inline>
              </w:drawing>
            </w:r>
          </w:p>
        </w:tc>
      </w:tr>
      <w:tr w:rsidR="001E7162">
        <w:trPr>
          <w:cantSplit/>
        </w:trPr>
        <w:tc>
          <w:tcPr>
            <w:tcW w:w="8505" w:type="dxa"/>
            <w:shd w:val="clear" w:color="auto" w:fill="auto"/>
          </w:tcPr>
          <w:p w:rsidR="001E7162" w:rsidRDefault="00EC2A75">
            <w:pPr>
              <w:keepNext/>
              <w:pBdr>
                <w:top w:val="single" w:sz="2" w:space="2" w:color="auto"/>
                <w:bottom w:val="single" w:sz="2" w:space="2" w:color="auto"/>
              </w:pBdr>
              <w:spacing w:after="0" w:line="240" w:lineRule="auto"/>
              <w:jc w:val="left"/>
              <w:rPr>
                <w:rFonts w:ascii="Century Gothic" w:eastAsia="Times New Roman" w:hAnsi="Century Gothic"/>
                <w:noProof/>
                <w:sz w:val="14"/>
                <w:szCs w:val="24"/>
              </w:rPr>
            </w:pPr>
            <w:r>
              <w:rPr>
                <w:rFonts w:ascii="Century Gothic" w:eastAsia="Times New Roman" w:hAnsi="Century Gothic"/>
                <w:noProof/>
                <w:sz w:val="14"/>
                <w:szCs w:val="24"/>
              </w:rPr>
              <w:t xml:space="preserve">(1) </w:t>
            </w:r>
            <w:r>
              <w:rPr>
                <w:noProof/>
              </w:rPr>
              <w:t xml:space="preserve"> </w:t>
            </w:r>
            <w:r>
              <w:rPr>
                <w:rFonts w:ascii="Century Gothic" w:eastAsia="Times New Roman" w:hAnsi="Century Gothic"/>
                <w:noProof/>
                <w:sz w:val="14"/>
                <w:szCs w:val="24"/>
              </w:rPr>
              <w:t>NIIP excluding direct investment and portfolio equity</w:t>
            </w:r>
            <w:r>
              <w:rPr>
                <w:rFonts w:ascii="Century Gothic" w:eastAsia="Times New Roman" w:hAnsi="Century Gothic"/>
                <w:noProof/>
                <w:sz w:val="14"/>
                <w:szCs w:val="24"/>
              </w:rPr>
              <w:t xml:space="preserve"> shares .</w:t>
            </w:r>
            <w:r>
              <w:rPr>
                <w:rFonts w:ascii="Century Gothic" w:eastAsia="Times New Roman" w:hAnsi="Century Gothic"/>
                <w:noProof/>
                <w:sz w:val="14"/>
                <w:szCs w:val="24"/>
              </w:rPr>
              <w:br/>
              <w:t>(2) Domestic banking groups and stand-alone banks, EU and non-EU foreign-controlled subsidiaries and EU and non-EU foreign-controlled branches.</w:t>
            </w:r>
          </w:p>
          <w:p w:rsidR="001E7162" w:rsidRDefault="00EC2A75">
            <w:pPr>
              <w:keepNext/>
              <w:pBdr>
                <w:top w:val="single" w:sz="2" w:space="2" w:color="auto"/>
                <w:bottom w:val="single" w:sz="2" w:space="2" w:color="auto"/>
              </w:pBdr>
              <w:spacing w:after="0" w:line="240" w:lineRule="auto"/>
              <w:jc w:val="left"/>
              <w:rPr>
                <w:rFonts w:ascii="Century Gothic" w:eastAsia="Times New Roman" w:hAnsi="Century Gothic"/>
                <w:noProof/>
                <w:sz w:val="14"/>
                <w:szCs w:val="24"/>
              </w:rPr>
            </w:pPr>
            <w:r>
              <w:rPr>
                <w:rFonts w:ascii="Century Gothic" w:eastAsia="Times New Roman" w:hAnsi="Century Gothic"/>
                <w:b/>
                <w:i/>
                <w:noProof/>
                <w:sz w:val="14"/>
                <w:szCs w:val="24"/>
              </w:rPr>
              <w:t>Source:</w:t>
            </w:r>
            <w:r>
              <w:rPr>
                <w:rFonts w:ascii="Century Gothic" w:eastAsia="Times New Roman" w:hAnsi="Century Gothic"/>
                <w:noProof/>
                <w:sz w:val="14"/>
                <w:szCs w:val="24"/>
              </w:rPr>
              <w:t xml:space="preserve"> Eurostat and ECB as of 30 Jan 2018, where available; European Commission for forecast figures (Winter forecast 2018 for real GDP and HICP, Autumn forecast 2017 otherwise)</w:t>
            </w:r>
          </w:p>
        </w:tc>
      </w:tr>
      <w:tr w:rsidR="001E7162">
        <w:trPr>
          <w:cantSplit/>
          <w:trHeight w:val="20"/>
        </w:trPr>
        <w:tc>
          <w:tcPr>
            <w:tcW w:w="8505" w:type="dxa"/>
            <w:shd w:val="clear" w:color="auto" w:fill="auto"/>
          </w:tcPr>
          <w:p w:rsidR="001E7162" w:rsidRDefault="001E7162">
            <w:pPr>
              <w:spacing w:after="0" w:line="240" w:lineRule="auto"/>
              <w:rPr>
                <w:rFonts w:eastAsia="Times New Roman"/>
                <w:noProof/>
                <w:sz w:val="2"/>
                <w:szCs w:val="24"/>
              </w:rPr>
            </w:pPr>
          </w:p>
        </w:tc>
      </w:tr>
    </w:tbl>
    <w:p w:rsidR="001E7162" w:rsidRDefault="001E7162">
      <w:pPr>
        <w:rPr>
          <w:noProof/>
        </w:rPr>
        <w:sectPr w:rsidR="001E7162">
          <w:headerReference w:type="even" r:id="rId34"/>
          <w:headerReference w:type="default" r:id="rId35"/>
          <w:footerReference w:type="even" r:id="rId36"/>
          <w:footerReference w:type="default" r:id="rId37"/>
          <w:headerReference w:type="first" r:id="rId38"/>
          <w:footerReference w:type="first" r:id="rId3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1E7162" w:rsidRDefault="00EC2A75">
      <w:pPr>
        <w:pStyle w:val="SectionTitleFramed4"/>
        <w:framePr w:wrap="notBeside"/>
        <w:rPr>
          <w:noProof/>
        </w:rPr>
      </w:pPr>
      <w:bookmarkStart w:id="9" w:name="_Toc507359618"/>
      <w:r>
        <w:rPr>
          <w:rFonts w:ascii="Times New Roman" w:hAnsi="Times New Roman"/>
          <w:b/>
          <w:noProof/>
          <w:color w:val="808080"/>
          <w:sz w:val="72"/>
        </w:rPr>
        <w:t>2.</w:t>
      </w:r>
      <w:r>
        <w:rPr>
          <w:noProof/>
        </w:rPr>
        <w:tab/>
        <w:t>Progress with country-specific recommendations</w:t>
      </w:r>
      <w:bookmarkEnd w:id="9"/>
    </w:p>
    <w:p w:rsidR="001E7162" w:rsidRDefault="00EC2A75">
      <w:pPr>
        <w:rPr>
          <w:noProof/>
        </w:rPr>
      </w:pPr>
      <w:r>
        <w:rPr>
          <w:b/>
          <w:noProof/>
        </w:rPr>
        <w:t>Progress with the implementation of the recommendations addressed to Croatia in 2017 (</w:t>
      </w:r>
      <w:r>
        <w:rPr>
          <w:rStyle w:val="FootnoteReference"/>
          <w:noProof/>
        </w:rPr>
        <w:footnoteReference w:id="3"/>
      </w:r>
      <w:r>
        <w:rPr>
          <w:b/>
          <w:noProof/>
        </w:rPr>
        <w:t>) has to be seen in a longer term perspective since</w:t>
      </w:r>
      <w:r>
        <w:rPr>
          <w:b/>
          <w:noProof/>
        </w:rPr>
        <w:t xml:space="preserve"> the introduction of the European Semester in 2014.</w:t>
      </w:r>
      <w:r>
        <w:rPr>
          <w:noProof/>
        </w:rPr>
        <w:t xml:space="preserve"> Looking at the multi-annual assessment of the implementation of the CSRs since these were first adopted, almost half of all the CSRs addressed to Croatia have recorded at least 'some progress'. The rest r</w:t>
      </w:r>
      <w:r>
        <w:rPr>
          <w:noProof/>
        </w:rPr>
        <w:t xml:space="preserve">ecorded 'limited' or 'no progress' (see Graph </w:t>
      </w:r>
      <w:r>
        <w:rPr>
          <w:noProof/>
        </w:rPr>
        <w:fldChar w:fldCharType="begin"/>
      </w:r>
      <w:r>
        <w:rPr>
          <w:noProof/>
        </w:rPr>
        <w:instrText xml:space="preserve"> QUOTE "2.1"</w:instrText>
      </w:r>
      <w:r>
        <w:rPr>
          <w:noProof/>
        </w:rPr>
        <w:fldChar w:fldCharType="begin">
          <w:fldData xml:space="preserve">QwBSAE8AUwBTAFIARQBGAEUAUgBFAE4AQwBFACoARwBSAEEAUABIACoAMAAwADEAZABlAGQAZgA0
AC0ANQAxADYAZgAtADQAZAAwADAALQA5AGIAZAA1AC0AOABiADAAMABhAGMAMgA3ADcAMwBiAGIA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2.1</w:t>
      </w:r>
      <w:r>
        <w:rPr>
          <w:noProof/>
        </w:rPr>
        <w:fldChar w:fldCharType="end"/>
      </w:r>
      <w:r>
        <w:rPr>
          <w:noProof/>
        </w:rPr>
        <w:t xml:space="preserve">). Most progress has been seen in the areas of labour market reform and fiscal policy. </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10" w:name="_Toc505083018"/>
            <w:r>
              <w:rPr>
                <w:noProof/>
              </w:rPr>
              <w:t>G</w:t>
            </w:r>
            <w:r>
              <w:rPr>
                <w:noProof/>
              </w:rPr>
              <w:t>raph 2.1:</w:t>
            </w:r>
            <w:r>
              <w:rPr>
                <w:b/>
                <w:noProof/>
              </w:rPr>
              <w:tab/>
              <w:t>Level of implementation of 2014-2017 CSRs</w:t>
            </w:r>
            <w:bookmarkEnd w:id="10"/>
          </w:p>
        </w:tc>
      </w:tr>
      <w:tr w:rsidR="001E7162">
        <w:tblPrEx>
          <w:tblCellMar>
            <w:left w:w="108" w:type="dxa"/>
            <w:right w:w="108" w:type="dxa"/>
          </w:tblCellMar>
        </w:tblPrEx>
        <w:trPr>
          <w:cantSplit/>
        </w:trPr>
        <w:tc>
          <w:tcPr>
            <w:tcW w:w="4110" w:type="dxa"/>
            <w:shd w:val="clear" w:color="auto" w:fill="auto"/>
          </w:tcPr>
          <w:p w:rsidR="001E7162" w:rsidRDefault="00EC2A75">
            <w:pPr>
              <w:pStyle w:val="GraphShape"/>
              <w:rPr>
                <w:noProof/>
                <w:sz w:val="2"/>
              </w:rPr>
            </w:pPr>
            <w:r>
              <w:rPr>
                <w:noProof/>
                <w:lang w:eastAsia="en-GB"/>
              </w:rPr>
              <w:drawing>
                <wp:inline distT="0" distB="0" distL="0" distR="0" wp14:anchorId="699BDD1F" wp14:editId="1B7ED418">
                  <wp:extent cx="2595600" cy="2232000"/>
                  <wp:effectExtent l="0" t="0" r="14605" b="1651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(1) The overall assessment of the country-specific recommendations related to fiscal policy excludes compliance with the Stability and Growth Pact.</w:t>
            </w:r>
            <w:r>
              <w:rPr>
                <w:noProof/>
              </w:rPr>
              <w:br/>
              <w:t>(2) The multiannual CSR assessment looks at the impl</w:t>
            </w:r>
            <w:r>
              <w:rPr>
                <w:noProof/>
              </w:rPr>
              <w:t>ementation until 2018 Country Report since the CSRs were first adopted.</w:t>
            </w:r>
          </w:p>
          <w:p w:rsidR="001E7162" w:rsidRDefault="00EC2A75">
            <w:pPr>
              <w:pStyle w:val="GraphSource"/>
              <w:keepNext/>
              <w:rPr>
                <w:noProof/>
              </w:rPr>
            </w:pPr>
            <w:r>
              <w:rPr>
                <w:b/>
                <w:i/>
                <w:noProof/>
              </w:rPr>
              <w:t>Source:</w:t>
            </w:r>
            <w:r>
              <w:rPr>
                <w:noProof/>
              </w:rPr>
              <w:t xml:space="preserve"> European Commission.</w:t>
            </w:r>
          </w:p>
        </w:tc>
      </w:tr>
    </w:tbl>
    <w:p w:rsidR="001E7162" w:rsidRDefault="00EC2A75">
      <w:pPr>
        <w:rPr>
          <w:noProof/>
        </w:rPr>
      </w:pPr>
      <w:r>
        <w:rPr>
          <w:b/>
          <w:noProof/>
        </w:rPr>
        <w:t>Croatia has secured a timely and durable correction of its excessive general government deficit.</w:t>
      </w:r>
      <w:r>
        <w:rPr>
          <w:noProof/>
        </w:rPr>
        <w:t xml:space="preserve"> In 2016, the general government headline deficit decreased markedly to 0.9% of GDP from 3.3% in 2015. This sharp reduction was driven by the economic recovery, but also by expenditure containment. The decrease in the headline deficit combined with GDP gro</w:t>
      </w:r>
      <w:r>
        <w:rPr>
          <w:noProof/>
        </w:rPr>
        <w:t>wth has resulted in a decrease in the debt ratio, which is expected to continue. Croatia exited the Excessive Deficit Procedure in June 2017.</w:t>
      </w:r>
    </w:p>
    <w:p w:rsidR="001E7162" w:rsidRDefault="00EC2A75">
      <w:pPr>
        <w:rPr>
          <w:noProof/>
        </w:rPr>
      </w:pPr>
      <w:r>
        <w:rPr>
          <w:b/>
          <w:noProof/>
        </w:rPr>
        <w:t>Over the past years, Croatia has taken measures to reform the labour market, but the challenge of low labour parti</w:t>
      </w:r>
      <w:r>
        <w:rPr>
          <w:b/>
          <w:noProof/>
        </w:rPr>
        <w:t>cipation has not been addressed.</w:t>
      </w:r>
      <w:r>
        <w:rPr>
          <w:noProof/>
        </w:rPr>
        <w:t xml:space="preserve"> Two successive reforms, implemented in 2013 and 2014, enhanced the flexibility of the labour market. In particular, they facilitated the use of fixed-term contracts and flexible types of work (distance work, part-time work,</w:t>
      </w:r>
      <w:r>
        <w:rPr>
          <w:noProof/>
        </w:rPr>
        <w:t xml:space="preserve"> seasonal work and agency work), and simplified in various ways the procedures for terminating employment contracts. The challenge of low labour utilisation however has still not received an adequate response, as measures encouraging longer working lives a</w:t>
      </w:r>
      <w:r>
        <w:rPr>
          <w:noProof/>
        </w:rPr>
        <w:t xml:space="preserve">nd a streamlining of pension provisions have not yet been carried out. In 2015, the assessment of disability claims was harmonised and moved to a new Single Expert Evaluation Body. </w:t>
      </w:r>
    </w:p>
    <w:p w:rsidR="001E7162" w:rsidRDefault="00EC2A75">
      <w:pPr>
        <w:rPr>
          <w:noProof/>
        </w:rPr>
      </w:pPr>
      <w:r>
        <w:rPr>
          <w:b/>
          <w:noProof/>
        </w:rPr>
        <w:t>Steps have been taken to improve the judiciary system, the business enviro</w:t>
      </w:r>
      <w:r>
        <w:rPr>
          <w:b/>
          <w:noProof/>
        </w:rPr>
        <w:t>nment, and the resilience of the financial sector.</w:t>
      </w:r>
      <w:r>
        <w:rPr>
          <w:noProof/>
        </w:rPr>
        <w:t xml:space="preserve"> Insolvency procedures have been thoroughly revised, and the reformed judicial map has improved the efficiency of the system. There has been a reduction of backlogs in the judiciary, however challenges rema</w:t>
      </w:r>
      <w:r>
        <w:rPr>
          <w:noProof/>
        </w:rPr>
        <w:t>in. Some parafiscal charges and the administrative burden for businesses have been reduced. In 2014, the comprehensive portfolio screening of the banking sector confirmed its robustness, and some identified weaknesses have been addressed. The share of non-</w:t>
      </w:r>
      <w:r>
        <w:rPr>
          <w:noProof/>
        </w:rPr>
        <w:t>performing loans remains relatively high, but they are well provisioned, and their sale has accelerated lately. The Croatian Bank for Reconstruction and Development (HBOR) has undergone an asset quality review.</w:t>
      </w:r>
    </w:p>
    <w:p w:rsidR="001E7162" w:rsidRDefault="00EC2A75">
      <w:pPr>
        <w:rPr>
          <w:noProof/>
        </w:rPr>
      </w:pPr>
      <w:r>
        <w:rPr>
          <w:b/>
          <w:noProof/>
        </w:rPr>
        <w:t>Reforms of healthcare, state-owned enterprise</w:t>
      </w:r>
      <w:r>
        <w:rPr>
          <w:b/>
          <w:noProof/>
        </w:rPr>
        <w:t>s and EU funds implementation have progressed slowly.</w:t>
      </w:r>
      <w:r>
        <w:rPr>
          <w:noProof/>
        </w:rPr>
        <w:t xml:space="preserve"> The healthcare system continues to generate payment arrears. However, the authorities have taken initial steps towards the long-planned functional integration of hospitals. The management of state asset</w:t>
      </w:r>
      <w:r>
        <w:rPr>
          <w:noProof/>
        </w:rPr>
        <w:t>s was transferred to a newly established ministry and their sale has advanced, but the announced improvement of corporate governance in state-owned enterprises has encountered delays. The implementation of projects co-funded from EU funds has improved over</w:t>
      </w:r>
      <w:r>
        <w:rPr>
          <w:noProof/>
        </w:rPr>
        <w:t xml:space="preserve"> the past years, but remains hindered by limited administrative capacity and strategic planning. </w:t>
      </w:r>
    </w:p>
    <w:p w:rsidR="001E7162" w:rsidRDefault="00EC2A75">
      <w:pPr>
        <w:rPr>
          <w:noProof/>
        </w:rPr>
      </w:pPr>
      <w:r>
        <w:rPr>
          <w:b/>
          <w:noProof/>
        </w:rPr>
        <w:br w:type="page"/>
        <w:t>Croatia has made limited (</w:t>
      </w:r>
      <w:r>
        <w:rPr>
          <w:rStyle w:val="FootnoteReference"/>
          <w:noProof/>
        </w:rPr>
        <w:footnoteReference w:id="4"/>
      </w:r>
      <w:r>
        <w:rPr>
          <w:b/>
          <w:noProof/>
        </w:rPr>
        <w:t>) progress in addressing the 2017 country-specific recommendations</w:t>
      </w:r>
      <w:r>
        <w:rPr>
          <w:noProof/>
        </w:rPr>
        <w:t xml:space="preserve"> (see Table 2.1). The unfolding of the Agrokor crisis in 2017 pr</w:t>
      </w:r>
      <w:r>
        <w:rPr>
          <w:noProof/>
        </w:rPr>
        <w:t>otracted a period of reform standstill during which Croatia undertook limited policy action. The introduction of the recurrent property tax, due in January 2018, has been postponed indefinitely. The reform agenda in the area of social protection has been n</w:t>
      </w:r>
      <w:r>
        <w:rPr>
          <w:noProof/>
        </w:rPr>
        <w:t>arrowed in scope. The planned reforms in areas such as fiscal framework, pension system, public administration and public sector wages have been largely delayed.</w:t>
      </w:r>
    </w:p>
    <w:p w:rsidR="001E7162" w:rsidRDefault="00EC2A75">
      <w:pPr>
        <w:rPr>
          <w:noProof/>
        </w:rPr>
      </w:pPr>
      <w:r>
        <w:rPr>
          <w:b/>
          <w:noProof/>
        </w:rPr>
        <w:t xml:space="preserve">European Structural and Investment Funds (ESI Funds) are pivotal in addressing key challenges </w:t>
      </w:r>
      <w:r>
        <w:rPr>
          <w:b/>
          <w:noProof/>
        </w:rPr>
        <w:t>to inclusive growth and convergence in Croatia.</w:t>
      </w:r>
      <w:r>
        <w:rPr>
          <w:noProof/>
        </w:rPr>
        <w:t xml:space="preserve"> This is achieved by supporting the reduction of administrative procedures for businesses, reinforcing capacities in the research and business sectors and improving cooperation between enterprises and public r</w:t>
      </w:r>
      <w:r>
        <w:rPr>
          <w:noProof/>
        </w:rPr>
        <w:t>esearch institution. ESI Funds are also instrumental in addressing challenges related to employment and social policies and via investments in infrastructure which help increase productivity and improve the access to healthcare for vulnerable groups and pe</w:t>
      </w:r>
      <w:r>
        <w:rPr>
          <w:noProof/>
        </w:rPr>
        <w:t>ople living in deprived areas.</w:t>
      </w:r>
    </w:p>
    <w:p w:rsidR="001E7162" w:rsidRDefault="00EC2A75">
      <w:pPr>
        <w:rPr>
          <w:noProof/>
        </w:rPr>
      </w:pPr>
      <w:r>
        <w:rPr>
          <w:b/>
          <w:noProof/>
        </w:rPr>
        <w:t>Member States can request from the Commission technical support to prepare, design, and implement growth-enhancing structural reforms.</w:t>
      </w:r>
      <w:r>
        <w:rPr>
          <w:noProof/>
        </w:rPr>
        <w:t xml:space="preserve"> The Structural Reform Support Service (SRSS) provides, in cooperation with the relevant Co</w:t>
      </w:r>
      <w:r>
        <w:rPr>
          <w:noProof/>
        </w:rPr>
        <w:t>mmission services, tailor-made technical support, which does not require co-financing and is provided at a Member State's request. The support addresses priorities identified in the context of the EU economic governance process (i.e., implementation of cou</w:t>
      </w:r>
      <w:r>
        <w:rPr>
          <w:noProof/>
        </w:rPr>
        <w:t xml:space="preserve">ntry-specific recommendations), but the scope of the SRSS support is wider as it can also cover reforms linked to other Commission priorities, or reforms undertaken at the initiative of Member States. </w:t>
      </w:r>
    </w:p>
    <w:p w:rsidR="001E7162" w:rsidRDefault="00EC2A75">
      <w:pPr>
        <w:rPr>
          <w:noProof/>
        </w:rPr>
      </w:pPr>
      <w:r>
        <w:rPr>
          <w:b/>
          <w:noProof/>
        </w:rPr>
        <w:t xml:space="preserve">Croatia has requested technical support from the SRSS </w:t>
      </w:r>
      <w:r>
        <w:rPr>
          <w:b/>
          <w:noProof/>
        </w:rPr>
        <w:t>to help implement reforms in various areas, such as</w:t>
      </w:r>
      <w:r>
        <w:rPr>
          <w:noProof/>
        </w:rPr>
        <w:t>: public administration and justice, growth and the business environment, healthcare, education, and the financial sector. In particular, the SRSS provides support for the implementation of curriculum refo</w:t>
      </w:r>
      <w:r>
        <w:rPr>
          <w:noProof/>
        </w:rPr>
        <w:t>rm; for measures aimed at improving adult education; for measures strengthening the governance of state-owned enterprises and monitoring of their restructuring plans; and for streamlined and increased transparency of social policies.</w:t>
      </w:r>
    </w:p>
    <w:p w:rsidR="001E7162" w:rsidRDefault="001E7162">
      <w:pPr>
        <w:rPr>
          <w:noProof/>
        </w:rPr>
      </w:pPr>
    </w:p>
    <w:p w:rsidR="001E7162" w:rsidRDefault="001E7162">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1E7162">
        <w:trPr>
          <w:cantSplit/>
          <w:trHeight w:val="20"/>
        </w:trPr>
        <w:tc>
          <w:tcPr>
            <w:tcW w:w="8505" w:type="dxa"/>
            <w:shd w:val="clear" w:color="auto" w:fill="auto"/>
          </w:tcPr>
          <w:p w:rsidR="001E7162" w:rsidRDefault="001E7162">
            <w:pPr>
              <w:pStyle w:val="SlimCell"/>
              <w:keepNext/>
              <w:rPr>
                <w:noProof/>
              </w:rPr>
            </w:pPr>
          </w:p>
        </w:tc>
      </w:tr>
      <w:tr w:rsidR="001E7162">
        <w:trPr>
          <w:cantSplit/>
        </w:trPr>
        <w:tc>
          <w:tcPr>
            <w:tcW w:w="8505" w:type="dxa"/>
            <w:shd w:val="clear" w:color="auto" w:fill="auto"/>
          </w:tcPr>
          <w:p w:rsidR="001E7162" w:rsidRDefault="00EC2A75">
            <w:pPr>
              <w:pStyle w:val="TableTitle"/>
              <w:rPr>
                <w:b/>
                <w:noProof/>
              </w:rPr>
            </w:pPr>
            <w:bookmarkStart w:id="11" w:name="_Toc505083179"/>
            <w:r>
              <w:rPr>
                <w:noProof/>
              </w:rPr>
              <w:t>Table 2.1:</w:t>
            </w:r>
            <w:r>
              <w:rPr>
                <w:b/>
                <w:noProof/>
              </w:rPr>
              <w:tab/>
              <w:t>CSR pro</w:t>
            </w:r>
            <w:r>
              <w:rPr>
                <w:b/>
                <w:noProof/>
              </w:rPr>
              <w:t>gress</w:t>
            </w:r>
            <w:bookmarkEnd w:id="11"/>
          </w:p>
        </w:tc>
      </w:tr>
      <w:tr w:rsidR="001E7162">
        <w:trPr>
          <w:cantSplit/>
        </w:trPr>
        <w:tc>
          <w:tcPr>
            <w:tcW w:w="8505" w:type="dxa"/>
            <w:shd w:val="clear" w:color="auto" w:fill="auto"/>
          </w:tcPr>
          <w:p w:rsidR="001E7162" w:rsidRDefault="00EC2A75">
            <w:pPr>
              <w:pStyle w:val="TableShape"/>
              <w:rPr>
                <w:noProof/>
                <w:sz w:val="2"/>
              </w:rPr>
            </w:pPr>
            <w:r>
              <w:rPr>
                <w:noProof/>
                <w:sz w:val="2"/>
                <w:lang w:eastAsia="en-GB"/>
              </w:rPr>
              <w:drawing>
                <wp:inline distT="0" distB="0" distL="0" distR="0" wp14:anchorId="6B9B4A6C" wp14:editId="3F8309CB">
                  <wp:extent cx="5400929" cy="6920357"/>
                  <wp:effectExtent l="0" t="0" r="0" b="0"/>
                  <wp:docPr id="53" name="Picture 53" descr="&lt;nbr&gt;&lt;GETTEXTFROMWORD&gt;&lt;/nbr&gt;&#10;&lt;title&gt;&lt;GETTEXTFROMWORD&gt;&lt;/title&gt;&#10;&lt;id&gt;8dd04317-0a1b-445e-b488-c2d14a6ddf5b&lt;/id&gt;&#10;&lt;srcType&gt;WORD&lt;/srcType&gt;&#10;&lt;srcPath&gt;\\net1.cec.eu.int\ci\Public\2017 CRs\2018 European semester\11 HR\WORDTABLES\&lt;/srcPath&gt;&#10;&lt;srcName&gt;CSR SECTION3_TABLE.docx&lt;/srcName&gt;&#10;&lt;type&gt;table&lt;/typ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1T15:46:07&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929" cy="6920357"/>
                          </a:xfrm>
                          <a:prstGeom prst="rect">
                            <a:avLst/>
                          </a:prstGeom>
                          <a:noFill/>
                          <a:ln>
                            <a:noFill/>
                          </a:ln>
                        </pic:spPr>
                      </pic:pic>
                    </a:graphicData>
                  </a:graphic>
                </wp:inline>
              </w:drawing>
            </w:r>
          </w:p>
        </w:tc>
      </w:tr>
      <w:tr w:rsidR="001E7162">
        <w:trPr>
          <w:cantSplit/>
        </w:trPr>
        <w:tc>
          <w:tcPr>
            <w:tcW w:w="8505" w:type="dxa"/>
            <w:shd w:val="clear" w:color="auto" w:fill="auto"/>
          </w:tcPr>
          <w:p w:rsidR="001E7162" w:rsidRDefault="00EC2A75">
            <w:pPr>
              <w:pStyle w:val="TableFootnote"/>
              <w:rPr>
                <w:noProof/>
              </w:rPr>
            </w:pPr>
            <w:r>
              <w:rPr>
                <w:noProof/>
              </w:rPr>
              <w:t>(*)  This does not include an assessment of compliance with the Stability and Growth Pact</w:t>
            </w:r>
          </w:p>
          <w:p w:rsidR="001E7162" w:rsidRDefault="00EC2A75">
            <w:pPr>
              <w:pStyle w:val="TableSource"/>
              <w:rPr>
                <w:noProof/>
              </w:rPr>
            </w:pPr>
            <w:r>
              <w:rPr>
                <w:b/>
                <w:i/>
                <w:noProof/>
              </w:rPr>
              <w:t>Source:</w:t>
            </w:r>
            <w:r>
              <w:rPr>
                <w:noProof/>
              </w:rPr>
              <w:t xml:space="preserve">  European Commission.</w:t>
            </w:r>
          </w:p>
        </w:tc>
      </w:tr>
      <w:tr w:rsidR="001E7162">
        <w:trPr>
          <w:cantSplit/>
          <w:trHeight w:val="20"/>
        </w:trPr>
        <w:tc>
          <w:tcPr>
            <w:tcW w:w="8505" w:type="dxa"/>
            <w:shd w:val="clear" w:color="auto" w:fill="auto"/>
          </w:tcPr>
          <w:p w:rsidR="001E7162" w:rsidRDefault="001E7162">
            <w:pPr>
              <w:pStyle w:val="SlimCell"/>
              <w:rPr>
                <w:noProof/>
              </w:rPr>
            </w:pPr>
          </w:p>
        </w:tc>
      </w:tr>
    </w:tbl>
    <w:p w:rsidR="001E7162" w:rsidRDefault="001E7162">
      <w:pPr>
        <w:rPr>
          <w:b/>
          <w:noProof/>
        </w:rPr>
      </w:pPr>
    </w:p>
    <w:p w:rsidR="001E7162" w:rsidRDefault="001E7162">
      <w:pPr>
        <w:rPr>
          <w:b/>
          <w:noProof/>
        </w:rPr>
      </w:pPr>
    </w:p>
    <w:p w:rsidR="001E7162" w:rsidRDefault="001E7162">
      <w:pPr>
        <w:rPr>
          <w:b/>
          <w:noProof/>
        </w:rPr>
      </w:pPr>
    </w:p>
    <w:p w:rsidR="001E7162" w:rsidRDefault="001E7162">
      <w:pPr>
        <w:rPr>
          <w:noProof/>
        </w:rPr>
      </w:pPr>
    </w:p>
    <w:p w:rsidR="001E7162" w:rsidRDefault="001E7162">
      <w:pPr>
        <w:rPr>
          <w:noProof/>
        </w:rPr>
        <w:sectPr w:rsidR="001E7162">
          <w:headerReference w:type="even" r:id="rId42"/>
          <w:headerReference w:type="default" r:id="rId43"/>
          <w:footerReference w:type="even" r:id="rId44"/>
          <w:footerReference w:type="default" r:id="rId45"/>
          <w:headerReference w:type="first" r:id="rId46"/>
          <w:footerReference w:type="first" r:id="rId4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1E7162">
        <w:trPr>
          <w:jc w:val="center"/>
        </w:trPr>
        <w:tc>
          <w:tcPr>
            <w:tcW w:w="8721" w:type="dxa"/>
            <w:shd w:val="clear" w:color="auto" w:fill="F7FCFF"/>
          </w:tcPr>
          <w:p w:rsidR="001E7162" w:rsidRDefault="00EC2A75">
            <w:pPr>
              <w:pStyle w:val="BoxTitle"/>
              <w:pageBreakBefore/>
              <w:rPr>
                <w:b/>
                <w:noProof/>
              </w:rPr>
            </w:pPr>
            <w:bookmarkStart w:id="12" w:name="_Toc505082846"/>
            <w:r>
              <w:rPr>
                <w:i/>
                <w:noProof/>
              </w:rPr>
              <w:t xml:space="preserve">Box 2.1: </w:t>
            </w:r>
            <w:r>
              <w:rPr>
                <w:b/>
                <w:noProof/>
              </w:rPr>
              <w:t>Tangible results delivered through EU support to structural change in Croatia</w:t>
            </w:r>
            <w:bookmarkEnd w:id="12"/>
          </w:p>
          <w:p w:rsidR="001E7162" w:rsidRDefault="00EC2A75">
            <w:pPr>
              <w:pStyle w:val="BoxText"/>
              <w:rPr>
                <w:noProof/>
              </w:rPr>
            </w:pPr>
            <w:r>
              <w:rPr>
                <w:b/>
                <w:noProof/>
              </w:rPr>
              <w:t>Croatia is a beneficiary of significant European Structural and Investment Funds (ESI Funds) and can receive up t</w:t>
            </w:r>
            <w:r>
              <w:rPr>
                <w:b/>
                <w:noProof/>
              </w:rPr>
              <w:t xml:space="preserve">o EUR 10.73 billion until 2020. </w:t>
            </w:r>
            <w:r>
              <w:rPr>
                <w:noProof/>
              </w:rPr>
              <w:t>This represents around 3 % of GDP annually over the period 2014-2018 and 80 % of public investment (</w:t>
            </w:r>
            <w:r>
              <w:rPr>
                <w:rStyle w:val="EndnoteReference"/>
                <w:noProof/>
              </w:rPr>
              <w:endnoteReference w:id="1"/>
            </w:r>
            <w:r>
              <w:rPr>
                <w:noProof/>
              </w:rPr>
              <w:t xml:space="preserve">). By end-2017, an estimated EUR 4.2 billion (39 % of the total) was allocated to projects on the ground. This has paved </w:t>
            </w:r>
            <w:r>
              <w:rPr>
                <w:noProof/>
              </w:rPr>
              <w:t xml:space="preserve">the way for 734 new full-time equivalent employments having been created in the supported enterprises; supporting sustainable tourism and adding more than 314 000 visits per year of the cultural and natural heritage and attractions; increasing capacity of </w:t>
            </w:r>
            <w:r>
              <w:rPr>
                <w:noProof/>
              </w:rPr>
              <w:t>childcare and education for an additional 6 000 persons in the future. Out of the ERDF financing, approximately EUR 330 million will be delivered via financial instruments, which is a novelty compared to the 2007-2013 period, where financial instruments we</w:t>
            </w:r>
            <w:r>
              <w:rPr>
                <w:noProof/>
              </w:rPr>
              <w:t>re not used.</w:t>
            </w:r>
          </w:p>
          <w:p w:rsidR="001E7162" w:rsidRDefault="00EC2A75">
            <w:pPr>
              <w:pStyle w:val="BoxText"/>
              <w:rPr>
                <w:noProof/>
              </w:rPr>
            </w:pPr>
            <w:r>
              <w:rPr>
                <w:b/>
                <w:noProof/>
              </w:rPr>
              <w:t xml:space="preserve">ESI Funds help address structural policy challenges and implement country-specific recommendations. </w:t>
            </w:r>
            <w:r>
              <w:rPr>
                <w:noProof/>
              </w:rPr>
              <w:t>Actions cover, among others, a shift to a digital economy and e-systems, aimed at reducing the burden on businesses by making administrative pr</w:t>
            </w:r>
            <w:r>
              <w:rPr>
                <w:noProof/>
              </w:rPr>
              <w:t>ocedures more efficient and effective. Support is provided to improve the effectiveness of the justice system. Investments in infrastructure (namely rail, road, broadband, energy and environment) are aimed at reducing regional disparities, promoting growth</w:t>
            </w:r>
            <w:r>
              <w:rPr>
                <w:noProof/>
              </w:rPr>
              <w:t xml:space="preserve"> and increasing productivity. ESI Funds address challenges related to employment and social policies. The Action Plan for the Implementation of the Public Administration Development Strategy 2017-2020 defines actions on the strategic, legal, organisational</w:t>
            </w:r>
            <w:r>
              <w:rPr>
                <w:noProof/>
              </w:rPr>
              <w:t xml:space="preserve"> and procedural level to develop quality management systems, rationalise administrative procedures, and implement human resources policies that foster skill development at all levels of public administration.</w:t>
            </w:r>
            <w:r>
              <w:rPr>
                <w:noProof/>
              </w:rPr>
              <w:tab/>
            </w:r>
          </w:p>
          <w:p w:rsidR="001E7162" w:rsidRDefault="00EC2A75">
            <w:pPr>
              <w:pStyle w:val="BoxText"/>
              <w:rPr>
                <w:noProof/>
              </w:rPr>
            </w:pPr>
            <w:r>
              <w:rPr>
                <w:b/>
                <w:noProof/>
              </w:rPr>
              <w:t xml:space="preserve">Various steps have been undertaken already as </w:t>
            </w:r>
            <w:r>
              <w:rPr>
                <w:b/>
                <w:noProof/>
              </w:rPr>
              <w:t>a precondition for ESI Funds support. </w:t>
            </w:r>
            <w:r>
              <w:rPr>
                <w:noProof/>
              </w:rPr>
              <w:t>A Smart Specialisation Strategy for research and innovation was developed with a view of building R&amp;I capacities in research and business sectors and improving cooperation between enterprises and public research instit</w:t>
            </w:r>
            <w:r>
              <w:rPr>
                <w:noProof/>
              </w:rPr>
              <w:t xml:space="preserve">utions. The comprehensive Transport Strategy adopted in August 2017 enables streamlining of projects in all modes of transport by defining the measures and setting the priorities on supranational and national level. The Sustainable Urban Mobility Plans at </w:t>
            </w:r>
            <w:r>
              <w:rPr>
                <w:noProof/>
              </w:rPr>
              <w:t>the level of functional regions focus on public transport, low/zero emission modes and will be accompanied by complementary mobility management policies. To ensure a more sustainable use of water resources, the River Basin Management Plan for Croatia has b</w:t>
            </w:r>
            <w:r>
              <w:rPr>
                <w:noProof/>
              </w:rPr>
              <w:t>een adopted. In the health sector, specific actions are directed towards improving the access to healthcare in deprived areas and for vulnerable groups; supporting education of medical personnel in primary healthcare; and promoting specialisation programme</w:t>
            </w:r>
            <w:r>
              <w:rPr>
                <w:noProof/>
              </w:rPr>
              <w:t>s and the development of analytical tools in health management.</w:t>
            </w:r>
          </w:p>
          <w:p w:rsidR="001E7162" w:rsidRDefault="00EC2A75">
            <w:pPr>
              <w:pStyle w:val="BoxText"/>
              <w:rPr>
                <w:noProof/>
              </w:rPr>
            </w:pPr>
            <w:r>
              <w:rPr>
                <w:b/>
                <w:noProof/>
              </w:rPr>
              <w:t xml:space="preserve">Croatia is advancing in the take up of the European Fund for Strategic Investments (EFSI). </w:t>
            </w:r>
            <w:r>
              <w:rPr>
                <w:noProof/>
              </w:rPr>
              <w:t>As of December 2017, the overall financing volume of operations approved under the EFSI amounted to E</w:t>
            </w:r>
            <w:r>
              <w:rPr>
                <w:noProof/>
              </w:rPr>
              <w:t xml:space="preserve">UR 187 million, which is expected to trigger total private and public investments of EUR 745 million. More specifically, 5 projects have been approved so far under the Infrastructure and Innovation Window (including 2 multi-country projects), amounting to </w:t>
            </w:r>
            <w:r>
              <w:rPr>
                <w:noProof/>
              </w:rPr>
              <w:t>EUR 120 million in EIB financing under the EFSI. This is expected to trigger nearly EUR 494 million in investments. Under the SME Window, 5 agreements with financial intermediaries have been approved so far. The European Investment Fund financing enabled b</w:t>
            </w:r>
            <w:r>
              <w:rPr>
                <w:noProof/>
              </w:rPr>
              <w:t>y the EFSI amounts to EUR 67 million, which is expected to mobilise more than EUR 251 million in total investment. Close to 800 smaller companies or start-ups will benefit from this support. The energy sector ranks first in terms of operations and volume a</w:t>
            </w:r>
            <w:r>
              <w:rPr>
                <w:noProof/>
              </w:rPr>
              <w:t>pproved, closely followed by SMEs.</w:t>
            </w:r>
            <w:r>
              <w:rPr>
                <w:noProof/>
              </w:rPr>
              <w:tab/>
            </w:r>
          </w:p>
          <w:p w:rsidR="001E7162" w:rsidRDefault="00EC2A75">
            <w:pPr>
              <w:pStyle w:val="BoxTextCompact"/>
              <w:rPr>
                <w:noProof/>
              </w:rPr>
            </w:pPr>
            <w:r>
              <w:rPr>
                <w:b/>
                <w:noProof/>
              </w:rPr>
              <w:t>Funding under Horizon 2020, the Connecting Europe Facility and other directly managed EU funds is additional to the ESI Funds.</w:t>
            </w:r>
            <w:r>
              <w:rPr>
                <w:noProof/>
              </w:rPr>
              <w:t xml:space="preserve"> By end-2017, Croatia has signed agreements for EUR 424 million for projects under the Connect</w:t>
            </w:r>
            <w:r>
              <w:rPr>
                <w:noProof/>
              </w:rPr>
              <w:t>ing Europe Facility.</w:t>
            </w:r>
          </w:p>
          <w:p w:rsidR="001E7162" w:rsidRDefault="00EC2A75">
            <w:pPr>
              <w:pStyle w:val="BoxTextCompact"/>
              <w:rPr>
                <w:noProof/>
              </w:rPr>
            </w:pPr>
            <w:hyperlink r:id="rId48" w:history="1">
              <w:r>
                <w:rPr>
                  <w:rStyle w:val="Hyperlink"/>
                  <w:b/>
                  <w:noProof/>
                </w:rPr>
                <w:t>https://cohesiondata.ec.europa.eu/countries/HR</w:t>
              </w:r>
            </w:hyperlink>
          </w:p>
        </w:tc>
      </w:tr>
    </w:tbl>
    <w:p w:rsidR="001E7162" w:rsidRDefault="001E7162">
      <w:pPr>
        <w:spacing w:after="0" w:line="20" w:lineRule="exact"/>
        <w:rPr>
          <w:noProof/>
          <w:sz w:val="2"/>
        </w:rPr>
        <w:sectPr w:rsidR="001E7162">
          <w:headerReference w:type="even" r:id="rId49"/>
          <w:headerReference w:type="default" r:id="rId50"/>
          <w:footerReference w:type="even" r:id="rId51"/>
          <w:footerReference w:type="default" r:id="rId52"/>
          <w:headerReference w:type="first" r:id="rId53"/>
          <w:footerReference w:type="first" r:id="rId54"/>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1E7162" w:rsidRDefault="001E7162">
      <w:pPr>
        <w:rPr>
          <w:noProof/>
        </w:rPr>
        <w:sectPr w:rsidR="001E7162">
          <w:headerReference w:type="even" r:id="rId55"/>
          <w:headerReference w:type="default" r:id="rId56"/>
          <w:footerReference w:type="even" r:id="rId57"/>
          <w:footerReference w:type="default" r:id="rId58"/>
          <w:headerReference w:type="first" r:id="rId59"/>
          <w:footerReference w:type="first" r:id="rId60"/>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1E7162" w:rsidRDefault="00EC2A75">
      <w:pPr>
        <w:pStyle w:val="SectionTitleFramed5"/>
        <w:framePr w:wrap="notBeside"/>
        <w:rPr>
          <w:noProof/>
        </w:rPr>
      </w:pPr>
      <w:bookmarkStart w:id="13" w:name="_Toc507359619"/>
      <w:r>
        <w:rPr>
          <w:rFonts w:ascii="Times New Roman" w:hAnsi="Times New Roman"/>
          <w:b/>
          <w:noProof/>
          <w:color w:val="808080"/>
          <w:sz w:val="72"/>
        </w:rPr>
        <w:t>3.</w:t>
      </w:r>
      <w:r>
        <w:rPr>
          <w:noProof/>
        </w:rPr>
        <w:tab/>
        <w:t xml:space="preserve">Summary of the main findings </w:t>
      </w:r>
      <w:r>
        <w:rPr>
          <w:noProof/>
        </w:rPr>
        <w:t>from the Macroeconomic Imbalance Procedure</w:t>
      </w:r>
      <w:r>
        <w:rPr>
          <w:caps w:val="0"/>
          <w:noProof/>
        </w:rPr>
        <w:t xml:space="preserve"> </w:t>
      </w:r>
      <w:r>
        <w:rPr>
          <w:noProof/>
        </w:rPr>
        <w:t>in­depth review</w:t>
      </w:r>
      <w:bookmarkEnd w:id="13"/>
    </w:p>
    <w:p w:rsidR="001E7162" w:rsidRDefault="00EC2A75">
      <w:pPr>
        <w:rPr>
          <w:noProof/>
        </w:rPr>
      </w:pPr>
      <w:r>
        <w:rPr>
          <w:b/>
          <w:noProof/>
        </w:rPr>
        <w:t xml:space="preserve">The in-depth review for the Croatian economy is presented in this report. </w:t>
      </w:r>
      <w:r>
        <w:rPr>
          <w:noProof/>
        </w:rPr>
        <w:t>In spring 2017, Croatia was identified as having excessive macroeconomic imbalances, in particular relating to the high lev</w:t>
      </w:r>
      <w:r>
        <w:rPr>
          <w:noProof/>
        </w:rPr>
        <w:t>els of external and domestic debt, both largely denominated in foreign currency, in a context of low potential output growth. The 2018 Alert Mechanism Report (European Commission, 2017b) concluded that a new in-depth review should be undertaken for Croatia</w:t>
      </w:r>
      <w:r>
        <w:rPr>
          <w:noProof/>
        </w:rPr>
        <w:t xml:space="preserve"> to assess developments relating to identified imbalances. Analyses relevant for the in-depth review can be found in </w:t>
      </w:r>
      <w:r>
        <w:rPr>
          <w:b/>
          <w:noProof/>
        </w:rPr>
        <w:t>s</w:t>
      </w:r>
      <w:r>
        <w:rPr>
          <w:noProof/>
        </w:rPr>
        <w:t>ection 4.1 for government debt, section 4.2 for private sector debt and the financial sector, section 4.3 for the labour market, section 4</w:t>
      </w:r>
      <w:r>
        <w:rPr>
          <w:noProof/>
        </w:rPr>
        <w:t>.4 for business environment and investment, and section 4.5 for public sector governance (</w:t>
      </w:r>
      <w:r>
        <w:rPr>
          <w:rStyle w:val="FootnoteReference"/>
          <w:noProof/>
        </w:rPr>
        <w:footnoteReference w:id="5"/>
      </w:r>
      <w:r>
        <w:rPr>
          <w:noProof/>
        </w:rPr>
        <w:t>).</w:t>
      </w:r>
    </w:p>
    <w:p w:rsidR="001E7162" w:rsidRDefault="00EC2A75">
      <w:pPr>
        <w:pStyle w:val="Heading"/>
        <w:rPr>
          <w:noProof/>
        </w:rPr>
      </w:pPr>
      <w:r>
        <w:rPr>
          <w:noProof/>
        </w:rPr>
        <w:t>Imbalances and their gravity</w:t>
      </w:r>
    </w:p>
    <w:p w:rsidR="001E7162" w:rsidRDefault="00EC2A75">
      <w:pPr>
        <w:rPr>
          <w:noProof/>
        </w:rPr>
      </w:pPr>
      <w:r>
        <w:rPr>
          <w:b/>
          <w:noProof/>
        </w:rPr>
        <w:t>Government debt remains high.</w:t>
      </w:r>
      <w:r>
        <w:rPr>
          <w:noProof/>
        </w:rPr>
        <w:t xml:space="preserve"> The debt ratio peaked at 85.8 % in 2014, driven by large government deficits and the materialisation of</w:t>
      </w:r>
      <w:r>
        <w:rPr>
          <w:noProof/>
        </w:rPr>
        <w:t xml:space="preserve"> contingent liabilities in SOEs. It is expected to have declined to below 80 % of GDP in 2017, thanks to robust nominal growth and a declining general government deficit. Furthermore, the kuna appreciation decreased the value of the large portion of debt d</w:t>
      </w:r>
      <w:r>
        <w:rPr>
          <w:noProof/>
        </w:rPr>
        <w:t>enominated in foreign currency. Sustainability risks for Croatia's public finances remain high in the medium term largely on account of the still high stock of debt. The fact that a large portion of the debt is denominated in foreign currency is also a sou</w:t>
      </w:r>
      <w:r>
        <w:rPr>
          <w:noProof/>
        </w:rPr>
        <w:t xml:space="preserve">rce of risk. </w:t>
      </w:r>
    </w:p>
    <w:p w:rsidR="001E7162" w:rsidRDefault="00EC2A75">
      <w:pPr>
        <w:rPr>
          <w:noProof/>
        </w:rPr>
      </w:pPr>
      <w:r>
        <w:rPr>
          <w:b/>
          <w:noProof/>
        </w:rPr>
        <w:t>The private debt-to-GDP ratio keeps reducing, but exposure to foreign currency and over-leverage of corporations are sources of risk.</w:t>
      </w:r>
      <w:r>
        <w:rPr>
          <w:noProof/>
        </w:rPr>
        <w:t xml:space="preserve"> In the second quarter of 2017, consolidated corporate and household debt had decreased to 67.8 % and 34.6 % </w:t>
      </w:r>
      <w:r>
        <w:rPr>
          <w:noProof/>
        </w:rPr>
        <w:t>of GDP, respectively – some 15 and 7 pps below the peak registered in 2010. By mid-2017, private sector debt was close to or below the prudential country-specific threshold and only slightly above the level suggested by fundamentals, indicating that Croati</w:t>
      </w:r>
      <w:r>
        <w:rPr>
          <w:noProof/>
        </w:rPr>
        <w:t>a still faces limited deleveraging needs (see Section 4.2). Although their level of debt no longer appears exceedingly high, households and non-financial corporations are still exposed to foreign currency risk. Furthermore, in non-financial corporations, d</w:t>
      </w:r>
      <w:r>
        <w:rPr>
          <w:noProof/>
        </w:rPr>
        <w:t>ebt is high relative to gross financial assets or equity, signalling potential solvency risks for the corporate sector. Finally, a high stock of non-performing loans weighs on the private sector, with a particularly high share of such loans in construction</w:t>
      </w:r>
      <w:r>
        <w:rPr>
          <w:noProof/>
        </w:rPr>
        <w:t xml:space="preserve"> and real</w:t>
      </w:r>
      <w:r>
        <w:rPr>
          <w:noProof/>
        </w:rPr>
        <w:noBreakHyphen/>
        <w:t xml:space="preserve">estate activities, but also in wholesale and retail trade and manufacturing. </w:t>
      </w:r>
    </w:p>
    <w:p w:rsidR="001E7162" w:rsidRDefault="00EC2A75">
      <w:pPr>
        <w:rPr>
          <w:noProof/>
        </w:rPr>
      </w:pPr>
      <w:r>
        <w:rPr>
          <w:b/>
          <w:noProof/>
        </w:rPr>
        <w:t>Continued current account surpluses are translating into a fast reduction of Croatia's net external liabilities.</w:t>
      </w:r>
      <w:r>
        <w:rPr>
          <w:noProof/>
        </w:rPr>
        <w:t xml:space="preserve"> Thanks to a continued strong performance of exports, th</w:t>
      </w:r>
      <w:r>
        <w:rPr>
          <w:noProof/>
        </w:rPr>
        <w:t>e current account stood at 2.5% of GDP in 2016. It increased further to 3.8 % of GDP in the third quarter of 2017, mainly due to the improvement in the income balance. The NIIP improved to -70 % of GDP in 2016 and declined further to -62.1 % by the third q</w:t>
      </w:r>
      <w:r>
        <w:rPr>
          <w:noProof/>
        </w:rPr>
        <w:t>uarter of 2017, 36.5 pps above its record low from third quarter of 2011. In the third quarter of 2017, it declined further to 61.8% of GDP. Despite these notable improvements, the NIIP remains very negative. In particular, in 2016, the NIIP was still belo</w:t>
      </w:r>
      <w:r>
        <w:rPr>
          <w:noProof/>
        </w:rPr>
        <w:t>w its fundamental level and prudential threshold (</w:t>
      </w:r>
      <w:r>
        <w:rPr>
          <w:rStyle w:val="FootnoteReference"/>
          <w:noProof/>
        </w:rPr>
        <w:footnoteReference w:id="6"/>
      </w:r>
      <w:r>
        <w:rPr>
          <w:noProof/>
        </w:rPr>
        <w:t>). However, the composition of Croatia's external liabilities in terms of asset type – in particular, the high share of FDI and portfolio investment in equity – mitigates the vulnerability risks associated</w:t>
      </w:r>
      <w:r>
        <w:rPr>
          <w:noProof/>
        </w:rPr>
        <w:t xml:space="preserve"> to the high level of the NIIP. </w:t>
      </w:r>
    </w:p>
    <w:p w:rsidR="001E7162" w:rsidRDefault="00EC2A75">
      <w:pPr>
        <w:rPr>
          <w:noProof/>
        </w:rPr>
      </w:pPr>
      <w:r>
        <w:rPr>
          <w:b/>
          <w:noProof/>
        </w:rPr>
        <w:t>Low labour utilisation and slow productivity growth weigh on Croatia's potential output and adjustment capacity.</w:t>
      </w:r>
      <w:r>
        <w:rPr>
          <w:noProof/>
        </w:rPr>
        <w:t xml:space="preserve"> Despite moderate improvements, in Q3 2017 both the activity rate (71.7 %) and the employment rate (65.6 %) were among the lowest in the EU, pointing to chronically low labour utilisation. Productivity growth remains low compared to the EU economies of Cen</w:t>
      </w:r>
      <w:r>
        <w:rPr>
          <w:noProof/>
        </w:rPr>
        <w:t>tral and Eastern Europe. Total factor productivity (TFP) contributed negatively to potential growth in the crisis period, and continues to be relatively low. A strong presence of state-owned enterprises hinders a more efficient allocation of resources thro</w:t>
      </w:r>
      <w:r>
        <w:rPr>
          <w:noProof/>
        </w:rPr>
        <w:t xml:space="preserve">ughout the economy (see Section 4.5). Weak administrative capacity in the public sector as well as a burdensome business environment (see Section 4.4) weighs on productivity developments and on the economy's overall adjustment capacity. </w:t>
      </w:r>
    </w:p>
    <w:p w:rsidR="001E7162" w:rsidRDefault="00EC2A75">
      <w:pPr>
        <w:pStyle w:val="Heading"/>
        <w:rPr>
          <w:noProof/>
        </w:rPr>
      </w:pPr>
      <w:r>
        <w:rPr>
          <w:noProof/>
        </w:rPr>
        <w:t>Evolution, prospec</w:t>
      </w:r>
      <w:r>
        <w:rPr>
          <w:noProof/>
        </w:rPr>
        <w:t xml:space="preserve">ts, and policy responses </w:t>
      </w:r>
    </w:p>
    <w:p w:rsidR="001E7162" w:rsidRDefault="00EC2A75">
      <w:pPr>
        <w:rPr>
          <w:noProof/>
        </w:rPr>
      </w:pPr>
      <w:r>
        <w:rPr>
          <w:b/>
          <w:noProof/>
        </w:rPr>
        <w:t>The debt ratio is expected to continue decreasing.</w:t>
      </w:r>
      <w:r>
        <w:rPr>
          <w:noProof/>
        </w:rPr>
        <w:t xml:space="preserve"> The primary balance is expected to remain in surplus as the nominal GDP growth-interest rate differential, having turned positive, increases further, also owing to the refinancing</w:t>
      </w:r>
      <w:r>
        <w:rPr>
          <w:noProof/>
        </w:rPr>
        <w:t xml:space="preserve"> of maturing debt at lower interest rates. Recent improvements to debt management could be conducive to an improved fiscal risk management. In addition, a significant portion of the debt previously financed through bank loans was refinanced by a bond, redu</w:t>
      </w:r>
      <w:r>
        <w:rPr>
          <w:noProof/>
        </w:rPr>
        <w:t>cing and fixing the interest rate, extending the maturity and enabling better management.</w:t>
      </w:r>
    </w:p>
    <w:p w:rsidR="001E7162" w:rsidRDefault="00EC2A75">
      <w:pPr>
        <w:rPr>
          <w:noProof/>
        </w:rPr>
      </w:pPr>
      <w:r>
        <w:rPr>
          <w:b/>
          <w:noProof/>
        </w:rPr>
        <w:t>The private debt ratio is set to keep decreasing, though at a slower pace than in recent years as new credit started to grow.</w:t>
      </w:r>
      <w:r>
        <w:rPr>
          <w:noProof/>
        </w:rPr>
        <w:t xml:space="preserve"> During 2016, private debt reduction was </w:t>
      </w:r>
      <w:r>
        <w:rPr>
          <w:noProof/>
        </w:rPr>
        <w:t>mainly driven by real GDP growth and valuation effects, since the appreciation of the kuna against the euro reduced the value of outstanding liabilities indexed to or denominated in foreign currency. In the household sector, debt decreased notably due to a</w:t>
      </w:r>
      <w:r>
        <w:rPr>
          <w:noProof/>
        </w:rPr>
        <w:t xml:space="preserve"> large number of write-offs following the statutory conversion of CHF-denominated loans into EUR-denominated loans at the end of 2015. In 2017, the slight rebound in inflation also supported debt reduction, whereas credit flows turning slightly positive wo</w:t>
      </w:r>
      <w:r>
        <w:rPr>
          <w:noProof/>
        </w:rPr>
        <w:t>rked in the opposite direction, slowing down the debt reduction pace. In 2017, the growth rate of loans to the non-bank private sector (adjusted for sales and securitisation) from domestic credit institutions increased to 3.4 %. The strongest impetus to cr</w:t>
      </w:r>
      <w:r>
        <w:rPr>
          <w:noProof/>
        </w:rPr>
        <w:t>edit growth in the non-financial corporate sector came from the increase in investment loans and working capital loans, while in the households sector it came from non-housing loans.</w:t>
      </w:r>
    </w:p>
    <w:p w:rsidR="001E7162" w:rsidRDefault="00EC2A75">
      <w:pPr>
        <w:rPr>
          <w:noProof/>
        </w:rPr>
      </w:pPr>
      <w:r>
        <w:rPr>
          <w:b/>
          <w:noProof/>
        </w:rPr>
        <w:t>The banking sector remains well capitalised overall and banks' profitabil</w:t>
      </w:r>
      <w:r>
        <w:rPr>
          <w:b/>
          <w:noProof/>
        </w:rPr>
        <w:t>ity has been increasing since 2016.</w:t>
      </w:r>
      <w:r>
        <w:rPr>
          <w:noProof/>
        </w:rPr>
        <w:t xml:space="preserve"> Vulnerabilities are linked to the high exposure of corporations and households to foreign currency risk and, to some extent, interest rate risk. Maturity mismatches between assets and liabilities in the banking sector ar</w:t>
      </w:r>
      <w:r>
        <w:rPr>
          <w:noProof/>
        </w:rPr>
        <w:t xml:space="preserve">e also emerging, particularly in the increasing segment of kuna-denominated credit. Risks related to this mismatch are limited by the fact that, in the current low-interest rate environment, transaction deposits are increasingly fed with long-run savings. </w:t>
      </w:r>
      <w:r>
        <w:rPr>
          <w:noProof/>
        </w:rPr>
        <w:t>Bank asset quality has continued to improve, but the NPL ratio remains high, especially in the construction and real estate segment. By June 2017, the total stock of NPLs declined to 11.7 % (from a record high of 14.2 % in 2014) despite the inflow of loans</w:t>
      </w:r>
      <w:r>
        <w:rPr>
          <w:noProof/>
        </w:rPr>
        <w:t xml:space="preserve"> classified as non-performing in the aftermath of the Agrokor crisis earlier in the year.  </w:t>
      </w:r>
    </w:p>
    <w:p w:rsidR="001E7162" w:rsidRDefault="00EC2A75">
      <w:pPr>
        <w:rPr>
          <w:noProof/>
        </w:rPr>
      </w:pPr>
      <w:r>
        <w:rPr>
          <w:b/>
          <w:noProof/>
        </w:rPr>
        <w:t>The impact of the Agrokor crisis on the Croatian economy has been limited so far, but related risks remain.</w:t>
      </w:r>
      <w:r>
        <w:rPr>
          <w:noProof/>
        </w:rPr>
        <w:t xml:space="preserve"> Despite the fact that most of the Agrokor Group impairme</w:t>
      </w:r>
      <w:r>
        <w:rPr>
          <w:noProof/>
        </w:rPr>
        <w:t>nts have already been incurred in the first half of 2017, risks remain as the restructuring of Agrokor's may affect profitability during the rest of 2017 through greater provisioning in 2017 and possibly 2018. While the activation of measures on extraordin</w:t>
      </w:r>
      <w:r>
        <w:rPr>
          <w:noProof/>
        </w:rPr>
        <w:t>ary administration in systematically important companies (</w:t>
      </w:r>
      <w:r>
        <w:rPr>
          <w:rStyle w:val="FootnoteReference"/>
          <w:noProof/>
        </w:rPr>
        <w:footnoteReference w:id="7"/>
      </w:r>
      <w:r>
        <w:rPr>
          <w:noProof/>
        </w:rPr>
        <w:t>) contained the risk of a disorderly restructuring, the outcome of Agrokor's restructuring, in particular if the settlement is not reached, poses a significant downside risk to economic activity an</w:t>
      </w:r>
      <w:r>
        <w:rPr>
          <w:noProof/>
        </w:rPr>
        <w:t>d the banking sector, in particular as financial losses and possible operational disruptions in the group and its supply chain may still materialize.</w:t>
      </w:r>
    </w:p>
    <w:p w:rsidR="001E7162" w:rsidRDefault="00EC2A75">
      <w:pPr>
        <w:rPr>
          <w:noProof/>
        </w:rPr>
      </w:pPr>
      <w:r>
        <w:rPr>
          <w:b/>
          <w:noProof/>
        </w:rPr>
        <w:t>Croatia's current account surplus is above the norm suggested by the country's fundamentals and the NIIP-r</w:t>
      </w:r>
      <w:r>
        <w:rPr>
          <w:b/>
          <w:noProof/>
        </w:rPr>
        <w:t>educing benchmark.</w:t>
      </w:r>
      <w:r>
        <w:rPr>
          <w:noProof/>
        </w:rPr>
        <w:t xml:space="preserve"> Continued current account surpluses are underpinned by the strong performance in exports, with exporters gaining further market shares and tourism expanding. In 2016, the current account balance exceeded the level suggested by fundamenta</w:t>
      </w:r>
      <w:r>
        <w:rPr>
          <w:noProof/>
        </w:rPr>
        <w:t>ls – that is, the current account norm, estimated at a deficit of around 1.5% of GDP. According to the Commission 2017 autumn forecast, the current account surplus is projected to remain at around 2 % over the forecast horizon. This is above the level need</w:t>
      </w:r>
      <w:r>
        <w:rPr>
          <w:noProof/>
        </w:rPr>
        <w:t>ed over the medium term to bring the NIIP up to more sustainable levels – e.g. the levels suggested by the prudential and fundamentals-based benchmarks, even under pessimistic scenarios for nominal GDP growth. The country's net international investment pos</w:t>
      </w:r>
      <w:r>
        <w:rPr>
          <w:noProof/>
        </w:rPr>
        <w:t xml:space="preserve">ition is set to further improve. </w:t>
      </w:r>
    </w:p>
    <w:p w:rsidR="001E7162" w:rsidRDefault="00EC2A75">
      <w:pPr>
        <w:rPr>
          <w:noProof/>
        </w:rPr>
      </w:pPr>
      <w:r>
        <w:rPr>
          <w:b/>
          <w:noProof/>
        </w:rPr>
        <w:t>Croatia's economy is still growing well above its estimated potential growth rate.</w:t>
      </w:r>
      <w:r>
        <w:rPr>
          <w:noProof/>
        </w:rPr>
        <w:t xml:space="preserve"> The output gap is projected to have closed in 2017 and turn positive in 2018. A strong pick-up in investment, somewhat delayed by the tempo</w:t>
      </w:r>
      <w:r>
        <w:rPr>
          <w:noProof/>
        </w:rPr>
        <w:t>rary decline in public sector investments and by the Agrokor crisis during 2017, is expected to support the growth potential. However, negative migration flows and population ageing restrain growth of the labour force (see section 4.3). After having attain</w:t>
      </w:r>
      <w:r>
        <w:rPr>
          <w:noProof/>
        </w:rPr>
        <w:t>ed a record high of 17.6 % in mid-2013, the unemployment rate is estimated to have contracted to around 11 % in 2017. It is expected to fall to pre-crisis levels by the end of 2019, aided by modest employment creation and labour force shrinking. Croatia co</w:t>
      </w:r>
      <w:r>
        <w:rPr>
          <w:noProof/>
        </w:rPr>
        <w:t>ntinues to score poorly on several measures of goods and service market efficiency, and total factor productivity growth remains subdued (see Sections 4.4 and 4.5).</w:t>
      </w:r>
    </w:p>
    <w:p w:rsidR="001E7162" w:rsidRDefault="00EC2A75">
      <w:pPr>
        <w:pStyle w:val="Heading"/>
        <w:rPr>
          <w:noProof/>
        </w:rPr>
      </w:pPr>
      <w:r>
        <w:rPr>
          <w:noProof/>
        </w:rPr>
        <w:t xml:space="preserve">Overall assessment </w:t>
      </w:r>
    </w:p>
    <w:p w:rsidR="001E7162" w:rsidRDefault="00EC2A75">
      <w:pPr>
        <w:rPr>
          <w:noProof/>
        </w:rPr>
      </w:pPr>
      <w:r>
        <w:rPr>
          <w:b/>
          <w:noProof/>
        </w:rPr>
        <w:t>The unwinding of debt-related imbalances is supported by a solid recove</w:t>
      </w:r>
      <w:r>
        <w:rPr>
          <w:b/>
          <w:noProof/>
        </w:rPr>
        <w:t>ry, however vulnerabilities remain</w:t>
      </w:r>
      <w:r>
        <w:rPr>
          <w:noProof/>
        </w:rPr>
        <w:t>. Both public and private debt ratios to GDP keep reducing, but still represent sources of vulnerability for the economy. Despite significant improvements, public debt weighs on the country's credit rating and risk premium</w:t>
      </w:r>
      <w:r>
        <w:rPr>
          <w:noProof/>
        </w:rPr>
        <w:t>, and the related debt servicing costs weigh on the budget. Despite significant decreases, the remaining private deleveraging needs hinder the recovery of credit flows and a more substantial pick-up in investment. A large share of both public and private d</w:t>
      </w:r>
      <w:r>
        <w:rPr>
          <w:noProof/>
        </w:rPr>
        <w:t xml:space="preserve">ebt remains denominated in foreign currency, which implies exchange rate risks. The unemployment rate has reduced sharply, but remains high, while labour market participation lags significantly behind the EU average. </w:t>
      </w:r>
    </w:p>
    <w:p w:rsidR="001E7162" w:rsidRDefault="00EC2A75">
      <w:pPr>
        <w:rPr>
          <w:noProof/>
        </w:rPr>
      </w:pPr>
      <w:r>
        <w:rPr>
          <w:b/>
          <w:noProof/>
        </w:rPr>
        <w:t xml:space="preserve">In the long run, low potential growth </w:t>
      </w:r>
      <w:r>
        <w:rPr>
          <w:b/>
          <w:noProof/>
        </w:rPr>
        <w:t>hinders the resolution of stock-related imbalances.</w:t>
      </w:r>
      <w:r>
        <w:rPr>
          <w:noProof/>
        </w:rPr>
        <w:t xml:space="preserve"> Economic growth is projected to be robust over the forecast horizon. However, for a lasting adjustment, economic growth will need to remain sustained for a long period. This underlines the challenges that</w:t>
      </w:r>
      <w:r>
        <w:rPr>
          <w:noProof/>
        </w:rPr>
        <w:t xml:space="preserve"> the persistently low labour utilisation and subdued productivity growth represent for the economy's potential growth. </w:t>
      </w:r>
    </w:p>
    <w:p w:rsidR="001E7162" w:rsidRDefault="00EC2A75">
      <w:pPr>
        <w:rPr>
          <w:noProof/>
        </w:rPr>
      </w:pPr>
      <w:r>
        <w:rPr>
          <w:b/>
          <w:noProof/>
        </w:rPr>
        <w:t>Policy action has not yet contributed to boost the long-run growth potential and the economy's overall adjustment capacity.</w:t>
      </w:r>
      <w:r>
        <w:rPr>
          <w:noProof/>
        </w:rPr>
        <w:t xml:space="preserve"> In the absen</w:t>
      </w:r>
      <w:r>
        <w:rPr>
          <w:noProof/>
        </w:rPr>
        <w:t>ce of effective policy measures to boost the participation rate, low labour utilisation is set to keep weighing on potential growth in the long run. Policy action to improve the business environment and modernise public sector governance, in support of TFP</w:t>
      </w:r>
      <w:r>
        <w:rPr>
          <w:noProof/>
        </w:rPr>
        <w:t xml:space="preserve"> growth, have been largely delayed. Structural reforms are crucial to ensuring that Croatia can fully grasp the benefit of greater monetary and financial stability, while furthering the process of real economic convergence.</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1E7162">
        <w:trPr>
          <w:cantSplit/>
          <w:trHeight w:val="20"/>
        </w:trPr>
        <w:tc>
          <w:tcPr>
            <w:tcW w:w="8505" w:type="dxa"/>
            <w:shd w:val="clear" w:color="auto" w:fill="auto"/>
          </w:tcPr>
          <w:p w:rsidR="001E7162" w:rsidRDefault="001E7162">
            <w:pPr>
              <w:pStyle w:val="SlimCell"/>
              <w:keepNext/>
              <w:rPr>
                <w:noProof/>
              </w:rPr>
            </w:pPr>
          </w:p>
        </w:tc>
      </w:tr>
      <w:tr w:rsidR="001E7162">
        <w:trPr>
          <w:cantSplit/>
        </w:trPr>
        <w:tc>
          <w:tcPr>
            <w:tcW w:w="8505" w:type="dxa"/>
            <w:shd w:val="clear" w:color="auto" w:fill="auto"/>
          </w:tcPr>
          <w:p w:rsidR="001E7162" w:rsidRDefault="00EC2A75">
            <w:pPr>
              <w:pStyle w:val="TableTitle"/>
              <w:rPr>
                <w:b/>
                <w:noProof/>
              </w:rPr>
            </w:pPr>
            <w:bookmarkStart w:id="14" w:name="_Toc505083180"/>
            <w:r>
              <w:rPr>
                <w:noProof/>
              </w:rPr>
              <w:t>Table 3.1:</w:t>
            </w:r>
            <w:r>
              <w:rPr>
                <w:b/>
                <w:noProof/>
              </w:rPr>
              <w:tab/>
              <w:t>MIP Matrix</w:t>
            </w:r>
            <w:bookmarkEnd w:id="14"/>
          </w:p>
        </w:tc>
      </w:tr>
      <w:tr w:rsidR="001E7162">
        <w:trPr>
          <w:cantSplit/>
        </w:trPr>
        <w:tc>
          <w:tcPr>
            <w:tcW w:w="8505" w:type="dxa"/>
            <w:shd w:val="clear" w:color="auto" w:fill="auto"/>
          </w:tcPr>
          <w:p w:rsidR="001E7162" w:rsidRDefault="00EC2A75">
            <w:pPr>
              <w:pStyle w:val="TableShape"/>
              <w:rPr>
                <w:noProof/>
                <w:sz w:val="2"/>
              </w:rPr>
            </w:pPr>
            <w:r>
              <w:rPr>
                <w:noProof/>
                <w:sz w:val="2"/>
                <w:lang w:eastAsia="en-GB"/>
              </w:rPr>
              <w:drawing>
                <wp:inline distT="0" distB="0" distL="0" distR="0" wp14:anchorId="211B94A1" wp14:editId="3A219CD6">
                  <wp:extent cx="5397500" cy="6680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97500" cy="6680200"/>
                          </a:xfrm>
                          <a:prstGeom prst="rect">
                            <a:avLst/>
                          </a:prstGeom>
                          <a:noFill/>
                          <a:ln>
                            <a:noFill/>
                          </a:ln>
                        </pic:spPr>
                      </pic:pic>
                    </a:graphicData>
                  </a:graphic>
                </wp:inline>
              </w:drawing>
            </w:r>
          </w:p>
        </w:tc>
      </w:tr>
      <w:tr w:rsidR="001E7162">
        <w:trPr>
          <w:cantSplit/>
          <w:trHeight w:val="20"/>
        </w:trPr>
        <w:tc>
          <w:tcPr>
            <w:tcW w:w="8505" w:type="dxa"/>
            <w:shd w:val="clear" w:color="auto" w:fill="auto"/>
          </w:tcPr>
          <w:p w:rsidR="001E7162" w:rsidRDefault="001E7162">
            <w:pPr>
              <w:pStyle w:val="SlimCell"/>
              <w:keepNext/>
              <w:rPr>
                <w:noProof/>
              </w:rPr>
            </w:pPr>
          </w:p>
        </w:tc>
      </w:tr>
      <w:tr w:rsidR="001E7162">
        <w:trPr>
          <w:cantSplit/>
        </w:trPr>
        <w:tc>
          <w:tcPr>
            <w:tcW w:w="8505" w:type="dxa"/>
            <w:shd w:val="clear" w:color="auto" w:fill="auto"/>
            <w:vAlign w:val="bottom"/>
          </w:tcPr>
          <w:p w:rsidR="001E7162" w:rsidRDefault="00EC2A75">
            <w:pPr>
              <w:pStyle w:val="TableContinueBottom"/>
              <w:rPr>
                <w:noProof/>
              </w:rPr>
            </w:pPr>
            <w:r>
              <w:rPr>
                <w:noProof/>
              </w:rPr>
              <w:t>(Continued on the next page)</w:t>
            </w:r>
          </w:p>
        </w:tc>
      </w:tr>
    </w:tbl>
    <w:p w:rsidR="001E7162" w:rsidRDefault="001E7162">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1E7162">
        <w:trPr>
          <w:cantSplit/>
        </w:trPr>
        <w:tc>
          <w:tcPr>
            <w:tcW w:w="8505" w:type="dxa"/>
            <w:shd w:val="clear" w:color="auto" w:fill="auto"/>
          </w:tcPr>
          <w:p w:rsidR="001E7162" w:rsidRDefault="00EC2A75">
            <w:pPr>
              <w:pStyle w:val="TableContinueTop"/>
              <w:rPr>
                <w:noProof/>
              </w:rPr>
            </w:pPr>
            <w:r>
              <w:rPr>
                <w:noProof/>
              </w:rPr>
              <w:t>Table (continued)</w:t>
            </w:r>
          </w:p>
        </w:tc>
      </w:tr>
      <w:tr w:rsidR="001E7162">
        <w:trPr>
          <w:cantSplit/>
          <w:trHeight w:val="20"/>
        </w:trPr>
        <w:tc>
          <w:tcPr>
            <w:tcW w:w="8505" w:type="dxa"/>
            <w:shd w:val="clear" w:color="auto" w:fill="auto"/>
          </w:tcPr>
          <w:p w:rsidR="001E7162" w:rsidRDefault="001E7162">
            <w:pPr>
              <w:pStyle w:val="SlimCell"/>
              <w:keepNext/>
              <w:rPr>
                <w:noProof/>
              </w:rPr>
            </w:pPr>
          </w:p>
        </w:tc>
      </w:tr>
      <w:tr w:rsidR="001E7162">
        <w:trPr>
          <w:cantSplit/>
        </w:trPr>
        <w:tc>
          <w:tcPr>
            <w:tcW w:w="8505" w:type="dxa"/>
            <w:shd w:val="clear" w:color="auto" w:fill="auto"/>
          </w:tcPr>
          <w:p w:rsidR="001E7162" w:rsidRDefault="00EC2A75">
            <w:pPr>
              <w:pStyle w:val="TableShape"/>
              <w:rPr>
                <w:noProof/>
                <w:sz w:val="2"/>
              </w:rPr>
            </w:pPr>
            <w:r>
              <w:rPr>
                <w:noProof/>
                <w:sz w:val="2"/>
                <w:lang w:eastAsia="en-GB"/>
              </w:rPr>
              <w:drawing>
                <wp:inline distT="0" distB="0" distL="0" distR="0" wp14:anchorId="368A87FF" wp14:editId="7B901BB2">
                  <wp:extent cx="5397500" cy="6159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97500" cy="6159500"/>
                          </a:xfrm>
                          <a:prstGeom prst="rect">
                            <a:avLst/>
                          </a:prstGeom>
                          <a:noFill/>
                          <a:ln>
                            <a:noFill/>
                          </a:ln>
                        </pic:spPr>
                      </pic:pic>
                    </a:graphicData>
                  </a:graphic>
                </wp:inline>
              </w:drawing>
            </w:r>
          </w:p>
        </w:tc>
      </w:tr>
      <w:tr w:rsidR="001E7162">
        <w:trPr>
          <w:cantSplit/>
        </w:trPr>
        <w:tc>
          <w:tcPr>
            <w:tcW w:w="8505" w:type="dxa"/>
            <w:shd w:val="clear" w:color="auto" w:fill="auto"/>
          </w:tcPr>
          <w:p w:rsidR="001E7162" w:rsidRDefault="00EC2A75">
            <w:pPr>
              <w:pStyle w:val="TableSource"/>
              <w:rPr>
                <w:noProof/>
              </w:rPr>
            </w:pPr>
            <w:r>
              <w:rPr>
                <w:b/>
                <w:i/>
                <w:noProof/>
              </w:rPr>
              <w:t>Source:</w:t>
            </w:r>
            <w:r>
              <w:rPr>
                <w:noProof/>
              </w:rPr>
              <w:t xml:space="preserve"> European Commission.</w:t>
            </w:r>
          </w:p>
        </w:tc>
      </w:tr>
      <w:tr w:rsidR="001E7162">
        <w:trPr>
          <w:cantSplit/>
          <w:trHeight w:val="20"/>
        </w:trPr>
        <w:tc>
          <w:tcPr>
            <w:tcW w:w="8505" w:type="dxa"/>
            <w:shd w:val="clear" w:color="auto" w:fill="auto"/>
            <w:vAlign w:val="bottom"/>
          </w:tcPr>
          <w:p w:rsidR="001E7162" w:rsidRDefault="001E7162">
            <w:pPr>
              <w:pStyle w:val="SlimCell"/>
              <w:rPr>
                <w:noProof/>
              </w:rPr>
            </w:pPr>
          </w:p>
        </w:tc>
      </w:tr>
    </w:tbl>
    <w:p w:rsidR="001E7162" w:rsidRDefault="001E7162">
      <w:pPr>
        <w:rPr>
          <w:noProof/>
        </w:rPr>
        <w:sectPr w:rsidR="001E7162">
          <w:headerReference w:type="even" r:id="rId63"/>
          <w:headerReference w:type="default" r:id="rId64"/>
          <w:footerReference w:type="even" r:id="rId65"/>
          <w:footerReference w:type="default" r:id="rId66"/>
          <w:headerReference w:type="first" r:id="rId67"/>
          <w:footerReference w:type="first" r:id="rId6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1E7162" w:rsidRDefault="00EC2A75">
      <w:pPr>
        <w:pStyle w:val="SectionTitleFramed6"/>
        <w:framePr w:wrap="notBeside"/>
        <w:rPr>
          <w:noProof/>
        </w:rPr>
      </w:pPr>
      <w:bookmarkStart w:id="15" w:name="_Toc507359620"/>
      <w:r>
        <w:rPr>
          <w:rFonts w:ascii="Times New Roman" w:hAnsi="Times New Roman"/>
          <w:b/>
          <w:noProof/>
          <w:color w:val="808080"/>
          <w:sz w:val="72"/>
        </w:rPr>
        <w:t>4.</w:t>
      </w:r>
      <w:r>
        <w:rPr>
          <w:noProof/>
        </w:rPr>
        <w:tab/>
        <w:t>Reform priorities</w:t>
      </w:r>
      <w:bookmarkEnd w:id="15"/>
    </w:p>
    <w:p w:rsidR="001E7162" w:rsidRDefault="00EC2A75">
      <w:pPr>
        <w:pStyle w:val="SubsectionHeading1"/>
        <w:framePr w:wrap="notBeside"/>
        <w:rPr>
          <w:noProof/>
        </w:rPr>
      </w:pPr>
      <w:bookmarkStart w:id="16" w:name="_Toc507359621"/>
      <w:r>
        <w:rPr>
          <w:noProof/>
        </w:rPr>
        <w:t>4.1.</w:t>
      </w:r>
      <w:r>
        <w:rPr>
          <w:noProof/>
        </w:rPr>
        <w:tab/>
        <w:t>Public finances* and taxation</w:t>
      </w:r>
      <w:bookmarkEnd w:id="16"/>
    </w:p>
    <w:p w:rsidR="001E7162" w:rsidRDefault="00EC2A75">
      <w:pPr>
        <w:rPr>
          <w:noProof/>
        </w:rPr>
      </w:pPr>
      <w:r>
        <w:rPr>
          <w:b/>
          <w:noProof/>
        </w:rPr>
        <w:t>Croatia's deficit decreased markedly and the debt ratio was put on a declining path.</w:t>
      </w:r>
      <w:r>
        <w:rPr>
          <w:noProof/>
        </w:rPr>
        <w:t xml:space="preserve"> In June 2017, the Council decided to abrogate the excessive deficit procedure for Croatia (</w:t>
      </w:r>
      <w:r>
        <w:rPr>
          <w:rStyle w:val="FootnoteReference"/>
          <w:noProof/>
        </w:rPr>
        <w:footnoteReference w:id="8"/>
      </w:r>
      <w:r>
        <w:rPr>
          <w:noProof/>
        </w:rPr>
        <w:t>), after the general government deficit reached 0.9 % of GDP in 2016, well below the 3 % Treaty threshold. The improvement was largely driven by economic growth su</w:t>
      </w:r>
      <w:r>
        <w:rPr>
          <w:noProof/>
        </w:rPr>
        <w:t>pporting tax revenue and restraint of expenditure growth. The lower deficit contributed to the decrease in the debt ratio from 85.4 % in 2015 to 82.7 % in 2016. Nominal GDP growth and the appreciation of the kuna (which reduced the value of the large porti</w:t>
      </w:r>
      <w:r>
        <w:rPr>
          <w:noProof/>
        </w:rPr>
        <w:t>on of debt in foreign currency) also contributed to the reduction of the debt-to-GDP ratio. In spite of the continued decrease in 2017 (to below 80 %), the debt ratio remains high, especially compared to peers (</w:t>
      </w:r>
      <w:r>
        <w:rPr>
          <w:rStyle w:val="FootnoteReference"/>
          <w:noProof/>
        </w:rPr>
        <w:footnoteReference w:id="9"/>
      </w:r>
      <w:r>
        <w:rPr>
          <w:noProof/>
        </w:rPr>
        <w:t xml:space="preserve">). It is expected to continue decreasing as </w:t>
      </w:r>
      <w:r>
        <w:rPr>
          <w:noProof/>
        </w:rPr>
        <w:t xml:space="preserve">the primary balance remains in surplus and the nominal GDP growth-interest rate differential grows having turned positive, also owing to the refinancing of debt at lower interest rates. </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17" w:name="_Toc505083019"/>
            <w:r>
              <w:rPr>
                <w:noProof/>
              </w:rPr>
              <w:t>Graph 4.1.1:</w:t>
            </w:r>
            <w:r>
              <w:rPr>
                <w:b/>
                <w:noProof/>
              </w:rPr>
              <w:tab/>
              <w:t>General government debt trends</w:t>
            </w:r>
            <w:bookmarkEnd w:id="17"/>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6283889A" wp14:editId="6B1C6F68">
                  <wp:extent cx="2597595" cy="2445689"/>
                  <wp:effectExtent l="0" t="0" r="0" b="0"/>
                  <wp:docPr id="56" name="Picture 56" descr="&lt;nbr&gt;&lt;GETTEXTFROMWORD&gt;&lt;/nbr&gt;&#10;&lt;title&gt;&lt;GETTEXTFROMWORD&gt;&lt;/title&gt;&#10;&lt;id&gt;fe0d1267-8382-42a1-a98f-724123a886ca&lt;/id&gt;&#10;&lt;srcType&gt;EXCEL&lt;/srcType&gt;&#10;&lt;srcPath&gt;O:\2017 CRs\2018 European semester\11 HR\Excel\&lt;/srcPath&gt;&#10;&lt;srcName&gt;CR.HR.2018_4.1_Public_finances.xlsx&lt;/srcName&gt;&#10;&lt;type&gt;graph&lt;/type&gt;&#10; &lt;srcSheet&gt;pub.contrib.debt.to.gdp&lt;/srcSheet&gt;&#10; &lt;srcChartTitle&gt;debtgdp&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6:36:08&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97595" cy="2445689"/>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Source"/>
              <w:keepNext/>
              <w:rPr>
                <w:noProof/>
              </w:rPr>
            </w:pPr>
            <w:r>
              <w:rPr>
                <w:b/>
                <w:i/>
                <w:noProof/>
              </w:rPr>
              <w:t>Source:</w:t>
            </w:r>
            <w:r>
              <w:rPr>
                <w:noProof/>
              </w:rPr>
              <w:t xml:space="preserve"> Eurostat.</w:t>
            </w:r>
          </w:p>
        </w:tc>
      </w:tr>
    </w:tbl>
    <w:p w:rsidR="001E7162" w:rsidRDefault="00EC2A75">
      <w:pPr>
        <w:rPr>
          <w:noProof/>
        </w:rPr>
      </w:pPr>
      <w:r>
        <w:rPr>
          <w:b/>
          <w:noProof/>
        </w:rPr>
        <w:t>Fi</w:t>
      </w:r>
      <w:r>
        <w:rPr>
          <w:b/>
          <w:noProof/>
        </w:rPr>
        <w:t>scal policy aims to turn the general government deficit into a surplus in the medium term.</w:t>
      </w:r>
      <w:r>
        <w:rPr>
          <w:noProof/>
        </w:rPr>
        <w:t xml:space="preserve"> The 2018 budget, adopted in November 2017, is consistent with the policy direction in the previous two years and the 2017 convergence programme. In particular, the g</w:t>
      </w:r>
      <w:r>
        <w:rPr>
          <w:noProof/>
        </w:rPr>
        <w:t xml:space="preserve">eneral government balance was planned at </w:t>
      </w:r>
      <w:r>
        <w:rPr>
          <w:noProof/>
        </w:rPr>
        <w:noBreakHyphen/>
        <w:t>0.5 % of GDP in 2018, before turning to a balanced budget in 2019 and a surplus of 0.8% of GDP in 2020. These targets seem within reach, also in light of the prudent projections for revenue growth in the budget and</w:t>
      </w:r>
      <w:r>
        <w:rPr>
          <w:noProof/>
        </w:rPr>
        <w:t xml:space="preserve"> the fact that the deficit reductions achieved in 2016 and 2017 provide a good basis for further improvements. Based on the latest available data, the 2017 deficit is expected to turn out significantly lower than forecasted. Risks for public finances arise</w:t>
      </w:r>
      <w:r>
        <w:rPr>
          <w:noProof/>
        </w:rPr>
        <w:t xml:space="preserve"> in the form of healthcare arrears (see Section 4.5), pending legal disputes (</w:t>
      </w:r>
      <w:r>
        <w:rPr>
          <w:rStyle w:val="FootnoteReference"/>
          <w:noProof/>
        </w:rPr>
        <w:footnoteReference w:id="10"/>
      </w:r>
      <w:r>
        <w:rPr>
          <w:noProof/>
        </w:rPr>
        <w:t>), guarantees and the impact of the Agrokor crisis. In particular, after slightly decreasing in the aftermath of the crisis, the level of guarantees issued by the government, ma</w:t>
      </w:r>
      <w:r>
        <w:rPr>
          <w:noProof/>
        </w:rPr>
        <w:t>inly on the debt of SOEs, has been rising recently. Agrokor-related fiscal risks include HBOR's stock of outstanding loans issued to companies within Agrokor (ca. 0.15 % of GDP) as well as possible negative effects on tax revenue from creditors and supplie</w:t>
      </w:r>
      <w:r>
        <w:rPr>
          <w:noProof/>
        </w:rPr>
        <w:t>rs to the Agrokor group.</w:t>
      </w:r>
    </w:p>
    <w:p w:rsidR="001E7162" w:rsidRDefault="00EC2A75">
      <w:pPr>
        <w:rPr>
          <w:noProof/>
        </w:rPr>
      </w:pPr>
      <w:r>
        <w:rPr>
          <w:b/>
          <w:noProof/>
        </w:rPr>
        <w:t xml:space="preserve">Refinancing risks appear low in the short term. </w:t>
      </w:r>
      <w:r>
        <w:rPr>
          <w:noProof/>
        </w:rPr>
        <w:t>The government financing needs were met without difficulty in 2017, also thanks to ample liquidity in the banking sector and low and declining interest rates. Yields on government sec</w:t>
      </w:r>
      <w:r>
        <w:rPr>
          <w:noProof/>
        </w:rPr>
        <w:t>urities have continued to fall in 2017, significantly lowering the cost of refinancing maturing debt. Overall, short-term fiscal risks stemming from the fiscal and broader macro-financial conditions in Croatia have continued to decrease, thanks to the impr</w:t>
      </w:r>
      <w:r>
        <w:rPr>
          <w:noProof/>
        </w:rPr>
        <w:t>oving state of the public finances as well as GDP growth and deleveraging in the private sector, and appear low (</w:t>
      </w:r>
      <w:r>
        <w:rPr>
          <w:noProof/>
          <w:vertAlign w:val="superscript"/>
        </w:rPr>
        <w:footnoteReference w:id="11"/>
      </w:r>
      <w:r>
        <w:rPr>
          <w:noProof/>
        </w:rPr>
        <w:t>). The key risk remains the depreciation of the kuna, since 70 % of public debt is denominated in foreign currency, mainly euros.</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18" w:name="_Toc505083020"/>
            <w:r>
              <w:rPr>
                <w:noProof/>
              </w:rPr>
              <w:t>Graph 4.1.2:</w:t>
            </w:r>
            <w:r>
              <w:rPr>
                <w:b/>
                <w:noProof/>
              </w:rPr>
              <w:tab/>
              <w:t>Active government guarantees</w:t>
            </w:r>
            <w:bookmarkEnd w:id="18"/>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3CEAE576" wp14:editId="1A71C34D">
                  <wp:extent cx="2597595" cy="2438094"/>
                  <wp:effectExtent l="0" t="0" r="0" b="0"/>
                  <wp:docPr id="57" name="Picture 57" descr="&lt;nbr&gt;&lt;GETTEXTFROMWORD&gt;&lt;/nbr&gt;&#10;&lt;title&gt;&lt;GETTEXTFROMWORD&gt;&lt;/title&gt;&#10;&lt;id&gt;9f0a3c3a-c9b3-4d11-bb86-693a79fa96c4&lt;/id&gt;&#10;&lt;srcType&gt;EXCEL&lt;/srcType&gt;&#10;&lt;srcPath&gt;O:\2017 CRs\2018 European semester\11 HR\Excel\&lt;/srcPath&gt;&#10;&lt;srcName&gt;CR.HR.2018_4.1_Public_finances.xlsx&lt;/srcName&gt;&#10;&lt;type&gt;graph&lt;/type&gt;&#10; &lt;srcSheet&gt;guarantees&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6:36:08&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7595" cy="2438094"/>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Source"/>
              <w:keepNext/>
              <w:rPr>
                <w:noProof/>
              </w:rPr>
            </w:pPr>
            <w:r>
              <w:rPr>
                <w:b/>
                <w:i/>
                <w:noProof/>
              </w:rPr>
              <w:t>Source:</w:t>
            </w:r>
            <w:r>
              <w:rPr>
                <w:noProof/>
              </w:rPr>
              <w:t xml:space="preserve"> Croatian National Bank.</w:t>
            </w:r>
          </w:p>
        </w:tc>
      </w:tr>
    </w:tbl>
    <w:p w:rsidR="001E7162" w:rsidRDefault="00EC2A75">
      <w:pPr>
        <w:rPr>
          <w:noProof/>
        </w:rPr>
      </w:pPr>
      <w:r>
        <w:rPr>
          <w:b/>
          <w:noProof/>
        </w:rPr>
        <w:t>Fiscal sustainability risks remain low in the long term and declined somewhat in the medium term.</w:t>
      </w:r>
      <w:r>
        <w:rPr>
          <w:noProof/>
        </w:rPr>
        <w:t xml:space="preserve"> Assessed on the basis of the autumn 2017 forecast, fiscal risks in the medium term declined since spring 2017, but remain high overall. In particular, the improved budgetary position implies that the size of fiscal adjustment in primary structural terms r</w:t>
      </w:r>
      <w:r>
        <w:rPr>
          <w:noProof/>
        </w:rPr>
        <w:t>equired to reduce the debt ratio to the 60 % Treaty reference value by 2032 has declined. Still, a sensitivity analysis of the public debt trajectory points to high sustainability risks in the medium term under a scenario which maintains the historic struc</w:t>
      </w:r>
      <w:r>
        <w:rPr>
          <w:noProof/>
        </w:rPr>
        <w:t xml:space="preserve">tural primary balance through 2028. It should nevertheless be noted that a 2017 outturn for the deficit and debt ratio better than expected and forecasted in autumn 2017 would further improve the fiscal sustainability risks in the medium term. In the long </w:t>
      </w:r>
      <w:r>
        <w:rPr>
          <w:noProof/>
        </w:rPr>
        <w:t>term, Croatia continues to face low fiscal risks (</w:t>
      </w:r>
      <w:r>
        <w:rPr>
          <w:rStyle w:val="FootnoteReference"/>
          <w:noProof/>
        </w:rPr>
        <w:footnoteReference w:id="12"/>
      </w:r>
      <w:r>
        <w:rPr>
          <w:noProof/>
        </w:rPr>
        <w:t>), largely related to the projected decrease in the spending requirements on pensions which is offset only partially by increased spending requirements on health. The improving country risk was reflected i</w:t>
      </w:r>
      <w:r>
        <w:rPr>
          <w:noProof/>
        </w:rPr>
        <w:t>n the first upgrade of Croatia's rating since 2004 (</w:t>
      </w:r>
      <w:r>
        <w:rPr>
          <w:rStyle w:val="FootnoteReference"/>
          <w:noProof/>
        </w:rPr>
        <w:footnoteReference w:id="13"/>
      </w:r>
      <w:r>
        <w:rPr>
          <w:noProof/>
        </w:rPr>
        <w:t>), bringing it to a notch below investment grade.</w:t>
      </w:r>
    </w:p>
    <w:p w:rsidR="001E7162" w:rsidRDefault="00EC2A75">
      <w:pPr>
        <w:rPr>
          <w:noProof/>
        </w:rPr>
      </w:pPr>
      <w:r>
        <w:rPr>
          <w:b/>
          <w:noProof/>
        </w:rPr>
        <w:t>As Croatia's deficit decreases, improving the quality of expenditure can help maintain or improve the quality of services provided.</w:t>
      </w:r>
      <w:r>
        <w:rPr>
          <w:noProof/>
        </w:rPr>
        <w:t xml:space="preserve"> The focus of fiscal p</w:t>
      </w:r>
      <w:r>
        <w:rPr>
          <w:noProof/>
        </w:rPr>
        <w:t>olicy in recent years has been on decreasing the deficit in line with the requirements of the Stability and Growth Pact. This has been instrumental in restraining the build-up of public debt and subsequently putting the debt ratio on a declining path. Neve</w:t>
      </w:r>
      <w:r>
        <w:rPr>
          <w:noProof/>
        </w:rPr>
        <w:t xml:space="preserve">rtheless, government expenditure in proportion to GDP remains higher compared to peer countries (see Graph </w:t>
      </w:r>
      <w:r>
        <w:rPr>
          <w:noProof/>
        </w:rPr>
        <w:fldChar w:fldCharType="begin"/>
      </w:r>
      <w:r>
        <w:rPr>
          <w:noProof/>
        </w:rPr>
        <w:instrText xml:space="preserve"> QUOTE "4.1.3"</w:instrText>
      </w:r>
      <w:r>
        <w:rPr>
          <w:noProof/>
        </w:rPr>
        <w:fldChar w:fldCharType="begin">
          <w:fldData xml:space="preserve">QwBSAE8AUwBTAFIARQBGAEUAUgBFAE4AQwBFACoARwBSAEEAUABIACoAOQBjADEAMAAwADAAZQBi
AC0ANQBmADcAMwAtADQAYQA5ADQALQBiADgAYgA3AC0ANgA1AGMAMwAxAGUANQA5ADcANQA1AGQA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4.1.3</w:t>
      </w:r>
      <w:r>
        <w:rPr>
          <w:noProof/>
        </w:rPr>
        <w:fldChar w:fldCharType="end"/>
      </w:r>
      <w:r>
        <w:rPr>
          <w:noProof/>
        </w:rPr>
        <w:t xml:space="preserve">), in line with the </w:t>
      </w:r>
      <w:r>
        <w:rPr>
          <w:noProof/>
        </w:rPr>
        <w:t>observed strong influence of the state in the economy.</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19" w:name="_Toc505083021"/>
            <w:r>
              <w:rPr>
                <w:noProof/>
              </w:rPr>
              <w:t>Graph 4.1.3:</w:t>
            </w:r>
            <w:r>
              <w:rPr>
                <w:b/>
                <w:noProof/>
              </w:rPr>
              <w:tab/>
              <w:t>Primary expenditure compared to peers in 2016</w:t>
            </w:r>
            <w:bookmarkEnd w:id="19"/>
          </w:p>
        </w:tc>
      </w:tr>
      <w:tr w:rsidR="001E7162">
        <w:tblPrEx>
          <w:tblCellMar>
            <w:left w:w="108" w:type="dxa"/>
            <w:right w:w="108" w:type="dxa"/>
          </w:tblCellMar>
        </w:tblPrEx>
        <w:trPr>
          <w:cantSplit/>
        </w:trPr>
        <w:tc>
          <w:tcPr>
            <w:tcW w:w="4110" w:type="dxa"/>
            <w:shd w:val="clear" w:color="auto" w:fill="auto"/>
          </w:tcPr>
          <w:p w:rsidR="001E7162" w:rsidRDefault="00EC2A75">
            <w:pPr>
              <w:pStyle w:val="GraphShape"/>
              <w:rPr>
                <w:noProof/>
                <w:sz w:val="2"/>
              </w:rPr>
            </w:pPr>
            <w:r>
              <w:rPr>
                <w:noProof/>
                <w:lang w:eastAsia="en-GB"/>
              </w:rPr>
              <w:drawing>
                <wp:inline distT="0" distB="0" distL="0" distR="0" wp14:anchorId="195E15E0" wp14:editId="4979EEFE">
                  <wp:extent cx="2595600" cy="2415600"/>
                  <wp:effectExtent l="0" t="0" r="0" b="381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1E7162">
        <w:trPr>
          <w:cantSplit/>
        </w:trPr>
        <w:tc>
          <w:tcPr>
            <w:tcW w:w="4110" w:type="dxa"/>
            <w:shd w:val="clear" w:color="auto" w:fill="auto"/>
            <w:tcMar>
              <w:bottom w:w="240" w:type="dxa"/>
            </w:tcMar>
          </w:tcPr>
          <w:p w:rsidR="001E7162" w:rsidRDefault="00EC2A75">
            <w:pPr>
              <w:pStyle w:val="GraphSource"/>
              <w:keepNext/>
              <w:rPr>
                <w:noProof/>
              </w:rPr>
            </w:pPr>
            <w:r>
              <w:rPr>
                <w:b/>
                <w:i/>
                <w:noProof/>
              </w:rPr>
              <w:t>Source:</w:t>
            </w:r>
            <w:r>
              <w:rPr>
                <w:noProof/>
              </w:rPr>
              <w:t xml:space="preserve"> Eurostat.</w:t>
            </w:r>
          </w:p>
        </w:tc>
      </w:tr>
    </w:tbl>
    <w:p w:rsidR="001E7162" w:rsidRDefault="00EC2A75">
      <w:pPr>
        <w:rPr>
          <w:noProof/>
        </w:rPr>
      </w:pPr>
      <w:r>
        <w:rPr>
          <w:b/>
          <w:noProof/>
        </w:rPr>
        <w:t xml:space="preserve">High spending in public administration and low spending in transport, education and R&amp;D stands out for Croatia. </w:t>
      </w:r>
      <w:r>
        <w:rPr>
          <w:noProof/>
        </w:rPr>
        <w:t>In most</w:t>
      </w:r>
      <w:r>
        <w:rPr>
          <w:noProof/>
        </w:rPr>
        <w:t xml:space="preserve"> categories, Croatia's expenditure ratio is in line with that of its peers. Social protection spending is slightly below the average in spite of the comparatively more severe economic situation in recent years. Even when the cost of debt servicing is exclu</w:t>
      </w:r>
      <w:r>
        <w:rPr>
          <w:noProof/>
        </w:rPr>
        <w:t>ded, Croatia spends considerably above average on general public services, which is mostly related to the cost of public administration at all levels of government. This confirms the conclusions on the analysis of territorial fragmentation in the 2017 Coun</w:t>
      </w:r>
      <w:r>
        <w:rPr>
          <w:noProof/>
        </w:rPr>
        <w:t>try report, which noted that in local units the administrative functions absorb more than one third of current expenditure, and in some cases the financing of the administration itself takes up to half of the units’ budgets. At the same time, spending is r</w:t>
      </w:r>
      <w:r>
        <w:rPr>
          <w:noProof/>
        </w:rPr>
        <w:t>elatively low in Transport, as well as in Education and R&amp;D spending – two areas that are crucial for sustainable growth. Trends indicate that, as a share of total, spending on Transport and Education has decreased in the period 2008-2015, while spending o</w:t>
      </w:r>
      <w:r>
        <w:rPr>
          <w:noProof/>
        </w:rPr>
        <w:t>n Health has stagnated. Meanwhile, spending on economic affairs and recreation, culture and religion have been rising.</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20" w:name="_Toc505083022"/>
            <w:r>
              <w:rPr>
                <w:noProof/>
              </w:rPr>
              <w:t>Graph 4.1.4:</w:t>
            </w:r>
            <w:r>
              <w:rPr>
                <w:b/>
                <w:noProof/>
              </w:rPr>
              <w:tab/>
              <w:t>Expenditure by main functions in 2015 compared to peers</w:t>
            </w:r>
            <w:bookmarkEnd w:id="20"/>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65D25E16" wp14:editId="52706DB3">
                  <wp:extent cx="2597595" cy="2438094"/>
                  <wp:effectExtent l="0" t="0" r="0" b="0"/>
                  <wp:docPr id="59" name="Picture 59" descr="&lt;nbr&gt;&lt;GETTEXTFROMWORD&gt;&lt;/nbr&gt;&#10;&lt;title&gt;&lt;GETTEXTFROMWORD&gt;&lt;/title&gt;&#10;&lt;id&gt;b00edb7d-f3e8-43b2-835b-8944f1636f17&lt;/id&gt;&#10;&lt;srcType&gt;EXCEL&lt;/srcType&gt;&#10;&lt;srcPath&gt;O:\2017 CRs\2018 European semester\11 HR\Excel\&lt;/srcPath&gt;&#10;&lt;srcName&gt;CR.HR.2018_4.1_Public_finances.xlsx&lt;/srcName&gt;&#10;&lt;type&gt;graph&lt;/type&gt;&#10; &lt;srcSheet&gt;composition&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36:08&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7595" cy="2438094"/>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(1) Expenditure based on COFOG classification.</w:t>
            </w:r>
            <w:r>
              <w:rPr>
                <w:noProof/>
              </w:rPr>
              <w:br/>
              <w:t xml:space="preserve">(2) Peer group </w:t>
            </w:r>
            <w:r>
              <w:rPr>
                <w:noProof/>
              </w:rPr>
              <w:t>consists of countries in footnote 10.</w:t>
            </w:r>
            <w:r>
              <w:rPr>
                <w:noProof/>
              </w:rPr>
              <w:br/>
              <w:t>(3) General public services exclude public debt transactions.</w:t>
            </w:r>
            <w:r>
              <w:rPr>
                <w:noProof/>
              </w:rPr>
              <w:br/>
              <w:t>(4) Economic affairs exclude transport expenditure, shown separately.</w:t>
            </w:r>
          </w:p>
          <w:p w:rsidR="001E7162" w:rsidRDefault="00EC2A75">
            <w:pPr>
              <w:pStyle w:val="GraphSource"/>
              <w:keepNext/>
              <w:rPr>
                <w:noProof/>
              </w:rPr>
            </w:pPr>
            <w:r>
              <w:rPr>
                <w:b/>
                <w:i/>
                <w:noProof/>
              </w:rPr>
              <w:t>Source:</w:t>
            </w:r>
            <w:r>
              <w:rPr>
                <w:noProof/>
              </w:rPr>
              <w:t xml:space="preserve"> Eurostat.</w:t>
            </w:r>
          </w:p>
        </w:tc>
      </w:tr>
    </w:tbl>
    <w:p w:rsidR="001E7162" w:rsidRDefault="00EC2A75">
      <w:pPr>
        <w:rPr>
          <w:noProof/>
        </w:rPr>
      </w:pPr>
      <w:r>
        <w:rPr>
          <w:b/>
          <w:noProof/>
        </w:rPr>
        <w:t>The estimated efficiency of spending is low in many areas.</w:t>
      </w:r>
      <w:r>
        <w:rPr>
          <w:noProof/>
        </w:rPr>
        <w:t xml:space="preserve"> In order</w:t>
      </w:r>
      <w:r>
        <w:rPr>
          <w:noProof/>
        </w:rPr>
        <w:t xml:space="preserve"> to assess the quality of public expenditure, a review of its composition has to be complemented by an analysis of its efficiency. The focus on efficiency allows reconciling the goal of sustainable public finances with the continued provision of adequate l</w:t>
      </w:r>
      <w:r>
        <w:rPr>
          <w:noProof/>
        </w:rPr>
        <w:t>evels of public services to citizens. Measuring efficiency of public expenditures is a complex task. It crucially requires identifying the goals or outcomes that the public sector aims to achieve in each spending area examined. Public expenditures may fulf</w:t>
      </w:r>
      <w:r>
        <w:rPr>
          <w:noProof/>
        </w:rPr>
        <w:t xml:space="preserve">il various objectives, such as fairness and redistribution, macroeconomic stabilisation, the promotion of employment and growth. Box </w:t>
      </w:r>
      <w:r>
        <w:rPr>
          <w:noProof/>
        </w:rPr>
        <w:fldChar w:fldCharType="begin"/>
      </w:r>
      <w:r>
        <w:rPr>
          <w:noProof/>
        </w:rPr>
        <w:instrText xml:space="preserve"> QUOTE "4.1.1"</w:instrText>
      </w:r>
      <w:r>
        <w:rPr>
          <w:noProof/>
        </w:rPr>
        <w:fldChar w:fldCharType="begin">
          <w:fldData xml:space="preserve">QwBSAE8AUwBTAFIARQBGAEUAUgBFAE4AQwBFACoAQgBPAFgAKgBjAGEAMQAzADQAMQBiADYALQBh
ADYAYQA2AC0ANAAwAGMANQAtAGIAMQBlAGUALQAzAGIAYQBjADEAOQA4ADQAYgA3ADEAOAA=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xml:space="preserve"> </w:t>
      </w:r>
      <w:r>
        <w:rPr>
          <w:noProof/>
        </w:rPr>
        <w:t xml:space="preserve">presents the results of the analysis of expenditure efficiency in eight areas: police services, law courts, transport, health, education, research &amp; innovation, social protection and social protection of the elderly. After defining the objectives in terms </w:t>
      </w:r>
      <w:r>
        <w:rPr>
          <w:noProof/>
        </w:rPr>
        <w:t>of output indicators for each expenditure area, it assesses the efficiency with which such expenditure is translated into the set outputs, using the best performing country in the sample as the benchmark. Overall, the analysis suggests there is scope for c</w:t>
      </w:r>
      <w:r>
        <w:rPr>
          <w:noProof/>
        </w:rPr>
        <w:t xml:space="preserve">onsiderably improving the efficiency of spending in most areas, Social protection and Education being among those in which socioeconomic benefits could be highest. </w:t>
      </w:r>
    </w:p>
    <w:p w:rsidR="001E7162" w:rsidRDefault="00EC2A75">
      <w:pPr>
        <w:pStyle w:val="Heading"/>
        <w:rPr>
          <w:noProof/>
        </w:rPr>
      </w:pPr>
      <w:r>
        <w:rPr>
          <w:noProof/>
        </w:rPr>
        <w:t>Fiscal-structural issues</w:t>
      </w:r>
    </w:p>
    <w:p w:rsidR="001E7162" w:rsidRDefault="00EC2A75">
      <w:pPr>
        <w:rPr>
          <w:noProof/>
        </w:rPr>
      </w:pPr>
      <w:r>
        <w:rPr>
          <w:b/>
          <w:noProof/>
        </w:rPr>
        <w:t xml:space="preserve">The long overdue adoption of new Fiscal Responsibility and Budget </w:t>
      </w:r>
      <w:r>
        <w:rPr>
          <w:b/>
          <w:noProof/>
        </w:rPr>
        <w:t xml:space="preserve">acts has again been delayed. </w:t>
      </w:r>
      <w:r>
        <w:rPr>
          <w:noProof/>
        </w:rPr>
        <w:t xml:space="preserve"> The national budgetary framework remains underdeveloped. The transparency of fiscal policy suffers from the non-systematic use of sensitivity analyses in budgetary planning and a lack of methodological publications and ex-post</w:t>
      </w:r>
      <w:r>
        <w:rPr>
          <w:noProof/>
        </w:rPr>
        <w:t xml:space="preserve"> evaluations of the official forecasts. The design of the national numerical fiscal rule remains flawed, as no consequences are defined for non-compliance. The domestic medium-term budgetary framework is only indicative for annual fiscal planning and the r</w:t>
      </w:r>
      <w:r>
        <w:rPr>
          <w:noProof/>
        </w:rPr>
        <w:t>ole of the Fiscal Policy Commission remains weak.</w:t>
      </w:r>
    </w:p>
    <w:p w:rsidR="001E7162" w:rsidRDefault="00EC2A75">
      <w:pPr>
        <w:rPr>
          <w:noProof/>
        </w:rPr>
      </w:pPr>
      <w:r>
        <w:rPr>
          <w:b/>
          <w:noProof/>
        </w:rPr>
        <w:t>Croatia has initiated the ratification of the Treaty on Stability, Coordination and Governance.</w:t>
      </w:r>
      <w:r>
        <w:rPr>
          <w:noProof/>
        </w:rPr>
        <w:t xml:space="preserve"> In the context of Croatia's announced intention to introduce the Euro, in January 2018 the Parliament adopted </w:t>
      </w:r>
      <w:r>
        <w:rPr>
          <w:noProof/>
        </w:rPr>
        <w:t>legislation whereby Croatia became a signatory to the Treaty on Stability, Coordination and Governance. Croatia is exercising its right of exemption from the Fiscal Compact provisions (such as the stipulation of the structural budget balance rule monitored</w:t>
      </w:r>
      <w:r>
        <w:rPr>
          <w:noProof/>
        </w:rPr>
        <w:t xml:space="preserve"> by an independent institution) of the Treaty until Eurozone accession.</w:t>
      </w:r>
    </w:p>
    <w:p w:rsidR="001E7162" w:rsidRDefault="00EC2A75">
      <w:pPr>
        <w:rPr>
          <w:noProof/>
        </w:rPr>
      </w:pPr>
      <w:r>
        <w:rPr>
          <w:b/>
          <w:noProof/>
        </w:rPr>
        <w:t>Improvements were made to the management of public debt.</w:t>
      </w:r>
      <w:r>
        <w:rPr>
          <w:noProof/>
        </w:rPr>
        <w:t xml:space="preserve"> In November 2017, the government issued a EUR 1.25 billion bond as part of the refinancing of SOEs' debt. Besides reducing and </w:t>
      </w:r>
      <w:r>
        <w:rPr>
          <w:noProof/>
        </w:rPr>
        <w:t>fixing the interest rate and extending maturities, this enabled the authorities to concentrate a higher share of general government debt under the Treasury. In addition, the body assigned with debt management was upgraded to the level of a Directorate in t</w:t>
      </w:r>
      <w:r>
        <w:rPr>
          <w:noProof/>
        </w:rPr>
        <w:t>he ministry of Finance, with increased staffing. Both these developments are expected to improve the effectiveness of debt management.</w:t>
      </w:r>
    </w:p>
    <w:p w:rsidR="001E7162" w:rsidRDefault="00EC2A75">
      <w:pPr>
        <w:pStyle w:val="Heading"/>
        <w:rPr>
          <w:noProof/>
        </w:rPr>
      </w:pPr>
      <w:r>
        <w:rPr>
          <w:noProof/>
        </w:rPr>
        <w:t>Taxation</w:t>
      </w:r>
    </w:p>
    <w:p w:rsidR="001E7162" w:rsidRDefault="00EC2A75">
      <w:pPr>
        <w:rPr>
          <w:noProof/>
        </w:rPr>
      </w:pPr>
      <w:r>
        <w:rPr>
          <w:b/>
          <w:noProof/>
        </w:rPr>
        <w:t>The Croatian tax system strongly relies on indirect taxes.</w:t>
      </w:r>
      <w:r>
        <w:rPr>
          <w:noProof/>
        </w:rPr>
        <w:t xml:space="preserve"> In proportion to GDP, indirect tax revenues (19.7 %) </w:t>
      </w:r>
      <w:r>
        <w:rPr>
          <w:noProof/>
        </w:rPr>
        <w:t>in Croatia are three times higher than direct taxes (6 %). They are significantly above EU average (13.6 %), but also the average for the peer countries. (</w:t>
      </w:r>
      <w:r>
        <w:rPr>
          <w:rStyle w:val="FootnoteReference"/>
          <w:noProof/>
        </w:rPr>
        <w:footnoteReference w:id="14"/>
      </w:r>
      <w:r>
        <w:rPr>
          <w:noProof/>
        </w:rPr>
        <w:t xml:space="preserve">) The already legislated introduction of the property tax was postponed with no indication of </w:t>
      </w:r>
      <w:r>
        <w:rPr>
          <w:noProof/>
        </w:rPr>
        <w:t>whether and when will it be implemented. This type of tax is generally regarded as one of the least detrimental to growth.</w:t>
      </w:r>
    </w:p>
    <w:p w:rsidR="001E7162" w:rsidRDefault="00EC2A75">
      <w:pPr>
        <w:rPr>
          <w:noProof/>
        </w:rPr>
      </w:pPr>
      <w:r>
        <w:rPr>
          <w:b/>
          <w:noProof/>
        </w:rPr>
        <w:t>The 2017 tax reform is expected to benefit only certain types of households.</w:t>
      </w:r>
      <w:r>
        <w:rPr>
          <w:noProof/>
        </w:rPr>
        <w:t xml:space="preserve"> The reform, which most notably cut personal income tax r</w:t>
      </w:r>
      <w:r>
        <w:rPr>
          <w:noProof/>
        </w:rPr>
        <w:t>ates and raised the personal tax allowance(</w:t>
      </w:r>
      <w:r>
        <w:rPr>
          <w:rStyle w:val="FootnoteReference"/>
          <w:noProof/>
        </w:rPr>
        <w:footnoteReference w:id="15"/>
      </w:r>
      <w:r>
        <w:rPr>
          <w:noProof/>
        </w:rPr>
        <w:t>), is projected to have decreased the tax liability for all households that were subject to income tax and increased the number of households that pay no tax. Simulations (</w:t>
      </w:r>
      <w:r>
        <w:rPr>
          <w:rStyle w:val="FootnoteReference"/>
          <w:noProof/>
        </w:rPr>
        <w:footnoteReference w:id="16"/>
      </w:r>
      <w:r>
        <w:rPr>
          <w:noProof/>
        </w:rPr>
        <w:t>) project that the gains from the refor</w:t>
      </w:r>
      <w:r>
        <w:rPr>
          <w:noProof/>
        </w:rPr>
        <w:t>m are largest at the lower end of the wage distribution in the cases of single earners and two-earner households with no children or one child. The tax wedge for a single worker (average wage) is projected to have decreased by 0.5 pp, with larger decreases</w:t>
      </w:r>
      <w:r>
        <w:rPr>
          <w:noProof/>
        </w:rPr>
        <w:t xml:space="preserve"> for those earning 67 % and 50 % of the average wage (-2.3 pp and -1.2 pp, respectively). Decreases in the tax wedge for a two-earner household with two children are slightly larger at average wage level (-1.5 pp). However, the tax wedge for this household</w:t>
      </w:r>
      <w:r>
        <w:rPr>
          <w:noProof/>
        </w:rPr>
        <w:t xml:space="preserve"> type does not decrease at lower wage levels (67 % and 50 % of average wage), as these incomes were not taxed already before the reform. Significant increases in the (non means-tested and non-capped) child tax allowances mean that the gains will have been </w:t>
      </w:r>
      <w:r>
        <w:rPr>
          <w:noProof/>
        </w:rPr>
        <w:t>highest for larger families at the upper end of the earnings distribution.</w:t>
      </w:r>
    </w:p>
    <w:p w:rsidR="001E7162" w:rsidRDefault="00EC2A75">
      <w:pPr>
        <w:rPr>
          <w:noProof/>
        </w:rPr>
      </w:pPr>
      <w:r>
        <w:rPr>
          <w:b/>
          <w:noProof/>
        </w:rPr>
        <w:t>The reform is projected to increase inequality and provide limited support to employment.</w:t>
      </w:r>
      <w:r>
        <w:rPr>
          <w:noProof/>
        </w:rPr>
        <w:t xml:space="preserve"> Although the tax burden and tax wedge were already low before the reform, the reduction of </w:t>
      </w:r>
      <w:r>
        <w:rPr>
          <w:noProof/>
        </w:rPr>
        <w:t>the tax wedge should benefit employment. However, the increase in the dependent spouse allowance could decrease incentives to work for second earners. Since households in the lowest deciles of the overall income distribution are unlikely to benefit from th</w:t>
      </w:r>
      <w:r>
        <w:rPr>
          <w:noProof/>
        </w:rPr>
        <w:t>e reform (</w:t>
      </w:r>
      <w:r>
        <w:rPr>
          <w:rStyle w:val="FootnoteReference"/>
          <w:noProof/>
        </w:rPr>
        <w:footnoteReference w:id="17"/>
      </w:r>
      <w:r>
        <w:rPr>
          <w:noProof/>
        </w:rPr>
        <w:t>), the Gini coefficient which measures income inequality (</w:t>
      </w:r>
      <w:r>
        <w:rPr>
          <w:rStyle w:val="FootnoteReference"/>
          <w:noProof/>
        </w:rPr>
        <w:footnoteReference w:id="18"/>
      </w:r>
      <w:r>
        <w:rPr>
          <w:noProof/>
        </w:rPr>
        <w:t>) is projected to have increased.</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Height w:val="20"/>
        </w:trPr>
        <w:tc>
          <w:tcPr>
            <w:tcW w:w="4110" w:type="dxa"/>
            <w:shd w:val="clear" w:color="auto" w:fill="auto"/>
          </w:tcPr>
          <w:p w:rsidR="001E7162" w:rsidRDefault="001E7162">
            <w:pPr>
              <w:pStyle w:val="SlimCell"/>
              <w:keepNext/>
              <w:rPr>
                <w:noProof/>
              </w:rPr>
            </w:pPr>
          </w:p>
        </w:tc>
      </w:tr>
      <w:tr w:rsidR="001E7162">
        <w:trPr>
          <w:cantSplit/>
        </w:trPr>
        <w:tc>
          <w:tcPr>
            <w:tcW w:w="4110" w:type="dxa"/>
            <w:shd w:val="clear" w:color="auto" w:fill="auto"/>
          </w:tcPr>
          <w:p w:rsidR="001E7162" w:rsidRDefault="00EC2A75">
            <w:pPr>
              <w:pStyle w:val="TableTitle"/>
              <w:rPr>
                <w:b/>
                <w:noProof/>
              </w:rPr>
            </w:pPr>
            <w:bookmarkStart w:id="21" w:name="_Toc505083181"/>
            <w:r>
              <w:rPr>
                <w:noProof/>
              </w:rPr>
              <w:t>Table 4.1.1:</w:t>
            </w:r>
            <w:r>
              <w:rPr>
                <w:b/>
                <w:noProof/>
              </w:rPr>
              <w:tab/>
              <w:t>Tax wedge comparison with peers</w:t>
            </w:r>
            <w:bookmarkEnd w:id="21"/>
          </w:p>
        </w:tc>
      </w:tr>
      <w:tr w:rsidR="001E7162">
        <w:trPr>
          <w:cantSplit/>
        </w:trPr>
        <w:tc>
          <w:tcPr>
            <w:tcW w:w="4110" w:type="dxa"/>
            <w:shd w:val="clear" w:color="auto" w:fill="auto"/>
          </w:tcPr>
          <w:p w:rsidR="001E7162" w:rsidRDefault="00EC2A75">
            <w:pPr>
              <w:pStyle w:val="TableShape"/>
              <w:rPr>
                <w:noProof/>
                <w:sz w:val="2"/>
              </w:rPr>
            </w:pPr>
            <w:r>
              <w:rPr>
                <w:noProof/>
                <w:sz w:val="2"/>
                <w:lang w:eastAsia="en-GB"/>
              </w:rPr>
              <w:drawing>
                <wp:inline distT="0" distB="0" distL="0" distR="0" wp14:anchorId="3E2D4199" wp14:editId="693A4EB1">
                  <wp:extent cx="2597595" cy="805103"/>
                  <wp:effectExtent l="0" t="0" r="0" b="0"/>
                  <wp:docPr id="12" name="Picture 12" descr="&lt;nbr&gt;&lt;GETTEXTFROMWORD&gt;&lt;/nbr&gt;&#10;&lt;title&gt;&lt;GETTEXTFROMWORD&gt;&lt;/title&gt;&#10;&lt;id&gt;5fdb4e58-39be-40df-80d7-6eca11353500&lt;/id&gt;&#10;&lt;srcType&gt;EXCEL&lt;/srcType&gt;&#10;&lt;srcPath&gt;O:\2017 CRs\2018 European semester\11 HR\Excel\&lt;/srcPath&gt;&#10;&lt;srcName&gt;CR.HR.2018_4.1_Public_finances.xlsx&lt;/srcName&gt;&#10;&lt;type&gt;table&lt;/type&gt;&#10; &lt;srcSheet&gt;taxation&lt;/srcSheet&gt;&#10; &lt;srcRange&gt;R4C1:R9C4&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36:08&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7595" cy="805103"/>
                          </a:xfrm>
                          <a:prstGeom prst="rect">
                            <a:avLst/>
                          </a:prstGeom>
                          <a:noFill/>
                          <a:ln>
                            <a:noFill/>
                          </a:ln>
                        </pic:spPr>
                      </pic:pic>
                    </a:graphicData>
                  </a:graphic>
                </wp:inline>
              </w:drawing>
            </w:r>
          </w:p>
        </w:tc>
      </w:tr>
      <w:tr w:rsidR="001E7162">
        <w:trPr>
          <w:cantSplit/>
        </w:trPr>
        <w:tc>
          <w:tcPr>
            <w:tcW w:w="4110" w:type="dxa"/>
            <w:shd w:val="clear" w:color="auto" w:fill="auto"/>
          </w:tcPr>
          <w:p w:rsidR="001E7162" w:rsidRDefault="00EC2A75">
            <w:pPr>
              <w:pStyle w:val="TableFootnote"/>
              <w:rPr>
                <w:noProof/>
              </w:rPr>
            </w:pPr>
            <w:r>
              <w:rPr>
                <w:noProof/>
              </w:rPr>
              <w:t>(1) Peer group consists of countries in footnote 10.</w:t>
            </w:r>
            <w:r>
              <w:rPr>
                <w:noProof/>
              </w:rPr>
              <w:br/>
              <w:t>(2) Simple averages were used for EU and peers.</w:t>
            </w:r>
            <w:r>
              <w:rPr>
                <w:noProof/>
              </w:rPr>
              <w:br/>
            </w:r>
            <w:r>
              <w:rPr>
                <w:noProof/>
              </w:rPr>
              <w:t>(3) 2017 projection based on EUROMOD simulation.</w:t>
            </w:r>
          </w:p>
          <w:p w:rsidR="001E7162" w:rsidRDefault="00EC2A75">
            <w:pPr>
              <w:pStyle w:val="TableSource"/>
              <w:rPr>
                <w:noProof/>
              </w:rPr>
            </w:pPr>
            <w:r>
              <w:rPr>
                <w:b/>
                <w:i/>
                <w:noProof/>
              </w:rPr>
              <w:t>Source:</w:t>
            </w:r>
            <w:r>
              <w:rPr>
                <w:noProof/>
              </w:rPr>
              <w:t xml:space="preserve"> European Commission, OECD.</w:t>
            </w:r>
          </w:p>
        </w:tc>
      </w:tr>
      <w:tr w:rsidR="001E7162">
        <w:trPr>
          <w:cantSplit/>
          <w:trHeight w:val="20"/>
        </w:trPr>
        <w:tc>
          <w:tcPr>
            <w:tcW w:w="4110" w:type="dxa"/>
            <w:shd w:val="clear" w:color="auto" w:fill="auto"/>
            <w:tcMar>
              <w:bottom w:w="240" w:type="dxa"/>
            </w:tcMar>
          </w:tcPr>
          <w:p w:rsidR="001E7162" w:rsidRDefault="001E7162">
            <w:pPr>
              <w:pStyle w:val="SlimCell"/>
              <w:rPr>
                <w:noProof/>
              </w:rPr>
            </w:pPr>
          </w:p>
        </w:tc>
      </w:tr>
    </w:tbl>
    <w:p w:rsidR="001E7162" w:rsidRDefault="001E7162">
      <w:pPr>
        <w:pStyle w:val="MultipageDelimiter"/>
        <w:rPr>
          <w:noProof/>
        </w:rPr>
      </w:pPr>
    </w:p>
    <w:p w:rsidR="001E7162" w:rsidRDefault="001E7162">
      <w:pPr>
        <w:rPr>
          <w:noProof/>
        </w:rPr>
        <w:sectPr w:rsidR="001E7162">
          <w:headerReference w:type="even" r:id="rId74"/>
          <w:headerReference w:type="default" r:id="rId75"/>
          <w:footerReference w:type="even" r:id="rId76"/>
          <w:footerReference w:type="default" r:id="rId77"/>
          <w:headerReference w:type="first" r:id="rId78"/>
          <w:footerReference w:type="first" r:id="rId7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1E7162">
        <w:trPr>
          <w:jc w:val="center"/>
        </w:trPr>
        <w:tc>
          <w:tcPr>
            <w:tcW w:w="8721" w:type="dxa"/>
            <w:shd w:val="clear" w:color="auto" w:fill="F7FCFF"/>
          </w:tcPr>
          <w:p w:rsidR="001E7162" w:rsidRDefault="00EC2A75">
            <w:pPr>
              <w:pStyle w:val="BoxTitle"/>
              <w:pageBreakBefore/>
              <w:rPr>
                <w:b/>
                <w:noProof/>
              </w:rPr>
            </w:pPr>
            <w:bookmarkStart w:id="22" w:name="_Toc505082847"/>
            <w:r>
              <w:rPr>
                <w:i/>
                <w:noProof/>
              </w:rPr>
              <w:t xml:space="preserve">Box 4.1.1: </w:t>
            </w:r>
            <w:r>
              <w:rPr>
                <w:b/>
                <w:noProof/>
              </w:rPr>
              <w:t>Efficiency of spending in Croatia</w:t>
            </w:r>
            <w:bookmarkEnd w:id="22"/>
          </w:p>
          <w:p w:rsidR="001E7162" w:rsidRDefault="00EC2A75">
            <w:pPr>
              <w:pStyle w:val="BoxText"/>
              <w:rPr>
                <w:noProof/>
                <w:szCs w:val="18"/>
              </w:rPr>
            </w:pPr>
            <w:r>
              <w:rPr>
                <w:noProof/>
                <w:szCs w:val="18"/>
              </w:rPr>
              <w:t>The analysis in this box assesses efficiency of public spending by comparing inputs (spending in a certain category) with outputs or outcomes (indicators mirroring the performance in the respective category) across countri</w:t>
            </w:r>
            <w:r>
              <w:rPr>
                <w:noProof/>
                <w:szCs w:val="18"/>
              </w:rPr>
              <w:t>es, using a BCC model</w:t>
            </w:r>
            <w:r>
              <w:rPr>
                <w:rStyle w:val="EndnoteReference"/>
                <w:noProof/>
                <w:szCs w:val="18"/>
              </w:rPr>
              <w:endnoteReference w:id="2"/>
            </w:r>
            <w:r>
              <w:rPr>
                <w:noProof/>
                <w:szCs w:val="18"/>
              </w:rPr>
              <w:t xml:space="preserve"> of data envelopment analysis (DEA). This approach measures relative efficiency of inputs (spending) and ranks countries accordingly. The best-ranked country is considered to be at the efficiency frontier. The distance to the efficien</w:t>
            </w:r>
            <w:r>
              <w:rPr>
                <w:noProof/>
                <w:szCs w:val="18"/>
              </w:rPr>
              <w:t>cy frontier provides a perspective of how much a certain country could improve its outcomes with its current level of spending – or – how much spending a country could allocate elsewhere or save, keeping the same outcomes. As the robustness of results obta</w:t>
            </w:r>
            <w:r>
              <w:rPr>
                <w:noProof/>
                <w:szCs w:val="18"/>
              </w:rPr>
              <w:t>ined using this method depends on how well the choice of the outcome indicator isolates the effect of spending from extraneous variables, its applicability is limited to several areas.</w:t>
            </w:r>
          </w:p>
          <w:p w:rsidR="001E7162" w:rsidRDefault="00EC2A75">
            <w:pPr>
              <w:pStyle w:val="BoxText"/>
              <w:rPr>
                <w:noProof/>
                <w:szCs w:val="18"/>
              </w:rPr>
            </w:pPr>
            <w:r>
              <w:rPr>
                <w:noProof/>
                <w:szCs w:val="18"/>
              </w:rPr>
              <w:t>The efficiency of Croatia's spending is assessed against those of its f</w:t>
            </w:r>
            <w:r>
              <w:rPr>
                <w:noProof/>
                <w:szCs w:val="18"/>
              </w:rPr>
              <w:t>ive CEE peers (Slovenia, Hungary, Slovakia, Czech Republic and Poland) in eight areas: police services, law courts, transport, health, education, research &amp; innovation, social protection of people below 65 years of age and social protection of the elderly.</w:t>
            </w:r>
            <w:r>
              <w:rPr>
                <w:noProof/>
                <w:szCs w:val="18"/>
              </w:rPr>
              <w:t xml:space="preserve"> Inputs in all cases relate to spending in the concerned category, but the time interval varies depending on both the nature of the category and the output indicators used. While healthcare and education are areas where spending takes a long time to produc</w:t>
            </w:r>
            <w:r>
              <w:rPr>
                <w:noProof/>
                <w:szCs w:val="18"/>
              </w:rPr>
              <w:t>e results, this is to a smaller extent the case with police services, law courts or social protection. In the case of transport, infrastructure projects typically take a very long time to be completed. For this reason, in some instances average spending th</w:t>
            </w:r>
            <w:r>
              <w:rPr>
                <w:noProof/>
                <w:szCs w:val="18"/>
              </w:rPr>
              <w:t>roughout a longer period is taken as input, but also the output indicator looks at progress made over the same longer period as opposed to the current state of play. The indicators and periods used are listed in the table below.</w:t>
            </w:r>
          </w:p>
          <w:p w:rsidR="001E7162" w:rsidRDefault="00EC2A75">
            <w:pPr>
              <w:pStyle w:val="BoxText"/>
              <w:rPr>
                <w:noProof/>
                <w:szCs w:val="18"/>
              </w:rPr>
            </w:pPr>
            <w:r>
              <w:rPr>
                <w:noProof/>
                <w:lang w:eastAsia="en-GB"/>
              </w:rPr>
              <w:drawing>
                <wp:inline distT="0" distB="0" distL="0" distR="0" wp14:anchorId="7CE9BA68" wp14:editId="2DA12D61">
                  <wp:extent cx="5039995" cy="1892351"/>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9995" cy="1892351"/>
                          </a:xfrm>
                          <a:prstGeom prst="rect">
                            <a:avLst/>
                          </a:prstGeom>
                          <a:noFill/>
                          <a:ln>
                            <a:noFill/>
                          </a:ln>
                        </pic:spPr>
                      </pic:pic>
                    </a:graphicData>
                  </a:graphic>
                </wp:inline>
              </w:drawing>
            </w:r>
          </w:p>
          <w:p w:rsidR="001E7162" w:rsidRDefault="00EC2A75">
            <w:pPr>
              <w:pStyle w:val="BoxText"/>
              <w:rPr>
                <w:noProof/>
                <w:szCs w:val="18"/>
              </w:rPr>
            </w:pPr>
            <w:r>
              <w:rPr>
                <w:noProof/>
                <w:szCs w:val="18"/>
              </w:rPr>
              <w:t xml:space="preserve">The results of the </w:t>
            </w:r>
            <w:r>
              <w:rPr>
                <w:noProof/>
                <w:szCs w:val="18"/>
              </w:rPr>
              <w:t>analysis of efficiency of public spending in Croatia paint a rather consistent picture across spending categories. Croatia is at the efficiency frontier in only one area (Social protection of the elderly) whereas in other areas tends to be below average an</w:t>
            </w:r>
            <w:r>
              <w:rPr>
                <w:noProof/>
                <w:szCs w:val="18"/>
              </w:rPr>
              <w:t>d in some cases the lowest among peers. This is the case especially when spending is expressed as a percentage of GDP rather than nominal spending per capita, in view of Croatia's low GDP compared to peers.</w:t>
            </w:r>
          </w:p>
          <w:p w:rsidR="001E7162" w:rsidRDefault="00EC2A75">
            <w:pPr>
              <w:pStyle w:val="BoxText"/>
              <w:rPr>
                <w:noProof/>
                <w:szCs w:val="18"/>
              </w:rPr>
            </w:pPr>
            <w:r>
              <w:rPr>
                <w:noProof/>
                <w:szCs w:val="18"/>
              </w:rPr>
              <w:t xml:space="preserve">In general, Croatia seems to fare worse in areas </w:t>
            </w:r>
            <w:r>
              <w:rPr>
                <w:noProof/>
                <w:szCs w:val="18"/>
              </w:rPr>
              <w:t>where its spending levels are high in comparison with peers, such as education or police services. Social protection of the elderly appears relatively ineffective but at the same time efficient. Namely, in the reference period Croatia had the highest share</w:t>
            </w:r>
            <w:r>
              <w:rPr>
                <w:noProof/>
                <w:szCs w:val="18"/>
              </w:rPr>
              <w:t xml:space="preserve"> of elderly people at risk of poverty among peers (average of 24.3 % vis-à-vis the peer average of 9.5 % and EU average of 13.9 %), but at the same time Croatia's spending in this category was very low compared to peers. This result is in line with the pen</w:t>
            </w:r>
            <w:r>
              <w:rPr>
                <w:noProof/>
                <w:szCs w:val="18"/>
              </w:rPr>
              <w:t>sion adequacy risk highlighted by the Commission (see Section 4.3).When it comes to social protection of people below 65 years of age, Croatia's ranking is just below average (although still far from the efficiency frontier) while its spending levels are h</w:t>
            </w:r>
            <w:r>
              <w:rPr>
                <w:noProof/>
                <w:szCs w:val="18"/>
              </w:rPr>
              <w:t>igh with respect to peers (also due to the relatively high number of early retirees in Croatia). This confirms the view that their effectiveness of social benefits is hindered by poor targeting at those most in need and the existence of privileged categori</w:t>
            </w:r>
            <w:r>
              <w:rPr>
                <w:noProof/>
                <w:szCs w:val="18"/>
              </w:rPr>
              <w:t>es such as war veterans (see section 4.3). In the area of transport, the relatively high spending seems to be moderately efficient, but here composition effects play a big role since spending in this category was very high in the first part of the period u</w:t>
            </w:r>
            <w:r>
              <w:rPr>
                <w:noProof/>
                <w:szCs w:val="18"/>
              </w:rPr>
              <w:t>nder consideration but sharply declined in the second part.</w:t>
            </w:r>
          </w:p>
          <w:p w:rsidR="001E7162" w:rsidRDefault="00EC2A75">
            <w:pPr>
              <w:pStyle w:val="BoxText"/>
              <w:rPr>
                <w:noProof/>
                <w:szCs w:val="18"/>
              </w:rPr>
            </w:pPr>
            <w:r>
              <w:rPr>
                <w:noProof/>
                <w:szCs w:val="18"/>
                <w:lang w:eastAsia="en-GB"/>
              </w:rPr>
              <w:drawing>
                <wp:inline distT="0" distB="0" distL="0" distR="0" wp14:anchorId="1B56B6FC" wp14:editId="68B6A5BB">
                  <wp:extent cx="5033976" cy="2359742"/>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1092" cy="2363078"/>
                          </a:xfrm>
                          <a:prstGeom prst="rect">
                            <a:avLst/>
                          </a:prstGeom>
                          <a:noFill/>
                        </pic:spPr>
                      </pic:pic>
                    </a:graphicData>
                  </a:graphic>
                </wp:inline>
              </w:drawing>
            </w:r>
          </w:p>
          <w:p w:rsidR="001E7162" w:rsidRDefault="00EC2A75">
            <w:pPr>
              <w:pStyle w:val="BoxText"/>
              <w:rPr>
                <w:noProof/>
                <w:szCs w:val="18"/>
              </w:rPr>
            </w:pPr>
            <w:r>
              <w:rPr>
                <w:noProof/>
                <w:szCs w:val="18"/>
              </w:rPr>
              <w:t>In order to assess the robustness of the results, alternative indicators were tested, largely confirming the initial results. In three areas, alternative input indicators were tested, namely: th</w:t>
            </w:r>
            <w:r>
              <w:rPr>
                <w:noProof/>
                <w:szCs w:val="18"/>
              </w:rPr>
              <w:t>e number of judges (law courts) and medical doctors (health) per 100 000 inhabitants and teachers per 100 pupils (education). In the case of health and particularly law courts, the use of the alternative indicator decreases Croatia's efficiency score, sugg</w:t>
            </w:r>
            <w:r>
              <w:rPr>
                <w:noProof/>
                <w:szCs w:val="18"/>
              </w:rPr>
              <w:t>esting that inefficiencies could in part be traced back to the sub-optimal allocation of human resources, which is in line with the observed uneven workload of judges. In that sense, the reorganization of the judicial network (see section 4.5) could help r</w:t>
            </w:r>
            <w:r>
              <w:rPr>
                <w:noProof/>
                <w:szCs w:val="18"/>
              </w:rPr>
              <w:t>educe inefficiencies. On the other hand, in education the use of an alternative input indicator substantially improves Croatia's efficiency score.</w:t>
            </w:r>
          </w:p>
          <w:p w:rsidR="001E7162" w:rsidRDefault="00EC2A75">
            <w:pPr>
              <w:pStyle w:val="BoxText"/>
              <w:rPr>
                <w:noProof/>
              </w:rPr>
            </w:pPr>
            <w:r>
              <w:rPr>
                <w:noProof/>
                <w:szCs w:val="18"/>
              </w:rPr>
              <w:t xml:space="preserve">It should be noted that this analysis is based on data up to 2015. Given the extent of expenditure restraint </w:t>
            </w:r>
            <w:r>
              <w:rPr>
                <w:noProof/>
                <w:szCs w:val="18"/>
              </w:rPr>
              <w:t>recorded in 2016 and 2017 it is possible that the efficiency of spending has since improved. For a broader analysis of efficiency of spending in the EU, see European Commission (2016d).</w:t>
            </w:r>
            <w:r>
              <w:rPr>
                <w:noProof/>
              </w:rPr>
              <w:t xml:space="preserve"> </w:t>
            </w:r>
          </w:p>
        </w:tc>
      </w:tr>
    </w:tbl>
    <w:p w:rsidR="001E7162" w:rsidRDefault="001E7162">
      <w:pPr>
        <w:spacing w:after="0" w:line="20" w:lineRule="exact"/>
        <w:rPr>
          <w:noProof/>
          <w:sz w:val="2"/>
        </w:rPr>
        <w:sectPr w:rsidR="001E7162">
          <w:headerReference w:type="even" r:id="rId82"/>
          <w:headerReference w:type="default" r:id="rId83"/>
          <w:footerReference w:type="even" r:id="rId84"/>
          <w:footerReference w:type="default" r:id="rId85"/>
          <w:headerReference w:type="first" r:id="rId86"/>
          <w:footerReference w:type="first" r:id="rId8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1E7162" w:rsidRDefault="001E7162">
      <w:pPr>
        <w:rPr>
          <w:noProof/>
        </w:rPr>
        <w:sectPr w:rsidR="001E7162">
          <w:headerReference w:type="even" r:id="rId88"/>
          <w:headerReference w:type="default" r:id="rId89"/>
          <w:footerReference w:type="even" r:id="rId90"/>
          <w:footerReference w:type="default" r:id="rId91"/>
          <w:headerReference w:type="first" r:id="rId92"/>
          <w:footerReference w:type="first" r:id="rId9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1E7162" w:rsidRDefault="00EC2A75">
      <w:pPr>
        <w:pStyle w:val="SectionTitleFramed7"/>
        <w:framePr w:wrap="notBeside"/>
        <w:rPr>
          <w:noProof/>
        </w:rPr>
      </w:pPr>
      <w:bookmarkStart w:id="23" w:name="_Toc507359622"/>
      <w:r>
        <w:rPr>
          <w:noProof/>
        </w:rPr>
        <w:t>4.2.</w:t>
      </w:r>
      <w:r>
        <w:rPr>
          <w:noProof/>
        </w:rPr>
        <w:tab/>
        <w:t xml:space="preserve">Private sector </w:t>
      </w:r>
      <w:r>
        <w:rPr>
          <w:noProof/>
        </w:rPr>
        <w:t>debt and financial sector*</w:t>
      </w:r>
      <w:bookmarkEnd w:id="23"/>
    </w:p>
    <w:p w:rsidR="001E7162" w:rsidRDefault="00EC2A75">
      <w:pPr>
        <w:pStyle w:val="Heading"/>
        <w:rPr>
          <w:noProof/>
        </w:rPr>
      </w:pPr>
      <w:r>
        <w:rPr>
          <w:noProof/>
        </w:rPr>
        <w:t>Corporate debt</w:t>
      </w:r>
    </w:p>
    <w:p w:rsidR="001E7162" w:rsidRDefault="00EC2A75">
      <w:pPr>
        <w:rPr>
          <w:noProof/>
        </w:rPr>
      </w:pPr>
      <w:r>
        <w:rPr>
          <w:b/>
          <w:noProof/>
        </w:rPr>
        <w:t>Corporate debt decreased as a percentage of GDP and corporations lowered their exposure to foreign currency.</w:t>
      </w:r>
      <w:r>
        <w:rPr>
          <w:noProof/>
        </w:rPr>
        <w:t xml:space="preserve"> In the first half of 2017, the corporate debt-to-GDP ratio decreased by an additional 2.8 pps, to 67.8 % </w:t>
      </w:r>
      <w:r>
        <w:rPr>
          <w:noProof/>
        </w:rPr>
        <w:t>of GDP. Overall, the debt ratio dropped by approximately 15.6 pps from its 2010 peak value of 83.4 % of GDP. The reduction has been driven mainly by a substantial contraction in domestic loans denominated in foreign currency (by 7.5 pps) and in external co</w:t>
      </w:r>
      <w:r>
        <w:rPr>
          <w:noProof/>
        </w:rPr>
        <w:t xml:space="preserve">rporate debt (by 7.9 pps). However, the exposure of Croatian companies to currency risk remains high, as 75 % of corporate debt, equivalent to approximately 51 % of GDP, was debt contracted abroad or denominated in foreign currency (see Graph </w:t>
      </w:r>
      <w:r>
        <w:rPr>
          <w:noProof/>
        </w:rPr>
        <w:fldChar w:fldCharType="begin"/>
      </w:r>
      <w:r>
        <w:rPr>
          <w:noProof/>
        </w:rPr>
        <w:instrText xml:space="preserve"> QUOTE "4.2.1</w:instrText>
      </w:r>
      <w:r>
        <w:rPr>
          <w:noProof/>
        </w:rPr>
        <w:instrText>"</w:instrText>
      </w:r>
      <w:r>
        <w:rPr>
          <w:noProof/>
        </w:rPr>
        <w:fldChar w:fldCharType="begin">
          <w:fldData xml:space="preserve">QwBSAE8AUwBTAFIARQBGAEUAUgBFAE4AQwBFACoARwBSAEEAUABIACoAMgBiAGMAZgA4AGIAZQA5
AC0AMAAwADUAZQAtADQANAA1ADIALQBhADUAMQAyAC0AYwAyAGMAMAAwAGYAOQAwAGQAYQA3ADIA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24" w:name="_Toc505083023"/>
            <w:r>
              <w:rPr>
                <w:noProof/>
              </w:rPr>
              <w:t>Graph 4.2.1:</w:t>
            </w:r>
            <w:r>
              <w:rPr>
                <w:b/>
                <w:noProof/>
              </w:rPr>
              <w:tab/>
              <w:t>Debt composition of non-financial corporations</w:t>
            </w:r>
            <w:bookmarkEnd w:id="24"/>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4200DC03" wp14:editId="36053A34">
                  <wp:extent cx="2597595" cy="2448257"/>
                  <wp:effectExtent l="0" t="0" r="0" b="0"/>
                  <wp:docPr id="18" name="Picture 18" descr="&lt;nbr&gt;&lt;GETTEXTFROMWORD&gt;&lt;/nbr&gt;&#10;&lt;title&gt;&lt;GETTEXTFROMWORD&gt;&lt;/title&gt;&#10;&lt;id&gt;2bcf8be9-005e-4452-a512-c2c00f90da72&lt;/id&gt;&#10;&lt;srcType&gt;EXCEL&lt;/srcType&gt;&#10;&lt;srcPath&gt;O:\2017 CRs\2018 European semester\11 HR\Excel\&lt;/srcPath&gt;&#10;&lt;srcName&gt;CR.HR.2018_4.2_Private_sector_debt.xlsm&lt;/srcName&gt;&#10;&lt;type&gt;graph&lt;/type&gt;&#10; &lt;srcSheet&gt;corporate.debt.composition&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39:2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7595" cy="2448257"/>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 Mid-2017.</w:t>
            </w:r>
            <w:r>
              <w:rPr>
                <w:noProof/>
              </w:rPr>
              <w:br/>
              <w:t xml:space="preserve">(1) 'Other debt' is the debt to domestic leasing companies, </w:t>
            </w:r>
            <w:r>
              <w:rPr>
                <w:noProof/>
              </w:rPr>
              <w:t>insurance companies and other financial institutions. NFC: non-financial corporations; CI: credit institutions; F/C: foreign currency.</w:t>
            </w:r>
            <w:r>
              <w:rPr>
                <w:noProof/>
              </w:rPr>
              <w:br/>
              <w:t>(2) Intercompany lending is assumed to belong to external debt of private NFCs.</w:t>
            </w:r>
          </w:p>
          <w:p w:rsidR="001E7162" w:rsidRDefault="00EC2A75">
            <w:pPr>
              <w:pStyle w:val="GraphSource"/>
              <w:keepNext/>
              <w:rPr>
                <w:noProof/>
              </w:rPr>
            </w:pPr>
            <w:r>
              <w:rPr>
                <w:b/>
                <w:i/>
                <w:noProof/>
              </w:rPr>
              <w:t>Source:</w:t>
            </w:r>
            <w:r>
              <w:rPr>
                <w:noProof/>
              </w:rPr>
              <w:t xml:space="preserve"> Croatian National Bank and Eurost</w:t>
            </w:r>
            <w:r>
              <w:rPr>
                <w:noProof/>
              </w:rPr>
              <w:t>at.</w:t>
            </w:r>
          </w:p>
        </w:tc>
      </w:tr>
    </w:tbl>
    <w:p w:rsidR="001E7162" w:rsidRDefault="00EC2A75">
      <w:pPr>
        <w:rPr>
          <w:noProof/>
        </w:rPr>
      </w:pPr>
      <w:r>
        <w:rPr>
          <w:b/>
          <w:noProof/>
        </w:rPr>
        <w:t>The economic recovery is supporting the reduction of corporate debt.</w:t>
      </w:r>
      <w:r>
        <w:rPr>
          <w:noProof/>
        </w:rPr>
        <w:t xml:space="preserve"> Since 2015, the decrease in corporate debt has been mainly driven by dynamic economic activity, supported by the moderate pick-up in inflation in 2017. Write-offs and valuation effects, i.e. the appreciation of the Kuna against the Euro, also contributed </w:t>
      </w:r>
      <w:r>
        <w:rPr>
          <w:noProof/>
        </w:rPr>
        <w:t xml:space="preserve">to the reduction of corporate indebtedness since the first reduced the amount of non-performing loans, whereas the latter reduced the value of outstanding liabilities indexed to or denominated in foreign currency (see Graph </w:t>
      </w:r>
      <w:r>
        <w:rPr>
          <w:noProof/>
        </w:rPr>
        <w:fldChar w:fldCharType="begin"/>
      </w:r>
      <w:r>
        <w:rPr>
          <w:noProof/>
        </w:rPr>
        <w:instrText xml:space="preserve"> QUOTE "4.2.2"</w:instrText>
      </w:r>
      <w:r>
        <w:rPr>
          <w:noProof/>
        </w:rPr>
        <w:fldChar w:fldCharType="begin">
          <w:fldData xml:space="preserve">QwBSAE8AUwBTAFIARQBGAEUAUgBFAE4AQwBFACoARwBSAEEAUABIACoANABhAGEAOQA5ADcAYQBh
AC0ANwAzADMAOQAtADQAMAA0ADAALQBhADIANgAyAC0AZAA5ADIANgAxADMAZQBmADUANwBjAGQA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Debt reduction mainly took place in businesses in the hotel and restaurant sector as well as in the trade and construction sectors, which reduced their external</w:t>
      </w:r>
      <w:r>
        <w:rPr>
          <w:noProof/>
        </w:rPr>
        <w:t xml:space="preserve"> loans by principal repayment, in addition to considerable write-offs. Taking into account the domestic banking sector only, negative credit flows to the corporate sector were still contributing to the reduction of corporate debt in 2015 and, to a small ex</w:t>
      </w:r>
      <w:r>
        <w:rPr>
          <w:noProof/>
        </w:rPr>
        <w:t>tent, 2016. However, in 2017, credit flows to the corporate sector had turned positive rising by 3.4 % - due to positive growth rates in the foreign currency segment more than compensating for the slightly decrease in flows in the domestic segment (see Gra</w:t>
      </w:r>
      <w:r>
        <w:rPr>
          <w:noProof/>
        </w:rPr>
        <w:t xml:space="preserve">ph </w:t>
      </w:r>
      <w:r>
        <w:rPr>
          <w:noProof/>
        </w:rPr>
        <w:fldChar w:fldCharType="begin"/>
      </w:r>
      <w:r>
        <w:rPr>
          <w:noProof/>
        </w:rPr>
        <w:instrText xml:space="preserve"> QUOTE "4.2.2"</w:instrText>
      </w:r>
      <w:r>
        <w:rPr>
          <w:noProof/>
        </w:rPr>
        <w:fldChar w:fldCharType="begin">
          <w:fldData xml:space="preserve">QwBSAE8AUwBTAFIARQBGAEUAUgBFAE4AQwBFACoARwBSAEEAUABIACoANABhAGEAOQA5ADcAYQBh
AC0ANwAzADMAOQAtADQAMAA0ADAALQBhADIANgAyAC0AZAA5ADIANgAxADMAZQBmADUANwBjAGQA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25" w:name="_Toc505083024"/>
            <w:r>
              <w:rPr>
                <w:noProof/>
              </w:rPr>
              <w:t>Graph 4.2.2:</w:t>
            </w:r>
            <w:r>
              <w:rPr>
                <w:b/>
                <w:noProof/>
              </w:rPr>
              <w:tab/>
              <w:t>Contributions to change in total corporate debt-to-GDP ratio</w:t>
            </w:r>
            <w:bookmarkEnd w:id="25"/>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0196B1F0" wp14:editId="0D34FDE3">
                  <wp:extent cx="2597595" cy="2441296"/>
                  <wp:effectExtent l="0" t="0" r="0" b="0"/>
                  <wp:docPr id="17" name="Picture 17" descr="&lt;nbr&gt;&lt;GETTEXTFROMWORD&gt;&lt;/nbr&gt;&#10;&lt;title&gt;&lt;GETTEXTFROMWORD&gt;&lt;/title&gt;&#10;&lt;id&gt;4aa997aa-7339-4040-a262-d92613ef57cd&lt;/id&gt;&#10;&lt;srcType&gt;EXCEL&lt;/srcType&gt;&#10;&lt;srcPath&gt;O:\2017 CRs\2018 European semester\11 HR\Excel\&lt;/srcPath&gt;&#10;&lt;srcName&gt;CR.HR.2018_4.2_Private_sector_debt.xlsm&lt;/srcName&gt;&#10;&lt;type&gt;graph&lt;/type&gt;&#10; &lt;srcSheet&gt;change.in.corporate.debt.ratio&lt;/srcSheet&gt;&#10; &lt;srcChartTitle&gt;Chart 2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39:2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 Mid-2017.</w:t>
            </w:r>
            <w:r>
              <w:rPr>
                <w:noProof/>
              </w:rPr>
              <w:br/>
              <w:t>(1) 'Other changes' include write-of</w:t>
            </w:r>
            <w:r>
              <w:rPr>
                <w:noProof/>
              </w:rPr>
              <w:t>fs and valuation effects.</w:t>
            </w:r>
          </w:p>
          <w:p w:rsidR="001E7162" w:rsidRDefault="00EC2A75">
            <w:pPr>
              <w:pStyle w:val="GraphSource"/>
              <w:keepNext/>
              <w:rPr>
                <w:noProof/>
              </w:rPr>
            </w:pPr>
            <w:r>
              <w:rPr>
                <w:b/>
                <w:i/>
                <w:noProof/>
              </w:rPr>
              <w:t>Source:</w:t>
            </w:r>
            <w:r>
              <w:rPr>
                <w:noProof/>
              </w:rPr>
              <w:t xml:space="preserve"> Croatian National Bank and Eurostat.</w:t>
            </w:r>
          </w:p>
        </w:tc>
      </w:tr>
    </w:tbl>
    <w:p w:rsidR="001E7162" w:rsidRDefault="00EC2A75">
      <w:pPr>
        <w:rPr>
          <w:noProof/>
        </w:rPr>
      </w:pPr>
      <w:r>
        <w:rPr>
          <w:b/>
          <w:noProof/>
        </w:rPr>
        <w:t>Interest rates have been on a declining trend over the last few years and are expected to stay at low levels.</w:t>
      </w:r>
      <w:r>
        <w:rPr>
          <w:noProof/>
        </w:rPr>
        <w:t xml:space="preserve"> This trend is more pronounced in loans indexed to and denominated in forei</w:t>
      </w:r>
      <w:r>
        <w:rPr>
          <w:noProof/>
        </w:rPr>
        <w:t>gn currency. The decrease started in the second half of 2014 with big-size loans, followed by medium-sized loans in 2016, stabilizing between 2 and 3 % thereafter. Interest rates on loans denominated in domestic currency also decreased, but remain above th</w:t>
      </w:r>
      <w:r>
        <w:rPr>
          <w:noProof/>
        </w:rPr>
        <w:t xml:space="preserve">ose of peers (see Graph </w:t>
      </w:r>
      <w:r>
        <w:rPr>
          <w:noProof/>
        </w:rPr>
        <w:fldChar w:fldCharType="begin"/>
      </w:r>
      <w:r>
        <w:rPr>
          <w:noProof/>
        </w:rPr>
        <w:instrText xml:space="preserve"> QUOTE "4.2.3"</w:instrText>
      </w:r>
      <w:r>
        <w:rPr>
          <w:noProof/>
        </w:rPr>
        <w:fldChar w:fldCharType="begin">
          <w:fldData xml:space="preserve">QwBSAE8AUwBTAFIARQBGAEUAUgBFAE4AQwBFACoARwBSAEEAUABIACoAMQA2AGUANAAwAGEAYQBh
AC0AMgA0AGMANgAtADQAZQAyAGUALQBhADkAZgA4AC0AMABlAGEAOAAyAGUAOQAzADUAMgAwADcA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4.2.3</w:t>
      </w:r>
      <w:r>
        <w:rPr>
          <w:noProof/>
        </w:rPr>
        <w:fldChar w:fldCharType="end"/>
      </w:r>
      <w:r>
        <w:rPr>
          <w:noProof/>
        </w:rPr>
        <w:t>). The decrease is least visible in the short-term segment. The decrease in interest rates in the long-term</w:t>
      </w:r>
      <w:r>
        <w:rPr>
          <w:noProof/>
        </w:rPr>
        <w:t xml:space="preserve"> segment reflects the mild fall in yields to maturity on Croatian long-term government bonds, ample liquidity and greater competition among domestic banks, particularly in offering more competitive (re)financing conditions. However, the continued parallel </w:t>
      </w:r>
      <w:r>
        <w:rPr>
          <w:noProof/>
        </w:rPr>
        <w:t xml:space="preserve">decline in interest rates in the euro area together with the still relatively high country risk premium for Croatia resulted in a widening spread between interest rates on corporate loans in Croatia for short-term loans, but a narrowing one with regard to </w:t>
      </w:r>
      <w:r>
        <w:rPr>
          <w:noProof/>
        </w:rPr>
        <w:t>long-term loans (see CNB, 2017).</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26" w:name="_Toc505083025"/>
            <w:r>
              <w:rPr>
                <w:noProof/>
              </w:rPr>
              <w:t>Graph 4.2.3:</w:t>
            </w:r>
            <w:r>
              <w:rPr>
                <w:b/>
                <w:noProof/>
              </w:rPr>
              <w:tab/>
              <w:t>Interest rates on bank loans to corporations</w:t>
            </w:r>
            <w:bookmarkEnd w:id="26"/>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44FC9BB2" wp14:editId="29EDE3C7">
                  <wp:extent cx="2597595" cy="2441296"/>
                  <wp:effectExtent l="0" t="0" r="0" b="0"/>
                  <wp:docPr id="16" name="Picture 16" descr="&lt;nbr&gt;&lt;GETTEXTFROMWORD&gt;&lt;/nbr&gt;&#10;&lt;title&gt;&lt;GETTEXTFROMWORD&gt;&lt;/title&gt;&#10;&lt;id&gt;16e40aaa-24c6-4e2e-a9f8-0ea82e935207&lt;/id&gt;&#10;&lt;srcType&gt;EXCEL&lt;/srcType&gt;&#10;&lt;srcPath&gt;O:\2017 CRs\2018 European semester\11 HR\Excel\&lt;/srcPath&gt;&#10;&lt;srcName&gt;CR.HR.2018_4.2_Private_sector_debt.xlsm&lt;/srcName&gt;&#10;&lt;type&gt;graph&lt;/type&gt;&#10; &lt;srcSheet&gt;corporate.int.rates.2&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39:2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(1) Mid-size loans (EUR 0.25-1 million) from domestic credit institutions to non-financial corporations with an initial rate fixation period 5-10 years issued in</w:t>
            </w:r>
            <w:r>
              <w:rPr>
                <w:noProof/>
              </w:rPr>
              <w:t xml:space="preserve"> domestic currency, new business</w:t>
            </w:r>
            <w:r>
              <w:rPr>
                <w:noProof/>
              </w:rPr>
              <w:br/>
              <w:t xml:space="preserve">(2) Peer countries relate to the peer group defined in footnote [10], excluding Poland (no data) </w:t>
            </w:r>
          </w:p>
          <w:p w:rsidR="001E7162" w:rsidRDefault="00EC2A75">
            <w:pPr>
              <w:pStyle w:val="GraphSource"/>
              <w:keepNext/>
              <w:rPr>
                <w:noProof/>
              </w:rPr>
            </w:pPr>
            <w:r>
              <w:rPr>
                <w:b/>
                <w:i/>
                <w:noProof/>
              </w:rPr>
              <w:t>Source:</w:t>
            </w:r>
            <w:r>
              <w:rPr>
                <w:noProof/>
              </w:rPr>
              <w:t xml:space="preserve"> European Central Bank.</w:t>
            </w:r>
          </w:p>
        </w:tc>
      </w:tr>
    </w:tbl>
    <w:p w:rsidR="001E7162" w:rsidRDefault="00EC2A75">
      <w:pPr>
        <w:rPr>
          <w:noProof/>
        </w:rPr>
      </w:pPr>
      <w:r>
        <w:rPr>
          <w:b/>
          <w:noProof/>
        </w:rPr>
        <w:t>The corporate debt ratio is not particularly high but subject to a number of vulnerabilities.</w:t>
      </w:r>
      <w:r>
        <w:rPr>
          <w:noProof/>
        </w:rPr>
        <w:t xml:space="preserve"> Overall, by June 2017 the corporate debt ratio was close to the prudential threshold indicating potential risks and less than 10% of GDP above the level suggested by fundamentals</w:t>
      </w:r>
      <w:r>
        <w:rPr>
          <w:rStyle w:val="FootnoteReference"/>
          <w:noProof/>
        </w:rPr>
        <w:footnoteReference w:id="19"/>
      </w:r>
      <w:r>
        <w:rPr>
          <w:noProof/>
        </w:rPr>
        <w:t>. The decrease in the corporate debt ratio since 2010 has thus reduced risks</w:t>
      </w:r>
      <w:r>
        <w:rPr>
          <w:noProof/>
        </w:rPr>
        <w:t xml:space="preserve"> significantly. One of the vulnerabilities is the high concentration of corporate debt in a few big companies, including also the Agrokor Group (see Box 4.2.1). Risks also arise in the form of high share of loans in foreign currency, especially for non-exp</w:t>
      </w:r>
      <w:r>
        <w:rPr>
          <w:noProof/>
        </w:rPr>
        <w:t>orting companies. Notwithstanding the greater availability of less costly funding, corporate sector debt is also still exposed to interest rate hikes. However, this risk has been slightly reduced, due to an increase in the duration of average fixation peri</w:t>
      </w:r>
      <w:r>
        <w:rPr>
          <w:noProof/>
        </w:rPr>
        <w:t>od. In addition, both the ‘debt-to-gross financial assets’ and the ‘debt-to-equity’ ratios of the non-financial corporate sector are relatively high, highlighting potential solvency risks.</w:t>
      </w:r>
    </w:p>
    <w:p w:rsidR="001E7162" w:rsidRDefault="00EC2A75">
      <w:pPr>
        <w:pStyle w:val="Heading"/>
        <w:rPr>
          <w:noProof/>
        </w:rPr>
      </w:pPr>
      <w:r>
        <w:rPr>
          <w:noProof/>
        </w:rPr>
        <w:t>Household debt</w:t>
      </w:r>
    </w:p>
    <w:p w:rsidR="001E7162" w:rsidRDefault="00EC2A75">
      <w:pPr>
        <w:rPr>
          <w:noProof/>
        </w:rPr>
      </w:pPr>
      <w:r>
        <w:rPr>
          <w:b/>
          <w:noProof/>
        </w:rPr>
        <w:t>Household debt as a percentage of GDP decreased furt</w:t>
      </w:r>
      <w:r>
        <w:rPr>
          <w:b/>
          <w:noProof/>
        </w:rPr>
        <w:t>her, despite the recovery of borrowing in 2017.</w:t>
      </w:r>
      <w:r>
        <w:rPr>
          <w:noProof/>
        </w:rPr>
        <w:t xml:space="preserve"> By June 2017, the debt-to-GDP ratio in the household sector was down to 34.6 %, 7.3 pps below its 2010 peak value. In 2016, the reduction in the debt ratio was notably impacted by the statutory conversion of </w:t>
      </w:r>
      <w:r>
        <w:rPr>
          <w:noProof/>
        </w:rPr>
        <w:t>CHF-denominated loans into EUR-denominated loans (with interest rates capped at historical averages of equivalent EUR-denominated loans) at the end of 2015. In 2017, the pace of debt reduction slowed down despite intensifying economic activity, due to an u</w:t>
      </w:r>
      <w:r>
        <w:rPr>
          <w:noProof/>
        </w:rPr>
        <w:t xml:space="preserve">pswing in credit flows (see Graph </w:t>
      </w:r>
      <w:r>
        <w:rPr>
          <w:noProof/>
        </w:rPr>
        <w:fldChar w:fldCharType="begin"/>
      </w:r>
      <w:r>
        <w:rPr>
          <w:noProof/>
        </w:rPr>
        <w:instrText xml:space="preserve"> QUOTE "4.2.5"</w:instrText>
      </w:r>
      <w:r>
        <w:rPr>
          <w:noProof/>
        </w:rPr>
        <w:fldChar w:fldCharType="begin">
          <w:fldData xml:space="preserve">QwBSAE8AUwBTAFIARQBGAEUAUgBFAE4AQwBFACoARwBSAEEAUABIACoAZgBlADgANgBiADIAZABk
AC0AYwBiAGMAYQAtADQAMAA3AGQALQBiADIAMQBkAC0ANAA2ADAAYwA0ADgANgBkADQAYQBlAGQA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4.2.5</w:t>
      </w:r>
      <w:r>
        <w:rPr>
          <w:noProof/>
        </w:rPr>
        <w:fldChar w:fldCharType="end"/>
      </w:r>
      <w:r>
        <w:rPr>
          <w:noProof/>
        </w:rPr>
        <w:t>). On the one hand, credit standards for granting housing and consumer loans continued to ease th</w:t>
      </w:r>
      <w:r>
        <w:rPr>
          <w:noProof/>
        </w:rPr>
        <w:t>roughout 2016 and early 2017, due to stronger competition among banks in offering more competitive (re)financing conditions, reduced costs of sources of financing and positive growth expectations. On the other, demand by households for loans picked up, due</w:t>
      </w:r>
      <w:r>
        <w:rPr>
          <w:noProof/>
        </w:rPr>
        <w:t xml:space="preserve"> to growing consumer confidence, positive trends in the labour market and a favourable real estate market outlook (see Graph </w:t>
      </w:r>
      <w:r>
        <w:rPr>
          <w:noProof/>
        </w:rPr>
        <w:fldChar w:fldCharType="begin"/>
      </w:r>
      <w:r>
        <w:rPr>
          <w:noProof/>
        </w:rPr>
        <w:instrText xml:space="preserve"> QUOTE "4.2.4"</w:instrText>
      </w:r>
      <w:r>
        <w:rPr>
          <w:noProof/>
        </w:rPr>
        <w:fldChar w:fldCharType="begin">
          <w:fldData xml:space="preserve">QwBSAE8AUwBTAFIARQBGAEUAUgBFAE4AQwBFACoARwBSAEEAUABIACoANwAxADEAOAAwAGMAOQA0
AC0ANgAwAGQAMAAtADQAZABjAGEALQBiAGMAYwBiAC0AYQAyADgAOABkADgAZgAyAGMAZQA3ADQA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4.2.4</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27" w:name="_Toc505083026"/>
            <w:r>
              <w:rPr>
                <w:noProof/>
              </w:rPr>
              <w:t>Grap</w:t>
            </w:r>
            <w:r>
              <w:rPr>
                <w:noProof/>
              </w:rPr>
              <w:t>h 4.2.4:</w:t>
            </w:r>
            <w:r>
              <w:rPr>
                <w:b/>
                <w:noProof/>
              </w:rPr>
              <w:tab/>
              <w:t>Composition of household lending</w:t>
            </w:r>
            <w:bookmarkEnd w:id="27"/>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26481EF0" wp14:editId="37D7A844">
                  <wp:extent cx="2597595" cy="2434336"/>
                  <wp:effectExtent l="0" t="0" r="0" b="0"/>
                  <wp:docPr id="15" name="Picture 15" descr="&lt;nbr&gt;&lt;GETTEXTFROMWORD&gt;&lt;/nbr&gt;&#10;&lt;title&gt;&lt;GETTEXTFROMWORD&gt;&lt;/title&gt;&#10;&lt;id&gt;71180c94-60d0-4dca-bccb-a288d8f2ce74&lt;/id&gt;&#10;&lt;srcType&gt;EXCEL&lt;/srcType&gt;&#10;&lt;srcPath&gt;O:\2017 CRs\2018 European semester\11 HR\Excel\&lt;/srcPath&gt;&#10;&lt;srcName&gt;CR.HR.2018_4.2_Private_sector_debt.xlsm&lt;/srcName&gt;&#10;&lt;type&gt;graph&lt;/type&gt;&#10; &lt;srcSheet&gt;households.debt.composition&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39:2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97595" cy="2434336"/>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 Mid-2017.</w:t>
            </w:r>
            <w:r>
              <w:rPr>
                <w:noProof/>
              </w:rPr>
              <w:br/>
              <w:t xml:space="preserve">(1) 'Other' includes debt towards the external sector and debt towards other domestic non-financial sectors. </w:t>
            </w:r>
            <w:r>
              <w:rPr>
                <w:noProof/>
              </w:rPr>
              <w:br/>
              <w:t>(2) F/C: foreign currency.</w:t>
            </w:r>
          </w:p>
          <w:p w:rsidR="001E7162" w:rsidRDefault="00EC2A75">
            <w:pPr>
              <w:pStyle w:val="GraphSource"/>
              <w:keepNext/>
              <w:rPr>
                <w:noProof/>
              </w:rPr>
            </w:pPr>
            <w:r>
              <w:rPr>
                <w:b/>
                <w:i/>
                <w:noProof/>
              </w:rPr>
              <w:t>Source:</w:t>
            </w:r>
            <w:r>
              <w:rPr>
                <w:noProof/>
              </w:rPr>
              <w:t xml:space="preserve"> Croatian National Bank and Eurostat.</w:t>
            </w:r>
          </w:p>
        </w:tc>
      </w:tr>
    </w:tbl>
    <w:p w:rsidR="001E7162" w:rsidRDefault="00EC2A75">
      <w:pPr>
        <w:rPr>
          <w:noProof/>
        </w:rPr>
      </w:pPr>
      <w:r>
        <w:rPr>
          <w:b/>
          <w:noProof/>
        </w:rPr>
        <w:t>The composition</w:t>
      </w:r>
      <w:r>
        <w:rPr>
          <w:b/>
          <w:noProof/>
        </w:rPr>
        <w:t xml:space="preserve"> of household debt has been progressively changing towards HRK denominated loans.</w:t>
      </w:r>
      <w:r>
        <w:rPr>
          <w:noProof/>
        </w:rPr>
        <w:t xml:space="preserve"> HRK-denominated loans rose by 5 % of GDP between 2010 and mid-2017. In addition to a steady trend towards borrowing in the national currency that started in 2013, the Swiss-f</w:t>
      </w:r>
      <w:r>
        <w:rPr>
          <w:noProof/>
        </w:rPr>
        <w:t xml:space="preserve">ranc loan conversion led many clients to refinance their newly converted EUR-denominated loans with HRK-denominated ones, thus substantially reducing the amount of loans exposed to foreign currencies (see Graph </w:t>
      </w:r>
      <w:r>
        <w:rPr>
          <w:noProof/>
        </w:rPr>
        <w:fldChar w:fldCharType="begin"/>
      </w:r>
      <w:r>
        <w:rPr>
          <w:noProof/>
        </w:rPr>
        <w:instrText xml:space="preserve"> QUOTE "4.2.4"</w:instrText>
      </w:r>
      <w:r>
        <w:rPr>
          <w:noProof/>
        </w:rPr>
        <w:fldChar w:fldCharType="begin">
          <w:fldData xml:space="preserve">QwBSAE8AUwBTAFIARQBGAEUAUgBFAE4AQwBFACoARwBSAEEAUABIACoANwAxADEAOAAwAGMAOQA0
AC0ANgAwAGQAMAAtADQAZABjAGEALQBiAGMAYwBiAC0AYQAyADgAOABkADgAZgAyAGMAZQA3ADQA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4.2.4</w:t>
      </w:r>
      <w:r>
        <w:rPr>
          <w:noProof/>
        </w:rPr>
        <w:fldChar w:fldCharType="end"/>
      </w:r>
      <w:r>
        <w:rPr>
          <w:noProof/>
        </w:rPr>
        <w:t>). In addition to a reduced propensity by households to borrow in a foreign currency following the Swiss franc experience, also banks were inclined to provide more kuna denomina</w:t>
      </w:r>
      <w:r>
        <w:rPr>
          <w:noProof/>
        </w:rPr>
        <w:t xml:space="preserve">ted loans due to, among other things, an increase in kuna sources of funding in their liabilities. This, amid a general fall in interest rates, contributed to reduce both the interest rates on HRK-denominated loans and the spread between interest rates on </w:t>
      </w:r>
      <w:r>
        <w:rPr>
          <w:noProof/>
        </w:rPr>
        <w:t xml:space="preserve">HRK and EUR loans. Notwithstanding this, more than half the outstanding stock of loans is still exposed to exchange rate shocks. </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28" w:name="_Toc505083027"/>
            <w:r>
              <w:rPr>
                <w:noProof/>
              </w:rPr>
              <w:t>Graph 4.2.5:</w:t>
            </w:r>
            <w:r>
              <w:rPr>
                <w:b/>
                <w:noProof/>
              </w:rPr>
              <w:tab/>
              <w:t>Contributions to change in total households debt-to-GDP ratio</w:t>
            </w:r>
            <w:bookmarkEnd w:id="28"/>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675F12B1" wp14:editId="455CEFE9">
                  <wp:extent cx="2597595" cy="2427375"/>
                  <wp:effectExtent l="0" t="0" r="0" b="0"/>
                  <wp:docPr id="73" name="Picture 73" descr="&lt;nbr&gt;&lt;GETTEXTFROMWORD&gt;&lt;/nbr&gt;&#10;&lt;title&gt;&lt;GETTEXTFROMWORD&gt;&lt;/title&gt;&#10;&lt;id&gt;fe86b2dd-cbca-407d-b21d-460c486d4aed&lt;/id&gt;&#10;&lt;srcType&gt;EXCEL&lt;/srcType&gt;&#10;&lt;srcPath&gt;O:\2017 CRs\2018 European semester\11 HR\Excel\&lt;/srcPath&gt;&#10;&lt;srcName&gt;CR.HR.2018_4.2_Private_sector_debt.xlsm&lt;/srcName&gt;&#10;&lt;type&gt;graph&lt;/type&gt;&#10; &lt;srcSheet&gt;change.in.households.debt.ratio&lt;/srcSheet&gt;&#10; &lt;srcChartTitle&gt;MyChart&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39:2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97595" cy="2427375"/>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 Mid-2017.</w:t>
            </w:r>
            <w:r>
              <w:rPr>
                <w:noProof/>
              </w:rPr>
              <w:br/>
              <w:t xml:space="preserve">'Other changes' include write-offs </w:t>
            </w:r>
            <w:r>
              <w:rPr>
                <w:noProof/>
              </w:rPr>
              <w:t>and valuation effects.</w:t>
            </w:r>
          </w:p>
          <w:p w:rsidR="001E7162" w:rsidRDefault="00EC2A75">
            <w:pPr>
              <w:pStyle w:val="GraphSource"/>
              <w:keepNext/>
              <w:rPr>
                <w:noProof/>
              </w:rPr>
            </w:pPr>
            <w:r>
              <w:rPr>
                <w:b/>
                <w:i/>
                <w:noProof/>
              </w:rPr>
              <w:t>Source:</w:t>
            </w:r>
            <w:r>
              <w:rPr>
                <w:noProof/>
              </w:rPr>
              <w:t xml:space="preserve"> Croatian National Bank and Eurostat.</w:t>
            </w:r>
          </w:p>
        </w:tc>
      </w:tr>
    </w:tbl>
    <w:p w:rsidR="001E7162" w:rsidRDefault="00EC2A75">
      <w:pPr>
        <w:rPr>
          <w:noProof/>
        </w:rPr>
      </w:pPr>
      <w:r>
        <w:rPr>
          <w:b/>
          <w:noProof/>
        </w:rPr>
        <w:t>The household debt ratio is not particularly high and the interest rate risk is decreasing.</w:t>
      </w:r>
      <w:r>
        <w:rPr>
          <w:noProof/>
        </w:rPr>
        <w:t xml:space="preserve"> In mid-2017, the household debt ratio was well below the prudential country-specific threshold but above the fundamentals-based benchmark, suggesting that risks are limited, although there remains scope for some deleveraging. Due to its composition, risks</w:t>
      </w:r>
      <w:r>
        <w:rPr>
          <w:noProof/>
        </w:rPr>
        <w:t xml:space="preserve"> to household debt mainly stem from possible exchange rate shocks or interest rate hikes. However, interest rates on loans for house purchases and consumer loans have been decreasing since the end of 2015 and are expected to stay at low levels. In addition</w:t>
      </w:r>
      <w:r>
        <w:rPr>
          <w:noProof/>
        </w:rPr>
        <w:t>, there has been a recent decline in loans with variable interest rates and a simultaneous slow increase in loans with fixed interest rates. Namely, since the end of 2015, there has been a 9.2 % increase in loans for house purchases with fixed interest rat</w:t>
      </w:r>
      <w:r>
        <w:rPr>
          <w:noProof/>
        </w:rPr>
        <w:t>es. However, a possible rise in reference interest rates remains a source of risk for clients, which in turn exposes the banking sector to indirect credit risk. In September 2017, the CNB issued recommendations to credit institutions aimed at mitigating su</w:t>
      </w:r>
      <w:r>
        <w:rPr>
          <w:noProof/>
        </w:rPr>
        <w:t>ch risk. The recommendations aim at increasing the transparency of information provided to consumers on debt servicing conditions while encouraging banks to extend their offer of loans at fixed rates and minimise the cost for consumers of refinancing exist</w:t>
      </w:r>
      <w:r>
        <w:rPr>
          <w:noProof/>
        </w:rPr>
        <w:t xml:space="preserve">ing loans at variable rates into loans with fixed rates. </w:t>
      </w:r>
    </w:p>
    <w:p w:rsidR="001E7162" w:rsidRDefault="00EC2A75">
      <w:pPr>
        <w:pStyle w:val="Heading"/>
        <w:rPr>
          <w:noProof/>
        </w:rPr>
      </w:pPr>
      <w:r>
        <w:rPr>
          <w:noProof/>
        </w:rPr>
        <w:t>Housing market</w:t>
      </w:r>
    </w:p>
    <w:p w:rsidR="001E7162" w:rsidRDefault="00EC2A75">
      <w:pPr>
        <w:rPr>
          <w:noProof/>
        </w:rPr>
      </w:pPr>
      <w:r>
        <w:rPr>
          <w:b/>
          <w:noProof/>
        </w:rPr>
        <w:t>As the economic recovery gained ground, real prices of dwellings picked up by 2.1 % in 2016 in spite of low demand from the household sector.</w:t>
      </w:r>
      <w:r>
        <w:rPr>
          <w:noProof/>
        </w:rPr>
        <w:t xml:space="preserve"> The rebound in house prices witnessed sin</w:t>
      </w:r>
      <w:r>
        <w:rPr>
          <w:noProof/>
        </w:rPr>
        <w:t>ce 2016 has been driven by increases in the prices of existing real estate, which are nevertheless still below their 2010 levels. By contrast, the prices of new residential properties have continued to decline. House prices on the Adriatic coast and in Zag</w:t>
      </w:r>
      <w:r>
        <w:rPr>
          <w:noProof/>
        </w:rPr>
        <w:t>reb have contributed to the growth, while prices in other parts of the country remain subdued. In recent years, helped by increasing incomes on the one hand and subdued price dynamics on the other, the price-to-income ratio has decreased, signalling improv</w:t>
      </w:r>
      <w:r>
        <w:rPr>
          <w:noProof/>
        </w:rPr>
        <w:t>ed affordability of housing. Nevertheless, private demand remains subdued. This can partly be explained by a combination of negative demographic trends and an already high rate of home ownership.</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29" w:name="_Toc505083028"/>
            <w:r>
              <w:rPr>
                <w:noProof/>
              </w:rPr>
              <w:t>Graph 4.2.6:</w:t>
            </w:r>
            <w:r>
              <w:rPr>
                <w:b/>
                <w:noProof/>
              </w:rPr>
              <w:tab/>
              <w:t>Dwellings price developments</w:t>
            </w:r>
            <w:bookmarkEnd w:id="29"/>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196C8ECB" wp14:editId="74AED0B8">
                  <wp:extent cx="2597595" cy="2441296"/>
                  <wp:effectExtent l="0" t="0" r="0" b="0"/>
                  <wp:docPr id="10" name="Picture 10" descr="&lt;nbr&gt;&lt;GETTEXTFROMWORD&gt;&lt;/nbr&gt;&#10;&lt;title&gt;&lt;GETTEXTFROMWORD&gt;&lt;/title&gt;&#10;&lt;id&gt;26c408aa-afbf-480c-957e-0cba11a5ca4e&lt;/id&gt;&#10;&lt;srcType&gt;EXCEL&lt;/srcType&gt;&#10;&lt;srcPath&gt;O:\2017 CRs\2018 European semester\11 HR\Excel\&lt;/srcPath&gt;&#10;&lt;srcName&gt;CR.HR.2018_4.2_Private_sector_debt.xlsm&lt;/srcName&gt;&#10;&lt;type&gt;graph&lt;/type&gt;&#10; &lt;srcSheet&gt;housing1&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6:39:2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Source"/>
              <w:keepNext/>
              <w:rPr>
                <w:noProof/>
              </w:rPr>
            </w:pPr>
            <w:r>
              <w:rPr>
                <w:b/>
                <w:i/>
                <w:noProof/>
              </w:rPr>
              <w:t>Source:</w:t>
            </w:r>
            <w:r>
              <w:rPr>
                <w:noProof/>
              </w:rPr>
              <w:t xml:space="preserve"> Croatian Bureau of Statistics.</w:t>
            </w:r>
          </w:p>
        </w:tc>
      </w:tr>
    </w:tbl>
    <w:p w:rsidR="001E7162" w:rsidRDefault="00EC2A75">
      <w:pPr>
        <w:rPr>
          <w:noProof/>
        </w:rPr>
      </w:pPr>
      <w:r>
        <w:rPr>
          <w:b/>
          <w:noProof/>
        </w:rPr>
        <w:t>The abolition of tax exemptions was partly offset by the introduction of a subsidy scheme for first-time buyers.</w:t>
      </w:r>
      <w:r>
        <w:rPr>
          <w:noProof/>
        </w:rPr>
        <w:t xml:space="preserve"> As part of the 2016 tax reform, the exemption from the property transaction tax for first time buyers was abol</w:t>
      </w:r>
      <w:r>
        <w:rPr>
          <w:noProof/>
        </w:rPr>
        <w:t>ished. However, the new Act on State-subsidised Housing Loans aims to compensate, subject to certain criteria, first time buyers of residential property by providing more favourable borrowing conditions. The subsidy, funded from the state budget, covers ha</w:t>
      </w:r>
      <w:r>
        <w:rPr>
          <w:noProof/>
        </w:rPr>
        <w:t>lf of the annuity during the first four years of the repayment period.</w:t>
      </w:r>
    </w:p>
    <w:p w:rsidR="001E7162" w:rsidRDefault="00EC2A75">
      <w:pPr>
        <w:pStyle w:val="Heading"/>
        <w:rPr>
          <w:noProof/>
        </w:rPr>
      </w:pPr>
      <w:r>
        <w:rPr>
          <w:noProof/>
        </w:rPr>
        <w:t>Access to finance</w:t>
      </w:r>
    </w:p>
    <w:p w:rsidR="001E7162" w:rsidRDefault="00EC2A75">
      <w:pPr>
        <w:rPr>
          <w:noProof/>
        </w:rPr>
      </w:pPr>
      <w:r>
        <w:rPr>
          <w:b/>
          <w:noProof/>
        </w:rPr>
        <w:t>Companies' access to bank loans is gradually improving, also for small firms.</w:t>
      </w:r>
      <w:r>
        <w:rPr>
          <w:noProof/>
        </w:rPr>
        <w:t xml:space="preserve"> Banks’ lending activity remains subdued, especially in the small business segment. Accord</w:t>
      </w:r>
      <w:r>
        <w:rPr>
          <w:noProof/>
        </w:rPr>
        <w:t>ing to the latest findings from the Survey on the Access to Finance of Enterprises, access to finance has generally improved, but on average remains more difficult for Croatian firms. In 2017, among the surveyed companies that applied for a bank loan, 71 %</w:t>
      </w:r>
      <w:r>
        <w:rPr>
          <w:noProof/>
        </w:rPr>
        <w:t xml:space="preserve"> of them were granted a loan, compared with 61 % the year before. However, many surveyed companies (21 %) were still awaiting the outcome of their application, compared with 13 % the year before. Moreover, 11 % of all surveyed small firms did not apply for</w:t>
      </w:r>
      <w:r>
        <w:rPr>
          <w:noProof/>
        </w:rPr>
        <w:t xml:space="preserve"> a bank loan due to fear of rejection, more than twice the EU average of 5 %. According to banks' responses to the bank lending survey, credit standards on loans to enterprises tightened mildly in the second and third quarters of 2017, with standards on lo</w:t>
      </w:r>
      <w:r>
        <w:rPr>
          <w:noProof/>
        </w:rPr>
        <w:t>ans to medium and small enterprises tightening the most. On the contrary, the latter experienced easing credit standards in the fourth quarter of 2017, while standards on loans to large enterprises kept tightening. Apart from direct bank lending, other sou</w:t>
      </w:r>
      <w:r>
        <w:rPr>
          <w:noProof/>
        </w:rPr>
        <w:t>rces of financing include loans and credit lines with subsidised interest rates from the Croatian Bank for Reconstruction and Development (HBOR), implemented through commercial banks (</w:t>
      </w:r>
      <w:r>
        <w:rPr>
          <w:rStyle w:val="FootnoteReference"/>
          <w:noProof/>
        </w:rPr>
        <w:footnoteReference w:id="20"/>
      </w:r>
      <w:r>
        <w:rPr>
          <w:noProof/>
        </w:rPr>
        <w:t>) and loans from the Croatian Agency for SMEs, Innovations and Investme</w:t>
      </w:r>
      <w:r>
        <w:rPr>
          <w:noProof/>
        </w:rPr>
        <w:t>nts (HAMAG-BICRO), mainly to fund innovation and its commercialisation in entrepreneurship.</w:t>
      </w:r>
    </w:p>
    <w:p w:rsidR="001E7162" w:rsidRDefault="00EC2A75">
      <w:pPr>
        <w:rPr>
          <w:noProof/>
        </w:rPr>
      </w:pPr>
      <w:r>
        <w:rPr>
          <w:b/>
          <w:noProof/>
        </w:rPr>
        <w:t>The European Structural and Investment Funds aim to facilitate financing for small firms.</w:t>
      </w:r>
      <w:r>
        <w:rPr>
          <w:noProof/>
        </w:rPr>
        <w:t xml:space="preserve"> A set of new financial instruments supported by the European Regional Deve</w:t>
      </w:r>
      <w:r>
        <w:rPr>
          <w:noProof/>
        </w:rPr>
        <w:t>lopment Fund (ERDF) are meant to ease access to finance for small businesses and consequently boost entrepreneurship in Croatia. The debt instruments amount to a total of EUR 280 million and are expected to leverage approximately EUR 800 million of private</w:t>
      </w:r>
      <w:r>
        <w:rPr>
          <w:noProof/>
        </w:rPr>
        <w:t xml:space="preserve"> investment. They are being developed under two financing agreements. One is implemented by the government agency HAMAG-BICRO and mobilises EUR 170 million in micro and small loans, individual guarantees and guarantees combined with interest subsidy. This </w:t>
      </w:r>
      <w:r>
        <w:rPr>
          <w:noProof/>
        </w:rPr>
        <w:t xml:space="preserve">instrument has proved successful, with a total disbursement rate of 41 % with the cut-off date 31 December 2017. The other, signed in October 2017, will be implemented by the Croatian Bank for Reconstruction and Development (HBOR). It will make a total of </w:t>
      </w:r>
      <w:r>
        <w:rPr>
          <w:noProof/>
        </w:rPr>
        <w:t>EUR 110 million available in growth and development loans. Implementation of this agreement is expected to start soon, and is planned to raise total private capital of EUR 105 million. The first tranche was paid from HBOR to financial intermediaries (3 sel</w:t>
      </w:r>
      <w:r>
        <w:rPr>
          <w:noProof/>
        </w:rPr>
        <w:t>ected commercial banks) in December 2017, but nothing has been disbursed yet.</w:t>
      </w:r>
    </w:p>
    <w:p w:rsidR="001E7162" w:rsidRDefault="00EC2A75">
      <w:pPr>
        <w:rPr>
          <w:noProof/>
        </w:rPr>
      </w:pPr>
      <w:r>
        <w:rPr>
          <w:b/>
          <w:noProof/>
        </w:rPr>
        <w:t>Other sources of financing for companies remain largely underdeveloped.</w:t>
      </w:r>
      <w:r>
        <w:rPr>
          <w:noProof/>
        </w:rPr>
        <w:t xml:space="preserve"> Over the past few years there has been very little progress in developing new venture capital funds in Cro</w:t>
      </w:r>
      <w:r>
        <w:rPr>
          <w:noProof/>
        </w:rPr>
        <w:t>atia. The 2015 World Bank initiative on Innovation and Entrepreneurship Venture Capital Project – which aimed to strengthen risk capital financing for innovative small and medium-sized firms and start-ups in Croatia – did not produce results. However recen</w:t>
      </w:r>
      <w:r>
        <w:rPr>
          <w:noProof/>
        </w:rPr>
        <w:t>tly, thanks to incentive of ESI Funds funding, the Croatian government started negotiations with the EIF aiming at addressing early stage equity market needs. ESI Funds are expected to contribute EUR 35 million and the total expected leverage amounts to mo</w:t>
      </w:r>
      <w:r>
        <w:rPr>
          <w:noProof/>
        </w:rPr>
        <w:t>re than EUR 70 million. The agreement is planned to be signed by mid-March 2018 and the funds to start reaching beneficiaries by end 2018. In parallel, HBOR and EIF are discussing to jointly commit around EUR 70 million for later stage equity market needs.</w:t>
      </w:r>
      <w:r>
        <w:rPr>
          <w:noProof/>
        </w:rPr>
        <w:t xml:space="preserve"> Both initiatives should provide significant support for Croatian venture capital and private equity market. EU funding recently supported a private equity fund with a target size of EUR 100 million, focusing on small firms in Croatia, Slovenia and Serbia </w:t>
      </w:r>
      <w:r>
        <w:rPr>
          <w:noProof/>
        </w:rPr>
        <w:t>(European Investment Bank, 2017), a sign that a venture capital ecosystem might be gradually taking shape.</w:t>
      </w:r>
    </w:p>
    <w:p w:rsidR="001E7162" w:rsidRDefault="00EC2A75">
      <w:pPr>
        <w:pStyle w:val="Heading"/>
        <w:rPr>
          <w:noProof/>
        </w:rPr>
      </w:pPr>
      <w:r>
        <w:rPr>
          <w:noProof/>
        </w:rPr>
        <w:t>Financial sector</w:t>
      </w:r>
    </w:p>
    <w:p w:rsidR="001E7162" w:rsidRDefault="00EC2A75">
      <w:pPr>
        <w:rPr>
          <w:noProof/>
        </w:rPr>
      </w:pPr>
      <w:r>
        <w:rPr>
          <w:b/>
          <w:noProof/>
        </w:rPr>
        <w:t>Despite the Agrokor crisis, Croatian banks’ profitability and solvency have continued to improve since 2015.</w:t>
      </w:r>
      <w:r>
        <w:rPr>
          <w:noProof/>
        </w:rPr>
        <w:t xml:space="preserve"> With a return on equity</w:t>
      </w:r>
      <w:r>
        <w:rPr>
          <w:noProof/>
        </w:rPr>
        <w:t xml:space="preserve"> of 8.9 % in 2016, banks' profitability has largely recovered from the negative impact of the conversion of CHF-denominated loans (see Table </w:t>
      </w:r>
      <w:r>
        <w:rPr>
          <w:noProof/>
        </w:rPr>
        <w:fldChar w:fldCharType="begin"/>
      </w:r>
      <w:r>
        <w:rPr>
          <w:noProof/>
        </w:rPr>
        <w:instrText xml:space="preserve"> QUOTE "4.2.1"</w:instrText>
      </w:r>
      <w:r>
        <w:rPr>
          <w:noProof/>
        </w:rPr>
        <w:fldChar w:fldCharType="begin">
          <w:fldData xml:space="preserve">QwBSAE8AUwBTAFIARQBGAEUAUgBFAE4AQwBFACoAVABBAEIATABFACoAMABiAGQAZgA2AGYANgA2
AC0AZAA5ADYAOQAtADQAYQA3ADUALQBhAGEAMQA1AC0AOQBjADcANAAzADIANwA3ADEANgAxADcA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The solvency ratio is back to the level it had reached before the CHF conversion. Liquidity indicators remain relatively high. In 2016, the loan-to-deposit ratio dropped to its lowest level since 2004, before increasing mildly in the first half</w:t>
      </w:r>
      <w:r>
        <w:rPr>
          <w:noProof/>
        </w:rPr>
        <w:t xml:space="preserve"> of 2017 as lending to the private sector started to recover.</w:t>
      </w:r>
    </w:p>
    <w:p w:rsidR="001E7162" w:rsidRDefault="00EC2A75">
      <w:pPr>
        <w:rPr>
          <w:noProof/>
        </w:rPr>
      </w:pPr>
      <w:r>
        <w:rPr>
          <w:b/>
          <w:noProof/>
        </w:rPr>
        <w:t>The stock of non-performing loans (NPLs) continues to decline in the private sector, albeit at a slower pace.</w:t>
      </w:r>
      <w:r>
        <w:rPr>
          <w:noProof/>
        </w:rPr>
        <w:t xml:space="preserve"> Both the NPL stock and NPL ratio have continued their downward trend, although more </w:t>
      </w:r>
      <w:r>
        <w:rPr>
          <w:noProof/>
        </w:rPr>
        <w:t xml:space="preserve">slowly than in 2016 (see Graph </w:t>
      </w:r>
      <w:r>
        <w:rPr>
          <w:noProof/>
        </w:rPr>
        <w:fldChar w:fldCharType="begin"/>
      </w:r>
      <w:r>
        <w:rPr>
          <w:noProof/>
        </w:rPr>
        <w:instrText xml:space="preserve"> QUOTE "4.2.7"</w:instrText>
      </w:r>
      <w:r>
        <w:rPr>
          <w:noProof/>
        </w:rPr>
        <w:fldChar w:fldCharType="begin">
          <w:fldData xml:space="preserve">QwBSAE8AUwBTAFIARQBGAEUAUgBFAE4AQwBFACoARwBSAEEAUABIACoAZQA0ADEANAA5ADAANQA4
AC0AMwA3ADMAYQAtADQAZgAxADUALQA4ADEAMABjAC0AMgA3ADEAMAA2ADIAYgAzADgAMQA5AGMA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4.2.7</w:t>
      </w:r>
      <w:r>
        <w:rPr>
          <w:noProof/>
        </w:rPr>
        <w:fldChar w:fldCharType="end"/>
      </w:r>
      <w:r>
        <w:rPr>
          <w:noProof/>
        </w:rPr>
        <w:t>). By June 2017, the NPL ratio stood at 11.7 %, up from 11.6 % in June 2016. As of June 2017, NPLs we</w:t>
      </w:r>
      <w:r>
        <w:rPr>
          <w:noProof/>
        </w:rPr>
        <w:t>re still significant in the private sector. Among non-financial corporations, the NPL ratio is about 26.3 %. Based on CNB data (</w:t>
      </w:r>
      <w:r>
        <w:rPr>
          <w:rStyle w:val="FootnoteReference"/>
          <w:noProof/>
        </w:rPr>
        <w:footnoteReference w:id="21"/>
      </w:r>
      <w:r>
        <w:rPr>
          <w:noProof/>
        </w:rPr>
        <w:t>), NPLs particularly affect the construction sector, which alone constitutes 17 % of the total NPL stock and where the NPL rati</w:t>
      </w:r>
      <w:r>
        <w:rPr>
          <w:noProof/>
        </w:rPr>
        <w:t>o has been above 60 % since June 2014. A high level of NPLs may hamper the ability of banks to extend new credit to firms, thus (partly) explaining why credit flows for the corporate sector are still weak. In the household sector the NPL ratio reached 8.8 </w:t>
      </w:r>
      <w:r>
        <w:rPr>
          <w:noProof/>
        </w:rPr>
        <w:t xml:space="preserve">% in June 2017, about 3 pps lower than its 2015 peak. NPLs in the household sector are predominantly found among mortgage loans. The reduction in the coverage ratio, namely the ratio between accumulated impairments and NPLs, has been mainly due to (i) the </w:t>
      </w:r>
      <w:r>
        <w:rPr>
          <w:noProof/>
        </w:rPr>
        <w:t>use of provisions, as certain banks wrote-off their Agrokor exposures and (ii) amendments to the automatic provisioning rules(</w:t>
      </w:r>
      <w:r>
        <w:rPr>
          <w:rStyle w:val="FootnoteReference"/>
          <w:noProof/>
        </w:rPr>
        <w:footnoteReference w:id="22"/>
      </w:r>
      <w:r>
        <w:rPr>
          <w:noProof/>
        </w:rPr>
        <w:t xml:space="preserve">), which led to some amount of provisioning reversals (see Table </w:t>
      </w:r>
      <w:r>
        <w:rPr>
          <w:noProof/>
        </w:rPr>
        <w:fldChar w:fldCharType="begin"/>
      </w:r>
      <w:r>
        <w:rPr>
          <w:noProof/>
        </w:rPr>
        <w:instrText xml:space="preserve"> QUOTE "4.2.1"</w:instrText>
      </w:r>
      <w:r>
        <w:rPr>
          <w:noProof/>
        </w:rPr>
        <w:fldChar w:fldCharType="begin">
          <w:fldData xml:space="preserve">QwBSAE8AUwBTAFIARQBGAEUAUgBFAE4AQwBFACoAVABBAEIATABFACoAMABiAGQAZgA2AGYANgA2
AC0AZAA5ADYAOQAtADQAYQA3ADUALQBhAGEAMQA1AC0AOQBjADcANAAzADIANwA3ADEANgAxADcA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w:t>
      </w:r>
    </w:p>
    <w:p w:rsidR="001E7162" w:rsidRDefault="001E7162">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1E7162">
        <w:trPr>
          <w:cantSplit/>
          <w:trHeight w:val="20"/>
        </w:trPr>
        <w:tc>
          <w:tcPr>
            <w:tcW w:w="8505" w:type="dxa"/>
            <w:shd w:val="clear" w:color="auto" w:fill="auto"/>
          </w:tcPr>
          <w:p w:rsidR="001E7162" w:rsidRDefault="001E7162">
            <w:pPr>
              <w:pStyle w:val="SlimCell"/>
              <w:keepNext/>
              <w:rPr>
                <w:noProof/>
              </w:rPr>
            </w:pPr>
          </w:p>
        </w:tc>
      </w:tr>
      <w:tr w:rsidR="001E7162">
        <w:trPr>
          <w:cantSplit/>
        </w:trPr>
        <w:tc>
          <w:tcPr>
            <w:tcW w:w="8505" w:type="dxa"/>
            <w:shd w:val="clear" w:color="auto" w:fill="auto"/>
          </w:tcPr>
          <w:p w:rsidR="001E7162" w:rsidRDefault="00EC2A75">
            <w:pPr>
              <w:pStyle w:val="TableTitle"/>
              <w:rPr>
                <w:b/>
                <w:noProof/>
              </w:rPr>
            </w:pPr>
            <w:bookmarkStart w:id="30" w:name="_Toc505083182"/>
            <w:r>
              <w:rPr>
                <w:noProof/>
              </w:rPr>
              <w:t>Table 4.2.1:</w:t>
            </w:r>
            <w:r>
              <w:rPr>
                <w:b/>
                <w:noProof/>
              </w:rPr>
              <w:tab/>
              <w:t>Financial soundness indicators, all banks in Croatia</w:t>
            </w:r>
            <w:bookmarkEnd w:id="30"/>
          </w:p>
        </w:tc>
      </w:tr>
      <w:tr w:rsidR="001E7162">
        <w:trPr>
          <w:cantSplit/>
        </w:trPr>
        <w:tc>
          <w:tcPr>
            <w:tcW w:w="8505" w:type="dxa"/>
            <w:shd w:val="clear" w:color="auto" w:fill="auto"/>
          </w:tcPr>
          <w:p w:rsidR="001E7162" w:rsidRDefault="00EC2A75">
            <w:pPr>
              <w:pStyle w:val="TableShape"/>
              <w:rPr>
                <w:noProof/>
                <w:sz w:val="2"/>
              </w:rPr>
            </w:pPr>
            <w:r>
              <w:rPr>
                <w:noProof/>
                <w:sz w:val="2"/>
                <w:lang w:eastAsia="en-GB"/>
              </w:rPr>
              <w:drawing>
                <wp:inline distT="0" distB="0" distL="0" distR="0" wp14:anchorId="718A0DEA" wp14:editId="5844B993">
                  <wp:extent cx="5400929" cy="1278665"/>
                  <wp:effectExtent l="0" t="0" r="0" b="0"/>
                  <wp:docPr id="19" name="Picture 19" descr="&lt;nbr&gt;&lt;GETTEXTFROMWORD&gt;&lt;/nbr&gt;&#10;&lt;title&gt;&lt;GETTEXTFROMWORD&gt;&lt;/title&gt;&#10;&lt;id&gt;0bdf6f66-d969-4a75-aa15-9c7432771617&lt;/id&gt;&#10;&lt;srcType&gt;EXCEL&lt;/srcType&gt;&#10;&lt;srcPath&gt;O:\2017 CRs\2018 European semester\11 HR\Excel\&lt;/srcPath&gt;&#10;&lt;srcName&gt;CR.HR.2018_4.2_Private_sector_debt.xlsm&lt;/srcName&gt;&#10;&lt;type&gt;table&lt;/type&gt;&#10; &lt;srcSheet&gt;financial_soundness_indicators&lt;/srcSheet&gt;&#10; &lt;srcRange&gt;R2C2:R12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39:2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929" cy="1278665"/>
                          </a:xfrm>
                          <a:prstGeom prst="rect">
                            <a:avLst/>
                          </a:prstGeom>
                          <a:noFill/>
                          <a:ln>
                            <a:noFill/>
                          </a:ln>
                        </pic:spPr>
                      </pic:pic>
                    </a:graphicData>
                  </a:graphic>
                </wp:inline>
              </w:drawing>
            </w:r>
          </w:p>
        </w:tc>
      </w:tr>
      <w:tr w:rsidR="001E7162">
        <w:trPr>
          <w:cantSplit/>
        </w:trPr>
        <w:tc>
          <w:tcPr>
            <w:tcW w:w="8505" w:type="dxa"/>
            <w:shd w:val="clear" w:color="auto" w:fill="auto"/>
          </w:tcPr>
          <w:p w:rsidR="001E7162" w:rsidRDefault="00EC2A75">
            <w:pPr>
              <w:pStyle w:val="TableFootnote"/>
              <w:rPr>
                <w:noProof/>
              </w:rPr>
            </w:pPr>
            <w:r>
              <w:rPr>
                <w:noProof/>
              </w:rPr>
              <w:t>(1) Defined as accumulated impairments / NPLs.</w:t>
            </w:r>
            <w:r>
              <w:rPr>
                <w:noProof/>
              </w:rPr>
              <w:br/>
              <w:t xml:space="preserve">(2) ECB aggregated balance </w:t>
            </w:r>
            <w:r>
              <w:rPr>
                <w:noProof/>
              </w:rPr>
              <w:t>sheet: loans excl. to gov. and MFI / deposits excl. from gov. and MFI.</w:t>
            </w:r>
            <w:r>
              <w:rPr>
                <w:noProof/>
              </w:rPr>
              <w:br/>
              <w:t>(3) For comparability only annual values are presented.</w:t>
            </w:r>
          </w:p>
          <w:p w:rsidR="001E7162" w:rsidRDefault="00EC2A75">
            <w:pPr>
              <w:pStyle w:val="TableFootnote"/>
              <w:rPr>
                <w:noProof/>
              </w:rPr>
            </w:pPr>
            <w:r>
              <w:rPr>
                <w:noProof/>
              </w:rPr>
              <w:t>(4) The variability in 2017 Q2 NPL figures have been partly driven by a broadening of the coverage of the database.</w:t>
            </w:r>
          </w:p>
          <w:p w:rsidR="001E7162" w:rsidRDefault="00EC2A75">
            <w:pPr>
              <w:pStyle w:val="TableSource"/>
              <w:rPr>
                <w:noProof/>
              </w:rPr>
            </w:pPr>
            <w:r>
              <w:rPr>
                <w:b/>
                <w:i/>
                <w:noProof/>
              </w:rPr>
              <w:t>Source:</w:t>
            </w:r>
            <w:r>
              <w:rPr>
                <w:noProof/>
              </w:rPr>
              <w:t xml:space="preserve"> Europ</w:t>
            </w:r>
            <w:r>
              <w:rPr>
                <w:noProof/>
              </w:rPr>
              <w:t>ean Central Bank, Consolidated Banking Data.</w:t>
            </w:r>
          </w:p>
        </w:tc>
      </w:tr>
      <w:tr w:rsidR="001E7162">
        <w:trPr>
          <w:cantSplit/>
          <w:trHeight w:val="20"/>
        </w:trPr>
        <w:tc>
          <w:tcPr>
            <w:tcW w:w="8505" w:type="dxa"/>
            <w:shd w:val="clear" w:color="auto" w:fill="auto"/>
          </w:tcPr>
          <w:p w:rsidR="001E7162" w:rsidRDefault="001E7162">
            <w:pPr>
              <w:pStyle w:val="SlimCell"/>
              <w:rPr>
                <w:noProof/>
              </w:rPr>
            </w:pPr>
          </w:p>
        </w:tc>
      </w:tr>
    </w:tbl>
    <w:p w:rsidR="001E7162" w:rsidRDefault="001E7162">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31" w:name="_Toc505083029"/>
            <w:r>
              <w:rPr>
                <w:noProof/>
              </w:rPr>
              <w:t>Graph 4.2.7:</w:t>
            </w:r>
            <w:r>
              <w:rPr>
                <w:b/>
                <w:noProof/>
              </w:rPr>
              <w:tab/>
              <w:t>Evolution of NPLs and coverage ratio</w:t>
            </w:r>
            <w:bookmarkEnd w:id="31"/>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5F902813" wp14:editId="385E3B6B">
                  <wp:extent cx="2597595" cy="2441296"/>
                  <wp:effectExtent l="0" t="0" r="0" b="0"/>
                  <wp:docPr id="74" name="Picture 74" descr="&lt;nbr&gt;&lt;GETTEXTFROMWORD&gt;&lt;/nbr&gt;&#10;&lt;title&gt;&lt;GETTEXTFROMWORD&gt;&lt;/title&gt;&#10;&lt;id&gt;e4149058-373a-4f15-810c-271062b3819c&lt;/id&gt;&#10;&lt;srcType&gt;EXCEL&lt;/srcType&gt;&#10;&lt;srcPath&gt;O:\2017 CRs\2018 European semester\11 HR\Excel\&lt;/srcPath&gt;&#10;&lt;srcName&gt;CR.HR.2018_4.2_Private_sector_debt.xlsm&lt;/srcName&gt;&#10;&lt;type&gt;graph&lt;/type&gt;&#10; &lt;srcSheet&gt;npl_evolution&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39:2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NFCs: non-financial corporations. Domestic (CNB) definition of NPLs is used.</w:t>
            </w:r>
          </w:p>
          <w:p w:rsidR="001E7162" w:rsidRDefault="00EC2A75">
            <w:pPr>
              <w:pStyle w:val="GraphSource"/>
              <w:keepNext/>
              <w:rPr>
                <w:noProof/>
              </w:rPr>
            </w:pPr>
            <w:r>
              <w:rPr>
                <w:b/>
                <w:i/>
                <w:noProof/>
              </w:rPr>
              <w:t>Source:</w:t>
            </w:r>
            <w:r>
              <w:rPr>
                <w:noProof/>
              </w:rPr>
              <w:t xml:space="preserve"> Croatian National Bank.</w:t>
            </w:r>
          </w:p>
        </w:tc>
      </w:tr>
    </w:tbl>
    <w:p w:rsidR="001E7162" w:rsidRDefault="00EC2A75">
      <w:pPr>
        <w:rPr>
          <w:noProof/>
        </w:rPr>
      </w:pPr>
      <w:r>
        <w:rPr>
          <w:b/>
          <w:noProof/>
        </w:rPr>
        <w:t xml:space="preserve">NPL sales continue to be the main </w:t>
      </w:r>
      <w:r>
        <w:rPr>
          <w:b/>
          <w:noProof/>
        </w:rPr>
        <w:t>contributor to the reduction in NPLs.</w:t>
      </w:r>
      <w:r>
        <w:rPr>
          <w:noProof/>
        </w:rPr>
        <w:t xml:space="preserve"> NPL sales in 2017 are likely to compare closely to the previous year when total sales were already at historically high levels (see Graph </w:t>
      </w:r>
      <w:r>
        <w:rPr>
          <w:noProof/>
        </w:rPr>
        <w:fldChar w:fldCharType="begin"/>
      </w:r>
      <w:r>
        <w:rPr>
          <w:noProof/>
        </w:rPr>
        <w:instrText xml:space="preserve"> QUOTE "4.2.8"</w:instrText>
      </w:r>
      <w:r>
        <w:rPr>
          <w:noProof/>
        </w:rPr>
        <w:fldChar w:fldCharType="begin">
          <w:fldData xml:space="preserve">QwBSAE8AUwBTAFIARQBGAEUAUgBFAE4AQwBFACoARwBSAEEAUABIACoAZQBjAGUAOAA4ADQAZQAz
AC0AMwBhAGIAYQAtADQANgAzAGMALQBiADAAMwA0AC0ANABlADEAMQBmAGIAZQBjADcAZQBkADUA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4.2.8</w:t>
      </w:r>
      <w:r>
        <w:rPr>
          <w:noProof/>
        </w:rPr>
        <w:fldChar w:fldCharType="end"/>
      </w:r>
      <w:r>
        <w:rPr>
          <w:noProof/>
        </w:rPr>
        <w:t>). In addition, the overall economic improvement has led to an increasing share of restructured loans being reclassified as performing. In the upcoming period, this beneficial development may also be supported b</w:t>
      </w:r>
      <w:r>
        <w:rPr>
          <w:noProof/>
        </w:rPr>
        <w:t>y the recently introduced amendment of reclassification rules by the CNB that enables banks to cure loans more easily and in line with the European Banking Authority guidelines. These positive developments have been offset by a net inflow of NPLs, which ar</w:t>
      </w:r>
      <w:r>
        <w:rPr>
          <w:noProof/>
        </w:rPr>
        <w:t>e partly due to defaulted exposures of banks to Agrokor entities. Well-functioning insolvency frameworks may facilitate the further reduction in NPLs.</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32" w:name="_Toc505083030"/>
            <w:r>
              <w:rPr>
                <w:noProof/>
              </w:rPr>
              <w:t>Graph 4.2.8:</w:t>
            </w:r>
            <w:r>
              <w:rPr>
                <w:b/>
                <w:noProof/>
              </w:rPr>
              <w:tab/>
              <w:t>NPL sales and other NPL flows</w:t>
            </w:r>
            <w:bookmarkEnd w:id="32"/>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121A3B89" wp14:editId="136AAB13">
                  <wp:extent cx="2597595" cy="2421047"/>
                  <wp:effectExtent l="0" t="0" r="0" b="0"/>
                  <wp:docPr id="75" name="Picture 75" descr="&lt;nbr&gt;&lt;GETTEXTFROMWORD&gt;&lt;/nbr&gt;&#10;&lt;title&gt;&lt;GETTEXTFROMWORD&gt;&lt;/title&gt;&#10;&lt;id&gt;ece884e3-3aba-463c-b034-4e11fbec7ed5&lt;/id&gt;&#10;&lt;srcType&gt;EXCEL&lt;/srcType&gt;&#10;&lt;srcPath&gt;O:\2017 CRs\2018 European semester\11 HR\Excel\&lt;/srcPath&gt;&#10;&lt;srcName&gt;CR.HR.2018_4.2_Private_sector_debt.xlsm&lt;/srcName&gt;&#10;&lt;type&gt;graph&lt;/type&gt;&#10; &lt;srcSheet&gt;npl_sales_and_flow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39:2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97595" cy="2421047"/>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 Mid-2017.</w:t>
            </w:r>
          </w:p>
          <w:p w:rsidR="001E7162" w:rsidRDefault="00EC2A75">
            <w:pPr>
              <w:pStyle w:val="GraphFootnote"/>
              <w:keepNext/>
              <w:rPr>
                <w:noProof/>
              </w:rPr>
            </w:pPr>
            <w:r>
              <w:rPr>
                <w:noProof/>
              </w:rPr>
              <w:t>Domestic (CNB) definition of NPLs is used.</w:t>
            </w:r>
          </w:p>
          <w:p w:rsidR="001E7162" w:rsidRDefault="00EC2A75">
            <w:pPr>
              <w:pStyle w:val="GraphSource"/>
              <w:keepNext/>
              <w:rPr>
                <w:noProof/>
              </w:rPr>
            </w:pPr>
            <w:r>
              <w:rPr>
                <w:b/>
                <w:i/>
                <w:noProof/>
              </w:rPr>
              <w:t>Sou</w:t>
            </w:r>
            <w:r>
              <w:rPr>
                <w:b/>
                <w:i/>
                <w:noProof/>
              </w:rPr>
              <w:t>rce:</w:t>
            </w:r>
            <w:r>
              <w:rPr>
                <w:noProof/>
              </w:rPr>
              <w:t xml:space="preserve"> Croatian National Bank.</w:t>
            </w:r>
          </w:p>
        </w:tc>
      </w:tr>
    </w:tbl>
    <w:p w:rsidR="001E7162" w:rsidRDefault="00EC2A75">
      <w:pPr>
        <w:rPr>
          <w:noProof/>
        </w:rPr>
      </w:pPr>
      <w:r>
        <w:rPr>
          <w:b/>
          <w:noProof/>
        </w:rPr>
        <w:t>The impact of the Agrokor crisis on Croatian banks has been limited so far, but risks remain.</w:t>
      </w:r>
      <w:r>
        <w:rPr>
          <w:noProof/>
        </w:rPr>
        <w:t xml:space="preserve"> Roughly one fifth of Agrokor’s total loans are estimated to be from Croatian banks, and most of their impairments have already been incurred in the first half of 2017. The resulting flow of new NPLs and the relevant losses have been less than those predic</w:t>
      </w:r>
      <w:r>
        <w:rPr>
          <w:noProof/>
        </w:rPr>
        <w:t>ted under an orderly restructuring scenario in CNB’s top-down stress test exercise, conducted in early 2017 (Croatian National Bank, 2017). Nevertheless, the banking sector could be indirectly affected by its exposure to Agrokor’s suppliers and by the wide</w:t>
      </w:r>
      <w:r>
        <w:rPr>
          <w:noProof/>
        </w:rPr>
        <w:t>r impact on the Croatian economy of the Agrokor crisis.</w:t>
      </w:r>
    </w:p>
    <w:p w:rsidR="001E7162" w:rsidRDefault="001E7162">
      <w:pPr>
        <w:rPr>
          <w:b/>
          <w:noProof/>
        </w:rPr>
        <w:sectPr w:rsidR="001E7162">
          <w:headerReference w:type="even" r:id="rId103"/>
          <w:headerReference w:type="default" r:id="rId104"/>
          <w:footerReference w:type="even" r:id="rId105"/>
          <w:footerReference w:type="default" r:id="rId106"/>
          <w:headerReference w:type="first" r:id="rId107"/>
          <w:footerReference w:type="first" r:id="rId10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1E7162">
        <w:trPr>
          <w:jc w:val="center"/>
        </w:trPr>
        <w:tc>
          <w:tcPr>
            <w:tcW w:w="8721" w:type="dxa"/>
            <w:shd w:val="clear" w:color="auto" w:fill="F7FCFF"/>
          </w:tcPr>
          <w:p w:rsidR="001E7162" w:rsidRDefault="00EC2A75">
            <w:pPr>
              <w:pStyle w:val="BoxTitle"/>
              <w:pageBreakBefore/>
              <w:rPr>
                <w:b/>
                <w:noProof/>
              </w:rPr>
            </w:pPr>
            <w:bookmarkStart w:id="33" w:name="_Toc505082848"/>
            <w:r>
              <w:rPr>
                <w:i/>
                <w:noProof/>
              </w:rPr>
              <w:t xml:space="preserve">Box 4.2.1: </w:t>
            </w:r>
            <w:r>
              <w:rPr>
                <w:b/>
                <w:noProof/>
              </w:rPr>
              <w:t xml:space="preserve">Crisis and restructuring </w:t>
            </w:r>
            <w:r>
              <w:rPr>
                <w:b/>
                <w:noProof/>
              </w:rPr>
              <w:t>of Agrokor</w:t>
            </w:r>
            <w:bookmarkEnd w:id="33"/>
          </w:p>
          <w:p w:rsidR="001E7162" w:rsidRDefault="00EC2A75">
            <w:pPr>
              <w:pStyle w:val="BoxText"/>
              <w:rPr>
                <w:noProof/>
              </w:rPr>
            </w:pPr>
            <w:r>
              <w:rPr>
                <w:noProof/>
              </w:rPr>
              <w:t>With around 30 000 employees and 2.2 % of the total gross value added in the economy, the Agrokor group is the largest private employer in Croatia. Having faced serious financial distress in early 2017, Agrokor was put under extraordinary admini</w:t>
            </w:r>
            <w:r>
              <w:rPr>
                <w:noProof/>
              </w:rPr>
              <w:t>stration in April. The potentially large impact on the Croatian economy and financial stability prompted the government to introduce a special law intended at minimizing the risk of a disorderly restructuring in systemically important companies. The law au</w:t>
            </w:r>
            <w:r>
              <w:rPr>
                <w:noProof/>
              </w:rPr>
              <w:t>thorised a court-appointed extraordinary administrator, supervised by a council of creditors, to administer the processes of operational restructuring and negotiation of a settlement with the company's creditors. Agrokor's core business operations thus suf</w:t>
            </w:r>
            <w:r>
              <w:rPr>
                <w:noProof/>
              </w:rPr>
              <w:t>fered only minor disruptions, which allowed the group to benefit from another record tourist season in Croatia.</w:t>
            </w:r>
          </w:p>
          <w:p w:rsidR="001E7162" w:rsidRDefault="00EC2A75">
            <w:pPr>
              <w:pStyle w:val="BoxText"/>
              <w:rPr>
                <w:noProof/>
              </w:rPr>
            </w:pPr>
            <w:r>
              <w:rPr>
                <w:noProof/>
              </w:rPr>
              <w:t>In September an audit revealed that total liabilities in 2015 were over 20 % higher than previous official figures. Agrokor's equity thus turned</w:t>
            </w:r>
            <w:r>
              <w:rPr>
                <w:noProof/>
              </w:rPr>
              <w:t xml:space="preserve"> out to be negative as borrowings stood at just over HRK 40 billion in 2016, representing more than 16 % of the country's total corporate debt or 11.5 % of GDP. Other liabilities, including most notably trade payables, amounted to more than HRK 16 billion </w:t>
            </w:r>
            <w:r>
              <w:rPr>
                <w:noProof/>
              </w:rPr>
              <w:t xml:space="preserve">(4.6 % of GDP). </w:t>
            </w:r>
          </w:p>
          <w:p w:rsidR="001E7162" w:rsidRDefault="00EC2A75">
            <w:pPr>
              <w:pStyle w:val="BoxText"/>
              <w:rPr>
                <w:noProof/>
              </w:rPr>
            </w:pPr>
            <w:r>
              <w:rPr>
                <w:noProof/>
              </w:rPr>
              <w:t>In January 2018, the Commercial Court in Zagreb issued a final list of creditors' valid claims towards Agrokor, which formed the basis for determining voting rights in the council of creditors (</w:t>
            </w:r>
            <w:r>
              <w:rPr>
                <w:rStyle w:val="EndnoteReference"/>
                <w:noProof/>
              </w:rPr>
              <w:endnoteReference w:id="3"/>
            </w:r>
            <w:r>
              <w:rPr>
                <w:noProof/>
              </w:rPr>
              <w:t>). After the establishment of voting rights,</w:t>
            </w:r>
            <w:r>
              <w:rPr>
                <w:noProof/>
              </w:rPr>
              <w:t xml:space="preserve"> a negotiation period ensues which is required by the special law to result in a settlement by mid-2018, or else the procedure will turn into regular insolvency.</w:t>
            </w:r>
          </w:p>
          <w:p w:rsidR="001E7162" w:rsidRDefault="00EC2A75">
            <w:pPr>
              <w:pStyle w:val="BoxText"/>
              <w:rPr>
                <w:noProof/>
              </w:rPr>
            </w:pPr>
            <w:r>
              <w:rPr>
                <w:noProof/>
              </w:rPr>
              <w:t>The still uncertain outcome of Agrokor's restructuring, particularly if no settlement is reach</w:t>
            </w:r>
            <w:r>
              <w:rPr>
                <w:noProof/>
              </w:rPr>
              <w:t xml:space="preserve">ed, poses a significant downside risk to the economic activity, as financial losses and possible operational disruptions in the group and its supply chain could be sizeable. However, the direct risk to the stability of the domestic financial sector should </w:t>
            </w:r>
            <w:r>
              <w:rPr>
                <w:noProof/>
              </w:rPr>
              <w:t>be contained, since the majority of Agrokor's borrowing relates to external debt contracted abroad, whereas Agrokor's debt held by the well-capitalised domestic banking sector is not highly concentrated.</w:t>
            </w:r>
          </w:p>
        </w:tc>
      </w:tr>
    </w:tbl>
    <w:p w:rsidR="001E7162" w:rsidRDefault="001E7162">
      <w:pPr>
        <w:spacing w:after="0" w:line="20" w:lineRule="exact"/>
        <w:rPr>
          <w:b/>
          <w:noProof/>
          <w:sz w:val="2"/>
        </w:rPr>
        <w:sectPr w:rsidR="001E7162">
          <w:headerReference w:type="even" r:id="rId109"/>
          <w:headerReference w:type="default" r:id="rId110"/>
          <w:footerReference w:type="even" r:id="rId111"/>
          <w:footerReference w:type="default" r:id="rId112"/>
          <w:headerReference w:type="first" r:id="rId113"/>
          <w:footerReference w:type="first" r:id="rId114"/>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1E7162" w:rsidRDefault="00EC2A75">
      <w:pPr>
        <w:rPr>
          <w:noProof/>
        </w:rPr>
      </w:pPr>
      <w:r>
        <w:rPr>
          <w:b/>
          <w:noProof/>
        </w:rPr>
        <w:t>The high exposure of the private sector to currency risks leads to indirect credit risk for the banking sector.</w:t>
      </w:r>
      <w:r>
        <w:rPr>
          <w:noProof/>
        </w:rPr>
        <w:t xml:space="preserve"> At the end of December 2016, 86</w:t>
      </w:r>
      <w:r>
        <w:rPr>
          <w:noProof/>
        </w:rPr>
        <w:t xml:space="preserve"> % of total loans denominated in or indexed to a foreign currency were not hedged against currency-induced credit risk. Alongside the CNB recommendations to credit institutions discussed above and aimed at mitigating credit risk on consumer loans, the CNB </w:t>
      </w:r>
      <w:r>
        <w:rPr>
          <w:noProof/>
        </w:rPr>
        <w:t>enabled easier access to HRK funding of banks by amending the regulatory framework for monetary policy operations, as the high demand for HRK-denominated loans is putting pressure on the banking sector, due to an increasing problem of maturity mismatch. In</w:t>
      </w:r>
      <w:r>
        <w:rPr>
          <w:noProof/>
        </w:rPr>
        <w:t>deed, banks may find it challenging to provide fixed-rate, long-term lending in HRK, given the lack of long-term HRK funding.</w:t>
      </w:r>
    </w:p>
    <w:p w:rsidR="001E7162" w:rsidRDefault="00EC2A75">
      <w:pPr>
        <w:rPr>
          <w:noProof/>
        </w:rPr>
      </w:pPr>
      <w:r>
        <w:rPr>
          <w:b/>
          <w:noProof/>
        </w:rPr>
        <w:t>In 2017 the Parliament passed a number of financial laws.</w:t>
      </w:r>
      <w:r>
        <w:rPr>
          <w:noProof/>
        </w:rPr>
        <w:t xml:space="preserve"> In summer 2017, the parliament introduced new legislation which annuls t</w:t>
      </w:r>
      <w:r>
        <w:rPr>
          <w:noProof/>
        </w:rPr>
        <w:t xml:space="preserve">he validity of certain existing loans taken with foreign creditors. The CNB and the ECB were not consulted on the draft law, the implementation of which may prove problematic given the lack of precise data on the loans concerned and the lack of clarity on </w:t>
      </w:r>
      <w:r>
        <w:rPr>
          <w:noProof/>
        </w:rPr>
        <w:t>some of its key provisions. The most affected bank has lodged a complaint with the Constitutional Court. In October 2017, the parliament adopted a law to transpose the Mortgage Credit Directive, and the related by-laws were enacted by the CNB subsequently.</w:t>
      </w:r>
    </w:p>
    <w:p w:rsidR="001E7162" w:rsidRDefault="00EC2A75">
      <w:pPr>
        <w:rPr>
          <w:noProof/>
        </w:rPr>
      </w:pPr>
      <w:r>
        <w:rPr>
          <w:b/>
          <w:noProof/>
        </w:rPr>
        <w:t>The authorities have not yet communicated the results and possible follow-up to the Asset Quality Review of HBOR in 2017.</w:t>
      </w:r>
      <w:r>
        <w:rPr>
          <w:noProof/>
        </w:rPr>
        <w:t xml:space="preserve"> The Croatian National Bank oversaw the quality assurance and ensured that the AQR methodology closely followed the ECB methodology de</w:t>
      </w:r>
      <w:r>
        <w:rPr>
          <w:noProof/>
        </w:rPr>
        <w:t>veloped in 2014. One of the purposes of the AQR is to inform the government decisions on possible changes in the regulatory and governance structure of HBOR. The latter is indeed a development and promotional state-owned bank that presents a number of spec</w:t>
      </w:r>
      <w:r>
        <w:rPr>
          <w:noProof/>
        </w:rPr>
        <w:t>ificities, like a high share of direct lending (European Commission, 2017f).</w:t>
      </w:r>
    </w:p>
    <w:p w:rsidR="001E7162" w:rsidRDefault="001E7162">
      <w:pPr>
        <w:rPr>
          <w:noProof/>
        </w:rPr>
        <w:sectPr w:rsidR="001E7162">
          <w:headerReference w:type="even" r:id="rId115"/>
          <w:headerReference w:type="default" r:id="rId116"/>
          <w:footerReference w:type="even" r:id="rId117"/>
          <w:footerReference w:type="default" r:id="rId118"/>
          <w:headerReference w:type="first" r:id="rId119"/>
          <w:footerReference w:type="first" r:id="rId120"/>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1E7162" w:rsidRDefault="00EC2A75">
      <w:pPr>
        <w:pStyle w:val="SectionTitleFramed8"/>
        <w:framePr w:wrap="notBeside"/>
        <w:rPr>
          <w:noProof/>
        </w:rPr>
      </w:pPr>
      <w:bookmarkStart w:id="34" w:name="_Toc507359623"/>
      <w:r>
        <w:rPr>
          <w:noProof/>
        </w:rPr>
        <w:t>4.3.</w:t>
      </w:r>
      <w:r>
        <w:rPr>
          <w:noProof/>
        </w:rPr>
        <w:tab/>
        <w:t xml:space="preserve">Labour </w:t>
      </w:r>
      <w:r>
        <w:rPr>
          <w:noProof/>
        </w:rPr>
        <w:t>market, social policies and education*</w:t>
      </w:r>
      <w:bookmarkEnd w:id="34"/>
    </w:p>
    <w:p w:rsidR="001E7162" w:rsidRDefault="00EC2A75">
      <w:pPr>
        <w:pStyle w:val="Heading"/>
        <w:rPr>
          <w:noProof/>
        </w:rPr>
      </w:pPr>
      <w:r>
        <w:rPr>
          <w:noProof/>
        </w:rPr>
        <w:t xml:space="preserve">Labour market developments </w:t>
      </w:r>
    </w:p>
    <w:p w:rsidR="001E7162" w:rsidRDefault="00EC2A75">
      <w:pPr>
        <w:rPr>
          <w:noProof/>
        </w:rPr>
      </w:pPr>
      <w:r>
        <w:rPr>
          <w:b/>
          <w:noProof/>
        </w:rPr>
        <w:t>The unemployment rate in Croatia has been falling considerably over the past year, but labour utilisation remains low.</w:t>
      </w:r>
      <w:r>
        <w:rPr>
          <w:noProof/>
        </w:rPr>
        <w:t xml:space="preserve"> The unemployment rate decreased from 13.4 % in 2016 to 11.1 %in  2017.</w:t>
      </w:r>
      <w:r>
        <w:rPr>
          <w:noProof/>
        </w:rPr>
        <w:t xml:space="preserve"> The drop resulted from the combined effect of increases in the employment rate and in the activity rate. However, at 65.6 % in Q3 2017, the employment rate was still one of the lowest in the EU; the activity rate was 71.7 % (Graph </w:t>
      </w:r>
      <w:r>
        <w:rPr>
          <w:noProof/>
        </w:rPr>
        <w:fldChar w:fldCharType="begin"/>
      </w:r>
      <w:r>
        <w:rPr>
          <w:noProof/>
        </w:rPr>
        <w:instrText xml:space="preserve"> QUOTE "4.3.1"</w:instrText>
      </w:r>
      <w:r>
        <w:rPr>
          <w:noProof/>
        </w:rPr>
        <w:fldChar w:fldCharType="begin">
          <w:fldData xml:space="preserve">QwBSAE8AUwBTAFIARQBGAEUAUgBFAE4AQwBFACoARwBSAEEAUABIACoAYwAzADEANAA4ADIAMQBl
AC0ANQBiADAAMAAtADQANQA1ADMALQBiADMAZABjAC0AYQA2ADgANAA4AGQAMQBiAGQAYQBhAGYA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4.3.1</w:t>
      </w:r>
      <w:r>
        <w:rPr>
          <w:noProof/>
        </w:rPr>
        <w:fldChar w:fldCharType="end"/>
      </w:r>
      <w:r>
        <w:rPr>
          <w:noProof/>
        </w:rPr>
        <w:t xml:space="preserve">), compared to the EU average of 78.2 %. Between Q3 2016 and Q3 2017, the rate of long-term unemployment (LTU) declined to 3.9 % of the labour force (-1.5 </w:t>
      </w:r>
      <w:r>
        <w:rPr>
          <w:noProof/>
        </w:rPr>
        <w:t>pps), moving closer to the EU average of 3.3 % (</w:t>
      </w:r>
      <w:r>
        <w:rPr>
          <w:rStyle w:val="FootnoteReference"/>
          <w:noProof/>
        </w:rPr>
        <w:footnoteReference w:id="23"/>
      </w:r>
      <w:r>
        <w:rPr>
          <w:noProof/>
        </w:rPr>
        <w:t>). Overall, the chronically low labour utilisation in the Croatian economy continues to weigh on potential growth and on the country's adjustment capacity. There are also large territorial disparities in lab</w:t>
      </w:r>
      <w:r>
        <w:rPr>
          <w:noProof/>
        </w:rPr>
        <w:t>our market outcomes. Based on 2016 registered unemployment data by county (Croatian Bureau of Statistics), the highest unemployment rate was almost four times the lowest rate. Most counties with the highest unemployment rates were located in the Eastern an</w:t>
      </w:r>
      <w:r>
        <w:rPr>
          <w:noProof/>
        </w:rPr>
        <w:t xml:space="preserve">d Central part of the country.    </w:t>
      </w:r>
    </w:p>
    <w:p w:rsidR="001E7162" w:rsidRDefault="00EC2A75">
      <w:pPr>
        <w:rPr>
          <w:noProof/>
        </w:rPr>
      </w:pPr>
      <w:r>
        <w:rPr>
          <w:b/>
          <w:noProof/>
        </w:rPr>
        <w:t>Low participation and low employment are widespread across age groups and genders, and vulnerable groups are particularly affected.</w:t>
      </w:r>
      <w:r>
        <w:rPr>
          <w:noProof/>
        </w:rPr>
        <w:t xml:space="preserve"> The activity and employment rate of both men and women are well below EU average. Men rec</w:t>
      </w:r>
      <w:r>
        <w:rPr>
          <w:noProof/>
        </w:rPr>
        <w:t>orded the second lowest employment rate in the EU, while the employment rate of women is 10 pp lower than for men (56.6 % and 66.2 % respectively). Discouragement, skills gaps, care responsibilities as well as multiple pathways to early exits represent imp</w:t>
      </w:r>
      <w:r>
        <w:rPr>
          <w:noProof/>
        </w:rPr>
        <w:t>ortant barriers to employment (European Commission, 2017f). The rate of young people not in employment, education or training (NEET) (16.9 % in 2016) and the youth unemployment rate (26.4 % in 2017) both remain high. The employment rate of older workers in</w:t>
      </w:r>
      <w:r>
        <w:rPr>
          <w:noProof/>
        </w:rPr>
        <w:t xml:space="preserve"> 2016 was the second lowest in the EU (38.1 %). Besides the numerous pathways to early exit from the labour market, this could also reflect insufficient focus on training for this age group. In 2016 at 37.9 %, the employment rate of low skilled workers was</w:t>
      </w:r>
      <w:r>
        <w:rPr>
          <w:noProof/>
        </w:rPr>
        <w:t xml:space="preserve"> well below the EU average (53.6 %) and much lower than for medium and high skilled workers (see Graph 4.3.2). Finally, the activity gap between people with and without disabilities in 2015 was 28.9 pp above the EU average.</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35" w:name="_Toc505083031"/>
            <w:r>
              <w:rPr>
                <w:noProof/>
              </w:rPr>
              <w:t>Graph 4.3.1:</w:t>
            </w:r>
            <w:r>
              <w:rPr>
                <w:b/>
                <w:noProof/>
              </w:rPr>
              <w:tab/>
              <w:t>Activity, unemploym</w:t>
            </w:r>
            <w:r>
              <w:rPr>
                <w:b/>
                <w:noProof/>
              </w:rPr>
              <w:t>ent, long-term unemployment, youth unemployment, NEET and employment rates</w:t>
            </w:r>
            <w:bookmarkEnd w:id="35"/>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7E31A322" wp14:editId="514C4823">
                  <wp:extent cx="2508250" cy="2338251"/>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12050" cy="2341793"/>
                          </a:xfrm>
                          <a:prstGeom prst="rect">
                            <a:avLst/>
                          </a:prstGeom>
                          <a:noFill/>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 Based on Q1-Q3, except for unemployment.</w:t>
            </w:r>
            <w:r>
              <w:rPr>
                <w:noProof/>
              </w:rPr>
              <w:br/>
              <w:t>(1) NEET: Not in employment, education or training.</w:t>
            </w:r>
            <w:r>
              <w:rPr>
                <w:noProof/>
              </w:rPr>
              <w:br/>
              <w:t>(2) Activity, employment and NEET rates: % of population.</w:t>
            </w:r>
            <w:r>
              <w:rPr>
                <w:noProof/>
              </w:rPr>
              <w:br/>
              <w:t xml:space="preserve">(3) Unemployment, youth </w:t>
            </w:r>
            <w:r>
              <w:rPr>
                <w:noProof/>
              </w:rPr>
              <w:t>unemployment and long-term unemployment rates: % of labour force.</w:t>
            </w:r>
          </w:p>
          <w:p w:rsidR="001E7162" w:rsidRDefault="00EC2A75">
            <w:pPr>
              <w:pStyle w:val="GraphSource"/>
              <w:keepNext/>
              <w:rPr>
                <w:noProof/>
                <w:lang w:val="fr-BE"/>
              </w:rPr>
            </w:pPr>
            <w:r>
              <w:rPr>
                <w:b/>
                <w:i/>
                <w:noProof/>
                <w:lang w:val="fr-BE"/>
              </w:rPr>
              <w:t>Source:</w:t>
            </w:r>
            <w:r>
              <w:rPr>
                <w:noProof/>
                <w:lang w:val="fr-BE"/>
              </w:rPr>
              <w:t xml:space="preserve"> Eurostat, Labour Force Survey (LFS).</w:t>
            </w:r>
          </w:p>
        </w:tc>
      </w:tr>
    </w:tbl>
    <w:p w:rsidR="001E7162" w:rsidRDefault="001E7162">
      <w:pPr>
        <w:rPr>
          <w:b/>
          <w:noProof/>
          <w:lang w:val="fr-BE"/>
        </w:rPr>
        <w:sectPr w:rsidR="001E7162">
          <w:headerReference w:type="even" r:id="rId122"/>
          <w:headerReference w:type="default" r:id="rId123"/>
          <w:footerReference w:type="even" r:id="rId124"/>
          <w:footerReference w:type="default" r:id="rId125"/>
          <w:headerReference w:type="first" r:id="rId126"/>
          <w:footerReference w:type="first" r:id="rId12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1E7162">
        <w:trPr>
          <w:jc w:val="center"/>
        </w:trPr>
        <w:tc>
          <w:tcPr>
            <w:tcW w:w="8721" w:type="dxa"/>
            <w:shd w:val="clear" w:color="auto" w:fill="F7FCFF"/>
          </w:tcPr>
          <w:p w:rsidR="001E7162" w:rsidRDefault="00EC2A75">
            <w:pPr>
              <w:pStyle w:val="BoxTitle"/>
              <w:pageBreakBefore/>
              <w:rPr>
                <w:b/>
                <w:noProof/>
              </w:rPr>
            </w:pPr>
            <w:bookmarkStart w:id="36" w:name="_Toc505082849"/>
            <w:r>
              <w:rPr>
                <w:i/>
                <w:noProof/>
              </w:rPr>
              <w:t xml:space="preserve">Box 4.3.1: </w:t>
            </w:r>
            <w:r>
              <w:rPr>
                <w:b/>
                <w:noProof/>
              </w:rPr>
              <w:t>Monitoring performance in light of the European Pillar of Social Rights</w:t>
            </w:r>
            <w:bookmarkEnd w:id="36"/>
          </w:p>
          <w:p w:rsidR="001E7162" w:rsidRDefault="00EC2A75">
            <w:pPr>
              <w:spacing w:after="220" w:line="220" w:lineRule="atLeast"/>
              <w:ind w:right="85"/>
              <w:rPr>
                <w:rFonts w:eastAsia="Times New Roman"/>
                <w:noProof/>
                <w:sz w:val="18"/>
                <w:szCs w:val="18"/>
              </w:rPr>
            </w:pPr>
            <w:r>
              <w:rPr>
                <w:rFonts w:eastAsia="Times New Roman"/>
                <w:noProof/>
                <w:sz w:val="18"/>
                <w:szCs w:val="18"/>
              </w:rPr>
              <w:t xml:space="preserve">The European Pillar of Social Rights, proclaimed on 17 November 2017 by the European Parliament, the Council and the European Commission, sets </w:t>
            </w:r>
            <w:r>
              <w:rPr>
                <w:rFonts w:eastAsia="Times New Roman"/>
                <w:noProof/>
                <w:sz w:val="18"/>
                <w:szCs w:val="18"/>
              </w:rPr>
              <w:t>out 20 key principles and rights to benefit citizens in the EU. In light of the legacy of the crisis and changes in our societies driven by population ageing, technological change and new ways of working, the Pillar serves as a compass for a renewed proces</w:t>
            </w:r>
            <w:r>
              <w:rPr>
                <w:rFonts w:eastAsia="Times New Roman"/>
                <w:noProof/>
                <w:sz w:val="18"/>
                <w:szCs w:val="18"/>
              </w:rPr>
              <w:t>s of convergence towards better working and living conditions.</w:t>
            </w:r>
          </w:p>
          <w:p w:rsidR="001E7162" w:rsidRDefault="00EC2A75">
            <w:pPr>
              <w:spacing w:after="220" w:line="220" w:lineRule="atLeast"/>
              <w:ind w:right="85"/>
              <w:rPr>
                <w:rFonts w:eastAsia="Times New Roman"/>
                <w:noProof/>
                <w:sz w:val="18"/>
                <w:szCs w:val="18"/>
              </w:rPr>
            </w:pPr>
            <w:r>
              <w:rPr>
                <w:rFonts w:eastAsia="Times New Roman"/>
                <w:noProof/>
                <w:sz w:val="18"/>
                <w:szCs w:val="24"/>
                <w:lang w:eastAsia="en-GB"/>
              </w:rPr>
              <w:drawing>
                <wp:anchor distT="0" distB="0" distL="114300" distR="114300" simplePos="0" relativeHeight="251661312" behindDoc="0" locked="0" layoutInCell="1" allowOverlap="1" wp14:anchorId="7678390F" wp14:editId="7D31E630">
                  <wp:simplePos x="0" y="0"/>
                  <wp:positionH relativeFrom="column">
                    <wp:posOffset>0</wp:posOffset>
                  </wp:positionH>
                  <wp:positionV relativeFrom="paragraph">
                    <wp:posOffset>619953</wp:posOffset>
                  </wp:positionV>
                  <wp:extent cx="2628000" cy="377640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8000" cy="37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sz w:val="18"/>
                <w:szCs w:val="18"/>
              </w:rPr>
              <w:t xml:space="preserve">Croatia faces challenges </w:t>
            </w:r>
            <w:r>
              <w:rPr>
                <w:rFonts w:eastAsia="Times New Roman"/>
                <w:noProof/>
                <w:sz w:val="18"/>
                <w:szCs w:val="18"/>
              </w:rPr>
              <w:t>with regard to a number of indicators of</w:t>
            </w:r>
            <w:r>
              <w:rPr>
                <w:rFonts w:eastAsia="Times New Roman"/>
                <w:b/>
                <w:noProof/>
                <w:sz w:val="18"/>
                <w:szCs w:val="18"/>
              </w:rPr>
              <w:t xml:space="preserve"> the Social Scoreboard</w:t>
            </w:r>
            <w:r>
              <w:rPr>
                <w:rFonts w:eastAsia="Times New Roman"/>
                <w:b/>
                <w:noProof/>
                <w:sz w:val="18"/>
                <w:szCs w:val="24"/>
                <w:vertAlign w:val="superscript"/>
              </w:rPr>
              <w:footnoteReference w:id="24"/>
            </w:r>
            <w:r>
              <w:rPr>
                <w:rFonts w:eastAsia="Times New Roman"/>
                <w:b/>
                <w:noProof/>
                <w:sz w:val="18"/>
                <w:szCs w:val="18"/>
              </w:rPr>
              <w:t xml:space="preserve"> supporting the European Pillar of Social Rights.</w:t>
            </w:r>
            <w:r>
              <w:rPr>
                <w:rFonts w:eastAsia="Times New Roman"/>
                <w:noProof/>
                <w:sz w:val="18"/>
                <w:szCs w:val="18"/>
              </w:rPr>
              <w:t xml:space="preserve"> </w:t>
            </w:r>
            <w:r>
              <w:rPr>
                <w:noProof/>
                <w:sz w:val="18"/>
                <w:szCs w:val="18"/>
              </w:rPr>
              <w:t>This is notably the case for</w:t>
            </w:r>
            <w:r>
              <w:rPr>
                <w:b/>
                <w:noProof/>
                <w:sz w:val="18"/>
                <w:szCs w:val="18"/>
              </w:rPr>
              <w:t xml:space="preserve"> </w:t>
            </w:r>
            <w:r>
              <w:rPr>
                <w:rFonts w:eastAsia="Times New Roman"/>
                <w:noProof/>
                <w:sz w:val="18"/>
                <w:szCs w:val="18"/>
              </w:rPr>
              <w:t>equal opportunities and access to the labour market and fair working conditions. Unemployment rate is decreasing. However, Croatia still faces a high rate of young people not in employment, education or training (NEETs), and low employment rates while only</w:t>
            </w:r>
            <w:r>
              <w:rPr>
                <w:rFonts w:eastAsia="Times New Roman"/>
                <w:noProof/>
                <w:sz w:val="18"/>
                <w:szCs w:val="18"/>
              </w:rPr>
              <w:t xml:space="preserve"> few of the jobseekers participate in active labour market policy measures. Croatia has high shares of people at-risk-of poverty or social exclusion. Nonetheless, the share of early school leavers is relatively low. </w:t>
            </w:r>
          </w:p>
          <w:p w:rsidR="001E7162" w:rsidRDefault="00EC2A75">
            <w:pPr>
              <w:spacing w:after="120"/>
              <w:ind w:right="3"/>
              <w:rPr>
                <w:rFonts w:eastAsia="Times New Roman"/>
                <w:noProof/>
                <w:sz w:val="18"/>
                <w:szCs w:val="18"/>
              </w:rPr>
            </w:pPr>
            <w:r>
              <w:rPr>
                <w:rFonts w:eastAsia="Times New Roman"/>
                <w:b/>
                <w:noProof/>
                <w:sz w:val="18"/>
                <w:szCs w:val="18"/>
              </w:rPr>
              <w:t xml:space="preserve">Low participation in the labour market </w:t>
            </w:r>
            <w:r>
              <w:rPr>
                <w:rFonts w:eastAsia="Times New Roman"/>
                <w:b/>
                <w:noProof/>
                <w:sz w:val="18"/>
                <w:szCs w:val="18"/>
              </w:rPr>
              <w:t>applies in particular to older workers.</w:t>
            </w:r>
            <w:r>
              <w:rPr>
                <w:rFonts w:eastAsia="Times New Roman"/>
                <w:noProof/>
                <w:sz w:val="18"/>
                <w:szCs w:val="18"/>
              </w:rPr>
              <w:t xml:space="preserve"> Among 55-64 years olds the employment rate stands at 38.1 %. Croatia has in recent years not been successful in addressing this issue, and this is raising concerns for the adequacy of the pension system in a context </w:t>
            </w:r>
            <w:r>
              <w:rPr>
                <w:rFonts w:eastAsia="Times New Roman"/>
                <w:noProof/>
                <w:sz w:val="18"/>
                <w:szCs w:val="18"/>
              </w:rPr>
              <w:t>of demographic change.</w:t>
            </w:r>
          </w:p>
          <w:p w:rsidR="001E7162" w:rsidRDefault="00EC2A75">
            <w:pPr>
              <w:pStyle w:val="BoxText"/>
              <w:rPr>
                <w:noProof/>
              </w:rPr>
            </w:pPr>
            <w:r>
              <w:rPr>
                <w:rFonts w:eastAsia="Calibri"/>
                <w:b/>
                <w:noProof/>
                <w:sz w:val="20"/>
                <w:szCs w:val="18"/>
              </w:rPr>
              <w:t xml:space="preserve">The establishment of a network of Lifelong Career Guidance (LLCG) Centres across Croatia is a step forward in the integration of employment programmes. </w:t>
            </w:r>
            <w:r>
              <w:rPr>
                <w:rFonts w:eastAsia="Calibri"/>
                <w:noProof/>
                <w:sz w:val="20"/>
                <w:szCs w:val="18"/>
              </w:rPr>
              <w:t>The Centres provide individual and tailored career guidance support to all Croati</w:t>
            </w:r>
            <w:r>
              <w:rPr>
                <w:rFonts w:eastAsia="Calibri"/>
                <w:noProof/>
                <w:sz w:val="20"/>
                <w:szCs w:val="18"/>
              </w:rPr>
              <w:t>an citizens. One of their main aims is to create targeted measures for the identification and activation of youth NEETs. The Centres use a partnership-based model and work with relevant stakeholders at local and county levels. So far there are 13 Centres a</w:t>
            </w:r>
            <w:r>
              <w:rPr>
                <w:rFonts w:eastAsia="Calibri"/>
                <w:noProof/>
                <w:sz w:val="20"/>
                <w:szCs w:val="18"/>
              </w:rPr>
              <w:t>nd the plan is to reach at least 22 by 2020. In addition, the Croatian Public Employment Service and the Ministry of Science, Education and Sports as well as the Ministry of Labour and Pension System have signed agreements on the establishment of data exch</w:t>
            </w:r>
            <w:r>
              <w:rPr>
                <w:rFonts w:eastAsia="Calibri"/>
                <w:noProof/>
                <w:sz w:val="20"/>
                <w:szCs w:val="18"/>
              </w:rPr>
              <w:t>ange systems between them. This will allow tracking the youth NEETs and exchanging changing data on the career intentions of students in their final year of study.</w:t>
            </w:r>
          </w:p>
        </w:tc>
      </w:tr>
    </w:tbl>
    <w:p w:rsidR="001E7162" w:rsidRDefault="001E7162">
      <w:pPr>
        <w:spacing w:after="0" w:line="20" w:lineRule="exact"/>
        <w:rPr>
          <w:b/>
          <w:noProof/>
          <w:sz w:val="2"/>
        </w:rPr>
        <w:sectPr w:rsidR="001E7162">
          <w:headerReference w:type="even" r:id="rId129"/>
          <w:headerReference w:type="default" r:id="rId130"/>
          <w:footerReference w:type="even" r:id="rId131"/>
          <w:footerReference w:type="default" r:id="rId132"/>
          <w:headerReference w:type="first" r:id="rId133"/>
          <w:footerReference w:type="first" r:id="rId134"/>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1E7162" w:rsidRDefault="00EC2A75">
      <w:pPr>
        <w:rPr>
          <w:noProof/>
        </w:rPr>
      </w:pPr>
      <w:r>
        <w:rPr>
          <w:b/>
          <w:noProof/>
        </w:rPr>
        <w:br w:type="page"/>
        <w:t>Active labour market measures are insufficiently targeted at vulnerable groups.</w:t>
      </w:r>
      <w:r>
        <w:rPr>
          <w:noProof/>
        </w:rPr>
        <w:t xml:space="preserve"> In 2016 the participation of unemployed persons in active labour market measures (ALMPs) w</w:t>
      </w:r>
      <w:r>
        <w:rPr>
          <w:noProof/>
        </w:rPr>
        <w:t>as very low, at 7 %. In early 2017, new ALMPs were announced, but from a preliminary evaluation, they do not seem to address the difficulties in entering the labour market for the long term unemployed and the low-skilled (</w:t>
      </w:r>
      <w:r>
        <w:rPr>
          <w:rStyle w:val="FootnoteReference"/>
          <w:noProof/>
        </w:rPr>
        <w:footnoteReference w:id="25"/>
      </w:r>
      <w:r>
        <w:rPr>
          <w:noProof/>
        </w:rPr>
        <w:t>). At the same time, the Croatian</w:t>
      </w:r>
      <w:r>
        <w:rPr>
          <w:noProof/>
        </w:rPr>
        <w:t xml:space="preserve"> Youth Guarantee scheme is showing some promising results: it reached more than half (54 %) of NEETs aged 15-24 in 2016 (EU average 42.5 %), and 18 months after leaving the scheme, 68.3 % of participants were in employment. Regarding passive measures, the </w:t>
      </w:r>
      <w:r>
        <w:rPr>
          <w:noProof/>
        </w:rPr>
        <w:t>duration of unemployment benefits (relative to the qualifying contribution period) is short in Croatia, and the coverage (less than 15 % of the eligible population) remains low (European Commission, 2017a).</w:t>
      </w:r>
    </w:p>
    <w:p w:rsidR="001E7162" w:rsidRDefault="00EC2A75">
      <w:pPr>
        <w:rPr>
          <w:noProof/>
        </w:rPr>
      </w:pPr>
      <w:r>
        <w:rPr>
          <w:b/>
          <w:noProof/>
        </w:rPr>
        <w:t>As of 2017, there has been a decrease in the numb</w:t>
      </w:r>
      <w:r>
        <w:rPr>
          <w:b/>
          <w:noProof/>
        </w:rPr>
        <w:t>er of new hires on temporary contracts and a sharp increase in new permanent contracts.</w:t>
      </w:r>
      <w:r>
        <w:rPr>
          <w:noProof/>
        </w:rPr>
        <w:t xml:space="preserve"> The pick-up in economic activity and the improving conditions on the labour market favoured an increase in permanent contracts (Graph 4.3.3). In Q3 2017 however, tempor</w:t>
      </w:r>
      <w:r>
        <w:rPr>
          <w:noProof/>
        </w:rPr>
        <w:t>ary employees as a percentage of total employment still stood at 22.5 %, against an EU average of 14.8 %. As far as self-employed workers are concerned, in 2016 their share in total employment decreased to 12 %, of which the largest group were farmers (30%</w:t>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37" w:name="_Toc505083032"/>
            <w:r>
              <w:rPr>
                <w:noProof/>
              </w:rPr>
              <w:t>Graph 4.3.2:</w:t>
            </w:r>
            <w:r>
              <w:rPr>
                <w:b/>
                <w:noProof/>
              </w:rPr>
              <w:tab/>
              <w:t>Employment rate by educational attainment</w:t>
            </w:r>
            <w:bookmarkEnd w:id="37"/>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7E58B54C" wp14:editId="2C301A2C">
                  <wp:extent cx="2597595" cy="2437179"/>
                  <wp:effectExtent l="0" t="0" r="0" b="0"/>
                  <wp:docPr id="6" name="Picture 6" descr="&lt;nbr&gt;&lt;GETTEXTFROMWORD&gt;&lt;/nbr&gt;&#10;&lt;title&gt;&lt;GETTEXTFROMWORD&gt;&lt;/title&gt;&#10;&lt;id&gt;9296ed4b-1dcf-48b6-8233-23d65b90798c&lt;/id&gt;&#10;&lt;srcType&gt;EXCEL&lt;/srcType&gt;&#10;&lt;srcPath&gt;O:\2017 CRs\2018 European semester\11 HR\Excel\&lt;/srcPath&gt;&#10;&lt;srcName&gt;CR.HR.2018_4.3_Labour_market.xlsm&lt;/srcName&gt;&#10;&lt;type&gt;graph&lt;/type&gt;&#10; &lt;srcSheet&gt;employment.by.education&lt;/srcSheet&gt;&#10; &lt;srcChartTitle&gt;MyChart&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0:08:3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97595" cy="2437179"/>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Source"/>
              <w:keepNext/>
              <w:rPr>
                <w:noProof/>
              </w:rPr>
            </w:pPr>
            <w:r>
              <w:rPr>
                <w:b/>
                <w:i/>
                <w:noProof/>
              </w:rPr>
              <w:t>Source:</w:t>
            </w:r>
            <w:r>
              <w:rPr>
                <w:noProof/>
              </w:rPr>
              <w:t xml:space="preserve"> Eurostat.</w:t>
            </w:r>
          </w:p>
        </w:tc>
      </w:tr>
    </w:tbl>
    <w:p w:rsidR="001E7162" w:rsidRDefault="00EC2A75">
      <w:pPr>
        <w:rPr>
          <w:noProof/>
        </w:rPr>
      </w:pPr>
      <w:r>
        <w:rPr>
          <w:b/>
          <w:noProof/>
        </w:rPr>
        <w:t>After years of wage moderation, wages have started growing again.</w:t>
      </w:r>
      <w:r>
        <w:rPr>
          <w:noProof/>
        </w:rPr>
        <w:t xml:space="preserve"> Both nominal and real (GDP deflated) wage growth was negative in 2013 and 2014, followed by a slight increase in 2015. In 2016, nominal wages decreased marginally, while real wages stabilised as inflation was negative. Between 2014 and 2016, Croatia was a</w:t>
      </w:r>
      <w:r>
        <w:rPr>
          <w:noProof/>
        </w:rPr>
        <w:t>mongst the EU countries with the highest gap between productivity and real wage growth, which supported cost-competitiveness gains (European Commission, 2017j).  In 2017, the negotiated increase in public wages, combined with the improving economic conditi</w:t>
      </w:r>
      <w:r>
        <w:rPr>
          <w:noProof/>
        </w:rPr>
        <w:t>ons and the further tightening of the labour market are putting some upward pressure on wages. Nominal wages started growing again, at a projected rate of 2.5 % for the year as a whole, and are expected to continue growing at the same rate in 2018 and 2019</w:t>
      </w:r>
      <w:r>
        <w:rPr>
          <w:noProof/>
        </w:rPr>
        <w:t xml:space="preserve">. As inflation has turned positive, real wages are projected to have increased by 1.3 % in 2017 and to continue growing at a moderate rate of 0.4 % over the forecast horizon, remaining below productivity growth. </w:t>
      </w:r>
    </w:p>
    <w:p w:rsidR="001E7162" w:rsidRDefault="00EC2A75">
      <w:pPr>
        <w:rPr>
          <w:noProof/>
        </w:rPr>
      </w:pPr>
      <w:r>
        <w:rPr>
          <w:b/>
          <w:noProof/>
        </w:rPr>
        <w:t>The authorities have adopted changes to the</w:t>
      </w:r>
      <w:r>
        <w:rPr>
          <w:b/>
          <w:noProof/>
        </w:rPr>
        <w:t xml:space="preserve"> minimum wage</w:t>
      </w:r>
      <w:r>
        <w:rPr>
          <w:noProof/>
        </w:rPr>
        <w:t>. At the end of 2017, the gross minimum wage was raised by 5 % to EUR 456, which corresponds to the 42.9 % of the gross average wage in Croatia. In order to minimise the impact on labour costs, the base on which the employer contribution is ca</w:t>
      </w:r>
      <w:r>
        <w:rPr>
          <w:noProof/>
        </w:rPr>
        <w:t>lculated was cut by 50 % for those workers that have been employed for a period of more than 12 months on the minimum-wage, which risks creating an important low wage trap. In 2016, the coverage of the minimum wage was relatively low (6.6 % of the employed</w:t>
      </w:r>
      <w:r>
        <w:rPr>
          <w:noProof/>
        </w:rPr>
        <w:t xml:space="preserve">) and its incidence most pronounced in the poorest counties of Croatia and in a few sectors. </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38" w:name="_Toc505083033"/>
            <w:r>
              <w:rPr>
                <w:noProof/>
              </w:rPr>
              <w:t>Graph 4.3.3:</w:t>
            </w:r>
            <w:r>
              <w:rPr>
                <w:b/>
                <w:noProof/>
              </w:rPr>
              <w:tab/>
              <w:t>Employment change year-on-year</w:t>
            </w:r>
            <w:bookmarkEnd w:id="38"/>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4C68E3AC" wp14:editId="6EF32795">
                  <wp:extent cx="2597595" cy="2444311"/>
                  <wp:effectExtent l="0" t="0" r="0" b="0"/>
                  <wp:docPr id="81" name="Picture 81" descr="&lt;nbr&gt;&lt;GETTEXTFROMWORD&gt;&lt;/nbr&gt;&#10;&lt;title&gt;&lt;GETTEXTFROMWORD&gt;&lt;/title&gt;&#10;&lt;id&gt;e12ad308-ead1-434f-a988-56ff6aa51c91&lt;/id&gt;&#10;&lt;srcType&gt;EXCEL&lt;/srcType&gt;&#10;&lt;srcPath&gt;O:\2017 CRs\2018 European semester\11 HR\Excel\&lt;/srcPath&gt;&#10;&lt;srcName&gt;CR.HR.2018_4.3_Labour_market.xlsm&lt;/srcName&gt;&#10;&lt;type&gt;graph&lt;/type&gt;&#10; &lt;srcSheet&gt;employment.change.yoy&lt;/srcSheet&gt;&#10; &lt;srcChartTitle&gt;MyChart&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0:08:3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97595" cy="2444311"/>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Employment (thousand), total, ages 20-64, year-on-year change based on non-seasonally adjusted data.</w:t>
            </w:r>
          </w:p>
          <w:p w:rsidR="001E7162" w:rsidRDefault="00EC2A75">
            <w:pPr>
              <w:pStyle w:val="GraphSource"/>
              <w:keepNext/>
              <w:rPr>
                <w:noProof/>
                <w:lang w:val="fr-BE"/>
              </w:rPr>
            </w:pPr>
            <w:r>
              <w:rPr>
                <w:b/>
                <w:i/>
                <w:noProof/>
                <w:lang w:val="fr-BE"/>
              </w:rPr>
              <w:t>Source:</w:t>
            </w:r>
            <w:r>
              <w:rPr>
                <w:noProof/>
                <w:lang w:val="fr-BE"/>
              </w:rPr>
              <w:t xml:space="preserve"> Euros</w:t>
            </w:r>
            <w:r>
              <w:rPr>
                <w:noProof/>
                <w:lang w:val="fr-BE"/>
              </w:rPr>
              <w:t>tat, Labour Force Survey (LFS).</w:t>
            </w:r>
          </w:p>
        </w:tc>
      </w:tr>
    </w:tbl>
    <w:p w:rsidR="001E7162" w:rsidRDefault="00EC2A75">
      <w:pPr>
        <w:rPr>
          <w:noProof/>
        </w:rPr>
      </w:pPr>
      <w:r>
        <w:rPr>
          <w:b/>
          <w:noProof/>
        </w:rPr>
        <w:t>The adoption of the announced legislation to harmonise wage setting for civil servants across the public administration has been further postponed</w:t>
      </w:r>
      <w:r>
        <w:rPr>
          <w:noProof/>
        </w:rPr>
        <w:t xml:space="preserve">. Initially planned to cover wage setting in the public sector as a whole, </w:t>
      </w:r>
      <w:r>
        <w:rPr>
          <w:noProof/>
        </w:rPr>
        <w:t xml:space="preserve">the new legislation will be enacted in two steps, first covering civil servants only, and at a second stage, public sector workers. Greater harmonisation of wage setting across the public administration would be achieved through the introduction of common </w:t>
      </w:r>
      <w:r>
        <w:rPr>
          <w:noProof/>
        </w:rPr>
        <w:t>wage grids and job complexity coefficients, based on more consistent job descriptions and skills frameworks. According to the authorities, the new legislation would also cover areas of the employment relationship of civil and public servants that are curre</w:t>
      </w:r>
      <w:r>
        <w:rPr>
          <w:noProof/>
        </w:rPr>
        <w:t>ntly negotiated through collective bargaining. In the meantime however, the basic collective agreement regulating the rights of civil and public servants was renegotiated in December 2017, with validity until 2021. The collective agreements for six sectors</w:t>
      </w:r>
      <w:r>
        <w:rPr>
          <w:noProof/>
        </w:rPr>
        <w:t xml:space="preserve"> expired in 2017 and are still due to be renegotiated. As far as state-owned enterprises (SOEs) are concerned, no further steps have been taken in setting up a coordinated system for collective bargaining.</w:t>
      </w:r>
    </w:p>
    <w:p w:rsidR="001E7162" w:rsidRDefault="00EC2A75">
      <w:pPr>
        <w:rPr>
          <w:noProof/>
        </w:rPr>
      </w:pPr>
      <w:r>
        <w:rPr>
          <w:b/>
          <w:noProof/>
        </w:rPr>
        <w:t>Social Dialogue is not yet a well-developed practi</w:t>
      </w:r>
      <w:r>
        <w:rPr>
          <w:b/>
          <w:noProof/>
        </w:rPr>
        <w:t>ce in Croatia.</w:t>
      </w:r>
      <w:r>
        <w:rPr>
          <w:noProof/>
        </w:rPr>
        <w:t xml:space="preserve"> Formally, Croatia has an established social dialogue structure in the form of a National Economic and Social Council. Social partners are invited to provide written contributions before the adoption of National Reform Programmes and other re</w:t>
      </w:r>
      <w:r>
        <w:rPr>
          <w:noProof/>
        </w:rPr>
        <w:t>levant legislative initiatives. However, the interaction between the authorities and the stakeholders is over all limited, and mostly confined to the provision of written feedback on some of the government proposed measures. Another inhibiting factor is th</w:t>
      </w:r>
      <w:r>
        <w:rPr>
          <w:noProof/>
        </w:rPr>
        <w:t>at fragmentation seems to be central to limiting the overall capacity of trade unions to engage in social dialogue.</w:t>
      </w:r>
    </w:p>
    <w:p w:rsidR="001E7162" w:rsidRDefault="00EC2A75">
      <w:pPr>
        <w:pStyle w:val="Heading"/>
        <w:rPr>
          <w:noProof/>
        </w:rPr>
      </w:pPr>
      <w:r>
        <w:rPr>
          <w:noProof/>
        </w:rPr>
        <w:t xml:space="preserve">Social protection system </w:t>
      </w:r>
    </w:p>
    <w:p w:rsidR="001E7162" w:rsidRDefault="00EC2A75">
      <w:pPr>
        <w:rPr>
          <w:noProof/>
        </w:rPr>
      </w:pPr>
      <w:r>
        <w:rPr>
          <w:b/>
          <w:noProof/>
        </w:rPr>
        <w:t>The rate of at-risk-of poverty and social exclusion declined in 2016, but remains high.</w:t>
      </w:r>
      <w:r>
        <w:rPr>
          <w:noProof/>
        </w:rPr>
        <w:t xml:space="preserve"> In 2016, a large share of </w:t>
      </w:r>
      <w:r>
        <w:rPr>
          <w:noProof/>
        </w:rPr>
        <w:t>the population – 27.9% – was at risk of poverty or social exclusion (AROPE), compared to 23.5 % in EU (Graph 4.3.4). The share of people persistently facing a high at-risk-of-poverty rate (AROP) (</w:t>
      </w:r>
      <w:r>
        <w:rPr>
          <w:rStyle w:val="FootnoteReference"/>
          <w:noProof/>
        </w:rPr>
        <w:footnoteReference w:id="26"/>
      </w:r>
      <w:r>
        <w:rPr>
          <w:noProof/>
        </w:rPr>
        <w:t>) was 14.5 %, whereas the percentage of the population livi</w:t>
      </w:r>
      <w:r>
        <w:rPr>
          <w:noProof/>
        </w:rPr>
        <w:t>ng in overcrowded households (</w:t>
      </w:r>
      <w:r>
        <w:rPr>
          <w:rStyle w:val="FootnoteReference"/>
          <w:noProof/>
        </w:rPr>
        <w:footnoteReference w:id="27"/>
      </w:r>
      <w:r>
        <w:rPr>
          <w:noProof/>
        </w:rPr>
        <w:t>) was more than double that of the EU average. Regional disparities are high and persistent, with at risk of poverty rates reaching over 40 % in many eastern and central municipalities and in rural areas (Croatian Bureau of S</w:t>
      </w:r>
      <w:r>
        <w:rPr>
          <w:noProof/>
        </w:rPr>
        <w:t>tatistics). Particularly affected are the elderly and the disabled (</w:t>
      </w:r>
      <w:r>
        <w:rPr>
          <w:rStyle w:val="FootnoteReference"/>
          <w:noProof/>
        </w:rPr>
        <w:footnoteReference w:id="28"/>
      </w:r>
      <w:r>
        <w:rPr>
          <w:noProof/>
        </w:rPr>
        <w:t xml:space="preserve">). Moreover, 73.2 % of children of low skilled parents were at risk of poverty in 2016, against just the 2.9 % of children of high-skilled parents. This is the reflection of the very low </w:t>
      </w:r>
      <w:r>
        <w:rPr>
          <w:noProof/>
        </w:rPr>
        <w:t>employment rates among the low skilled. Parental education levels and poverty have strong impacts on children's chances to do well in school, to have access to quality health care and to reach their full potentials later in life.</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39" w:name="_Toc505083034"/>
            <w:r>
              <w:rPr>
                <w:noProof/>
              </w:rPr>
              <w:t>Graph 4.3.4:</w:t>
            </w:r>
            <w:r>
              <w:rPr>
                <w:b/>
                <w:noProof/>
              </w:rPr>
              <w:tab/>
              <w:t>At-risk-of-po</w:t>
            </w:r>
            <w:r>
              <w:rPr>
                <w:b/>
                <w:noProof/>
              </w:rPr>
              <w:t>verty or social exclusion rate and two of its components (SMD, LWI)</w:t>
            </w:r>
            <w:bookmarkEnd w:id="39"/>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014260C4" wp14:editId="6A86E663">
                  <wp:extent cx="2597595" cy="2409520"/>
                  <wp:effectExtent l="0" t="0" r="0" b="0"/>
                  <wp:docPr id="82" name="Picture 82" descr="&lt;nbr&gt;&lt;GETTEXTFROMWORD&gt;&lt;/nbr&gt;&#10;&lt;title&gt;&lt;GETTEXTFROMWORD&gt;&lt;/title&gt;&#10;&lt;id&gt;824127c3-3be6-45f1-a9b1-efc2a9da8fdd&lt;/id&gt;&#10;&lt;srcType&gt;EXCEL&lt;/srcType&gt;&#10;&lt;srcPath&gt;O:\2017 CRs\2018 European semester\11 HR\Excel\&lt;/srcPath&gt;&#10;&lt;srcName&gt;CR.HR.2018_4.3_Labour_market.xlsm&lt;/srcName&gt;&#10;&lt;type&gt;graph&lt;/type&gt;&#10; &lt;srcSheet&gt;arop.smd.lwi&lt;/srcSheet&gt;&#10; &lt;srcChartTitle&gt;MyChart&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0:08:3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97595" cy="2409520"/>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 xml:space="preserve">(1) AROPE: At-risk-of-poverty or social exclusion rate (% of total population). People who are at-risk-of poverty (AROP) and/or suffering from severe material deprivation (SMD) and/or </w:t>
            </w:r>
            <w:r>
              <w:rPr>
                <w:noProof/>
              </w:rPr>
              <w:t>living in household with zero or very low work intensity (LWI).</w:t>
            </w:r>
            <w:r>
              <w:rPr>
                <w:noProof/>
              </w:rPr>
              <w:br/>
              <w:t xml:space="preserve">(2) SMD: Severe material deprivation rate (% of total population). People who experience at least 4 out of 9 deprivations: people cannot afford to i) pay their rent or utility bills, ii) keep </w:t>
            </w:r>
            <w:r>
              <w:rPr>
                <w:noProof/>
              </w:rPr>
              <w:t>their home adequately warm, iii) face unexpected expenses, iv) eat meat, fish, or a protein equivalent every second day, v) enjoy a week of holiday away from home once a year, vi) have a car, vii) have a washing machine, viii) have a colour TV, or ix) have</w:t>
            </w:r>
            <w:r>
              <w:rPr>
                <w:noProof/>
              </w:rPr>
              <w:t xml:space="preserve"> a telephone.</w:t>
            </w:r>
            <w:r>
              <w:rPr>
                <w:noProof/>
              </w:rPr>
              <w:br/>
              <w:t>(3) LWI: People living in very low work intensity households (% of population 0-59). People living in households where the adults work less than 20% of their total work-time potential during the previous 12 months.</w:t>
            </w:r>
            <w:r>
              <w:rPr>
                <w:noProof/>
              </w:rPr>
              <w:br/>
              <w:t>(4) AROP: based on previous</w:t>
            </w:r>
            <w:r>
              <w:rPr>
                <w:noProof/>
              </w:rPr>
              <w:t xml:space="preserve"> year income data, SMD: current year, LWI: status over previous 12 months.</w:t>
            </w:r>
          </w:p>
          <w:p w:rsidR="001E7162" w:rsidRDefault="00EC2A75">
            <w:pPr>
              <w:pStyle w:val="GraphSource"/>
              <w:keepNext/>
              <w:rPr>
                <w:noProof/>
              </w:rPr>
            </w:pPr>
            <w:r>
              <w:rPr>
                <w:b/>
                <w:i/>
                <w:noProof/>
              </w:rPr>
              <w:t>Source:</w:t>
            </w:r>
            <w:r>
              <w:rPr>
                <w:noProof/>
              </w:rPr>
              <w:t xml:space="preserve"> Eurostat, European Union Statistics on Income and Living Conditions (EU-SILC).</w:t>
            </w:r>
          </w:p>
        </w:tc>
      </w:tr>
    </w:tbl>
    <w:p w:rsidR="001E7162" w:rsidRDefault="00EC2A75">
      <w:pPr>
        <w:rPr>
          <w:noProof/>
        </w:rPr>
      </w:pPr>
      <w:r>
        <w:rPr>
          <w:b/>
          <w:noProof/>
        </w:rPr>
        <w:t>The income support schemes on average seem inadequate to reduce poverty.</w:t>
      </w:r>
      <w:r>
        <w:rPr>
          <w:noProof/>
        </w:rPr>
        <w:t xml:space="preserve"> The level of the min</w:t>
      </w:r>
      <w:r>
        <w:rPr>
          <w:noProof/>
        </w:rPr>
        <w:t>imum income offered by the Guaranteed Minimum Benefit (GMB) is inadequate, in particular for jobless households (European Commission, 2017a). Family benefits, and in particular child allowances do not cover adequately the poorest counties and their poverty</w:t>
      </w:r>
      <w:r>
        <w:rPr>
          <w:noProof/>
        </w:rPr>
        <w:t xml:space="preserve"> reduction capacity is limited (</w:t>
      </w:r>
      <w:r>
        <w:rPr>
          <w:rStyle w:val="FootnoteReference"/>
          <w:noProof/>
        </w:rPr>
        <w:footnoteReference w:id="29"/>
      </w:r>
      <w:r>
        <w:rPr>
          <w:noProof/>
        </w:rPr>
        <w:t>). A number of steps have been taken recently to strengthen income support and support for households with children. Since February 2017, GMB recipients are allowed to take part in paid public works without losing entitleme</w:t>
      </w:r>
      <w:r>
        <w:rPr>
          <w:noProof/>
        </w:rPr>
        <w:t>nt to the benefit, thus combining the income support with incentives to (re)integrate in the labour market. In July 2017, parental and child benefits (</w:t>
      </w:r>
      <w:r>
        <w:rPr>
          <w:rStyle w:val="FootnoteReference"/>
          <w:noProof/>
        </w:rPr>
        <w:footnoteReference w:id="30"/>
      </w:r>
      <w:r>
        <w:rPr>
          <w:noProof/>
        </w:rPr>
        <w:t>) were increased as a measure in support of demographic renewal (see Section 4.1). With a similar policy</w:t>
      </w:r>
      <w:r>
        <w:rPr>
          <w:noProof/>
        </w:rPr>
        <w:t xml:space="preserve"> objective, in July 2017 the authorities also introduced a non-refundable subsidy that, under certain conditions, covers half of the monthly instalments of the first four years of new loans to purchase the first home (see Section 4.2).However, the success </w:t>
      </w:r>
      <w:r>
        <w:rPr>
          <w:noProof/>
        </w:rPr>
        <w:t xml:space="preserve">of this measure in hampering migration outflows of working age individuals would come with the downside of also hindering labour mobility within the highly fragmented national labour market.   </w:t>
      </w:r>
    </w:p>
    <w:p w:rsidR="001E7162" w:rsidRDefault="00EC2A75">
      <w:pPr>
        <w:rPr>
          <w:noProof/>
        </w:rPr>
      </w:pPr>
      <w:r>
        <w:rPr>
          <w:b/>
          <w:noProof/>
        </w:rPr>
        <w:t xml:space="preserve">Territorial disparities in the provision of social benefits </w:t>
      </w:r>
      <w:r>
        <w:rPr>
          <w:b/>
          <w:noProof/>
        </w:rPr>
        <w:t>result in increased inequality.</w:t>
      </w:r>
      <w:r>
        <w:rPr>
          <w:noProof/>
        </w:rPr>
        <w:t xml:space="preserve"> The provision of social benefits in Croatia is shared between the central and sub-national government units. Following the decentralization of public functions initiated in 2001, regional and local sub-national units assumed</w:t>
      </w:r>
      <w:r>
        <w:rPr>
          <w:noProof/>
        </w:rPr>
        <w:t xml:space="preserve"> the responsibility to provide and administer some social benefits (such as housing benefits, the lump-sum grant for new-born children and childcare services). However, due to the lower fiscal capacity of poorer local units to finance such benefits, this s</w:t>
      </w:r>
      <w:r>
        <w:rPr>
          <w:noProof/>
        </w:rPr>
        <w:t>ystem results in an unequal treatment of citizens and exacerbates existing inequalities across the territory and weakens the social inclusion impact of the social safety net (</w:t>
      </w:r>
      <w:r>
        <w:rPr>
          <w:rStyle w:val="FootnoteReference"/>
          <w:noProof/>
        </w:rPr>
        <w:footnoteReference w:id="31"/>
      </w:r>
      <w:r>
        <w:rPr>
          <w:noProof/>
        </w:rPr>
        <w:t xml:space="preserve">) (see Section 4.5). </w:t>
      </w:r>
    </w:p>
    <w:p w:rsidR="001E7162" w:rsidRDefault="00EC2A75">
      <w:pPr>
        <w:rPr>
          <w:noProof/>
        </w:rPr>
      </w:pPr>
      <w:r>
        <w:rPr>
          <w:b/>
          <w:noProof/>
        </w:rPr>
        <w:t xml:space="preserve">The large variation in fiscal capacities of counties also </w:t>
      </w:r>
      <w:r>
        <w:rPr>
          <w:b/>
          <w:noProof/>
        </w:rPr>
        <w:t>affects the provision and use of child care services</w:t>
      </w:r>
      <w:r>
        <w:rPr>
          <w:noProof/>
        </w:rPr>
        <w:t>. High quality formal Early Childhood Education and Care (ECEC) plays an important role in children's development and supports participation in the labour market, especially of women. In 2015, only 11.8 %</w:t>
      </w:r>
      <w:r>
        <w:rPr>
          <w:noProof/>
        </w:rPr>
        <w:t xml:space="preserve"> of children up to 3 years of age and 73.8 % of pupils aged between 4 and 6 were enrolled in ECEC. Local government units cover the large majority of ECEC expenses (Dobrotić and Matković, 2017) according to the current financing model, thus creating a stro</w:t>
      </w:r>
      <w:r>
        <w:rPr>
          <w:noProof/>
        </w:rPr>
        <w:t>ng link between ECEC access and counties' income (</w:t>
      </w:r>
      <w:r>
        <w:rPr>
          <w:rStyle w:val="FootnoteReference"/>
          <w:noProof/>
        </w:rPr>
        <w:footnoteReference w:id="32"/>
      </w:r>
      <w:r>
        <w:rPr>
          <w:noProof/>
        </w:rPr>
        <w:t>). As a result, and with the exception of counties with major city centres, the coverage of ECEC increases in line with GDP per capita in each county (Graph </w:t>
      </w:r>
      <w:r>
        <w:rPr>
          <w:noProof/>
        </w:rPr>
        <w:fldChar w:fldCharType="begin"/>
      </w:r>
      <w:r>
        <w:rPr>
          <w:noProof/>
        </w:rPr>
        <w:instrText xml:space="preserve"> QUOTE "4.3.5"</w:instrText>
      </w:r>
      <w:r>
        <w:rPr>
          <w:noProof/>
        </w:rPr>
        <w:fldChar w:fldCharType="begin">
          <w:fldData xml:space="preserve">QwBSAE8AUwBTAFIARQBGAEUAUgBFAE4AQwBFACoARwBSAEEAUABIACoAZgA5ADYAMQBmADkAZgA4
AC0AOAA1ADAAZgAtADQAYwBiAGYALQBhAGEAOAA0AC0ANAAzAGEAMwA0ADYAMwA2AGMAMQBiAGMA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4.3.5</w:t>
      </w:r>
      <w:r>
        <w:rPr>
          <w:noProof/>
        </w:rPr>
        <w:fldChar w:fldCharType="end"/>
      </w:r>
      <w:r>
        <w:rPr>
          <w:noProof/>
        </w:rPr>
        <w:t xml:space="preserve">). The authorities announced plans to increase the participation in ECEC to 95 % by 2020. This will be difficult in the absence of a major reform of the ECEC financing system and </w:t>
      </w:r>
      <w:r>
        <w:rPr>
          <w:noProof/>
        </w:rPr>
        <w:t xml:space="preserve">possibly of the distribution of competences between central and sub-national government levels. </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40" w:name="_Toc505083035"/>
            <w:r>
              <w:rPr>
                <w:noProof/>
              </w:rPr>
              <w:t>Graph 4.3.5:</w:t>
            </w:r>
            <w:r>
              <w:rPr>
                <w:b/>
                <w:noProof/>
              </w:rPr>
              <w:tab/>
              <w:t>Early childhood education and care</w:t>
            </w:r>
            <w:bookmarkEnd w:id="40"/>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54416418" wp14:editId="6BA9C2E2">
                  <wp:extent cx="2597595" cy="2444311"/>
                  <wp:effectExtent l="0" t="0" r="0" b="0"/>
                  <wp:docPr id="84" name="Picture 84" descr="&lt;nbr&gt;&lt;GETTEXTFROMWORD&gt;&lt;/nbr&gt;&#10;&lt;title&gt;&lt;GETTEXTFROMWORD&gt;&lt;/title&gt;&#10;&lt;id&gt;f961f9f8-850f-4cbf-aa84-43a34636c1bc&lt;/id&gt;&#10;&lt;srcType&gt;EXCEL&lt;/srcType&gt;&#10;&lt;srcPath&gt;O:\2017 CRs\2018 European semester\11 HR\Excel\&lt;/srcPath&gt;&#10;&lt;srcName&gt;CR.HR.2018_4.3_Labour_market.xlsm&lt;/srcName&gt;&#10;&lt;type&gt;graph&lt;/type&gt;&#10; &lt;srcSheet&gt;early.child.educ.care&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0:08:3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97595" cy="2444311"/>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ECEC: Early Childhood Education and Care.</w:t>
            </w:r>
          </w:p>
          <w:p w:rsidR="001E7162" w:rsidRDefault="00EC2A75">
            <w:pPr>
              <w:pStyle w:val="GraphSource"/>
              <w:keepNext/>
              <w:rPr>
                <w:noProof/>
              </w:rPr>
            </w:pPr>
            <w:r>
              <w:rPr>
                <w:b/>
                <w:i/>
                <w:noProof/>
              </w:rPr>
              <w:t>Source:</w:t>
            </w:r>
            <w:r>
              <w:rPr>
                <w:noProof/>
              </w:rPr>
              <w:t xml:space="preserve"> Centre for Peace Studies (2016) and Croatian Bureau of Statistics.</w:t>
            </w:r>
          </w:p>
        </w:tc>
      </w:tr>
    </w:tbl>
    <w:p w:rsidR="001E7162" w:rsidRDefault="00EC2A75">
      <w:pPr>
        <w:rPr>
          <w:noProof/>
        </w:rPr>
      </w:pPr>
      <w:r>
        <w:rPr>
          <w:b/>
          <w:noProof/>
        </w:rPr>
        <w:t>The consolidation of the benefits system with the aim to improve targeting and reduce poverty has not advanced.</w:t>
      </w:r>
      <w:r>
        <w:rPr>
          <w:noProof/>
        </w:rPr>
        <w:t xml:space="preserve"> The authorities abandoned the establishment of the one-stop-shops as a cent</w:t>
      </w:r>
      <w:r>
        <w:rPr>
          <w:noProof/>
        </w:rPr>
        <w:t>ral point for the administration and provision of social benefits and services, which used to be a flagship measure in successive past NRPs. The previously announced harmonisation of eligibility criteria and plans to consolidate more benefits under the GMB</w:t>
      </w:r>
      <w:r>
        <w:rPr>
          <w:noProof/>
        </w:rPr>
        <w:t xml:space="preserve"> have also been suspended. The focus has instead shifted to improving the information system on benefits allocated throughout the territory. To this purpose, the authorities plan to harmonize the definitions of the benefits granted at local government leve</w:t>
      </w:r>
      <w:r>
        <w:rPr>
          <w:noProof/>
        </w:rPr>
        <w:t>l on the basis of the ESSPROS (European System of integrated Social Protection Statistics) nomenclature, and establish regular reporting channels from the local to the central government level.</w:t>
      </w:r>
    </w:p>
    <w:p w:rsidR="001E7162" w:rsidRDefault="00EC2A75">
      <w:pPr>
        <w:rPr>
          <w:noProof/>
        </w:rPr>
      </w:pPr>
      <w:r>
        <w:rPr>
          <w:b/>
          <w:noProof/>
        </w:rPr>
        <w:t xml:space="preserve">The Croatian pension system continues to face medium and long </w:t>
      </w:r>
      <w:r>
        <w:rPr>
          <w:b/>
          <w:noProof/>
        </w:rPr>
        <w:t>term challenges.</w:t>
      </w:r>
      <w:r>
        <w:rPr>
          <w:noProof/>
        </w:rPr>
        <w:t xml:space="preserve"> In 2017, the ratio of contributing workers to pension beneficiaries was at 1.2, reflecting unfavourable demographic trends, but also the existence of numerous pathways to early retirement and a still low statutory retirement age, especiall</w:t>
      </w:r>
      <w:r>
        <w:rPr>
          <w:noProof/>
        </w:rPr>
        <w:t>y for women. In 2016, only 38.1 % of people aged 55-64 were employed and only 14.8 % of all pensioners had 40 or more qualifying years. The average duration of working life is one of the lowest in EU (32.1 years in 2016). In 2016, the aggregate replacement</w:t>
      </w:r>
      <w:r>
        <w:rPr>
          <w:noProof/>
        </w:rPr>
        <w:t xml:space="preserve"> ratio of pensions (0.39) was significantly lower than the EU average, resulting in a higher at risk of poverty rate for people aged 65+ (26.5 % vs 14.6 % EU in 2016). The 2018 Aging Report (forthcoming) projects that by 2070 the public pension expenditure</w:t>
      </w:r>
      <w:r>
        <w:rPr>
          <w:noProof/>
        </w:rPr>
        <w:t xml:space="preserve"> as percentage of GDP will further fall by 3.8pp. Ensuring pension adequacy in the future will require increased pension contributions and/or longer working lives. </w:t>
      </w:r>
    </w:p>
    <w:p w:rsidR="001E7162" w:rsidRDefault="00EC2A75">
      <w:pPr>
        <w:rPr>
          <w:noProof/>
        </w:rPr>
      </w:pPr>
      <w:r>
        <w:rPr>
          <w:b/>
          <w:noProof/>
        </w:rPr>
        <w:t>Existing discrepancies in the pension system pose also short term challenges.</w:t>
      </w:r>
      <w:r>
        <w:rPr>
          <w:noProof/>
        </w:rPr>
        <w:t xml:space="preserve"> Successive in</w:t>
      </w:r>
      <w:r>
        <w:rPr>
          <w:noProof/>
        </w:rPr>
        <w:t xml:space="preserve">terventions in the pension system – starting from the 1999 reform and including the establishment of a supplementary pillar in 2002 and the introduction, in 2007, of a pension supplement for those insured under the first pillar only – have left the cohort </w:t>
      </w:r>
      <w:r>
        <w:rPr>
          <w:noProof/>
        </w:rPr>
        <w:t>of people born between 1962 and 1984 with prospective pensions that could be up to 30 % lower than those for the older cohort. This is because of their short contribution history into the second pillar. Inflows into retirement from this cohort have just st</w:t>
      </w:r>
      <w:r>
        <w:rPr>
          <w:noProof/>
        </w:rPr>
        <w:t>arted and are expected to intensify in 2019. People with shorter working lives, and in particular women, will be most penalised. The authorities are exploring different options to tackle the situation.</w:t>
      </w:r>
    </w:p>
    <w:p w:rsidR="001E7162" w:rsidRDefault="00EC2A75">
      <w:pPr>
        <w:rPr>
          <w:noProof/>
        </w:rPr>
      </w:pPr>
      <w:r>
        <w:rPr>
          <w:b/>
          <w:noProof/>
        </w:rPr>
        <w:t xml:space="preserve">The announced changes to the pension system, aimed at </w:t>
      </w:r>
      <w:r>
        <w:rPr>
          <w:b/>
          <w:noProof/>
        </w:rPr>
        <w:t>encouraging longer working lives, have not been implemented.</w:t>
      </w:r>
      <w:r>
        <w:rPr>
          <w:noProof/>
        </w:rPr>
        <w:t xml:space="preserve"> Reform measures planned for December 2017 have been further postponed to mid-2018. These include the streamlining of the 100+ arduous or hazardous professions benefitting from more generous pensi</w:t>
      </w:r>
      <w:r>
        <w:rPr>
          <w:noProof/>
        </w:rPr>
        <w:t>on provisions, measures aimed at reducing access to early retirement, the increase of the statutory retirement age and the acceleration in the equalisation of retirement age for women and men. In the meantime, improvements have been introduced in the metho</w:t>
      </w:r>
      <w:r>
        <w:rPr>
          <w:noProof/>
        </w:rPr>
        <w:t>dology applied for the medical assessment of disability pensions. The authorities have proposed to further extend the benefits granted to war veterans and their family members (</w:t>
      </w:r>
      <w:r>
        <w:rPr>
          <w:rStyle w:val="FootnoteReference"/>
          <w:noProof/>
        </w:rPr>
        <w:footnoteReference w:id="33"/>
      </w:r>
      <w:r>
        <w:rPr>
          <w:noProof/>
        </w:rPr>
        <w:t>),resulting in further increases of their pension ceilings (</w:t>
      </w:r>
      <w:r>
        <w:rPr>
          <w:rStyle w:val="FootnoteReference"/>
          <w:noProof/>
        </w:rPr>
        <w:footnoteReference w:id="34"/>
      </w:r>
      <w:r>
        <w:rPr>
          <w:noProof/>
        </w:rPr>
        <w:t>). Little progres</w:t>
      </w:r>
      <w:r>
        <w:rPr>
          <w:noProof/>
        </w:rPr>
        <w:t xml:space="preserve">s has been made to support war veterans' re-integration into the labour market. </w:t>
      </w:r>
    </w:p>
    <w:p w:rsidR="001E7162" w:rsidRDefault="00EC2A75">
      <w:pPr>
        <w:pStyle w:val="Heading"/>
        <w:rPr>
          <w:noProof/>
        </w:rPr>
      </w:pPr>
      <w:r>
        <w:rPr>
          <w:noProof/>
        </w:rPr>
        <w:t xml:space="preserve">Education and skills </w:t>
      </w:r>
    </w:p>
    <w:p w:rsidR="001E7162" w:rsidRDefault="00EC2A75">
      <w:pPr>
        <w:rPr>
          <w:noProof/>
        </w:rPr>
      </w:pPr>
      <w:r>
        <w:rPr>
          <w:b/>
          <w:noProof/>
        </w:rPr>
        <w:t>The low performance of Croatia's education system underlines the urgency of reform.</w:t>
      </w:r>
      <w:r>
        <w:rPr>
          <w:noProof/>
        </w:rPr>
        <w:t xml:space="preserve"> The performance of the education system – measured in the context of </w:t>
      </w:r>
      <w:r>
        <w:rPr>
          <w:noProof/>
        </w:rPr>
        <w:t>the EU Education and Training 2020 process stagnates or has worsened in most of the relevant areas. These include performance in the 2015 OECD Programme for International Student Assessment (PISA) survey of 15 year-olds, tertiary education attainment, adul</w:t>
      </w:r>
      <w:r>
        <w:rPr>
          <w:noProof/>
        </w:rPr>
        <w:t>t education, education investment and learning mobility (European Commission, 2017h). At the same time Croatia exhibits the lowest rate of early leaving from education and training in the EU (2.8 % vs 10.7 % EU average in 2016). The gap for early school le</w:t>
      </w:r>
      <w:r>
        <w:rPr>
          <w:noProof/>
        </w:rPr>
        <w:t>avers between pupils with and without disabilities however is one of the largest in the EU (14.5pps vs the EU average of 10.3pps in 2015).</w:t>
      </w:r>
    </w:p>
    <w:p w:rsidR="001E7162" w:rsidRDefault="00EC2A75">
      <w:pPr>
        <w:rPr>
          <w:noProof/>
        </w:rPr>
      </w:pPr>
      <w:r>
        <w:rPr>
          <w:b/>
          <w:noProof/>
        </w:rPr>
        <w:t>The implementation of the education reforms announced in the Strategy for Education, Research and Technology faced de</w:t>
      </w:r>
      <w:r>
        <w:rPr>
          <w:b/>
          <w:noProof/>
        </w:rPr>
        <w:t>lays.</w:t>
      </w:r>
      <w:r>
        <w:rPr>
          <w:noProof/>
        </w:rPr>
        <w:t xml:space="preserve"> This affected in particular one of the strategy's most prominent priorities: the comprehensive curricular reform aimed at improving the quality and relevance of education. After a delay of almost a year, in autumn 2017 work began on the revision of t</w:t>
      </w:r>
      <w:r>
        <w:rPr>
          <w:noProof/>
        </w:rPr>
        <w:t>he reform's draft documentation on the basis of a public consultation. The documentation is expected to undergo external reviews by spring 2018, with pilot implementation due to start in September 2018 in 3-5 % of schools. The introduction of obligatory su</w:t>
      </w:r>
      <w:r>
        <w:rPr>
          <w:noProof/>
        </w:rPr>
        <w:t>bject Computer Science in the 5</w:t>
      </w:r>
      <w:r>
        <w:rPr>
          <w:noProof/>
          <w:vertAlign w:val="superscript"/>
        </w:rPr>
        <w:t>th</w:t>
      </w:r>
      <w:r>
        <w:rPr>
          <w:noProof/>
        </w:rPr>
        <w:t xml:space="preserve"> and 6</w:t>
      </w:r>
      <w:r>
        <w:rPr>
          <w:noProof/>
          <w:vertAlign w:val="superscript"/>
        </w:rPr>
        <w:t>th</w:t>
      </w:r>
      <w:r>
        <w:rPr>
          <w:noProof/>
        </w:rPr>
        <w:t xml:space="preserve"> grades of primary school is also planned for 2018. Currently, 10 % of Croatian schools are taking part in the ESI Funds-supported e-Schools project designed to prepare strategic documents, plans and policies to sys</w:t>
      </w:r>
      <w:r>
        <w:rPr>
          <w:noProof/>
        </w:rPr>
        <w:t xml:space="preserve">tematically integrate ICT into activities of all of primary and secondary schools by 2022. </w:t>
      </w:r>
    </w:p>
    <w:p w:rsidR="001E7162" w:rsidRDefault="00EC2A75">
      <w:pPr>
        <w:rPr>
          <w:noProof/>
        </w:rPr>
      </w:pPr>
      <w:r>
        <w:rPr>
          <w:b/>
          <w:noProof/>
        </w:rPr>
        <w:t>Growth in tertiary graduates has slowed, while their employment rates have not yet returned to pre-crisis levels.</w:t>
      </w:r>
      <w:r>
        <w:rPr>
          <w:noProof/>
        </w:rPr>
        <w:t xml:space="preserve"> Tertiary educational attainment in Croatia had been on an upward trend for the last decade but started declining in 2014. The proportion of 30- to 34-year-olds with tertiary education in 2016 was 29.5 % (</w:t>
      </w:r>
      <w:r>
        <w:rPr>
          <w:rStyle w:val="FootnoteReference"/>
          <w:noProof/>
        </w:rPr>
        <w:footnoteReference w:id="35"/>
      </w:r>
      <w:r>
        <w:rPr>
          <w:noProof/>
        </w:rPr>
        <w:t>), significantly below the EU average of 39.1 % an</w:t>
      </w:r>
      <w:r>
        <w:rPr>
          <w:noProof/>
        </w:rPr>
        <w:t>d Croatia’s national 2020 target of 35 %. In 2008, 86.3 % of people who had completed tertiary education within the previous 1-3 years was in employment, while in 2016 this share was down to 74.7 % (EU average of 82.8 %), despite the recent pick-up in econ</w:t>
      </w:r>
      <w:r>
        <w:rPr>
          <w:noProof/>
        </w:rPr>
        <w:t xml:space="preserve">omic activity. The unemployment rate of tertiary graduates was at 7.8 % in 2016, the fourth highest in the EU. </w:t>
      </w:r>
    </w:p>
    <w:p w:rsidR="001E7162" w:rsidRDefault="00EC2A75">
      <w:pPr>
        <w:rPr>
          <w:noProof/>
        </w:rPr>
      </w:pPr>
      <w:r>
        <w:rPr>
          <w:b/>
          <w:noProof/>
        </w:rPr>
        <w:t>Croatia lacks mechanisms to address the skills mismatch of tertiary education graduates.</w:t>
      </w:r>
      <w:r>
        <w:rPr>
          <w:noProof/>
        </w:rPr>
        <w:t xml:space="preserve"> A 2017 employers' survey on how the tertiary education meets the needs of a competitive economy ranked Croatia 112</w:t>
      </w:r>
      <w:r>
        <w:rPr>
          <w:noProof/>
          <w:vertAlign w:val="superscript"/>
        </w:rPr>
        <w:t>th</w:t>
      </w:r>
      <w:r>
        <w:rPr>
          <w:noProof/>
        </w:rPr>
        <w:t xml:space="preserve"> out of 137 global economies and among the lowest in the EU (World Economic Forum, 2017). Despite the annual recommendations from the Croat</w:t>
      </w:r>
      <w:r>
        <w:rPr>
          <w:noProof/>
        </w:rPr>
        <w:t>ian Employment Service (CES) to reduce enrolment rates in business administration and law, there was no change between 2012 and 2016. Almost one in three Croatian students graduated in business and law, among the highest in the EU (31.4 % vs 24.3 %). The r</w:t>
      </w:r>
      <w:r>
        <w:rPr>
          <w:noProof/>
        </w:rPr>
        <w:t>ecent introduction of an ESF-supported 'science, technology, engineering and math' scholarship scheme aims to increase the pupils' interest in these subjects. Despite the analysis of CES on skills needed in the labour market, Croatia does not have a mechan</w:t>
      </w:r>
      <w:r>
        <w:rPr>
          <w:noProof/>
        </w:rPr>
        <w:t>ism to match tertiary education admissions quotas with skills needs.</w:t>
      </w:r>
    </w:p>
    <w:p w:rsidR="001E7162" w:rsidRDefault="00EC2A75">
      <w:pPr>
        <w:rPr>
          <w:noProof/>
        </w:rPr>
      </w:pPr>
      <w:r>
        <w:rPr>
          <w:b/>
          <w:noProof/>
        </w:rPr>
        <w:t>The implementation of the Croatian Qualifications Framework (CROQF) has begun.</w:t>
      </w:r>
      <w:r>
        <w:rPr>
          <w:noProof/>
        </w:rPr>
        <w:t xml:space="preserve"> In order to improve the labour market relevance of education, the CROQF established 25 sectoral councils, co</w:t>
      </w:r>
      <w:r>
        <w:rPr>
          <w:noProof/>
        </w:rPr>
        <w:t>nsisting of educators, employers, stakeholders and representatives from the public administration. They were tasked to review and update the country's qualifications system. After delays in 2015 and 2016, the sectoral councils have now started updating ove</w:t>
      </w:r>
      <w:r>
        <w:rPr>
          <w:noProof/>
        </w:rPr>
        <w:t xml:space="preserve">r 300 qualification and occupation standards. </w:t>
      </w:r>
    </w:p>
    <w:p w:rsidR="001E7162" w:rsidRDefault="00EC2A75">
      <w:pPr>
        <w:rPr>
          <w:noProof/>
        </w:rPr>
      </w:pPr>
      <w:r>
        <w:rPr>
          <w:b/>
          <w:noProof/>
        </w:rPr>
        <w:t>Secondary vocational education would benefit from further alignment with labour market needs.</w:t>
      </w:r>
      <w:r>
        <w:rPr>
          <w:noProof/>
        </w:rPr>
        <w:t xml:space="preserve"> While Croatia has the highest percentage of secondary school students enrolled in vocational education and training</w:t>
      </w:r>
      <w:r>
        <w:rPr>
          <w:noProof/>
        </w:rPr>
        <w:t xml:space="preserve"> (VET) programmes in the EU (71 %), their prospects of successful transition to the labour market remain limited. More than half of registered unemployed (average over the period 2010-2015) hold a secondary vocational education diploma. To increase the lab</w:t>
      </w:r>
      <w:r>
        <w:rPr>
          <w:noProof/>
        </w:rPr>
        <w:t>our market relevance of VET, the authorities announced the adoption of the National Curriculum for Vocational Education, which is currently under review. This will be complemented by plans to develop sectorial curricula, establish an effective network of v</w:t>
      </w:r>
      <w:r>
        <w:rPr>
          <w:noProof/>
        </w:rPr>
        <w:t xml:space="preserve">ocational schools and programmes and a quality assurance system, establish regional centres of competence and promote international mobility of teachers and students. </w:t>
      </w:r>
    </w:p>
    <w:p w:rsidR="001E7162" w:rsidRDefault="00EC2A75">
      <w:pPr>
        <w:rPr>
          <w:noProof/>
        </w:rPr>
      </w:pPr>
      <w:r>
        <w:rPr>
          <w:b/>
          <w:noProof/>
        </w:rPr>
        <w:t>Employers play a marginal role in the provision of vocational education.</w:t>
      </w:r>
      <w:r>
        <w:rPr>
          <w:noProof/>
        </w:rPr>
        <w:t xml:space="preserve"> VET is more and</w:t>
      </w:r>
      <w:r>
        <w:rPr>
          <w:noProof/>
        </w:rPr>
        <w:t xml:space="preserve"> more carried out in school classrooms and outside of firms – which minimised the role of employers in vocational education. Even though both schools and employers see the benefits of implementing work-based learning strategies, a recent study showed that </w:t>
      </w:r>
      <w:r>
        <w:rPr>
          <w:noProof/>
        </w:rPr>
        <w:t>they would require additional support from public authorities (South East European Centre for Entrepreneurial Learning, 2017). A central role is due to be played by the Croatian Employment Service, which was tasked to analyse and forecast labour market ski</w:t>
      </w:r>
      <w:r>
        <w:rPr>
          <w:noProof/>
        </w:rPr>
        <w:t>lls needs in cooperation with the employers. Such analysis should inform the recommendations for the enrolment policy of various VET courses in secondary schools. However, so far the impact of skills anticipation activities on educational policy has been n</w:t>
      </w:r>
      <w:r>
        <w:rPr>
          <w:noProof/>
        </w:rPr>
        <w:t xml:space="preserve">egligible (European Centre for the Development of Vocational Training and European Commission, 2017).  </w:t>
      </w:r>
    </w:p>
    <w:p w:rsidR="001E7162" w:rsidRDefault="00EC2A75">
      <w:pPr>
        <w:rPr>
          <w:noProof/>
        </w:rPr>
      </w:pPr>
      <w:r>
        <w:rPr>
          <w:b/>
          <w:noProof/>
        </w:rPr>
        <w:t>Croatia lags behind in upskilling and reskilling the working age population.</w:t>
      </w:r>
      <w:r>
        <w:rPr>
          <w:noProof/>
        </w:rPr>
        <w:t xml:space="preserve"> Based on the European Working Conditions Survey, three out of four workers </w:t>
      </w:r>
      <w:r>
        <w:rPr>
          <w:noProof/>
        </w:rPr>
        <w:t>in 2015 had not attended any training over the previous year. EUROSTAT indicators show that in 2016 only 3 % (vs the EU average 10.8%) of Croatian adults (25-64) reported having participated in adult learning, with no difference between unemployed and empl</w:t>
      </w:r>
      <w:r>
        <w:rPr>
          <w:noProof/>
        </w:rPr>
        <w:t xml:space="preserve">oyed persons and with slightly higher rates for more educated people (ISCED 5-8). Most of the participants are young adults, while older people (55-64) </w:t>
      </w:r>
      <w:r>
        <w:rPr>
          <w:i/>
          <w:noProof/>
        </w:rPr>
        <w:t>de facto</w:t>
      </w:r>
      <w:r>
        <w:rPr>
          <w:noProof/>
        </w:rPr>
        <w:t xml:space="preserve"> do not participate. To improve the employability of adults with low skills, Croatia is working </w:t>
      </w:r>
      <w:r>
        <w:rPr>
          <w:noProof/>
        </w:rPr>
        <w:t>on improving the assessment of current and missing skills, the supply of adequate learning offers and the validation of acquired new skills (</w:t>
      </w:r>
      <w:r>
        <w:rPr>
          <w:rStyle w:val="FootnoteReference"/>
          <w:noProof/>
        </w:rPr>
        <w:footnoteReference w:id="36"/>
      </w:r>
      <w:r>
        <w:rPr>
          <w:noProof/>
        </w:rPr>
        <w:t>).</w:t>
      </w:r>
    </w:p>
    <w:p w:rsidR="001E7162" w:rsidRDefault="00EC2A75">
      <w:pPr>
        <w:rPr>
          <w:noProof/>
        </w:rPr>
        <w:sectPr w:rsidR="001E7162">
          <w:headerReference w:type="even" r:id="rId139"/>
          <w:headerReference w:type="default" r:id="rId140"/>
          <w:footerReference w:type="even" r:id="rId141"/>
          <w:footerReference w:type="default" r:id="rId142"/>
          <w:headerReference w:type="first" r:id="rId143"/>
          <w:footerReference w:type="first" r:id="rId144"/>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r>
        <w:rPr>
          <w:b/>
          <w:noProof/>
        </w:rPr>
        <w:t>Systemic inefficiencies in the adult education system affect its labour market relevance.</w:t>
      </w:r>
      <w:r>
        <w:rPr>
          <w:noProof/>
        </w:rPr>
        <w:t xml:space="preserve"> Croatia lacks systematic professional development programmes for adult educators, and non-formal and informal</w:t>
      </w:r>
      <w:r>
        <w:rPr>
          <w:noProof/>
        </w:rPr>
        <w:t xml:space="preserve"> learning programmes are not properly assessed nor recognized. There are around 10 600 programmes, offered by 600 adult education institutions, many of which established without adhering to high quality criteria (Brčić Kuljiš and Koludrović, 2016). Further</w:t>
      </w:r>
      <w:r>
        <w:rPr>
          <w:noProof/>
        </w:rPr>
        <w:t>more, the lack of financial support to participants (</w:t>
      </w:r>
      <w:r>
        <w:rPr>
          <w:rStyle w:val="FootnoteReference"/>
          <w:noProof/>
        </w:rPr>
        <w:footnoteReference w:id="37"/>
      </w:r>
      <w:r>
        <w:rPr>
          <w:noProof/>
        </w:rPr>
        <w:t>) is among the reasons behind the low participation rates in adult education. The regional distribution of institutions offering formal adult education is highly uneven (35 % are in Zagreb and in Splits</w:t>
      </w:r>
      <w:r>
        <w:rPr>
          <w:noProof/>
        </w:rPr>
        <w:t>ko-Dalmatinska County) leading to an increased inequality of access to learning. The adoption of the new Adult Education Act, the harmonization of procedures for adult education programmes with the CROQF and regular reporting on participation rates, may he</w:t>
      </w:r>
      <w:r>
        <w:rPr>
          <w:noProof/>
        </w:rPr>
        <w:t xml:space="preserve">lp addressing the current weaknesses. </w:t>
      </w:r>
    </w:p>
    <w:p w:rsidR="001E7162" w:rsidRDefault="00EC2A75">
      <w:pPr>
        <w:pStyle w:val="SectionTitleFramed9"/>
        <w:framePr w:wrap="notBeside"/>
        <w:rPr>
          <w:noProof/>
        </w:rPr>
      </w:pPr>
      <w:bookmarkStart w:id="41" w:name="_Toc507359624"/>
      <w:r>
        <w:rPr>
          <w:noProof/>
        </w:rPr>
        <w:t>4.4. Competitiveness and investment*</w:t>
      </w:r>
      <w:bookmarkEnd w:id="41"/>
    </w:p>
    <w:p w:rsidR="001E7162" w:rsidRDefault="00EC2A75">
      <w:pPr>
        <w:pStyle w:val="Heading"/>
        <w:rPr>
          <w:noProof/>
        </w:rPr>
      </w:pPr>
      <w:r>
        <w:rPr>
          <w:noProof/>
        </w:rPr>
        <w:t>Trade performance</w:t>
      </w:r>
    </w:p>
    <w:p w:rsidR="001E7162" w:rsidRDefault="00EC2A75">
      <w:pPr>
        <w:rPr>
          <w:noProof/>
        </w:rPr>
      </w:pPr>
      <w:r>
        <w:rPr>
          <w:b/>
          <w:noProof/>
        </w:rPr>
        <w:t>The competitiveness of the Croatian economy as gauged by its export performance is improving, but remains below peers.</w:t>
      </w:r>
      <w:r>
        <w:rPr>
          <w:noProof/>
        </w:rPr>
        <w:t xml:space="preserve"> The 25 % share of exports of goods in GDP i</w:t>
      </w:r>
      <w:r>
        <w:rPr>
          <w:noProof/>
        </w:rPr>
        <w:t xml:space="preserve">s only half the average share in Central and Eastern European economies (CEE10). Still, it is a substantial improvement compared to the 15 % of GDP in 2000. </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42" w:name="_Toc505083036"/>
            <w:r>
              <w:rPr>
                <w:noProof/>
              </w:rPr>
              <w:t>Graph 4.4.1:</w:t>
            </w:r>
            <w:r>
              <w:rPr>
                <w:b/>
                <w:noProof/>
              </w:rPr>
              <w:tab/>
              <w:t>Exports of goods (volumes) in Croatia, EU15 and CEE10, index (2013=100)</w:t>
            </w:r>
            <w:bookmarkEnd w:id="42"/>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6AA653F5" wp14:editId="09EFC196">
                  <wp:extent cx="2597595" cy="2459217"/>
                  <wp:effectExtent l="0" t="0" r="0" b="0"/>
                  <wp:docPr id="90" name="Picture 90" descr="&lt;nbr&gt;&lt;GETTEXTFROMWORD&gt;&lt;/nbr&gt;&#10;&lt;title&gt;&lt;GETTEXTFROMWORD&gt;&lt;/title&gt;&#10;&lt;id&gt;380a8466-54c1-4691-9d90-c6225e4190ee&lt;/id&gt;&#10;&lt;srcType&gt;EXCEL&lt;/srcType&gt;&#10;&lt;srcPath&gt;O:\2017 CRs\2018 European semester\11 HR\Excel\&lt;/srcPath&gt;&#10;&lt;srcName&gt;CR.HR.2018_4.4_Competitiveness_investment.xlsx&lt;/srcName&gt;&#10;&lt;type&gt;graph&lt;/type&gt;&#10; &lt;srcSheet&gt;exports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8:14:51&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97595" cy="2459217"/>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Source"/>
              <w:keepNext/>
              <w:rPr>
                <w:noProof/>
              </w:rPr>
            </w:pPr>
            <w:r>
              <w:rPr>
                <w:b/>
                <w:i/>
                <w:noProof/>
              </w:rPr>
              <w:t>Source:</w:t>
            </w:r>
            <w:r>
              <w:rPr>
                <w:noProof/>
              </w:rPr>
              <w:t xml:space="preserve"> Eurostat.</w:t>
            </w:r>
          </w:p>
        </w:tc>
      </w:tr>
    </w:tbl>
    <w:p w:rsidR="001E7162" w:rsidRDefault="00EC2A75">
      <w:pPr>
        <w:rPr>
          <w:noProof/>
        </w:rPr>
      </w:pPr>
      <w:r>
        <w:rPr>
          <w:b/>
          <w:noProof/>
        </w:rPr>
        <w:t>Weak export performance during the crisis can largely be linked to competitiveness losses and demand factors.</w:t>
      </w:r>
      <w:r>
        <w:rPr>
          <w:noProof/>
        </w:rPr>
        <w:t xml:space="preserve"> Exports of goods grew strongly in the early 2000s (Graph 4.4.1), but as domestic demand boomed, the tightening labour market combined </w:t>
      </w:r>
      <w:r>
        <w:rPr>
          <w:noProof/>
        </w:rPr>
        <w:t>with a mild currency appreciation eroded international competitiveness. The real effective exchange rate (deflated by unit labour costs) continued to appreciate up until the end of 2009, leading to significant losses in export market shares. In addition, t</w:t>
      </w:r>
      <w:r>
        <w:rPr>
          <w:noProof/>
        </w:rPr>
        <w:t xml:space="preserve">he slow growth in two of Croatia's major trading partners, Slovenia and Italy, weighed on the demand for Croatian goods, while the restructuring of the shipbuilding industry (started in 2013) further depressed exports. Consequently, total exports of goods </w:t>
      </w:r>
      <w:r>
        <w:rPr>
          <w:noProof/>
        </w:rPr>
        <w:t>decreased by 3 % in 2010-2012.</w:t>
      </w:r>
    </w:p>
    <w:p w:rsidR="001E7162" w:rsidRDefault="00EC2A75">
      <w:pPr>
        <w:rPr>
          <w:noProof/>
        </w:rPr>
      </w:pPr>
      <w:r>
        <w:rPr>
          <w:b/>
          <w:noProof/>
        </w:rPr>
        <w:t xml:space="preserve">Following EU accession, exports rebounded strongly. </w:t>
      </w:r>
      <w:r>
        <w:rPr>
          <w:noProof/>
        </w:rPr>
        <w:t>Between the third quarter of 2013 and the third quarter of 2017, exports of goods expanded at an average rate of 9 % year-on-year. Such strong growth is linked to a turnarou</w:t>
      </w:r>
      <w:r>
        <w:rPr>
          <w:noProof/>
        </w:rPr>
        <w:t>nd in global demand, as well as policies geared to restore external competitiveness through wage restraint – including labour market reforms (2013-2014). Most notably, however, EU accession has opened up opportunities for Croatian firms, which continue mak</w:t>
      </w:r>
      <w:r>
        <w:rPr>
          <w:noProof/>
        </w:rPr>
        <w:t>ing inroads into EU value chains and gaining market shares. Exports of services – mainly tourism – have also been growing strongly, as Croatia attracts more and more tourists from abroad and global demand for tourism grows in line with the recovery in disp</w:t>
      </w:r>
      <w:r>
        <w:rPr>
          <w:noProof/>
        </w:rPr>
        <w:t xml:space="preserve">osable incomes. </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43" w:name="_Toc505083037"/>
            <w:r>
              <w:rPr>
                <w:noProof/>
              </w:rPr>
              <w:t>Graph 4.4.2:</w:t>
            </w:r>
            <w:r>
              <w:rPr>
                <w:b/>
                <w:noProof/>
              </w:rPr>
              <w:tab/>
              <w:t>Goods' export growth (values) between 2013 and 2016 by markets and product type</w:t>
            </w:r>
            <w:bookmarkEnd w:id="43"/>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4DE25A54" wp14:editId="7FB02340">
                  <wp:extent cx="2597595" cy="2459546"/>
                  <wp:effectExtent l="0" t="0" r="0" b="0"/>
                  <wp:docPr id="91" name="Picture 91" descr="&lt;nbr&gt;&lt;GETTEXTFROMWORD&gt;&lt;/nbr&gt;&#10;&lt;title&gt;&lt;GETTEXTFROMWORD&gt;&lt;/title&gt;&#10;&lt;id&gt;8107fdcf-9a2f-47fb-b3ae-02bdb3637cf0&lt;/id&gt;&#10;&lt;srcType&gt;EXCEL&lt;/srcType&gt;&#10;&lt;srcPath&gt;O:\2017 CRs\2018 European semester\11 HR\Excel\&lt;/srcPath&gt;&#10;&lt;srcName&gt;CR.HR.2018_4.4_Competitiveness_investment.xlsx&lt;/srcName&gt;&#10;&lt;type&gt;graph&lt;/type&gt;&#10; &lt;srcSheet&gt;intensive-extensive&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8:14:51&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97595" cy="2459546"/>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(1) New products are products not exported in in 2013</w:t>
            </w:r>
            <w:r>
              <w:rPr>
                <w:noProof/>
              </w:rPr>
              <w:br/>
              <w:t>(2) Marginally exported products were exported in the value &lt;50 000 EUR in 2013.</w:t>
            </w:r>
          </w:p>
          <w:p w:rsidR="001E7162" w:rsidRDefault="00EC2A75">
            <w:pPr>
              <w:pStyle w:val="GraphSource"/>
              <w:keepNext/>
              <w:rPr>
                <w:noProof/>
              </w:rPr>
            </w:pPr>
            <w:r>
              <w:rPr>
                <w:b/>
                <w:i/>
                <w:noProof/>
              </w:rPr>
              <w:t>Source:</w:t>
            </w:r>
            <w:r>
              <w:rPr>
                <w:noProof/>
              </w:rPr>
              <w:t xml:space="preserve"> Eurostat.</w:t>
            </w:r>
          </w:p>
        </w:tc>
      </w:tr>
    </w:tbl>
    <w:p w:rsidR="001E7162" w:rsidRDefault="00EC2A75">
      <w:pPr>
        <w:rPr>
          <w:noProof/>
        </w:rPr>
      </w:pPr>
      <w:r>
        <w:rPr>
          <w:b/>
          <w:noProof/>
        </w:rPr>
        <w:t>The structure of Croatia's goods exports is changing in terms of both markets and products.</w:t>
      </w:r>
      <w:r>
        <w:rPr>
          <w:noProof/>
        </w:rPr>
        <w:t xml:space="preserve"> Following EU accession, merchandise exports grew particularly strongly towards the CEE10, while exports to countries in the Central European Free Trade </w:t>
      </w:r>
      <w:r>
        <w:rPr>
          <w:noProof/>
        </w:rPr>
        <w:t>Agreement (CEFTA) grew at a much slower pace. This suggests a weakening of historical trade ties with the ex-Yugoslavian economies and convergence to the export patterns of CEE10 economies, which are more geared towards the EU. Greater product differentiat</w:t>
      </w:r>
      <w:r>
        <w:rPr>
          <w:noProof/>
        </w:rPr>
        <w:t>ion underpinned the export growth in 2013-2016, as a number of Croatian products found their export markets for the first time. While the share of higher complexity exports (</w:t>
      </w:r>
      <w:r>
        <w:rPr>
          <w:rStyle w:val="FootnoteReference"/>
          <w:noProof/>
        </w:rPr>
        <w:footnoteReference w:id="38"/>
      </w:r>
      <w:r>
        <w:rPr>
          <w:noProof/>
        </w:rPr>
        <w:t>) has increased in recent years, the aggregate complexity of Croatian exports (0.</w:t>
      </w:r>
      <w:r>
        <w:rPr>
          <w:noProof/>
        </w:rPr>
        <w:t>75) remains below the (simple) average of the CEE10 countries (0.93). Nevertheless, Croatia features areas of excellence in exports, especially in the pharmaceutical industry. Finally, the decoupling of exports from industrial production points to a streng</w:t>
      </w:r>
      <w:r>
        <w:rPr>
          <w:noProof/>
        </w:rPr>
        <w:t>thening of the import content of exports, in line with the increasing integration of Croatian companies into EU value chains.</w:t>
      </w:r>
    </w:p>
    <w:p w:rsidR="001E7162" w:rsidRDefault="00EC2A75">
      <w:pPr>
        <w:rPr>
          <w:noProof/>
        </w:rPr>
      </w:pPr>
      <w:r>
        <w:rPr>
          <w:b/>
          <w:noProof/>
        </w:rPr>
        <w:t>Exports of goods have the potential to sustain Croatia's long-run growth prospects</w:t>
      </w:r>
      <w:r>
        <w:rPr>
          <w:noProof/>
        </w:rPr>
        <w:t xml:space="preserve"> The positive trends in recent years suggest that Croatia could pursue a model of export-led growth to spur its economic convergence, much like its CEE10 peers (</w:t>
      </w:r>
      <w:r>
        <w:rPr>
          <w:rStyle w:val="FootnoteReference"/>
          <w:noProof/>
        </w:rPr>
        <w:footnoteReference w:id="39"/>
      </w:r>
      <w:r>
        <w:rPr>
          <w:noProof/>
        </w:rPr>
        <w:t>). Furthermore, a move towards higher complexity exports, as suggested by the existing areas o</w:t>
      </w:r>
      <w:r>
        <w:rPr>
          <w:noProof/>
        </w:rPr>
        <w:t>f excellence, is more a question of competitiveness and allocation of resources than developing essential capabilities. In this sense, well-functioning product and capital markets which boost productivity and promote the reallocation of resources towards f</w:t>
      </w:r>
      <w:r>
        <w:rPr>
          <w:noProof/>
        </w:rPr>
        <w:t>aster growing sectors are crucial. In the longer run, a stronger R&amp;D&amp;I system can boost competitiveness, particularly in emerging industries and industries where Croatia already enjoys a comparative advantage. Similarly, unlocking Croatia's labour supply p</w:t>
      </w:r>
      <w:r>
        <w:rPr>
          <w:noProof/>
        </w:rPr>
        <w:t xml:space="preserve">otential and providing the workforce with the skills needed in innovative sectors could also help relax capacity constraints. </w:t>
      </w:r>
    </w:p>
    <w:p w:rsidR="001E7162" w:rsidRDefault="00EC2A75">
      <w:pPr>
        <w:pStyle w:val="Heading"/>
        <w:rPr>
          <w:noProof/>
        </w:rPr>
      </w:pPr>
      <w:r>
        <w:rPr>
          <w:noProof/>
        </w:rPr>
        <w:t>Business environment</w:t>
      </w:r>
    </w:p>
    <w:p w:rsidR="001E7162" w:rsidRDefault="00EC2A75">
      <w:pPr>
        <w:rPr>
          <w:noProof/>
        </w:rPr>
      </w:pPr>
      <w:r>
        <w:rPr>
          <w:b/>
          <w:noProof/>
        </w:rPr>
        <w:t>Croatia is lagging behind in the pace of reform of the business environment.</w:t>
      </w:r>
      <w:r>
        <w:rPr>
          <w:noProof/>
        </w:rPr>
        <w:t xml:space="preserve"> Croatia ranks last among peers </w:t>
      </w:r>
      <w:r>
        <w:rPr>
          <w:noProof/>
        </w:rPr>
        <w:t xml:space="preserve">in both performance and progress regarding the quality of its business environment. The World Economic Forum's Global Competitiveness Index shows Croatia stagnating while its peers advance (see Graph </w:t>
      </w:r>
      <w:r>
        <w:rPr>
          <w:noProof/>
        </w:rPr>
        <w:fldChar w:fldCharType="begin"/>
      </w:r>
      <w:r>
        <w:rPr>
          <w:noProof/>
        </w:rPr>
        <w:instrText xml:space="preserve"> QUOTE "4.4.3"</w:instrText>
      </w:r>
      <w:r>
        <w:rPr>
          <w:noProof/>
        </w:rPr>
        <w:fldChar w:fldCharType="begin">
          <w:fldData xml:space="preserve">QwBSAE8AUwBTAFIARQBGAEUAUgBFAE4AQwBFACoARwBSAEEAUABIACoAZgA3AGQAMQA5ADAANgA0
AC0AOAA2ADQAYQAtADQANgBlADYALQA4ADgAYgA5AC0AOQA1ADQAMQBjADgANwAxAGYAZAAwADYA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4.4.3</w:t>
      </w:r>
      <w:r>
        <w:rPr>
          <w:noProof/>
        </w:rPr>
        <w:fldChar w:fldCharType="end"/>
      </w:r>
      <w:r>
        <w:rPr>
          <w:noProof/>
        </w:rPr>
        <w:t>). Croatia's performance is comparatively low and deteriorating in the areas of institutions, innovation, goods and labour market efficiency. This mirrors the European Commission's findin</w:t>
      </w:r>
      <w:r>
        <w:rPr>
          <w:noProof/>
        </w:rPr>
        <w:t>gs on the fragmentation of the public administration (see Section 4.5), as well as the excessive regulation in product markets and some professions and barriers to investment (see Box 4.4.2).</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44" w:name="_Toc505083038"/>
            <w:r>
              <w:rPr>
                <w:noProof/>
              </w:rPr>
              <w:t>Graph 4.4.3:</w:t>
            </w:r>
            <w:r>
              <w:rPr>
                <w:b/>
                <w:noProof/>
              </w:rPr>
              <w:tab/>
              <w:t xml:space="preserve">Global competitiveness index scores of Croatia and </w:t>
            </w:r>
            <w:r>
              <w:rPr>
                <w:b/>
                <w:noProof/>
              </w:rPr>
              <w:t>peers</w:t>
            </w:r>
            <w:bookmarkEnd w:id="44"/>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23454D2E" wp14:editId="34AEAC03">
                  <wp:extent cx="2597595" cy="2442788"/>
                  <wp:effectExtent l="0" t="0" r="0" b="0"/>
                  <wp:docPr id="92" name="Picture 92" descr="&lt;nbr&gt;&lt;GETTEXTFROMWORD&gt;&lt;/nbr&gt;&#10;&lt;title&gt;&lt;GETTEXTFROMWORD&gt;&lt;/title&gt;&#10;&lt;id&gt;f7d19064-864a-46e6-88b9-9541c871fd06&lt;/id&gt;&#10;&lt;srcType&gt;EXCEL&lt;/srcType&gt;&#10;&lt;srcPath&gt;O:\2017 CRs\2018 European semester\11 HR\Excel\&lt;/srcPath&gt;&#10;&lt;srcName&gt;CR.HR.2018_4.4_Competitiveness_investment.xlsx&lt;/srcName&gt;&#10;&lt;type&gt;graph&lt;/type&gt;&#10; &lt;srcSheet&gt;business_environment&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8:14:51&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97595" cy="2442788"/>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Scale is from 1 to 7.</w:t>
            </w:r>
          </w:p>
          <w:p w:rsidR="001E7162" w:rsidRDefault="00EC2A75">
            <w:pPr>
              <w:pStyle w:val="GraphSource"/>
              <w:keepNext/>
              <w:rPr>
                <w:noProof/>
              </w:rPr>
            </w:pPr>
            <w:r>
              <w:rPr>
                <w:b/>
                <w:i/>
                <w:noProof/>
              </w:rPr>
              <w:t>Source:</w:t>
            </w:r>
            <w:r>
              <w:rPr>
                <w:noProof/>
              </w:rPr>
              <w:t xml:space="preserve"> World Economic Forum.</w:t>
            </w:r>
          </w:p>
        </w:tc>
      </w:tr>
    </w:tbl>
    <w:p w:rsidR="001E7162" w:rsidRDefault="00EC2A75">
      <w:pPr>
        <w:rPr>
          <w:noProof/>
        </w:rPr>
      </w:pPr>
      <w:r>
        <w:rPr>
          <w:b/>
          <w:noProof/>
        </w:rPr>
        <w:t>Progress is gradually being made in addressing burdensome regulation.</w:t>
      </w:r>
      <w:r>
        <w:rPr>
          <w:noProof/>
        </w:rPr>
        <w:t xml:space="preserve"> The authorities continue to screen existing legislation for administrative burdens and subsequently amending legislation in</w:t>
      </w:r>
      <w:r>
        <w:rPr>
          <w:noProof/>
        </w:rPr>
        <w:t xml:space="preserve"> order to reduce it. Meanwhile, the new SME test was finally adopted in April 2017. By setting out the criteria for regulatory impact assessments focused on SMEs, it has the potential to significantly improve the business environment for this class of firm</w:t>
      </w:r>
      <w:r>
        <w:rPr>
          <w:noProof/>
        </w:rPr>
        <w:t>s. However, SMEs would need to be consulted in a more targeted way during the public consultation stage in order to really improve impact assessment. Two parafiscal charges were reduced and further reductions are in the pipeline, potentially resulting in s</w:t>
      </w:r>
      <w:r>
        <w:rPr>
          <w:noProof/>
        </w:rPr>
        <w:t>ubstantial reductions.</w:t>
      </w:r>
    </w:p>
    <w:p w:rsidR="001E7162" w:rsidRDefault="001E7162">
      <w:pPr>
        <w:rPr>
          <w:b/>
          <w:noProof/>
        </w:rPr>
        <w:sectPr w:rsidR="001E7162">
          <w:headerReference w:type="even" r:id="rId148"/>
          <w:headerReference w:type="default" r:id="rId149"/>
          <w:footerReference w:type="even" r:id="rId150"/>
          <w:footerReference w:type="default" r:id="rId151"/>
          <w:headerReference w:type="first" r:id="rId152"/>
          <w:footerReference w:type="first" r:id="rId15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1E7162">
        <w:trPr>
          <w:jc w:val="center"/>
        </w:trPr>
        <w:tc>
          <w:tcPr>
            <w:tcW w:w="8721" w:type="dxa"/>
            <w:shd w:val="clear" w:color="auto" w:fill="F7FCFF"/>
          </w:tcPr>
          <w:p w:rsidR="001E7162" w:rsidRDefault="00EC2A75">
            <w:pPr>
              <w:pStyle w:val="BoxTitle"/>
              <w:pageBreakBefore/>
              <w:rPr>
                <w:b/>
                <w:noProof/>
              </w:rPr>
            </w:pPr>
            <w:bookmarkStart w:id="45" w:name="_Toc505082850"/>
            <w:r>
              <w:rPr>
                <w:i/>
                <w:noProof/>
              </w:rPr>
              <w:t xml:space="preserve">Box 4.4.1: </w:t>
            </w:r>
            <w:r>
              <w:rPr>
                <w:b/>
                <w:noProof/>
              </w:rPr>
              <w:t>The role of Tourism in the Croatian economy</w:t>
            </w:r>
            <w:bookmarkEnd w:id="45"/>
          </w:p>
          <w:p w:rsidR="001E7162" w:rsidRDefault="00EC2A75">
            <w:pPr>
              <w:pStyle w:val="BoxText"/>
              <w:rPr>
                <w:noProof/>
              </w:rPr>
            </w:pPr>
            <w:r>
              <w:rPr>
                <w:b/>
                <w:noProof/>
              </w:rPr>
              <w:t xml:space="preserve">With its advantageous </w:t>
            </w:r>
            <w:r>
              <w:rPr>
                <w:b/>
                <w:noProof/>
              </w:rPr>
              <w:t>location and natural beauty, Croatia has been an important tourist destination ever since the surge in international tourism.</w:t>
            </w:r>
            <w:r>
              <w:rPr>
                <w:noProof/>
              </w:rPr>
              <w:t xml:space="preserve"> International tourists' expenditure in Croatia amounts to almost 20% of GDP – by far the largest share compared to other European </w:t>
            </w:r>
            <w:r>
              <w:rPr>
                <w:noProof/>
              </w:rPr>
              <w:t>Union countries. Tourism has consequently generally been considered as a key driver of Croatia's economy. Despite several improvements in the diversification of the offer, Croatia mainly features a typical "sun and sea" tourism model, with stays concentrat</w:t>
            </w:r>
            <w:r>
              <w:rPr>
                <w:noProof/>
              </w:rPr>
              <w:t>ed in coastal areas and over the summer months. The accommodation offer is skewed towards relatively cheap structures (such as private holiday houses and camping grounds) and average tourist expenditure is below that recorded in EU peers. Recent econometri</w:t>
            </w:r>
            <w:r>
              <w:rPr>
                <w:noProof/>
              </w:rPr>
              <w:t xml:space="preserve">c analysis sheds more light on the structural characteristics of the Croatian tourism sector and its contribution to GDP growth. </w:t>
            </w:r>
          </w:p>
          <w:p w:rsidR="001E7162" w:rsidRDefault="00EC2A75">
            <w:pPr>
              <w:pStyle w:val="BoxText"/>
              <w:rPr>
                <w:noProof/>
              </w:rPr>
            </w:pPr>
            <w:r>
              <w:rPr>
                <w:b/>
                <w:noProof/>
              </w:rPr>
              <w:t>The international demand for Croatian tourism is more responsive to changes in income of source countries compared to other de</w:t>
            </w:r>
            <w:r>
              <w:rPr>
                <w:b/>
                <w:noProof/>
              </w:rPr>
              <w:t xml:space="preserve">stinations in the Mediterranean. </w:t>
            </w:r>
            <w:r>
              <w:rPr>
                <w:noProof/>
              </w:rPr>
              <w:t>Structural differences in tourism models across countries are reflected in a different sensitivity of demand for tourism services to income and prices. The international tourism demand for Croatia and three other Mediterran</w:t>
            </w:r>
            <w:r>
              <w:rPr>
                <w:noProof/>
              </w:rPr>
              <w:t>ean destinations was estimated using a comparable specification (Orsini and Ostojić, 2018) . Tourism demand was modelled as a function of purchasing power in the EU, the relative price of tourism services and travel costs in each country. The findings prov</w:t>
            </w:r>
            <w:r>
              <w:rPr>
                <w:noProof/>
              </w:rPr>
              <w:t>ide evidence that each percentage point increase in GDP in the EU drives the number of arrivals up by 4.3 % in Croatia, 4.0 % in Greece, 3.8 % in Spain and 2.8 % in Italy. This makes Croatia the most 'income elastic' destination in the Northern Mediterrane</w:t>
            </w:r>
            <w:r>
              <w:rPr>
                <w:noProof/>
              </w:rPr>
              <w:t>an. The analysis confirms that tourism demand can be extremely sensitive to prices. In this respect, Croatia features the lowest price elasticity among the countries considered, but it is affected more than others by fluctuations in fuel prices. A 10 pps i</w:t>
            </w:r>
            <w:r>
              <w:rPr>
                <w:noProof/>
              </w:rPr>
              <w:t>ncrease in the relative price of fuel decreases arrivals, overnight stays and spending by roughly 3 %. Tourism revenue in Croatia – more than other destinations – is found to be driven by the increasing number of tourists' arrivals and overnights, while th</w:t>
            </w:r>
            <w:r>
              <w:rPr>
                <w:noProof/>
              </w:rPr>
              <w:t>e average spending per night per tourist tends to stagnate or even decrease. The analysis highlights that an excessive reliance on the current model of tourism may not be sustainable in the long-term. The supply of new and well differentiated tourism servi</w:t>
            </w:r>
            <w:r>
              <w:rPr>
                <w:noProof/>
              </w:rPr>
              <w:t>ces could mitigate the risks of stagnation, maximise the impact on other sectors of the economy and reduce congestion and environmental costs.</w:t>
            </w:r>
          </w:p>
          <w:p w:rsidR="001E7162" w:rsidRDefault="00EC2A75">
            <w:pPr>
              <w:pStyle w:val="BoxText"/>
              <w:rPr>
                <w:noProof/>
              </w:rPr>
            </w:pPr>
            <w:r>
              <w:rPr>
                <w:b/>
                <w:noProof/>
              </w:rPr>
              <w:t>Tourism is not likely to be a key driver of long-term economic growth in Croatia, but it is also not likely to ha</w:t>
            </w:r>
            <w:r>
              <w:rPr>
                <w:b/>
                <w:noProof/>
              </w:rPr>
              <w:t>ve negative effects on other sectors.</w:t>
            </w:r>
            <w:r>
              <w:rPr>
                <w:noProof/>
              </w:rPr>
              <w:t xml:space="preserve"> International economic literature has extensively delved into testing whether there is a long-run positive causal relation between tourism and economic growth, or whether tourism has negative effects by crowding out th</w:t>
            </w:r>
            <w:r>
              <w:rPr>
                <w:noProof/>
              </w:rPr>
              <w:t>e development of other sectors (often referred to as the Dutch disease). The empirical findings in (Orsini and Pletikosa, 2018) demonstrate that neither seems to be particularly relevant for Croatia. The study was conducted using a model of a small open ec</w:t>
            </w:r>
            <w:r>
              <w:rPr>
                <w:noProof/>
              </w:rPr>
              <w:t>onomy with two exporting sectors – manufactured goods and tourism services, through four key variables – exports of goods, tourism revenues, the real effective exchange rate and income of trading partners/potential tourists. Results suggest that the demand</w:t>
            </w:r>
            <w:r>
              <w:rPr>
                <w:noProof/>
              </w:rPr>
              <w:t xml:space="preserve"> for Croatian tourism is less income elastic than the demand for goods, but more sensitive to changes in prices. The findings are consistent with the peculiarities of the Croatian tourism sector, including a high leakage rate (high share of imported goods </w:t>
            </w:r>
            <w:r>
              <w:rPr>
                <w:noProof/>
              </w:rPr>
              <w:t>in tourist consumption) and a contained impact on employment, as these factors insulate the rest of the economy from potential positive or negative spill-over effects. From a policy perspective, there are evident limitations in over-reliance on tourism for</w:t>
            </w:r>
            <w:r>
              <w:rPr>
                <w:noProof/>
              </w:rPr>
              <w:t xml:space="preserve"> sustaining Croatia's process of economic convergence towards a more mature economy. Scaling up and diversifying the tourism model is likely to improve the positive contribution of the sector to GDP growth, but could also come at the cost of crowding out t</w:t>
            </w:r>
            <w:r>
              <w:rPr>
                <w:noProof/>
              </w:rPr>
              <w:t xml:space="preserve">he more productive manufacturing sector. </w:t>
            </w:r>
          </w:p>
        </w:tc>
      </w:tr>
    </w:tbl>
    <w:p w:rsidR="001E7162" w:rsidRDefault="001E7162">
      <w:pPr>
        <w:spacing w:after="0" w:line="20" w:lineRule="exact"/>
        <w:rPr>
          <w:b/>
          <w:noProof/>
          <w:sz w:val="2"/>
        </w:rPr>
        <w:sectPr w:rsidR="001E7162">
          <w:headerReference w:type="even" r:id="rId154"/>
          <w:headerReference w:type="default" r:id="rId155"/>
          <w:footerReference w:type="even" r:id="rId156"/>
          <w:footerReference w:type="default" r:id="rId157"/>
          <w:headerReference w:type="first" r:id="rId158"/>
          <w:footerReference w:type="first" r:id="rId159"/>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1E7162" w:rsidRDefault="00EC2A75">
      <w:pPr>
        <w:rPr>
          <w:b/>
          <w:noProof/>
        </w:rPr>
      </w:pPr>
      <w:r>
        <w:rPr>
          <w:b/>
          <w:noProof/>
        </w:rPr>
        <w:t xml:space="preserve">Limited progress has been made in reforming professional services in Croatia. </w:t>
      </w:r>
      <w:r>
        <w:rPr>
          <w:noProof/>
        </w:rPr>
        <w:t>Some limited reform measures, such as the removal of fixed prices in several sectors, have been implemented over the last years. However, according to an indicator developed by t</w:t>
      </w:r>
      <w:r>
        <w:rPr>
          <w:noProof/>
        </w:rPr>
        <w:t xml:space="preserve">he European Commission, the level of restrictiveness in Croatia remains higher than the weighted EU average for six of the seven analysed professions (architects, certified civil engineers, tax advisers, lawyers, patent agents, real estate agents, tourist </w:t>
      </w:r>
      <w:r>
        <w:rPr>
          <w:noProof/>
        </w:rPr>
        <w:t>guides). Moreover, the 2017 accounting law announced that compulsory licensing will be introduced for accounting services by 2019. In addition, with regard to legal services, fixed prices and advertising restrictions are still in place, although discussion</w:t>
      </w:r>
      <w:r>
        <w:rPr>
          <w:noProof/>
        </w:rPr>
        <w:t>s are ongoing for their abolishment. Restrictions on having more than one office in the territory of Croatia and on retaining the title of lawyer if the profession is not exercised for more than six months also continue to apply. Moreover, the new Act on t</w:t>
      </w:r>
      <w:r>
        <w:rPr>
          <w:noProof/>
        </w:rPr>
        <w:t>he provision of tourism services which was adopted on 15 December 2017 maintained the territorial restrictions on tourist guides, with separate exams for each of the 21 counties, and affecting also temporary service providers from other Member States.</w:t>
      </w:r>
    </w:p>
    <w:p w:rsidR="001E7162" w:rsidRDefault="00EC2A75">
      <w:pPr>
        <w:rPr>
          <w:noProof/>
        </w:rPr>
      </w:pPr>
      <w:r>
        <w:rPr>
          <w:b/>
          <w:noProof/>
        </w:rPr>
        <w:t>Rest</w:t>
      </w:r>
      <w:r>
        <w:rPr>
          <w:b/>
          <w:noProof/>
        </w:rPr>
        <w:t>rictive regulation across sectors continues to weigh on competitiveness.</w:t>
      </w:r>
      <w:r>
        <w:rPr>
          <w:noProof/>
        </w:rPr>
        <w:t xml:space="preserve"> A strategy and regulatory framework conducive to the development of the collaborative economy is missing. In the accommodation sector, different requirements apply to different catego</w:t>
      </w:r>
      <w:r>
        <w:rPr>
          <w:noProof/>
        </w:rPr>
        <w:t>ries of short-term rentals. In the energy sector, the still highly regulated gas and electricity prices, both at retail and wholesale level, continue to limit competition by favouring incumbent firms and creating a barrier to market entry.</w:t>
      </w:r>
    </w:p>
    <w:p w:rsidR="001E7162" w:rsidRDefault="00EC2A75">
      <w:pPr>
        <w:rPr>
          <w:noProof/>
        </w:rPr>
      </w:pPr>
      <w:r>
        <w:rPr>
          <w:b/>
          <w:noProof/>
        </w:rPr>
        <w:t>Registering a bu</w:t>
      </w:r>
      <w:r>
        <w:rPr>
          <w:b/>
          <w:noProof/>
        </w:rPr>
        <w:t>siness remains burdensome</w:t>
      </w:r>
      <w:r>
        <w:rPr>
          <w:noProof/>
        </w:rPr>
        <w:t xml:space="preserve">. According to a study of the administrative formalities and burdens imposed on businesses, there is no single interface with integrated procedures for registering a business for all purposes (registration of an economic activity, </w:t>
      </w:r>
      <w:r>
        <w:rPr>
          <w:noProof/>
        </w:rPr>
        <w:t>for VAT purposes, for business income tax purposes, or as an employer). The procedures cannot be completed fully online and it is difficult to find information online. However, there is ongoing work to reform the Point of Single Contact (Ecorys Netherlands</w:t>
      </w:r>
      <w:r>
        <w:rPr>
          <w:noProof/>
        </w:rPr>
        <w:t xml:space="preserve"> and Mazars, 2017). Companies face continued difficulties in transferring their registered offices in and out of Croatia due to inadequate rules and procedures.</w:t>
      </w:r>
    </w:p>
    <w:p w:rsidR="001E7162" w:rsidRDefault="00EC2A75">
      <w:pPr>
        <w:pStyle w:val="Heading"/>
        <w:rPr>
          <w:noProof/>
        </w:rPr>
      </w:pPr>
      <w:r>
        <w:rPr>
          <w:noProof/>
        </w:rPr>
        <w:t>Network industries, climate and environment</w:t>
      </w:r>
    </w:p>
    <w:p w:rsidR="001E7162" w:rsidRDefault="00EC2A75">
      <w:pPr>
        <w:rPr>
          <w:noProof/>
        </w:rPr>
      </w:pPr>
      <w:r>
        <w:rPr>
          <w:b/>
          <w:noProof/>
        </w:rPr>
        <w:t xml:space="preserve">Broadband connectivity and coverage are improving, </w:t>
      </w:r>
      <w:r>
        <w:rPr>
          <w:b/>
          <w:noProof/>
        </w:rPr>
        <w:t>but remain low.</w:t>
      </w:r>
      <w:r>
        <w:rPr>
          <w:noProof/>
        </w:rPr>
        <w:t xml:space="preserve"> In comparison to the EU average, Croatia underperforms in broadband coverage, divide between urban and rural areas, prices and take-up rates. Coverage of next generation access (NGA) fast fixed broadband technologies in rural areas (67 %) a</w:t>
      </w:r>
      <w:r>
        <w:rPr>
          <w:noProof/>
        </w:rPr>
        <w:t>re among the lowest in the EU (average: 80 %). Also – at 73 % – 4G coverage (for fast mobile communications) is among the lowest in Europe (European Commission, 2018a).  In June 2017 the European Commission found that Croatia's Next Generation Network Broa</w:t>
      </w:r>
      <w:r>
        <w:rPr>
          <w:noProof/>
        </w:rPr>
        <w:t xml:space="preserve">dband plan worth over EUR 100 million meets EU state aid rules. The implementation of the scheme – aimed to increase coverage with a focus on least covered areas – has not started yet, pending government approval. </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46" w:name="_Toc505083039"/>
            <w:r>
              <w:rPr>
                <w:noProof/>
              </w:rPr>
              <w:t>Graph 4.4.4:</w:t>
            </w:r>
            <w:r>
              <w:rPr>
                <w:b/>
                <w:noProof/>
              </w:rPr>
              <w:tab/>
              <w:t>Connectivity index in Croati</w:t>
            </w:r>
            <w:r>
              <w:rPr>
                <w:b/>
                <w:noProof/>
              </w:rPr>
              <w:t>a and peers</w:t>
            </w:r>
            <w:bookmarkEnd w:id="46"/>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2C09C1D0" wp14:editId="0D5D106C">
                  <wp:extent cx="2597595" cy="2442449"/>
                  <wp:effectExtent l="0" t="0" r="0" b="0"/>
                  <wp:docPr id="94" name="Picture 94" descr="&lt;nbr&gt;&lt;GETTEXTFROMWORD&gt;&lt;/nbr&gt;&#10;&lt;title&gt;&lt;GETTEXTFROMWORD&gt;&lt;/title&gt;&#10;&lt;id&gt;7eafad36-0661-453d-883a-ba30f7783a42&lt;/id&gt;&#10;&lt;srcType&gt;EXCEL&lt;/srcType&gt;&#10;&lt;srcPath&gt;O:\2017 CRs\2018 European semester\11 HR\Excel\&lt;/srcPath&gt;&#10;&lt;srcName&gt;CR.HR.2018_4.4_Competitiveness_investment.xlsx&lt;/srcName&gt;&#10;&lt;type&gt;graph&lt;/type&gt;&#10; &lt;srcSheet&gt;connectivity&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8:14:51&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97595" cy="2442449"/>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Source"/>
              <w:keepNext/>
              <w:rPr>
                <w:noProof/>
              </w:rPr>
            </w:pPr>
            <w:r>
              <w:rPr>
                <w:b/>
                <w:i/>
                <w:noProof/>
              </w:rPr>
              <w:t>Source:</w:t>
            </w:r>
            <w:r>
              <w:rPr>
                <w:noProof/>
              </w:rPr>
              <w:t xml:space="preserve"> The Digital Economy and Society Index (DESI), European Commission.</w:t>
            </w:r>
          </w:p>
        </w:tc>
      </w:tr>
    </w:tbl>
    <w:p w:rsidR="001E7162" w:rsidRDefault="00EC2A75">
      <w:pPr>
        <w:rPr>
          <w:noProof/>
        </w:rPr>
      </w:pPr>
      <w:r>
        <w:rPr>
          <w:b/>
          <w:noProof/>
        </w:rPr>
        <w:t>Croatia’s primary and final energy consumption remains comfortably within the 2020 targets.</w:t>
      </w:r>
      <w:r>
        <w:rPr>
          <w:noProof/>
        </w:rPr>
        <w:t xml:space="preserve"> Despite the targets allowing substantial increases, both primary and final energy consumption have been decreasing steadily since 2005. However, additional efforts regarding energy efficiency, especially in transport and industry, are needed to minimise t</w:t>
      </w:r>
      <w:r>
        <w:rPr>
          <w:noProof/>
        </w:rPr>
        <w:t>he effects of the ongoing economic recovery. Primary energy consumption remains substantially above EU average (overall and for manufacturing, services and households), which points to unexploited efficiency potential, and it decreased slower than the EU a</w:t>
      </w:r>
      <w:r>
        <w:rPr>
          <w:noProof/>
        </w:rPr>
        <w:t xml:space="preserve">verage (with almost no decrease in the services sector). Until 2020, Croatia is expected to step up its energy efficiency actions and programs necessary to meet the cumulative saving requirements stemming from the Energy Efficiency Directive. </w:t>
      </w:r>
    </w:p>
    <w:p w:rsidR="001E7162" w:rsidRDefault="00EC2A75">
      <w:pPr>
        <w:rPr>
          <w:noProof/>
        </w:rPr>
      </w:pPr>
      <w:r>
        <w:rPr>
          <w:b/>
          <w:noProof/>
        </w:rPr>
        <w:t>Croatia is e</w:t>
      </w:r>
      <w:r>
        <w:rPr>
          <w:b/>
          <w:noProof/>
        </w:rPr>
        <w:t>xpected to meet its greenhouse gas emission target by a wide margin.</w:t>
      </w:r>
      <w:r>
        <w:rPr>
          <w:noProof/>
        </w:rPr>
        <w:t xml:space="preserve"> With a 28 % share of renewables in 2016, Croatia is well above its 2015/2016 indicative overall interim target, as well as its 2020 target of 20 %. However, with 1.3 % in 2016, Croatia is</w:t>
      </w:r>
      <w:r>
        <w:rPr>
          <w:noProof/>
        </w:rPr>
        <w:t xml:space="preserve"> well below its  target for the share of  renewable energy in transport. At the same time, renewable energy accounted for 37.4 % in heating and cooling and 46.7 % in electricity generation. Electricity from renewable sources has mainly been promoted throug</w:t>
      </w:r>
      <w:r>
        <w:rPr>
          <w:noProof/>
        </w:rPr>
        <w:t>h a premium tariff and a guaranteed feed-in tariff for small installations allocated through tenders. The surcharge for financing renewable energy projects has been increased to maintain the sustainability of the support scheme, while the VAT rate on elect</w:t>
      </w:r>
      <w:r>
        <w:rPr>
          <w:noProof/>
        </w:rPr>
        <w:t xml:space="preserve">ricity was lowered to compensate for this increase. This could, however, lead to higher and less-efficient consumption of electricity, potentially extending the distance to targets. </w:t>
      </w:r>
    </w:p>
    <w:p w:rsidR="001E7162" w:rsidRDefault="00EC2A75">
      <w:pPr>
        <w:rPr>
          <w:noProof/>
        </w:rPr>
      </w:pPr>
      <w:r>
        <w:rPr>
          <w:b/>
          <w:noProof/>
        </w:rPr>
        <w:t xml:space="preserve">The competitiveness of Croatia is increasing for the solar PV sector and </w:t>
      </w:r>
      <w:r>
        <w:rPr>
          <w:b/>
          <w:noProof/>
        </w:rPr>
        <w:t>decreasing in wind.</w:t>
      </w:r>
      <w:r>
        <w:rPr>
          <w:noProof/>
        </w:rPr>
        <w:t xml:space="preserve"> Between 2005 and 2015, the revealed comparative advantage indicator for solar increased to above 1, meaning that the country increased its specialisation, while the trend was opposite in the wind sector, with the indicator having fallen</w:t>
      </w:r>
      <w:r>
        <w:rPr>
          <w:noProof/>
        </w:rPr>
        <w:t xml:space="preserve"> below 1 In 2015, the relative trade balance (</w:t>
      </w:r>
      <w:r>
        <w:rPr>
          <w:rStyle w:val="FootnoteReference"/>
          <w:noProof/>
        </w:rPr>
        <w:footnoteReference w:id="40"/>
      </w:r>
      <w:r>
        <w:rPr>
          <w:noProof/>
        </w:rPr>
        <w:t>) confirmed the competitiveness of the country as a net exporter of solar components, while it became a net importer of wind technology components, due to a strong trade deficit in wind turbine generating sets</w:t>
      </w:r>
      <w:r>
        <w:rPr>
          <w:noProof/>
        </w:rPr>
        <w:t xml:space="preserve"> and gearboxes.</w:t>
      </w:r>
    </w:p>
    <w:p w:rsidR="001E7162" w:rsidRDefault="00EC2A75">
      <w:pPr>
        <w:rPr>
          <w:noProof/>
        </w:rPr>
      </w:pPr>
      <w:r>
        <w:rPr>
          <w:b/>
          <w:noProof/>
        </w:rPr>
        <w:t>The long</w:t>
      </w:r>
      <w:r>
        <w:rPr>
          <w:b/>
          <w:noProof/>
        </w:rPr>
        <w:noBreakHyphen/>
        <w:t>overdue Waste Management Plan and Waste Prevention Programme were adopted in January 2017.</w:t>
      </w:r>
      <w:r>
        <w:rPr>
          <w:noProof/>
        </w:rPr>
        <w:t xml:space="preserve"> Both documents are in line with the Commission circular economy package, putting Croatia on a path to a more circular economy. Subsequently,</w:t>
      </w:r>
      <w:r>
        <w:rPr>
          <w:noProof/>
        </w:rPr>
        <w:t xml:space="preserve"> the Decision on Implementation of the Action Plan and the Ordinance on Municipal Waste were adopted in May 2017. The adoption of these documents constitutes fulfilment of the ex-ante conditionality on waste, which opens up a total of EUR 475 million from </w:t>
      </w:r>
      <w:r>
        <w:rPr>
          <w:noProof/>
        </w:rPr>
        <w:t>the ESI Funds to be used for, inter alia, separate waste collection and recycling infrastructure projects.</w:t>
      </w:r>
    </w:p>
    <w:p w:rsidR="001E7162" w:rsidRDefault="00EC2A75">
      <w:pPr>
        <w:pStyle w:val="Heading"/>
        <w:rPr>
          <w:noProof/>
        </w:rPr>
      </w:pPr>
      <w:r>
        <w:rPr>
          <w:noProof/>
        </w:rPr>
        <w:t>Research and development</w:t>
      </w:r>
    </w:p>
    <w:p w:rsidR="001E7162" w:rsidRDefault="00EC2A75">
      <w:pPr>
        <w:rPr>
          <w:noProof/>
        </w:rPr>
      </w:pPr>
      <w:r>
        <w:rPr>
          <w:b/>
          <w:noProof/>
        </w:rPr>
        <w:t>Croatia's investment in R&amp;D over the past decade remained stable, with limited public funding and slow progress in implement</w:t>
      </w:r>
      <w:r>
        <w:rPr>
          <w:b/>
          <w:noProof/>
        </w:rPr>
        <w:t>ing ESI Funds.</w:t>
      </w:r>
      <w:r>
        <w:rPr>
          <w:noProof/>
        </w:rPr>
        <w:t xml:space="preserve"> Croatia's R&amp;D intensity was 0.84 % of GDP in 2015-2016. Business expenditure contributed with 0.37 % of GDP in 2016, ranking Croatia 24th in the EU. Meanwhile, public R&amp;D intensity increased to 0.46 % of GDP in 2016 after years of stagnation</w:t>
      </w:r>
      <w:r>
        <w:rPr>
          <w:noProof/>
        </w:rPr>
        <w:t>. However, a growth at this rate is not sufficient for Croatia to reach its national Europe 2020 R&amp;D intensity target of 1.4 % of GDP. Such a large distance to the target reveals a low focus on science and innovation in the policy strategy of the country.</w:t>
      </w:r>
    </w:p>
    <w:p w:rsidR="001E7162" w:rsidRDefault="00EC2A75">
      <w:pPr>
        <w:rPr>
          <w:noProof/>
        </w:rPr>
      </w:pPr>
      <w:r>
        <w:rPr>
          <w:b/>
          <w:noProof/>
        </w:rPr>
        <w:t>The efficiency of the Croatian R&amp;I system lags behind that of other EU Member States.</w:t>
      </w:r>
      <w:r>
        <w:rPr>
          <w:noProof/>
        </w:rPr>
        <w:t xml:space="preserve"> As illustrated in Box 4.1.1, Croatia's efficiency of spending in R&amp;I is in line with that of peers. However, compared to the EU average, the country's performance in qual</w:t>
      </w:r>
      <w:r>
        <w:rPr>
          <w:noProof/>
        </w:rPr>
        <w:t>ity scientific outputs is very low (</w:t>
      </w:r>
      <w:r>
        <w:rPr>
          <w:rStyle w:val="FootnoteReference"/>
          <w:noProof/>
        </w:rPr>
        <w:footnoteReference w:id="41"/>
      </w:r>
      <w:r>
        <w:rPr>
          <w:noProof/>
        </w:rPr>
        <w:t xml:space="preserve">). This is largely due to scarce public investment in R&amp;D but also to a fragmented landscape of higher education institutions, a lack of incentives for researchers' careers and a significant neglect of the relevance of </w:t>
      </w:r>
      <w:r>
        <w:rPr>
          <w:noProof/>
        </w:rPr>
        <w:t>internationalising Croatia's science and innovation arena. ESI Funds funding is not matched by adequate efforts from the national budget. Public funding for research institutions is generally distributed evenly, without much regard for the assessment of pe</w:t>
      </w:r>
      <w:r>
        <w:rPr>
          <w:noProof/>
        </w:rPr>
        <w:t xml:space="preserve">rformance. This puts a </w:t>
      </w:r>
      <w:r>
        <w:rPr>
          <w:i/>
          <w:noProof/>
        </w:rPr>
        <w:t>de facto</w:t>
      </w:r>
      <w:r>
        <w:rPr>
          <w:noProof/>
        </w:rPr>
        <w:t xml:space="preserve"> cap on increases in research quality. </w:t>
      </w:r>
    </w:p>
    <w:p w:rsidR="001E7162" w:rsidRDefault="00EC2A75">
      <w:pPr>
        <w:rPr>
          <w:noProof/>
        </w:rPr>
      </w:pPr>
      <w:r>
        <w:rPr>
          <w:b/>
          <w:noProof/>
        </w:rPr>
        <w:t>Fragmentation on all levels hinders the cooperation between research institutions and the business sector.</w:t>
      </w:r>
      <w:r>
        <w:rPr>
          <w:noProof/>
        </w:rPr>
        <w:t xml:space="preserve"> Major universities have highly fragmented governance structures, which reduces</w:t>
      </w:r>
      <w:r>
        <w:rPr>
          <w:noProof/>
        </w:rPr>
        <w:t xml:space="preserve"> efficiency and cooperation. Researchers lack incentives to produce high quality science, as publications in journals, irrespective of their quality, yield the same value for career promotion. Integration of international researchers is difficult due to ri</w:t>
      </w:r>
      <w:r>
        <w:rPr>
          <w:noProof/>
        </w:rPr>
        <w:t>gid administrative rules. Cooperation with businesses is not incentivised by the academic system, which discourages commercialisation of scientific research. Researcher mobility between the private and public sectors is difficult and the cross-sector coope</w:t>
      </w:r>
      <w:r>
        <w:rPr>
          <w:noProof/>
        </w:rPr>
        <w:t>ration is under-developed (</w:t>
      </w:r>
      <w:r>
        <w:rPr>
          <w:rStyle w:val="FootnoteReference"/>
          <w:noProof/>
        </w:rPr>
        <w:footnoteReference w:id="42"/>
      </w:r>
      <w:r>
        <w:rPr>
          <w:noProof/>
        </w:rPr>
        <w:t>), although the introduction of ESIF-based schemes is improving the situation. Although innovative sectors still represent a relatively small share of the employed population (</w:t>
      </w:r>
      <w:r>
        <w:rPr>
          <w:rStyle w:val="FootnoteReference"/>
          <w:noProof/>
        </w:rPr>
        <w:footnoteReference w:id="43"/>
      </w:r>
      <w:r>
        <w:rPr>
          <w:noProof/>
        </w:rPr>
        <w:t>), there are pockets of excellence in niche sectors</w:t>
      </w:r>
      <w:r>
        <w:rPr>
          <w:noProof/>
        </w:rPr>
        <w:t xml:space="preserve"> such as biotech and ICT where companies cooperate much more closely with research institutions. The policy responsibility in support of science and innovation appears fragmented (</w:t>
      </w:r>
      <w:r>
        <w:rPr>
          <w:rStyle w:val="FootnoteReference"/>
          <w:noProof/>
        </w:rPr>
        <w:footnoteReference w:id="44"/>
      </w:r>
      <w:r>
        <w:rPr>
          <w:noProof/>
        </w:rPr>
        <w:t>) and the policy strategy is scattered across a number of policy actions wi</w:t>
      </w:r>
      <w:r>
        <w:rPr>
          <w:noProof/>
        </w:rPr>
        <w:t>th low critical mass, with no systematic evaluation of impact of R&amp;I policies in place.</w:t>
      </w:r>
    </w:p>
    <w:p w:rsidR="001E7162" w:rsidRDefault="00EC2A75">
      <w:pPr>
        <w:rPr>
          <w:noProof/>
        </w:rPr>
      </w:pPr>
      <w:r>
        <w:rPr>
          <w:b/>
          <w:noProof/>
        </w:rPr>
        <w:t>Some targeted efforts to reform the national science and innovation system are in the making.</w:t>
      </w:r>
      <w:r>
        <w:rPr>
          <w:noProof/>
        </w:rPr>
        <w:t xml:space="preserve"> The smart specialisation strategy (S3) was adopted in 2016 and is being re</w:t>
      </w:r>
      <w:r>
        <w:rPr>
          <w:noProof/>
        </w:rPr>
        <w:t>vised with a focus on the country's innovation strengths. Implementation is picking up pace with the announcement of a limited set of calls to support innovation, including one to establish Centres of Competence to support the implementation. Around EUR 66</w:t>
      </w:r>
      <w:r>
        <w:rPr>
          <w:noProof/>
        </w:rPr>
        <w:t>5 million of ERDF funds have been allocated (</w:t>
      </w:r>
      <w:r>
        <w:rPr>
          <w:rStyle w:val="FootnoteReference"/>
          <w:noProof/>
        </w:rPr>
        <w:footnoteReference w:id="45"/>
      </w:r>
      <w:r>
        <w:rPr>
          <w:noProof/>
        </w:rPr>
        <w:t xml:space="preserve">). </w:t>
      </w:r>
    </w:p>
    <w:p w:rsidR="001E7162" w:rsidRDefault="00EC2A75">
      <w:pPr>
        <w:pStyle w:val="Heading"/>
        <w:rPr>
          <w:noProof/>
        </w:rPr>
      </w:pPr>
      <w:r>
        <w:rPr>
          <w:noProof/>
        </w:rPr>
        <w:t>Corruption</w:t>
      </w:r>
    </w:p>
    <w:p w:rsidR="001E7162" w:rsidRDefault="00EC2A75">
      <w:pPr>
        <w:rPr>
          <w:noProof/>
        </w:rPr>
      </w:pPr>
      <w:r>
        <w:rPr>
          <w:b/>
          <w:noProof/>
        </w:rPr>
        <w:t>Corruption remains a prominent problem.</w:t>
      </w:r>
      <w:r>
        <w:rPr>
          <w:noProof/>
        </w:rPr>
        <w:t xml:space="preserve"> The 2017 Special Eurobarometer on corruption (European Commission, 2017e) shows that tolerance to corruption in Croatia is increasing, with only 45 % of th</w:t>
      </w:r>
      <w:r>
        <w:rPr>
          <w:noProof/>
        </w:rPr>
        <w:t>e respondents finding corruption unacceptable (EU average 70 %). At the same time, corruption is seen as much as a problem as in the previous 2013 survey. The share of people who think that corruption has increased or is at the same level as before is at 9</w:t>
      </w:r>
      <w:r>
        <w:rPr>
          <w:noProof/>
        </w:rPr>
        <w:t>1 % (EU average 79 %) and those who report having been involved or having knowledge of bribery cases have increased to 28 % (in comparison to 24 % in 2013, EU average 12 %). At the same time, 95 % of the respondents having experienced or witnessed cases of</w:t>
      </w:r>
      <w:r>
        <w:rPr>
          <w:noProof/>
        </w:rPr>
        <w:t xml:space="preserve"> corruption say that they did not report it, either because it would be pointless, difficult to prove, or for fear of retaliation.</w:t>
      </w:r>
    </w:p>
    <w:p w:rsidR="001E7162" w:rsidRDefault="00EC2A75">
      <w:pPr>
        <w:rPr>
          <w:noProof/>
        </w:rPr>
      </w:pPr>
      <w:r>
        <w:rPr>
          <w:b/>
          <w:noProof/>
        </w:rPr>
        <w:t>The implementation record of anti-corruption measures is mixed</w:t>
      </w:r>
      <w:r>
        <w:rPr>
          <w:noProof/>
        </w:rPr>
        <w:t>. While Croatia has improved certain aspects of its anti-corrup</w:t>
      </w:r>
      <w:r>
        <w:rPr>
          <w:noProof/>
        </w:rPr>
        <w:t>tion policies and structures since joining the EU, several key elements still leave room for improvement. These include effective verification mechanisms for conflicts of interest and asset disclosure of public officials; protection of whistle-blowers; spe</w:t>
      </w:r>
      <w:r>
        <w:rPr>
          <w:noProof/>
        </w:rPr>
        <w:t>cific safeguards for the healthcare sector and effective risk control in public procurement, especially by contracting authorities with weaker control mechanisms; code of conduct for members of Parliament; inadequate technical and personnel resources of th</w:t>
      </w:r>
      <w:r>
        <w:rPr>
          <w:noProof/>
        </w:rPr>
        <w:t>e Commission for the Prevention of Conflicts of Interest and not sufficiently proactive approach in its preventive role. Delays in the implementation of the Anti-Corruption Action Plan (2015–2016) were acknowledged by the national authorities in the Anti-C</w:t>
      </w:r>
      <w:r>
        <w:rPr>
          <w:noProof/>
        </w:rPr>
        <w:t>orruption Action Plan 2017–2018 which carries over a number of actions from the first (</w:t>
      </w:r>
      <w:r>
        <w:rPr>
          <w:rStyle w:val="FootnoteReference"/>
          <w:noProof/>
        </w:rPr>
        <w:footnoteReference w:id="46"/>
      </w:r>
      <w:r>
        <w:rPr>
          <w:noProof/>
        </w:rPr>
        <w:t>). The Worldwide Governance Indicators (World Bank, 2017b) show a declining trend in Croatia’s ranking on the control of corruption indicator while in the Global Compet</w:t>
      </w:r>
      <w:r>
        <w:rPr>
          <w:noProof/>
        </w:rPr>
        <w:t>itiveness Index corruption moves from the 5th to the 4th biggest obstacle for business (World Economic Forum, 2017). Survey data (European Commission 2017d) show a similar trend, with 58% of business representatives considering corruption as a very serious</w:t>
      </w:r>
      <w:r>
        <w:rPr>
          <w:noProof/>
        </w:rPr>
        <w:t xml:space="preserve"> or quite serious problem, up by 7 percentage points compared to 2015, with the EU average at 37 %.</w:t>
      </w:r>
    </w:p>
    <w:p w:rsidR="001E7162" w:rsidRDefault="00EC2A75">
      <w:pPr>
        <w:rPr>
          <w:noProof/>
        </w:rPr>
      </w:pPr>
      <w:r>
        <w:rPr>
          <w:b/>
          <w:noProof/>
        </w:rPr>
        <w:t>Public awareness of whistle-blowing reporting channels and access to public information is low.</w:t>
      </w:r>
      <w:r>
        <w:rPr>
          <w:noProof/>
        </w:rPr>
        <w:t xml:space="preserve"> In a 2017 business survey, respondents from Croatia were in </w:t>
      </w:r>
      <w:r>
        <w:rPr>
          <w:noProof/>
        </w:rPr>
        <w:t>penultimate place in terms of awareness of existing reporting channels for whistle-blowers (EY, 2017). Furthermore, 60 % of respondents (European Commission 2017e) declare not to know how to report corruption. Amendments to the Law on the right to access t</w:t>
      </w:r>
      <w:r>
        <w:rPr>
          <w:noProof/>
        </w:rPr>
        <w:t xml:space="preserve">o information entered into force in August 2015, increasing transparency and helping decrease corruption opportunities at the central level. At regional level, research shows an increase in budget transparency of local entities (Ott et al., 2017). Despite </w:t>
      </w:r>
      <w:r>
        <w:rPr>
          <w:noProof/>
        </w:rPr>
        <w:t>this positive trend, the study underscores that there are still many local units that remain non-transparent. A new ordinance concerning the obligation to publish procurement plans and contract registers in a standardised format on the e-procurement platfo</w:t>
      </w:r>
      <w:r>
        <w:rPr>
          <w:noProof/>
        </w:rPr>
        <w:t>rm entered into force on 1 January 2018.</w:t>
      </w:r>
    </w:p>
    <w:p w:rsidR="001E7162" w:rsidRDefault="00EC2A75">
      <w:pPr>
        <w:rPr>
          <w:noProof/>
        </w:rPr>
      </w:pPr>
      <w:r>
        <w:rPr>
          <w:b/>
          <w:noProof/>
        </w:rPr>
        <w:t>Public procurement in the construction sector is vulnerable to corruption</w:t>
      </w:r>
      <w:r>
        <w:rPr>
          <w:noProof/>
        </w:rPr>
        <w:t>. Survey data on corruption (European Commission 2017d) indicates an increasing share of respondents who think that corruption in public procu</w:t>
      </w:r>
      <w:r>
        <w:rPr>
          <w:noProof/>
        </w:rPr>
        <w:t>rement is very or fairly widespread (from 62 % in 2015 to 73 %). Unclear selection criteria are among the practices most widely reported (from 48 % in 2015 to 68 %). A recent study on public procurement in the construction sector shows that despite the sou</w:t>
      </w:r>
      <w:r>
        <w:rPr>
          <w:noProof/>
        </w:rPr>
        <w:t>nd legal framework and existing control mechanisms, the integrity of procurement in the sector is at risk due to a large share of in-house contracting by state-owned entities which are subject to weaker control. While there is limited use of restrictive pr</w:t>
      </w:r>
      <w:r>
        <w:rPr>
          <w:noProof/>
        </w:rPr>
        <w:t xml:space="preserve">ocedures, competition for public contracts is surprisingly weak for a sector under considerable economic pressure. Around half of the total contract value is won by companies partially or fully owned by the state (Podumljak and Dávid-Barrett, 2015). </w:t>
      </w:r>
    </w:p>
    <w:p w:rsidR="001E7162" w:rsidRDefault="001E7162">
      <w:pPr>
        <w:rPr>
          <w:noProof/>
        </w:rPr>
        <w:sectPr w:rsidR="001E7162">
          <w:headerReference w:type="even" r:id="rId161"/>
          <w:headerReference w:type="default" r:id="rId162"/>
          <w:footerReference w:type="even" r:id="rId163"/>
          <w:footerReference w:type="default" r:id="rId164"/>
          <w:headerReference w:type="first" r:id="rId165"/>
          <w:footerReference w:type="first" r:id="rId166"/>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1E7162">
        <w:trPr>
          <w:jc w:val="center"/>
        </w:trPr>
        <w:tc>
          <w:tcPr>
            <w:tcW w:w="8721" w:type="dxa"/>
            <w:shd w:val="clear" w:color="auto" w:fill="F7FCFF"/>
          </w:tcPr>
          <w:p w:rsidR="001E7162" w:rsidRDefault="00EC2A75">
            <w:pPr>
              <w:pStyle w:val="BoxTitle"/>
              <w:pageBreakBefore/>
              <w:rPr>
                <w:b/>
                <w:noProof/>
              </w:rPr>
            </w:pPr>
            <w:bookmarkStart w:id="47" w:name="_Toc505082851"/>
            <w:r>
              <w:rPr>
                <w:i/>
                <w:noProof/>
              </w:rPr>
              <w:t xml:space="preserve">Box 4.4.2: </w:t>
            </w:r>
            <w:r>
              <w:rPr>
                <w:b/>
                <w:noProof/>
              </w:rPr>
              <w:t>Investment challenges and reforms in Croatia</w:t>
            </w:r>
            <w:bookmarkEnd w:id="47"/>
          </w:p>
          <w:p w:rsidR="001E7162" w:rsidRDefault="00EC2A75">
            <w:pPr>
              <w:pStyle w:val="BoxText"/>
              <w:rPr>
                <w:noProof/>
              </w:rPr>
            </w:pPr>
            <w:r>
              <w:rPr>
                <w:b/>
                <w:bCs/>
                <w:noProof/>
              </w:rPr>
              <w:t>Macroeconomic perspective</w:t>
            </w:r>
          </w:p>
          <w:p w:rsidR="001E7162" w:rsidRDefault="00EC2A75">
            <w:pPr>
              <w:pStyle w:val="BoxText"/>
              <w:rPr>
                <w:noProof/>
              </w:rPr>
            </w:pPr>
            <w:r>
              <w:rPr>
                <w:noProof/>
              </w:rPr>
              <w:t>After taking a hard hit during the economic crisis, investment started slowly rebounding in 2015, recording a solid annual growth of 5.3 % in 2016. The sharp decline in investment spending during the recession was seen in both public and private sector, ma</w:t>
            </w:r>
            <w:r>
              <w:rPr>
                <w:noProof/>
              </w:rPr>
              <w:t>inly driven by weak domestic demand, particularly in households, debt overhang, particularly in corporations, and tightened financing conditions. A stronger pick-up was anticipated in 2017, however, the ongoing operational and financial restructuring of th</w:t>
            </w:r>
            <w:r>
              <w:rPr>
                <w:noProof/>
              </w:rPr>
              <w:t>e food-processing and retail giant Agrokor seems to have impacted investment decisions, especially in the manufacturing sector. Investment is expected to intensify in 2018 and 2019, driven by strong and increasing domestic demand, abating deleveraging need</w:t>
            </w:r>
            <w:r>
              <w:rPr>
                <w:noProof/>
              </w:rPr>
              <w:t xml:space="preserve">s, improving financing conditions and expected pick-up in the implementation of European Structural and Investment Funds. </w:t>
            </w:r>
          </w:p>
          <w:p w:rsidR="001E7162" w:rsidRDefault="00EC2A75">
            <w:pPr>
              <w:pStyle w:val="BoxText"/>
              <w:rPr>
                <w:noProof/>
              </w:rPr>
            </w:pPr>
            <w:r>
              <w:rPr>
                <w:b/>
                <w:bCs/>
                <w:noProof/>
              </w:rPr>
              <w:t>Assessment of barriers to investment and ongoing reforms</w:t>
            </w:r>
          </w:p>
          <w:p w:rsidR="001E7162" w:rsidRDefault="00EC2A75">
            <w:pPr>
              <w:pStyle w:val="BoxText"/>
              <w:rPr>
                <w:noProof/>
              </w:rPr>
            </w:pPr>
            <w:r>
              <w:rPr>
                <w:noProof/>
                <w:lang w:eastAsia="en-GB"/>
              </w:rPr>
              <w:drawing>
                <wp:inline distT="0" distB="0" distL="0" distR="0" wp14:anchorId="464BBA21" wp14:editId="623054FC">
                  <wp:extent cx="5039995" cy="206534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039995" cy="2065344"/>
                          </a:xfrm>
                          <a:prstGeom prst="rect">
                            <a:avLst/>
                          </a:prstGeom>
                          <a:noFill/>
                          <a:ln>
                            <a:noFill/>
                          </a:ln>
                        </pic:spPr>
                      </pic:pic>
                    </a:graphicData>
                  </a:graphic>
                </wp:inline>
              </w:drawing>
            </w:r>
          </w:p>
          <w:p w:rsidR="001E7162" w:rsidRDefault="00EC2A75">
            <w:pPr>
              <w:pStyle w:val="BoxText"/>
              <w:rPr>
                <w:noProof/>
              </w:rPr>
            </w:pPr>
            <w:r>
              <w:rPr>
                <w:noProof/>
              </w:rPr>
              <w:t>As the macroeconomic and financing conditions continue to improve, a numbe</w:t>
            </w:r>
            <w:r>
              <w:rPr>
                <w:noProof/>
              </w:rPr>
              <w:t>r of barriers stand in the way of creating a business environment more conducive to investment, as confirmed by the European Commission assessment (</w:t>
            </w:r>
            <w:r>
              <w:rPr>
                <w:rStyle w:val="EndnoteReference"/>
                <w:noProof/>
              </w:rPr>
              <w:endnoteReference w:id="4"/>
            </w:r>
            <w:r>
              <w:rPr>
                <w:noProof/>
              </w:rPr>
              <w:t>). Some measures have been adopted, particularly in the area of business environment, but most of the conti</w:t>
            </w:r>
            <w:r>
              <w:rPr>
                <w:noProof/>
              </w:rPr>
              <w:t xml:space="preserve">nually identified barriers to investment have yet to be fully addressed.  </w:t>
            </w:r>
          </w:p>
          <w:p w:rsidR="001E7162" w:rsidRDefault="00EC2A75">
            <w:pPr>
              <w:pStyle w:val="BoxText"/>
              <w:rPr>
                <w:b/>
                <w:bCs/>
                <w:noProof/>
              </w:rPr>
            </w:pPr>
            <w:r>
              <w:rPr>
                <w:b/>
                <w:bCs/>
                <w:noProof/>
              </w:rPr>
              <w:t xml:space="preserve">Main barriers to investment and priority actions underway </w:t>
            </w:r>
          </w:p>
          <w:p w:rsidR="001E7162" w:rsidRDefault="00EC2A75">
            <w:pPr>
              <w:pStyle w:val="BoxText"/>
              <w:rPr>
                <w:noProof/>
              </w:rPr>
            </w:pPr>
            <w:r>
              <w:rPr>
                <w:noProof/>
              </w:rPr>
              <w:t>(1) The business environment remains burdened with parafiscal charges, frequent changes in regulation and its interference in market mechanisms in some sectors. The inefficiencies of the judicial system weigh on investors' perceived legal certainty. Weakne</w:t>
            </w:r>
            <w:r>
              <w:rPr>
                <w:noProof/>
              </w:rPr>
              <w:t>sses in the public administration hamper service delivery to businesses, not least of which is the still cumbersome and lengthy business registration process. (2) Companies are heavily reliant on traditional bank financing as capital markets remain underde</w:t>
            </w:r>
            <w:r>
              <w:rPr>
                <w:noProof/>
              </w:rPr>
              <w:t xml:space="preserve">veloped and alternative avenues of financing, such as risk and venture capital, remain largely underutilised (see Section 4.2). (3) The limited high speed broadband coverage, especially in rural areas, and the very low take-up of ultrafast broadband limit </w:t>
            </w:r>
            <w:r>
              <w:rPr>
                <w:noProof/>
              </w:rPr>
              <w:t xml:space="preserve">the potential for investment in digital economy. </w:t>
            </w:r>
          </w:p>
        </w:tc>
      </w:tr>
    </w:tbl>
    <w:p w:rsidR="001E7162" w:rsidRDefault="001E7162">
      <w:pPr>
        <w:spacing w:after="0" w:line="20" w:lineRule="exact"/>
        <w:rPr>
          <w:noProof/>
          <w:sz w:val="2"/>
        </w:rPr>
        <w:sectPr w:rsidR="001E7162">
          <w:headerReference w:type="even" r:id="rId168"/>
          <w:headerReference w:type="default" r:id="rId169"/>
          <w:footerReference w:type="even" r:id="rId170"/>
          <w:footerReference w:type="default" r:id="rId171"/>
          <w:headerReference w:type="first" r:id="rId172"/>
          <w:footerReference w:type="first" r:id="rId173"/>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1E7162" w:rsidRDefault="001E7162">
      <w:pPr>
        <w:rPr>
          <w:noProof/>
        </w:rPr>
      </w:pPr>
    </w:p>
    <w:p w:rsidR="001E7162" w:rsidRDefault="001E7162">
      <w:pPr>
        <w:rPr>
          <w:noProof/>
        </w:rPr>
      </w:pPr>
    </w:p>
    <w:p w:rsidR="001E7162" w:rsidRDefault="001E7162">
      <w:pPr>
        <w:rPr>
          <w:noProof/>
        </w:rPr>
      </w:pPr>
    </w:p>
    <w:p w:rsidR="001E7162" w:rsidRDefault="001E7162">
      <w:pPr>
        <w:rPr>
          <w:noProof/>
        </w:rPr>
        <w:sectPr w:rsidR="001E7162">
          <w:headerReference w:type="even" r:id="rId174"/>
          <w:headerReference w:type="default" r:id="rId175"/>
          <w:footerReference w:type="even" r:id="rId176"/>
          <w:footerReference w:type="default" r:id="rId177"/>
          <w:headerReference w:type="first" r:id="rId178"/>
          <w:footerReference w:type="first" r:id="rId179"/>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1E7162" w:rsidRDefault="00EC2A75">
      <w:pPr>
        <w:pStyle w:val="SectionTitleFramed10"/>
        <w:framePr w:wrap="notBeside"/>
        <w:rPr>
          <w:noProof/>
        </w:rPr>
      </w:pPr>
      <w:bookmarkStart w:id="48" w:name="_Toc507359625"/>
      <w:r>
        <w:rPr>
          <w:noProof/>
        </w:rPr>
        <w:t>4.5. Public governance*</w:t>
      </w:r>
      <w:bookmarkEnd w:id="48"/>
    </w:p>
    <w:p w:rsidR="001E7162" w:rsidRDefault="00EC2A75">
      <w:pPr>
        <w:pStyle w:val="Heading"/>
        <w:rPr>
          <w:noProof/>
        </w:rPr>
      </w:pPr>
      <w:r>
        <w:rPr>
          <w:noProof/>
        </w:rPr>
        <w:t>Public administration</w:t>
      </w:r>
    </w:p>
    <w:p w:rsidR="001E7162" w:rsidRDefault="00EC2A75">
      <w:pPr>
        <w:rPr>
          <w:noProof/>
        </w:rPr>
      </w:pPr>
      <w:r>
        <w:rPr>
          <w:b/>
          <w:noProof/>
        </w:rPr>
        <w:t>The territorial fragmentation of the public administration weighs on efficiency of public serv</w:t>
      </w:r>
      <w:r>
        <w:rPr>
          <w:b/>
          <w:noProof/>
        </w:rPr>
        <w:t>ice provision.</w:t>
      </w:r>
      <w:r>
        <w:rPr>
          <w:noProof/>
        </w:rPr>
        <w:t xml:space="preserve"> Croatia is generally regarded as a relatively centralised country. However, the constitutional and legislative amendments of 1992 and 2001 led to a very high increase in the number of towns and municipalities. Despite being granted competenc</w:t>
      </w:r>
      <w:r>
        <w:rPr>
          <w:noProof/>
        </w:rPr>
        <w:t>ies and responsibilities in providing public services, many small local units lack the adequate financial, administrative and personnel resources to carry out decentralised functions (European Commission, country report, 2016b and 2017f). The current terri</w:t>
      </w:r>
      <w:r>
        <w:rPr>
          <w:noProof/>
        </w:rPr>
        <w:t>torial organisation also creates numerous overlaps between central and local government. This is particularly evident in numerous branch offices of ministries and other central government bodies present at the county and local level. The high fragmentation</w:t>
      </w:r>
      <w:r>
        <w:rPr>
          <w:noProof/>
        </w:rPr>
        <w:t xml:space="preserve"> of the public administration hinders the implementation of public policies, increases costs and inefficiency in the use of resources.</w:t>
      </w:r>
    </w:p>
    <w:p w:rsidR="001E7162" w:rsidRDefault="00EC2A75">
      <w:pPr>
        <w:rPr>
          <w:noProof/>
        </w:rPr>
      </w:pPr>
      <w:r>
        <w:rPr>
          <w:b/>
          <w:noProof/>
        </w:rPr>
        <w:t>Key indicators for the public administration show a performance below the EU average.</w:t>
      </w:r>
      <w:r>
        <w:rPr>
          <w:noProof/>
        </w:rPr>
        <w:t xml:space="preserve"> The Croatian public sector performa</w:t>
      </w:r>
      <w:r>
        <w:rPr>
          <w:noProof/>
        </w:rPr>
        <w:t>nce and government effectiveness ranked well below the EU average in 2015 (European Commission 2015 and 2016e, World Economic Forum). Weak administrative capacities largely hinder the implementation of strategic documents and the implementation of relevant</w:t>
      </w:r>
      <w:r>
        <w:rPr>
          <w:noProof/>
        </w:rPr>
        <w:t xml:space="preserve"> reform measures. Evidence-based policy making is ranked at the EU average level, with large differences between the central and local government levels. Public consultations and regulatory impact assessments are improving at the central level, while at th</w:t>
      </w:r>
      <w:r>
        <w:rPr>
          <w:noProof/>
        </w:rPr>
        <w:t>e local level they are practically non-existent, placing Croatia overall well below the EU average. The adopted regulatory impact assessment law (mandating ministries to analyse economic, environmental, societal, legal and administrative aspects of new reg</w:t>
      </w:r>
      <w:r>
        <w:rPr>
          <w:noProof/>
        </w:rPr>
        <w:t>ulations) is a step forward. Croatia however ranks unfavourably in the level of professionalism, impartiality and corruption of the civil service (EUPACK-Project, European Commission, 2018c). The indicator on public administration transparency is improving</w:t>
      </w:r>
      <w:r>
        <w:rPr>
          <w:noProof/>
        </w:rPr>
        <w:t xml:space="preserve">, mainly thanks to the implementation of the Right to Access Information Act and participation in the Open Government Partnership initiative since 2011. </w:t>
      </w:r>
    </w:p>
    <w:p w:rsidR="001E7162" w:rsidRDefault="00EC2A75">
      <w:pPr>
        <w:rPr>
          <w:noProof/>
        </w:rPr>
      </w:pPr>
      <w:r>
        <w:rPr>
          <w:b/>
          <w:noProof/>
        </w:rPr>
        <w:t>Amendments to the law on financing local government units were adopted in December 2017</w:t>
      </w:r>
      <w:r>
        <w:rPr>
          <w:noProof/>
        </w:rPr>
        <w:t>. The draft leg</w:t>
      </w:r>
      <w:r>
        <w:rPr>
          <w:noProof/>
        </w:rPr>
        <w:t>islation aims at simplifying the complex system of transfers and financing, as well as increasing transparency. It also introduces a new system of fiscal equalisation establishing a more efficient model of revenue sharing and reducing disparities in fiscal</w:t>
      </w:r>
      <w:r>
        <w:rPr>
          <w:noProof/>
        </w:rPr>
        <w:t xml:space="preserve"> capacity across local units. According to the Ministry of Finance and the Institute for Public Finance, the changes are likely to have a broadly neutral impact, both on the central state budget and on the budgets of most local government units. However, t</w:t>
      </w:r>
      <w:r>
        <w:rPr>
          <w:noProof/>
        </w:rPr>
        <w:t>he shortcomings in the functional distribution of competences across all government levels, and in administrative capacity in the smallest local units have yet to be addressed.</w:t>
      </w:r>
    </w:p>
    <w:p w:rsidR="001E7162" w:rsidRDefault="00EC2A75">
      <w:pPr>
        <w:rPr>
          <w:noProof/>
        </w:rPr>
      </w:pPr>
      <w:r>
        <w:rPr>
          <w:b/>
          <w:noProof/>
        </w:rPr>
        <w:t>Other major reforms of the public administration have not considerably advanced</w:t>
      </w:r>
      <w:r>
        <w:rPr>
          <w:noProof/>
        </w:rPr>
        <w:t>. With the Strategy of Public Administration Development 2015-2020, the authorities plan to address the main weaknesses of the system, including territorial fragmentation, political influence in the recruitment process, poor design of working positions, la</w:t>
      </w:r>
      <w:r>
        <w:rPr>
          <w:noProof/>
        </w:rPr>
        <w:t>ck of in-service training, subjective appraisals and inconsistencies in the salary system. The strategy, however remains largely unimplemented. The authorities have completed the analysis needed for the planned reduction of the 1200 branch and regional off</w:t>
      </w:r>
      <w:r>
        <w:rPr>
          <w:noProof/>
        </w:rPr>
        <w:t>ices of the central administration operating at local level. The rationalisation plan is expected to start only in June 2018. Previous plans to rationalise the cumbersome system of state agencies have been suspended due to weak political support. The autho</w:t>
      </w:r>
      <w:r>
        <w:rPr>
          <w:noProof/>
        </w:rPr>
        <w:t>rities are now planning to establish a new legal framework for state agencies, with a higher degree of homogeneity across the system and a defined set of criteria with which the existing agencies should comply.</w:t>
      </w:r>
    </w:p>
    <w:p w:rsidR="001E7162" w:rsidRDefault="00EC2A75">
      <w:pPr>
        <w:rPr>
          <w:noProof/>
        </w:rPr>
      </w:pPr>
      <w:r>
        <w:rPr>
          <w:b/>
          <w:noProof/>
        </w:rPr>
        <w:t>The development of eGovernment services is pr</w:t>
      </w:r>
      <w:r>
        <w:rPr>
          <w:b/>
          <w:noProof/>
        </w:rPr>
        <w:t>ogressing, mainly thanks to an improved access to Open Data.</w:t>
      </w:r>
      <w:r>
        <w:rPr>
          <w:noProof/>
        </w:rPr>
        <w:t xml:space="preserve"> The platform eCitizen, launched in 2014, offered 43 different eServices in 2017 and continues to develop and integrate new features. The recently adopted Strategy for e-Croatia 2020 and its Actio</w:t>
      </w:r>
      <w:r>
        <w:rPr>
          <w:noProof/>
        </w:rPr>
        <w:t xml:space="preserve">n Plan, as well as the eGovernment and government digitisation plan (May 2017) are aimed at supporting positive developments in this policy area, including interoperable government systems and services to reduce bureaucracy. The plan updates proposals for </w:t>
      </w:r>
      <w:r>
        <w:rPr>
          <w:noProof/>
        </w:rPr>
        <w:t xml:space="preserve">policy and actions on government cloud services, shared ICT service, information management, eInclusion, open data and human resources. </w:t>
      </w:r>
    </w:p>
    <w:tbl>
      <w:tblPr>
        <w:tblpPr w:horzAnchor="margin" w:tblpYSpec="bottom"/>
        <w:tblOverlap w:val="never"/>
        <w:tblW w:w="0" w:type="auto"/>
        <w:tblLayout w:type="fixed"/>
        <w:tblCellMar>
          <w:left w:w="0" w:type="dxa"/>
          <w:right w:w="0" w:type="dxa"/>
        </w:tblCellMar>
        <w:tblLook w:val="0000" w:firstRow="0" w:lastRow="0" w:firstColumn="0" w:lastColumn="0" w:noHBand="0" w:noVBand="0"/>
      </w:tblPr>
      <w:tblGrid>
        <w:gridCol w:w="8505"/>
      </w:tblGrid>
      <w:tr w:rsidR="001E7162">
        <w:trPr>
          <w:cantSplit/>
        </w:trPr>
        <w:tc>
          <w:tcPr>
            <w:tcW w:w="8505" w:type="dxa"/>
            <w:shd w:val="clear" w:color="auto" w:fill="auto"/>
          </w:tcPr>
          <w:p w:rsidR="001E7162" w:rsidRDefault="00EC2A75">
            <w:pPr>
              <w:pStyle w:val="GraphTitle"/>
              <w:rPr>
                <w:b/>
                <w:noProof/>
              </w:rPr>
            </w:pPr>
            <w:bookmarkStart w:id="49" w:name="_Toc505083040"/>
            <w:r>
              <w:rPr>
                <w:noProof/>
              </w:rPr>
              <w:t>Graph 4.5.1:</w:t>
            </w:r>
            <w:r>
              <w:rPr>
                <w:b/>
                <w:noProof/>
              </w:rPr>
              <w:tab/>
              <w:t>Cohesion Policy funding as an estimated share of public investment, 2015-2017</w:t>
            </w:r>
            <w:bookmarkEnd w:id="49"/>
          </w:p>
        </w:tc>
      </w:tr>
      <w:tr w:rsidR="001E7162">
        <w:trPr>
          <w:cantSplit/>
        </w:trPr>
        <w:tc>
          <w:tcPr>
            <w:tcW w:w="8505" w:type="dxa"/>
            <w:shd w:val="clear" w:color="auto" w:fill="auto"/>
          </w:tcPr>
          <w:p w:rsidR="001E7162" w:rsidRDefault="00EC2A75">
            <w:pPr>
              <w:pStyle w:val="GraphShape"/>
              <w:rPr>
                <w:noProof/>
                <w:sz w:val="2"/>
              </w:rPr>
            </w:pPr>
            <w:r>
              <w:rPr>
                <w:noProof/>
                <w:sz w:val="2"/>
                <w:lang w:eastAsia="en-GB"/>
              </w:rPr>
              <w:drawing>
                <wp:inline distT="0" distB="0" distL="0" distR="0" wp14:anchorId="73392EF2" wp14:editId="73CAED3A">
                  <wp:extent cx="5400929" cy="2395189"/>
                  <wp:effectExtent l="0" t="0" r="0" b="0"/>
                  <wp:docPr id="96" name="Picture 96" descr="&lt;nbr&gt;&lt;GETTEXTFROMWORD&gt;&lt;/nbr&gt;&#10;&lt;title&gt;&lt;GETTEXTFROMWORD&gt;&lt;/title&gt;&#10;&lt;id&gt;3a566d06-2f33-42a3-a90a-43f546f21d4d&lt;/id&gt;&#10;&lt;srcType&gt;EXCEL&lt;/srcType&gt;&#10;&lt;srcPath&gt;O:\2017 CRs\2018 European semester\11 HR\Excel\&lt;/srcPath&gt;&#10;&lt;srcName&gt;CR.HR.2018_4.5_Public_governance.xlsx&lt;/srcName&gt;&#10;&lt;type&gt;graph&lt;/type&gt;&#10; &lt;srcSheet&gt;cohesion.policy.allocations&lt;/srcSheet&gt;&#10; &lt;srcChartTitle&gt;Chart 1&lt;/srcChartTitle&gt;&#10;&lt;pos&gt;bottom_maintext&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0:41:16&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400929" cy="2395189"/>
                          </a:xfrm>
                          <a:prstGeom prst="rect">
                            <a:avLst/>
                          </a:prstGeom>
                          <a:noFill/>
                          <a:ln>
                            <a:noFill/>
                          </a:ln>
                        </pic:spPr>
                      </pic:pic>
                    </a:graphicData>
                  </a:graphic>
                </wp:inline>
              </w:drawing>
            </w:r>
          </w:p>
        </w:tc>
      </w:tr>
      <w:tr w:rsidR="001E7162">
        <w:trPr>
          <w:cantSplit/>
        </w:trPr>
        <w:tc>
          <w:tcPr>
            <w:tcW w:w="8505" w:type="dxa"/>
            <w:shd w:val="clear" w:color="auto" w:fill="auto"/>
          </w:tcPr>
          <w:p w:rsidR="001E7162" w:rsidRDefault="00EC2A75">
            <w:pPr>
              <w:pStyle w:val="GraphSource"/>
              <w:keepNext/>
              <w:rPr>
                <w:noProof/>
                <w:lang w:val="it-IT"/>
              </w:rPr>
            </w:pPr>
            <w:r>
              <w:rPr>
                <w:b/>
                <w:i/>
                <w:noProof/>
              </w:rPr>
              <w:t>Source:</w:t>
            </w:r>
            <w:r>
              <w:rPr>
                <w:noProof/>
              </w:rPr>
              <w:t xml:space="preserve">  DG REGIO, Eurostat, DG ECFIN and Ameco</w:t>
            </w:r>
          </w:p>
        </w:tc>
      </w:tr>
    </w:tbl>
    <w:p w:rsidR="001E7162" w:rsidRDefault="00EC2A75">
      <w:pPr>
        <w:pStyle w:val="Heading"/>
        <w:rPr>
          <w:noProof/>
        </w:rPr>
      </w:pPr>
      <w:r>
        <w:rPr>
          <w:noProof/>
        </w:rPr>
        <w:t xml:space="preserve">EU funds </w:t>
      </w:r>
    </w:p>
    <w:p w:rsidR="001E7162" w:rsidRDefault="00EC2A75">
      <w:pPr>
        <w:rPr>
          <w:noProof/>
        </w:rPr>
      </w:pPr>
      <w:r>
        <w:rPr>
          <w:b/>
          <w:noProof/>
        </w:rPr>
        <w:t>A more efficient and effective use of ESI Funds requires strengthening of administrative capacities in the public administration.</w:t>
      </w:r>
      <w:r>
        <w:rPr>
          <w:noProof/>
        </w:rPr>
        <w:t xml:space="preserve"> Weak strategic planning, low implementation capacities and organizational inconsistencies all contribute to poor administrative capacities. The authorities have identified the lack of administrative capacity as one of the most significant hindrances to th</w:t>
      </w:r>
      <w:r>
        <w:rPr>
          <w:noProof/>
        </w:rPr>
        <w:t xml:space="preserve">e implementation of ESI funds and policies in Croatia (European Commission, 2016a and 2016c). For the period 2015 - 2017, the share of ESI Funds in public investment stood at 80 % and it is the second highest in EU (see Graph 4.5.1. and Box 2.1). In order </w:t>
      </w:r>
      <w:r>
        <w:rPr>
          <w:noProof/>
        </w:rPr>
        <w:t>to address the current weaknesses in the management system of ESI funds, the authorities have speeded-up recruitment of additional 676 staff in line ministries and identified the digitalisation of procedures as a priority. Despite these plans, there has be</w:t>
      </w:r>
      <w:r>
        <w:rPr>
          <w:noProof/>
        </w:rPr>
        <w:t>en little evidence of progress.</w:t>
      </w:r>
    </w:p>
    <w:p w:rsidR="001E7162" w:rsidRDefault="00EC2A75">
      <w:pPr>
        <w:rPr>
          <w:noProof/>
        </w:rPr>
      </w:pPr>
      <w:r>
        <w:rPr>
          <w:b/>
          <w:noProof/>
        </w:rPr>
        <w:t>Public administration reform measures are supported by the 2014-2020 ESI Funds' operational programmes.</w:t>
      </w:r>
      <w:r>
        <w:rPr>
          <w:noProof/>
        </w:rPr>
        <w:t xml:space="preserve"> The priority axis ‘Good governance’ within the ESF aims at building and enhancing the administrative capacity in the pub</w:t>
      </w:r>
      <w:r>
        <w:rPr>
          <w:noProof/>
        </w:rPr>
        <w:t>lic sector, more specifically, by supporting the modernisation of business processes, including upgrades of existing and the design of new e-government services. The funds also support the civil society, social dialogue and partnerships in the public spher</w:t>
      </w:r>
      <w:r>
        <w:rPr>
          <w:noProof/>
        </w:rPr>
        <w:t>e. By mid</w:t>
      </w:r>
      <w:r>
        <w:rPr>
          <w:noProof/>
        </w:rPr>
        <w:noBreakHyphen/>
        <w:t>2017, however, no project was contracted under this priority axis. The priority axis 'Use of Information and Communication Technologies' within the ERDF also addresses the digitalisation of administrative services and aims at strengthening ICT ap</w:t>
      </w:r>
      <w:r>
        <w:rPr>
          <w:noProof/>
        </w:rPr>
        <w:t>plications for e-government, e-learning, e</w:t>
      </w:r>
      <w:r>
        <w:rPr>
          <w:noProof/>
        </w:rPr>
        <w:noBreakHyphen/>
        <w:t>inclusion, e-culture and e-health. These systems are expected to improve coordination, transparency, accountability, and consequently, the efficiency of the public administration. The allocation to e</w:t>
      </w:r>
      <w:r>
        <w:rPr>
          <w:noProof/>
        </w:rPr>
        <w:noBreakHyphen/>
        <w:t>systems amoun</w:t>
      </w:r>
      <w:r>
        <w:rPr>
          <w:noProof/>
        </w:rPr>
        <w:t xml:space="preserve">ts to EUR 98.6 million, only 6.1 % of which was selected for support by end-2017. </w:t>
      </w:r>
    </w:p>
    <w:p w:rsidR="001E7162" w:rsidRDefault="00EC2A75">
      <w:pPr>
        <w:rPr>
          <w:noProof/>
        </w:rPr>
      </w:pPr>
      <w:r>
        <w:rPr>
          <w:b/>
          <w:noProof/>
        </w:rPr>
        <w:t>Efficient use of ESI funds is key to supporting investment and implementing structural reforms.</w:t>
      </w:r>
      <w:r>
        <w:rPr>
          <w:noProof/>
        </w:rPr>
        <w:t xml:space="preserve"> Having joined the EU in mid-2013, Croatia was exceptionally granted an additi</w:t>
      </w:r>
      <w:r>
        <w:rPr>
          <w:noProof/>
        </w:rPr>
        <w:t>onal year to close its 2007-2013 programming period. By the end date (December 2017) the rate of use of ESI Funds climbed to 81 % (from 78 % in 2016 and slightly below 50 % in 2015). Following the fulfilment of all required ex-ante conditionalities in 2017</w:t>
      </w:r>
      <w:r>
        <w:rPr>
          <w:noProof/>
        </w:rPr>
        <w:t>, the authorities are now focusing on implementing the 2014-2020 operational programmes, with the total allocation of EUR 10.73 billion (see Box 2.1). When implemented, the measures aimed at strengthening administrative capacity are expected to alleviate t</w:t>
      </w:r>
      <w:r>
        <w:rPr>
          <w:noProof/>
        </w:rPr>
        <w:t>he current issues in implementation and the use of ESI funds.</w:t>
      </w:r>
    </w:p>
    <w:p w:rsidR="001E7162" w:rsidRDefault="00EC2A75">
      <w:pPr>
        <w:pStyle w:val="Heading"/>
        <w:rPr>
          <w:noProof/>
        </w:rPr>
      </w:pPr>
      <w:r>
        <w:rPr>
          <w:noProof/>
        </w:rPr>
        <w:t>State-owned enterprises</w:t>
      </w:r>
    </w:p>
    <w:p w:rsidR="001E7162" w:rsidRDefault="00EC2A75">
      <w:pPr>
        <w:rPr>
          <w:noProof/>
        </w:rPr>
      </w:pPr>
      <w:r>
        <w:rPr>
          <w:b/>
          <w:noProof/>
        </w:rPr>
        <w:t>SOEs continue to play an important role in Croatia's economy due to their size and presence in numerous sectors.</w:t>
      </w:r>
      <w:r>
        <w:rPr>
          <w:noProof/>
        </w:rPr>
        <w:t xml:space="preserve"> According to the analysis in last year's Country Report (</w:t>
      </w:r>
      <w:r>
        <w:rPr>
          <w:noProof/>
        </w:rPr>
        <w:t xml:space="preserve">European Commission, 2017f), SOEs in Croatia are marred by weak productivity. The gap in productivity between SOE's and their privately-owned peers is the widest among all CEE countries. In addition to reducing the average productivity in their respective </w:t>
      </w:r>
      <w:r>
        <w:rPr>
          <w:noProof/>
        </w:rPr>
        <w:t>sectors nominally, their prominent presence hampers the allocative efficiency of the market, as productive resources are diverted from the more efficient companies. The importance of reducing state ownership in companies of no strategic or special interest</w:t>
      </w:r>
      <w:r>
        <w:rPr>
          <w:noProof/>
        </w:rPr>
        <w:t xml:space="preserve"> for the state through privatisation, and improving corporate governance in those that remain in state ownership, has been well recognised in National Reform Programmes over the recent years. However, the commitments taken to that effect have been followed</w:t>
      </w:r>
      <w:r>
        <w:rPr>
          <w:noProof/>
        </w:rPr>
        <w:t xml:space="preserve"> through only partially.  </w:t>
      </w:r>
    </w:p>
    <w:p w:rsidR="001E7162" w:rsidRDefault="00EC2A75">
      <w:pPr>
        <w:rPr>
          <w:noProof/>
        </w:rPr>
      </w:pPr>
      <w:r>
        <w:rPr>
          <w:b/>
          <w:noProof/>
        </w:rPr>
        <w:t>State-owned assets are now directly managed at ministerial level.</w:t>
      </w:r>
      <w:r>
        <w:rPr>
          <w:noProof/>
        </w:rPr>
        <w:t xml:space="preserve"> The new Ministry of State Assets has assumed direct authority over the enterprises of strategic and special interest, while the remaining SOEs and state-owned asse</w:t>
      </w:r>
      <w:r>
        <w:rPr>
          <w:noProof/>
        </w:rPr>
        <w:t>ts are managed through the Centre for Restructuring and Sale of State Assets (CERP). In 2017, some progress has been made on some of the commitments outlined in the latest National Reform Programme. In particular, efforts have intensified in the area of di</w:t>
      </w:r>
      <w:r>
        <w:rPr>
          <w:noProof/>
        </w:rPr>
        <w:t>sposal of state-owned assets and enterprises. The Ministry has further reduced the list of companies of strategic and special interest by nine entities, paving the way for privatisation efforts to intensify in 2018. The new corporate governance code was ad</w:t>
      </w:r>
      <w:r>
        <w:rPr>
          <w:noProof/>
        </w:rPr>
        <w:t xml:space="preserve">opted in December 2017. However, other key documents planned for adoption in 2017, including the new Act on Management and Disposal of State Assets are significantly delayed.   </w:t>
      </w:r>
    </w:p>
    <w:p w:rsidR="001E7162" w:rsidRDefault="00EC2A75">
      <w:pPr>
        <w:rPr>
          <w:noProof/>
        </w:rPr>
      </w:pPr>
      <w:r>
        <w:rPr>
          <w:b/>
          <w:noProof/>
        </w:rPr>
        <w:t>The government has made steps towards a more effective and transparent privati</w:t>
      </w:r>
      <w:r>
        <w:rPr>
          <w:b/>
          <w:noProof/>
        </w:rPr>
        <w:t>sation process.</w:t>
      </w:r>
      <w:r>
        <w:rPr>
          <w:noProof/>
        </w:rPr>
        <w:t xml:space="preserve"> The implementation of the annual State Assets Management Plan for 2017 led to progress in the sale of state-owned dwellings and minority shares in non-strategic and not-of-special-interest enterprises. By September, total revenues from mana</w:t>
      </w:r>
      <w:r>
        <w:rPr>
          <w:noProof/>
        </w:rPr>
        <w:t>gement and disposal of state assets reached 90 % of the planned revenue set out in the 2017 NRP. Privatisation was initiated for two major SOEs, both of which bear critical economic and social importance for the local community, and fresh private capital i</w:t>
      </w:r>
      <w:r>
        <w:rPr>
          <w:noProof/>
        </w:rPr>
        <w:t>s widely seen as crucial for their survival. However, a more decisive effort in following through on the privatisation activities planned in the NRP is yet to be seen.</w:t>
      </w:r>
    </w:p>
    <w:p w:rsidR="001E7162" w:rsidRDefault="00EC2A75">
      <w:pPr>
        <w:pStyle w:val="Heading"/>
        <w:rPr>
          <w:noProof/>
        </w:rPr>
      </w:pPr>
      <w:r>
        <w:rPr>
          <w:noProof/>
        </w:rPr>
        <w:t>Justice system</w:t>
      </w:r>
    </w:p>
    <w:p w:rsidR="001E7162" w:rsidRDefault="00EC2A75">
      <w:pPr>
        <w:rPr>
          <w:noProof/>
        </w:rPr>
      </w:pPr>
      <w:r>
        <w:rPr>
          <w:b/>
          <w:noProof/>
        </w:rPr>
        <w:t>Despite a further reduction in backlogs, court proceedings remain long an</w:t>
      </w:r>
      <w:r>
        <w:rPr>
          <w:b/>
          <w:noProof/>
        </w:rPr>
        <w:t>d there is room for improvement of the quality and independence of justice.</w:t>
      </w:r>
      <w:r>
        <w:rPr>
          <w:noProof/>
        </w:rPr>
        <w:t xml:space="preserve"> The decrease in backlogs has been largely achieved due to reduced caseload as courts resolved fewer cases. According to the 2018 EU Justice Scoreboard (European Commission, 2018a),</w:t>
      </w:r>
      <w:r>
        <w:rPr>
          <w:noProof/>
        </w:rPr>
        <w:t xml:space="preserve"> length of court proceedings and backlogs in Croatia are among the most significant in the EU. In 2017, backlogs in first instance courts in civil, commercial, and enforcement cases decreased by 6 % (compared to 2016) and courts prioritized oldest cases. P</w:t>
      </w:r>
      <w:r>
        <w:rPr>
          <w:noProof/>
        </w:rPr>
        <w:t>roceedings in first instance courts remained slow with civil and commercial cases taking on average 884 and 730 days, respectively. However, at second instance, backlogs decreased both in civil cases before County courts (by 13 %) and significantly in comm</w:t>
      </w:r>
      <w:r>
        <w:rPr>
          <w:noProof/>
        </w:rPr>
        <w:t xml:space="preserve">ercial cases before the High Commercial Court (by 23 %), with length of proceedings increasing in civil cases (to 298 days), but further decreasing in commercial cases (to 789 days). A partial reform of the business processes has shown some results at the </w:t>
      </w:r>
      <w:r>
        <w:rPr>
          <w:noProof/>
        </w:rPr>
        <w:t>High Commercial Court, but has not been extended to other courts.</w:t>
      </w:r>
    </w:p>
    <w:p w:rsidR="001E7162" w:rsidRDefault="00EC2A75">
      <w:pPr>
        <w:rPr>
          <w:noProof/>
        </w:rPr>
      </w:pPr>
      <w:r>
        <w:rPr>
          <w:b/>
          <w:noProof/>
        </w:rPr>
        <w:t>Criminal justice is experiencing issues of efficiency and quality, particularly regarding resources which are lacking.</w:t>
      </w:r>
      <w:r>
        <w:rPr>
          <w:noProof/>
        </w:rPr>
        <w:t xml:space="preserve"> The backlogs increased at all criminal court instances and proceedings </w:t>
      </w:r>
      <w:r>
        <w:rPr>
          <w:noProof/>
        </w:rPr>
        <w:t>remained lengthy (638 days in Municipal courts, and 962 days for first instance cases in County courts). The criminal justice system appears to be reacting regarding cases of corruption among judges. The State Attorney's Office appears to be experiencing a</w:t>
      </w:r>
      <w:r>
        <w:rPr>
          <w:noProof/>
        </w:rPr>
        <w:t xml:space="preserve"> resource issue, as according to the current framework criteria more than 20% State Attorney positions or equal to nearly 500 staff positions remain vacant, which could be a source of concern considering that the prosecution is currently occupied with larg</w:t>
      </w:r>
      <w:r>
        <w:rPr>
          <w:noProof/>
        </w:rPr>
        <w:t>e and complex economic and financial crime cases. Financial resources for experts, including on economic and financial crimes are not adequately budgeted for as 70 % of the State Attorney's Office budget is spent on disputes representing the state in inter</w:t>
      </w:r>
      <w:r>
        <w:rPr>
          <w:noProof/>
        </w:rPr>
        <w:t>national disputes mainly in arbitration procedures. The upgraded ICT in the State Attorney's Office allows for electronic exchange of court documents at some courts and the implementation of qualified electronic signatures is on-going.</w:t>
      </w:r>
    </w:p>
    <w:p w:rsidR="001E7162" w:rsidRDefault="00EC2A75">
      <w:pPr>
        <w:rPr>
          <w:noProof/>
        </w:rPr>
      </w:pPr>
      <w:r>
        <w:rPr>
          <w:b/>
          <w:noProof/>
        </w:rPr>
        <w:t>Quality of justice c</w:t>
      </w:r>
      <w:r>
        <w:rPr>
          <w:b/>
          <w:noProof/>
        </w:rPr>
        <w:t>ould be further improved, through electronic communication with courts and a reform of the judicial map.</w:t>
      </w:r>
      <w:r>
        <w:rPr>
          <w:noProof/>
        </w:rPr>
        <w:t xml:space="preserve"> Most court documents are delivered in physical form and electronic communication is being tested and gradually implemented between courts and police (i</w:t>
      </w:r>
      <w:r>
        <w:rPr>
          <w:noProof/>
        </w:rPr>
        <w:t>n misdemeanour cases) and lawyers (particularly in commercial cases). However, more complete communication with other parties (e.g. public notaries, State Attorneys, tax administration, insolvency administrators, FINA) requires further preparation. Commerc</w:t>
      </w:r>
      <w:r>
        <w:rPr>
          <w:noProof/>
        </w:rPr>
        <w:t>ial judges gained access to the land registry and the registry of blocked accounts, but access to other registers (e.g. for vehicles, boats) is still lacking. A new reform of the judicial map is envisaged to merge most Misdemeanour courts (where the caselo</w:t>
      </w:r>
      <w:r>
        <w:rPr>
          <w:noProof/>
        </w:rPr>
        <w:t>ad has been decreasing) with Municipal courts, which could even-out the workload of judges and improve efficiency. Court directors, under the authority of the Court Presidents, who would be responsible for management of courts, are being considered.</w:t>
      </w:r>
    </w:p>
    <w:p w:rsidR="001E7162" w:rsidRDefault="00EC2A75">
      <w:pPr>
        <w:rPr>
          <w:noProof/>
        </w:rPr>
      </w:pPr>
      <w:r>
        <w:rPr>
          <w:b/>
          <w:noProof/>
        </w:rPr>
        <w:t>Percei</w:t>
      </w:r>
      <w:r>
        <w:rPr>
          <w:b/>
          <w:noProof/>
        </w:rPr>
        <w:t>ved judicial independence decreased further and the involvement of the National Security Agency in the appointment of first time judges raises further judicial independence concerns.</w:t>
      </w:r>
      <w:r>
        <w:rPr>
          <w:noProof/>
        </w:rPr>
        <w:t xml:space="preserve"> The law envisaging the involvement of the National Security Agency in bac</w:t>
      </w:r>
      <w:r>
        <w:rPr>
          <w:noProof/>
        </w:rPr>
        <w:t>kground checks of first-time appointed judges remains under constitutional review and the necessary amendments to remove this power have been announced and will have to be closely followed. The Council for the judiciary, which plays a key role in guarantee</w:t>
      </w:r>
      <w:r>
        <w:rPr>
          <w:noProof/>
        </w:rPr>
        <w:t>ing judicial independence, remains weak in its administrative capacity.</w:t>
      </w:r>
    </w:p>
    <w:p w:rsidR="001E7162" w:rsidRDefault="00EC2A75">
      <w:pPr>
        <w:rPr>
          <w:noProof/>
        </w:rPr>
      </w:pPr>
      <w:r>
        <w:rPr>
          <w:b/>
          <w:noProof/>
        </w:rPr>
        <w:t>The inflow of corporate pre-insolvency and insolvency cases is decreasing while the number of personal insolvency cases remains low.</w:t>
      </w:r>
      <w:r>
        <w:rPr>
          <w:noProof/>
        </w:rPr>
        <w:t xml:space="preserve"> Driven by economic growth, the influx of pre-insolv</w:t>
      </w:r>
      <w:r>
        <w:rPr>
          <w:noProof/>
        </w:rPr>
        <w:t>ency and insolvency cases regarding companies significantly decreased, which helped the courts reduce backlogs. A draft report analysing the effects of the new personal insolvency framework shows an increasing (but still insignificant) number of personal i</w:t>
      </w:r>
      <w:r>
        <w:rPr>
          <w:noProof/>
        </w:rPr>
        <w:t xml:space="preserve">nsolvencies, mostly concerning persons with no assets, and a decreasing number of insolvency administrators ready to work on such cases, which appears to be a financial incentives issue. The average duration of proceedings increased both in pre-insolvency </w:t>
      </w:r>
      <w:r>
        <w:rPr>
          <w:noProof/>
        </w:rPr>
        <w:t xml:space="preserve">(to 416 days) and insolvency cases (to 334 days). Preliminary data submitted by the Ministry of Justice suggests that initiated insolvencies mainly involved micro companies without employees or assets, mostly in construction and trade. </w:t>
      </w:r>
    </w:p>
    <w:p w:rsidR="001E7162" w:rsidRDefault="00EC2A75">
      <w:pPr>
        <w:pStyle w:val="Heading"/>
        <w:rPr>
          <w:noProof/>
        </w:rPr>
      </w:pPr>
      <w:r>
        <w:rPr>
          <w:noProof/>
        </w:rPr>
        <w:t xml:space="preserve">Healthcare system </w:t>
      </w:r>
    </w:p>
    <w:p w:rsidR="001E7162" w:rsidRDefault="00EC2A75">
      <w:pPr>
        <w:rPr>
          <w:noProof/>
        </w:rPr>
      </w:pPr>
      <w:r>
        <w:rPr>
          <w:b/>
          <w:noProof/>
        </w:rPr>
        <w:t>Health outcomes in Croatia have improved in recent years.</w:t>
      </w:r>
      <w:r>
        <w:rPr>
          <w:noProof/>
        </w:rPr>
        <w:t xml:space="preserve"> With life expectancy of 74.4 and 80.5 years at birth in 2015 for men and women respectively, Croatia still scores below the EU average (77.9 and 83.3), but exceeds most of the peer countries. The re</w:t>
      </w:r>
      <w:r>
        <w:rPr>
          <w:noProof/>
        </w:rPr>
        <w:t>latively low life expectancy owes greatly to high mortality caused by cardiovascular diseases (almost twice the EU average) and certain cancers, but also to external causes of death, with 73 deaths per 100 000 inhabitants compared to EU average of 46 (OECD</w:t>
      </w:r>
      <w:r>
        <w:rPr>
          <w:noProof/>
        </w:rPr>
        <w:t xml:space="preserve"> and European Observatory on Health Systems and Policies, 2017). Perinatal mortality, generally taken as a proxy of the effectiveness of a healthcare system, is below the EU average. However, infant mortality, which is influenced also by external factors, </w:t>
      </w:r>
      <w:r>
        <w:rPr>
          <w:noProof/>
        </w:rPr>
        <w:t>is still one of the highest. This suggests a relatively effective healthcare system and a need for better preventive measures outside it. For the positive trends in health outcomes to hold, the system will need to address the increasing pressures from risi</w:t>
      </w:r>
      <w:r>
        <w:rPr>
          <w:noProof/>
        </w:rPr>
        <w:t>ng costs and the particularly adverse demographic trends, particularly if the principles of solidarity in funding and universality in service provision are to be preserved.</w:t>
      </w:r>
    </w:p>
    <w:p w:rsidR="001E7162" w:rsidRDefault="00EC2A75">
      <w:pPr>
        <w:rPr>
          <w:noProof/>
        </w:rPr>
      </w:pPr>
      <w:r>
        <w:rPr>
          <w:b/>
          <w:noProof/>
        </w:rPr>
        <w:t>Healthcare-related inequalities give a mixed picture.</w:t>
      </w:r>
      <w:r>
        <w:rPr>
          <w:noProof/>
        </w:rPr>
        <w:t xml:space="preserve"> Differences in life expectancy between groups with different educational levels in Croatia are the lowest among all analysed Member States (</w:t>
      </w:r>
      <w:r>
        <w:rPr>
          <w:rStyle w:val="FootnoteReference"/>
          <w:noProof/>
        </w:rPr>
        <w:footnoteReference w:id="47"/>
      </w:r>
      <w:r>
        <w:rPr>
          <w:noProof/>
        </w:rPr>
        <w:t>). The percentage of Croats reporting unmet medical needs due to long waiting lists, costs of services and distanc</w:t>
      </w:r>
      <w:r>
        <w:rPr>
          <w:noProof/>
        </w:rPr>
        <w:t>e to providers is lower than in the EU on average. However, Croatia is one of the worst performers in unmet needs for people over 65, and scores well below the EU average in unmet needs due to distance alone, which may be attributed to the challenges in pr</w:t>
      </w:r>
      <w:r>
        <w:rPr>
          <w:noProof/>
        </w:rPr>
        <w:t xml:space="preserve">oviding health care on islands and to the uneven geographical distribution of healthcare resources across the country. </w:t>
      </w:r>
    </w:p>
    <w:p w:rsidR="001E7162" w:rsidRDefault="00EC2A75">
      <w:pPr>
        <w:rPr>
          <w:noProof/>
        </w:rPr>
      </w:pPr>
      <w:r>
        <w:rPr>
          <w:b/>
          <w:noProof/>
        </w:rPr>
        <w:t>Expenditure on healthcare in Croatia stagnates whereas costs increase across the EU.</w:t>
      </w:r>
      <w:r>
        <w:rPr>
          <w:noProof/>
        </w:rPr>
        <w:t xml:space="preserve"> Healthcare expenditure in Croatia is at one of the </w:t>
      </w:r>
      <w:r>
        <w:rPr>
          <w:noProof/>
        </w:rPr>
        <w:t xml:space="preserve">lowest levels in EU. At only EUR 760 in 2015, healthcare expenditure per inhabitant was lower only in Romania, Latvia and Bulgaria. It is also well below the EU average when expressed as a percentage of GDP and in purchasing power standard per inhabitant. </w:t>
      </w:r>
      <w:r>
        <w:rPr>
          <w:noProof/>
        </w:rPr>
        <w:t xml:space="preserve">In the latter, it is lower even than the average of the 12 Member States joining the EU since 2004 (EU12, see Graph </w:t>
      </w:r>
      <w:r>
        <w:rPr>
          <w:noProof/>
        </w:rPr>
        <w:fldChar w:fldCharType="begin"/>
      </w:r>
      <w:r>
        <w:rPr>
          <w:noProof/>
        </w:rPr>
        <w:instrText xml:space="preserve"> QUOTE "4.5.2"</w:instrText>
      </w:r>
      <w:r>
        <w:rPr>
          <w:noProof/>
        </w:rPr>
        <w:fldChar w:fldCharType="begin">
          <w:fldData xml:space="preserve">QwBSAE8AUwBTAFIARQBGAEUAUgBFAE4AQwBFACoARwBSAEEAUABIACoAMgBkAGYAZgA0AGEAZAA4
AC0AOAAzAGUAZAAtADQAZAA2ADgALQA5AGQANQA1AC0ANQA2ADUAZABjADQAZgBlAGUANwA4ADgA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4.5.2</w:t>
      </w:r>
      <w:r>
        <w:rPr>
          <w:noProof/>
        </w:rPr>
        <w:fldChar w:fldCharType="end"/>
      </w:r>
      <w:r>
        <w:rPr>
          <w:noProof/>
        </w:rPr>
        <w:t>). Furthermore,</w:t>
      </w:r>
      <w:r>
        <w:rPr>
          <w:noProof/>
        </w:rPr>
        <w:t xml:space="preserve"> while a vast majority of EU countries have been spending more and more on healthcare in recent years, which is commonly credited to rising expenses for technological advancement in medicine and population aging, Croatia has kept its total healthcare expen</w:t>
      </w:r>
      <w:r>
        <w:rPr>
          <w:noProof/>
        </w:rPr>
        <w:t>diture at a similar level since 2011.</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50" w:name="_Toc505083041"/>
            <w:r>
              <w:rPr>
                <w:noProof/>
              </w:rPr>
              <w:t>Graph 4.5.2:</w:t>
            </w:r>
            <w:r>
              <w:rPr>
                <w:b/>
                <w:noProof/>
              </w:rPr>
              <w:tab/>
              <w:t>Healthcare expenditure</w:t>
            </w:r>
            <w:bookmarkEnd w:id="50"/>
          </w:p>
        </w:tc>
      </w:tr>
      <w:tr w:rsidR="001E7162">
        <w:trPr>
          <w:cantSplit/>
        </w:trPr>
        <w:tc>
          <w:tcPr>
            <w:tcW w:w="4110" w:type="dxa"/>
            <w:shd w:val="clear" w:color="auto" w:fill="auto"/>
          </w:tcPr>
          <w:p w:rsidR="001E7162" w:rsidRDefault="00EC2A75">
            <w:pPr>
              <w:pStyle w:val="GraphShape"/>
              <w:rPr>
                <w:noProof/>
                <w:sz w:val="2"/>
              </w:rPr>
            </w:pPr>
            <w:r>
              <w:rPr>
                <w:noProof/>
                <w:sz w:val="2"/>
                <w:lang w:eastAsia="en-GB"/>
              </w:rPr>
              <w:drawing>
                <wp:inline distT="0" distB="0" distL="0" distR="0" wp14:anchorId="4AFBB8E4" wp14:editId="35F0CF2E">
                  <wp:extent cx="2597595" cy="2442788"/>
                  <wp:effectExtent l="0" t="0" r="0" b="0"/>
                  <wp:docPr id="97" name="Picture 97" descr="&lt;nbr&gt;&lt;GETTEXTFROMWORD&gt;&lt;/nbr&gt;&#10;&lt;title&gt;&lt;GETTEXTFROMWORD&gt;&lt;/title&gt;&#10;&lt;id&gt;2dff4ad8-83ed-4d68-9d55-565dc4fee788&lt;/id&gt;&#10;&lt;srcType&gt;EXCEL&lt;/srcType&gt;&#10;&lt;srcPath&gt;O:\2017 CRs\2018 European semester\11 HR\Excel\&lt;/srcPath&gt;&#10;&lt;srcName&gt;CR.HR.2018_4.5_Public_governance.xlsx&lt;/srcName&gt;&#10;&lt;type&gt;graph&lt;/type&gt;&#10; &lt;srcSheet&gt;Health Exp pps&lt;/srcSheet&gt;&#10; &lt;srcChartTitle&gt;Chart 4&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0:41:16&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597595" cy="2442788"/>
                          </a:xfrm>
                          <a:prstGeom prst="rect">
                            <a:avLst/>
                          </a:prstGeom>
                          <a:noFill/>
                          <a:ln>
                            <a:noFill/>
                          </a:ln>
                        </pic:spPr>
                      </pic:pic>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(1) In purchasing power standard (PPS) per inhabitant.</w:t>
            </w:r>
            <w:r>
              <w:rPr>
                <w:noProof/>
              </w:rPr>
              <w:br/>
              <w:t>(2) Data not available for all countries in all years.</w:t>
            </w:r>
          </w:p>
          <w:p w:rsidR="001E7162" w:rsidRDefault="00EC2A75">
            <w:pPr>
              <w:pStyle w:val="GraphSource"/>
              <w:keepNext/>
              <w:rPr>
                <w:noProof/>
              </w:rPr>
            </w:pPr>
            <w:r>
              <w:rPr>
                <w:b/>
                <w:i/>
                <w:noProof/>
              </w:rPr>
              <w:t>Source:</w:t>
            </w:r>
            <w:r>
              <w:rPr>
                <w:noProof/>
              </w:rPr>
              <w:t xml:space="preserve"> Eurostat.</w:t>
            </w:r>
          </w:p>
        </w:tc>
      </w:tr>
    </w:tbl>
    <w:p w:rsidR="001E7162" w:rsidRDefault="00EC2A75">
      <w:pPr>
        <w:rPr>
          <w:noProof/>
        </w:rPr>
      </w:pPr>
      <w:r>
        <w:rPr>
          <w:b/>
          <w:noProof/>
        </w:rPr>
        <w:t xml:space="preserve">Hospitals account for the largest share of total </w:t>
      </w:r>
      <w:r>
        <w:rPr>
          <w:b/>
          <w:noProof/>
        </w:rPr>
        <w:t>healthcare expenditure in Croatia.</w:t>
      </w:r>
      <w:r>
        <w:rPr>
          <w:noProof/>
        </w:rPr>
        <w:t xml:space="preserve"> In 2015, 42 % of total healthcare expenditure was spent in hospitals, followed by 28 % spent through retailers and suppliers of medical goods. As such, the hospital system has been the subject of numerous analyses and ref</w:t>
      </w:r>
      <w:r>
        <w:rPr>
          <w:noProof/>
        </w:rPr>
        <w:t>orm efforts over the recent years. Reorganization through functional integration of hospitals is at the centre of the most recent efforts to rationalize spending and improve cost efficiency in the healthcare system. However, the distribution of hospitals i</w:t>
      </w:r>
      <w:r>
        <w:rPr>
          <w:noProof/>
        </w:rPr>
        <w:t>s generally considered to be uneven, with a high concentration in and around the city of Zagreb. A further reduction in the number of hospitals, or in the range and scope of services they provide, raises concerns regarding a possible deterioration of acces</w:t>
      </w:r>
      <w:r>
        <w:rPr>
          <w:noProof/>
        </w:rPr>
        <w:t>s to healthcare in Croatia.</w:t>
      </w:r>
    </w:p>
    <w:p w:rsidR="001E7162" w:rsidRDefault="00EC2A75">
      <w:pPr>
        <w:rPr>
          <w:noProof/>
        </w:rPr>
      </w:pPr>
      <w:r>
        <w:rPr>
          <w:b/>
          <w:noProof/>
        </w:rPr>
        <w:t>Costs of personnel account for more than half of all expenditure in hospitals in Croatia</w:t>
      </w:r>
      <w:r>
        <w:rPr>
          <w:noProof/>
        </w:rPr>
        <w:t>. These shares vary across the different types of hospitals, ranging from slightly above 50% in clinical-hospital centres to above 60% in sp</w:t>
      </w:r>
      <w:r>
        <w:rPr>
          <w:noProof/>
        </w:rPr>
        <w:t xml:space="preserve">ecial hospitals (Vehovec, 2014). Average numbers of medical doctors in hospitals across the observed groups of EU Member States do not vary substantially, albeit there are large differences across individual countries. However, significant differences may </w:t>
      </w:r>
      <w:r>
        <w:rPr>
          <w:noProof/>
        </w:rPr>
        <w:t xml:space="preserve">be observed in the number of nurses as well as in total hospital employment (see Graph </w:t>
      </w:r>
      <w:r>
        <w:rPr>
          <w:noProof/>
        </w:rPr>
        <w:fldChar w:fldCharType="begin"/>
      </w:r>
      <w:r>
        <w:rPr>
          <w:noProof/>
        </w:rPr>
        <w:instrText xml:space="preserve"> QUOTE "4.5.3"</w:instrText>
      </w:r>
      <w:r>
        <w:rPr>
          <w:noProof/>
        </w:rPr>
        <w:fldChar w:fldCharType="begin">
          <w:fldData xml:space="preserve">QwBSAE8AUwBTAFIARQBGAEUAUgBFAE4AQwBFACoARwBSAEEAUABIACoAOQA1ADQAYgAzADAAMgBl
AC0AMwBkADMANgAtADQANwBkADMALQBiADcAZQAwAC0ANgBkADAAZgA3AGYAOQAxADgAMwA1AGEA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4.5.3</w:t>
      </w:r>
      <w:r>
        <w:rPr>
          <w:noProof/>
        </w:rPr>
        <w:fldChar w:fldCharType="end"/>
      </w:r>
      <w:r>
        <w:rPr>
          <w:noProof/>
        </w:rPr>
        <w:t>). In both, Croatia has markedly lower number</w:t>
      </w:r>
      <w:r>
        <w:rPr>
          <w:noProof/>
        </w:rPr>
        <w:t>s, particularly as regards the number of nursing staff. In all, these physical indicators seem to provide insufficient grounds for rationalising hospital expenses by reducing medical personnel</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Pr>
        <w:tc>
          <w:tcPr>
            <w:tcW w:w="4110" w:type="dxa"/>
            <w:shd w:val="clear" w:color="auto" w:fill="auto"/>
          </w:tcPr>
          <w:p w:rsidR="001E7162" w:rsidRDefault="00EC2A75">
            <w:pPr>
              <w:pStyle w:val="GraphTitle"/>
              <w:rPr>
                <w:b/>
                <w:noProof/>
              </w:rPr>
            </w:pPr>
            <w:bookmarkStart w:id="51" w:name="_Toc505083042"/>
            <w:r>
              <w:rPr>
                <w:noProof/>
              </w:rPr>
              <w:t>Graph 4.5.3:</w:t>
            </w:r>
            <w:r>
              <w:rPr>
                <w:b/>
                <w:noProof/>
              </w:rPr>
              <w:tab/>
              <w:t>Staff in hospitals, 2015</w:t>
            </w:r>
            <w:bookmarkEnd w:id="51"/>
          </w:p>
        </w:tc>
      </w:tr>
      <w:tr w:rsidR="001E7162">
        <w:tblPrEx>
          <w:tblCellMar>
            <w:left w:w="108" w:type="dxa"/>
            <w:right w:w="108" w:type="dxa"/>
          </w:tblCellMar>
        </w:tblPrEx>
        <w:trPr>
          <w:cantSplit/>
        </w:trPr>
        <w:tc>
          <w:tcPr>
            <w:tcW w:w="4110" w:type="dxa"/>
            <w:shd w:val="clear" w:color="auto" w:fill="auto"/>
          </w:tcPr>
          <w:p w:rsidR="001E7162" w:rsidRDefault="00EC2A75">
            <w:pPr>
              <w:pStyle w:val="GraphShape"/>
              <w:rPr>
                <w:noProof/>
                <w:sz w:val="2"/>
              </w:rPr>
            </w:pPr>
            <w:r>
              <w:rPr>
                <w:noProof/>
                <w:lang w:eastAsia="en-GB"/>
              </w:rPr>
              <w:drawing>
                <wp:inline distT="0" distB="0" distL="0" distR="0" wp14:anchorId="7248F512" wp14:editId="73EE99D0">
                  <wp:extent cx="2582865" cy="2480807"/>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c>
      </w:tr>
      <w:tr w:rsidR="001E7162">
        <w:trPr>
          <w:cantSplit/>
        </w:trPr>
        <w:tc>
          <w:tcPr>
            <w:tcW w:w="4110" w:type="dxa"/>
            <w:shd w:val="clear" w:color="auto" w:fill="auto"/>
            <w:tcMar>
              <w:bottom w:w="240" w:type="dxa"/>
            </w:tcMar>
          </w:tcPr>
          <w:p w:rsidR="001E7162" w:rsidRDefault="00EC2A75">
            <w:pPr>
              <w:pStyle w:val="GraphFootnote"/>
              <w:keepNext/>
              <w:rPr>
                <w:noProof/>
              </w:rPr>
            </w:pPr>
            <w:r>
              <w:rPr>
                <w:noProof/>
              </w:rPr>
              <w:t xml:space="preserve">Data not available </w:t>
            </w:r>
            <w:r>
              <w:rPr>
                <w:noProof/>
              </w:rPr>
              <w:t>for all countries.</w:t>
            </w:r>
          </w:p>
          <w:p w:rsidR="001E7162" w:rsidRDefault="00EC2A75">
            <w:pPr>
              <w:pStyle w:val="GraphSource"/>
              <w:keepNext/>
              <w:rPr>
                <w:noProof/>
              </w:rPr>
            </w:pPr>
            <w:r>
              <w:rPr>
                <w:b/>
                <w:i/>
                <w:noProof/>
              </w:rPr>
              <w:t>Source:</w:t>
            </w:r>
            <w:r>
              <w:rPr>
                <w:noProof/>
              </w:rPr>
              <w:t xml:space="preserve"> Eurostat.</w:t>
            </w:r>
          </w:p>
        </w:tc>
      </w:tr>
    </w:tbl>
    <w:p w:rsidR="001E7162" w:rsidRDefault="00EC2A75">
      <w:pPr>
        <w:rPr>
          <w:noProof/>
        </w:rPr>
      </w:pPr>
      <w:r>
        <w:rPr>
          <w:b/>
          <w:noProof/>
        </w:rPr>
        <w:t>Croatia is among the countries with a relatively high number of hospital beds.</w:t>
      </w:r>
      <w:r>
        <w:rPr>
          <w:noProof/>
        </w:rPr>
        <w:t xml:space="preserve"> The total number of beds in hospitals was reduced by 7 % from 2011 to 2015, when it amounted to 556 per 100 000 inhabitants, higher than th</w:t>
      </w:r>
      <w:r>
        <w:rPr>
          <w:noProof/>
        </w:rPr>
        <w:t xml:space="preserve">e EU average. Particularly high numbers of beds are available in rehabilitative and long-term care hospital facilities, well above the averages observed (see table </w:t>
      </w:r>
      <w:r>
        <w:rPr>
          <w:noProof/>
        </w:rPr>
        <w:fldChar w:fldCharType="begin"/>
      </w:r>
      <w:r>
        <w:rPr>
          <w:noProof/>
        </w:rPr>
        <w:instrText xml:space="preserve"> QUOTE "4.5.1"</w:instrText>
      </w:r>
      <w:r>
        <w:rPr>
          <w:noProof/>
        </w:rPr>
        <w:fldChar w:fldCharType="begin">
          <w:fldData xml:space="preserve">QwBSAE8AUwBTAFIARQBGAEUAUgBFAE4AQwBFACoAVABBAEIATABFACoAYgAyADMAOQAyAGMAMgAx
AC0AMgA1ADcAOAAtADQAMwBjAGEALQA5ADgANQBhAC0AZQBiADEANABhAGQAZAA3ADAAYQBkADgA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 Conversely, the number of beds available for care for chronic impairments and reduced independence outside of hospitals is far lower. These numbers suggest a substantial scope for reorganizing the system by relieving hos</w:t>
      </w:r>
      <w:r>
        <w:rPr>
          <w:noProof/>
        </w:rPr>
        <w:t xml:space="preserve">pitals from part of the costly long-term care. </w:t>
      </w:r>
    </w:p>
    <w:tbl>
      <w:tblPr>
        <w:tblW w:w="0" w:type="auto"/>
        <w:tblLayout w:type="fixed"/>
        <w:tblCellMar>
          <w:left w:w="0" w:type="dxa"/>
          <w:right w:w="0" w:type="dxa"/>
        </w:tblCellMar>
        <w:tblLook w:val="0000" w:firstRow="0" w:lastRow="0" w:firstColumn="0" w:lastColumn="0" w:noHBand="0" w:noVBand="0"/>
      </w:tblPr>
      <w:tblGrid>
        <w:gridCol w:w="4110"/>
      </w:tblGrid>
      <w:tr w:rsidR="001E7162">
        <w:trPr>
          <w:cantSplit/>
          <w:trHeight w:val="20"/>
        </w:trPr>
        <w:tc>
          <w:tcPr>
            <w:tcW w:w="4110" w:type="dxa"/>
            <w:shd w:val="clear" w:color="auto" w:fill="auto"/>
          </w:tcPr>
          <w:p w:rsidR="001E7162" w:rsidRDefault="001E7162">
            <w:pPr>
              <w:pStyle w:val="SlimCell"/>
              <w:keepNext/>
              <w:rPr>
                <w:noProof/>
              </w:rPr>
            </w:pPr>
          </w:p>
        </w:tc>
      </w:tr>
      <w:tr w:rsidR="001E7162">
        <w:trPr>
          <w:cantSplit/>
        </w:trPr>
        <w:tc>
          <w:tcPr>
            <w:tcW w:w="4110" w:type="dxa"/>
            <w:shd w:val="clear" w:color="auto" w:fill="auto"/>
          </w:tcPr>
          <w:p w:rsidR="001E7162" w:rsidRDefault="00EC2A75">
            <w:pPr>
              <w:pStyle w:val="TableTitle"/>
              <w:rPr>
                <w:b/>
                <w:noProof/>
              </w:rPr>
            </w:pPr>
            <w:bookmarkStart w:id="52" w:name="_Toc505083183"/>
            <w:r>
              <w:rPr>
                <w:noProof/>
              </w:rPr>
              <w:t>Table 4.5.1:</w:t>
            </w:r>
            <w:r>
              <w:rPr>
                <w:b/>
                <w:noProof/>
              </w:rPr>
              <w:tab/>
              <w:t>Hospital beds by type, per 100 000 inhabitants, 2015</w:t>
            </w:r>
            <w:bookmarkEnd w:id="52"/>
          </w:p>
        </w:tc>
      </w:tr>
      <w:tr w:rsidR="001E7162">
        <w:trPr>
          <w:cantSplit/>
        </w:trPr>
        <w:tc>
          <w:tcPr>
            <w:tcW w:w="4110" w:type="dxa"/>
            <w:shd w:val="clear" w:color="auto" w:fill="auto"/>
          </w:tcPr>
          <w:p w:rsidR="001E7162" w:rsidRDefault="00EC2A75">
            <w:pPr>
              <w:pStyle w:val="TableShape"/>
              <w:rPr>
                <w:noProof/>
                <w:sz w:val="2"/>
              </w:rPr>
            </w:pPr>
            <w:r>
              <w:rPr>
                <w:noProof/>
                <w:sz w:val="2"/>
                <w:lang w:eastAsia="en-GB"/>
              </w:rPr>
              <w:drawing>
                <wp:inline distT="0" distB="0" distL="0" distR="0" wp14:anchorId="238FBE85" wp14:editId="5C8CB4D4">
                  <wp:extent cx="2597595" cy="683578"/>
                  <wp:effectExtent l="0" t="0" r="0" b="2540"/>
                  <wp:docPr id="99" name="Picture 99" descr="&lt;nbr&gt;&lt;GETTEXTFROMWORD&gt;&lt;/nbr&gt;&#10;&lt;title&gt;&lt;GETTEXTFROMWORD&gt;&lt;/title&gt;&#10;&lt;id&gt;b2392c21-2578-43ca-985a-eb14add70ad8&lt;/id&gt;&#10;&lt;srcType&gt;EXCEL&lt;/srcType&gt;&#10;&lt;srcPath&gt;O:\2017 CRs\2018 European semester\11 HR\Excel\&lt;/srcPath&gt;&#10;&lt;srcName&gt;CR.HR.2018_4.5_Public_governance.xlsx&lt;/srcName&gt;&#10;&lt;type&gt;table&lt;/type&gt;&#10; &lt;srcSheet&gt;Hospital beds&lt;/srcSheet&gt;&#10; &lt;srcRange&gt;R2C2:R6C7&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0:41:16&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597595" cy="683578"/>
                          </a:xfrm>
                          <a:prstGeom prst="rect">
                            <a:avLst/>
                          </a:prstGeom>
                          <a:noFill/>
                          <a:ln>
                            <a:noFill/>
                          </a:ln>
                        </pic:spPr>
                      </pic:pic>
                    </a:graphicData>
                  </a:graphic>
                </wp:inline>
              </w:drawing>
            </w:r>
          </w:p>
        </w:tc>
      </w:tr>
      <w:tr w:rsidR="001E7162">
        <w:trPr>
          <w:cantSplit/>
        </w:trPr>
        <w:tc>
          <w:tcPr>
            <w:tcW w:w="4110" w:type="dxa"/>
            <w:shd w:val="clear" w:color="auto" w:fill="auto"/>
          </w:tcPr>
          <w:p w:rsidR="001E7162" w:rsidRDefault="00EC2A75">
            <w:pPr>
              <w:pStyle w:val="TableFootnote"/>
              <w:rPr>
                <w:noProof/>
              </w:rPr>
            </w:pPr>
            <w:r>
              <w:rPr>
                <w:noProof/>
              </w:rPr>
              <w:t>Far right column represents beds outside of hospitals.</w:t>
            </w:r>
          </w:p>
          <w:p w:rsidR="001E7162" w:rsidRDefault="00EC2A75">
            <w:pPr>
              <w:pStyle w:val="TableSource"/>
              <w:rPr>
                <w:noProof/>
              </w:rPr>
            </w:pPr>
            <w:r>
              <w:rPr>
                <w:b/>
                <w:i/>
                <w:noProof/>
              </w:rPr>
              <w:t>Source:</w:t>
            </w:r>
            <w:r>
              <w:rPr>
                <w:noProof/>
              </w:rPr>
              <w:t xml:space="preserve"> Eurostat.</w:t>
            </w:r>
          </w:p>
        </w:tc>
      </w:tr>
      <w:tr w:rsidR="001E7162">
        <w:trPr>
          <w:cantSplit/>
          <w:trHeight w:val="20"/>
        </w:trPr>
        <w:tc>
          <w:tcPr>
            <w:tcW w:w="4110" w:type="dxa"/>
            <w:shd w:val="clear" w:color="auto" w:fill="auto"/>
            <w:tcMar>
              <w:bottom w:w="240" w:type="dxa"/>
            </w:tcMar>
          </w:tcPr>
          <w:p w:rsidR="001E7162" w:rsidRDefault="001E7162">
            <w:pPr>
              <w:pStyle w:val="SlimCell"/>
              <w:rPr>
                <w:noProof/>
              </w:rPr>
            </w:pPr>
          </w:p>
        </w:tc>
      </w:tr>
    </w:tbl>
    <w:p w:rsidR="001E7162" w:rsidRDefault="00EC2A75">
      <w:pPr>
        <w:rPr>
          <w:noProof/>
        </w:rPr>
      </w:pPr>
      <w:r>
        <w:rPr>
          <w:b/>
          <w:noProof/>
        </w:rPr>
        <w:t xml:space="preserve">Hospital expenses are under the increasing pressures from </w:t>
      </w:r>
      <w:r>
        <w:rPr>
          <w:b/>
          <w:noProof/>
        </w:rPr>
        <w:t>rising number of patients and lengthy treatments.</w:t>
      </w:r>
      <w:r>
        <w:rPr>
          <w:noProof/>
        </w:rPr>
        <w:t xml:space="preserve"> With an average of 9.4 days per discharged patient, for all diseases, Croatia ranks second only to Hungary (9.5). This, coupled with above-average bed occupancy rate (</w:t>
      </w:r>
      <w:r>
        <w:rPr>
          <w:rStyle w:val="FootnoteReference"/>
          <w:noProof/>
        </w:rPr>
        <w:footnoteReference w:id="48"/>
      </w:r>
      <w:r>
        <w:rPr>
          <w:noProof/>
        </w:rPr>
        <w:t>), generates high costs for hospitals. For discharges related to pregnancy, child birth and puerperium, the average number of days spent in hospitals exceeds that in any other EU Member State. Furthermore, in the period from 2011 to 2015, the number of in-</w:t>
      </w:r>
      <w:r>
        <w:rPr>
          <w:noProof/>
        </w:rPr>
        <w:t>patient discharges remained constant, while day cases increased by a third. The hospitals managing to handle such a sizeable increase in turnover without substantially increasing the number of patients admitted overnight is by all means a positive developm</w:t>
      </w:r>
      <w:r>
        <w:rPr>
          <w:noProof/>
        </w:rPr>
        <w:t xml:space="preserve">ent. However, the fast-rising number of day cases in hospitals possibly points to a healthcare system that does not fully utilise its primary care. </w:t>
      </w:r>
    </w:p>
    <w:p w:rsidR="001E7162" w:rsidRDefault="00EC2A75">
      <w:pPr>
        <w:rPr>
          <w:noProof/>
        </w:rPr>
      </w:pPr>
      <w:r>
        <w:rPr>
          <w:b/>
          <w:noProof/>
        </w:rPr>
        <w:t>The healthcare system remains underfinanced and indebted.</w:t>
      </w:r>
      <w:r>
        <w:rPr>
          <w:noProof/>
        </w:rPr>
        <w:t xml:space="preserve"> The regular sources of financing are insufficient</w:t>
      </w:r>
      <w:r>
        <w:rPr>
          <w:noProof/>
        </w:rPr>
        <w:t xml:space="preserve"> to cover all the expenses, which causes outstanding debt (arrears) to accumulate in the system. These are eventually settled by one-off transfers from the state budget, the latest of which amounted to 3 % and 9 % of the state insurance fund's revenues in </w:t>
      </w:r>
      <w:r>
        <w:rPr>
          <w:noProof/>
        </w:rPr>
        <w:t>2013 and 2014, respectively. The overall debt in mid-2017 stood at more than EUR 1.1 billion, half of which was outstanding debt. One of the reasons behind this is underpayment of health insurance premiums for the economically inactive population and of co</w:t>
      </w:r>
      <w:r>
        <w:rPr>
          <w:noProof/>
        </w:rPr>
        <w:t>ntributions collected from the special excises on tobacco. Hospital budgets, in particular, are strained by underfinancing, with the inadequately set spending limits still in force. The amount of arrears and overall debt levels currently generated in hospi</w:t>
      </w:r>
      <w:r>
        <w:rPr>
          <w:noProof/>
        </w:rPr>
        <w:t>tals threaten the sustainability of the healthcare system.</w:t>
      </w:r>
    </w:p>
    <w:p w:rsidR="001E7162" w:rsidRDefault="00EC2A75">
      <w:pPr>
        <w:rPr>
          <w:noProof/>
        </w:rPr>
      </w:pPr>
      <w:r>
        <w:rPr>
          <w:b/>
          <w:noProof/>
        </w:rPr>
        <w:t>The government has taken some measures aimed at rationalizing spending and increasing revenues.</w:t>
      </w:r>
      <w:r>
        <w:rPr>
          <w:noProof/>
        </w:rPr>
        <w:t xml:space="preserve"> The number of paying clients in supplementary insurance was increased by 15 000 during 2017. The long</w:t>
      </w:r>
      <w:r>
        <w:rPr>
          <w:noProof/>
        </w:rPr>
        <w:t>-planned functional integration of hospitals was initiated in July 2017 as six pairs of hospitals signed their integration agreements. The National Plan for Development of Hospitals 2017-2020, along with the measures regulating non-medical activities in ho</w:t>
      </w:r>
      <w:r>
        <w:rPr>
          <w:noProof/>
        </w:rPr>
        <w:t>spitals, is still pending.</w:t>
      </w:r>
    </w:p>
    <w:p w:rsidR="001E7162" w:rsidRDefault="001E7162">
      <w:pPr>
        <w:rPr>
          <w:noProof/>
        </w:rPr>
        <w:sectPr w:rsidR="001E7162">
          <w:headerReference w:type="even" r:id="rId184"/>
          <w:headerReference w:type="default" r:id="rId185"/>
          <w:footerReference w:type="even" r:id="rId186"/>
          <w:footerReference w:type="default" r:id="rId187"/>
          <w:headerReference w:type="first" r:id="rId188"/>
          <w:footerReference w:type="first" r:id="rId18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1E7162">
        <w:trPr>
          <w:jc w:val="center"/>
        </w:trPr>
        <w:tc>
          <w:tcPr>
            <w:tcW w:w="8721" w:type="dxa"/>
            <w:shd w:val="clear" w:color="auto" w:fill="F7FCFF"/>
          </w:tcPr>
          <w:p w:rsidR="001E7162" w:rsidRDefault="00EC2A75">
            <w:pPr>
              <w:pStyle w:val="BoxTitle"/>
              <w:pageBreakBefore/>
              <w:rPr>
                <w:b/>
                <w:noProof/>
              </w:rPr>
            </w:pPr>
            <w:bookmarkStart w:id="53" w:name="_Toc505082852"/>
            <w:r>
              <w:rPr>
                <w:i/>
                <w:noProof/>
              </w:rPr>
              <w:t xml:space="preserve">Box 4.5.1: </w:t>
            </w:r>
            <w:r>
              <w:rPr>
                <w:b/>
                <w:noProof/>
              </w:rPr>
              <w:t>Policy Highlight: Developing a Comprehensive Curricular Reform</w:t>
            </w:r>
            <w:bookmarkEnd w:id="53"/>
          </w:p>
          <w:p w:rsidR="001E7162" w:rsidRDefault="00EC2A75">
            <w:pPr>
              <w:pStyle w:val="BoxText"/>
              <w:rPr>
                <w:noProof/>
              </w:rPr>
            </w:pPr>
            <w:r>
              <w:rPr>
                <w:noProof/>
              </w:rPr>
              <w:t>In order to modernise and improve its education system, in 2014 Croatia adopted the National Strategy for Education, Science and Technology (Strategy). The Strategy's headline activity in primary and secondary education is a comprehensive curricular reform</w:t>
            </w:r>
            <w:r>
              <w:rPr>
                <w:noProof/>
              </w:rPr>
              <w:t>. Due to successive elections and changes in political leadership, the reform was delayed between 2016 and 2017. Work has since restarted and a pilot implementation across 70 schools is planned from autumn 2018. The curricular reform has pioneered a number</w:t>
            </w:r>
            <w:r>
              <w:rPr>
                <w:noProof/>
              </w:rPr>
              <w:t xml:space="preserve"> of best practices in policy development. </w:t>
            </w:r>
          </w:p>
          <w:p w:rsidR="001E7162" w:rsidRDefault="00EC2A75">
            <w:pPr>
              <w:pStyle w:val="BoxText"/>
              <w:rPr>
                <w:noProof/>
              </w:rPr>
            </w:pPr>
            <w:r>
              <w:rPr>
                <w:b/>
                <w:noProof/>
              </w:rPr>
              <w:t>The curricular reform benefitted from a strong policy foundation</w:t>
            </w:r>
            <w:r>
              <w:rPr>
                <w:noProof/>
              </w:rPr>
              <w:t xml:space="preserve">. Embedding the reform into the Strategy for Education, Science and Technology ensured clear goals and coherence with other wider policy objectives. </w:t>
            </w:r>
            <w:r>
              <w:rPr>
                <w:noProof/>
              </w:rPr>
              <w:t>Furthermore, the planning of the curricula reform was comprehensive from the start. It included different aspects ranging from the development of a dedicated methodology ahead of the drafting of specific curricula, to the adaptation of textbooks and the tr</w:t>
            </w:r>
            <w:r>
              <w:rPr>
                <w:noProof/>
              </w:rPr>
              <w:t xml:space="preserve">aining of teachers. Finally, the funding for the reform was appropriately devised and secured from both the national budget and the European Structural and Investment Funds. </w:t>
            </w:r>
          </w:p>
          <w:p w:rsidR="001E7162" w:rsidRDefault="00EC2A75">
            <w:pPr>
              <w:pStyle w:val="BoxText"/>
              <w:rPr>
                <w:noProof/>
              </w:rPr>
            </w:pPr>
            <w:r>
              <w:rPr>
                <w:b/>
                <w:noProof/>
              </w:rPr>
              <w:t>The reform used state of the art approaches in policy development.</w:t>
            </w:r>
            <w:r>
              <w:rPr>
                <w:noProof/>
              </w:rPr>
              <w:t xml:space="preserve"> The new curric</w:t>
            </w:r>
            <w:r>
              <w:rPr>
                <w:noProof/>
              </w:rPr>
              <w:t>ula are founded on the approach set out in the European Qualifications Framework (EQF), which defines the European guidelines for educational programmes. EQF-based curricula use the so-called 'learning outcomes' approach to describe what pupils are expecte</w:t>
            </w:r>
            <w:r>
              <w:rPr>
                <w:noProof/>
              </w:rPr>
              <w:t>d to attain when they leave a class. The reform incorporates also the development of skills for the citizens of the future, such as learning to learn, entrepreneurship, the use of ICT, personal and social development and citizenship education. Finally, the</w:t>
            </w:r>
            <w:r>
              <w:rPr>
                <w:noProof/>
              </w:rPr>
              <w:t xml:space="preserve"> draft curricula benefitted from an international peer review, partly supported by the European Commission's Structural Reform Support Service. Once finalised, the curricula will be first implemented through a pilot scheme, allowing the authorities to adju</w:t>
            </w:r>
            <w:r>
              <w:rPr>
                <w:noProof/>
              </w:rPr>
              <w:t xml:space="preserve">st the content where needed before the full rollout. </w:t>
            </w:r>
          </w:p>
          <w:p w:rsidR="001E7162" w:rsidRDefault="00EC2A75">
            <w:pPr>
              <w:pStyle w:val="BoxText"/>
              <w:rPr>
                <w:noProof/>
              </w:rPr>
            </w:pPr>
            <w:r>
              <w:rPr>
                <w:b/>
                <w:noProof/>
              </w:rPr>
              <w:t>The reform was developed following principles of inclusion and transparency.</w:t>
            </w:r>
            <w:r>
              <w:rPr>
                <w:noProof/>
              </w:rPr>
              <w:t xml:space="preserve"> The draft reform documents were developed by over 430 teachers seconded from the education system. They prepared more than 50</w:t>
            </w:r>
            <w:r>
              <w:rPr>
                <w:noProof/>
              </w:rPr>
              <w:t xml:space="preserve"> curricula proposals which were discussed by over 60 000 school heads, teachers, experts, institutional representatives and relevant NGOs over more than 700 events. Subsequently, a general public consultation was launched. Altogether, the expert and the pu</w:t>
            </w:r>
            <w:r>
              <w:rPr>
                <w:noProof/>
              </w:rPr>
              <w:t>blic consultations jointly attracted over 3 700 observations by more than 900 institutions and individual experts. The expert groups are expected to redraft the curricula on the basis of these inputs by early 2018, when the final drafts will be submitted t</w:t>
            </w:r>
            <w:r>
              <w:rPr>
                <w:noProof/>
              </w:rPr>
              <w:t>o the last public consultation. The transparency and inclusiveness of the process have ensured a wide base of support for the reform, including from the teacher unions, parents and the non-governmental sector.</w:t>
            </w:r>
          </w:p>
          <w:p w:rsidR="001E7162" w:rsidRDefault="00EC2A75">
            <w:pPr>
              <w:pStyle w:val="BoxText"/>
              <w:rPr>
                <w:noProof/>
              </w:rPr>
            </w:pPr>
            <w:r>
              <w:rPr>
                <w:noProof/>
              </w:rPr>
              <w:t>Based on the experience of other EU Member Sta</w:t>
            </w:r>
            <w:r>
              <w:rPr>
                <w:noProof/>
              </w:rPr>
              <w:t xml:space="preserve">tes, the implementation of the curricular reform is likely to have a positive impact on the quality of the Croatian education system. The reform is, however, at an early stage and a number of important steps still need to be taken, among which the need to </w:t>
            </w:r>
            <w:r>
              <w:rPr>
                <w:noProof/>
              </w:rPr>
              <w:t>ensure full implementation of the reform and its coherence with the other actions in the Strategy. Equally important will be adjusting the full rollout on the basis of the feedback received from the pilot phase, and providing the appropriate support to tea</w:t>
            </w:r>
            <w:r>
              <w:rPr>
                <w:noProof/>
              </w:rPr>
              <w:t xml:space="preserve">chers and schools. While the reform is yet to be implemented, the design, development and the consultation process that Croatia conducted so far could inform the reform efforts of other EU Member States in this policy area. </w:t>
            </w:r>
          </w:p>
        </w:tc>
      </w:tr>
    </w:tbl>
    <w:p w:rsidR="001E7162" w:rsidRDefault="001E7162">
      <w:pPr>
        <w:spacing w:after="0" w:line="20" w:lineRule="exact"/>
        <w:rPr>
          <w:noProof/>
          <w:sz w:val="2"/>
        </w:rPr>
        <w:sectPr w:rsidR="001E7162">
          <w:headerReference w:type="even" r:id="rId190"/>
          <w:headerReference w:type="default" r:id="rId191"/>
          <w:footerReference w:type="even" r:id="rId192"/>
          <w:footerReference w:type="default" r:id="rId193"/>
          <w:headerReference w:type="first" r:id="rId194"/>
          <w:footerReference w:type="first" r:id="rId195"/>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1E7162" w:rsidRDefault="001E7162">
      <w:pPr>
        <w:rPr>
          <w:noProof/>
        </w:rPr>
        <w:sectPr w:rsidR="001E7162">
          <w:headerReference w:type="even" r:id="rId196"/>
          <w:headerReference w:type="default" r:id="rId197"/>
          <w:footerReference w:type="even" r:id="rId198"/>
          <w:footerReference w:type="default" r:id="rId199"/>
          <w:headerReference w:type="first" r:id="rId200"/>
          <w:footerReference w:type="first" r:id="rId201"/>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1E7162" w:rsidRDefault="00EC2A75">
      <w:pPr>
        <w:pStyle w:val="SectionTitleFramedtwolines"/>
        <w:framePr w:wrap="notBeside"/>
        <w:rPr>
          <w:noProof/>
        </w:rPr>
      </w:pPr>
      <w:bookmarkStart w:id="54" w:name="_Toc507359626"/>
      <w:r>
        <w:rPr>
          <w:noProof/>
        </w:rPr>
        <w:t>A</w:t>
      </w:r>
      <w:r>
        <w:rPr>
          <w:noProof/>
        </w:rPr>
        <w:t>nnex A</w:t>
      </w:r>
      <w:bookmarkEnd w:id="54"/>
      <w:r>
        <w:rPr>
          <w:noProof/>
        </w:rPr>
        <w:t xml:space="preserve"> </w:t>
      </w:r>
    </w:p>
    <w:p w:rsidR="001E7162" w:rsidRDefault="00EC2A75">
      <w:pPr>
        <w:pStyle w:val="SectionTitleFramedtwolines"/>
        <w:framePr w:wrap="notBeside"/>
        <w:rPr>
          <w:caps w:val="0"/>
          <w:noProof/>
        </w:rPr>
      </w:pPr>
      <w:bookmarkStart w:id="55" w:name="_Toc507359627"/>
      <w:r>
        <w:rPr>
          <w:caps w:val="0"/>
          <w:noProof/>
        </w:rPr>
        <w:t>Overview table</w:t>
      </w:r>
      <w:bookmarkEnd w:id="55"/>
    </w:p>
    <w:tbl>
      <w:tblPr>
        <w:tblW w:w="8640" w:type="dxa"/>
        <w:tblCellSpacing w:w="0" w:type="dxa"/>
        <w:tblBorders>
          <w:top w:val="dotted" w:sz="6" w:space="0" w:color="auto"/>
          <w:left w:val="dotted" w:sz="6" w:space="0" w:color="auto"/>
          <w:bottom w:val="dotted" w:sz="6" w:space="0" w:color="auto"/>
          <w:right w:val="dotted" w:sz="6" w:space="0" w:color="auto"/>
        </w:tblBorders>
        <w:tblLook w:val="04A0" w:firstRow="1" w:lastRow="0" w:firstColumn="1" w:lastColumn="0" w:noHBand="0" w:noVBand="1"/>
      </w:tblPr>
      <w:tblGrid>
        <w:gridCol w:w="3286"/>
        <w:gridCol w:w="5354"/>
      </w:tblGrid>
      <w:tr w:rsidR="001E7162">
        <w:trPr>
          <w:cantSplit/>
          <w:tblCellSpacing w:w="0" w:type="dxa"/>
        </w:trPr>
        <w:tc>
          <w:tcPr>
            <w:tcW w:w="3286" w:type="dxa"/>
            <w:tcBorders>
              <w:top w:val="single" w:sz="6" w:space="0" w:color="auto"/>
              <w:left w:val="single" w:sz="6" w:space="0" w:color="auto"/>
              <w:bottom w:val="single" w:sz="6" w:space="0" w:color="auto"/>
              <w:right w:val="nil"/>
            </w:tcBorders>
            <w:hideMark/>
          </w:tcPr>
          <w:p w:rsidR="001E7162" w:rsidRDefault="00EC2A75">
            <w:pPr>
              <w:rPr>
                <w:b/>
                <w:noProof/>
              </w:rPr>
            </w:pPr>
            <w:r>
              <w:rPr>
                <w:b/>
                <w:noProof/>
              </w:rPr>
              <w:t xml:space="preserve">Commitments </w:t>
            </w:r>
          </w:p>
        </w:tc>
        <w:tc>
          <w:tcPr>
            <w:tcW w:w="5354" w:type="dxa"/>
            <w:tcBorders>
              <w:top w:val="single" w:sz="6" w:space="0" w:color="000000"/>
              <w:left w:val="outset" w:sz="6" w:space="0" w:color="auto"/>
              <w:bottom w:val="single" w:sz="6" w:space="0" w:color="000000"/>
              <w:right w:val="single" w:sz="6" w:space="0" w:color="000000"/>
            </w:tcBorders>
            <w:hideMark/>
          </w:tcPr>
          <w:p w:rsidR="001E7162" w:rsidRDefault="00EC2A75">
            <w:pPr>
              <w:rPr>
                <w:b/>
                <w:noProof/>
              </w:rPr>
            </w:pPr>
            <w:r>
              <w:rPr>
                <w:b/>
                <w:noProof/>
              </w:rPr>
              <w:t>Summary assessment (</w:t>
            </w:r>
            <w:r>
              <w:rPr>
                <w:rStyle w:val="FootnoteReference"/>
                <w:noProof/>
              </w:rPr>
              <w:footnoteReference w:id="49"/>
            </w:r>
            <w:r>
              <w:rPr>
                <w:b/>
                <w:noProof/>
              </w:rPr>
              <w:t>)</w:t>
            </w:r>
          </w:p>
        </w:tc>
      </w:tr>
      <w:tr w:rsidR="001E7162">
        <w:trPr>
          <w:cantSplit/>
          <w:tblCellSpacing w:w="0" w:type="dxa"/>
        </w:trPr>
        <w:tc>
          <w:tcPr>
            <w:tcW w:w="8640" w:type="dxa"/>
            <w:gridSpan w:val="2"/>
            <w:tcBorders>
              <w:top w:val="outset" w:sz="6" w:space="0" w:color="auto"/>
              <w:left w:val="single" w:sz="6" w:space="0" w:color="000000"/>
              <w:bottom w:val="single" w:sz="6" w:space="0" w:color="000000"/>
              <w:right w:val="single" w:sz="6" w:space="0" w:color="000000"/>
            </w:tcBorders>
            <w:hideMark/>
          </w:tcPr>
          <w:p w:rsidR="001E7162" w:rsidRDefault="00EC2A75">
            <w:pPr>
              <w:pStyle w:val="Heading"/>
              <w:rPr>
                <w:noProof/>
              </w:rPr>
            </w:pPr>
            <w:r>
              <w:rPr>
                <w:noProof/>
              </w:rPr>
              <w:t xml:space="preserve">2017 Country-specific recommendations (CSRs) </w:t>
            </w:r>
          </w:p>
        </w:tc>
      </w:tr>
      <w:tr w:rsidR="001E7162">
        <w:trPr>
          <w:cantSplit/>
          <w:tblCellSpacing w:w="0" w:type="dxa"/>
        </w:trPr>
        <w:tc>
          <w:tcPr>
            <w:tcW w:w="3286" w:type="dxa"/>
            <w:tcBorders>
              <w:top w:val="nil"/>
              <w:left w:val="single" w:sz="6" w:space="0" w:color="auto"/>
              <w:bottom w:val="dashed" w:sz="6" w:space="0" w:color="auto"/>
              <w:right w:val="single" w:sz="6" w:space="0" w:color="auto"/>
            </w:tcBorders>
            <w:hideMark/>
          </w:tcPr>
          <w:p w:rsidR="001E7162" w:rsidRDefault="00EC2A75">
            <w:pPr>
              <w:rPr>
                <w:noProof/>
              </w:rPr>
            </w:pPr>
            <w:r>
              <w:rPr>
                <w:b/>
                <w:noProof/>
              </w:rPr>
              <w:t>CSR 1:</w:t>
            </w:r>
            <w:r>
              <w:rPr>
                <w:noProof/>
              </w:rPr>
              <w:t xml:space="preserve"> Pursue its fiscal policy in line with the requirements of the preventive arm of the Stability and Growth Pact, which entails remaining at its medium-term budgetary objective in 2018. By September 2017, reinforce budgetary planning and the multiannual budg</w:t>
            </w:r>
            <w:r>
              <w:rPr>
                <w:noProof/>
              </w:rPr>
              <w:t>etary framework, including by strengthening the independence and mandate of the Fiscal Policy Commission. Take the necessary steps for the introduction of the value-based property tax. Reinforce the framework for public debt management, including by ensuri</w:t>
            </w:r>
            <w:r>
              <w:rPr>
                <w:noProof/>
              </w:rPr>
              <w:t xml:space="preserve">ng annual updates of the debt management strategy. </w:t>
            </w:r>
          </w:p>
        </w:tc>
        <w:tc>
          <w:tcPr>
            <w:tcW w:w="0" w:type="auto"/>
            <w:tcBorders>
              <w:top w:val="nil"/>
              <w:left w:val="nil"/>
              <w:bottom w:val="dashed" w:sz="6" w:space="0" w:color="auto"/>
              <w:right w:val="single" w:sz="6" w:space="0" w:color="auto"/>
            </w:tcBorders>
            <w:hideMark/>
          </w:tcPr>
          <w:p w:rsidR="001E7162" w:rsidRDefault="00EC2A75">
            <w:pPr>
              <w:rPr>
                <w:noProof/>
              </w:rPr>
            </w:pPr>
            <w:r>
              <w:rPr>
                <w:noProof/>
              </w:rPr>
              <w:t xml:space="preserve">Croatia has made </w:t>
            </w:r>
            <w:r>
              <w:rPr>
                <w:b/>
                <w:noProof/>
              </w:rPr>
              <w:t xml:space="preserve">limited progress </w:t>
            </w:r>
            <w:r>
              <w:rPr>
                <w:noProof/>
              </w:rPr>
              <w:t xml:space="preserve">in addressing CSR 1 </w:t>
            </w:r>
          </w:p>
          <w:p w:rsidR="001E7162" w:rsidRDefault="00EC2A75">
            <w:pPr>
              <w:rPr>
                <w:noProof/>
              </w:rPr>
            </w:pPr>
            <w:r>
              <w:rPr>
                <w:noProof/>
              </w:rPr>
              <w:t>This overall assessment of CSR1 does not include an assessment of compliance with the Stability and Growth Pact.</w:t>
            </w:r>
          </w:p>
          <w:p w:rsidR="001E7162" w:rsidRDefault="001E7162">
            <w:pPr>
              <w:rPr>
                <w:noProof/>
              </w:rPr>
            </w:pP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 xml:space="preserve">Pursue its fiscal policy in line with the requirements of the preventive arm of the Stability and Growth Pact, which entails remaining at its medium-term budgetary objective in 2018.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noProof/>
              </w:rPr>
              <w:t>The compliance assessment with the Stability and Growth Pact will be inc</w:t>
            </w:r>
            <w:r>
              <w:rPr>
                <w:noProof/>
              </w:rPr>
              <w:t>luded in spring when final data for 2017 will be available.</w:t>
            </w: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 xml:space="preserve">By September 2017, reinforce budgetary planning and the multiannual budgetary framework, including by strengthening the independence and mandate of the Fiscal Policy Commission.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b/>
                <w:noProof/>
              </w:rPr>
              <w:t>No Progress</w:t>
            </w:r>
            <w:r>
              <w:rPr>
                <w:noProof/>
              </w:rPr>
              <w:t xml:space="preserve"> in reinforcing the budgetary framework. The new Fiscal Responsibility and Budget Acts, aimed at addressing many of the outstanding issues, have still not been adopted.</w:t>
            </w: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 xml:space="preserve">Take the necessary steps for the introduction of the value-based property tax.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b/>
                <w:noProof/>
              </w:rPr>
              <w:t>No Pro</w:t>
            </w:r>
            <w:r>
              <w:rPr>
                <w:b/>
                <w:noProof/>
              </w:rPr>
              <w:t>gress</w:t>
            </w:r>
            <w:r>
              <w:rPr>
                <w:noProof/>
              </w:rPr>
              <w:t xml:space="preserve"> in introducing the property tax. The already legislated introduction of the property tax, scheduled for January 2018 (as part of the tax reform adopted in 2016), was postponed without a timeframe for adoption.</w:t>
            </w: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Reinforce the framework for public debt</w:t>
            </w:r>
            <w:r>
              <w:rPr>
                <w:noProof/>
              </w:rPr>
              <w:t xml:space="preserve"> management, including by ensuring annual updates of the debt management strategy.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b/>
                <w:noProof/>
              </w:rPr>
              <w:t xml:space="preserve">Some Progress </w:t>
            </w:r>
            <w:r>
              <w:rPr>
                <w:noProof/>
              </w:rPr>
              <w:t>in reinforcing the framework for public debt management. A sizable share of central government debt relating to SOEs (previously in the form of loans) was ref</w:t>
            </w:r>
            <w:r>
              <w:rPr>
                <w:noProof/>
              </w:rPr>
              <w:t>inanced by a bond issuance and the public debt management body was promoted to the status of a Directorate within the Ministry of Finance. Both developments should improve control over debt management.</w:t>
            </w:r>
          </w:p>
        </w:tc>
      </w:tr>
      <w:tr w:rsidR="001E7162">
        <w:trPr>
          <w:cantSplit/>
          <w:tblCellSpacing w:w="0" w:type="dxa"/>
        </w:trPr>
        <w:tc>
          <w:tcPr>
            <w:tcW w:w="3286" w:type="dxa"/>
            <w:tcBorders>
              <w:top w:val="nil"/>
              <w:left w:val="single" w:sz="6" w:space="0" w:color="auto"/>
              <w:bottom w:val="dashed" w:sz="6" w:space="0" w:color="auto"/>
              <w:right w:val="single" w:sz="6" w:space="0" w:color="auto"/>
            </w:tcBorders>
            <w:hideMark/>
          </w:tcPr>
          <w:p w:rsidR="001E7162" w:rsidRDefault="00EC2A75">
            <w:pPr>
              <w:rPr>
                <w:noProof/>
              </w:rPr>
            </w:pPr>
            <w:r>
              <w:rPr>
                <w:b/>
                <w:noProof/>
              </w:rPr>
              <w:t>CSR 2:</w:t>
            </w:r>
            <w:r>
              <w:rPr>
                <w:noProof/>
              </w:rPr>
              <w:t xml:space="preserve"> Discourage early retirement, accelerate the tr</w:t>
            </w:r>
            <w:r>
              <w:rPr>
                <w:noProof/>
              </w:rPr>
              <w:t xml:space="preserve">ansition to the higher statutory retirement age and align pension provisions for specific categories with the rules of the general scheme. Improve coordination and transparency of social benefits. </w:t>
            </w:r>
          </w:p>
        </w:tc>
        <w:tc>
          <w:tcPr>
            <w:tcW w:w="0" w:type="auto"/>
            <w:tcBorders>
              <w:top w:val="nil"/>
              <w:left w:val="nil"/>
              <w:bottom w:val="dashed" w:sz="6" w:space="0" w:color="auto"/>
              <w:right w:val="single" w:sz="6" w:space="0" w:color="auto"/>
            </w:tcBorders>
            <w:hideMark/>
          </w:tcPr>
          <w:p w:rsidR="001E7162" w:rsidRDefault="00EC2A75">
            <w:pPr>
              <w:rPr>
                <w:noProof/>
              </w:rPr>
            </w:pPr>
            <w:r>
              <w:rPr>
                <w:noProof/>
              </w:rPr>
              <w:t xml:space="preserve">Croatia has made </w:t>
            </w:r>
            <w:r>
              <w:rPr>
                <w:b/>
                <w:noProof/>
              </w:rPr>
              <w:t>Limited Progress</w:t>
            </w:r>
            <w:r>
              <w:rPr>
                <w:noProof/>
              </w:rPr>
              <w:t xml:space="preserve"> in addressing CSR 2 </w:t>
            </w: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 xml:space="preserve">Discourage early retirement, accelerate the transition to the higher statutory retirement age and align pension provisions for specific categories with the rules of the general scheme.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b/>
                <w:noProof/>
              </w:rPr>
              <w:t>No Progress</w:t>
            </w:r>
            <w:r>
              <w:rPr>
                <w:noProof/>
              </w:rPr>
              <w:t xml:space="preserve"> in reforming the pension system. Reform measures planned f</w:t>
            </w:r>
            <w:r>
              <w:rPr>
                <w:noProof/>
              </w:rPr>
              <w:t xml:space="preserve">or December 2017 are being further postponed to mid-2018. These include the streamlining of the 100+ arduous or hazardous professions benefitting from more generous pension provisions, measures aimed at reducing access to early retirement, the increase of </w:t>
            </w:r>
            <w:r>
              <w:rPr>
                <w:noProof/>
              </w:rPr>
              <w:t>the statutory retirement age and the acceleration in the equalisation of retirement age for women and men.</w:t>
            </w: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 xml:space="preserve">Improve coordination and transparency of social benefits.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b/>
                <w:noProof/>
              </w:rPr>
              <w:t>Limited Progress</w:t>
            </w:r>
            <w:r>
              <w:rPr>
                <w:noProof/>
              </w:rPr>
              <w:t xml:space="preserve"> in improving the social benefits system. The ambitious and long-planned establishment of the one-stop-shop as a central point for the administration and provision of social benefits and services has been abandoned. Similarly, the previously announced harm</w:t>
            </w:r>
            <w:r>
              <w:rPr>
                <w:noProof/>
              </w:rPr>
              <w:t>onisation of eligibility criteria for social benefits has been suspended. The focus has shifted to harmonizing definitions and classifications of social protection benefits and improving beneficiaries' records as well as data exchange between the central a</w:t>
            </w:r>
            <w:r>
              <w:rPr>
                <w:noProof/>
              </w:rPr>
              <w:t>nd local government level.</w:t>
            </w:r>
          </w:p>
        </w:tc>
      </w:tr>
      <w:tr w:rsidR="001E7162">
        <w:trPr>
          <w:cantSplit/>
          <w:tblCellSpacing w:w="0" w:type="dxa"/>
        </w:trPr>
        <w:tc>
          <w:tcPr>
            <w:tcW w:w="3286" w:type="dxa"/>
            <w:tcBorders>
              <w:top w:val="nil"/>
              <w:left w:val="single" w:sz="6" w:space="0" w:color="auto"/>
              <w:bottom w:val="dashed" w:sz="6" w:space="0" w:color="auto"/>
              <w:right w:val="single" w:sz="6" w:space="0" w:color="auto"/>
            </w:tcBorders>
            <w:hideMark/>
          </w:tcPr>
          <w:p w:rsidR="001E7162" w:rsidRDefault="00EC2A75">
            <w:pPr>
              <w:rPr>
                <w:noProof/>
              </w:rPr>
            </w:pPr>
            <w:r>
              <w:rPr>
                <w:b/>
                <w:noProof/>
              </w:rPr>
              <w:t>CSR 3:</w:t>
            </w:r>
            <w:r>
              <w:rPr>
                <w:noProof/>
              </w:rPr>
              <w:t xml:space="preserve"> Improve adult education, in particular for older workers, the low-skilled and the long-term unemployed. Accelerate the reform of the education system. </w:t>
            </w:r>
          </w:p>
        </w:tc>
        <w:tc>
          <w:tcPr>
            <w:tcW w:w="0" w:type="auto"/>
            <w:tcBorders>
              <w:top w:val="nil"/>
              <w:left w:val="nil"/>
              <w:bottom w:val="dashed" w:sz="6" w:space="0" w:color="auto"/>
              <w:right w:val="single" w:sz="6" w:space="0" w:color="auto"/>
            </w:tcBorders>
            <w:hideMark/>
          </w:tcPr>
          <w:p w:rsidR="001E7162" w:rsidRDefault="00EC2A75">
            <w:pPr>
              <w:rPr>
                <w:noProof/>
              </w:rPr>
            </w:pPr>
            <w:r>
              <w:rPr>
                <w:noProof/>
              </w:rPr>
              <w:t xml:space="preserve">Croatia has made </w:t>
            </w:r>
            <w:r>
              <w:rPr>
                <w:b/>
                <w:noProof/>
              </w:rPr>
              <w:t>Limited Progress</w:t>
            </w:r>
            <w:r>
              <w:rPr>
                <w:noProof/>
              </w:rPr>
              <w:t xml:space="preserve"> in addressing CSR 3 </w:t>
            </w: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 xml:space="preserve">Improve adult education, in particular for older workers, the low-skilled and the long-term unemployed.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b/>
                <w:noProof/>
              </w:rPr>
              <w:t>Limited Progress</w:t>
            </w:r>
            <w:r>
              <w:rPr>
                <w:noProof/>
              </w:rPr>
              <w:t xml:space="preserve"> in improving adult education. Coverage of Active Labour Market Policies (ALMPs) remains very low. In February 2017 the Croatian Employ</w:t>
            </w:r>
            <w:r>
              <w:rPr>
                <w:noProof/>
              </w:rPr>
              <w:t>ment Service (CES) adopted a new package of ALMP with focus on education. Concerns however remain with regard to the capacity of the CES to adapt its offer of employment/education measures to the needs of its beneficiaries. The authorities' efforts to incr</w:t>
            </w:r>
            <w:r>
              <w:rPr>
                <w:noProof/>
              </w:rPr>
              <w:t xml:space="preserve">ease participation in adult learning do not seem to be well coordinated with the provision of ALMPs by the CES (including reskilling and upskilling measures). The adoption of the new Adult Education Act and the Law on Vocational Education and Training has </w:t>
            </w:r>
            <w:r>
              <w:rPr>
                <w:noProof/>
              </w:rPr>
              <w:t>been further postponed.</w:t>
            </w: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 xml:space="preserve">Accelerate the reform of the education system.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b/>
                <w:noProof/>
              </w:rPr>
              <w:t>Limited Progress</w:t>
            </w:r>
            <w:r>
              <w:rPr>
                <w:noProof/>
              </w:rPr>
              <w:t xml:space="preserve"> in reforming the education system. The implementation of the reform previously suffered from numerous delays. Some activities were relaunched in 2017, and a pilot project to implement the curricular reform is due to start in September 2018. The necessary </w:t>
            </w:r>
            <w:r>
              <w:rPr>
                <w:noProof/>
              </w:rPr>
              <w:t>legislation amendments, including on the General Education Act, have not yet been discussed in Parliament. The adoption of a new bylaw on non-formal and informal learning is still pending.</w:t>
            </w:r>
          </w:p>
        </w:tc>
      </w:tr>
      <w:tr w:rsidR="001E7162">
        <w:trPr>
          <w:cantSplit/>
          <w:tblCellSpacing w:w="0" w:type="dxa"/>
        </w:trPr>
        <w:tc>
          <w:tcPr>
            <w:tcW w:w="3286" w:type="dxa"/>
            <w:tcBorders>
              <w:top w:val="nil"/>
              <w:left w:val="single" w:sz="6" w:space="0" w:color="auto"/>
              <w:bottom w:val="dashed" w:sz="6" w:space="0" w:color="auto"/>
              <w:right w:val="single" w:sz="6" w:space="0" w:color="auto"/>
            </w:tcBorders>
            <w:hideMark/>
          </w:tcPr>
          <w:p w:rsidR="001E7162" w:rsidRDefault="00EC2A75">
            <w:pPr>
              <w:rPr>
                <w:noProof/>
              </w:rPr>
            </w:pPr>
            <w:r>
              <w:rPr>
                <w:b/>
                <w:noProof/>
              </w:rPr>
              <w:t xml:space="preserve">CSR 4: </w:t>
            </w:r>
            <w:r>
              <w:rPr>
                <w:noProof/>
              </w:rPr>
              <w:t>Reduce the fragmentation and improve the functional distribution of competencies in public administration, while enhancing the efficiency and reducing territorial disparities in the delivery of public services. In consultation with social partners, harmoni</w:t>
            </w:r>
            <w:r>
              <w:rPr>
                <w:noProof/>
              </w:rPr>
              <w:t xml:space="preserve">se the wage-setting frameworks across the public administration and public services. </w:t>
            </w:r>
          </w:p>
        </w:tc>
        <w:tc>
          <w:tcPr>
            <w:tcW w:w="0" w:type="auto"/>
            <w:tcBorders>
              <w:top w:val="nil"/>
              <w:left w:val="nil"/>
              <w:bottom w:val="dashed" w:sz="6" w:space="0" w:color="auto"/>
              <w:right w:val="single" w:sz="6" w:space="0" w:color="auto"/>
            </w:tcBorders>
            <w:hideMark/>
          </w:tcPr>
          <w:p w:rsidR="001E7162" w:rsidRDefault="00EC2A75">
            <w:pPr>
              <w:rPr>
                <w:noProof/>
              </w:rPr>
            </w:pPr>
            <w:r>
              <w:rPr>
                <w:noProof/>
              </w:rPr>
              <w:t xml:space="preserve">Croatia has made </w:t>
            </w:r>
            <w:r>
              <w:rPr>
                <w:b/>
                <w:noProof/>
              </w:rPr>
              <w:t>No Progress</w:t>
            </w:r>
            <w:r>
              <w:rPr>
                <w:noProof/>
              </w:rPr>
              <w:t xml:space="preserve"> in addressing CSR 4 </w:t>
            </w: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 xml:space="preserve">Reduce the fragmentation and improve the functional distribution of competencies in public administration, while enhancing the efficiency and reducing territorial disparities in the delivery of public services.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b/>
                <w:noProof/>
              </w:rPr>
              <w:t>No Progress</w:t>
            </w:r>
            <w:r>
              <w:rPr>
                <w:noProof/>
              </w:rPr>
              <w:t xml:space="preserve"> in the public administration ref</w:t>
            </w:r>
            <w:r>
              <w:rPr>
                <w:noProof/>
              </w:rPr>
              <w:t>orm. The planned reduction of the branch-offices of the central administration (e.g. ministries) operating at local level has not yet started. Previous plans to rationalise the cumbersome state agencies system have been suspended. The authorities plan to e</w:t>
            </w:r>
            <w:r>
              <w:rPr>
                <w:noProof/>
              </w:rPr>
              <w:t>stablish first a new legal framework for states agencies. The government proposed amendments to the law on the financing of local government units, aims at simplifying the complex system of transfers and financing. The fragmentation and functional distribu</w:t>
            </w:r>
            <w:r>
              <w:rPr>
                <w:noProof/>
              </w:rPr>
              <w:t>tion of competencies of sub-national units have not been addressed.</w:t>
            </w: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 xml:space="preserve">In consultation with social partners, harmonise the wage-setting frameworks across the public administration and public services.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b/>
                <w:noProof/>
              </w:rPr>
              <w:t>No Progress</w:t>
            </w:r>
            <w:r>
              <w:rPr>
                <w:noProof/>
              </w:rPr>
              <w:t xml:space="preserve"> in harmonising the wage-setting frameworks across the public administration and public services. The new legislation on public sector wages has been postponed several times. The aim of the law is to achieve greater harmonisation of wages across the public</w:t>
            </w:r>
            <w:r>
              <w:rPr>
                <w:noProof/>
              </w:rPr>
              <w:t xml:space="preserve"> administration through the introduction of common wage grids and job complexity coefficients, based on more consistent job descriptions and competences frameworks.</w:t>
            </w:r>
          </w:p>
        </w:tc>
      </w:tr>
      <w:tr w:rsidR="001E7162">
        <w:trPr>
          <w:cantSplit/>
          <w:tblCellSpacing w:w="0" w:type="dxa"/>
        </w:trPr>
        <w:tc>
          <w:tcPr>
            <w:tcW w:w="3286" w:type="dxa"/>
            <w:tcBorders>
              <w:top w:val="nil"/>
              <w:left w:val="single" w:sz="6" w:space="0" w:color="auto"/>
              <w:bottom w:val="dashed" w:sz="6" w:space="0" w:color="auto"/>
              <w:right w:val="single" w:sz="6" w:space="0" w:color="auto"/>
            </w:tcBorders>
            <w:hideMark/>
          </w:tcPr>
          <w:p w:rsidR="001E7162" w:rsidRDefault="00EC2A75">
            <w:pPr>
              <w:rPr>
                <w:noProof/>
              </w:rPr>
            </w:pPr>
            <w:r>
              <w:rPr>
                <w:b/>
                <w:noProof/>
              </w:rPr>
              <w:t>CSR 5:</w:t>
            </w:r>
            <w:r>
              <w:rPr>
                <w:noProof/>
              </w:rPr>
              <w:t xml:space="preserve"> Speed up the divestment of state-owned enterprises and other state assets, and impr</w:t>
            </w:r>
            <w:r>
              <w:rPr>
                <w:noProof/>
              </w:rPr>
              <w:t>ove corporate governance in the state-owned enterprise sector. Significantly reduce the burden on businesses stemming from costs of regulation and from administrative burdens. Remove regulatory restrictions hampering access to and the practice of regulated</w:t>
            </w:r>
            <w:r>
              <w:rPr>
                <w:noProof/>
              </w:rPr>
              <w:t xml:space="preserve"> professions and professional and business services. Improve the quality and efficiency of the justice system, in particular by reducing the length of civil and commercial cases. </w:t>
            </w:r>
          </w:p>
        </w:tc>
        <w:tc>
          <w:tcPr>
            <w:tcW w:w="0" w:type="auto"/>
            <w:tcBorders>
              <w:top w:val="nil"/>
              <w:left w:val="nil"/>
              <w:bottom w:val="dashed" w:sz="6" w:space="0" w:color="auto"/>
              <w:right w:val="single" w:sz="6" w:space="0" w:color="auto"/>
            </w:tcBorders>
            <w:hideMark/>
          </w:tcPr>
          <w:p w:rsidR="001E7162" w:rsidRDefault="00EC2A75">
            <w:pPr>
              <w:rPr>
                <w:noProof/>
              </w:rPr>
            </w:pPr>
            <w:r>
              <w:rPr>
                <w:noProof/>
              </w:rPr>
              <w:t xml:space="preserve">Croatia has made </w:t>
            </w:r>
            <w:r>
              <w:rPr>
                <w:b/>
                <w:noProof/>
              </w:rPr>
              <w:t>Limited Progress</w:t>
            </w:r>
            <w:r>
              <w:rPr>
                <w:noProof/>
              </w:rPr>
              <w:t xml:space="preserve"> in addressing CSR 5 </w:t>
            </w: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 xml:space="preserve">Speed up the divestment of state-owned enterprises and other state assets, and improve corporate governance in the state-owned enterprise sector.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b/>
                <w:noProof/>
              </w:rPr>
              <w:t>Limited Progress</w:t>
            </w:r>
            <w:r>
              <w:rPr>
                <w:noProof/>
              </w:rPr>
              <w:t xml:space="preserve"> in SOEs divestment and improving corporate governance. The new Ministry has advanced efforts</w:t>
            </w:r>
            <w:r>
              <w:rPr>
                <w:noProof/>
              </w:rPr>
              <w:t xml:space="preserve"> in sales of minority shares in state-owned companies and further reduced the list of companies of strategic and special interest. However, there are considerable delays in the legislation aimed at improving the management of state assets and corporate gov</w:t>
            </w:r>
            <w:r>
              <w:rPr>
                <w:noProof/>
              </w:rPr>
              <w:t>ernance in SOEs.</w:t>
            </w: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 xml:space="preserve">Significantly reduce the burden on businesses stemming from costs of regulation and from administrative burdens.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b/>
                <w:noProof/>
              </w:rPr>
              <w:t>Limited Progress</w:t>
            </w:r>
            <w:r>
              <w:rPr>
                <w:noProof/>
              </w:rPr>
              <w:t xml:space="preserve"> in reducing the burden on business. The measuring and subsequent reduction of administrative burden has continued and two parafiscal charges have been reduced.</w:t>
            </w: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Remove regulatory restrictions hampering access to and the practice of regulated professions a</w:t>
            </w:r>
            <w:r>
              <w:rPr>
                <w:noProof/>
              </w:rPr>
              <w:t xml:space="preserve">nd professional and business services.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b/>
                <w:noProof/>
              </w:rPr>
              <w:t>Limited Progress</w:t>
            </w:r>
            <w:r>
              <w:rPr>
                <w:noProof/>
              </w:rPr>
              <w:t xml:space="preserve"> in liberalising regulated professions. Measures in this area were limited in scope and the restrictions most detrimental to the functioning of the economy remain in place.</w:t>
            </w:r>
          </w:p>
        </w:tc>
      </w:tr>
      <w:tr w:rsidR="001E7162">
        <w:trPr>
          <w:cantSplit/>
          <w:tblCellSpacing w:w="0" w:type="dxa"/>
        </w:trPr>
        <w:tc>
          <w:tcPr>
            <w:tcW w:w="0" w:type="auto"/>
            <w:tcBorders>
              <w:top w:val="outset" w:sz="6" w:space="0" w:color="auto"/>
              <w:left w:val="outset" w:sz="6" w:space="0" w:color="auto"/>
              <w:bottom w:val="dashed" w:sz="6" w:space="0" w:color="000000"/>
              <w:right w:val="single" w:sz="6" w:space="0" w:color="000000"/>
            </w:tcBorders>
            <w:hideMark/>
          </w:tcPr>
          <w:p w:rsidR="001E7162" w:rsidRDefault="00EC2A75">
            <w:pPr>
              <w:pStyle w:val="ListBullet"/>
              <w:numPr>
                <w:ilvl w:val="0"/>
                <w:numId w:val="1"/>
              </w:numPr>
              <w:rPr>
                <w:noProof/>
              </w:rPr>
            </w:pPr>
            <w:r>
              <w:rPr>
                <w:noProof/>
              </w:rPr>
              <w:t>Improve the quality and ef</w:t>
            </w:r>
            <w:r>
              <w:rPr>
                <w:noProof/>
              </w:rPr>
              <w:t xml:space="preserve">ficiency of the justice system, in particular by reducing the length of civil and commercial cases. </w:t>
            </w:r>
          </w:p>
        </w:tc>
        <w:tc>
          <w:tcPr>
            <w:tcW w:w="0" w:type="auto"/>
            <w:tcBorders>
              <w:top w:val="outset" w:sz="6" w:space="0" w:color="auto"/>
              <w:left w:val="outset" w:sz="6" w:space="0" w:color="auto"/>
              <w:bottom w:val="dashed" w:sz="6" w:space="0" w:color="000000"/>
              <w:right w:val="outset" w:sz="6" w:space="0" w:color="auto"/>
            </w:tcBorders>
            <w:hideMark/>
          </w:tcPr>
          <w:p w:rsidR="001E7162" w:rsidRDefault="00EC2A75">
            <w:pPr>
              <w:pStyle w:val="ListBullet"/>
              <w:numPr>
                <w:ilvl w:val="0"/>
                <w:numId w:val="1"/>
              </w:numPr>
              <w:rPr>
                <w:noProof/>
              </w:rPr>
            </w:pPr>
            <w:r>
              <w:rPr>
                <w:b/>
                <w:noProof/>
              </w:rPr>
              <w:t>Limited Progress</w:t>
            </w:r>
            <w:r>
              <w:rPr>
                <w:noProof/>
              </w:rPr>
              <w:t xml:space="preserve"> in improving the quality and efficiency of the justice system. Over the past year, the decrease in backlogs was driven mainly by reduced i</w:t>
            </w:r>
            <w:r>
              <w:rPr>
                <w:noProof/>
              </w:rPr>
              <w:t>nflows, whereas proceedings remained long. Efficiency enhancing and modernisation measures in the system are progressing slowly.</w:t>
            </w:r>
          </w:p>
        </w:tc>
      </w:tr>
      <w:tr w:rsidR="001E7162">
        <w:trPr>
          <w:cantSplit/>
          <w:tblCellSpacing w:w="0" w:type="dxa"/>
        </w:trPr>
        <w:tc>
          <w:tcPr>
            <w:tcW w:w="0" w:type="auto"/>
            <w:gridSpan w:val="2"/>
            <w:tcBorders>
              <w:top w:val="single" w:sz="6" w:space="0" w:color="000000"/>
              <w:left w:val="single" w:sz="6" w:space="0" w:color="000000"/>
              <w:bottom w:val="dashed" w:sz="6" w:space="0" w:color="000000"/>
              <w:right w:val="single" w:sz="6" w:space="0" w:color="000000"/>
            </w:tcBorders>
            <w:vAlign w:val="bottom"/>
            <w:hideMark/>
          </w:tcPr>
          <w:p w:rsidR="001E7162" w:rsidRDefault="00EC2A75">
            <w:pPr>
              <w:pStyle w:val="Heading"/>
              <w:rPr>
                <w:noProof/>
              </w:rPr>
            </w:pPr>
            <w:r>
              <w:rPr>
                <w:noProof/>
              </w:rPr>
              <w:t xml:space="preserve">Europe 2020 (national targets and progress) </w:t>
            </w:r>
          </w:p>
        </w:tc>
      </w:tr>
      <w:tr w:rsidR="001E7162">
        <w:trPr>
          <w:cantSplit/>
          <w:tblCellSpacing w:w="0" w:type="dxa"/>
        </w:trPr>
        <w:tc>
          <w:tcPr>
            <w:tcW w:w="3286" w:type="dxa"/>
            <w:tcBorders>
              <w:top w:val="nil"/>
              <w:left w:val="single" w:sz="6" w:space="0" w:color="auto"/>
              <w:bottom w:val="dashed" w:sz="6" w:space="0" w:color="auto"/>
              <w:right w:val="single" w:sz="6" w:space="0" w:color="auto"/>
            </w:tcBorders>
            <w:hideMark/>
          </w:tcPr>
          <w:p w:rsidR="001E7162" w:rsidRDefault="00EC2A75">
            <w:pPr>
              <w:rPr>
                <w:noProof/>
              </w:rPr>
            </w:pPr>
            <w:r>
              <w:rPr>
                <w:noProof/>
              </w:rPr>
              <w:t>Employment rate (age group 20 – 64) target set in the NRP: 65.2 %</w:t>
            </w:r>
          </w:p>
        </w:tc>
        <w:tc>
          <w:tcPr>
            <w:tcW w:w="5354" w:type="dxa"/>
            <w:tcBorders>
              <w:top w:val="nil"/>
              <w:left w:val="nil"/>
              <w:bottom w:val="dashed" w:sz="6" w:space="0" w:color="auto"/>
              <w:right w:val="single" w:sz="6" w:space="0" w:color="auto"/>
            </w:tcBorders>
            <w:hideMark/>
          </w:tcPr>
          <w:p w:rsidR="001E7162" w:rsidRDefault="00EC2A75">
            <w:pPr>
              <w:rPr>
                <w:noProof/>
              </w:rPr>
            </w:pPr>
            <w:r>
              <w:rPr>
                <w:noProof/>
              </w:rPr>
              <w:t>The employment</w:t>
            </w:r>
            <w:r>
              <w:rPr>
                <w:noProof/>
              </w:rPr>
              <w:t xml:space="preserve"> rate in Croatia has been slowly and steadily increasing (from 58.3% in 2013 to 65.6 % in Q3 2017). Even though Croatia has achieved the national target, its employment rate is still among the lowest in the EU and well below the EU average.</w:t>
            </w:r>
          </w:p>
        </w:tc>
      </w:tr>
      <w:tr w:rsidR="001E7162">
        <w:trPr>
          <w:cantSplit/>
          <w:tblCellSpacing w:w="0" w:type="dxa"/>
        </w:trPr>
        <w:tc>
          <w:tcPr>
            <w:tcW w:w="3286" w:type="dxa"/>
            <w:tcBorders>
              <w:top w:val="nil"/>
              <w:left w:val="single" w:sz="6" w:space="0" w:color="auto"/>
              <w:bottom w:val="dashed" w:sz="6" w:space="0" w:color="auto"/>
              <w:right w:val="single" w:sz="6" w:space="0" w:color="auto"/>
            </w:tcBorders>
            <w:hideMark/>
          </w:tcPr>
          <w:p w:rsidR="001E7162" w:rsidRDefault="00EC2A75">
            <w:pPr>
              <w:rPr>
                <w:noProof/>
              </w:rPr>
            </w:pPr>
            <w:r>
              <w:rPr>
                <w:noProof/>
              </w:rPr>
              <w:t>R&amp;D target set</w:t>
            </w:r>
            <w:r>
              <w:rPr>
                <w:noProof/>
              </w:rPr>
              <w:t xml:space="preserve"> in the NRP: 1.4 % of GDP </w:t>
            </w:r>
          </w:p>
        </w:tc>
        <w:tc>
          <w:tcPr>
            <w:tcW w:w="5354" w:type="dxa"/>
            <w:tcBorders>
              <w:top w:val="nil"/>
              <w:left w:val="nil"/>
              <w:bottom w:val="dashed" w:sz="6" w:space="0" w:color="auto"/>
              <w:right w:val="single" w:sz="6" w:space="0" w:color="auto"/>
            </w:tcBorders>
            <w:hideMark/>
          </w:tcPr>
          <w:p w:rsidR="001E7162" w:rsidRDefault="00EC2A75">
            <w:pPr>
              <w:rPr>
                <w:noProof/>
              </w:rPr>
            </w:pPr>
            <w:r>
              <w:rPr>
                <w:noProof/>
              </w:rPr>
              <w:t xml:space="preserve">R&amp;D intensity has maintained the same value as in previous year and equals 0.84 % of GDP. Croatia is not on track to meet the Europe 2020 target. </w:t>
            </w:r>
          </w:p>
        </w:tc>
      </w:tr>
      <w:tr w:rsidR="001E7162">
        <w:trPr>
          <w:cantSplit/>
          <w:tblCellSpacing w:w="0" w:type="dxa"/>
        </w:trPr>
        <w:tc>
          <w:tcPr>
            <w:tcW w:w="3286" w:type="dxa"/>
            <w:tcBorders>
              <w:top w:val="nil"/>
              <w:left w:val="single" w:sz="6" w:space="0" w:color="auto"/>
              <w:bottom w:val="dashed" w:sz="6" w:space="0" w:color="auto"/>
              <w:right w:val="single" w:sz="6" w:space="0" w:color="auto"/>
            </w:tcBorders>
            <w:hideMark/>
          </w:tcPr>
          <w:p w:rsidR="001E7162" w:rsidRDefault="00EC2A75">
            <w:pPr>
              <w:rPr>
                <w:noProof/>
              </w:rPr>
            </w:pPr>
            <w:r>
              <w:rPr>
                <w:noProof/>
              </w:rPr>
              <w:t xml:space="preserve">Greenhouse gas emissions, national target: </w:t>
            </w:r>
            <w:r>
              <w:rPr>
                <w:noProof/>
              </w:rPr>
              <w:br/>
              <w:t>+11% between 2005 and 2020</w:t>
            </w:r>
          </w:p>
        </w:tc>
        <w:tc>
          <w:tcPr>
            <w:tcW w:w="5354" w:type="dxa"/>
            <w:tcBorders>
              <w:top w:val="nil"/>
              <w:left w:val="nil"/>
              <w:bottom w:val="dashed" w:sz="6" w:space="0" w:color="auto"/>
              <w:right w:val="single" w:sz="6" w:space="0" w:color="auto"/>
            </w:tcBorders>
            <w:hideMark/>
          </w:tcPr>
          <w:p w:rsidR="001E7162" w:rsidRDefault="00EC2A75">
            <w:pPr>
              <w:rPr>
                <w:noProof/>
              </w:rPr>
            </w:pPr>
            <w:r>
              <w:rPr>
                <w:noProof/>
              </w:rPr>
              <w:t xml:space="preserve">Total GHG emissions in Croatia have been reduced by 27.5 % from 1990 to 2016. Based on the latest national projections submitted to the Commission, and taking into account existing measures, it is expected that Croatia will meet its GHG emission target by </w:t>
            </w:r>
            <w:r>
              <w:rPr>
                <w:noProof/>
              </w:rPr>
              <w:t xml:space="preserve">a wide margin (-12.5 % between 2005 and 2020). </w:t>
            </w:r>
          </w:p>
        </w:tc>
      </w:tr>
      <w:tr w:rsidR="001E7162">
        <w:trPr>
          <w:cantSplit/>
          <w:tblCellSpacing w:w="0" w:type="dxa"/>
        </w:trPr>
        <w:tc>
          <w:tcPr>
            <w:tcW w:w="3286" w:type="dxa"/>
            <w:tcBorders>
              <w:top w:val="nil"/>
              <w:left w:val="single" w:sz="6" w:space="0" w:color="auto"/>
              <w:bottom w:val="dashed" w:sz="6" w:space="0" w:color="auto"/>
              <w:right w:val="single" w:sz="6" w:space="0" w:color="auto"/>
            </w:tcBorders>
            <w:hideMark/>
          </w:tcPr>
          <w:p w:rsidR="001E7162" w:rsidRDefault="00EC2A75">
            <w:pPr>
              <w:rPr>
                <w:noProof/>
              </w:rPr>
            </w:pPr>
            <w:r>
              <w:rPr>
                <w:noProof/>
              </w:rPr>
              <w:t>2020 renewable energy target: 20 %</w:t>
            </w:r>
          </w:p>
          <w:p w:rsidR="001E7162" w:rsidRDefault="00EC2A75">
            <w:pPr>
              <w:rPr>
                <w:noProof/>
              </w:rPr>
            </w:pPr>
            <w:r>
              <w:rPr>
                <w:noProof/>
              </w:rPr>
              <w:t>2020 renewable energy source (RES) in transport target: 10 %</w:t>
            </w:r>
          </w:p>
        </w:tc>
        <w:tc>
          <w:tcPr>
            <w:tcW w:w="5354" w:type="dxa"/>
            <w:tcBorders>
              <w:top w:val="nil"/>
              <w:left w:val="nil"/>
              <w:bottom w:val="dashed" w:sz="6" w:space="0" w:color="auto"/>
              <w:right w:val="single" w:sz="6" w:space="0" w:color="auto"/>
            </w:tcBorders>
            <w:hideMark/>
          </w:tcPr>
          <w:p w:rsidR="001E7162" w:rsidRDefault="00EC2A75">
            <w:pPr>
              <w:rPr>
                <w:noProof/>
              </w:rPr>
            </w:pPr>
            <w:r>
              <w:rPr>
                <w:noProof/>
              </w:rPr>
              <w:t>With a renewable energy share of 28.2 % in 2016, Croatia is well above its target for 2020.</w:t>
            </w:r>
          </w:p>
          <w:p w:rsidR="001E7162" w:rsidRDefault="00EC2A75">
            <w:pPr>
              <w:rPr>
                <w:noProof/>
              </w:rPr>
            </w:pPr>
            <w:r>
              <w:rPr>
                <w:noProof/>
              </w:rPr>
              <w:t xml:space="preserve">With a 1.3 % share </w:t>
            </w:r>
            <w:r>
              <w:rPr>
                <w:noProof/>
              </w:rPr>
              <w:t xml:space="preserve">of RES in transport, Croatia is well below its 2020 target.   </w:t>
            </w:r>
          </w:p>
        </w:tc>
      </w:tr>
      <w:tr w:rsidR="001E7162">
        <w:trPr>
          <w:cantSplit/>
          <w:tblCellSpacing w:w="0" w:type="dxa"/>
        </w:trPr>
        <w:tc>
          <w:tcPr>
            <w:tcW w:w="3286" w:type="dxa"/>
            <w:tcBorders>
              <w:top w:val="nil"/>
              <w:left w:val="single" w:sz="6" w:space="0" w:color="auto"/>
              <w:bottom w:val="dashed" w:sz="6" w:space="0" w:color="auto"/>
              <w:right w:val="single" w:sz="6" w:space="0" w:color="auto"/>
            </w:tcBorders>
            <w:hideMark/>
          </w:tcPr>
          <w:p w:rsidR="001E7162" w:rsidRDefault="00EC2A75">
            <w:pPr>
              <w:rPr>
                <w:noProof/>
              </w:rPr>
            </w:pPr>
            <w:r>
              <w:rPr>
                <w:noProof/>
              </w:rPr>
              <w:t xml:space="preserve">Energy efficiency, 2020 energy consumption targets: </w:t>
            </w:r>
          </w:p>
          <w:p w:rsidR="001E7162" w:rsidRDefault="00EC2A75">
            <w:pPr>
              <w:pStyle w:val="ListBullet"/>
              <w:numPr>
                <w:ilvl w:val="0"/>
                <w:numId w:val="1"/>
              </w:numPr>
              <w:rPr>
                <w:noProof/>
              </w:rPr>
            </w:pPr>
            <w:r>
              <w:rPr>
                <w:noProof/>
              </w:rPr>
              <w:t>11.2 Mtoe (primary energy consumption);</w:t>
            </w:r>
          </w:p>
          <w:p w:rsidR="001E7162" w:rsidRDefault="00EC2A75">
            <w:pPr>
              <w:pStyle w:val="ListBullet"/>
              <w:numPr>
                <w:ilvl w:val="0"/>
                <w:numId w:val="1"/>
              </w:numPr>
              <w:rPr>
                <w:noProof/>
              </w:rPr>
            </w:pPr>
            <w:r>
              <w:rPr>
                <w:noProof/>
              </w:rPr>
              <w:t>7 Mtoe (final energy consumption).</w:t>
            </w:r>
          </w:p>
        </w:tc>
        <w:tc>
          <w:tcPr>
            <w:tcW w:w="5354" w:type="dxa"/>
            <w:tcBorders>
              <w:top w:val="nil"/>
              <w:left w:val="nil"/>
              <w:bottom w:val="dashed" w:sz="6" w:space="0" w:color="auto"/>
              <w:right w:val="single" w:sz="6" w:space="0" w:color="auto"/>
            </w:tcBorders>
            <w:hideMark/>
          </w:tcPr>
          <w:p w:rsidR="001E7162" w:rsidRDefault="00EC2A75">
            <w:pPr>
              <w:rPr>
                <w:noProof/>
              </w:rPr>
            </w:pPr>
            <w:r>
              <w:rPr>
                <w:noProof/>
              </w:rPr>
              <w:t>Croatia's primary and final energy consumption remains below the</w:t>
            </w:r>
            <w:r>
              <w:rPr>
                <w:noProof/>
              </w:rPr>
              <w:t xml:space="preserve"> country's 2020 energy efficiency targets.</w:t>
            </w:r>
          </w:p>
          <w:p w:rsidR="001E7162" w:rsidRDefault="00EC2A75">
            <w:pPr>
              <w:rPr>
                <w:noProof/>
              </w:rPr>
            </w:pPr>
            <w:r>
              <w:rPr>
                <w:noProof/>
              </w:rPr>
              <w:t>8.0 Mtoe (primary energy consumption, 2015)</w:t>
            </w:r>
          </w:p>
          <w:p w:rsidR="001E7162" w:rsidRDefault="00EC2A75">
            <w:pPr>
              <w:rPr>
                <w:noProof/>
              </w:rPr>
            </w:pPr>
            <w:r>
              <w:rPr>
                <w:noProof/>
              </w:rPr>
              <w:t>6.59 Mtoe (final energy consumption, 2015)</w:t>
            </w:r>
          </w:p>
        </w:tc>
      </w:tr>
      <w:tr w:rsidR="001E7162">
        <w:trPr>
          <w:cantSplit/>
          <w:tblCellSpacing w:w="0" w:type="dxa"/>
        </w:trPr>
        <w:tc>
          <w:tcPr>
            <w:tcW w:w="3286" w:type="dxa"/>
            <w:tcBorders>
              <w:top w:val="nil"/>
              <w:left w:val="single" w:sz="6" w:space="0" w:color="auto"/>
              <w:bottom w:val="dashed" w:sz="6" w:space="0" w:color="auto"/>
              <w:right w:val="single" w:sz="6" w:space="0" w:color="auto"/>
            </w:tcBorders>
            <w:hideMark/>
          </w:tcPr>
          <w:p w:rsidR="001E7162" w:rsidRDefault="00EC2A75">
            <w:pPr>
              <w:rPr>
                <w:noProof/>
              </w:rPr>
            </w:pPr>
            <w:r>
              <w:rPr>
                <w:noProof/>
              </w:rPr>
              <w:t>Early school leaving (ESL) target: 4 %</w:t>
            </w:r>
          </w:p>
        </w:tc>
        <w:tc>
          <w:tcPr>
            <w:tcW w:w="5354" w:type="dxa"/>
            <w:tcBorders>
              <w:top w:val="nil"/>
              <w:left w:val="nil"/>
              <w:bottom w:val="dashed" w:sz="6" w:space="0" w:color="auto"/>
              <w:right w:val="single" w:sz="6" w:space="0" w:color="auto"/>
            </w:tcBorders>
            <w:hideMark/>
          </w:tcPr>
          <w:p w:rsidR="001E7162" w:rsidRDefault="00EC2A75">
            <w:pPr>
              <w:rPr>
                <w:noProof/>
              </w:rPr>
            </w:pPr>
            <w:r>
              <w:rPr>
                <w:noProof/>
              </w:rPr>
              <w:t xml:space="preserve">At 2.8 % Croatia remained among the leading EU Member States in ensuring that its </w:t>
            </w:r>
            <w:r>
              <w:rPr>
                <w:noProof/>
              </w:rPr>
              <w:t>young people complete secondary education. Both the national target of 4 % and the EU-level target of 10 % were comfortably met.</w:t>
            </w:r>
          </w:p>
        </w:tc>
      </w:tr>
      <w:tr w:rsidR="001E7162">
        <w:trPr>
          <w:cantSplit/>
          <w:tblCellSpacing w:w="0" w:type="dxa"/>
        </w:trPr>
        <w:tc>
          <w:tcPr>
            <w:tcW w:w="3286" w:type="dxa"/>
            <w:tcBorders>
              <w:top w:val="nil"/>
              <w:left w:val="single" w:sz="6" w:space="0" w:color="auto"/>
              <w:bottom w:val="dashed" w:sz="6" w:space="0" w:color="auto"/>
              <w:right w:val="single" w:sz="6" w:space="0" w:color="auto"/>
            </w:tcBorders>
            <w:hideMark/>
          </w:tcPr>
          <w:p w:rsidR="001E7162" w:rsidRDefault="00EC2A75">
            <w:pPr>
              <w:rPr>
                <w:noProof/>
              </w:rPr>
            </w:pPr>
            <w:r>
              <w:rPr>
                <w:noProof/>
              </w:rPr>
              <w:t>Tertiary education target: 35 %</w:t>
            </w:r>
          </w:p>
        </w:tc>
        <w:tc>
          <w:tcPr>
            <w:tcW w:w="5354" w:type="dxa"/>
            <w:tcBorders>
              <w:top w:val="nil"/>
              <w:left w:val="nil"/>
              <w:bottom w:val="dashed" w:sz="6" w:space="0" w:color="auto"/>
              <w:right w:val="single" w:sz="6" w:space="0" w:color="auto"/>
            </w:tcBorders>
            <w:hideMark/>
          </w:tcPr>
          <w:p w:rsidR="001E7162" w:rsidRDefault="00EC2A75">
            <w:pPr>
              <w:rPr>
                <w:noProof/>
              </w:rPr>
            </w:pPr>
            <w:r>
              <w:rPr>
                <w:noProof/>
              </w:rPr>
              <w:t>Croatia's tertiary education attainment rate has been slowly declining since 2014 and stood at</w:t>
            </w:r>
            <w:r>
              <w:rPr>
                <w:noProof/>
              </w:rPr>
              <w:t xml:space="preserve"> 29.5 % in 2016. The enrolment rates of the corresponding student cohort, together with the overall drop-out rates, make it unlikely that Croatia will meet its national target by 2020.</w:t>
            </w:r>
          </w:p>
        </w:tc>
      </w:tr>
      <w:tr w:rsidR="001E7162">
        <w:trPr>
          <w:cantSplit/>
          <w:tblCellSpacing w:w="0" w:type="dxa"/>
        </w:trPr>
        <w:tc>
          <w:tcPr>
            <w:tcW w:w="3286" w:type="dxa"/>
            <w:tcBorders>
              <w:top w:val="nil"/>
              <w:left w:val="single" w:sz="6" w:space="0" w:color="auto"/>
              <w:bottom w:val="single" w:sz="6" w:space="0" w:color="auto"/>
              <w:right w:val="single" w:sz="6" w:space="0" w:color="auto"/>
            </w:tcBorders>
            <w:hideMark/>
          </w:tcPr>
          <w:p w:rsidR="001E7162" w:rsidRDefault="00EC2A75">
            <w:pPr>
              <w:rPr>
                <w:noProof/>
              </w:rPr>
            </w:pPr>
            <w:r>
              <w:rPr>
                <w:noProof/>
              </w:rPr>
              <w:t xml:space="preserve">Target for reducing the number of people at risk of poverty or social </w:t>
            </w:r>
            <w:r>
              <w:rPr>
                <w:noProof/>
              </w:rPr>
              <w:t xml:space="preserve">exclusion, expressed as an absolute number of people: by 150 000.  </w:t>
            </w:r>
          </w:p>
        </w:tc>
        <w:tc>
          <w:tcPr>
            <w:tcW w:w="5354" w:type="dxa"/>
            <w:tcBorders>
              <w:top w:val="nil"/>
              <w:left w:val="nil"/>
              <w:bottom w:val="single" w:sz="6" w:space="0" w:color="auto"/>
              <w:right w:val="single" w:sz="6" w:space="0" w:color="auto"/>
            </w:tcBorders>
            <w:hideMark/>
          </w:tcPr>
          <w:p w:rsidR="001E7162" w:rsidRDefault="00EC2A75">
            <w:pPr>
              <w:rPr>
                <w:noProof/>
              </w:rPr>
            </w:pPr>
            <w:r>
              <w:rPr>
                <w:noProof/>
              </w:rPr>
              <w:t xml:space="preserve">The number of people at risk of poverty or social exclusion fell from 1.384 million in 2011 to 1.159 million in 2016. Therefore, the national target has already been met.  </w:t>
            </w:r>
          </w:p>
        </w:tc>
      </w:tr>
    </w:tbl>
    <w:p w:rsidR="001E7162" w:rsidRDefault="001E7162">
      <w:pPr>
        <w:rPr>
          <w:noProof/>
        </w:rPr>
        <w:sectPr w:rsidR="001E7162">
          <w:headerReference w:type="even" r:id="rId202"/>
          <w:headerReference w:type="default" r:id="rId203"/>
          <w:footerReference w:type="even" r:id="rId204"/>
          <w:footerReference w:type="default" r:id="rId205"/>
          <w:headerReference w:type="first" r:id="rId206"/>
          <w:footerReference w:type="first" r:id="rId207"/>
          <w:footnotePr>
            <w:pos w:val="beneathText"/>
          </w:footnotePr>
          <w:endnotePr>
            <w:numFmt w:val="decimal"/>
          </w:endnotePr>
          <w:pgSz w:w="11907" w:h="16839"/>
          <w:pgMar w:top="2693" w:right="1701" w:bottom="1417" w:left="1701" w:header="709" w:footer="1191" w:gutter="0"/>
          <w:cols w:space="708"/>
          <w:titlePg/>
          <w:docGrid w:linePitch="360"/>
        </w:sectPr>
      </w:pPr>
    </w:p>
    <w:p w:rsidR="001E7162" w:rsidRDefault="00EC2A75">
      <w:pPr>
        <w:pStyle w:val="SectionTitleFramedtwolines1"/>
        <w:framePr w:wrap="notBeside"/>
        <w:rPr>
          <w:noProof/>
        </w:rPr>
      </w:pPr>
      <w:bookmarkStart w:id="56" w:name="_Toc507359628"/>
      <w:r>
        <w:rPr>
          <w:noProof/>
        </w:rPr>
        <w:t>Annex B</w:t>
      </w:r>
      <w:bookmarkEnd w:id="56"/>
      <w:r>
        <w:rPr>
          <w:noProof/>
        </w:rPr>
        <w:t xml:space="preserve"> </w:t>
      </w:r>
    </w:p>
    <w:p w:rsidR="001E7162" w:rsidRDefault="00EC2A75">
      <w:pPr>
        <w:pStyle w:val="SectionTitleFramedtwolines1"/>
        <w:framePr w:wrap="notBeside"/>
        <w:rPr>
          <w:caps w:val="0"/>
          <w:noProof/>
        </w:rPr>
      </w:pPr>
      <w:bookmarkStart w:id="57" w:name="_Toc507359629"/>
      <w:r>
        <w:rPr>
          <w:caps w:val="0"/>
          <w:noProof/>
        </w:rPr>
        <w:t>Macroeconomic Imbalance Procedure scoreboard</w:t>
      </w:r>
      <w:bookmarkEnd w:id="57"/>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1E7162">
        <w:trPr>
          <w:cantSplit/>
          <w:trHeight w:val="20"/>
        </w:trPr>
        <w:tc>
          <w:tcPr>
            <w:tcW w:w="8505" w:type="dxa"/>
            <w:shd w:val="clear" w:color="auto" w:fill="auto"/>
          </w:tcPr>
          <w:p w:rsidR="001E7162" w:rsidRDefault="001E7162">
            <w:pPr>
              <w:pStyle w:val="SlimCell"/>
              <w:keepNext/>
              <w:rPr>
                <w:noProof/>
              </w:rPr>
            </w:pPr>
          </w:p>
        </w:tc>
      </w:tr>
      <w:tr w:rsidR="001E7162">
        <w:trPr>
          <w:cantSplit/>
        </w:trPr>
        <w:tc>
          <w:tcPr>
            <w:tcW w:w="8505" w:type="dxa"/>
            <w:shd w:val="clear" w:color="auto" w:fill="auto"/>
          </w:tcPr>
          <w:p w:rsidR="001E7162" w:rsidRDefault="00EC2A75">
            <w:pPr>
              <w:pStyle w:val="TableTitle"/>
              <w:rPr>
                <w:b/>
                <w:noProof/>
              </w:rPr>
            </w:pPr>
            <w:bookmarkStart w:id="58" w:name="_Toc505083184"/>
            <w:r>
              <w:rPr>
                <w:noProof/>
              </w:rPr>
              <w:t>Table B.1:</w:t>
            </w:r>
            <w:r>
              <w:rPr>
                <w:b/>
                <w:noProof/>
              </w:rPr>
              <w:tab/>
              <w:t>The MIP scoreboard for Croatia (AMR 2018)</w:t>
            </w:r>
            <w:bookmarkEnd w:id="58"/>
          </w:p>
        </w:tc>
      </w:tr>
      <w:tr w:rsidR="001E7162">
        <w:trPr>
          <w:cantSplit/>
        </w:trPr>
        <w:tc>
          <w:tcPr>
            <w:tcW w:w="8505" w:type="dxa"/>
            <w:shd w:val="clear" w:color="auto" w:fill="auto"/>
          </w:tcPr>
          <w:p w:rsidR="001E7162" w:rsidRDefault="00EC2A75">
            <w:pPr>
              <w:pStyle w:val="TableShape"/>
              <w:rPr>
                <w:noProof/>
                <w:sz w:val="2"/>
              </w:rPr>
            </w:pPr>
            <w:r>
              <w:rPr>
                <w:noProof/>
                <w:sz w:val="2"/>
                <w:lang w:eastAsia="en-GB"/>
              </w:rPr>
              <w:drawing>
                <wp:inline distT="0" distB="0" distL="0" distR="0" wp14:anchorId="1D0211EB" wp14:editId="7376233C">
                  <wp:extent cx="5400929" cy="5276923"/>
                  <wp:effectExtent l="0" t="0" r="9525" b="0"/>
                  <wp:docPr id="79" name="Picture 79" descr="&lt;nbr&gt;&lt;GETTEXTFROMWORD&gt;&lt;/nbr&gt;&#10;&lt;title&gt;&lt;GETTEXTFROMWORD&gt;&lt;/title&gt;&#10;&lt;id&gt;c359ca42-e044-4253-9a6a-13dc20f9b8b3&lt;/id&gt;&#10;&lt;srcType&gt;EXCEL&lt;/srcType&gt;&#10;&lt;srcPath&gt;O:\2017 CRs\2018 European semester\11 HR\Excel\&lt;/srcPath&gt;&#10;&lt;srcName&gt;11 HR MIP Scoreboard_table.xlsx&lt;/srcName&gt;&#10;&lt;type&gt;table&lt;/type&gt;&#10; &lt;srcSheet&gt;HR&lt;/srcSheet&gt;&#10; &lt;srcRange&gt;R2C1:R1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6:57:59&lt;/scrFileTime&gt;&#10;&lt;imageInformation&gt;&#10; &lt;dontScaleUp&gt;no&lt;/dontScaleUp&gt;&#10;&lt;/imageInformation&gt;&#10;&lt;url&gt;&lt;/url&gt;&#10;&lt;basedocguid&gt;{5E4B2B20-9D4E-49CE-8F20-772216D3206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00929" cy="5276923"/>
                          </a:xfrm>
                          <a:prstGeom prst="rect">
                            <a:avLst/>
                          </a:prstGeom>
                          <a:noFill/>
                          <a:ln>
                            <a:noFill/>
                          </a:ln>
                        </pic:spPr>
                      </pic:pic>
                    </a:graphicData>
                  </a:graphic>
                </wp:inline>
              </w:drawing>
            </w:r>
          </w:p>
        </w:tc>
      </w:tr>
      <w:tr w:rsidR="001E7162">
        <w:trPr>
          <w:cantSplit/>
        </w:trPr>
        <w:tc>
          <w:tcPr>
            <w:tcW w:w="8505" w:type="dxa"/>
            <w:shd w:val="clear" w:color="auto" w:fill="auto"/>
          </w:tcPr>
          <w:p w:rsidR="001E7162" w:rsidRDefault="00EC2A75">
            <w:pPr>
              <w:pStyle w:val="TableFootnote"/>
              <w:rPr>
                <w:noProof/>
              </w:rPr>
            </w:pPr>
            <w:r>
              <w:rPr>
                <w:noProof/>
              </w:rPr>
              <w:t>Flags: e: Estimated.</w:t>
            </w:r>
            <w:r>
              <w:rPr>
                <w:noProof/>
              </w:rPr>
              <w:br/>
              <w:t xml:space="preserve">1) </w:t>
            </w:r>
            <w:r>
              <w:rPr>
                <w:noProof/>
              </w:rPr>
              <w:t>This table provides data as published under the Alert Mechanism Report 2018, which reports data as of 24 Oct 2017. Please note that figures reported in this table may therefore differ from more recent data elsewhere in this document.2) NULC d: employment d</w:t>
            </w:r>
            <w:r>
              <w:rPr>
                <w:noProof/>
              </w:rPr>
              <w:t>ata use national concept instead of domestic concept. 3) Figures highlighted are those falling outside the threshold established in the European Commission's Alert Mechanism Report.</w:t>
            </w:r>
          </w:p>
          <w:p w:rsidR="001E7162" w:rsidRDefault="00EC2A75">
            <w:pPr>
              <w:pStyle w:val="TableSource"/>
              <w:rPr>
                <w:noProof/>
              </w:rPr>
            </w:pPr>
            <w:r>
              <w:rPr>
                <w:b/>
                <w:i/>
                <w:noProof/>
              </w:rPr>
              <w:t>Source:</w:t>
            </w:r>
            <w:r>
              <w:rPr>
                <w:noProof/>
              </w:rPr>
              <w:t xml:space="preserve"> European Commission 2017, Statistical Annex to the Alert Mechanism</w:t>
            </w:r>
            <w:r>
              <w:rPr>
                <w:noProof/>
              </w:rPr>
              <w:t xml:space="preserve"> Report 2018, SWD(2017) 661.</w:t>
            </w:r>
          </w:p>
        </w:tc>
      </w:tr>
      <w:tr w:rsidR="001E7162">
        <w:trPr>
          <w:cantSplit/>
          <w:trHeight w:val="20"/>
        </w:trPr>
        <w:tc>
          <w:tcPr>
            <w:tcW w:w="8505" w:type="dxa"/>
            <w:shd w:val="clear" w:color="auto" w:fill="auto"/>
          </w:tcPr>
          <w:p w:rsidR="001E7162" w:rsidRDefault="001E7162">
            <w:pPr>
              <w:pStyle w:val="SlimCell"/>
              <w:rPr>
                <w:noProof/>
              </w:rPr>
            </w:pPr>
          </w:p>
        </w:tc>
      </w:tr>
    </w:tbl>
    <w:p w:rsidR="001E7162" w:rsidRDefault="001E7162">
      <w:pPr>
        <w:rPr>
          <w:noProof/>
        </w:rPr>
      </w:pPr>
    </w:p>
    <w:p w:rsidR="001E7162" w:rsidRDefault="001E7162">
      <w:pPr>
        <w:rPr>
          <w:noProof/>
        </w:rPr>
      </w:pPr>
    </w:p>
    <w:p w:rsidR="001E7162" w:rsidRDefault="001E7162">
      <w:pPr>
        <w:rPr>
          <w:noProof/>
        </w:rPr>
        <w:sectPr w:rsidR="001E7162">
          <w:headerReference w:type="even" r:id="rId209"/>
          <w:headerReference w:type="default" r:id="rId210"/>
          <w:footerReference w:type="even" r:id="rId211"/>
          <w:footerReference w:type="default" r:id="rId212"/>
          <w:headerReference w:type="first" r:id="rId213"/>
          <w:footerReference w:type="first" r:id="rId214"/>
          <w:footnotePr>
            <w:pos w:val="beneathText"/>
          </w:footnotePr>
          <w:endnotePr>
            <w:numFmt w:val="decimal"/>
          </w:endnotePr>
          <w:pgSz w:w="11907" w:h="16839"/>
          <w:pgMar w:top="2693" w:right="1701" w:bottom="1417" w:left="1701" w:header="709" w:footer="1191" w:gutter="0"/>
          <w:cols w:space="708"/>
          <w:titlePg/>
          <w:docGrid w:linePitch="360"/>
        </w:sectPr>
      </w:pPr>
    </w:p>
    <w:p w:rsidR="001E7162" w:rsidRDefault="00EC2A75">
      <w:pPr>
        <w:pStyle w:val="SectionTitleFramedtwolines2"/>
        <w:framePr w:wrap="notBeside"/>
        <w:rPr>
          <w:noProof/>
        </w:rPr>
      </w:pPr>
      <w:bookmarkStart w:id="59" w:name="_Toc507359630"/>
      <w:r>
        <w:rPr>
          <w:noProof/>
        </w:rPr>
        <w:t>Annex C</w:t>
      </w:r>
      <w:bookmarkEnd w:id="59"/>
      <w:r>
        <w:rPr>
          <w:noProof/>
        </w:rPr>
        <w:t xml:space="preserve"> </w:t>
      </w:r>
    </w:p>
    <w:p w:rsidR="001E7162" w:rsidRDefault="00EC2A75">
      <w:pPr>
        <w:pStyle w:val="SectionTitleFramedtwolines2"/>
        <w:framePr w:wrap="notBeside"/>
        <w:rPr>
          <w:caps w:val="0"/>
          <w:noProof/>
        </w:rPr>
      </w:pPr>
      <w:bookmarkStart w:id="60" w:name="_Toc507359631"/>
      <w:r>
        <w:rPr>
          <w:caps w:val="0"/>
          <w:noProof/>
        </w:rPr>
        <w:t>Standard tables</w:t>
      </w:r>
      <w:bookmarkEnd w:id="60"/>
    </w:p>
    <w:tbl>
      <w:tblPr>
        <w:tblW w:w="0" w:type="auto"/>
        <w:tblLayout w:type="fixed"/>
        <w:tblCellMar>
          <w:left w:w="0" w:type="dxa"/>
          <w:right w:w="0" w:type="dxa"/>
        </w:tblCellMar>
        <w:tblLook w:val="0000" w:firstRow="0" w:lastRow="0" w:firstColumn="0" w:lastColumn="0" w:noHBand="0" w:noVBand="0"/>
      </w:tblPr>
      <w:tblGrid>
        <w:gridCol w:w="8505"/>
      </w:tblGrid>
      <w:tr w:rsidR="001E7162">
        <w:trPr>
          <w:cantSplit/>
          <w:trHeight w:val="20"/>
        </w:trPr>
        <w:tc>
          <w:tcPr>
            <w:tcW w:w="8505" w:type="dxa"/>
            <w:shd w:val="clear" w:color="auto" w:fill="auto"/>
          </w:tcPr>
          <w:p w:rsidR="001E7162" w:rsidRDefault="001E7162">
            <w:pPr>
              <w:pStyle w:val="SlimCell"/>
              <w:keepNext/>
              <w:rPr>
                <w:noProof/>
              </w:rPr>
            </w:pPr>
          </w:p>
        </w:tc>
      </w:tr>
      <w:tr w:rsidR="001E7162">
        <w:trPr>
          <w:cantSplit/>
        </w:trPr>
        <w:tc>
          <w:tcPr>
            <w:tcW w:w="8505" w:type="dxa"/>
            <w:shd w:val="clear" w:color="auto" w:fill="auto"/>
          </w:tcPr>
          <w:p w:rsidR="001E7162" w:rsidRDefault="00EC2A75">
            <w:pPr>
              <w:pStyle w:val="TableTitle"/>
              <w:rPr>
                <w:b/>
                <w:noProof/>
              </w:rPr>
            </w:pPr>
            <w:bookmarkStart w:id="61" w:name="_Toc505083185"/>
            <w:r>
              <w:rPr>
                <w:noProof/>
              </w:rPr>
              <w:t>Table C.1:</w:t>
            </w:r>
            <w:r>
              <w:rPr>
                <w:b/>
                <w:noProof/>
              </w:rPr>
              <w:tab/>
              <w:t>Financial market indicators</w:t>
            </w:r>
            <w:bookmarkEnd w:id="61"/>
          </w:p>
        </w:tc>
      </w:tr>
      <w:tr w:rsidR="001E7162">
        <w:trPr>
          <w:cantSplit/>
        </w:trPr>
        <w:tc>
          <w:tcPr>
            <w:tcW w:w="8505" w:type="dxa"/>
            <w:shd w:val="clear" w:color="auto" w:fill="auto"/>
          </w:tcPr>
          <w:p w:rsidR="001E7162" w:rsidRDefault="00EC2A75">
            <w:pPr>
              <w:pStyle w:val="TableShape"/>
              <w:rPr>
                <w:noProof/>
                <w:sz w:val="2"/>
              </w:rPr>
            </w:pPr>
            <w:r>
              <w:rPr>
                <w:noProof/>
                <w:sz w:val="2"/>
                <w:lang w:eastAsia="en-GB"/>
              </w:rPr>
              <w:drawing>
                <wp:inline distT="0" distB="0" distL="0" distR="0" wp14:anchorId="16329DD9" wp14:editId="2EDE5AA3">
                  <wp:extent cx="5388229" cy="2176576"/>
                  <wp:effectExtent l="0" t="0" r="3175" b="0"/>
                  <wp:docPr id="83" name="Picture 83" descr="&lt;nbr&gt;&lt;GETTEXTFROMWORD&gt;&lt;/nbr&gt;&#10;&lt;title&gt;&lt;GETTEXTFROMWORD&gt;&lt;/title&gt;&#10;&lt;id&gt;fff4669a-120b-4232-a88f-812e48d50cb6&lt;/id&gt;&#10;&lt;srcType&gt;EXCEL&lt;/srcType&gt;&#10;&lt;srcPath&gt;O:\2017 CRs\2018 European semester\11 HR\Excel\&lt;/srcPath&gt;&#10;&lt;srcName&gt;11 HR Standard tables.xls&lt;/srcName&gt;&#10;&lt;type&gt;table&lt;/type&gt;&#10; &lt;srcSheet&gt;HR Table I&lt;/srcSheet&gt;&#10; &lt;srcRange&gt;R3C2:R18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47:53&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388229" cy="2176576"/>
                          </a:xfrm>
                          <a:prstGeom prst="rect">
                            <a:avLst/>
                          </a:prstGeom>
                          <a:noFill/>
                          <a:ln>
                            <a:noFill/>
                          </a:ln>
                        </pic:spPr>
                      </pic:pic>
                    </a:graphicData>
                  </a:graphic>
                </wp:inline>
              </w:drawing>
            </w:r>
          </w:p>
        </w:tc>
      </w:tr>
      <w:tr w:rsidR="001E7162">
        <w:trPr>
          <w:cantSplit/>
        </w:trPr>
        <w:tc>
          <w:tcPr>
            <w:tcW w:w="8505" w:type="dxa"/>
            <w:shd w:val="clear" w:color="auto" w:fill="auto"/>
          </w:tcPr>
          <w:p w:rsidR="001E7162" w:rsidRDefault="00EC2A75">
            <w:pPr>
              <w:pStyle w:val="TableFootnote"/>
              <w:rPr>
                <w:noProof/>
              </w:rPr>
            </w:pPr>
            <w:r>
              <w:rPr>
                <w:noProof/>
              </w:rPr>
              <w:t xml:space="preserve">(1) Latest data Q3 </w:t>
            </w:r>
            <w:r>
              <w:rPr>
                <w:noProof/>
              </w:rPr>
              <w:t>2017. Includes not only banks but all monetary financial institutions excluding central banks</w:t>
            </w:r>
            <w:r>
              <w:rPr>
                <w:noProof/>
              </w:rPr>
              <w:br/>
              <w:t>(2) Latest data Q2 2017.</w:t>
            </w:r>
            <w:r>
              <w:rPr>
                <w:noProof/>
              </w:rPr>
              <w:br/>
              <w:t>(3) As per ECB definition of gross non-performing debt instruments</w:t>
            </w:r>
            <w:r>
              <w:rPr>
                <w:noProof/>
              </w:rPr>
              <w:br/>
              <w:t>(4) Quarterly values are not annualised</w:t>
            </w:r>
            <w:r>
              <w:rPr>
                <w:noProof/>
              </w:rPr>
              <w:br/>
              <w:t>(5) Latest data April 2017.</w:t>
            </w:r>
            <w:r>
              <w:rPr>
                <w:noProof/>
              </w:rPr>
              <w:br/>
              <w:t xml:space="preserve">* </w:t>
            </w:r>
            <w:r>
              <w:rPr>
                <w:noProof/>
              </w:rPr>
              <w:t>Measured in basis points.</w:t>
            </w:r>
          </w:p>
          <w:p w:rsidR="001E7162" w:rsidRDefault="00EC2A75">
            <w:pPr>
              <w:pStyle w:val="TableSource"/>
              <w:rPr>
                <w:noProof/>
              </w:rPr>
            </w:pPr>
            <w:r>
              <w:rPr>
                <w:b/>
                <w:i/>
                <w:noProof/>
              </w:rPr>
              <w:t>Source:</w:t>
            </w:r>
            <w:r>
              <w:rPr>
                <w:noProof/>
              </w:rPr>
              <w:t xml:space="preserve"> European Commission (long-term interest rates); World Bank (gross external debt); Eurostat (private debt); ECB (all other indicators).</w:t>
            </w:r>
          </w:p>
        </w:tc>
      </w:tr>
      <w:tr w:rsidR="001E7162">
        <w:trPr>
          <w:cantSplit/>
          <w:trHeight w:val="20"/>
        </w:trPr>
        <w:tc>
          <w:tcPr>
            <w:tcW w:w="8505" w:type="dxa"/>
            <w:shd w:val="clear" w:color="auto" w:fill="auto"/>
            <w:tcMar>
              <w:bottom w:w="240" w:type="dxa"/>
            </w:tcMar>
          </w:tcPr>
          <w:p w:rsidR="001E7162" w:rsidRDefault="001E7162">
            <w:pPr>
              <w:pStyle w:val="SlimCell"/>
              <w:rPr>
                <w:noProof/>
              </w:rPr>
            </w:pPr>
          </w:p>
        </w:tc>
      </w:tr>
    </w:tbl>
    <w:p w:rsidR="001E7162" w:rsidRDefault="00EC2A75">
      <w:pPr>
        <w:rPr>
          <w:noProof/>
        </w:rPr>
      </w:pPr>
      <w:r>
        <w:rPr>
          <w:noProof/>
        </w:rPr>
        <w:t> </w:t>
      </w:r>
    </w:p>
    <w:tbl>
      <w:tblPr>
        <w:tblW w:w="0" w:type="auto"/>
        <w:tblLayout w:type="fixed"/>
        <w:tblCellMar>
          <w:left w:w="0" w:type="dxa"/>
          <w:right w:w="0" w:type="dxa"/>
        </w:tblCellMar>
        <w:tblLook w:val="0000" w:firstRow="0" w:lastRow="0" w:firstColumn="0" w:lastColumn="0" w:noHBand="0" w:noVBand="0"/>
      </w:tblPr>
      <w:tblGrid>
        <w:gridCol w:w="8505"/>
      </w:tblGrid>
      <w:tr w:rsidR="001E7162">
        <w:trPr>
          <w:cantSplit/>
          <w:trHeight w:val="20"/>
        </w:trPr>
        <w:tc>
          <w:tcPr>
            <w:tcW w:w="8505" w:type="dxa"/>
            <w:shd w:val="clear" w:color="auto" w:fill="auto"/>
          </w:tcPr>
          <w:p w:rsidR="001E7162" w:rsidRDefault="001E7162">
            <w:pPr>
              <w:pStyle w:val="SlimCell"/>
              <w:keepNext/>
              <w:rPr>
                <w:noProof/>
              </w:rPr>
            </w:pPr>
          </w:p>
        </w:tc>
      </w:tr>
      <w:tr w:rsidR="001E7162">
        <w:trPr>
          <w:cantSplit/>
        </w:trPr>
        <w:tc>
          <w:tcPr>
            <w:tcW w:w="8505" w:type="dxa"/>
            <w:shd w:val="clear" w:color="auto" w:fill="auto"/>
          </w:tcPr>
          <w:p w:rsidR="001E7162" w:rsidRDefault="00EC2A75">
            <w:pPr>
              <w:pStyle w:val="TableTitle"/>
              <w:rPr>
                <w:b/>
                <w:noProof/>
              </w:rPr>
            </w:pPr>
            <w:bookmarkStart w:id="62" w:name="_Toc505083186"/>
            <w:r>
              <w:rPr>
                <w:noProof/>
              </w:rPr>
              <w:t>Table C.2:</w:t>
            </w:r>
            <w:r>
              <w:rPr>
                <w:b/>
                <w:noProof/>
              </w:rPr>
              <w:tab/>
              <w:t>Headline Social Scoreboard indicators</w:t>
            </w:r>
            <w:bookmarkEnd w:id="62"/>
          </w:p>
        </w:tc>
      </w:tr>
      <w:tr w:rsidR="001E7162">
        <w:trPr>
          <w:cantSplit/>
        </w:trPr>
        <w:tc>
          <w:tcPr>
            <w:tcW w:w="8505" w:type="dxa"/>
            <w:shd w:val="clear" w:color="auto" w:fill="auto"/>
          </w:tcPr>
          <w:p w:rsidR="001E7162" w:rsidRDefault="00EC2A75">
            <w:pPr>
              <w:pStyle w:val="TableShape"/>
              <w:rPr>
                <w:noProof/>
                <w:sz w:val="2"/>
              </w:rPr>
            </w:pPr>
            <w:r>
              <w:rPr>
                <w:noProof/>
                <w:sz w:val="2"/>
                <w:lang w:eastAsia="en-GB"/>
              </w:rPr>
              <w:drawing>
                <wp:inline distT="0" distB="0" distL="0" distR="0" wp14:anchorId="2347D9A9" wp14:editId="1675F5F3">
                  <wp:extent cx="5391150" cy="4001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391150" cy="4001135"/>
                          </a:xfrm>
                          <a:prstGeom prst="rect">
                            <a:avLst/>
                          </a:prstGeom>
                          <a:noFill/>
                          <a:ln>
                            <a:noFill/>
                          </a:ln>
                        </pic:spPr>
                      </pic:pic>
                    </a:graphicData>
                  </a:graphic>
                </wp:inline>
              </w:drawing>
            </w:r>
            <w:r>
              <w:rPr>
                <w:noProof/>
                <w:sz w:val="2"/>
                <w:lang w:eastAsia="en-GB"/>
              </w:rPr>
              <w:t xml:space="preserve"> </w:t>
            </w:r>
          </w:p>
        </w:tc>
      </w:tr>
      <w:tr w:rsidR="001E7162">
        <w:trPr>
          <w:cantSplit/>
        </w:trPr>
        <w:tc>
          <w:tcPr>
            <w:tcW w:w="8505" w:type="dxa"/>
            <w:shd w:val="clear" w:color="auto" w:fill="auto"/>
          </w:tcPr>
          <w:p w:rsidR="001E7162" w:rsidRDefault="00EC2A75">
            <w:pPr>
              <w:pStyle w:val="TableFootnote"/>
              <w:rPr>
                <w:noProof/>
              </w:rPr>
            </w:pPr>
            <w:r>
              <w:rPr>
                <w:noProof/>
              </w:rPr>
              <w:t xml:space="preserve">† The Social Scoreboard </w:t>
            </w:r>
            <w:r>
              <w:rPr>
                <w:noProof/>
              </w:rPr>
              <w:t>includes 14 headline indicators, of which 12 are currently used to compare Member States performance. The indicators "participants in active labour market policies per 100 persons wanting to work" and "compensation of employees per hour worked (in EUR)" ar</w:t>
            </w:r>
            <w:r>
              <w:rPr>
                <w:noProof/>
              </w:rPr>
              <w:t>e not used due to technical concerns by Member States. Possible alternatives will be discussed in the relevant Committees.</w:t>
            </w:r>
          </w:p>
          <w:p w:rsidR="001E7162" w:rsidRDefault="00EC2A75">
            <w:pPr>
              <w:pStyle w:val="TableFootnote"/>
              <w:rPr>
                <w:noProof/>
              </w:rPr>
            </w:pPr>
            <w:r>
              <w:rPr>
                <w:noProof/>
              </w:rPr>
              <w:t>(1) People at risk of poverty or social exclusion (AROPE): individuals who are at risk of poverty (AROP) and/or suffering from severe</w:t>
            </w:r>
            <w:r>
              <w:rPr>
                <w:noProof/>
              </w:rPr>
              <w:t xml:space="preserve"> material deprivation (SMD) and/or living in households with zero or very low work intensity (LWI).      </w:t>
            </w:r>
          </w:p>
          <w:p w:rsidR="001E7162" w:rsidRDefault="00EC2A75">
            <w:pPr>
              <w:pStyle w:val="TableFootnote"/>
              <w:rPr>
                <w:noProof/>
              </w:rPr>
            </w:pPr>
            <w:r>
              <w:rPr>
                <w:noProof/>
              </w:rPr>
              <w:t>(2) Unemployed persons are all those who were not employed but had actively sought work and were ready to begin working immediately or within two week</w:t>
            </w:r>
            <w:r>
              <w:rPr>
                <w:noProof/>
              </w:rPr>
              <w:t xml:space="preserve">s.      </w:t>
            </w:r>
          </w:p>
          <w:p w:rsidR="001E7162" w:rsidRDefault="00EC2A75">
            <w:pPr>
              <w:pStyle w:val="TableFootnote"/>
              <w:rPr>
                <w:noProof/>
              </w:rPr>
            </w:pPr>
            <w:r>
              <w:rPr>
                <w:noProof/>
              </w:rPr>
              <w:t xml:space="preserve">(3) Gross disposable household income is defined in unadjusted terms, according to the draft Joint Employment Report 2018.      </w:t>
            </w:r>
          </w:p>
          <w:p w:rsidR="001E7162" w:rsidRDefault="00EC2A75">
            <w:pPr>
              <w:pStyle w:val="TableFootnote"/>
              <w:rPr>
                <w:noProof/>
              </w:rPr>
            </w:pPr>
            <w:r>
              <w:rPr>
                <w:noProof/>
              </w:rPr>
              <w:t>(4) Reduction in percentage of the risk of poverty rate, due to social transfers (calculated comparing at-risk-of pove</w:t>
            </w:r>
            <w:r>
              <w:rPr>
                <w:noProof/>
              </w:rPr>
              <w:t xml:space="preserve">rty rates before social transfers with those after transfers; pensions are not considered as social transfers in the calculation).      </w:t>
            </w:r>
          </w:p>
          <w:p w:rsidR="001E7162" w:rsidRDefault="00EC2A75">
            <w:pPr>
              <w:pStyle w:val="TableFootnote"/>
              <w:rPr>
                <w:noProof/>
              </w:rPr>
            </w:pPr>
            <w:r>
              <w:rPr>
                <w:noProof/>
              </w:rPr>
              <w:t>(5) Average of first three quarters of 2017 for the employment rate and gender employment gap.</w:t>
            </w:r>
          </w:p>
          <w:p w:rsidR="001E7162" w:rsidRDefault="00EC2A75">
            <w:pPr>
              <w:pStyle w:val="TableFootnote"/>
              <w:rPr>
                <w:noProof/>
              </w:rPr>
            </w:pPr>
            <w:r>
              <w:rPr>
                <w:b/>
                <w:i/>
                <w:noProof/>
              </w:rPr>
              <w:t>Source:</w:t>
            </w:r>
            <w:r>
              <w:rPr>
                <w:noProof/>
              </w:rPr>
              <w:t xml:space="preserve"> Eurostat</w:t>
            </w:r>
          </w:p>
        </w:tc>
      </w:tr>
      <w:tr w:rsidR="001E7162">
        <w:trPr>
          <w:cantSplit/>
          <w:trHeight w:val="20"/>
        </w:trPr>
        <w:tc>
          <w:tcPr>
            <w:tcW w:w="8505" w:type="dxa"/>
            <w:shd w:val="clear" w:color="auto" w:fill="auto"/>
            <w:tcMar>
              <w:bottom w:w="240" w:type="dxa"/>
            </w:tcMar>
          </w:tcPr>
          <w:p w:rsidR="001E7162" w:rsidRDefault="001E7162">
            <w:pPr>
              <w:pStyle w:val="SlimCell"/>
              <w:rPr>
                <w:noProof/>
              </w:rPr>
            </w:pPr>
          </w:p>
        </w:tc>
      </w:tr>
    </w:tbl>
    <w:p w:rsidR="001E7162" w:rsidRDefault="00EC2A75">
      <w:pPr>
        <w:rPr>
          <w:noProof/>
        </w:rPr>
      </w:pPr>
      <w:r>
        <w:rPr>
          <w:noProof/>
        </w:rPr>
        <w:t> </w:t>
      </w:r>
    </w:p>
    <w:tbl>
      <w:tblPr>
        <w:tblW w:w="0" w:type="auto"/>
        <w:tblLayout w:type="fixed"/>
        <w:tblCellMar>
          <w:left w:w="0" w:type="dxa"/>
          <w:right w:w="0" w:type="dxa"/>
        </w:tblCellMar>
        <w:tblLook w:val="0000" w:firstRow="0" w:lastRow="0" w:firstColumn="0" w:lastColumn="0" w:noHBand="0" w:noVBand="0"/>
      </w:tblPr>
      <w:tblGrid>
        <w:gridCol w:w="8505"/>
      </w:tblGrid>
      <w:tr w:rsidR="001E7162">
        <w:trPr>
          <w:cantSplit/>
          <w:trHeight w:val="20"/>
        </w:trPr>
        <w:tc>
          <w:tcPr>
            <w:tcW w:w="8505" w:type="dxa"/>
            <w:shd w:val="clear" w:color="auto" w:fill="auto"/>
          </w:tcPr>
          <w:p w:rsidR="001E7162" w:rsidRDefault="001E7162">
            <w:pPr>
              <w:pStyle w:val="SlimCell"/>
              <w:keepNext/>
              <w:rPr>
                <w:noProof/>
              </w:rPr>
            </w:pPr>
          </w:p>
        </w:tc>
      </w:tr>
      <w:tr w:rsidR="001E7162">
        <w:trPr>
          <w:cantSplit/>
        </w:trPr>
        <w:tc>
          <w:tcPr>
            <w:tcW w:w="8505" w:type="dxa"/>
            <w:shd w:val="clear" w:color="auto" w:fill="auto"/>
          </w:tcPr>
          <w:p w:rsidR="001E7162" w:rsidRDefault="00EC2A75">
            <w:pPr>
              <w:pStyle w:val="TableTitle"/>
              <w:rPr>
                <w:b/>
                <w:noProof/>
              </w:rPr>
            </w:pPr>
            <w:bookmarkStart w:id="63" w:name="_Toc505083187"/>
            <w:r>
              <w:rPr>
                <w:noProof/>
              </w:rPr>
              <w:t>Table C.3:</w:t>
            </w:r>
            <w:r>
              <w:rPr>
                <w:b/>
                <w:noProof/>
              </w:rPr>
              <w:tab/>
              <w:t>Labour market and education indicators</w:t>
            </w:r>
            <w:bookmarkEnd w:id="63"/>
          </w:p>
        </w:tc>
      </w:tr>
      <w:tr w:rsidR="001E7162">
        <w:trPr>
          <w:cantSplit/>
        </w:trPr>
        <w:tc>
          <w:tcPr>
            <w:tcW w:w="8505" w:type="dxa"/>
            <w:shd w:val="clear" w:color="auto" w:fill="auto"/>
          </w:tcPr>
          <w:p w:rsidR="001E7162" w:rsidRDefault="00EC2A75">
            <w:pPr>
              <w:pStyle w:val="TableShape"/>
              <w:rPr>
                <w:noProof/>
                <w:sz w:val="2"/>
              </w:rPr>
            </w:pPr>
            <w:r>
              <w:rPr>
                <w:noProof/>
                <w:sz w:val="2"/>
                <w:lang w:eastAsia="en-GB"/>
              </w:rPr>
              <w:drawing>
                <wp:inline distT="0" distB="0" distL="0" distR="0" wp14:anchorId="46691EAE" wp14:editId="49CAC3EA">
                  <wp:extent cx="5398770" cy="41770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398770" cy="4177030"/>
                          </a:xfrm>
                          <a:prstGeom prst="rect">
                            <a:avLst/>
                          </a:prstGeom>
                          <a:noFill/>
                          <a:ln>
                            <a:noFill/>
                          </a:ln>
                        </pic:spPr>
                      </pic:pic>
                    </a:graphicData>
                  </a:graphic>
                </wp:inline>
              </w:drawing>
            </w:r>
          </w:p>
        </w:tc>
      </w:tr>
      <w:tr w:rsidR="001E7162">
        <w:trPr>
          <w:cantSplit/>
        </w:trPr>
        <w:tc>
          <w:tcPr>
            <w:tcW w:w="8505" w:type="dxa"/>
            <w:shd w:val="clear" w:color="auto" w:fill="auto"/>
          </w:tcPr>
          <w:p w:rsidR="001E7162" w:rsidRDefault="00EC2A75">
            <w:pPr>
              <w:pStyle w:val="TableFootnote"/>
              <w:rPr>
                <w:noProof/>
              </w:rPr>
            </w:pPr>
            <w:r>
              <w:rPr>
                <w:noProof/>
              </w:rPr>
              <w:t xml:space="preserve">* Non-scoreboard indicator      </w:t>
            </w:r>
          </w:p>
          <w:p w:rsidR="001E7162" w:rsidRDefault="00EC2A75">
            <w:pPr>
              <w:pStyle w:val="TableFootnote"/>
              <w:rPr>
                <w:noProof/>
              </w:rPr>
            </w:pPr>
            <w:r>
              <w:rPr>
                <w:noProof/>
              </w:rPr>
              <w:t xml:space="preserve">(1) Long-term unemployed are people who have been unemployed for at least 12 months.      </w:t>
            </w:r>
          </w:p>
          <w:p w:rsidR="001E7162" w:rsidRDefault="00EC2A75">
            <w:pPr>
              <w:pStyle w:val="TableFootnote"/>
              <w:rPr>
                <w:noProof/>
              </w:rPr>
            </w:pPr>
            <w:r>
              <w:rPr>
                <w:noProof/>
              </w:rPr>
              <w:t>(2) Difference between the average gross hourly earnings of male paid employees and of female paid employees as a percentage of average gross hourly earnings of male paid employees. It is defined as "unadjusted", as it does not correct for the distribution</w:t>
            </w:r>
            <w:r>
              <w:rPr>
                <w:noProof/>
              </w:rPr>
              <w:t xml:space="preserve"> of individual characteristics (and thus gives an overall picture of gender inequalities in terms of pay). All employees working in firms with ten or more employees, without restrictions for age and hours worked, are included.      </w:t>
            </w:r>
          </w:p>
          <w:p w:rsidR="001E7162" w:rsidRDefault="00EC2A75">
            <w:pPr>
              <w:pStyle w:val="TableFootnote"/>
              <w:rPr>
                <w:noProof/>
              </w:rPr>
            </w:pPr>
            <w:r>
              <w:rPr>
                <w:noProof/>
              </w:rPr>
              <w:t>(3) PISA (OECD) results</w:t>
            </w:r>
            <w:r>
              <w:rPr>
                <w:noProof/>
              </w:rPr>
              <w:t xml:space="preserve"> for low achievement in mathematics for 15 year-olds.      </w:t>
            </w:r>
          </w:p>
          <w:p w:rsidR="001E7162" w:rsidRDefault="00EC2A75">
            <w:pPr>
              <w:pStyle w:val="TableFootnote"/>
              <w:rPr>
                <w:noProof/>
              </w:rPr>
            </w:pPr>
            <w:r>
              <w:rPr>
                <w:noProof/>
              </w:rPr>
              <w:t xml:space="preserve">(4) Impact of socio-economic and cultural status on PISA (OECD) scores. Values for 2012 and 2015 refer respectively to mathematics and science.    </w:t>
            </w:r>
          </w:p>
          <w:p w:rsidR="001E7162" w:rsidRDefault="00EC2A75">
            <w:pPr>
              <w:pStyle w:val="TableFootnote"/>
              <w:rPr>
                <w:noProof/>
              </w:rPr>
            </w:pPr>
            <w:r>
              <w:rPr>
                <w:noProof/>
              </w:rPr>
              <w:t>(5) Average of first three quarters of 2017, unl</w:t>
            </w:r>
            <w:r>
              <w:rPr>
                <w:noProof/>
              </w:rPr>
              <w:t>ess for the youth unemployment rate (annual figure).</w:t>
            </w:r>
          </w:p>
          <w:p w:rsidR="001E7162" w:rsidRDefault="00EC2A75">
            <w:pPr>
              <w:pStyle w:val="TableFootnote"/>
              <w:rPr>
                <w:noProof/>
              </w:rPr>
            </w:pPr>
            <w:r>
              <w:rPr>
                <w:b/>
                <w:noProof/>
              </w:rPr>
              <w:t>Sources</w:t>
            </w:r>
            <w:r>
              <w:rPr>
                <w:noProof/>
              </w:rPr>
              <w:t>: Eurostat, OECD</w:t>
            </w:r>
          </w:p>
        </w:tc>
      </w:tr>
      <w:tr w:rsidR="001E7162">
        <w:trPr>
          <w:cantSplit/>
          <w:trHeight w:val="20"/>
        </w:trPr>
        <w:tc>
          <w:tcPr>
            <w:tcW w:w="8505" w:type="dxa"/>
            <w:shd w:val="clear" w:color="auto" w:fill="auto"/>
            <w:tcMar>
              <w:bottom w:w="240" w:type="dxa"/>
            </w:tcMar>
          </w:tcPr>
          <w:p w:rsidR="001E7162" w:rsidRDefault="001E7162">
            <w:pPr>
              <w:pStyle w:val="SlimCell"/>
              <w:rPr>
                <w:noProof/>
              </w:rPr>
            </w:pPr>
          </w:p>
        </w:tc>
      </w:tr>
    </w:tbl>
    <w:p w:rsidR="001E7162" w:rsidRDefault="00EC2A75">
      <w:pPr>
        <w:rPr>
          <w:noProof/>
        </w:rPr>
      </w:pPr>
      <w:r>
        <w:rPr>
          <w:noProof/>
        </w:rPr>
        <w:t> </w:t>
      </w:r>
    </w:p>
    <w:p w:rsidR="001E7162" w:rsidRDefault="001E7162">
      <w:pP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1E7162">
        <w:trPr>
          <w:cantSplit/>
          <w:trHeight w:val="20"/>
        </w:trPr>
        <w:tc>
          <w:tcPr>
            <w:tcW w:w="8505" w:type="dxa"/>
            <w:shd w:val="clear" w:color="auto" w:fill="auto"/>
          </w:tcPr>
          <w:p w:rsidR="001E7162" w:rsidRDefault="001E7162">
            <w:pPr>
              <w:pStyle w:val="SlimCell"/>
              <w:keepNext/>
              <w:rPr>
                <w:noProof/>
              </w:rPr>
            </w:pPr>
          </w:p>
        </w:tc>
      </w:tr>
      <w:tr w:rsidR="001E7162">
        <w:trPr>
          <w:cantSplit/>
        </w:trPr>
        <w:tc>
          <w:tcPr>
            <w:tcW w:w="8505" w:type="dxa"/>
            <w:shd w:val="clear" w:color="auto" w:fill="auto"/>
          </w:tcPr>
          <w:p w:rsidR="001E7162" w:rsidRDefault="00EC2A75">
            <w:pPr>
              <w:pStyle w:val="TableTitle"/>
              <w:rPr>
                <w:b/>
                <w:noProof/>
              </w:rPr>
            </w:pPr>
            <w:bookmarkStart w:id="64" w:name="_Toc505083188"/>
            <w:r>
              <w:rPr>
                <w:noProof/>
              </w:rPr>
              <w:t>Table C.4:</w:t>
            </w:r>
            <w:r>
              <w:rPr>
                <w:b/>
                <w:noProof/>
              </w:rPr>
              <w:tab/>
              <w:t>Social inclusion and health indicators</w:t>
            </w:r>
            <w:bookmarkEnd w:id="64"/>
          </w:p>
        </w:tc>
      </w:tr>
      <w:tr w:rsidR="001E7162">
        <w:trPr>
          <w:cantSplit/>
        </w:trPr>
        <w:tc>
          <w:tcPr>
            <w:tcW w:w="8505" w:type="dxa"/>
            <w:shd w:val="clear" w:color="auto" w:fill="auto"/>
          </w:tcPr>
          <w:p w:rsidR="001E7162" w:rsidRDefault="00EC2A75">
            <w:pPr>
              <w:pStyle w:val="TableShape"/>
              <w:rPr>
                <w:noProof/>
                <w:sz w:val="2"/>
              </w:rPr>
            </w:pPr>
            <w:r>
              <w:rPr>
                <w:noProof/>
                <w:sz w:val="2"/>
                <w:lang w:eastAsia="en-GB"/>
              </w:rPr>
              <w:drawing>
                <wp:inline distT="0" distB="0" distL="0" distR="0" wp14:anchorId="02CAC586" wp14:editId="38084D2B">
                  <wp:extent cx="5398770" cy="44697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398770" cy="4469765"/>
                          </a:xfrm>
                          <a:prstGeom prst="rect">
                            <a:avLst/>
                          </a:prstGeom>
                          <a:noFill/>
                          <a:ln>
                            <a:noFill/>
                          </a:ln>
                        </pic:spPr>
                      </pic:pic>
                    </a:graphicData>
                  </a:graphic>
                </wp:inline>
              </w:drawing>
            </w:r>
          </w:p>
        </w:tc>
      </w:tr>
      <w:tr w:rsidR="001E7162">
        <w:trPr>
          <w:cantSplit/>
        </w:trPr>
        <w:tc>
          <w:tcPr>
            <w:tcW w:w="8505" w:type="dxa"/>
            <w:shd w:val="clear" w:color="auto" w:fill="auto"/>
          </w:tcPr>
          <w:p w:rsidR="001E7162" w:rsidRDefault="00EC2A75">
            <w:pPr>
              <w:pStyle w:val="TableFootnote"/>
              <w:rPr>
                <w:noProof/>
              </w:rPr>
            </w:pPr>
            <w:r>
              <w:rPr>
                <w:noProof/>
              </w:rPr>
              <w:t>*  Non-scoreboard indicator</w:t>
            </w:r>
          </w:p>
          <w:p w:rsidR="001E7162" w:rsidRDefault="00EC2A75">
            <w:pPr>
              <w:pStyle w:val="TableFootnote"/>
              <w:rPr>
                <w:noProof/>
              </w:rPr>
            </w:pPr>
            <w:r>
              <w:rPr>
                <w:noProof/>
              </w:rPr>
              <w:t xml:space="preserve">(1) At-risk-of-poverty rate (AROP): proportion of people with an equivalised disposable </w:t>
            </w:r>
            <w:r>
              <w:rPr>
                <w:noProof/>
              </w:rPr>
              <w:t>income below 60</w:t>
            </w:r>
            <w:r>
              <w:rPr>
                <w:rFonts w:ascii="Arial" w:hAnsi="Arial" w:cs="Arial"/>
                <w:noProof/>
              </w:rPr>
              <w:t> </w:t>
            </w:r>
            <w:r>
              <w:rPr>
                <w:noProof/>
              </w:rPr>
              <w:t xml:space="preserve">% of the national equivalised median income. </w:t>
            </w:r>
          </w:p>
          <w:p w:rsidR="001E7162" w:rsidRDefault="00EC2A75">
            <w:pPr>
              <w:pStyle w:val="TableFootnote"/>
              <w:rPr>
                <w:noProof/>
              </w:rPr>
            </w:pPr>
            <w:r>
              <w:rPr>
                <w:noProof/>
              </w:rPr>
              <w:t xml:space="preserve">(2) Proportion of people who experience at least four of the following forms of deprivation: not being able to afford to i) pay their rent or utility bills, ii) keep their home adequately warm, </w:t>
            </w:r>
            <w:r>
              <w:rPr>
                <w:noProof/>
              </w:rPr>
              <w:t>iii) face unexpected expenses, iv) eat meat, fish or a protein equivalent every second day, v) enjoy a week of holiday away from home once a year, vi) have a car, vii) have a washing machine, viii) have a colour TV, or ix) have a telephone.</w:t>
            </w:r>
          </w:p>
          <w:p w:rsidR="001E7162" w:rsidRDefault="00EC2A75">
            <w:pPr>
              <w:pStyle w:val="TableFootnote"/>
              <w:rPr>
                <w:noProof/>
              </w:rPr>
            </w:pPr>
            <w:r>
              <w:rPr>
                <w:noProof/>
              </w:rPr>
              <w:t xml:space="preserve">(3) Percentage </w:t>
            </w:r>
            <w:r>
              <w:rPr>
                <w:noProof/>
              </w:rPr>
              <w:t>of total population living in overcrowded dwellings and exhibiting housing deprivation.</w:t>
            </w:r>
            <w:r>
              <w:rPr>
                <w:noProof/>
              </w:rPr>
              <w:tab/>
            </w:r>
          </w:p>
          <w:p w:rsidR="001E7162" w:rsidRDefault="00EC2A75">
            <w:pPr>
              <w:pStyle w:val="TableFootnote"/>
              <w:rPr>
                <w:noProof/>
              </w:rPr>
            </w:pPr>
            <w:r>
              <w:rPr>
                <w:noProof/>
              </w:rPr>
              <w:t>(4) People living in households with very low work intensity: proportion of people aged 0-59 living in households where the adults (excluding dependent children) worke</w:t>
            </w:r>
            <w:r>
              <w:rPr>
                <w:noProof/>
              </w:rPr>
              <w:t>d less than 20</w:t>
            </w:r>
            <w:r>
              <w:rPr>
                <w:rFonts w:ascii="Arial" w:hAnsi="Arial" w:cs="Arial"/>
                <w:noProof/>
              </w:rPr>
              <w:t> </w:t>
            </w:r>
            <w:r>
              <w:rPr>
                <w:noProof/>
              </w:rPr>
              <w:t>% of their total work-time potential in the previous 12 months.</w:t>
            </w:r>
          </w:p>
          <w:p w:rsidR="001E7162" w:rsidRDefault="00EC2A75">
            <w:pPr>
              <w:pStyle w:val="TableFootnote"/>
              <w:rPr>
                <w:noProof/>
              </w:rPr>
            </w:pPr>
            <w:r>
              <w:rPr>
                <w:noProof/>
              </w:rPr>
              <w:t>(5) Ratio of the median individual gross pensions of people aged 65-74 relative to the median individual gross earnings of people aged 50-59.</w:t>
            </w:r>
          </w:p>
          <w:p w:rsidR="001E7162" w:rsidRDefault="00EC2A75">
            <w:pPr>
              <w:pStyle w:val="TableFootnote"/>
              <w:rPr>
                <w:noProof/>
              </w:rPr>
            </w:pPr>
            <w:r>
              <w:rPr>
                <w:noProof/>
              </w:rPr>
              <w:t xml:space="preserve">(6) Fixed broadband take up (33%), </w:t>
            </w:r>
            <w:r>
              <w:rPr>
                <w:noProof/>
              </w:rPr>
              <w:t>mobile broadband take up (22%), speed (33%) and affordability (11%), from the Digital Scoreboard..</w:t>
            </w:r>
          </w:p>
          <w:p w:rsidR="001E7162" w:rsidRDefault="00EC2A75">
            <w:pPr>
              <w:pStyle w:val="TableSource"/>
              <w:rPr>
                <w:noProof/>
              </w:rPr>
            </w:pPr>
            <w:r>
              <w:rPr>
                <w:b/>
                <w:i/>
                <w:noProof/>
              </w:rPr>
              <w:t>Source:</w:t>
            </w:r>
            <w:r>
              <w:rPr>
                <w:noProof/>
              </w:rPr>
              <w:t xml:space="preserve"> Eurostat, OECD</w:t>
            </w:r>
          </w:p>
        </w:tc>
      </w:tr>
      <w:tr w:rsidR="001E7162">
        <w:trPr>
          <w:cantSplit/>
          <w:trHeight w:val="20"/>
        </w:trPr>
        <w:tc>
          <w:tcPr>
            <w:tcW w:w="8505" w:type="dxa"/>
            <w:shd w:val="clear" w:color="auto" w:fill="auto"/>
            <w:tcMar>
              <w:bottom w:w="240" w:type="dxa"/>
            </w:tcMar>
          </w:tcPr>
          <w:p w:rsidR="001E7162" w:rsidRDefault="001E7162">
            <w:pPr>
              <w:pStyle w:val="SlimCell"/>
              <w:rPr>
                <w:noProof/>
              </w:rPr>
            </w:pPr>
          </w:p>
        </w:tc>
      </w:tr>
    </w:tbl>
    <w:p w:rsidR="001E7162" w:rsidRDefault="001E7162">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1E7162">
        <w:trPr>
          <w:cantSplit/>
          <w:trHeight w:val="20"/>
        </w:trPr>
        <w:tc>
          <w:tcPr>
            <w:tcW w:w="8505" w:type="dxa"/>
            <w:shd w:val="clear" w:color="auto" w:fill="auto"/>
          </w:tcPr>
          <w:p w:rsidR="001E7162" w:rsidRDefault="001E7162">
            <w:pPr>
              <w:pStyle w:val="SlimCell"/>
              <w:keepNext/>
              <w:rPr>
                <w:noProof/>
              </w:rPr>
            </w:pPr>
          </w:p>
        </w:tc>
      </w:tr>
      <w:tr w:rsidR="001E7162">
        <w:trPr>
          <w:cantSplit/>
        </w:trPr>
        <w:tc>
          <w:tcPr>
            <w:tcW w:w="8505" w:type="dxa"/>
            <w:shd w:val="clear" w:color="auto" w:fill="auto"/>
          </w:tcPr>
          <w:p w:rsidR="001E7162" w:rsidRDefault="00EC2A75">
            <w:pPr>
              <w:pStyle w:val="TableTitle"/>
              <w:rPr>
                <w:b/>
                <w:noProof/>
              </w:rPr>
            </w:pPr>
            <w:bookmarkStart w:id="65" w:name="_Toc505083189"/>
            <w:r>
              <w:rPr>
                <w:noProof/>
              </w:rPr>
              <w:t>Table C.5:</w:t>
            </w:r>
            <w:r>
              <w:rPr>
                <w:b/>
                <w:noProof/>
              </w:rPr>
              <w:tab/>
              <w:t>Product market performance and policy indicators</w:t>
            </w:r>
            <w:bookmarkEnd w:id="65"/>
          </w:p>
        </w:tc>
      </w:tr>
      <w:tr w:rsidR="001E7162">
        <w:trPr>
          <w:cantSplit/>
        </w:trPr>
        <w:tc>
          <w:tcPr>
            <w:tcW w:w="8505" w:type="dxa"/>
            <w:shd w:val="clear" w:color="auto" w:fill="auto"/>
          </w:tcPr>
          <w:p w:rsidR="001E7162" w:rsidRDefault="00EC2A75">
            <w:pPr>
              <w:pStyle w:val="TableShape"/>
              <w:rPr>
                <w:noProof/>
                <w:sz w:val="2"/>
              </w:rPr>
            </w:pPr>
            <w:r>
              <w:rPr>
                <w:noProof/>
                <w:sz w:val="2"/>
                <w:lang w:eastAsia="en-GB"/>
              </w:rPr>
              <w:drawing>
                <wp:inline distT="0" distB="0" distL="0" distR="0" wp14:anchorId="318539E6" wp14:editId="5F0AFDC6">
                  <wp:extent cx="5388229" cy="3138220"/>
                  <wp:effectExtent l="0" t="0" r="3175" b="5080"/>
                  <wp:docPr id="88" name="Picture 88" descr="&lt;nbr&gt;&lt;GETTEXTFROMWORD&gt;&lt;/nbr&gt;&#10;&lt;title&gt;&lt;GETTEXTFROMWORD&gt;&lt;/title&gt;&#10;&lt;id&gt;ef16c4e6-8be0-4f0a-94cf-d476af0be824&lt;/id&gt;&#10;&lt;srcType&gt;EXCEL&lt;/srcType&gt;&#10;&lt;srcPath&gt;O:\2017 CRs\2018 European semester\11 HR\Excel\&lt;/srcPath&gt;&#10;&lt;srcName&gt;11 HR Standard tables.xls&lt;/srcName&gt;&#10;&lt;type&gt;table&lt;/type&gt;&#10; &lt;srcSheet&gt;HR Table III&lt;/srcSheet&gt;&#10; &lt;srcRange&gt;R2C2:R26C10&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47:53&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388229" cy="3138220"/>
                          </a:xfrm>
                          <a:prstGeom prst="rect">
                            <a:avLst/>
                          </a:prstGeom>
                          <a:noFill/>
                          <a:ln>
                            <a:noFill/>
                          </a:ln>
                        </pic:spPr>
                      </pic:pic>
                    </a:graphicData>
                  </a:graphic>
                </wp:inline>
              </w:drawing>
            </w:r>
          </w:p>
        </w:tc>
      </w:tr>
      <w:tr w:rsidR="001E7162">
        <w:trPr>
          <w:cantSplit/>
        </w:trPr>
        <w:tc>
          <w:tcPr>
            <w:tcW w:w="8505" w:type="dxa"/>
            <w:shd w:val="clear" w:color="auto" w:fill="auto"/>
          </w:tcPr>
          <w:p w:rsidR="001E7162" w:rsidRDefault="00EC2A75">
            <w:pPr>
              <w:pStyle w:val="TableFootnote"/>
              <w:rPr>
                <w:noProof/>
              </w:rPr>
            </w:pPr>
            <w:r>
              <w:rPr>
                <w:noProof/>
              </w:rPr>
              <w:t xml:space="preserve">(1) The methodologies, including the assumptions, for this indicator are shown in detail here: http://www.doingbusiness.org/methodology.       </w:t>
            </w:r>
            <w:r>
              <w:rPr>
                <w:noProof/>
              </w:rPr>
              <w:br/>
              <w:t>(2) Average of the answer to question Q7B_a. "[Bank loan]: If you applied and tried to negotiate for this type o</w:t>
            </w:r>
            <w:r>
              <w:rPr>
                <w:noProof/>
              </w:rPr>
              <w:t>f financing over the past six months, what was the outcome?". Answers were codified as follows: zero if received everything, one if received most of it, two if only received a limited part of it, three if refused or rejected and treated as missing values i</w:t>
            </w:r>
            <w:r>
              <w:rPr>
                <w:noProof/>
              </w:rPr>
              <w:t xml:space="preserve">f the application is still pending or don't know.      </w:t>
            </w:r>
            <w:r>
              <w:rPr>
                <w:noProof/>
              </w:rPr>
              <w:br/>
              <w:t xml:space="preserve">(3) Percentage population aged 15-64 having completed tertiary education.      </w:t>
            </w:r>
            <w:r>
              <w:rPr>
                <w:noProof/>
              </w:rPr>
              <w:br/>
              <w:t xml:space="preserve">(4) Percentage population aged 20-24 having attained at least upper secondary education.      </w:t>
            </w:r>
            <w:r>
              <w:rPr>
                <w:noProof/>
              </w:rPr>
              <w:br/>
              <w:t>(5) Index: 0 = not regula</w:t>
            </w:r>
            <w:r>
              <w:rPr>
                <w:noProof/>
              </w:rPr>
              <w:t xml:space="preserve">ted; 6 = most regulated. The methodologies of the OECD product market regulation indicators are shown in detail here: http://www.oecd.org/competition/reform/indicatorsofproductmarketregulationhomepage.htm      </w:t>
            </w:r>
            <w:r>
              <w:rPr>
                <w:noProof/>
              </w:rPr>
              <w:br/>
              <w:t>(6) Aggregate OECD indicators of regulation i</w:t>
            </w:r>
            <w:r>
              <w:rPr>
                <w:noProof/>
              </w:rPr>
              <w:t xml:space="preserve">n energy, transport and communications (ETCR). </w:t>
            </w:r>
          </w:p>
          <w:p w:rsidR="001E7162" w:rsidRDefault="00EC2A75">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SMEs' applications fo</w:t>
            </w:r>
            <w:r>
              <w:rPr>
                <w:noProof/>
              </w:rPr>
              <w:t xml:space="preserve">r bank loans).  </w:t>
            </w:r>
          </w:p>
        </w:tc>
      </w:tr>
      <w:tr w:rsidR="001E7162">
        <w:trPr>
          <w:cantSplit/>
          <w:trHeight w:val="20"/>
        </w:trPr>
        <w:tc>
          <w:tcPr>
            <w:tcW w:w="8505" w:type="dxa"/>
            <w:shd w:val="clear" w:color="auto" w:fill="auto"/>
            <w:tcMar>
              <w:bottom w:w="240" w:type="dxa"/>
            </w:tcMar>
          </w:tcPr>
          <w:p w:rsidR="001E7162" w:rsidRDefault="001E7162">
            <w:pPr>
              <w:pStyle w:val="SlimCell"/>
              <w:rPr>
                <w:noProof/>
              </w:rPr>
            </w:pPr>
          </w:p>
        </w:tc>
      </w:tr>
    </w:tbl>
    <w:p w:rsidR="001E7162" w:rsidRDefault="00EC2A75">
      <w:pPr>
        <w:rPr>
          <w:noProof/>
        </w:rPr>
      </w:pPr>
      <w:r>
        <w:rPr>
          <w:noProof/>
        </w:rPr>
        <w:t> </w:t>
      </w:r>
    </w:p>
    <w:tbl>
      <w:tblPr>
        <w:tblW w:w="0" w:type="auto"/>
        <w:tblLayout w:type="fixed"/>
        <w:tblCellMar>
          <w:left w:w="0" w:type="dxa"/>
          <w:right w:w="0" w:type="dxa"/>
        </w:tblCellMar>
        <w:tblLook w:val="0000" w:firstRow="0" w:lastRow="0" w:firstColumn="0" w:lastColumn="0" w:noHBand="0" w:noVBand="0"/>
      </w:tblPr>
      <w:tblGrid>
        <w:gridCol w:w="8505"/>
      </w:tblGrid>
      <w:tr w:rsidR="001E7162">
        <w:trPr>
          <w:cantSplit/>
          <w:trHeight w:val="20"/>
        </w:trPr>
        <w:tc>
          <w:tcPr>
            <w:tcW w:w="8505" w:type="dxa"/>
            <w:shd w:val="clear" w:color="auto" w:fill="auto"/>
          </w:tcPr>
          <w:p w:rsidR="001E7162" w:rsidRDefault="001E7162">
            <w:pPr>
              <w:pStyle w:val="SlimCell"/>
              <w:keepNext/>
              <w:rPr>
                <w:noProof/>
              </w:rPr>
            </w:pPr>
          </w:p>
        </w:tc>
      </w:tr>
      <w:tr w:rsidR="001E7162">
        <w:trPr>
          <w:cantSplit/>
        </w:trPr>
        <w:tc>
          <w:tcPr>
            <w:tcW w:w="8505" w:type="dxa"/>
            <w:shd w:val="clear" w:color="auto" w:fill="auto"/>
          </w:tcPr>
          <w:p w:rsidR="001E7162" w:rsidRDefault="00EC2A75">
            <w:pPr>
              <w:pStyle w:val="TableTitle"/>
              <w:rPr>
                <w:b/>
                <w:noProof/>
              </w:rPr>
            </w:pPr>
            <w:bookmarkStart w:id="66" w:name="_Toc505083190"/>
            <w:r>
              <w:rPr>
                <w:noProof/>
              </w:rPr>
              <w:t>Table C.6:</w:t>
            </w:r>
            <w:r>
              <w:rPr>
                <w:b/>
                <w:noProof/>
              </w:rPr>
              <w:tab/>
              <w:t>Green growth</w:t>
            </w:r>
            <w:bookmarkEnd w:id="66"/>
          </w:p>
        </w:tc>
      </w:tr>
      <w:tr w:rsidR="001E7162">
        <w:trPr>
          <w:cantSplit/>
        </w:trPr>
        <w:tc>
          <w:tcPr>
            <w:tcW w:w="8505" w:type="dxa"/>
            <w:shd w:val="clear" w:color="auto" w:fill="auto"/>
          </w:tcPr>
          <w:p w:rsidR="001E7162" w:rsidRDefault="00EC2A75">
            <w:pPr>
              <w:pStyle w:val="TableShape"/>
              <w:rPr>
                <w:noProof/>
                <w:sz w:val="2"/>
              </w:rPr>
            </w:pPr>
            <w:r>
              <w:rPr>
                <w:noProof/>
                <w:sz w:val="2"/>
                <w:lang w:eastAsia="en-GB"/>
              </w:rPr>
              <w:drawing>
                <wp:inline distT="0" distB="0" distL="0" distR="0" wp14:anchorId="43B6913C" wp14:editId="4DEE91BF">
                  <wp:extent cx="5184475" cy="38570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184740" cy="3857261"/>
                          </a:xfrm>
                          <a:prstGeom prst="rect">
                            <a:avLst/>
                          </a:prstGeom>
                          <a:noFill/>
                          <a:ln>
                            <a:noFill/>
                          </a:ln>
                        </pic:spPr>
                      </pic:pic>
                    </a:graphicData>
                  </a:graphic>
                </wp:inline>
              </w:drawing>
            </w:r>
          </w:p>
        </w:tc>
      </w:tr>
      <w:tr w:rsidR="001E7162">
        <w:trPr>
          <w:cantSplit/>
        </w:trPr>
        <w:tc>
          <w:tcPr>
            <w:tcW w:w="8505" w:type="dxa"/>
            <w:shd w:val="clear" w:color="auto" w:fill="auto"/>
          </w:tcPr>
          <w:p w:rsidR="001E7162" w:rsidRDefault="00EC2A75">
            <w:pPr>
              <w:pStyle w:val="TableFootnote"/>
              <w:rPr>
                <w:noProof/>
              </w:rPr>
            </w:pPr>
            <w:r>
              <w:rPr>
                <w:noProof/>
              </w:rPr>
              <w:t>All macro intensity indicators are expressed as a ratio of a physical quantity to GDP (in 2010 prices)</w:t>
            </w:r>
          </w:p>
          <w:p w:rsidR="001E7162" w:rsidRDefault="00EC2A75">
            <w:pPr>
              <w:pStyle w:val="TableFootnote"/>
              <w:rPr>
                <w:noProof/>
              </w:rPr>
            </w:pPr>
            <w:r>
              <w:rPr>
                <w:noProof/>
              </w:rPr>
              <w:t xml:space="preserve">          Energy intensity: gross inland energy consumption (in kgoe) divided by GDP (in EUR)</w:t>
            </w:r>
          </w:p>
          <w:p w:rsidR="001E7162" w:rsidRDefault="00EC2A75">
            <w:pPr>
              <w:pStyle w:val="TableFootnote"/>
              <w:rPr>
                <w:noProof/>
              </w:rPr>
            </w:pPr>
            <w:r>
              <w:rPr>
                <w:noProof/>
              </w:rPr>
              <w:t xml:space="preserve">          Carbon intensity: greenhouse gas emissions (in kg CO2 equivalents) divided by GDP (in EUR)</w:t>
            </w:r>
          </w:p>
          <w:p w:rsidR="001E7162" w:rsidRDefault="00EC2A75">
            <w:pPr>
              <w:pStyle w:val="TableFootnote"/>
              <w:rPr>
                <w:noProof/>
              </w:rPr>
            </w:pPr>
            <w:r>
              <w:rPr>
                <w:noProof/>
              </w:rPr>
              <w:t xml:space="preserve">          Resource intensity: domestic material consumption (in kg) divided by GDP (in EUR)</w:t>
            </w:r>
          </w:p>
          <w:p w:rsidR="001E7162" w:rsidRDefault="00EC2A75">
            <w:pPr>
              <w:pStyle w:val="TableFootnote"/>
              <w:rPr>
                <w:noProof/>
              </w:rPr>
            </w:pPr>
            <w:r>
              <w:rPr>
                <w:noProof/>
              </w:rPr>
              <w:t xml:space="preserve">          Waste intensity: waste (in kg) divided by GDP (in EUR</w:t>
            </w:r>
            <w:r>
              <w:rPr>
                <w:noProof/>
              </w:rPr>
              <w:t>)</w:t>
            </w:r>
          </w:p>
          <w:p w:rsidR="001E7162" w:rsidRDefault="00EC2A75">
            <w:pPr>
              <w:pStyle w:val="TableFootnote"/>
              <w:rPr>
                <w:noProof/>
              </w:rPr>
            </w:pPr>
            <w:r>
              <w:rPr>
                <w:noProof/>
              </w:rPr>
              <w:t xml:space="preserve">Energy balance of trade: the balance of energy exports and imports, expressed as % of GDP  </w:t>
            </w:r>
          </w:p>
          <w:p w:rsidR="001E7162" w:rsidRDefault="00EC2A75">
            <w:pPr>
              <w:pStyle w:val="TableFootnote"/>
              <w:rPr>
                <w:noProof/>
              </w:rPr>
            </w:pPr>
            <w:r>
              <w:rPr>
                <w:noProof/>
              </w:rPr>
              <w:t>Weighting of energy in HICP: the proportion of 'energy' items in the consumption basket used for the construction of the HICP</w:t>
            </w:r>
          </w:p>
          <w:p w:rsidR="001E7162" w:rsidRDefault="00EC2A75">
            <w:pPr>
              <w:pStyle w:val="TableFootnote"/>
              <w:rPr>
                <w:noProof/>
              </w:rPr>
            </w:pPr>
            <w:r>
              <w:rPr>
                <w:noProof/>
              </w:rPr>
              <w:t xml:space="preserve">Difference between energy price </w:t>
            </w:r>
            <w:r>
              <w:rPr>
                <w:noProof/>
              </w:rPr>
              <w:t>change and inflation: energy component of HICP, and total HICP inflation (annual % change)</w:t>
            </w:r>
          </w:p>
          <w:p w:rsidR="001E7162" w:rsidRDefault="00EC2A75">
            <w:pPr>
              <w:pStyle w:val="TableFootnote"/>
              <w:rPr>
                <w:noProof/>
              </w:rPr>
            </w:pPr>
            <w:r>
              <w:rPr>
                <w:noProof/>
              </w:rPr>
              <w:t>Real unit energy cost: real energy costs as % of total value added for the economy</w:t>
            </w:r>
          </w:p>
          <w:p w:rsidR="001E7162" w:rsidRDefault="00EC2A75">
            <w:pPr>
              <w:pStyle w:val="TableFootnote"/>
              <w:rPr>
                <w:noProof/>
              </w:rPr>
            </w:pPr>
            <w:r>
              <w:rPr>
                <w:noProof/>
              </w:rPr>
              <w:t xml:space="preserve">Industry energy intensity: final energy consumption of industry (in kgoe) divided </w:t>
            </w:r>
            <w:r>
              <w:rPr>
                <w:noProof/>
              </w:rPr>
              <w:t xml:space="preserve">by gross value added of industry (in 2010 EUR) </w:t>
            </w:r>
          </w:p>
          <w:p w:rsidR="001E7162" w:rsidRDefault="00EC2A75">
            <w:pPr>
              <w:pStyle w:val="TableFootnote"/>
              <w:rPr>
                <w:noProof/>
              </w:rPr>
            </w:pPr>
            <w:r>
              <w:rPr>
                <w:noProof/>
              </w:rPr>
              <w:t>Real unit energy costs for manufacturing industry excluding refining : real costs as % of value added for  manufacturing sectors</w:t>
            </w:r>
          </w:p>
          <w:p w:rsidR="001E7162" w:rsidRDefault="00EC2A75">
            <w:pPr>
              <w:pStyle w:val="TableFootnote"/>
              <w:rPr>
                <w:noProof/>
              </w:rPr>
            </w:pPr>
            <w:r>
              <w:rPr>
                <w:noProof/>
              </w:rPr>
              <w:t>Share of energy-intensive industries in the economy: share of gross value added</w:t>
            </w:r>
            <w:r>
              <w:rPr>
                <w:noProof/>
              </w:rPr>
              <w:t xml:space="preserve"> of the energy-intensive industries in GDP</w:t>
            </w:r>
          </w:p>
          <w:p w:rsidR="001E7162" w:rsidRDefault="00EC2A75">
            <w:pPr>
              <w:pStyle w:val="TableFootnote"/>
              <w:rPr>
                <w:noProof/>
              </w:rPr>
            </w:pPr>
            <w:r>
              <w:rPr>
                <w:noProof/>
              </w:rPr>
              <w:t>Electricity and gas prices for medium-sized industrial users: consumption band 500–20 00MWh and 10 000–100 000 GJ; figures excl. VAT.</w:t>
            </w:r>
          </w:p>
          <w:p w:rsidR="001E7162" w:rsidRDefault="00EC2A75">
            <w:pPr>
              <w:pStyle w:val="TableFootnote"/>
              <w:rPr>
                <w:noProof/>
              </w:rPr>
            </w:pPr>
            <w:r>
              <w:rPr>
                <w:noProof/>
              </w:rPr>
              <w:t>Recycling rate of municipal waste: ratio of recycled and composted municipal wa</w:t>
            </w:r>
            <w:r>
              <w:rPr>
                <w:noProof/>
              </w:rPr>
              <w:t>ste to total municipal waste</w:t>
            </w:r>
          </w:p>
          <w:p w:rsidR="001E7162" w:rsidRDefault="00EC2A75">
            <w:pPr>
              <w:pStyle w:val="TableFootnote"/>
              <w:rPr>
                <w:noProof/>
              </w:rPr>
            </w:pPr>
            <w:r>
              <w:rPr>
                <w:noProof/>
              </w:rPr>
              <w:t>Public R&amp;D for energy or for the environment: government spending on R&amp;D for these categories as % of GDP</w:t>
            </w:r>
          </w:p>
          <w:p w:rsidR="001E7162" w:rsidRDefault="00EC2A75">
            <w:pPr>
              <w:pStyle w:val="TableFootnote"/>
              <w:rPr>
                <w:noProof/>
              </w:rPr>
            </w:pPr>
            <w:r>
              <w:rPr>
                <w:noProof/>
              </w:rPr>
              <w:t>Proportion of GHG emissions covered by EU emissions trading system (ETS) (excluding aviation): based on GHG emissions</w:t>
            </w:r>
          </w:p>
          <w:p w:rsidR="001E7162" w:rsidRDefault="00EC2A75">
            <w:pPr>
              <w:pStyle w:val="TableFootnote"/>
              <w:rPr>
                <w:noProof/>
              </w:rPr>
            </w:pPr>
            <w:r>
              <w:rPr>
                <w:noProof/>
              </w:rPr>
              <w:t>(ex</w:t>
            </w:r>
            <w:r>
              <w:rPr>
                <w:noProof/>
              </w:rPr>
              <w:t>cl land use, land use change and forestry) as reported by Member States to the European Environment Agency.</w:t>
            </w:r>
          </w:p>
          <w:p w:rsidR="001E7162" w:rsidRDefault="00EC2A75">
            <w:pPr>
              <w:pStyle w:val="TableFootnote"/>
              <w:rPr>
                <w:noProof/>
              </w:rPr>
            </w:pPr>
            <w:r>
              <w:rPr>
                <w:noProof/>
              </w:rPr>
              <w:t>Transport energy intensity: final energy consumption of transport activity (kgoe) divided by transport industry gross value added (in 2010 EUR)</w:t>
            </w:r>
          </w:p>
          <w:p w:rsidR="001E7162" w:rsidRDefault="00EC2A75">
            <w:pPr>
              <w:pStyle w:val="TableFootnote"/>
              <w:rPr>
                <w:noProof/>
              </w:rPr>
            </w:pPr>
            <w:r>
              <w:rPr>
                <w:noProof/>
              </w:rPr>
              <w:t>Tran</w:t>
            </w:r>
            <w:r>
              <w:rPr>
                <w:noProof/>
              </w:rPr>
              <w:t>sport carbon intensity: GHG emissions in transport activity divided by gross value added of the transport sector</w:t>
            </w:r>
          </w:p>
          <w:p w:rsidR="001E7162" w:rsidRDefault="00EC2A75">
            <w:pPr>
              <w:pStyle w:val="TableFootnote"/>
              <w:rPr>
                <w:noProof/>
              </w:rPr>
            </w:pPr>
            <w:r>
              <w:rPr>
                <w:noProof/>
              </w:rPr>
              <w:t>Energy import dependency: net energy imports divided by gross inland energy consumption incl. consumption of international bunker fuels</w:t>
            </w:r>
          </w:p>
          <w:p w:rsidR="001E7162" w:rsidRDefault="00EC2A75">
            <w:pPr>
              <w:pStyle w:val="TableFootnote"/>
              <w:rPr>
                <w:noProof/>
              </w:rPr>
            </w:pPr>
            <w:r>
              <w:rPr>
                <w:noProof/>
              </w:rPr>
              <w:t>Aggregated supplier concentration index:  covers oil, gas and coal. Smaller values indicate larger diversification and hence lower risk.</w:t>
            </w:r>
          </w:p>
          <w:p w:rsidR="001E7162" w:rsidRDefault="00EC2A75">
            <w:pPr>
              <w:pStyle w:val="TableFootnote"/>
              <w:rPr>
                <w:noProof/>
              </w:rPr>
            </w:pPr>
            <w:r>
              <w:rPr>
                <w:noProof/>
              </w:rPr>
              <w:t>Diversification of the energy mix: Herfindahl index covering natural gas, total petrol products, nuclear heat, renewabl</w:t>
            </w:r>
            <w:r>
              <w:rPr>
                <w:noProof/>
              </w:rPr>
              <w:t>e energies and solid fuels</w:t>
            </w:r>
          </w:p>
          <w:p w:rsidR="001E7162" w:rsidRDefault="00EC2A75">
            <w:pPr>
              <w:pStyle w:val="TableFootnote"/>
              <w:rPr>
                <w:noProof/>
              </w:rPr>
            </w:pPr>
            <w:r>
              <w:rPr>
                <w:noProof/>
              </w:rPr>
              <w:t>* European Commission and European Environment Agency</w:t>
            </w:r>
          </w:p>
          <w:p w:rsidR="001E7162" w:rsidRDefault="00EC2A75">
            <w:pPr>
              <w:pStyle w:val="TableSource"/>
              <w:rPr>
                <w:noProof/>
              </w:rPr>
            </w:pPr>
            <w:r>
              <w:rPr>
                <w:b/>
                <w:i/>
                <w:noProof/>
              </w:rPr>
              <w:t>Source:</w:t>
            </w:r>
            <w:r>
              <w:rPr>
                <w:noProof/>
              </w:rPr>
              <w:t xml:space="preserve"> European Commission and European Environment Agency (Share of GHG emissions covered by ETS); European Commission (Environmental taxes over labour taxes and GDP); Euros</w:t>
            </w:r>
            <w:r>
              <w:rPr>
                <w:noProof/>
              </w:rPr>
              <w:t>tat (all other indicators)</w:t>
            </w:r>
          </w:p>
        </w:tc>
      </w:tr>
      <w:tr w:rsidR="001E7162">
        <w:trPr>
          <w:cantSplit/>
          <w:trHeight w:val="20"/>
        </w:trPr>
        <w:tc>
          <w:tcPr>
            <w:tcW w:w="8505" w:type="dxa"/>
            <w:shd w:val="clear" w:color="auto" w:fill="auto"/>
            <w:tcMar>
              <w:bottom w:w="240" w:type="dxa"/>
            </w:tcMar>
          </w:tcPr>
          <w:p w:rsidR="001E7162" w:rsidRDefault="001E7162">
            <w:pPr>
              <w:pStyle w:val="SlimCell"/>
              <w:rPr>
                <w:noProof/>
              </w:rPr>
            </w:pPr>
          </w:p>
        </w:tc>
      </w:tr>
    </w:tbl>
    <w:p w:rsidR="001E7162" w:rsidRDefault="00EC2A75">
      <w:pPr>
        <w:rPr>
          <w:noProof/>
        </w:rPr>
      </w:pPr>
      <w:r>
        <w:rPr>
          <w:noProof/>
        </w:rPr>
        <w:t> </w:t>
      </w:r>
    </w:p>
    <w:p w:rsidR="001E7162" w:rsidRDefault="001E7162">
      <w:pPr>
        <w:rPr>
          <w:noProof/>
        </w:rPr>
        <w:sectPr w:rsidR="001E7162">
          <w:headerReference w:type="even" r:id="rId221"/>
          <w:headerReference w:type="default" r:id="rId222"/>
          <w:footerReference w:type="even" r:id="rId223"/>
          <w:footerReference w:type="default" r:id="rId224"/>
          <w:headerReference w:type="first" r:id="rId225"/>
          <w:footerReference w:type="first" r:id="rId226"/>
          <w:footnotePr>
            <w:pos w:val="beneathText"/>
          </w:footnotePr>
          <w:endnotePr>
            <w:numFmt w:val="decimal"/>
          </w:endnotePr>
          <w:pgSz w:w="11907" w:h="16839"/>
          <w:pgMar w:top="2693" w:right="1701" w:bottom="1417" w:left="1701" w:header="709" w:footer="1191" w:gutter="0"/>
          <w:cols w:space="708"/>
          <w:titlePg/>
          <w:docGrid w:linePitch="360"/>
        </w:sectPr>
      </w:pPr>
    </w:p>
    <w:p w:rsidR="001E7162" w:rsidRDefault="00EC2A75">
      <w:pPr>
        <w:pStyle w:val="SectionTitleFramed11"/>
        <w:framePr w:wrap="notBeside"/>
        <w:rPr>
          <w:noProof/>
        </w:rPr>
      </w:pPr>
      <w:bookmarkStart w:id="67" w:name="_Toc507359632"/>
      <w:r>
        <w:rPr>
          <w:noProof/>
        </w:rPr>
        <w:t>References</w:t>
      </w:r>
      <w:bookmarkEnd w:id="67"/>
    </w:p>
    <w:p w:rsidR="001E7162" w:rsidRDefault="00EC2A75">
      <w:pPr>
        <w:rPr>
          <w:noProof/>
        </w:rPr>
      </w:pPr>
      <w:r>
        <w:rPr>
          <w:noProof/>
        </w:rPr>
        <w:t xml:space="preserve">Bejaković, P. and al. (IPSOS) (2016), </w:t>
      </w:r>
      <w:r>
        <w:rPr>
          <w:i/>
          <w:noProof/>
        </w:rPr>
        <w:t>External evaluation of active labour market</w:t>
      </w:r>
      <w:r>
        <w:rPr>
          <w:i/>
          <w:noProof/>
        </w:rPr>
        <w:t xml:space="preserve"> policy measures 2010-2013. Summary evaluation report</w:t>
      </w:r>
      <w:r>
        <w:rPr>
          <w:noProof/>
        </w:rPr>
        <w:t>, Croatian Employment Service, Zagreb (</w:t>
      </w:r>
      <w:hyperlink r:id="rId227" w:history="1">
        <w:r>
          <w:rPr>
            <w:rStyle w:val="Hyperlink"/>
            <w:noProof/>
          </w:rPr>
          <w:t>www.hzz.hr/UserDocsImages/Sumarno%20evaluacijsko%20izvje%C5%A1%C4%87e_ENG_Vanjska%20evaluacija%20mjera%20aktivne%20politike%20tr%C5%BEi%C5%A1ta%20rada%202010%20-2013.pdf</w:t>
        </w:r>
      </w:hyperlink>
      <w:r>
        <w:rPr>
          <w:noProof/>
        </w:rPr>
        <w:t>).</w:t>
      </w:r>
    </w:p>
    <w:p w:rsidR="001E7162" w:rsidRDefault="00EC2A75">
      <w:pPr>
        <w:rPr>
          <w:noProof/>
        </w:rPr>
      </w:pPr>
      <w:r>
        <w:rPr>
          <w:noProof/>
        </w:rPr>
        <w:t>Berti, K. et al. (2012), 'An early-detection index of f</w:t>
      </w:r>
      <w:r>
        <w:rPr>
          <w:noProof/>
        </w:rPr>
        <w:t xml:space="preserve">iscal stress for EU countries', </w:t>
      </w:r>
      <w:r>
        <w:rPr>
          <w:i/>
          <w:noProof/>
        </w:rPr>
        <w:t>European Economy Economic Paper</w:t>
      </w:r>
      <w:r>
        <w:rPr>
          <w:noProof/>
        </w:rPr>
        <w:t>, No 475, European Commission (DG  Economic and Financial Affairs (DG ECFIN)), Brussels (</w:t>
      </w:r>
      <w:hyperlink r:id="rId228" w:history="1">
        <w:r>
          <w:rPr>
            <w:rStyle w:val="Hyperlink"/>
            <w:noProof/>
          </w:rPr>
          <w:t>h</w:t>
        </w:r>
        <w:r>
          <w:rPr>
            <w:rStyle w:val="Hyperlink"/>
            <w:noProof/>
          </w:rPr>
          <w:t>ttp://ec.europa.eu/economy_finance/publications/economic_paper/2012/pdf/ecp475_en.pdf</w:t>
        </w:r>
      </w:hyperlink>
      <w:r>
        <w:rPr>
          <w:noProof/>
        </w:rPr>
        <w:t>).</w:t>
      </w:r>
    </w:p>
    <w:p w:rsidR="001E7162" w:rsidRDefault="00EC2A75">
      <w:pPr>
        <w:rPr>
          <w:noProof/>
        </w:rPr>
      </w:pPr>
      <w:r>
        <w:rPr>
          <w:noProof/>
        </w:rPr>
        <w:t xml:space="preserve">Brčić Kuljiš, M. and M. Koludrović (2016), </w:t>
      </w:r>
      <w:r>
        <w:rPr>
          <w:i/>
          <w:noProof/>
        </w:rPr>
        <w:t>Stanje i perspektive obrazovanja odraslih u Republici Hrvatskoj. Zbornik radova znanstveno-stručnog kolokvija</w:t>
      </w:r>
      <w:r>
        <w:rPr>
          <w:noProof/>
        </w:rPr>
        <w:t>, Filozofski Fak</w:t>
      </w:r>
      <w:r>
        <w:rPr>
          <w:noProof/>
        </w:rPr>
        <w:t>ultet u Splitu, Split (</w:t>
      </w:r>
      <w:hyperlink r:id="rId229" w:history="1">
        <w:r>
          <w:rPr>
            <w:rStyle w:val="Hyperlink"/>
            <w:noProof/>
          </w:rPr>
          <w:t>https://ec.europa.eu/epale/sites/epale/files/zbornik</w:t>
        </w:r>
        <w:r>
          <w:rPr>
            <w:rStyle w:val="Hyperlink"/>
            <w:noProof/>
          </w:rPr>
          <w:t>_radova_znanstveno-strucnog_kolokvija_-_stanje_i_perspektive_obrazovanja_odraslih_u_republici_hrvatskoj_2016.pdf</w:t>
        </w:r>
      </w:hyperlink>
      <w:r>
        <w:rPr>
          <w:noProof/>
        </w:rPr>
        <w:t>).</w:t>
      </w:r>
    </w:p>
    <w:p w:rsidR="001E7162" w:rsidRDefault="00EC2A75">
      <w:pPr>
        <w:rPr>
          <w:noProof/>
        </w:rPr>
      </w:pPr>
      <w:r>
        <w:rPr>
          <w:noProof/>
        </w:rPr>
        <w:t xml:space="preserve">Center for Peace Studies (2016), </w:t>
      </w:r>
      <w:r>
        <w:rPr>
          <w:i/>
          <w:noProof/>
        </w:rPr>
        <w:t>Geometar nejednakosti</w:t>
      </w:r>
      <w:r>
        <w:rPr>
          <w:noProof/>
        </w:rPr>
        <w:t>, IPA 2011 Project (</w:t>
      </w:r>
      <w:hyperlink r:id="rId230" w:history="1">
        <w:r>
          <w:rPr>
            <w:rStyle w:val="Hyperlink"/>
            <w:noProof/>
          </w:rPr>
          <w:t>http://nejednakost.cms.hr/obrazovanje/</w:t>
        </w:r>
      </w:hyperlink>
      <w:r>
        <w:rPr>
          <w:noProof/>
        </w:rPr>
        <w:t>).</w:t>
      </w:r>
    </w:p>
    <w:p w:rsidR="001E7162" w:rsidRDefault="00EC2A75">
      <w:pPr>
        <w:rPr>
          <w:noProof/>
        </w:rPr>
      </w:pPr>
      <w:r>
        <w:rPr>
          <w:noProof/>
        </w:rPr>
        <w:t xml:space="preserve">Croatian National Bank (2017), </w:t>
      </w:r>
      <w:r>
        <w:rPr>
          <w:i/>
          <w:noProof/>
        </w:rPr>
        <w:t>Financial Stability Report</w:t>
      </w:r>
      <w:r>
        <w:rPr>
          <w:noProof/>
        </w:rPr>
        <w:t>, No 18, Croatian National Bank, Zagreb (</w:t>
      </w:r>
      <w:hyperlink r:id="rId231" w:history="1">
        <w:r>
          <w:rPr>
            <w:rStyle w:val="Hyperlink"/>
            <w:noProof/>
          </w:rPr>
          <w:t>www.h</w:t>
        </w:r>
        <w:r>
          <w:rPr>
            <w:rStyle w:val="Hyperlink"/>
            <w:noProof/>
          </w:rPr>
          <w:t>nb.hr/documents/20182/1972383/e-fs-18-2017.pdf/c738405d-b8b7-4e6f-9819-2e0f72e39715</w:t>
        </w:r>
      </w:hyperlink>
      <w:r>
        <w:rPr>
          <w:noProof/>
        </w:rPr>
        <w:t>).</w:t>
      </w:r>
    </w:p>
    <w:p w:rsidR="001E7162" w:rsidRDefault="00EC2A75">
      <w:pPr>
        <w:rPr>
          <w:noProof/>
        </w:rPr>
      </w:pPr>
      <w:r>
        <w:rPr>
          <w:noProof/>
        </w:rPr>
        <w:t xml:space="preserve">Dobrotić, I. and Matković, T. (2017), </w:t>
      </w:r>
      <w:r>
        <w:rPr>
          <w:i/>
          <w:noProof/>
        </w:rPr>
        <w:t>Pokazatelji obuhvaćenosti i ulaganja u redovne programe ranog i predškolskog odgoja i obrazovanja u Hrvatskoj u kontekstu postizanja</w:t>
      </w:r>
      <w:r>
        <w:rPr>
          <w:i/>
          <w:noProof/>
        </w:rPr>
        <w:t xml:space="preserve"> ciljeva iz Barcelone i pedagoškog standarda</w:t>
      </w:r>
      <w:r>
        <w:rPr>
          <w:noProof/>
        </w:rPr>
        <w:t>, unpublished.</w:t>
      </w:r>
    </w:p>
    <w:p w:rsidR="001E7162" w:rsidRDefault="00EC2A75">
      <w:pPr>
        <w:rPr>
          <w:noProof/>
        </w:rPr>
      </w:pPr>
      <w:r>
        <w:rPr>
          <w:noProof/>
        </w:rPr>
        <w:t xml:space="preserve">Ecorys Netherlands and Mazars (2017), </w:t>
      </w:r>
      <w:r>
        <w:rPr>
          <w:i/>
          <w:noProof/>
        </w:rPr>
        <w:t>Study about administrative formalities of important procedures and administrative burdens for businesses</w:t>
      </w:r>
      <w:r>
        <w:rPr>
          <w:noProof/>
        </w:rPr>
        <w:t>, study for the European Commission (DG for Internal Ma</w:t>
      </w:r>
      <w:r>
        <w:rPr>
          <w:noProof/>
        </w:rPr>
        <w:t>rket, Industry, Entrepreneurship and SMEs (DG GROWTH)), European Commission, Luxembourg (</w:t>
      </w:r>
      <w:hyperlink r:id="rId232" w:history="1">
        <w:r>
          <w:rPr>
            <w:rStyle w:val="Hyperlink"/>
            <w:noProof/>
          </w:rPr>
          <w:t>https://ec.europa.eu/gr</w:t>
        </w:r>
        <w:r>
          <w:rPr>
            <w:rStyle w:val="Hyperlink"/>
            <w:noProof/>
          </w:rPr>
          <w:t>owth/content/study-about-administrative-formalities-important-procedures-and-administrative-burdens-0_en</w:t>
        </w:r>
      </w:hyperlink>
      <w:r>
        <w:rPr>
          <w:noProof/>
        </w:rPr>
        <w:t>).</w:t>
      </w:r>
    </w:p>
    <w:p w:rsidR="001E7162" w:rsidRDefault="00EC2A75">
      <w:pPr>
        <w:rPr>
          <w:noProof/>
        </w:rPr>
      </w:pPr>
      <w:r>
        <w:rPr>
          <w:noProof/>
        </w:rPr>
        <w:t>European Centre for the Development of Vocational Training (CEDEFOP) and European Commission (DG for Employment, Social Affairs and Inclusion (DG EMP</w:t>
      </w:r>
      <w:r>
        <w:rPr>
          <w:noProof/>
        </w:rPr>
        <w:t xml:space="preserve">L)) (2017), </w:t>
      </w:r>
      <w:r>
        <w:rPr>
          <w:i/>
          <w:noProof/>
        </w:rPr>
        <w:t>Skills anticipation in Croatia</w:t>
      </w:r>
      <w:r>
        <w:rPr>
          <w:noProof/>
        </w:rPr>
        <w:t>, Skills Panorama (</w:t>
      </w:r>
      <w:hyperlink r:id="rId233" w:history="1">
        <w:r>
          <w:rPr>
            <w:rStyle w:val="Hyperlink"/>
            <w:noProof/>
          </w:rPr>
          <w:t>http://skillspanorama.cedefop.europa.eu/en/analytical_highligths/skills-anticipation-c</w:t>
        </w:r>
        <w:r>
          <w:rPr>
            <w:rStyle w:val="Hyperlink"/>
            <w:noProof/>
          </w:rPr>
          <w:t>roatia</w:t>
        </w:r>
      </w:hyperlink>
      <w:r>
        <w:rPr>
          <w:noProof/>
        </w:rPr>
        <w:t>).</w:t>
      </w:r>
    </w:p>
    <w:p w:rsidR="001E7162" w:rsidRDefault="00EC2A75">
      <w:pPr>
        <w:rPr>
          <w:noProof/>
        </w:rPr>
      </w:pPr>
      <w:r>
        <w:rPr>
          <w:noProof/>
        </w:rPr>
        <w:t xml:space="preserve">European Commission (2015), </w:t>
      </w:r>
      <w:r>
        <w:rPr>
          <w:i/>
          <w:noProof/>
        </w:rPr>
        <w:t>Attitudes of Europeans towards Tourism</w:t>
      </w:r>
      <w:r>
        <w:rPr>
          <w:noProof/>
        </w:rPr>
        <w:t>, Flash Eurobarometer, No 370, European Union, Brussels (</w:t>
      </w:r>
      <w:hyperlink r:id="rId234" w:history="1">
        <w:r>
          <w:rPr>
            <w:rStyle w:val="Hyperlink"/>
            <w:noProof/>
          </w:rPr>
          <w:t>https://data.europa.eu/euodp/data/dataset/S1072_370</w:t>
        </w:r>
      </w:hyperlink>
      <w:r>
        <w:rPr>
          <w:noProof/>
        </w:rPr>
        <w:t xml:space="preserve">).  </w:t>
      </w:r>
    </w:p>
    <w:p w:rsidR="001E7162" w:rsidRDefault="00EC2A75">
      <w:pPr>
        <w:rPr>
          <w:noProof/>
        </w:rPr>
      </w:pPr>
      <w:r>
        <w:rPr>
          <w:noProof/>
        </w:rPr>
        <w:t xml:space="preserve">European Commission (2016a), </w:t>
      </w:r>
      <w:r>
        <w:rPr>
          <w:i/>
          <w:noProof/>
        </w:rPr>
        <w:t>Annual Implementation Report on the Operational Programme Competitiveness and Cohesion 2014-2020</w:t>
      </w:r>
      <w:r>
        <w:rPr>
          <w:noProof/>
        </w:rPr>
        <w:t>, European Commission, Brussels.</w:t>
      </w:r>
    </w:p>
    <w:p w:rsidR="001E7162" w:rsidRDefault="00EC2A75">
      <w:pPr>
        <w:rPr>
          <w:noProof/>
        </w:rPr>
      </w:pPr>
      <w:r>
        <w:rPr>
          <w:noProof/>
        </w:rPr>
        <w:t xml:space="preserve">European Commission (DG for Economic and Financial Affairs (DG ECFIN)) (2016b), </w:t>
      </w:r>
      <w:r>
        <w:rPr>
          <w:i/>
          <w:noProof/>
        </w:rPr>
        <w:t>Country report Cro</w:t>
      </w:r>
      <w:r>
        <w:rPr>
          <w:i/>
          <w:noProof/>
        </w:rPr>
        <w:t>atia 2016. Including an in-depth review on the prevention and correction of macroeconomic imbalances</w:t>
      </w:r>
      <w:r>
        <w:rPr>
          <w:noProof/>
        </w:rPr>
        <w:t>, European Economy Institutional Papers, European Commission, Brussels (</w:t>
      </w:r>
      <w:hyperlink r:id="rId235" w:history="1">
        <w:r>
          <w:rPr>
            <w:rStyle w:val="Hyperlink"/>
            <w:noProof/>
          </w:rPr>
          <w:t>https://ec.europa.eu/info/sites/info/files/2017-european-semester-country-report-croatia-en.pdf</w:t>
        </w:r>
      </w:hyperlink>
      <w:r>
        <w:rPr>
          <w:noProof/>
        </w:rPr>
        <w:t>).</w:t>
      </w:r>
    </w:p>
    <w:p w:rsidR="001E7162" w:rsidRDefault="00EC2A75">
      <w:pPr>
        <w:rPr>
          <w:noProof/>
        </w:rPr>
      </w:pPr>
      <w:r>
        <w:rPr>
          <w:noProof/>
        </w:rPr>
        <w:t xml:space="preserve">European Commission (2016c), </w:t>
      </w:r>
      <w:r>
        <w:rPr>
          <w:i/>
          <w:noProof/>
        </w:rPr>
        <w:t>Progress Report on the implementation of Partnership Agreement</w:t>
      </w:r>
      <w:r>
        <w:rPr>
          <w:noProof/>
        </w:rPr>
        <w:t>, European Commission, Brussels.</w:t>
      </w:r>
    </w:p>
    <w:p w:rsidR="001E7162" w:rsidRDefault="00EC2A75">
      <w:pPr>
        <w:rPr>
          <w:noProof/>
        </w:rPr>
      </w:pPr>
      <w:r>
        <w:rPr>
          <w:noProof/>
        </w:rPr>
        <w:t>Europe</w:t>
      </w:r>
      <w:r>
        <w:rPr>
          <w:noProof/>
        </w:rPr>
        <w:t xml:space="preserve">an Commission (2016d), </w:t>
      </w:r>
      <w:r>
        <w:rPr>
          <w:i/>
          <w:noProof/>
        </w:rPr>
        <w:t>Report on Public Finances in EMU</w:t>
      </w:r>
      <w:r>
        <w:rPr>
          <w:noProof/>
        </w:rPr>
        <w:t>, European Economy Institutional Papers, No 45, Publications Office of the European Union, Luxembourg (</w:t>
      </w:r>
      <w:hyperlink r:id="rId236" w:history="1">
        <w:r>
          <w:rPr>
            <w:rStyle w:val="Hyperlink"/>
            <w:noProof/>
          </w:rPr>
          <w:t>https://ec.europa.eu/inf</w:t>
        </w:r>
        <w:r>
          <w:rPr>
            <w:rStyle w:val="Hyperlink"/>
            <w:noProof/>
          </w:rPr>
          <w:t>o/sites/info/files/ip045_en_0.pdf</w:t>
        </w:r>
      </w:hyperlink>
      <w:r>
        <w:rPr>
          <w:noProof/>
        </w:rPr>
        <w:t>).</w:t>
      </w:r>
    </w:p>
    <w:p w:rsidR="001E7162" w:rsidRDefault="00EC2A75">
      <w:pPr>
        <w:rPr>
          <w:noProof/>
        </w:rPr>
      </w:pPr>
      <w:r>
        <w:rPr>
          <w:noProof/>
        </w:rPr>
        <w:t xml:space="preserve">European Commission (2016e), </w:t>
      </w:r>
      <w:r>
        <w:rPr>
          <w:i/>
          <w:noProof/>
        </w:rPr>
        <w:t>Public opinion in the European Union</w:t>
      </w:r>
      <w:r>
        <w:rPr>
          <w:noProof/>
        </w:rPr>
        <w:t>, Standard Eurobarometer, No 85, European Union, Brussels (</w:t>
      </w:r>
      <w:hyperlink r:id="rId237" w:history="1">
        <w:r>
          <w:rPr>
            <w:rStyle w:val="Hyperlink"/>
            <w:noProof/>
          </w:rPr>
          <w:t>http://data.eur</w:t>
        </w:r>
        <w:r>
          <w:rPr>
            <w:rStyle w:val="Hyperlink"/>
            <w:noProof/>
          </w:rPr>
          <w:t>opa.eu/euodp/en/data/dataset/S2130_85_2_STD85_ENG</w:t>
        </w:r>
      </w:hyperlink>
      <w:r>
        <w:rPr>
          <w:noProof/>
        </w:rPr>
        <w:t xml:space="preserve">).  </w:t>
      </w:r>
    </w:p>
    <w:p w:rsidR="001E7162" w:rsidRDefault="00EC2A75">
      <w:pPr>
        <w:rPr>
          <w:noProof/>
        </w:rPr>
      </w:pPr>
      <w:r>
        <w:rPr>
          <w:noProof/>
        </w:rPr>
        <w:t xml:space="preserve">European Commission (DG for Employment, Social Affairs and Inclusion (DG EMPL)) (2017a), </w:t>
      </w:r>
      <w:r>
        <w:rPr>
          <w:i/>
          <w:noProof/>
        </w:rPr>
        <w:t>2018 European Semester: Draft Joint Employment Report</w:t>
      </w:r>
      <w:r>
        <w:rPr>
          <w:noProof/>
        </w:rPr>
        <w:t>, European Commission, Brussels (</w:t>
      </w:r>
      <w:hyperlink r:id="rId238" w:history="1">
        <w:r>
          <w:rPr>
            <w:rStyle w:val="Hyperlink"/>
            <w:noProof/>
          </w:rPr>
          <w:t>https://ec.europa.eu/info/publications/2018-european-semester-draft-joint-employment-report_en</w:t>
        </w:r>
      </w:hyperlink>
      <w:r>
        <w:rPr>
          <w:noProof/>
        </w:rPr>
        <w:t>).</w:t>
      </w:r>
    </w:p>
    <w:p w:rsidR="001E7162" w:rsidRDefault="00EC2A75">
      <w:pPr>
        <w:rPr>
          <w:noProof/>
        </w:rPr>
      </w:pPr>
      <w:r>
        <w:rPr>
          <w:noProof/>
        </w:rPr>
        <w:t>European Commission (2017b),</w:t>
      </w:r>
      <w:r>
        <w:rPr>
          <w:i/>
          <w:noProof/>
        </w:rPr>
        <w:t xml:space="preserve"> Alert Mechanism Report 2018</w:t>
      </w:r>
      <w:r>
        <w:rPr>
          <w:noProof/>
        </w:rPr>
        <w:t xml:space="preserve">, European </w:t>
      </w:r>
      <w:r>
        <w:rPr>
          <w:noProof/>
        </w:rPr>
        <w:t>Commission, Brussels (</w:t>
      </w:r>
      <w:hyperlink r:id="rId239" w:history="1">
        <w:r>
          <w:rPr>
            <w:rStyle w:val="Hyperlink"/>
            <w:noProof/>
          </w:rPr>
          <w:t>https://ec.europa.eu/info/sites/info/files/economy-finance/com-2017-771-en.pdf</w:t>
        </w:r>
      </w:hyperlink>
      <w:r>
        <w:rPr>
          <w:noProof/>
        </w:rPr>
        <w:t>).</w:t>
      </w:r>
    </w:p>
    <w:p w:rsidR="001E7162" w:rsidRDefault="00EC2A75">
      <w:pPr>
        <w:rPr>
          <w:noProof/>
        </w:rPr>
      </w:pPr>
      <w:r>
        <w:rPr>
          <w:noProof/>
        </w:rPr>
        <w:t xml:space="preserve">European Commission (2017c), </w:t>
      </w:r>
      <w:r>
        <w:rPr>
          <w:i/>
          <w:noProof/>
        </w:rPr>
        <w:t>Benchmarks for the assessment</w:t>
      </w:r>
      <w:r>
        <w:rPr>
          <w:i/>
          <w:noProof/>
        </w:rPr>
        <w:t xml:space="preserve"> of private debt, Note for the Economic Policy Committee</w:t>
      </w:r>
      <w:r>
        <w:rPr>
          <w:noProof/>
        </w:rPr>
        <w:t>.</w:t>
      </w:r>
    </w:p>
    <w:p w:rsidR="001E7162" w:rsidRDefault="00EC2A75">
      <w:pPr>
        <w:rPr>
          <w:noProof/>
        </w:rPr>
      </w:pPr>
      <w:r>
        <w:rPr>
          <w:noProof/>
        </w:rPr>
        <w:t xml:space="preserve">European Commission (2017d), </w:t>
      </w:r>
      <w:r>
        <w:rPr>
          <w:i/>
          <w:noProof/>
        </w:rPr>
        <w:t>Businesses’ attitudes towards corruption in the EU</w:t>
      </w:r>
      <w:r>
        <w:rPr>
          <w:noProof/>
        </w:rPr>
        <w:t>, Flash Business Eurobarometer, No 457, European Union, Brussels (</w:t>
      </w:r>
      <w:hyperlink r:id="rId240" w:history="1">
        <w:r>
          <w:rPr>
            <w:rStyle w:val="Hyperlink"/>
            <w:noProof/>
          </w:rPr>
          <w:t>https://data.europa.eu/euodp/data/dataset/S2177_457_ENG</w:t>
        </w:r>
      </w:hyperlink>
      <w:r>
        <w:rPr>
          <w:noProof/>
        </w:rPr>
        <w:t xml:space="preserve">).  </w:t>
      </w:r>
    </w:p>
    <w:p w:rsidR="001E7162" w:rsidRDefault="00EC2A75">
      <w:pPr>
        <w:rPr>
          <w:noProof/>
        </w:rPr>
      </w:pPr>
      <w:r>
        <w:rPr>
          <w:noProof/>
        </w:rPr>
        <w:t xml:space="preserve">European Commission (2017e), </w:t>
      </w:r>
      <w:r>
        <w:rPr>
          <w:i/>
          <w:noProof/>
        </w:rPr>
        <w:t>Corruption. Report</w:t>
      </w:r>
      <w:r>
        <w:rPr>
          <w:noProof/>
        </w:rPr>
        <w:t>, Special Eurobarometer, No 470, European Union, Brussels (</w:t>
      </w:r>
      <w:hyperlink r:id="rId241" w:history="1">
        <w:r>
          <w:rPr>
            <w:rStyle w:val="Hyperlink"/>
            <w:noProof/>
          </w:rPr>
          <w:t>https://data.europa.eu/euodp/data/dataset/S2176_88_2_470_ENG</w:t>
        </w:r>
      </w:hyperlink>
      <w:r>
        <w:rPr>
          <w:noProof/>
        </w:rPr>
        <w:t>).</w:t>
      </w:r>
    </w:p>
    <w:p w:rsidR="001E7162" w:rsidRDefault="00EC2A75">
      <w:pPr>
        <w:rPr>
          <w:noProof/>
        </w:rPr>
      </w:pPr>
      <w:r>
        <w:rPr>
          <w:noProof/>
        </w:rPr>
        <w:t xml:space="preserve">European Commission (DG for Economic and Financial Affairs (DG ECFIN)) (2017f), </w:t>
      </w:r>
      <w:r>
        <w:rPr>
          <w:i/>
          <w:noProof/>
        </w:rPr>
        <w:t>Country report Croatia 2017. Including an in-depth review on the prevention and correction of macroeconomic</w:t>
      </w:r>
      <w:r>
        <w:rPr>
          <w:i/>
          <w:noProof/>
        </w:rPr>
        <w:t xml:space="preserve"> imbalances</w:t>
      </w:r>
      <w:r>
        <w:rPr>
          <w:noProof/>
        </w:rPr>
        <w:t>, European Economy Institutional Papers, European Commission, Brussels (</w:t>
      </w:r>
      <w:hyperlink r:id="rId242" w:history="1">
        <w:r>
          <w:rPr>
            <w:rStyle w:val="Hyperlink"/>
            <w:noProof/>
          </w:rPr>
          <w:t>https://ec.europa.eu/info/sites/info/files/2017-european-seme</w:t>
        </w:r>
        <w:r>
          <w:rPr>
            <w:rStyle w:val="Hyperlink"/>
            <w:noProof/>
          </w:rPr>
          <w:t>ster-country-report-croatia-en.pdf</w:t>
        </w:r>
      </w:hyperlink>
      <w:r>
        <w:rPr>
          <w:noProof/>
        </w:rPr>
        <w:t>).</w:t>
      </w:r>
    </w:p>
    <w:p w:rsidR="001E7162" w:rsidRDefault="00EC2A75">
      <w:pPr>
        <w:rPr>
          <w:noProof/>
        </w:rPr>
      </w:pPr>
      <w:r>
        <w:rPr>
          <w:noProof/>
        </w:rPr>
        <w:t xml:space="preserve">European Commission (2017g), </w:t>
      </w:r>
      <w:r>
        <w:rPr>
          <w:i/>
          <w:noProof/>
        </w:rPr>
        <w:t>Digital economy and society index 2017 – Croatia</w:t>
      </w:r>
      <w:r>
        <w:rPr>
          <w:noProof/>
        </w:rPr>
        <w:t>, European Commission, Brussels (</w:t>
      </w:r>
      <w:hyperlink r:id="rId243" w:history="1">
        <w:r>
          <w:rPr>
            <w:rStyle w:val="Hyperlink"/>
            <w:noProof/>
          </w:rPr>
          <w:t>https://ec.europa.eu/digital-single-market/en/news/digital-economy-and-society-index-desi-2017</w:t>
        </w:r>
      </w:hyperlink>
      <w:r>
        <w:rPr>
          <w:noProof/>
        </w:rPr>
        <w:t>).</w:t>
      </w:r>
    </w:p>
    <w:p w:rsidR="001E7162" w:rsidRDefault="00EC2A75">
      <w:pPr>
        <w:rPr>
          <w:noProof/>
        </w:rPr>
      </w:pPr>
      <w:r>
        <w:rPr>
          <w:noProof/>
        </w:rPr>
        <w:t xml:space="preserve">European Commission (2017h), </w:t>
      </w:r>
      <w:r>
        <w:rPr>
          <w:i/>
          <w:noProof/>
        </w:rPr>
        <w:t>Education and Training Monitor 2017 — Country Analysis, Croatia</w:t>
      </w:r>
      <w:r>
        <w:rPr>
          <w:noProof/>
        </w:rPr>
        <w:t>, Publications Office of the European Union, Luxembourg (</w:t>
      </w:r>
      <w:hyperlink r:id="rId244" w:history="1">
        <w:r>
          <w:rPr>
            <w:rStyle w:val="Hyperlink"/>
            <w:noProof/>
          </w:rPr>
          <w:t>http://ec.europa.eu/education/sites/education/files/monitor2017_en.pdf</w:t>
        </w:r>
      </w:hyperlink>
      <w:r>
        <w:rPr>
          <w:noProof/>
        </w:rPr>
        <w:t>).</w:t>
      </w:r>
    </w:p>
    <w:p w:rsidR="001E7162" w:rsidRDefault="00EC2A75">
      <w:pPr>
        <w:rPr>
          <w:noProof/>
        </w:rPr>
      </w:pPr>
      <w:r>
        <w:rPr>
          <w:noProof/>
        </w:rPr>
        <w:t xml:space="preserve">European Commission (2017i), </w:t>
      </w:r>
      <w:r>
        <w:rPr>
          <w:i/>
          <w:noProof/>
        </w:rPr>
        <w:t>Empirical current account benchmarks: modelling the impact of demographic v</w:t>
      </w:r>
      <w:r>
        <w:rPr>
          <w:i/>
          <w:noProof/>
        </w:rPr>
        <w:t>ariables</w:t>
      </w:r>
      <w:r>
        <w:rPr>
          <w:noProof/>
        </w:rPr>
        <w:t>, LIME Working Group, 24 April 2017.</w:t>
      </w:r>
    </w:p>
    <w:p w:rsidR="001E7162" w:rsidRDefault="00EC2A75">
      <w:pPr>
        <w:rPr>
          <w:noProof/>
        </w:rPr>
      </w:pPr>
      <w:r>
        <w:rPr>
          <w:noProof/>
        </w:rPr>
        <w:t xml:space="preserve">European Commission (DG for Employement, Social Affairs and Inclusion (DG EMPL)) (2017j), </w:t>
      </w:r>
      <w:r>
        <w:rPr>
          <w:i/>
          <w:noProof/>
        </w:rPr>
        <w:t>Labour Market and Wage Developments in Europe. Annual Review 2017</w:t>
      </w:r>
      <w:r>
        <w:rPr>
          <w:noProof/>
        </w:rPr>
        <w:t xml:space="preserve">, Publications Office of the European Union, Luxembourg </w:t>
      </w:r>
      <w:r>
        <w:rPr>
          <w:noProof/>
        </w:rPr>
        <w:t>(</w:t>
      </w:r>
      <w:hyperlink r:id="rId245" w:history="1">
        <w:r>
          <w:rPr>
            <w:rStyle w:val="Hyperlink"/>
            <w:noProof/>
          </w:rPr>
          <w:t>https://publications.europa.eu/en/publication-detail/-/publication/2df2eaca-b3b0-11e7-837e-01aa75ed71a1/language-en</w:t>
        </w:r>
      </w:hyperlink>
      <w:r>
        <w:rPr>
          <w:noProof/>
        </w:rPr>
        <w:t xml:space="preserve">). </w:t>
      </w:r>
    </w:p>
    <w:p w:rsidR="001E7162" w:rsidRDefault="00EC2A75">
      <w:pPr>
        <w:rPr>
          <w:noProof/>
        </w:rPr>
      </w:pPr>
      <w:r>
        <w:rPr>
          <w:noProof/>
        </w:rPr>
        <w:t>Euro</w:t>
      </w:r>
      <w:r>
        <w:rPr>
          <w:noProof/>
        </w:rPr>
        <w:t>pean Commission (DG Taxation and Customs Union (DG TAXUD)) (2017k),</w:t>
      </w:r>
      <w:r>
        <w:rPr>
          <w:i/>
          <w:noProof/>
        </w:rPr>
        <w:t xml:space="preserve"> Taxation Trends in the European Union. Data for the EU Member States, Iceland and Norway. 2018 edition</w:t>
      </w:r>
      <w:r>
        <w:rPr>
          <w:noProof/>
        </w:rPr>
        <w:t>, European Union, Luxembourg (</w:t>
      </w:r>
      <w:hyperlink r:id="rId246" w:history="1">
        <w:r>
          <w:rPr>
            <w:rStyle w:val="Hyperlink"/>
            <w:noProof/>
          </w:rPr>
          <w:t>https://ec.europa.eu/taxation_customs/sites/taxation/files/taxation_trends_report_2017.pdf</w:t>
        </w:r>
      </w:hyperlink>
      <w:r>
        <w:rPr>
          <w:noProof/>
        </w:rPr>
        <w:t>).</w:t>
      </w:r>
    </w:p>
    <w:p w:rsidR="001E7162" w:rsidRDefault="00EC2A75">
      <w:pPr>
        <w:rPr>
          <w:noProof/>
        </w:rPr>
      </w:pPr>
      <w:r>
        <w:rPr>
          <w:noProof/>
        </w:rPr>
        <w:t xml:space="preserve">European Commission (2018a), </w:t>
      </w:r>
      <w:r>
        <w:rPr>
          <w:i/>
          <w:noProof/>
        </w:rPr>
        <w:t>Digital Scoreboard</w:t>
      </w:r>
      <w:r>
        <w:rPr>
          <w:noProof/>
        </w:rPr>
        <w:t>.</w:t>
      </w:r>
    </w:p>
    <w:p w:rsidR="001E7162" w:rsidRDefault="00EC2A75">
      <w:pPr>
        <w:rPr>
          <w:noProof/>
        </w:rPr>
      </w:pPr>
      <w:r>
        <w:rPr>
          <w:noProof/>
        </w:rPr>
        <w:t xml:space="preserve">European Commission (DG Taxation and Customs Union (DG TAXUD)) </w:t>
      </w:r>
      <w:r>
        <w:rPr>
          <w:noProof/>
        </w:rPr>
        <w:t xml:space="preserve">(2018b), </w:t>
      </w:r>
      <w:r>
        <w:rPr>
          <w:i/>
          <w:noProof/>
        </w:rPr>
        <w:t>Taxation trends in the european union. Data for the EU member states, Iceland and Norway. 2018 edition</w:t>
      </w:r>
      <w:r>
        <w:rPr>
          <w:noProof/>
        </w:rPr>
        <w:t>, Publications Office of the European Union, Luxembourg, forthcoming.</w:t>
      </w:r>
    </w:p>
    <w:p w:rsidR="001E7162" w:rsidRDefault="00EC2A75">
      <w:pPr>
        <w:rPr>
          <w:noProof/>
        </w:rPr>
      </w:pPr>
      <w:r>
        <w:rPr>
          <w:noProof/>
        </w:rPr>
        <w:t xml:space="preserve">European Commission (2018c), </w:t>
      </w:r>
      <w:r>
        <w:rPr>
          <w:i/>
          <w:noProof/>
        </w:rPr>
        <w:t>European Public Administration Country Knowled</w:t>
      </w:r>
      <w:r>
        <w:rPr>
          <w:i/>
          <w:noProof/>
        </w:rPr>
        <w:t>ge (EUPACK)</w:t>
      </w:r>
      <w:r>
        <w:rPr>
          <w:noProof/>
        </w:rPr>
        <w:t xml:space="preserve"> (</w:t>
      </w:r>
      <w:hyperlink r:id="rId247" w:history="1">
        <w:r>
          <w:rPr>
            <w:rStyle w:val="Hyperlink"/>
            <w:noProof/>
          </w:rPr>
          <w:t>https://www.hertie-school.org/en/eupack/</w:t>
        </w:r>
      </w:hyperlink>
      <w:r>
        <w:rPr>
          <w:noProof/>
        </w:rPr>
        <w:t xml:space="preserve">). </w:t>
      </w:r>
    </w:p>
    <w:p w:rsidR="001E7162" w:rsidRDefault="00EC2A75">
      <w:pPr>
        <w:rPr>
          <w:noProof/>
        </w:rPr>
      </w:pPr>
      <w:r>
        <w:rPr>
          <w:noProof/>
        </w:rPr>
        <w:t xml:space="preserve">European Investment Bank (EIB) (2017), 'EIB Group reaffirms commitment to financing in the Western Balkans', </w:t>
      </w:r>
      <w:r>
        <w:rPr>
          <w:i/>
          <w:noProof/>
        </w:rPr>
        <w:t>EIF press release</w:t>
      </w:r>
      <w:r>
        <w:rPr>
          <w:noProof/>
        </w:rPr>
        <w:t>, Luxembourg (</w:t>
      </w:r>
      <w:hyperlink r:id="rId248" w:history="1">
        <w:r>
          <w:rPr>
            <w:rStyle w:val="Hyperlink"/>
            <w:noProof/>
          </w:rPr>
          <w:t>www.eif.org/what_we_do/equity/news/2017/wbedif_cosme_western_balkans.htm</w:t>
        </w:r>
      </w:hyperlink>
      <w:r>
        <w:rPr>
          <w:noProof/>
        </w:rPr>
        <w:t>).</w:t>
      </w:r>
    </w:p>
    <w:p w:rsidR="001E7162" w:rsidRDefault="00EC2A75">
      <w:pPr>
        <w:rPr>
          <w:noProof/>
        </w:rPr>
      </w:pPr>
      <w:r>
        <w:rPr>
          <w:noProof/>
        </w:rPr>
        <w:t xml:space="preserve">EY (2017), </w:t>
      </w:r>
      <w:r>
        <w:rPr>
          <w:i/>
          <w:noProof/>
        </w:rPr>
        <w:t>EMEIA fraud survey 2017</w:t>
      </w:r>
      <w:r>
        <w:rPr>
          <w:noProof/>
        </w:rPr>
        <w:t xml:space="preserve"> (</w:t>
      </w:r>
      <w:hyperlink r:id="rId249" w:history="1">
        <w:r>
          <w:rPr>
            <w:rStyle w:val="Hyperlink"/>
            <w:noProof/>
          </w:rPr>
          <w:t>https:</w:t>
        </w:r>
        <w:r>
          <w:rPr>
            <w:rStyle w:val="Hyperlink"/>
            <w:noProof/>
          </w:rPr>
          <w:t>//fraudsurveys.ey.com/</w:t>
        </w:r>
      </w:hyperlink>
      <w:r>
        <w:rPr>
          <w:noProof/>
        </w:rPr>
        <w:t>).</w:t>
      </w:r>
    </w:p>
    <w:p w:rsidR="001E7162" w:rsidRDefault="00EC2A75">
      <w:pPr>
        <w:rPr>
          <w:noProof/>
        </w:rPr>
      </w:pPr>
      <w:r>
        <w:rPr>
          <w:noProof/>
        </w:rPr>
        <w:t xml:space="preserve">GAN Integrity (2017), </w:t>
      </w:r>
      <w:r>
        <w:rPr>
          <w:i/>
          <w:noProof/>
        </w:rPr>
        <w:t>Croatia corruption report</w:t>
      </w:r>
      <w:r>
        <w:rPr>
          <w:noProof/>
        </w:rPr>
        <w:t>, GAN (</w:t>
      </w:r>
      <w:hyperlink r:id="rId250" w:history="1">
        <w:r>
          <w:rPr>
            <w:rStyle w:val="Hyperlink"/>
            <w:noProof/>
          </w:rPr>
          <w:t>www.business-anti-corruption.com/country-profiles/croatia</w:t>
        </w:r>
      </w:hyperlink>
      <w:r>
        <w:rPr>
          <w:noProof/>
        </w:rPr>
        <w:t>).</w:t>
      </w:r>
    </w:p>
    <w:p w:rsidR="001E7162" w:rsidRDefault="00EC2A75">
      <w:pPr>
        <w:rPr>
          <w:noProof/>
        </w:rPr>
      </w:pPr>
      <w:r>
        <w:rPr>
          <w:noProof/>
        </w:rPr>
        <w:t>National Statistics Office (2017), </w:t>
      </w:r>
      <w:r>
        <w:rPr>
          <w:i/>
          <w:noProof/>
        </w:rPr>
        <w:t>G</w:t>
      </w:r>
      <w:r>
        <w:rPr>
          <w:i/>
          <w:noProof/>
        </w:rPr>
        <w:t>ross domestic product for republic of Croatia. Nuts 2013 – 2nd level and counties, 2014</w:t>
      </w:r>
      <w:r>
        <w:rPr>
          <w:noProof/>
        </w:rPr>
        <w:t>, (</w:t>
      </w:r>
      <w:hyperlink r:id="rId251" w:history="1">
        <w:r>
          <w:rPr>
            <w:rStyle w:val="Hyperlink"/>
            <w:noProof/>
          </w:rPr>
          <w:t>https://www.dzs.hr/Hrv_Eng/publication/2017/12-01-03_01_2017.htm</w:t>
        </w:r>
      </w:hyperlink>
      <w:r>
        <w:rPr>
          <w:noProof/>
        </w:rPr>
        <w:t>).</w:t>
      </w:r>
    </w:p>
    <w:p w:rsidR="001E7162" w:rsidRDefault="00EC2A75">
      <w:pPr>
        <w:rPr>
          <w:noProof/>
        </w:rPr>
      </w:pPr>
      <w:r>
        <w:rPr>
          <w:noProof/>
        </w:rPr>
        <w:t xml:space="preserve">OECD and European </w:t>
      </w:r>
      <w:r>
        <w:rPr>
          <w:noProof/>
        </w:rPr>
        <w:t xml:space="preserve">Observatory on Health Systems and Policies (2017), </w:t>
      </w:r>
      <w:r>
        <w:rPr>
          <w:i/>
          <w:noProof/>
        </w:rPr>
        <w:t>Croatia: country health profile 2017</w:t>
      </w:r>
      <w:r>
        <w:rPr>
          <w:noProof/>
        </w:rPr>
        <w:t>, State of Health in the EU, OECD Publishing / European Observatory on Health Systems and Policies, Paris / Brussels (</w:t>
      </w:r>
      <w:hyperlink r:id="rId252" w:history="1">
        <w:r>
          <w:rPr>
            <w:rStyle w:val="Hyperlink"/>
            <w:noProof/>
          </w:rPr>
          <w:t>http://dx.doi.org/10.1787/9789264283312-en</w:t>
        </w:r>
      </w:hyperlink>
      <w:r>
        <w:rPr>
          <w:noProof/>
        </w:rPr>
        <w:t>).</w:t>
      </w:r>
    </w:p>
    <w:p w:rsidR="001E7162" w:rsidRDefault="00EC2A75">
      <w:pPr>
        <w:rPr>
          <w:noProof/>
        </w:rPr>
      </w:pPr>
      <w:r>
        <w:rPr>
          <w:noProof/>
        </w:rPr>
        <w:t xml:space="preserve">Ott, K. and al. (Institute of Public Finance) (2017), </w:t>
      </w:r>
      <w:r>
        <w:rPr>
          <w:i/>
          <w:noProof/>
        </w:rPr>
        <w:t>Budget transparency in Croatian counties, cities and municipalities</w:t>
      </w:r>
      <w:r>
        <w:rPr>
          <w:noProof/>
        </w:rPr>
        <w:t>, Institute of Public Finance, Zagreb (</w:t>
      </w:r>
      <w:hyperlink r:id="rId253" w:history="1">
        <w:r>
          <w:rPr>
            <w:rStyle w:val="Hyperlink"/>
            <w:noProof/>
          </w:rPr>
          <w:t>www.ijf.hr/upload/files/file/ENG/newsletter/112.pdf</w:t>
        </w:r>
      </w:hyperlink>
      <w:r>
        <w:rPr>
          <w:noProof/>
        </w:rPr>
        <w:t>).</w:t>
      </w:r>
    </w:p>
    <w:p w:rsidR="001E7162" w:rsidRDefault="00EC2A75">
      <w:pPr>
        <w:rPr>
          <w:noProof/>
        </w:rPr>
      </w:pPr>
      <w:r>
        <w:rPr>
          <w:noProof/>
        </w:rPr>
        <w:t xml:space="preserve">Podumljak, M. and E. Dávid-Barrett (2015), </w:t>
      </w:r>
      <w:r>
        <w:rPr>
          <w:i/>
          <w:noProof/>
        </w:rPr>
        <w:t>The public procurement of construction works: the case of Croatia</w:t>
      </w:r>
      <w:r>
        <w:rPr>
          <w:noProof/>
        </w:rPr>
        <w:t>, Anticorrp Project, Partnership for Social Development, Zagre</w:t>
      </w:r>
      <w:r>
        <w:rPr>
          <w:noProof/>
        </w:rPr>
        <w:t>b (</w:t>
      </w:r>
      <w:hyperlink r:id="rId254" w:history="1">
        <w:r>
          <w:rPr>
            <w:rStyle w:val="Hyperlink"/>
            <w:noProof/>
          </w:rPr>
          <w:t>https://www.vkontrole.lt/tf/files/files/The%20Public%20Procurement%20of%20Construction%20Work-The%20Case%20of%20C</w:t>
        </w:r>
        <w:r>
          <w:rPr>
            <w:rStyle w:val="Hyperlink"/>
            <w:noProof/>
          </w:rPr>
          <w:t>roatia.pdf</w:t>
        </w:r>
      </w:hyperlink>
      <w:r>
        <w:rPr>
          <w:noProof/>
        </w:rPr>
        <w:t>).</w:t>
      </w:r>
    </w:p>
    <w:p w:rsidR="001E7162" w:rsidRDefault="00EC2A75">
      <w:pPr>
        <w:rPr>
          <w:noProof/>
        </w:rPr>
      </w:pPr>
      <w:r>
        <w:rPr>
          <w:noProof/>
        </w:rPr>
        <w:t xml:space="preserve">Simoes, A. J. G. and C. A. Hidalgo (2011), 'The Economic Complexity Observatory: An Analytical Tool for Understanding the Dynamics of Economic Development', </w:t>
      </w:r>
      <w:r>
        <w:rPr>
          <w:i/>
          <w:noProof/>
        </w:rPr>
        <w:t>Scalable Integration of Analytics and Visualization</w:t>
      </w:r>
      <w:r>
        <w:rPr>
          <w:noProof/>
        </w:rPr>
        <w:t>, Papers from the 2011 AAAI Worksho</w:t>
      </w:r>
      <w:r>
        <w:rPr>
          <w:noProof/>
        </w:rPr>
        <w:t>p, Association for the Advancement of Artificial Intelligence (AAI), Palo Alto (</w:t>
      </w:r>
      <w:hyperlink r:id="rId255" w:history="1">
        <w:r>
          <w:rPr>
            <w:rStyle w:val="Hyperlink"/>
            <w:noProof/>
          </w:rPr>
          <w:t>https://pdfs.semanticscholar.org/7733/68ce1faa36d9ac833b3c3412d136033b91c1.pdf</w:t>
        </w:r>
      </w:hyperlink>
      <w:r>
        <w:rPr>
          <w:noProof/>
        </w:rPr>
        <w:t xml:space="preserve">). </w:t>
      </w:r>
    </w:p>
    <w:p w:rsidR="001E7162" w:rsidRDefault="00EC2A75">
      <w:pPr>
        <w:rPr>
          <w:noProof/>
        </w:rPr>
      </w:pPr>
      <w:r>
        <w:rPr>
          <w:noProof/>
        </w:rPr>
        <w:t xml:space="preserve">South East European Centre for Entrepreneurial Learning (SEECEL) (2017), </w:t>
      </w:r>
      <w:r>
        <w:rPr>
          <w:i/>
          <w:noProof/>
        </w:rPr>
        <w:t>Strengthening the capacities of the chambers and partners to help SMEs to engage in apprenticeship. Analysis of the current status of the apprenticeship scheme in Croatia</w:t>
      </w:r>
      <w:r>
        <w:rPr>
          <w:noProof/>
        </w:rPr>
        <w:t>, Project Ca</w:t>
      </w:r>
      <w:r>
        <w:rPr>
          <w:noProof/>
        </w:rPr>
        <w:t>p4App, Croatian Chamber of Economy, Zagreb (</w:t>
      </w:r>
      <w:hyperlink r:id="rId256" w:history="1">
        <w:r>
          <w:rPr>
            <w:rStyle w:val="Hyperlink"/>
            <w:noProof/>
          </w:rPr>
          <w:t>www.hgk.hr/documents/seecel-reportfinalreviewed58e5fad85b0fe.pdf</w:t>
        </w:r>
      </w:hyperlink>
      <w:r>
        <w:rPr>
          <w:noProof/>
        </w:rPr>
        <w:t>).</w:t>
      </w:r>
    </w:p>
    <w:p w:rsidR="001E7162" w:rsidRDefault="00EC2A75">
      <w:pPr>
        <w:rPr>
          <w:noProof/>
        </w:rPr>
      </w:pPr>
      <w:r>
        <w:rPr>
          <w:noProof/>
        </w:rPr>
        <w:t xml:space="preserve">Vehovec, M. (ed.) (2014), </w:t>
      </w:r>
      <w:r>
        <w:rPr>
          <w:i/>
          <w:noProof/>
        </w:rPr>
        <w:t>O zdravstvu iz ekonomske perspe</w:t>
      </w:r>
      <w:r>
        <w:rPr>
          <w:i/>
          <w:noProof/>
        </w:rPr>
        <w:t>ctive</w:t>
      </w:r>
      <w:r>
        <w:rPr>
          <w:noProof/>
        </w:rPr>
        <w:t>, Ekonomski institut, Zagreb (</w:t>
      </w:r>
      <w:hyperlink r:id="rId257" w:history="1">
        <w:r>
          <w:rPr>
            <w:rStyle w:val="Hyperlink"/>
            <w:noProof/>
          </w:rPr>
          <w:t>www.eizg.hr/hr-HR/O-zdravstvu-iz-ekonomske-perspektive-1417.aspx</w:t>
        </w:r>
      </w:hyperlink>
      <w:r>
        <w:rPr>
          <w:noProof/>
        </w:rPr>
        <w:t>).</w:t>
      </w:r>
    </w:p>
    <w:p w:rsidR="001E7162" w:rsidRDefault="00EC2A75">
      <w:pPr>
        <w:rPr>
          <w:noProof/>
        </w:rPr>
      </w:pPr>
      <w:r>
        <w:rPr>
          <w:noProof/>
        </w:rPr>
        <w:t xml:space="preserve">World Bank (2017a), </w:t>
      </w:r>
      <w:r>
        <w:rPr>
          <w:i/>
          <w:noProof/>
        </w:rPr>
        <w:t>Doing business 2018. Reforming to create jobs</w:t>
      </w:r>
      <w:r>
        <w:rPr>
          <w:noProof/>
        </w:rPr>
        <w:t>,</w:t>
      </w:r>
      <w:r>
        <w:rPr>
          <w:noProof/>
        </w:rPr>
        <w:t xml:space="preserve"> World Bank Group flagship report, International Bank for Reconstruction and Development / The World Bank, Washington DC (</w:t>
      </w:r>
      <w:hyperlink r:id="rId258" w:history="1">
        <w:r>
          <w:rPr>
            <w:rStyle w:val="Hyperlink"/>
            <w:noProof/>
          </w:rPr>
          <w:t>www.doi</w:t>
        </w:r>
        <w:r>
          <w:rPr>
            <w:rStyle w:val="Hyperlink"/>
            <w:noProof/>
          </w:rPr>
          <w:t>ngbusiness.org/~/media/WBG/DoingBusiness/Documents/Annual-Reports/English/DB2018-Full-Report.pdf</w:t>
        </w:r>
      </w:hyperlink>
      <w:r>
        <w:rPr>
          <w:noProof/>
        </w:rPr>
        <w:t>).</w:t>
      </w:r>
    </w:p>
    <w:p w:rsidR="001E7162" w:rsidRDefault="00EC2A75">
      <w:pPr>
        <w:rPr>
          <w:noProof/>
        </w:rPr>
      </w:pPr>
      <w:r>
        <w:rPr>
          <w:noProof/>
        </w:rPr>
        <w:t xml:space="preserve">World Bank (2017b), </w:t>
      </w:r>
      <w:r>
        <w:rPr>
          <w:i/>
          <w:noProof/>
        </w:rPr>
        <w:t>Worldwide Governance Indicators</w:t>
      </w:r>
      <w:r>
        <w:rPr>
          <w:noProof/>
        </w:rPr>
        <w:t xml:space="preserve"> (</w:t>
      </w:r>
      <w:hyperlink r:id="rId259" w:anchor="home" w:history="1">
        <w:r>
          <w:rPr>
            <w:rStyle w:val="Hyperlink"/>
            <w:noProof/>
          </w:rPr>
          <w:t>http://info.worldbank.org/</w:t>
        </w:r>
        <w:r>
          <w:rPr>
            <w:rStyle w:val="Hyperlink"/>
            <w:noProof/>
          </w:rPr>
          <w:t>governance/wgi/index.aspx#home</w:t>
        </w:r>
      </w:hyperlink>
      <w:r>
        <w:rPr>
          <w:noProof/>
        </w:rPr>
        <w:t xml:space="preserve">). </w:t>
      </w:r>
    </w:p>
    <w:p w:rsidR="001E7162" w:rsidRDefault="00EC2A75">
      <w:pPr>
        <w:rPr>
          <w:noProof/>
        </w:rPr>
      </w:pPr>
      <w:r>
        <w:rPr>
          <w:noProof/>
        </w:rPr>
        <w:t xml:space="preserve">World Economic Forum (2017), </w:t>
      </w:r>
      <w:r>
        <w:rPr>
          <w:i/>
          <w:noProof/>
        </w:rPr>
        <w:t>Global competitiveness index 2017–2018, Croatia: Executive opinion survey</w:t>
      </w:r>
      <w:r>
        <w:rPr>
          <w:noProof/>
        </w:rPr>
        <w:t>.</w:t>
      </w:r>
    </w:p>
    <w:p w:rsidR="001E7162" w:rsidRDefault="001E7162">
      <w:pPr>
        <w:rPr>
          <w:noProof/>
        </w:rPr>
      </w:pPr>
    </w:p>
    <w:sectPr w:rsidR="001E7162">
      <w:headerReference w:type="even" r:id="rId260"/>
      <w:headerReference w:type="default" r:id="rId261"/>
      <w:footerReference w:type="even" r:id="rId262"/>
      <w:footerReference w:type="default" r:id="rId263"/>
      <w:headerReference w:type="first" r:id="rId264"/>
      <w:footerReference w:type="first" r:id="rId265"/>
      <w:footnotePr>
        <w:pos w:val="beneathText"/>
      </w:footnotePr>
      <w:endnotePr>
        <w:numFmt w:val="decimal"/>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162" w:rsidRDefault="001E7162">
      <w:pPr>
        <w:spacing w:after="0" w:line="20" w:lineRule="exact"/>
        <w:rPr>
          <w:sz w:val="2"/>
        </w:rPr>
      </w:pPr>
    </w:p>
  </w:endnote>
  <w:endnote w:type="continuationSeparator" w:id="0">
    <w:p w:rsidR="001E7162" w:rsidRDefault="001E7162">
      <w:pPr>
        <w:spacing w:after="0" w:line="20" w:lineRule="exact"/>
        <w:rPr>
          <w:sz w:val="2"/>
        </w:rPr>
      </w:pPr>
    </w:p>
  </w:endnote>
  <w:endnote w:id="1">
    <w:p w:rsidR="001E7162" w:rsidRDefault="00EC2A75">
      <w:pPr>
        <w:pStyle w:val="EndnoteText"/>
      </w:pPr>
      <w:r>
        <w:t>(</w:t>
      </w:r>
      <w:r>
        <w:rPr>
          <w:rStyle w:val="EndnoteReference"/>
        </w:rPr>
        <w:endnoteRef/>
      </w:r>
      <w:r>
        <w:t>)</w:t>
      </w:r>
      <w:r>
        <w:tab/>
        <w:t>Public investment is defined as the sum of gross fixed capital formation, investment grants, and national expenditure on agriculture and fisheries.</w:t>
      </w:r>
    </w:p>
  </w:endnote>
  <w:endnote w:id="2">
    <w:p w:rsidR="001E7162" w:rsidRDefault="00EC2A75">
      <w:pPr>
        <w:pStyle w:val="EndnoteText"/>
      </w:pPr>
      <w:r>
        <w:rPr>
          <w:rStyle w:val="EndnoteReference"/>
        </w:rPr>
        <w:endnoteRef/>
      </w:r>
      <w:r>
        <w:t xml:space="preserve"> Banker, Charnes, Cooper model, which assumes variable return</w:t>
      </w:r>
      <w:r>
        <w:t>s to scale.</w:t>
      </w:r>
    </w:p>
  </w:endnote>
  <w:endnote w:id="3">
    <w:p w:rsidR="001E7162" w:rsidRDefault="00EC2A75">
      <w:pPr>
        <w:pStyle w:val="EndnoteText"/>
      </w:pPr>
      <w:r>
        <w:t>(</w:t>
      </w:r>
      <w:r>
        <w:rPr>
          <w:rStyle w:val="EndnoteReference"/>
        </w:rPr>
        <w:endnoteRef/>
      </w:r>
      <w:r>
        <w:t>) In the meantime, a provisional formation of the council is operational.</w:t>
      </w:r>
    </w:p>
  </w:endnote>
  <w:endnote w:id="4">
    <w:p w:rsidR="001E7162" w:rsidRDefault="00EC2A75">
      <w:pPr>
        <w:pStyle w:val="EndnoteText"/>
      </w:pPr>
      <w:r>
        <w:t>(</w:t>
      </w:r>
      <w:r>
        <w:rPr>
          <w:rStyle w:val="EndnoteReference"/>
        </w:rPr>
        <w:endnoteRef/>
      </w:r>
      <w:r>
        <w:t xml:space="preserve">) See ‘Challenges to Member States’ Investment Environments’, SWD (2015) 400 final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75" w:rsidRPr="00EC2A75" w:rsidRDefault="00EC2A75" w:rsidP="00EC2A7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w:instrText>
    </w:r>
    <w:r>
      <w:instrText xml:space="preserve">RMAT </w:instrText>
    </w:r>
    <w:r>
      <w:fldChar w:fldCharType="separate"/>
    </w:r>
    <w:r>
      <w:rPr>
        <w:noProof/>
      </w:rPr>
      <w:t>8</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10</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9</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9</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75" w:rsidRPr="00EC2A75" w:rsidRDefault="00EC2A75" w:rsidP="00EC2A75">
    <w:pPr>
      <w:pStyle w:val="FooterCoverPage"/>
      <w:rPr>
        <w:rFonts w:ascii="Arial" w:hAnsi="Arial" w:cs="Arial"/>
        <w:b/>
        <w:sz w:val="48"/>
      </w:rPr>
    </w:pPr>
    <w:r w:rsidRPr="00EC2A75">
      <w:rPr>
        <w:rFonts w:ascii="Arial" w:hAnsi="Arial" w:cs="Arial"/>
        <w:b/>
        <w:sz w:val="48"/>
      </w:rPr>
      <w:t>EN</w:t>
    </w:r>
    <w:r w:rsidRPr="00EC2A75">
      <w:rPr>
        <w:rFonts w:ascii="Arial" w:hAnsi="Arial" w:cs="Arial"/>
        <w:b/>
        <w:sz w:val="48"/>
      </w:rPr>
      <w:tab/>
    </w:r>
    <w:r w:rsidRPr="00EC2A75">
      <w:rPr>
        <w:rFonts w:ascii="Arial" w:hAnsi="Arial" w:cs="Arial"/>
        <w:b/>
        <w:sz w:val="48"/>
      </w:rPr>
      <w:tab/>
    </w:r>
    <w:r w:rsidRPr="00EC2A75">
      <w:tab/>
    </w:r>
    <w:r w:rsidRPr="00EC2A75">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9</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5</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5</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21</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5</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w:instrText>
    </w:r>
    <w:r>
      <w:instrText xml:space="preserve">GE  \* MERGEFORMAT </w:instrText>
    </w:r>
    <w:r>
      <w:fldChar w:fldCharType="separate"/>
    </w:r>
    <w:r>
      <w:rPr>
        <w:noProof/>
      </w:rPr>
      <w:t>23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75" w:rsidRPr="00EC2A75" w:rsidRDefault="00EC2A75" w:rsidP="00EC2A75">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5</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23</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6</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28</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24</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6</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30</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24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6</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37</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24</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31</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31</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38</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31</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45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47</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47</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53</w:t>
    </w:r>
    <w: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48</w:t>
    </w:r>
    <w: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54</w:t>
    </w:r>
    <w: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48</w:t>
    </w:r>
    <w: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2</w:t>
    </w:r>
    <w: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59</w:t>
    </w:r>
    <w: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54</w:t>
    </w:r>
    <w: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2</w:t>
    </w:r>
    <w: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60</w:t>
    </w:r>
    <w: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
    </w:pPr>
    <w:r>
      <w:fldChar w:fldCharType="begin"/>
    </w:r>
    <w:r>
      <w:instrText xml:space="preserve"> PAGE  \* MERGEFORMAT </w:instrText>
    </w:r>
    <w:r>
      <w:fldChar w:fldCharType="separate"/>
    </w:r>
    <w:r>
      <w:rPr>
        <w:noProof/>
      </w:rPr>
      <w:t>5</w:t>
    </w:r>
    <w: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66</w:t>
    </w:r>
    <w: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61</w:t>
    </w:r>
    <w: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68</w:t>
    </w:r>
    <w: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67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Footer"/>
    </w:pPr>
  </w:p>
  <w:p w:rsidR="001E7162" w:rsidRDefault="00EC2A75">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162" w:rsidRDefault="00EC2A75">
      <w:pPr>
        <w:spacing w:after="0"/>
      </w:pPr>
      <w:r>
        <w:separator/>
      </w:r>
    </w:p>
  </w:footnote>
  <w:footnote w:type="continuationSeparator" w:id="0">
    <w:p w:rsidR="001E7162" w:rsidRDefault="00EC2A75">
      <w:r>
        <w:continuationSeparator/>
      </w:r>
    </w:p>
  </w:footnote>
  <w:footnote w:id="1">
    <w:p w:rsidR="001E7162" w:rsidRDefault="00EC2A75">
      <w:pPr>
        <w:pStyle w:val="FootnoteText"/>
      </w:pPr>
      <w:r>
        <w:t>(</w:t>
      </w:r>
      <w:r>
        <w:rPr>
          <w:rStyle w:val="FootnoteReference"/>
        </w:rPr>
        <w:footnoteRef/>
      </w:r>
      <w:r>
        <w:t>)</w:t>
      </w:r>
      <w:r>
        <w:tab/>
      </w:r>
      <w:r>
        <w:t xml:space="preserve">This report assesses Croatia’s economy in the light of the European Commission’s Annual Growth Survey published on 22 November 2017. In the survey, the Commission calls on EU Member States to implement reforms to make the European economy more productive, </w:t>
      </w:r>
      <w:r>
        <w:t xml:space="preserve">resilient and inclusive. In so doing, Member States should focus their efforts on the three elements of the virtuous triangle of economic policy - boosting investment, pursuing structural reforms and ensuring responsible </w:t>
      </w:r>
      <w:r>
        <w:rPr>
          <w:color w:val="auto"/>
        </w:rPr>
        <w:t xml:space="preserve">fiscal policies. At the same time, </w:t>
      </w:r>
      <w:r>
        <w:rPr>
          <w:color w:val="auto"/>
        </w:rPr>
        <w:t xml:space="preserve">the Commission published the Alert Mechanism Report (AMR) that initiated the seventh round of the macroeconomic imbalance procedure. </w:t>
      </w:r>
      <w:r>
        <w:t>The AMR found that Croatia warranted an in-depth review, which is presented in this report</w:t>
      </w:r>
    </w:p>
  </w:footnote>
  <w:footnote w:id="2">
    <w:p w:rsidR="001E7162" w:rsidRDefault="00EC2A75">
      <w:pPr>
        <w:pStyle w:val="FootnoteText"/>
      </w:pPr>
      <w:r>
        <w:t>(</w:t>
      </w:r>
      <w:r>
        <w:rPr>
          <w:rStyle w:val="FootnoteReference"/>
        </w:rPr>
        <w:footnoteRef/>
      </w:r>
      <w:r>
        <w:t>)</w:t>
      </w:r>
      <w:r>
        <w:tab/>
        <w:t>The current account 'norm' b</w:t>
      </w:r>
      <w:r>
        <w:t>enchmark is derived from reduced-form regressions capturing the main determinants of the saving-investment balance, including fundamental determinants (European Commission, 2017c).</w:t>
      </w:r>
    </w:p>
  </w:footnote>
  <w:footnote w:id="3">
    <w:p w:rsidR="001E7162" w:rsidRDefault="00EC2A75">
      <w:pPr>
        <w:pStyle w:val="FootnoteText"/>
      </w:pPr>
      <w:r>
        <w:t>(</w:t>
      </w:r>
      <w:r>
        <w:rPr>
          <w:rStyle w:val="FootnoteReference"/>
        </w:rPr>
        <w:footnoteRef/>
      </w:r>
      <w:r>
        <w:t>)</w:t>
      </w:r>
      <w:r>
        <w:tab/>
        <w:t>For the assessment of other reforms implemented in the past, see in par</w:t>
      </w:r>
      <w:r>
        <w:t>ticular Section 4.</w:t>
      </w:r>
    </w:p>
  </w:footnote>
  <w:footnote w:id="4">
    <w:p w:rsidR="001E7162" w:rsidRDefault="00EC2A75">
      <w:pPr>
        <w:pStyle w:val="FootnoteText"/>
      </w:pPr>
      <w:r>
        <w:t>(</w:t>
      </w:r>
      <w:r>
        <w:rPr>
          <w:rStyle w:val="FootnoteReference"/>
        </w:rPr>
        <w:footnoteRef/>
      </w:r>
      <w:r>
        <w:t>)</w:t>
      </w:r>
      <w:r>
        <w:tab/>
        <w:t>Information on the level of progress and actions taken to address the policy advice in each respective subpart of a CSR is presented in the Overview Table in the Annex. This overall assessment does not include an assessment of compli</w:t>
      </w:r>
      <w:r>
        <w:t>ance with the Stability and Growth Pact.</w:t>
      </w:r>
    </w:p>
  </w:footnote>
  <w:footnote w:id="5">
    <w:p w:rsidR="001E7162" w:rsidRDefault="00EC2A75">
      <w:pPr>
        <w:pStyle w:val="FootnoteText"/>
      </w:pPr>
      <w:r>
        <w:t>(</w:t>
      </w:r>
      <w:r>
        <w:rPr>
          <w:rStyle w:val="FootnoteReference"/>
        </w:rPr>
        <w:footnoteRef/>
      </w:r>
      <w:r>
        <w:t>)</w:t>
      </w:r>
      <w:r>
        <w:tab/>
        <w:t>An asterisk indicates that the analysis in the section contributes to the in-depth review under the MIP.</w:t>
      </w:r>
    </w:p>
  </w:footnote>
  <w:footnote w:id="6">
    <w:p w:rsidR="001E7162" w:rsidRDefault="00EC2A75">
      <w:pPr>
        <w:pStyle w:val="FootnoteText"/>
      </w:pPr>
      <w:r>
        <w:t>(</w:t>
      </w:r>
      <w:r>
        <w:rPr>
          <w:rStyle w:val="FootnoteReference"/>
        </w:rPr>
        <w:footnoteRef/>
      </w:r>
      <w:r>
        <w:t>)</w:t>
      </w:r>
      <w:r>
        <w:tab/>
        <w:t>The European Commission has developed new country-specific NIIP benchmarks to better assess the need o</w:t>
      </w:r>
      <w:r>
        <w:t>f additional adjustment in the NIIPs of EU countries. From a prudential point of view, NIIP thresholds are determined as the predictors of the likelihood of a balance of payment crisis (see QREA "Assessing prudent NIIP and current account positions", forth</w:t>
      </w:r>
      <w:r>
        <w:t>coming). In the fundamentals-based approach, NIIP benchmarks are derived from the accumulation of current account norms since the mid-1990s. For Croatia, the prudential and fundamental-based benchmarks are estimated to be around -37 % and -38 % of GDP in 2</w:t>
      </w:r>
      <w:r>
        <w:t>016, respectively.</w:t>
      </w:r>
    </w:p>
  </w:footnote>
  <w:footnote w:id="7">
    <w:p w:rsidR="001E7162" w:rsidRDefault="00EC2A75">
      <w:pPr>
        <w:pStyle w:val="FootnoteText"/>
      </w:pPr>
      <w:r>
        <w:t>(</w:t>
      </w:r>
      <w:r>
        <w:rPr>
          <w:rStyle w:val="FootnoteReference"/>
          <w:szCs w:val="18"/>
        </w:rPr>
        <w:footnoteRef/>
      </w:r>
      <w:r>
        <w:t>)</w:t>
      </w:r>
      <w:r>
        <w:tab/>
        <w:t>In April 2017, following the unveiling of financial distress in Agrokor, the Croatian parliament adopted a law on extraordinary administration in "systemically important companies" aimed at maintaining business operations and reducin</w:t>
      </w:r>
      <w:r>
        <w:t xml:space="preserve">g the risk of a chaotic restructuring. The law authorises the court </w:t>
      </w:r>
      <w:proofErr w:type="gramStart"/>
      <w:r>
        <w:t>appointed  extraordinary</w:t>
      </w:r>
      <w:proofErr w:type="gramEnd"/>
      <w:r>
        <w:t xml:space="preserve"> administrator supervised by the creditor's council to administer the processes of operational restructuring and negotiation of a settlement with the company's cred</w:t>
      </w:r>
      <w:r>
        <w:t>itors and suppliers.</w:t>
      </w:r>
    </w:p>
  </w:footnote>
  <w:footnote w:id="8">
    <w:p w:rsidR="001E7162" w:rsidRDefault="00EC2A75">
      <w:pPr>
        <w:pStyle w:val="FootnoteText"/>
      </w:pPr>
      <w:r>
        <w:t>(</w:t>
      </w:r>
      <w:r>
        <w:rPr>
          <w:rStyle w:val="FootnoteReference"/>
        </w:rPr>
        <w:footnoteRef/>
      </w:r>
      <w:r>
        <w:t>)</w:t>
      </w:r>
      <w:r>
        <w:tab/>
        <w:t>Council Decision (EU) 2017/1191</w:t>
      </w:r>
    </w:p>
  </w:footnote>
  <w:footnote w:id="9">
    <w:p w:rsidR="001E7162" w:rsidRDefault="00EC2A75">
      <w:pPr>
        <w:pStyle w:val="FootnoteText"/>
      </w:pPr>
      <w:proofErr w:type="gramStart"/>
      <w:r>
        <w:t>(</w:t>
      </w:r>
      <w:r>
        <w:rPr>
          <w:rStyle w:val="FootnoteReference"/>
        </w:rPr>
        <w:footnoteRef/>
      </w:r>
      <w:r>
        <w:t>)</w:t>
      </w:r>
      <w:r>
        <w:tab/>
        <w:t>Slovenia, Hungary, Czech Republic, Slovakia and Poland.</w:t>
      </w:r>
      <w:proofErr w:type="gramEnd"/>
    </w:p>
  </w:footnote>
  <w:footnote w:id="10">
    <w:p w:rsidR="001E7162" w:rsidRDefault="00EC2A75">
      <w:pPr>
        <w:pStyle w:val="FootnoteText"/>
      </w:pPr>
      <w:r>
        <w:t>(</w:t>
      </w:r>
      <w:r>
        <w:rPr>
          <w:rStyle w:val="FootnoteReference"/>
        </w:rPr>
        <w:footnoteRef/>
      </w:r>
      <w:r>
        <w:t>)</w:t>
      </w:r>
      <w:r>
        <w:tab/>
        <w:t>Including arbitration cases against the government of Croatia on account of some commercial banks' claims for compensation for the loss</w:t>
      </w:r>
      <w:r>
        <w:t>es incurred in the aftermath of the 2015 legislated conversion of CHF-denominated loans.</w:t>
      </w:r>
    </w:p>
  </w:footnote>
  <w:footnote w:id="11">
    <w:p w:rsidR="001E7162" w:rsidRDefault="00EC2A75">
      <w:pPr>
        <w:pStyle w:val="FootnoteText"/>
      </w:pPr>
      <w:r>
        <w:t>(</w:t>
      </w:r>
      <w:r>
        <w:rPr>
          <w:rStyle w:val="FootnoteReference"/>
        </w:rPr>
        <w:footnoteRef/>
      </w:r>
      <w:r>
        <w:t>)</w:t>
      </w:r>
      <w:r>
        <w:tab/>
        <w:t xml:space="preserve">Short term fiscal risks are estimated using the S0 "early detection" composite indicator which relies on 28 fiscal and macro-financial variables with a proven </w:t>
      </w:r>
      <w:r>
        <w:t>track record of signalling upcoming fiscal stress (Berti et al., 2012).</w:t>
      </w:r>
    </w:p>
  </w:footnote>
  <w:footnote w:id="12">
    <w:p w:rsidR="001E7162" w:rsidRDefault="00EC2A75">
      <w:pPr>
        <w:pStyle w:val="FootnoteText"/>
      </w:pPr>
      <w:r>
        <w:t>(</w:t>
      </w:r>
      <w:r>
        <w:rPr>
          <w:rStyle w:val="FootnoteReference"/>
        </w:rPr>
        <w:footnoteRef/>
      </w:r>
      <w:r>
        <w:t>)</w:t>
      </w:r>
      <w:r>
        <w:tab/>
        <w:t>The long-term sustainability is assessed using the S2 indicator. It estimates the fiscal adjustment in structural terms required to stabilise the debt ratio over an infinite period</w:t>
      </w:r>
      <w:r>
        <w:t>, taking into account the costs of ageing. However, it does not entail a specific reference value at which the debt is stabilized.</w:t>
      </w:r>
    </w:p>
  </w:footnote>
  <w:footnote w:id="13">
    <w:p w:rsidR="001E7162" w:rsidRDefault="00EC2A75">
      <w:pPr>
        <w:pStyle w:val="FootnoteText"/>
      </w:pPr>
      <w:r>
        <w:t>(</w:t>
      </w:r>
      <w:r>
        <w:rPr>
          <w:rStyle w:val="FootnoteReference"/>
        </w:rPr>
        <w:footnoteRef/>
      </w:r>
      <w:r>
        <w:t>)</w:t>
      </w:r>
      <w:r>
        <w:tab/>
        <w:t>In January 2018, Fitch upgraded Croatia's rating to BB+.</w:t>
      </w:r>
    </w:p>
  </w:footnote>
  <w:footnote w:id="14">
    <w:p w:rsidR="001E7162" w:rsidRDefault="00EC2A75">
      <w:pPr>
        <w:pStyle w:val="FootnoteText"/>
      </w:pPr>
      <w:r>
        <w:t>(</w:t>
      </w:r>
      <w:r>
        <w:rPr>
          <w:rStyle w:val="FootnoteReference"/>
        </w:rPr>
        <w:footnoteRef/>
      </w:r>
      <w:r>
        <w:t>)</w:t>
      </w:r>
      <w:r>
        <w:tab/>
        <w:t>2015 peer (see footnote 10) average is 14.1 % for indirect t</w:t>
      </w:r>
      <w:r>
        <w:t>axes and 7.2 % for direct taxes. As a % of GDP, Croatia collects the highest amount of VAT among EU member states (European Commission 2017k).</w:t>
      </w:r>
    </w:p>
  </w:footnote>
  <w:footnote w:id="15">
    <w:p w:rsidR="001E7162" w:rsidRDefault="00EC2A75">
      <w:pPr>
        <w:pStyle w:val="FootnoteText"/>
      </w:pPr>
      <w:r>
        <w:t>(</w:t>
      </w:r>
      <w:r>
        <w:rPr>
          <w:rStyle w:val="FootnoteReference"/>
        </w:rPr>
        <w:footnoteRef/>
      </w:r>
      <w:r>
        <w:t>)</w:t>
      </w:r>
      <w:r>
        <w:tab/>
        <w:t xml:space="preserve">The specifics of the tax reform were outlined in the 2017 Country report, which also included an analysis of </w:t>
      </w:r>
      <w:r>
        <w:t xml:space="preserve">the impact of the reform on disposable income and marginal tax rates across the income distribution. </w:t>
      </w:r>
    </w:p>
  </w:footnote>
  <w:footnote w:id="16">
    <w:p w:rsidR="001E7162" w:rsidRDefault="00EC2A75">
      <w:pPr>
        <w:pStyle w:val="FootnoteText"/>
      </w:pPr>
      <w:r>
        <w:t>(</w:t>
      </w:r>
      <w:r>
        <w:rPr>
          <w:rStyle w:val="FootnoteReference"/>
        </w:rPr>
        <w:footnoteRef/>
      </w:r>
      <w:r>
        <w:t>)</w:t>
      </w:r>
      <w:r>
        <w:tab/>
        <w:t>Calculated by the European Commission using the OECD Tax-Benefits model</w:t>
      </w:r>
    </w:p>
  </w:footnote>
  <w:footnote w:id="17">
    <w:p w:rsidR="001E7162" w:rsidRDefault="00EC2A75">
      <w:pPr>
        <w:pStyle w:val="FootnoteText"/>
      </w:pPr>
      <w:proofErr w:type="gramStart"/>
      <w:r>
        <w:t>(</w:t>
      </w:r>
      <w:r>
        <w:rPr>
          <w:rStyle w:val="FootnoteReference"/>
        </w:rPr>
        <w:footnoteRef/>
      </w:r>
      <w:r>
        <w:t>)</w:t>
      </w:r>
      <w:r>
        <w:tab/>
        <w:t>Results of the EUROMOD simulation (European Commission 2017f).</w:t>
      </w:r>
      <w:proofErr w:type="gramEnd"/>
    </w:p>
  </w:footnote>
  <w:footnote w:id="18">
    <w:p w:rsidR="001E7162" w:rsidRDefault="00EC2A75">
      <w:pPr>
        <w:pStyle w:val="FootnoteText"/>
      </w:pPr>
      <w:r>
        <w:t>(</w:t>
      </w:r>
      <w:r>
        <w:rPr>
          <w:rStyle w:val="FootnoteReference"/>
        </w:rPr>
        <w:footnoteRef/>
      </w:r>
      <w:r>
        <w:t>)</w:t>
      </w:r>
      <w:r>
        <w:tab/>
        <w:t>For inc</w:t>
      </w:r>
      <w:r>
        <w:t>omes the coefficient is bound by 0 (no inequality) and 1 (maximum inequality). Income data from EU-SILC refer to the previous year.</w:t>
      </w:r>
    </w:p>
  </w:footnote>
  <w:footnote w:id="19">
    <w:p w:rsidR="001E7162" w:rsidRDefault="00EC2A75">
      <w:pPr>
        <w:pStyle w:val="FootnoteText"/>
      </w:pPr>
      <w:r>
        <w:t>(</w:t>
      </w:r>
      <w:r>
        <w:rPr>
          <w:rStyle w:val="FootnoteReference"/>
        </w:rPr>
        <w:footnoteRef/>
      </w:r>
      <w:r>
        <w:t>)</w:t>
      </w:r>
      <w:r>
        <w:tab/>
        <w:t xml:space="preserve">Fundamentals-based benchmarks are derived from regressions capturing the main determinants of credit growth. Prudential </w:t>
      </w:r>
      <w:r>
        <w:t>thresholds represent the debt threshold beyond which the probability of a banking crisis is high, obtained from the minimisation of the probability of missed crisis and that of false alerts (European Commission, 2017c).</w:t>
      </w:r>
    </w:p>
  </w:footnote>
  <w:footnote w:id="20">
    <w:p w:rsidR="001E7162" w:rsidRDefault="00EC2A75">
      <w:pPr>
        <w:pStyle w:val="FootnoteText"/>
      </w:pPr>
      <w:r>
        <w:t>(</w:t>
      </w:r>
      <w:r>
        <w:rPr>
          <w:rStyle w:val="FootnoteReference"/>
        </w:rPr>
        <w:footnoteRef/>
      </w:r>
      <w:r>
        <w:t>)</w:t>
      </w:r>
      <w:r>
        <w:tab/>
        <w:t xml:space="preserve">However, more than half of HBOR </w:t>
      </w:r>
      <w:r>
        <w:t>assets are direct loans.</w:t>
      </w:r>
    </w:p>
  </w:footnote>
  <w:footnote w:id="21">
    <w:p w:rsidR="001E7162" w:rsidRDefault="00EC2A75">
      <w:pPr>
        <w:pStyle w:val="FootnoteText"/>
      </w:pPr>
      <w:r>
        <w:t>(</w:t>
      </w:r>
      <w:r>
        <w:rPr>
          <w:rStyle w:val="FootnoteReference"/>
        </w:rPr>
        <w:footnoteRef/>
      </w:r>
      <w:r>
        <w:t>)</w:t>
      </w:r>
      <w:r>
        <w:tab/>
        <w:t>The Croatian National Bank data on NPLs, which provides a more granular analysis than ECB data, are based on the local loan classification rules. Accordingly, they cover partly recoverable loans (i.e. loans for which there exis</w:t>
      </w:r>
      <w:r>
        <w:t>ts objective evidence of partial impairment) and fully irrecoverable loans (i.e. loans for which there exists objective evidence of full impairment). As a general rule, the local figures are broader than those cited by the European Central Bank.</w:t>
      </w:r>
    </w:p>
  </w:footnote>
  <w:footnote w:id="22">
    <w:p w:rsidR="001E7162" w:rsidRDefault="00EC2A75">
      <w:pPr>
        <w:pStyle w:val="FootnoteText"/>
        <w:rPr>
          <w:lang w:val="en-US"/>
        </w:rPr>
      </w:pPr>
      <w:r>
        <w:t>(</w:t>
      </w:r>
      <w:r>
        <w:rPr>
          <w:rStyle w:val="FootnoteReference"/>
        </w:rPr>
        <w:footnoteRef/>
      </w:r>
      <w:r>
        <w:t>)</w:t>
      </w:r>
      <w:r>
        <w:tab/>
        <w:t>In Mar</w:t>
      </w:r>
      <w:r>
        <w:t>ch 2017, the CNB introduced an amendment to the automatic provisioning rules that were first introduced in 2013. The guidelines continue to encourage banks to increase the coverage ratio of past-due loans by 10 % each additional year they spend as being pa</w:t>
      </w:r>
      <w:r>
        <w:t>st-due, now with a cap of 80 %.</w:t>
      </w:r>
    </w:p>
  </w:footnote>
  <w:footnote w:id="23">
    <w:p w:rsidR="001E7162" w:rsidRDefault="00EC2A75">
      <w:pPr>
        <w:pStyle w:val="FootnoteText"/>
      </w:pPr>
      <w:r>
        <w:t>(</w:t>
      </w:r>
      <w:r>
        <w:rPr>
          <w:rStyle w:val="FootnoteReference"/>
        </w:rPr>
        <w:footnoteRef/>
      </w:r>
      <w:r>
        <w:t>)</w:t>
      </w:r>
      <w:r>
        <w:tab/>
        <w:t xml:space="preserve">Croatia has undertaken steps to implement the Council Recommendation on the integration of long-term unemployed into the labour market. However, </w:t>
      </w:r>
      <w:r>
        <w:rPr>
          <w:bCs/>
        </w:rPr>
        <w:t>challenges still remain, including the establishment of the Single Point of</w:t>
      </w:r>
      <w:r>
        <w:rPr>
          <w:bCs/>
        </w:rPr>
        <w:t xml:space="preserve"> Contact (SPOC) for the beneficiaries.</w:t>
      </w:r>
    </w:p>
  </w:footnote>
  <w:footnote w:id="24">
    <w:p w:rsidR="001E7162" w:rsidRDefault="00EC2A75">
      <w:pPr>
        <w:pStyle w:val="FootnoteText"/>
      </w:pPr>
      <w:r>
        <w:rPr>
          <w:rStyle w:val="FootnoteReference"/>
        </w:rPr>
        <w:footnoteRef/>
      </w:r>
      <w:r>
        <w:t xml:space="preserve"> The Social Scoreboard includes 14 headline indicators, of which 12 are currently used to compare Member States performance. The indicators "participants in active labour market policies per 100 persons wanting to wo</w:t>
      </w:r>
      <w:r>
        <w:t>rk" and "compensation of employees per hour worked (in EUR)" are not used due to technical concerns by Member States. Possible alternatives will be discussed in the relevant Committees. GDHI: gross disposable household income.</w:t>
      </w:r>
    </w:p>
  </w:footnote>
  <w:footnote w:id="25">
    <w:p w:rsidR="001E7162" w:rsidRDefault="00EC2A75">
      <w:pPr>
        <w:pStyle w:val="FootnoteText"/>
      </w:pPr>
      <w:r>
        <w:t>(</w:t>
      </w:r>
      <w:r>
        <w:rPr>
          <w:rStyle w:val="FootnoteReference"/>
        </w:rPr>
        <w:footnoteRef/>
      </w:r>
      <w:r>
        <w:t>)</w:t>
      </w:r>
      <w:r>
        <w:tab/>
        <w:t>From January to September</w:t>
      </w:r>
      <w:r>
        <w:t xml:space="preserve"> 2017, the majority of participants of ALMP measures were in "Traineeship for work without employment" (32.5 %) or public </w:t>
      </w:r>
      <w:proofErr w:type="gramStart"/>
      <w:r>
        <w:t>works</w:t>
      </w:r>
      <w:proofErr w:type="gramEnd"/>
      <w:r>
        <w:t xml:space="preserve"> (30.4 %). The first measure tends to favour young beneficiaries with a higher education level who are more likely to find a job </w:t>
      </w:r>
      <w:r>
        <w:t>without any intervention (the so called "creaming" effect), whereas the impact of public works on employability of, primarily, older workers was evaluated as small or even negative (Bejaković, and al., 2016). Only 1.3 % of all ALMP participants took part i</w:t>
      </w:r>
      <w:r>
        <w:t>n educational programmes offering the possibility to acquire additional skills needed to enter the labour market.</w:t>
      </w:r>
    </w:p>
  </w:footnote>
  <w:footnote w:id="26">
    <w:p w:rsidR="001E7162" w:rsidRDefault="00EC2A75">
      <w:pPr>
        <w:pStyle w:val="FootnoteText"/>
      </w:pPr>
      <w:r>
        <w:t>(</w:t>
      </w:r>
      <w:r>
        <w:rPr>
          <w:rStyle w:val="FootnoteReference"/>
        </w:rPr>
        <w:footnoteRef/>
      </w:r>
      <w:r>
        <w:t>)</w:t>
      </w:r>
      <w:r>
        <w:tab/>
        <w:t>The indicator is defined as the share of persons with an equalised disposable income below the risk-of-poverty threshold in the current ye</w:t>
      </w:r>
      <w:r>
        <w:t>ar and in at least two of the preceding three years.</w:t>
      </w:r>
    </w:p>
  </w:footnote>
  <w:footnote w:id="27">
    <w:p w:rsidR="001E7162" w:rsidRDefault="00EC2A75">
      <w:pPr>
        <w:pStyle w:val="FootnoteText"/>
      </w:pPr>
      <w:r>
        <w:t>(</w:t>
      </w:r>
      <w:r>
        <w:rPr>
          <w:rStyle w:val="FootnoteReference"/>
        </w:rPr>
        <w:footnoteRef/>
      </w:r>
      <w:r>
        <w:t>)</w:t>
      </w:r>
      <w:r>
        <w:tab/>
        <w:t xml:space="preserve">A person is considered as living in an overcrowded household if the household does not have at its disposal a minimum of rooms equal to one room for each of the following categories: the household; </w:t>
      </w:r>
      <w:r>
        <w:t>by couple in the household; for each single person aged 18 and more; by pair of single people of the same sex between 12 and 17 years of age; for each single person between 12 and 17 years of age and not included in the previous category; by pair of childr</w:t>
      </w:r>
      <w:r>
        <w:t>en under 12 years of age.</w:t>
      </w:r>
    </w:p>
  </w:footnote>
  <w:footnote w:id="28">
    <w:p w:rsidR="001E7162" w:rsidRDefault="00EC2A75">
      <w:pPr>
        <w:pStyle w:val="FootnoteText"/>
      </w:pPr>
      <w:r>
        <w:t>(</w:t>
      </w:r>
      <w:r>
        <w:rPr>
          <w:rStyle w:val="FootnoteReference"/>
        </w:rPr>
        <w:footnoteRef/>
      </w:r>
      <w:r>
        <w:t>)</w:t>
      </w:r>
      <w:r>
        <w:tab/>
        <w:t>The risk of poverty or social exclusion for disabled persons is high (40.0 %), especially for the elderly disabled (65+).</w:t>
      </w:r>
    </w:p>
  </w:footnote>
  <w:footnote w:id="29">
    <w:p w:rsidR="001E7162" w:rsidRDefault="00EC2A75">
      <w:pPr>
        <w:pStyle w:val="FootnoteText"/>
      </w:pPr>
      <w:r>
        <w:t>(</w:t>
      </w:r>
      <w:r>
        <w:rPr>
          <w:rStyle w:val="FootnoteReference"/>
        </w:rPr>
        <w:footnoteRef/>
      </w:r>
      <w:r>
        <w:t>)</w:t>
      </w:r>
      <w:r>
        <w:tab/>
        <w:t xml:space="preserve">The </w:t>
      </w:r>
      <w:r>
        <w:rPr>
          <w:shd w:val="clear" w:color="auto" w:fill="FFFFFF"/>
          <w:lang w:eastAsia="hr-HR"/>
        </w:rPr>
        <w:t>project "Evaluation of the efficiency of social help", was implemented in 2017 by the Croatian a</w:t>
      </w:r>
      <w:r>
        <w:rPr>
          <w:shd w:val="clear" w:color="auto" w:fill="FFFFFF"/>
          <w:lang w:eastAsia="hr-HR"/>
        </w:rPr>
        <w:t>uthorities and the World Bank.</w:t>
      </w:r>
    </w:p>
  </w:footnote>
  <w:footnote w:id="30">
    <w:p w:rsidR="001E7162" w:rsidRDefault="00EC2A75">
      <w:pPr>
        <w:pStyle w:val="FootnoteText"/>
      </w:pPr>
      <w:r>
        <w:t>(</w:t>
      </w:r>
      <w:r>
        <w:rPr>
          <w:rStyle w:val="FootnoteReference"/>
        </w:rPr>
        <w:footnoteRef/>
      </w:r>
      <w:r>
        <w:t>)</w:t>
      </w:r>
      <w:r>
        <w:tab/>
        <w:t xml:space="preserve">Under the law, the maximum allowance for the second half of the year-long maternity leave for employed parents will rise from HRK 2 660 to HRK 3 991 (appx. </w:t>
      </w:r>
      <w:proofErr w:type="gramStart"/>
      <w:r>
        <w:t>EUR 532).</w:t>
      </w:r>
      <w:proofErr w:type="gramEnd"/>
      <w:r>
        <w:t xml:space="preserve"> For unemployed parents who do not meet the criterion of</w:t>
      </w:r>
      <w:r>
        <w:t xml:space="preserve"> 12 or 18 months of service, the parental allowance will increase from HRK 1 663 to 2 328 (appx. </w:t>
      </w:r>
      <w:proofErr w:type="gramStart"/>
      <w:r>
        <w:t>EUR 310).</w:t>
      </w:r>
      <w:proofErr w:type="gramEnd"/>
    </w:p>
  </w:footnote>
  <w:footnote w:id="31">
    <w:p w:rsidR="001E7162" w:rsidRDefault="00EC2A75">
      <w:pPr>
        <w:pStyle w:val="FootnoteText"/>
      </w:pPr>
      <w:r>
        <w:t>(</w:t>
      </w:r>
      <w:r>
        <w:rPr>
          <w:rStyle w:val="FootnoteReference"/>
        </w:rPr>
        <w:footnoteRef/>
      </w:r>
      <w:r>
        <w:t>)</w:t>
      </w:r>
      <w:r>
        <w:tab/>
        <w:t>More than half of local-government social programmes are cash benefits. The city of Zagreb and the counties of Dubrovnik and Istria record the la</w:t>
      </w:r>
      <w:r>
        <w:t>rgest spending per capita, whereas in Virovitica-Podravina County spending is almost 6 times lower.</w:t>
      </w:r>
    </w:p>
  </w:footnote>
  <w:footnote w:id="32">
    <w:p w:rsidR="001E7162" w:rsidRDefault="00EC2A75">
      <w:pPr>
        <w:pStyle w:val="FootnoteText"/>
      </w:pPr>
      <w:r>
        <w:t>(</w:t>
      </w:r>
      <w:r>
        <w:rPr>
          <w:rStyle w:val="FootnoteReference"/>
        </w:rPr>
        <w:footnoteRef/>
      </w:r>
      <w:r>
        <w:t>)</w:t>
      </w:r>
      <w:r>
        <w:tab/>
        <w:t>In the city of Zagreb 91</w:t>
      </w:r>
      <w:r>
        <w:rPr>
          <w:bCs/>
        </w:rPr>
        <w:t> %</w:t>
      </w:r>
      <w:r>
        <w:t xml:space="preserve"> of children aged 3-5 attended some form of ECEC in 2014, whereas only 22</w:t>
      </w:r>
      <w:r>
        <w:rPr>
          <w:bCs/>
        </w:rPr>
        <w:t> %</w:t>
      </w:r>
      <w:r>
        <w:t xml:space="preserve"> of children did so in the Brod-Posavina county (Centar za Mirovne Studije, 2016).</w:t>
      </w:r>
    </w:p>
  </w:footnote>
  <w:footnote w:id="33">
    <w:p w:rsidR="001E7162" w:rsidRDefault="00EC2A75">
      <w:pPr>
        <w:pStyle w:val="FootnoteText"/>
      </w:pPr>
      <w:r>
        <w:t>(</w:t>
      </w:r>
      <w:r>
        <w:rPr>
          <w:rStyle w:val="FootnoteReference"/>
        </w:rPr>
        <w:footnoteRef/>
      </w:r>
      <w:r>
        <w:t>)</w:t>
      </w:r>
      <w:r>
        <w:tab/>
        <w:t>The law adopted by government in November  2017 reopens the possibility to register as war veteran, reduces their retirement age and extends the rights of family members</w:t>
      </w:r>
      <w:r>
        <w:t xml:space="preserve"> to inherit veterans' pensions. The law also introduces a number of additional social benefits for veterans and mandatory financing of veterans' associations (in the range of 0.3-1.0 % of local government budgets).</w:t>
      </w:r>
    </w:p>
  </w:footnote>
  <w:footnote w:id="34">
    <w:p w:rsidR="001E7162" w:rsidRDefault="00EC2A75">
      <w:pPr>
        <w:pStyle w:val="FootnoteText"/>
      </w:pPr>
      <w:r>
        <w:t>(</w:t>
      </w:r>
      <w:r>
        <w:rPr>
          <w:rStyle w:val="FootnoteReference"/>
        </w:rPr>
        <w:footnoteRef/>
      </w:r>
      <w:r>
        <w:t>)</w:t>
      </w:r>
      <w:r>
        <w:tab/>
        <w:t>General pensions for war veterans ten</w:t>
      </w:r>
      <w:r>
        <w:t>d to be more than twice as high compared to the general scheme (Statistical Information of the Croatian Pension Insurance Institute, September 2017).</w:t>
      </w:r>
    </w:p>
  </w:footnote>
  <w:footnote w:id="35">
    <w:p w:rsidR="001E7162" w:rsidRDefault="00EC2A75">
      <w:pPr>
        <w:pStyle w:val="FootnoteText"/>
      </w:pPr>
      <w:r>
        <w:t>(</w:t>
      </w:r>
      <w:r>
        <w:rPr>
          <w:rStyle w:val="FootnoteReference"/>
        </w:rPr>
        <w:footnoteRef/>
      </w:r>
      <w:r>
        <w:t>)</w:t>
      </w:r>
      <w:r>
        <w:tab/>
        <w:t>The same rate for people with disabilities is the lowest in the EU (15.6% vs. 29.4% in 2015).</w:t>
      </w:r>
    </w:p>
  </w:footnote>
  <w:footnote w:id="36">
    <w:p w:rsidR="001E7162" w:rsidRDefault="00EC2A75">
      <w:pPr>
        <w:pStyle w:val="FootnoteText"/>
      </w:pPr>
      <w:proofErr w:type="gramStart"/>
      <w:r>
        <w:t>(</w:t>
      </w:r>
      <w:r>
        <w:rPr>
          <w:rStyle w:val="FootnoteReference"/>
        </w:rPr>
        <w:footnoteRef/>
      </w:r>
      <w:r>
        <w:t>)</w:t>
      </w:r>
      <w:r>
        <w:tab/>
        <w:t>In l</w:t>
      </w:r>
      <w:r>
        <w:t>ine with the Council Recommendation on Upskilling Pathways from 19 December 2016.</w:t>
      </w:r>
      <w:proofErr w:type="gramEnd"/>
    </w:p>
  </w:footnote>
  <w:footnote w:id="37">
    <w:p w:rsidR="001E7162" w:rsidRDefault="00EC2A75">
      <w:pPr>
        <w:pStyle w:val="FootnoteText"/>
      </w:pPr>
      <w:r>
        <w:t>(</w:t>
      </w:r>
      <w:r>
        <w:rPr>
          <w:rStyle w:val="FootnoteReference"/>
        </w:rPr>
        <w:footnoteRef/>
      </w:r>
      <w:r>
        <w:t>)</w:t>
      </w:r>
      <w:r>
        <w:tab/>
      </w:r>
      <w:r>
        <w:rPr>
          <w:bCs/>
        </w:rPr>
        <w:t>A</w:t>
      </w:r>
      <w:r>
        <w:t>ccording to the Agency for Vocational Education and Training and Adult Education, the majority of participants (61%) need to pay the participation fee themselves, employ</w:t>
      </w:r>
      <w:r>
        <w:t>ers finance fees for 18</w:t>
      </w:r>
      <w:r>
        <w:rPr>
          <w:bCs/>
        </w:rPr>
        <w:t> %</w:t>
      </w:r>
      <w:r>
        <w:t xml:space="preserve"> of participants, the Croatian Employment Service supports 9</w:t>
      </w:r>
      <w:r>
        <w:rPr>
          <w:bCs/>
        </w:rPr>
        <w:t> %</w:t>
      </w:r>
      <w:r>
        <w:t xml:space="preserve"> and a small portion is financed from other sources.</w:t>
      </w:r>
    </w:p>
  </w:footnote>
  <w:footnote w:id="38">
    <w:p w:rsidR="001E7162" w:rsidRDefault="00EC2A75">
      <w:pPr>
        <w:pStyle w:val="FootnoteText"/>
      </w:pPr>
      <w:r>
        <w:t>(</w:t>
      </w:r>
      <w:r>
        <w:rPr>
          <w:rStyle w:val="FootnoteReference"/>
        </w:rPr>
        <w:footnoteRef/>
      </w:r>
      <w:r>
        <w:t>)</w:t>
      </w:r>
      <w:r>
        <w:tab/>
        <w:t>As measured by the Observatory of economic Complexity, an analytical tool developed by Simoes and Hidalgo (2011)</w:t>
      </w:r>
      <w:r>
        <w:t>.</w:t>
      </w:r>
    </w:p>
  </w:footnote>
  <w:footnote w:id="39">
    <w:p w:rsidR="001E7162" w:rsidRDefault="00EC2A75">
      <w:pPr>
        <w:pStyle w:val="FootnoteText"/>
      </w:pPr>
      <w:r>
        <w:t>(</w:t>
      </w:r>
      <w:r>
        <w:rPr>
          <w:rStyle w:val="FootnoteReference"/>
        </w:rPr>
        <w:footnoteRef/>
      </w:r>
      <w:r>
        <w:t>)</w:t>
      </w:r>
      <w:r>
        <w:tab/>
        <w:t>Extensive literature has stressed the link between trade and growth. The proponents of the export-led growth hypothesis argue that exports are a key engine of growth, through the positive externalities that participation in world markets generates, n</w:t>
      </w:r>
      <w:r>
        <w:t>amely: an improved allocation of resources; greater capacity utilisation through the use of economies of scale; the diffusion of technological progress and promotion of TFP; and labour training effects. Exports can also boost investment by relaxing the for</w:t>
      </w:r>
      <w:r>
        <w:t>eign exchange constraint on the import of foreign capital and intermediate goods, by increasing the country’s external earnings.</w:t>
      </w:r>
    </w:p>
  </w:footnote>
  <w:footnote w:id="40">
    <w:p w:rsidR="001E7162" w:rsidRDefault="00EC2A75">
      <w:pPr>
        <w:pStyle w:val="FootnoteText"/>
        <w:rPr>
          <w:rFonts w:eastAsia="Times New Roman"/>
        </w:rPr>
      </w:pPr>
      <w:r>
        <w:t>(</w:t>
      </w:r>
      <w:r>
        <w:rPr>
          <w:rStyle w:val="FootnoteReference"/>
        </w:rPr>
        <w:footnoteRef/>
      </w:r>
      <w:r>
        <w:t>)</w:t>
      </w:r>
      <w:r>
        <w:tab/>
        <w:t xml:space="preserve">The RTB indicator for product "i" is defined as follows: </w:t>
      </w:r>
      <m:oMath>
        <m:sSub>
          <m:sSubPr>
            <m:ctrlPr>
              <w:rPr>
                <w:rFonts w:ascii="Cambria Math" w:eastAsia="Times New Roman" w:hAnsi="Cambria Math"/>
              </w:rPr>
            </m:ctrlPr>
          </m:sSubPr>
          <m:e>
            <m:r>
              <m:rPr>
                <m:sty m:val="p"/>
              </m:rPr>
              <w:rPr>
                <w:rFonts w:ascii="Cambria Math" w:hAnsi="Cambria Math"/>
              </w:rPr>
              <m:t>RTB</m:t>
            </m:r>
          </m:e>
          <m:sub>
            <m:r>
              <m:rPr>
                <m:sty m:val="p"/>
              </m:rPr>
              <w:rPr>
                <w:rFonts w:ascii="Cambria Math" w:hAnsi="Cambria Math"/>
              </w:rPr>
              <m:t>i</m:t>
            </m:r>
          </m:sub>
        </m:sSub>
        <m:r>
          <m:rPr>
            <m:sty m:val="p"/>
          </m:rPr>
          <w:rPr>
            <w:rFonts w:ascii="Cambria Math" w:hAnsi="Cambria Math"/>
          </w:rPr>
          <m:t>=</m:t>
        </m:r>
        <m:f>
          <m:fPr>
            <m:ctrlPr>
              <w:rPr>
                <w:rFonts w:ascii="Cambria Math" w:eastAsia="Times New Roman" w:hAnsi="Cambria Math"/>
              </w:rPr>
            </m:ctrlPr>
          </m:fPr>
          <m:num>
            <m:sSub>
              <m:sSubPr>
                <m:ctrlPr>
                  <w:rPr>
                    <w:rFonts w:ascii="Cambria Math" w:eastAsia="Times New Roman"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sSub>
              <m:sSubPr>
                <m:ctrlPr>
                  <w:rPr>
                    <w:rFonts w:ascii="Cambria Math" w:eastAsia="Times New Roman" w:hAnsi="Cambria Math"/>
                  </w:rPr>
                </m:ctrlPr>
              </m:sSubPr>
              <m:e>
                <m:r>
                  <m:rPr>
                    <m:sty m:val="p"/>
                  </m:rPr>
                  <w:rPr>
                    <w:rFonts w:ascii="Cambria Math" w:hAnsi="Cambria Math"/>
                  </w:rPr>
                  <m:t>M</m:t>
                </m:r>
              </m:e>
              <m:sub>
                <m:r>
                  <m:rPr>
                    <m:sty m:val="p"/>
                  </m:rPr>
                  <w:rPr>
                    <w:rFonts w:ascii="Cambria Math" w:hAnsi="Cambria Math"/>
                  </w:rPr>
                  <m:t>i</m:t>
                </m:r>
              </m:sub>
            </m:sSub>
          </m:num>
          <m:den>
            <m:sSub>
              <m:sSubPr>
                <m:ctrlPr>
                  <w:rPr>
                    <w:rFonts w:ascii="Cambria Math" w:eastAsia="Times New Roman"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sSub>
              <m:sSubPr>
                <m:ctrlPr>
                  <w:rPr>
                    <w:rFonts w:ascii="Cambria Math" w:eastAsia="Times New Roman" w:hAnsi="Cambria Math"/>
                  </w:rPr>
                </m:ctrlPr>
              </m:sSubPr>
              <m:e>
                <m:r>
                  <m:rPr>
                    <m:sty m:val="p"/>
                  </m:rPr>
                  <w:rPr>
                    <w:rFonts w:ascii="Cambria Math" w:hAnsi="Cambria Math"/>
                  </w:rPr>
                  <m:t>M</m:t>
                </m:r>
              </m:e>
              <m:sub>
                <m:r>
                  <m:rPr>
                    <m:sty m:val="p"/>
                  </m:rPr>
                  <w:rPr>
                    <w:rFonts w:ascii="Cambria Math" w:hAnsi="Cambria Math"/>
                  </w:rPr>
                  <m:t>i</m:t>
                </m:r>
              </m:sub>
            </m:sSub>
          </m:den>
        </m:f>
      </m:oMath>
      <w:r>
        <w:t xml:space="preserve"> where </w:t>
      </w:r>
      <m:oMath>
        <m:sSub>
          <m:sSubPr>
            <m:ctrlPr>
              <w:rPr>
                <w:rFonts w:ascii="Cambria Math" w:eastAsia="Times New Roman" w:hAnsi="Cambria Math"/>
              </w:rPr>
            </m:ctrlPr>
          </m:sSubPr>
          <m:e>
            <m:r>
              <m:rPr>
                <m:sty m:val="p"/>
              </m:rPr>
              <w:rPr>
                <w:rFonts w:ascii="Cambria Math" w:hAnsi="Cambria Math"/>
              </w:rPr>
              <m:t>X</m:t>
            </m:r>
          </m:e>
          <m:sub>
            <m:r>
              <m:rPr>
                <m:sty m:val="p"/>
              </m:rPr>
              <w:rPr>
                <w:rFonts w:ascii="Cambria Math" w:hAnsi="Cambria Math"/>
              </w:rPr>
              <m:t>i</m:t>
            </m:r>
          </m:sub>
        </m:sSub>
      </m:oMath>
      <w:r>
        <w:t xml:space="preserve"> is the value of product's "i" exports and</w:t>
      </w:r>
      <w:r>
        <w:t xml:space="preserve"> </w:t>
      </w:r>
      <m:oMath>
        <m:sSub>
          <m:sSubPr>
            <m:ctrlPr>
              <w:rPr>
                <w:rFonts w:ascii="Cambria Math" w:eastAsia="Times New Roman" w:hAnsi="Cambria Math"/>
              </w:rPr>
            </m:ctrlPr>
          </m:sSubPr>
          <m:e>
            <m:r>
              <m:rPr>
                <m:sty m:val="p"/>
              </m:rPr>
              <w:rPr>
                <w:rFonts w:ascii="Cambria Math" w:hAnsi="Cambria Math"/>
              </w:rPr>
              <m:t>M</m:t>
            </m:r>
          </m:e>
          <m:sub>
            <m:r>
              <m:rPr>
                <m:sty m:val="p"/>
              </m:rPr>
              <w:rPr>
                <w:rFonts w:ascii="Cambria Math" w:hAnsi="Cambria Math"/>
              </w:rPr>
              <m:t>i</m:t>
            </m:r>
          </m:sub>
        </m:sSub>
      </m:oMath>
      <w:r>
        <w:t xml:space="preserve"> imports.</w:t>
      </w:r>
    </w:p>
  </w:footnote>
  <w:footnote w:id="41">
    <w:p w:rsidR="001E7162" w:rsidRDefault="00EC2A75">
      <w:pPr>
        <w:pStyle w:val="FootnoteText"/>
      </w:pPr>
      <w:r>
        <w:t>(</w:t>
      </w:r>
      <w:r>
        <w:rPr>
          <w:rStyle w:val="FootnoteReference"/>
        </w:rPr>
        <w:footnoteRef/>
      </w:r>
      <w:r>
        <w:t>)</w:t>
      </w:r>
      <w:r>
        <w:tab/>
        <w:t xml:space="preserve">Scientific publications within the top 10 % most cited scientific publications worldwide as % of total scientific publications of the country stood at 4.1 in 2014 (EU average is 11.1). </w:t>
      </w:r>
    </w:p>
  </w:footnote>
  <w:footnote w:id="42">
    <w:p w:rsidR="001E7162" w:rsidRDefault="00EC2A75">
      <w:pPr>
        <w:pStyle w:val="FootnoteText"/>
      </w:pPr>
      <w:r>
        <w:t>(</w:t>
      </w:r>
      <w:r>
        <w:rPr>
          <w:rStyle w:val="FootnoteReference"/>
        </w:rPr>
        <w:footnoteRef/>
      </w:r>
      <w:r>
        <w:t>)</w:t>
      </w:r>
      <w:r>
        <w:tab/>
        <w:t>The share of public-private co-publications in to</w:t>
      </w:r>
      <w:r>
        <w:t xml:space="preserve">tal number of publications dropped by </w:t>
      </w:r>
      <w:r>
        <w:rPr>
          <w:szCs w:val="18"/>
        </w:rPr>
        <w:t>11% since 2007 and p</w:t>
      </w:r>
      <w:r>
        <w:t xml:space="preserve">ublic expenditure on R&amp;D financed by businesses as % of GDP is 0.034 vs. an EU average of 0.052. </w:t>
      </w:r>
    </w:p>
  </w:footnote>
  <w:footnote w:id="43">
    <w:p w:rsidR="001E7162" w:rsidRDefault="00EC2A75">
      <w:pPr>
        <w:pStyle w:val="FootnoteText"/>
      </w:pPr>
      <w:proofErr w:type="gramStart"/>
      <w:r>
        <w:t>(</w:t>
      </w:r>
      <w:r>
        <w:rPr>
          <w:rStyle w:val="FootnoteReference"/>
        </w:rPr>
        <w:footnoteRef/>
      </w:r>
      <w:r>
        <w:t>)</w:t>
      </w:r>
      <w:r>
        <w:tab/>
        <w:t>Croatia scores 22nd among EU Member States.</w:t>
      </w:r>
      <w:proofErr w:type="gramEnd"/>
      <w:r>
        <w:t xml:space="preserve"> </w:t>
      </w:r>
    </w:p>
  </w:footnote>
  <w:footnote w:id="44">
    <w:p w:rsidR="001E7162" w:rsidRDefault="00EC2A75">
      <w:pPr>
        <w:pStyle w:val="FootnoteText"/>
        <w:rPr>
          <w:sz w:val="18"/>
          <w:szCs w:val="18"/>
        </w:rPr>
      </w:pPr>
      <w:r>
        <w:t>(</w:t>
      </w:r>
      <w:r>
        <w:rPr>
          <w:rStyle w:val="FootnoteReference"/>
        </w:rPr>
        <w:footnoteRef/>
      </w:r>
      <w:r>
        <w:t>)</w:t>
      </w:r>
      <w:r>
        <w:tab/>
        <w:t>Three ministries share the R&amp;I policy portfolio</w:t>
      </w:r>
      <w:r>
        <w:t>: Ministry of Education and Science, Ministry of Economy, Entrepreneurship and Crafts and Ministry of Regional development and European Funds.</w:t>
      </w:r>
    </w:p>
  </w:footnote>
  <w:footnote w:id="45">
    <w:p w:rsidR="001E7162" w:rsidRDefault="00EC2A75">
      <w:pPr>
        <w:pStyle w:val="FootnoteText"/>
      </w:pPr>
      <w:r>
        <w:t>(</w:t>
      </w:r>
      <w:r>
        <w:rPr>
          <w:rStyle w:val="FootnoteReference"/>
        </w:rPr>
        <w:footnoteRef/>
      </w:r>
      <w:r>
        <w:t>)</w:t>
      </w:r>
      <w:r>
        <w:tab/>
        <w:t>ESF contributes additional EUR 24 million for social innovation, aimed mainly at investing into human resourc</w:t>
      </w:r>
      <w:r>
        <w:t>es in order to ensure sustainability and productivity of the RDI system.</w:t>
      </w:r>
    </w:p>
  </w:footnote>
  <w:footnote w:id="46">
    <w:p w:rsidR="001E7162" w:rsidRDefault="00EC2A75">
      <w:pPr>
        <w:pStyle w:val="FootnoteText"/>
      </w:pPr>
      <w:r>
        <w:t>(</w:t>
      </w:r>
      <w:r>
        <w:rPr>
          <w:rStyle w:val="FootnoteReference"/>
        </w:rPr>
        <w:footnoteRef/>
      </w:r>
      <w:r>
        <w:t>)</w:t>
      </w:r>
      <w:r>
        <w:tab/>
        <w:t>Only 57 % of the first action plan was implemented on time.</w:t>
      </w:r>
    </w:p>
  </w:footnote>
  <w:footnote w:id="47">
    <w:p w:rsidR="001E7162" w:rsidRDefault="00EC2A75">
      <w:pPr>
        <w:pStyle w:val="FootnoteText"/>
      </w:pPr>
      <w:proofErr w:type="gramStart"/>
      <w:r>
        <w:t>(</w:t>
      </w:r>
      <w:r>
        <w:rPr>
          <w:rStyle w:val="FootnoteReference"/>
        </w:rPr>
        <w:footnoteRef/>
      </w:r>
      <w:r>
        <w:t>)</w:t>
      </w:r>
      <w:r>
        <w:tab/>
        <w:t>Data available for Bulgaria, the Czech Republic, Denmark, Finland, Greece, Hungary, Italy, Poland, Portugal, Romani</w:t>
      </w:r>
      <w:r>
        <w:t>a, Slovakia, Slovenia and Sweden.</w:t>
      </w:r>
      <w:proofErr w:type="gramEnd"/>
    </w:p>
  </w:footnote>
  <w:footnote w:id="48">
    <w:p w:rsidR="001E7162" w:rsidRDefault="00EC2A75">
      <w:pPr>
        <w:pStyle w:val="FootnoteText"/>
      </w:pPr>
      <w:r>
        <w:t>(</w:t>
      </w:r>
      <w:r>
        <w:rPr>
          <w:rStyle w:val="FootnoteReference"/>
          <w:szCs w:val="16"/>
        </w:rPr>
        <w:footnoteRef/>
      </w:r>
      <w:r>
        <w:t>)</w:t>
      </w:r>
      <w:r>
        <w:tab/>
        <w:t>Eurostat, curative bed occupancy data in 2015, Croatia at 76.3 %, EU average at 72 %</w:t>
      </w:r>
    </w:p>
  </w:footnote>
  <w:footnote w:id="49">
    <w:p w:rsidR="001E7162" w:rsidRDefault="00EC2A75">
      <w:pPr>
        <w:pStyle w:val="FootnoteText"/>
      </w:pPr>
      <w:r>
        <w:t>(</w:t>
      </w:r>
      <w:r>
        <w:rPr>
          <w:rStyle w:val="FootnoteReference"/>
        </w:rPr>
        <w:footnoteRef/>
      </w:r>
      <w:r>
        <w:t>)</w:t>
      </w:r>
      <w:r>
        <w:tab/>
        <w:t xml:space="preserve">The following categories are used to assess progress in implementing the country-specific recommendations: </w:t>
      </w:r>
    </w:p>
    <w:p w:rsidR="001E7162" w:rsidRDefault="00EC2A75">
      <w:pPr>
        <w:pStyle w:val="FootnoteText"/>
      </w:pPr>
      <w:r>
        <w:t>No progress:</w:t>
      </w:r>
    </w:p>
    <w:p w:rsidR="001E7162" w:rsidRDefault="00EC2A75">
      <w:pPr>
        <w:pStyle w:val="FootnoteText"/>
      </w:pPr>
      <w:r>
        <w:t xml:space="preserve">The </w:t>
      </w:r>
      <w:r>
        <w:t>Member State has not credibly announced nor adopted any measures to address the CSR. Below a number of non-exhaustive typical situations that could be covered under this, to be interpreted on a case by case basis taking into account country-specific condit</w:t>
      </w:r>
      <w:r>
        <w:t>ions:</w:t>
      </w:r>
    </w:p>
    <w:p w:rsidR="001E7162" w:rsidRDefault="00EC2A75">
      <w:pPr>
        <w:pStyle w:val="FootnoteText"/>
      </w:pPr>
      <w:r>
        <w:t>•</w:t>
      </w:r>
      <w:r>
        <w:tab/>
        <w:t xml:space="preserve">no legal, administrative, or budgetary measures have been announced in the National Reform Programme or in other official communication to the national Parliament / relevant parliamentary committees, the European Commission, or announced in public </w:t>
      </w:r>
      <w:r>
        <w:t xml:space="preserve">(e.g. in a press statement, information on government's website); </w:t>
      </w:r>
    </w:p>
    <w:p w:rsidR="001E7162" w:rsidRDefault="00EC2A75">
      <w:pPr>
        <w:pStyle w:val="FootnoteText"/>
      </w:pPr>
      <w:r>
        <w:t>•</w:t>
      </w:r>
      <w:r>
        <w:tab/>
        <w:t>no non-legislative acts have been presented by the governing or legislator body;</w:t>
      </w:r>
    </w:p>
    <w:p w:rsidR="001E7162" w:rsidRDefault="00EC2A75">
      <w:pPr>
        <w:pStyle w:val="FootnoteText"/>
      </w:pPr>
      <w:r>
        <w:t>•</w:t>
      </w:r>
      <w:r>
        <w:tab/>
        <w:t>the Member State has taken initial steps in addressing the CSR, such as commissioning a study or setting</w:t>
      </w:r>
      <w:r>
        <w:t xml:space="preserve"> up a study group to analyse possible measures that would need to be taken (unless the CSR explicitly asks for orientations or exploratory actions), while clearly-specified measure(s) to address the CSR has not been proposed.</w:t>
      </w:r>
    </w:p>
    <w:p w:rsidR="001E7162" w:rsidRDefault="00EC2A75">
      <w:pPr>
        <w:pStyle w:val="FootnoteText"/>
      </w:pPr>
      <w:r>
        <w:t>Limited progress:</w:t>
      </w:r>
    </w:p>
    <w:p w:rsidR="001E7162" w:rsidRDefault="00EC2A75">
      <w:pPr>
        <w:pStyle w:val="FootnoteText"/>
      </w:pPr>
      <w:r>
        <w:t xml:space="preserve">The Member </w:t>
      </w:r>
      <w:r>
        <w:t>State has:</w:t>
      </w:r>
    </w:p>
    <w:p w:rsidR="001E7162" w:rsidRDefault="00EC2A75">
      <w:pPr>
        <w:pStyle w:val="FootnoteText"/>
      </w:pPr>
      <w:r>
        <w:t>•</w:t>
      </w:r>
      <w:r>
        <w:tab/>
        <w:t>announced certain measures but these only address the CSR to a limited extent;</w:t>
      </w:r>
    </w:p>
    <w:p w:rsidR="001E7162" w:rsidRDefault="00EC2A75">
      <w:pPr>
        <w:pStyle w:val="FootnoteText"/>
      </w:pPr>
      <w:r>
        <w:t>and/or</w:t>
      </w:r>
    </w:p>
    <w:p w:rsidR="001E7162" w:rsidRDefault="00EC2A75">
      <w:pPr>
        <w:pStyle w:val="FootnoteText"/>
      </w:pPr>
      <w:r>
        <w:t>•</w:t>
      </w:r>
      <w:r>
        <w:tab/>
        <w:t>presented legislative acts in the governing or legislator body but these have not been adopted yet and substantial non-legislative further work is needed b</w:t>
      </w:r>
      <w:r>
        <w:t>efore the CSR will be implemented;</w:t>
      </w:r>
    </w:p>
    <w:p w:rsidR="001E7162" w:rsidRDefault="00EC2A75">
      <w:pPr>
        <w:pStyle w:val="FootnoteText"/>
      </w:pPr>
      <w:proofErr w:type="gramStart"/>
      <w:r>
        <w:t>•</w:t>
      </w:r>
      <w:r>
        <w:tab/>
        <w:t>presented non-legislative acts, yet with no further follow-up in terms of implementation which is needed to address the CSR.</w:t>
      </w:r>
      <w:proofErr w:type="gramEnd"/>
    </w:p>
    <w:p w:rsidR="001E7162" w:rsidRDefault="00EC2A75">
      <w:pPr>
        <w:pStyle w:val="FootnoteText"/>
      </w:pPr>
      <w:r>
        <w:t>Some progress:</w:t>
      </w:r>
    </w:p>
    <w:p w:rsidR="001E7162" w:rsidRDefault="00EC2A75">
      <w:pPr>
        <w:pStyle w:val="FootnoteText"/>
      </w:pPr>
      <w:r>
        <w:t xml:space="preserve">The Member State has adopted measures that partly address the CSR </w:t>
      </w:r>
    </w:p>
    <w:p w:rsidR="001E7162" w:rsidRDefault="00EC2A75">
      <w:pPr>
        <w:pStyle w:val="FootnoteText"/>
      </w:pPr>
      <w:r>
        <w:t xml:space="preserve">and/or </w:t>
      </w:r>
    </w:p>
    <w:p w:rsidR="001E7162" w:rsidRDefault="00EC2A75">
      <w:pPr>
        <w:pStyle w:val="FootnoteText"/>
      </w:pPr>
      <w:r>
        <w:t xml:space="preserve">the </w:t>
      </w:r>
      <w:r>
        <w:t>Member State has adopted measures that address the CSR, but a fair amount of work is still needed to fully address the CSR as only a few of the adopted measures have been implemented. For instance: adopted by national parliament; by ministerial decision; b</w:t>
      </w:r>
      <w:r>
        <w:t xml:space="preserve">ut no implementing decisions are in place. </w:t>
      </w:r>
    </w:p>
    <w:p w:rsidR="001E7162" w:rsidRDefault="00EC2A75">
      <w:pPr>
        <w:pStyle w:val="FootnoteText"/>
      </w:pPr>
      <w:r>
        <w:t>Substantial progress:</w:t>
      </w:r>
    </w:p>
    <w:p w:rsidR="001E7162" w:rsidRDefault="00EC2A75">
      <w:pPr>
        <w:pStyle w:val="FootnoteText"/>
      </w:pPr>
      <w:r>
        <w:t xml:space="preserve">The Member State has adopted measures that go a long way in addressing the CSR and most of which have been implemented. </w:t>
      </w:r>
    </w:p>
    <w:p w:rsidR="001E7162" w:rsidRDefault="00EC2A75">
      <w:pPr>
        <w:pStyle w:val="FootnoteText"/>
      </w:pPr>
      <w:r>
        <w:t xml:space="preserve">Full implementation: </w:t>
      </w:r>
    </w:p>
    <w:p w:rsidR="001E7162" w:rsidRDefault="00EC2A75">
      <w:pPr>
        <w:pStyle w:val="FootnoteText"/>
      </w:pPr>
      <w:r>
        <w:t>The Member State has implemented all measures n</w:t>
      </w:r>
      <w:r>
        <w:t>eeded to address the CSR appropriately.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75" w:rsidRPr="00EC2A75" w:rsidRDefault="00EC2A75" w:rsidP="00EC2A7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2. Progress with country-specific recommendations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75" w:rsidRPr="00EC2A75" w:rsidRDefault="00EC2A75" w:rsidP="00EC2A75">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3. Summary of the main findings from the MIP in­depth review</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4.1. Public finances and taxation*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4.1. Public finances and taxation*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75" w:rsidRPr="00EC2A75" w:rsidRDefault="00EC2A75" w:rsidP="00EC2A75">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4.1. Public finances and taxation*</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4.2. Private sector debt and financial sector*</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4.2. Private sector debt and financial sector*</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4.2. Private sector debt and financial sector*</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4.3. Labour market, social policies and education*</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4.3. Labour market, social policies and education*</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4.3. Labour market, social policies and education*</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4.4. Competitiveness and investment*</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4.4. Competitiveness and investment*</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4.4.</w:t>
    </w:r>
    <w:r>
      <w:t xml:space="preserve"> Competitiveness and investment*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4.4. Competitiveness and investment*</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4.4. Competitiveness and investment*</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4.5. Public governance*</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4.5. Public governance*</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4.5. Public governance*</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 xml:space="preserve">A. Overview </w:t>
    </w:r>
    <w:r>
      <w:t>Table</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Executive summary</w:t>
    </w:r>
  </w:p>
  <w:p w:rsidR="001E7162" w:rsidRDefault="001E7162">
    <w:pPr>
      <w:pStyle w:val="HeaderSubtitleRight3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B. MIP Scoreboard</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C. Standard Tables</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EC2A75">
    <w:pPr>
      <w:pStyle w:val="HeaderTitleRight"/>
    </w:pPr>
    <w:r>
      <w:t>References</w:t>
    </w:r>
  </w:p>
  <w:p w:rsidR="001E7162" w:rsidRDefault="001E7162">
    <w:pPr>
      <w:pStyle w:val="HeaderSubtitleRight30"/>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62" w:rsidRDefault="001E71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lvlText w:val="%1."/>
      <w:lvlJc w:val="left"/>
      <w:pPr>
        <w:tabs>
          <w:tab w:val="num" w:pos="369"/>
        </w:tabs>
        <w:ind w:left="0" w:firstLine="0"/>
      </w:pPr>
      <w:rPr>
        <w:b/>
      </w:rPr>
    </w:lvl>
  </w:abstractNum>
  <w:abstractNum w:abstractNumId="1">
    <w:nsid w:val="FFFFFF89"/>
    <w:multiLevelType w:val="singleLevel"/>
    <w:tmpl w:val="7CE25EFA"/>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3E3CDFE8"/>
    <w:lvl w:ilvl="0">
      <w:start w:val="1"/>
      <w:numFmt w:val="decimal"/>
      <w:lvlText w:val="1.%1."/>
      <w:lvlJc w:val="left"/>
      <w:pPr>
        <w:tabs>
          <w:tab w:val="num" w:pos="567"/>
        </w:tabs>
        <w:ind w:left="567" w:hanging="567"/>
      </w:pPr>
    </w:lvl>
    <w:lvl w:ilvl="1">
      <w:start w:val="1"/>
      <w:numFmt w:val="decimal"/>
      <w:lvlText w:val="3.%1.%2."/>
      <w:lvlJc w:val="left"/>
      <w:pPr>
        <w:tabs>
          <w:tab w:val="num" w:pos="567"/>
        </w:tabs>
        <w:ind w:left="567" w:hanging="567"/>
      </w:pPr>
    </w:lvl>
    <w:lvl w:ilvl="2">
      <w:start w:val="1"/>
      <w:numFmt w:val="decimal"/>
      <w:lvlText w:val="3.%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0A70EC0"/>
    <w:multiLevelType w:val="singleLevel"/>
    <w:tmpl w:val="2506DF26"/>
    <w:lvl w:ilvl="0">
      <w:start w:val="1"/>
      <w:numFmt w:val="decimal"/>
      <w:lvlRestart w:val="0"/>
      <w:pStyle w:val="NormalNumbered"/>
      <w:lvlText w:val="%1."/>
      <w:lvlJc w:val="left"/>
      <w:pPr>
        <w:tabs>
          <w:tab w:val="num" w:pos="369"/>
        </w:tabs>
        <w:ind w:left="0" w:firstLine="0"/>
      </w:pPr>
      <w:rPr>
        <w:b/>
      </w:rPr>
    </w:lvl>
  </w:abstractNum>
  <w:abstractNum w:abstractNumId="5">
    <w:nsid w:val="17EB36AF"/>
    <w:multiLevelType w:val="singleLevel"/>
    <w:tmpl w:val="96445E22"/>
    <w:name w:val="List Bullet"/>
    <w:lvl w:ilvl="0">
      <w:start w:val="1"/>
      <w:numFmt w:val="bullet"/>
      <w:lvlText w:val=""/>
      <w:lvlJc w:val="left"/>
      <w:pPr>
        <w:tabs>
          <w:tab w:val="num" w:pos="283"/>
        </w:tabs>
        <w:ind w:left="283" w:hanging="283"/>
      </w:pPr>
      <w:rPr>
        <w:rFonts w:ascii="Symbol" w:hAnsi="Symbol" w:hint="default"/>
      </w:rPr>
    </w:lvl>
  </w:abstractNum>
  <w:abstractNum w:abstractNumId="6">
    <w:nsid w:val="1CF87CCB"/>
    <w:multiLevelType w:val="singleLevel"/>
    <w:tmpl w:val="1F72CADE"/>
    <w:lvl w:ilvl="0">
      <w:start w:val="1"/>
      <w:numFmt w:val="decimal"/>
      <w:lvlRestart w:val="0"/>
      <w:pStyle w:val="NumberedList"/>
      <w:lvlText w:val="%1."/>
      <w:lvlJc w:val="left"/>
      <w:pPr>
        <w:tabs>
          <w:tab w:val="num" w:pos="340"/>
        </w:tabs>
        <w:ind w:left="340" w:hanging="340"/>
      </w:pPr>
    </w:lvl>
  </w:abstractNum>
  <w:abstractNum w:abstractNumId="7">
    <w:nsid w:val="273C53E3"/>
    <w:multiLevelType w:val="singleLevel"/>
    <w:tmpl w:val="2A6E1C1A"/>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8">
    <w:nsid w:val="35D67E7D"/>
    <w:multiLevelType w:val="hybridMultilevel"/>
    <w:tmpl w:val="BC76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F2522A1"/>
    <w:multiLevelType w:val="singleLevel"/>
    <w:tmpl w:val="26F27912"/>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10">
    <w:nsid w:val="54F620F6"/>
    <w:multiLevelType w:val="singleLevel"/>
    <w:tmpl w:val="010ECA8C"/>
    <w:name w:val="List Dash"/>
    <w:lvl w:ilvl="0">
      <w:start w:val="1"/>
      <w:numFmt w:val="bullet"/>
      <w:lvlText w:val=""/>
      <w:lvlJc w:val="left"/>
      <w:pPr>
        <w:tabs>
          <w:tab w:val="num" w:pos="283"/>
        </w:tabs>
        <w:ind w:left="283" w:hanging="283"/>
      </w:pPr>
      <w:rPr>
        <w:rFonts w:ascii="Symbol" w:hAnsi="Symbol" w:hint="default"/>
      </w:rPr>
    </w:lvl>
  </w:abstractNum>
  <w:abstractNum w:abstractNumId="11">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E4D2A11"/>
    <w:multiLevelType w:val="singleLevel"/>
    <w:tmpl w:val="B612535E"/>
    <w:name w:val="Numbered List"/>
    <w:lvl w:ilvl="0">
      <w:start w:val="1"/>
      <w:numFmt w:val="decimal"/>
      <w:lvlText w:val="%1."/>
      <w:lvlJc w:val="left"/>
      <w:pPr>
        <w:tabs>
          <w:tab w:val="num" w:pos="340"/>
        </w:tabs>
        <w:ind w:left="340" w:hanging="340"/>
      </w:pPr>
    </w:lvl>
  </w:abstractNum>
  <w:num w:numId="1">
    <w:abstractNumId w:val="5"/>
  </w:num>
  <w:num w:numId="2">
    <w:abstractNumId w:val="0"/>
    <w:lvlOverride w:ilvl="0">
      <w:startOverride w:val="1"/>
    </w:lvlOverride>
  </w:num>
  <w:num w:numId="3">
    <w:abstractNumId w:val="12"/>
    <w:lvlOverride w:ilvl="0">
      <w:startOverride w:val="1"/>
    </w:lvlOverride>
  </w:num>
  <w:num w:numId="4">
    <w:abstractNumId w:val="10"/>
  </w:num>
  <w:num w:numId="5">
    <w:abstractNumId w:val="12"/>
  </w:num>
  <w:num w:numId="6">
    <w:abstractNumId w:val="8"/>
  </w:num>
  <w:num w:numId="7">
    <w:abstractNumId w:val="1"/>
  </w:num>
  <w:num w:numId="8">
    <w:abstractNumId w:val="6"/>
  </w:num>
  <w:num w:numId="9">
    <w:abstractNumId w:val="4"/>
  </w:num>
  <w:num w:numId="10">
    <w:abstractNumId w:val="7"/>
  </w:num>
  <w:num w:numId="11">
    <w:abstractNumId w:val="9"/>
  </w:num>
  <w:num w:numId="1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133121"/>
  </w:hdrShapeDefaults>
  <w:footnotePr>
    <w:pos w:val="beneathText"/>
    <w:footnote w:id="-1"/>
    <w:footnote w:id="0"/>
  </w:footnotePr>
  <w:endnotePr>
    <w:pos w:val="sectEnd"/>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nying the document"/>
    <w:docVar w:name="LW_CORRIGENDUM" w:val="&lt;UNUSED&gt;"/>
    <w:docVar w:name="LW_COVERPAGE_EXISTS" w:val="True"/>
    <w:docVar w:name="LW_COVERPAGE_GUID" w:val="59402169-E244-4855-BF85-A7AF7130F678"/>
    <w:docVar w:name="LW_COVERPAGE_TYPE" w:val="1"/>
    <w:docVar w:name="LW_CROSSREFERENCE" w:val="{COM(2018) 120 final}_x000d_"/>
    <w:docVar w:name="LW_DocType" w:val="NORMAL"/>
    <w:docVar w:name="LW_EMISSION" w:val="7.3.2018"/>
    <w:docVar w:name="LW_EMISSION_ISODATE" w:val="2018-03-07"/>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final"/>
    <w:docVar w:name="LW_REF.INST.NEW_TEXT" w:val="(2018) 20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Croatia 2018_x000b_Including an In-Depth Review on the prevention and correction of macroeconomic imbalances_x000b_"/>
    <w:docVar w:name="LW_TYPE.DOC.CP" w:val="COMMISSION STAFF WORKING DOCUMENT"/>
    <w:docVar w:name="LW_TYPEACTEPRINCIPAL.CP" w:val="COMMUNICATION FROM THE COMMISSION TO THE EUROPEAN PARLIAMENT, THE COUNCIL, THE EUROPEAN CENTRAL BANK AND THE EUROGROUP"/>
  </w:docVars>
  <w:rsids>
    <w:rsidRoot w:val="001E7162"/>
    <w:rsid w:val="001E7162"/>
    <w:rsid w:val="00EC2A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5" w:uiPriority="39"/>
    <w:lsdException w:name="toc 6" w:uiPriority="39"/>
    <w:lsdException w:name="toc 7"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rFonts w:eastAsia="Calibri"/>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unhideWhenUsed/>
  </w:style>
  <w:style w:type="paragraph" w:styleId="TOC7">
    <w:name w:val="toc 7"/>
    <w:basedOn w:val="TOC5"/>
    <w:uiPriority w:val="39"/>
    <w:unhideWhenUsed/>
    <w:pPr>
      <w:keepNext/>
    </w:p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1"/>
    <w:basedOn w:val="Normal"/>
    <w:link w:val="FootnoteTextChar"/>
    <w:uiPriority w:val="99"/>
    <w:unhideWhenUsed/>
    <w:pPr>
      <w:spacing w:after="0" w:line="240" w:lineRule="auto"/>
      <w:ind w:left="283" w:hanging="283"/>
    </w:pPr>
    <w:rPr>
      <w:sz w:val="16"/>
      <w:szCs w:val="20"/>
    </w:rPr>
  </w:style>
  <w:style w:type="paragraph" w:styleId="Footer">
    <w:name w:val="footer"/>
    <w:basedOn w:val="Normal"/>
    <w:next w:val="Normal"/>
    <w:link w:val="FooterChar"/>
    <w:uiPriority w:val="99"/>
    <w:unhideWhenUsed/>
    <w:pPr>
      <w:spacing w:after="0" w:line="240" w:lineRule="auto"/>
      <w:jc w:val="left"/>
    </w:p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unhideWhenUsed/>
    <w:pPr>
      <w:numPr>
        <w:numId w:val="10"/>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9"/>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8"/>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1"/>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left"/>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left"/>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left"/>
    </w:pPr>
  </w:style>
  <w:style w:type="paragraph" w:customStyle="1" w:styleId="MapSource">
    <w:name w:val="Map Source"/>
    <w:basedOn w:val="Normal"/>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FootnoteReference">
    <w:name w:val="footnote reference"/>
    <w:aliases w:val="Footnote symbol,-E Fußnotenzeichen,Times 10 Point,Exposant 3 Point,Fußnotenzeichen2,Voetnootverwijzing,Footnote Reference Superscript,Footnote reference number,EN Footnote Reference,note TESI,Ref,de nota al pie,SUPERS,BVI fnr,number"/>
    <w:link w:val="FootnotesymbolCarZchn"/>
    <w:uiPriority w:val="99"/>
    <w:unhideWhenUsed/>
    <w:rPr>
      <w:shd w:val="clear" w:color="auto" w:fill="auto"/>
      <w:vertAlign w:val="superscript"/>
    </w:rPr>
  </w:style>
  <w:style w:type="character" w:styleId="EndnoteReference">
    <w:name w:val="endnote reference"/>
    <w:uiPriority w:val="99"/>
    <w:semiHidden/>
    <w:unhideWhenUsed/>
    <w:rPr>
      <w:shd w:val="clear" w:color="auto" w:fill="auto"/>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shd w:val="clear" w:color="auto" w:fill="auto"/>
      <w:lang w:eastAsia="en-US"/>
    </w:rPr>
  </w:style>
  <w:style w:type="character" w:customStyle="1" w:styleId="FooterChar">
    <w:name w:val="Footer Char"/>
    <w:link w:val="Footer"/>
    <w:uiPriority w:val="99"/>
    <w:rPr>
      <w:rFonts w:eastAsia="Calibri"/>
      <w:color w:val="000000"/>
      <w:szCs w:val="22"/>
      <w:lang w:eastAsia="en-US"/>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shd w:val="clear" w:color="auto" w:fill="auto"/>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shd w:val="clear" w:color="auto" w:fill="auto"/>
      <w:lang w:eastAsia="en-US"/>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Pr>
      <w:rFonts w:eastAsia="Calibri"/>
      <w:color w:val="000000"/>
      <w:sz w:val="16"/>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eastAsia="Times New Roman"/>
      <w:color w:val="auto"/>
      <w:szCs w:val="20"/>
      <w:vertAlign w:val="superscript"/>
      <w:lang w:eastAsia="en-GB"/>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eastAsia="Calibri"/>
      <w:color w:val="000000"/>
      <w:shd w:val="clear" w:color="auto" w:fill="auto"/>
      <w:lang w:eastAsia="en-US"/>
    </w:rPr>
  </w:style>
  <w:style w:type="paragraph" w:customStyle="1" w:styleId="FootnoteText2">
    <w:name w:val="Footnote Text 2"/>
    <w:basedOn w:val="FootnoteText"/>
    <w:qFormat/>
    <w:pPr>
      <w:ind w:left="0" w:firstLine="0"/>
    </w:pPr>
  </w:style>
  <w:style w:type="paragraph" w:customStyle="1" w:styleId="FootnoteText3">
    <w:name w:val="Footnote Text 3"/>
    <w:basedOn w:val="FootnoteText2"/>
    <w:rPr>
      <w:b/>
      <w:u w:val="single"/>
    </w:rPr>
  </w:style>
  <w:style w:type="character" w:customStyle="1" w:styleId="EndnoteTextChar">
    <w:name w:val="Endnote Text Char"/>
    <w:link w:val="EndnoteText"/>
    <w:uiPriority w:val="99"/>
    <w:semiHidden/>
    <w:rPr>
      <w:rFonts w:eastAsia="Calibri"/>
      <w:color w:val="000000"/>
      <w:sz w:val="16"/>
      <w:shd w:val="clear" w:color="auto" w:fill="F7FCFF"/>
      <w:lang w:eastAsia="en-US"/>
    </w:rPr>
  </w:style>
  <w:style w:type="paragraph" w:customStyle="1" w:styleId="FootnoteReferneceCarcter">
    <w:name w:val="Footnote Refernece Carácter"/>
    <w:aliases w:val="ftref Carácter,4_G Carácter"/>
    <w:basedOn w:val="Normal"/>
    <w:uiPriority w:val="99"/>
    <w:pPr>
      <w:spacing w:before="120" w:after="160" w:line="240" w:lineRule="exact"/>
    </w:pPr>
    <w:rPr>
      <w:rFonts w:ascii="Calibri" w:hAnsi="Calibri"/>
      <w:color w:val="auto"/>
      <w:szCs w:val="20"/>
      <w:vertAlign w:val="superscript"/>
      <w:lang w:eastAsia="en-GB"/>
    </w:rPr>
  </w:style>
  <w:style w:type="paragraph" w:customStyle="1" w:styleId="BoxText">
    <w:name w:val="Box Text"/>
    <w:basedOn w:val="Normal"/>
    <w:pPr>
      <w:spacing w:after="220" w:line="220" w:lineRule="atLeast"/>
      <w:ind w:right="85"/>
    </w:pPr>
    <w:rPr>
      <w:rFonts w:eastAsia="Times New Roman"/>
      <w:sz w:val="18"/>
      <w:szCs w:val="24"/>
    </w:rPr>
  </w:style>
  <w:style w:type="paragraph" w:customStyle="1" w:styleId="BoxTitle">
    <w:name w:val="Box Title"/>
    <w:basedOn w:val="Normal"/>
    <w:pPr>
      <w:spacing w:after="220"/>
      <w:ind w:right="85"/>
      <w:jc w:val="center"/>
      <w:outlineLvl w:val="6"/>
    </w:pPr>
    <w:rPr>
      <w:rFonts w:ascii="Century Gothic" w:eastAsia="Times New Roman" w:hAnsi="Century Gothic"/>
      <w:color w:val="333399"/>
      <w:sz w:val="18"/>
      <w:szCs w:val="24"/>
    </w:rPr>
  </w:style>
  <w:style w:type="paragraph" w:customStyle="1" w:styleId="BoxTextCompact">
    <w:name w:val="Box Text Compact"/>
    <w:basedOn w:val="Normal"/>
    <w:next w:val="BoxText"/>
    <w:pPr>
      <w:spacing w:after="0" w:line="220" w:lineRule="atLeast"/>
      <w:ind w:right="85"/>
    </w:pPr>
    <w:rPr>
      <w:sz w:val="18"/>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eastAsia="Calibri" w:hAnsi="Century Gothic"/>
      <w:color w:val="000000"/>
      <w:sz w:val="24"/>
      <w:szCs w:val="22"/>
      <w:lang w:eastAsia="en-US"/>
    </w:rPr>
  </w:style>
  <w:style w:type="character" w:customStyle="1" w:styleId="FooterCoverPageChar">
    <w:name w:val="Footer Cover Page Char"/>
    <w:basedOn w:val="InstitutionChar"/>
    <w:link w:val="FooterCoverPage"/>
    <w:rPr>
      <w:rFonts w:ascii="Century Gothic" w:eastAsia="Calibri" w:hAnsi="Century Gothic"/>
      <w:color w:val="00000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eastAsia="Calibri" w:hAnsi="Century Gothic"/>
      <w:b/>
      <w:color w:val="000000"/>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eastAsia="Calibri" w:hAnsi="Century Gothic"/>
      <w:color w:val="00000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eastAsia="Calibri" w:hAnsi="Century Gothic"/>
      <w:b/>
      <w:color w:val="000000"/>
      <w:sz w:val="32"/>
      <w:szCs w:val="22"/>
      <w:lang w:eastAsia="en-US"/>
    </w:rPr>
  </w:style>
  <w:style w:type="character" w:styleId="CommentReference">
    <w:name w:val="annotation reference"/>
    <w:basedOn w:val="DefaultParagraphFont"/>
    <w:uiPriority w:val="99"/>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Calibri"/>
      <w:b/>
      <w:bCs/>
      <w:color w:val="000000"/>
      <w:shd w:val="clear" w:color="auto" w:fil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5" w:uiPriority="39"/>
    <w:lsdException w:name="toc 6" w:uiPriority="39"/>
    <w:lsdException w:name="toc 7"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rFonts w:eastAsia="Calibri"/>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unhideWhenUsed/>
  </w:style>
  <w:style w:type="paragraph" w:styleId="TOC7">
    <w:name w:val="toc 7"/>
    <w:basedOn w:val="TOC5"/>
    <w:uiPriority w:val="39"/>
    <w:unhideWhenUsed/>
    <w:pPr>
      <w:keepNext/>
    </w:p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1"/>
    <w:basedOn w:val="Normal"/>
    <w:link w:val="FootnoteTextChar"/>
    <w:uiPriority w:val="99"/>
    <w:unhideWhenUsed/>
    <w:pPr>
      <w:spacing w:after="0" w:line="240" w:lineRule="auto"/>
      <w:ind w:left="283" w:hanging="283"/>
    </w:pPr>
    <w:rPr>
      <w:sz w:val="16"/>
      <w:szCs w:val="20"/>
    </w:rPr>
  </w:style>
  <w:style w:type="paragraph" w:styleId="Footer">
    <w:name w:val="footer"/>
    <w:basedOn w:val="Normal"/>
    <w:next w:val="Normal"/>
    <w:link w:val="FooterChar"/>
    <w:uiPriority w:val="99"/>
    <w:unhideWhenUsed/>
    <w:pPr>
      <w:spacing w:after="0" w:line="240" w:lineRule="auto"/>
      <w:jc w:val="left"/>
    </w:p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unhideWhenUsed/>
    <w:pPr>
      <w:numPr>
        <w:numId w:val="10"/>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9"/>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8"/>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1"/>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left"/>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left"/>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left"/>
    </w:pPr>
  </w:style>
  <w:style w:type="paragraph" w:customStyle="1" w:styleId="MapSource">
    <w:name w:val="Map Source"/>
    <w:basedOn w:val="Normal"/>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FootnoteReference">
    <w:name w:val="footnote reference"/>
    <w:aliases w:val="Footnote symbol,-E Fußnotenzeichen,Times 10 Point,Exposant 3 Point,Fußnotenzeichen2,Voetnootverwijzing,Footnote Reference Superscript,Footnote reference number,EN Footnote Reference,note TESI,Ref,de nota al pie,SUPERS,BVI fnr,number"/>
    <w:link w:val="FootnotesymbolCarZchn"/>
    <w:uiPriority w:val="99"/>
    <w:unhideWhenUsed/>
    <w:rPr>
      <w:shd w:val="clear" w:color="auto" w:fill="auto"/>
      <w:vertAlign w:val="superscript"/>
    </w:rPr>
  </w:style>
  <w:style w:type="character" w:styleId="EndnoteReference">
    <w:name w:val="endnote reference"/>
    <w:uiPriority w:val="99"/>
    <w:semiHidden/>
    <w:unhideWhenUsed/>
    <w:rPr>
      <w:shd w:val="clear" w:color="auto" w:fill="auto"/>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shd w:val="clear" w:color="auto" w:fill="auto"/>
      <w:lang w:eastAsia="en-US"/>
    </w:rPr>
  </w:style>
  <w:style w:type="character" w:customStyle="1" w:styleId="FooterChar">
    <w:name w:val="Footer Char"/>
    <w:link w:val="Footer"/>
    <w:uiPriority w:val="99"/>
    <w:rPr>
      <w:rFonts w:eastAsia="Calibri"/>
      <w:color w:val="000000"/>
      <w:szCs w:val="22"/>
      <w:lang w:eastAsia="en-US"/>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shd w:val="clear" w:color="auto" w:fill="auto"/>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shd w:val="clear" w:color="auto" w:fill="auto"/>
      <w:lang w:eastAsia="en-US"/>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Pr>
      <w:rFonts w:eastAsia="Calibri"/>
      <w:color w:val="000000"/>
      <w:sz w:val="16"/>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eastAsia="Times New Roman"/>
      <w:color w:val="auto"/>
      <w:szCs w:val="20"/>
      <w:vertAlign w:val="superscript"/>
      <w:lang w:eastAsia="en-GB"/>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eastAsia="Calibri"/>
      <w:color w:val="000000"/>
      <w:shd w:val="clear" w:color="auto" w:fill="auto"/>
      <w:lang w:eastAsia="en-US"/>
    </w:rPr>
  </w:style>
  <w:style w:type="paragraph" w:customStyle="1" w:styleId="FootnoteText2">
    <w:name w:val="Footnote Text 2"/>
    <w:basedOn w:val="FootnoteText"/>
    <w:qFormat/>
    <w:pPr>
      <w:ind w:left="0" w:firstLine="0"/>
    </w:pPr>
  </w:style>
  <w:style w:type="paragraph" w:customStyle="1" w:styleId="FootnoteText3">
    <w:name w:val="Footnote Text 3"/>
    <w:basedOn w:val="FootnoteText2"/>
    <w:rPr>
      <w:b/>
      <w:u w:val="single"/>
    </w:rPr>
  </w:style>
  <w:style w:type="character" w:customStyle="1" w:styleId="EndnoteTextChar">
    <w:name w:val="Endnote Text Char"/>
    <w:link w:val="EndnoteText"/>
    <w:uiPriority w:val="99"/>
    <w:semiHidden/>
    <w:rPr>
      <w:rFonts w:eastAsia="Calibri"/>
      <w:color w:val="000000"/>
      <w:sz w:val="16"/>
      <w:shd w:val="clear" w:color="auto" w:fill="F7FCFF"/>
      <w:lang w:eastAsia="en-US"/>
    </w:rPr>
  </w:style>
  <w:style w:type="paragraph" w:customStyle="1" w:styleId="FootnoteReferneceCarcter">
    <w:name w:val="Footnote Refernece Carácter"/>
    <w:aliases w:val="ftref Carácter,4_G Carácter"/>
    <w:basedOn w:val="Normal"/>
    <w:uiPriority w:val="99"/>
    <w:pPr>
      <w:spacing w:before="120" w:after="160" w:line="240" w:lineRule="exact"/>
    </w:pPr>
    <w:rPr>
      <w:rFonts w:ascii="Calibri" w:hAnsi="Calibri"/>
      <w:color w:val="auto"/>
      <w:szCs w:val="20"/>
      <w:vertAlign w:val="superscript"/>
      <w:lang w:eastAsia="en-GB"/>
    </w:rPr>
  </w:style>
  <w:style w:type="paragraph" w:customStyle="1" w:styleId="BoxText">
    <w:name w:val="Box Text"/>
    <w:basedOn w:val="Normal"/>
    <w:pPr>
      <w:spacing w:after="220" w:line="220" w:lineRule="atLeast"/>
      <w:ind w:right="85"/>
    </w:pPr>
    <w:rPr>
      <w:rFonts w:eastAsia="Times New Roman"/>
      <w:sz w:val="18"/>
      <w:szCs w:val="24"/>
    </w:rPr>
  </w:style>
  <w:style w:type="paragraph" w:customStyle="1" w:styleId="BoxTitle">
    <w:name w:val="Box Title"/>
    <w:basedOn w:val="Normal"/>
    <w:pPr>
      <w:spacing w:after="220"/>
      <w:ind w:right="85"/>
      <w:jc w:val="center"/>
      <w:outlineLvl w:val="6"/>
    </w:pPr>
    <w:rPr>
      <w:rFonts w:ascii="Century Gothic" w:eastAsia="Times New Roman" w:hAnsi="Century Gothic"/>
      <w:color w:val="333399"/>
      <w:sz w:val="18"/>
      <w:szCs w:val="24"/>
    </w:rPr>
  </w:style>
  <w:style w:type="paragraph" w:customStyle="1" w:styleId="BoxTextCompact">
    <w:name w:val="Box Text Compact"/>
    <w:basedOn w:val="Normal"/>
    <w:next w:val="BoxText"/>
    <w:pPr>
      <w:spacing w:after="0" w:line="220" w:lineRule="atLeast"/>
      <w:ind w:right="85"/>
    </w:pPr>
    <w:rPr>
      <w:sz w:val="18"/>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eastAsia="Calibri" w:hAnsi="Century Gothic"/>
      <w:color w:val="000000"/>
      <w:sz w:val="24"/>
      <w:szCs w:val="22"/>
      <w:lang w:eastAsia="en-US"/>
    </w:rPr>
  </w:style>
  <w:style w:type="character" w:customStyle="1" w:styleId="FooterCoverPageChar">
    <w:name w:val="Footer Cover Page Char"/>
    <w:basedOn w:val="InstitutionChar"/>
    <w:link w:val="FooterCoverPage"/>
    <w:rPr>
      <w:rFonts w:ascii="Century Gothic" w:eastAsia="Calibri" w:hAnsi="Century Gothic"/>
      <w:color w:val="00000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eastAsia="Calibri" w:hAnsi="Century Gothic"/>
      <w:b/>
      <w:color w:val="000000"/>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eastAsia="Calibri" w:hAnsi="Century Gothic"/>
      <w:color w:val="00000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eastAsia="Calibri" w:hAnsi="Century Gothic"/>
      <w:b/>
      <w:color w:val="000000"/>
      <w:sz w:val="32"/>
      <w:szCs w:val="22"/>
      <w:lang w:eastAsia="en-US"/>
    </w:rPr>
  </w:style>
  <w:style w:type="character" w:styleId="CommentReference">
    <w:name w:val="annotation reference"/>
    <w:basedOn w:val="DefaultParagraphFont"/>
    <w:uiPriority w:val="99"/>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Calibri"/>
      <w:b/>
      <w:bCs/>
      <w:color w:val="000000"/>
      <w:shd w:val="clear" w:color="auto" w:fil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0.xml"/><Relationship Id="rId21" Type="http://schemas.openxmlformats.org/officeDocument/2006/relationships/footer" Target="footer6.xml"/><Relationship Id="rId42" Type="http://schemas.openxmlformats.org/officeDocument/2006/relationships/header" Target="header13.xml"/><Relationship Id="rId63" Type="http://schemas.openxmlformats.org/officeDocument/2006/relationships/header" Target="header22.xml"/><Relationship Id="rId84" Type="http://schemas.openxmlformats.org/officeDocument/2006/relationships/footer" Target="footer28.xml"/><Relationship Id="rId138" Type="http://schemas.openxmlformats.org/officeDocument/2006/relationships/image" Target="media/image29.emf"/><Relationship Id="rId159" Type="http://schemas.openxmlformats.org/officeDocument/2006/relationships/footer" Target="footer57.xml"/><Relationship Id="rId170" Type="http://schemas.openxmlformats.org/officeDocument/2006/relationships/footer" Target="footer61.xml"/><Relationship Id="rId191" Type="http://schemas.openxmlformats.org/officeDocument/2006/relationships/header" Target="header71.xml"/><Relationship Id="rId205" Type="http://schemas.openxmlformats.org/officeDocument/2006/relationships/footer" Target="footer77.xml"/><Relationship Id="rId226" Type="http://schemas.openxmlformats.org/officeDocument/2006/relationships/footer" Target="footer84.xml"/><Relationship Id="rId247" Type="http://schemas.openxmlformats.org/officeDocument/2006/relationships/hyperlink" Target="https://www.hertie-school.org/en/eupack/" TargetMode="External"/><Relationship Id="rId107" Type="http://schemas.openxmlformats.org/officeDocument/2006/relationships/header" Target="header36.xml"/><Relationship Id="rId11" Type="http://schemas.openxmlformats.org/officeDocument/2006/relationships/header" Target="header2.xml"/><Relationship Id="rId32" Type="http://schemas.openxmlformats.org/officeDocument/2006/relationships/image" Target="media/image4.emf"/><Relationship Id="rId53" Type="http://schemas.openxmlformats.org/officeDocument/2006/relationships/header" Target="header18.xml"/><Relationship Id="rId74" Type="http://schemas.openxmlformats.org/officeDocument/2006/relationships/header" Target="header25.xml"/><Relationship Id="rId128" Type="http://schemas.openxmlformats.org/officeDocument/2006/relationships/image" Target="media/image25.emf"/><Relationship Id="rId149" Type="http://schemas.openxmlformats.org/officeDocument/2006/relationships/header" Target="header53.xml"/><Relationship Id="rId5" Type="http://schemas.openxmlformats.org/officeDocument/2006/relationships/settings" Target="settings.xml"/><Relationship Id="rId95" Type="http://schemas.openxmlformats.org/officeDocument/2006/relationships/image" Target="media/image16.emf"/><Relationship Id="rId160" Type="http://schemas.openxmlformats.org/officeDocument/2006/relationships/image" Target="media/image33.emf"/><Relationship Id="rId181" Type="http://schemas.openxmlformats.org/officeDocument/2006/relationships/image" Target="media/image36.emf"/><Relationship Id="rId216" Type="http://schemas.openxmlformats.org/officeDocument/2006/relationships/image" Target="media/image40.emf"/><Relationship Id="rId237" Type="http://schemas.openxmlformats.org/officeDocument/2006/relationships/hyperlink" Target="http://data.europa.eu/euodp/en/data/dataset/S2130_85_2_STD85_ENG" TargetMode="External"/><Relationship Id="rId258" Type="http://schemas.openxmlformats.org/officeDocument/2006/relationships/hyperlink" Target="http://www.doingbusiness.org/~/media/WBG/DoingBusiness/Documents/Annual-Reports/English/DB2018-Full-Report.pdf" TargetMode="External"/><Relationship Id="rId22" Type="http://schemas.openxmlformats.org/officeDocument/2006/relationships/header" Target="header7.xml"/><Relationship Id="rId43" Type="http://schemas.openxmlformats.org/officeDocument/2006/relationships/header" Target="header14.xml"/><Relationship Id="rId64" Type="http://schemas.openxmlformats.org/officeDocument/2006/relationships/header" Target="header23.xml"/><Relationship Id="rId118" Type="http://schemas.openxmlformats.org/officeDocument/2006/relationships/footer" Target="footer41.xml"/><Relationship Id="rId139" Type="http://schemas.openxmlformats.org/officeDocument/2006/relationships/header" Target="header49.xml"/><Relationship Id="rId85" Type="http://schemas.openxmlformats.org/officeDocument/2006/relationships/footer" Target="footer29.xml"/><Relationship Id="rId150" Type="http://schemas.openxmlformats.org/officeDocument/2006/relationships/footer" Target="footer52.xml"/><Relationship Id="rId171" Type="http://schemas.openxmlformats.org/officeDocument/2006/relationships/footer" Target="footer62.xml"/><Relationship Id="rId192" Type="http://schemas.openxmlformats.org/officeDocument/2006/relationships/footer" Target="footer70.xml"/><Relationship Id="rId206" Type="http://schemas.openxmlformats.org/officeDocument/2006/relationships/header" Target="header78.xml"/><Relationship Id="rId227" Type="http://schemas.openxmlformats.org/officeDocument/2006/relationships/hyperlink" Target="http://www.hzz.hr/UserDocsImages/Sumarno%20evaluacijsko%20izvje%C5%A1%C4%87e_ENG_Vanjska%20evaluacija%20mjera%20aktivne%20politike%20tr%C5%BEi%C5%A1ta%20rada%202010%20-2013.pdf" TargetMode="External"/><Relationship Id="rId248" Type="http://schemas.openxmlformats.org/officeDocument/2006/relationships/hyperlink" Target="http://www.eif.org/what_we_do/equity/news/2017/wbedif_cosme_western_balkans.htm" TargetMode="External"/><Relationship Id="rId12" Type="http://schemas.openxmlformats.org/officeDocument/2006/relationships/footer" Target="footer1.xml"/><Relationship Id="rId33" Type="http://schemas.openxmlformats.org/officeDocument/2006/relationships/image" Target="media/image5.emf"/><Relationship Id="rId108" Type="http://schemas.openxmlformats.org/officeDocument/2006/relationships/footer" Target="footer36.xml"/><Relationship Id="rId129" Type="http://schemas.openxmlformats.org/officeDocument/2006/relationships/header" Target="header46.xml"/><Relationship Id="rId54" Type="http://schemas.openxmlformats.org/officeDocument/2006/relationships/footer" Target="footer18.xml"/><Relationship Id="rId75" Type="http://schemas.openxmlformats.org/officeDocument/2006/relationships/header" Target="header26.xml"/><Relationship Id="rId96" Type="http://schemas.openxmlformats.org/officeDocument/2006/relationships/image" Target="media/image17.emf"/><Relationship Id="rId140" Type="http://schemas.openxmlformats.org/officeDocument/2006/relationships/header" Target="header50.xml"/><Relationship Id="rId161" Type="http://schemas.openxmlformats.org/officeDocument/2006/relationships/header" Target="header58.xml"/><Relationship Id="rId182" Type="http://schemas.openxmlformats.org/officeDocument/2006/relationships/chart" Target="charts/chart5.xml"/><Relationship Id="rId217" Type="http://schemas.openxmlformats.org/officeDocument/2006/relationships/image" Target="media/image41.emf"/><Relationship Id="rId6" Type="http://schemas.openxmlformats.org/officeDocument/2006/relationships/webSettings" Target="webSettings.xml"/><Relationship Id="rId238" Type="http://schemas.openxmlformats.org/officeDocument/2006/relationships/hyperlink" Target="https://ec.europa.eu/info/publications/2018-european-semester-draft-joint-employment-report_en" TargetMode="External"/><Relationship Id="rId259" Type="http://schemas.openxmlformats.org/officeDocument/2006/relationships/hyperlink" Target="http://info.worldbank.org/governance/wgi/index.aspx" TargetMode="Externa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header" Target="header16.xml"/><Relationship Id="rId114" Type="http://schemas.openxmlformats.org/officeDocument/2006/relationships/footer" Target="footer39.xml"/><Relationship Id="rId119" Type="http://schemas.openxmlformats.org/officeDocument/2006/relationships/header" Target="header42.xml"/><Relationship Id="rId44" Type="http://schemas.openxmlformats.org/officeDocument/2006/relationships/footer" Target="footer13.xml"/><Relationship Id="rId60" Type="http://schemas.openxmlformats.org/officeDocument/2006/relationships/footer" Target="footer21.xml"/><Relationship Id="rId65" Type="http://schemas.openxmlformats.org/officeDocument/2006/relationships/footer" Target="footer22.xml"/><Relationship Id="rId81" Type="http://schemas.openxmlformats.org/officeDocument/2006/relationships/image" Target="media/image14.png"/><Relationship Id="rId86" Type="http://schemas.openxmlformats.org/officeDocument/2006/relationships/header" Target="header30.xml"/><Relationship Id="rId130" Type="http://schemas.openxmlformats.org/officeDocument/2006/relationships/header" Target="header47.xml"/><Relationship Id="rId135" Type="http://schemas.openxmlformats.org/officeDocument/2006/relationships/image" Target="media/image26.emf"/><Relationship Id="rId151" Type="http://schemas.openxmlformats.org/officeDocument/2006/relationships/footer" Target="footer53.xml"/><Relationship Id="rId156" Type="http://schemas.openxmlformats.org/officeDocument/2006/relationships/footer" Target="footer55.xml"/><Relationship Id="rId177" Type="http://schemas.openxmlformats.org/officeDocument/2006/relationships/footer" Target="footer65.xml"/><Relationship Id="rId198" Type="http://schemas.openxmlformats.org/officeDocument/2006/relationships/footer" Target="footer73.xml"/><Relationship Id="rId172" Type="http://schemas.openxmlformats.org/officeDocument/2006/relationships/header" Target="header63.xml"/><Relationship Id="rId193" Type="http://schemas.openxmlformats.org/officeDocument/2006/relationships/footer" Target="footer71.xml"/><Relationship Id="rId202" Type="http://schemas.openxmlformats.org/officeDocument/2006/relationships/header" Target="header76.xml"/><Relationship Id="rId207" Type="http://schemas.openxmlformats.org/officeDocument/2006/relationships/footer" Target="footer78.xml"/><Relationship Id="rId223" Type="http://schemas.openxmlformats.org/officeDocument/2006/relationships/footer" Target="footer82.xml"/><Relationship Id="rId228" Type="http://schemas.openxmlformats.org/officeDocument/2006/relationships/hyperlink" Target="http://ec.europa.eu/economy_finance/publications/economic_paper/2012/pdf/ecp475_en.pdf" TargetMode="External"/><Relationship Id="rId244" Type="http://schemas.openxmlformats.org/officeDocument/2006/relationships/hyperlink" Target="http://ec.europa.eu/education/sites/education/files/monitor2017_en.pdf" TargetMode="External"/><Relationship Id="rId249" Type="http://schemas.openxmlformats.org/officeDocument/2006/relationships/hyperlink" Target="https://fraudsurveys.ey.com/"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2.xml"/><Relationship Id="rId109" Type="http://schemas.openxmlformats.org/officeDocument/2006/relationships/header" Target="header37.xml"/><Relationship Id="rId260" Type="http://schemas.openxmlformats.org/officeDocument/2006/relationships/header" Target="header85.xml"/><Relationship Id="rId265" Type="http://schemas.openxmlformats.org/officeDocument/2006/relationships/footer" Target="footer87.xml"/><Relationship Id="rId34" Type="http://schemas.openxmlformats.org/officeDocument/2006/relationships/header" Target="header10.xml"/><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footer" Target="footer25.xml"/><Relationship Id="rId97" Type="http://schemas.openxmlformats.org/officeDocument/2006/relationships/image" Target="media/image18.emf"/><Relationship Id="rId104" Type="http://schemas.openxmlformats.org/officeDocument/2006/relationships/header" Target="header35.xml"/><Relationship Id="rId120" Type="http://schemas.openxmlformats.org/officeDocument/2006/relationships/footer" Target="footer42.xml"/><Relationship Id="rId125" Type="http://schemas.openxmlformats.org/officeDocument/2006/relationships/footer" Target="footer44.xml"/><Relationship Id="rId141" Type="http://schemas.openxmlformats.org/officeDocument/2006/relationships/footer" Target="footer49.xml"/><Relationship Id="rId146" Type="http://schemas.openxmlformats.org/officeDocument/2006/relationships/image" Target="media/image31.emf"/><Relationship Id="rId167" Type="http://schemas.openxmlformats.org/officeDocument/2006/relationships/image" Target="media/image34.emf"/><Relationship Id="rId188" Type="http://schemas.openxmlformats.org/officeDocument/2006/relationships/header" Target="header69.xml"/><Relationship Id="rId7" Type="http://schemas.openxmlformats.org/officeDocument/2006/relationships/footnotes" Target="footnotes.xml"/><Relationship Id="rId71" Type="http://schemas.openxmlformats.org/officeDocument/2006/relationships/chart" Target="charts/chart4.xml"/><Relationship Id="rId92" Type="http://schemas.openxmlformats.org/officeDocument/2006/relationships/header" Target="header33.xml"/><Relationship Id="rId162" Type="http://schemas.openxmlformats.org/officeDocument/2006/relationships/header" Target="header59.xml"/><Relationship Id="rId183" Type="http://schemas.openxmlformats.org/officeDocument/2006/relationships/image" Target="media/image37.emf"/><Relationship Id="rId213" Type="http://schemas.openxmlformats.org/officeDocument/2006/relationships/header" Target="header81.xml"/><Relationship Id="rId218" Type="http://schemas.openxmlformats.org/officeDocument/2006/relationships/image" Target="media/image42.emf"/><Relationship Id="rId234" Type="http://schemas.openxmlformats.org/officeDocument/2006/relationships/hyperlink" Target="https://data.europa.eu/euodp/data/dataset/S1072_370" TargetMode="External"/><Relationship Id="rId239" Type="http://schemas.openxmlformats.org/officeDocument/2006/relationships/hyperlink" Target="https://ec.europa.eu/info/sites/info/files/economy-finance/com-2017-771-en.pdf" TargetMode="External"/><Relationship Id="rId2" Type="http://schemas.openxmlformats.org/officeDocument/2006/relationships/numbering" Target="numbering.xml"/><Relationship Id="rId29" Type="http://schemas.openxmlformats.org/officeDocument/2006/relationships/image" Target="media/image3.emf"/><Relationship Id="rId250" Type="http://schemas.openxmlformats.org/officeDocument/2006/relationships/hyperlink" Target="http://www.business-anti-corruption.com/country-profiles/croatia" TargetMode="External"/><Relationship Id="rId255" Type="http://schemas.openxmlformats.org/officeDocument/2006/relationships/hyperlink" Target="https://pdfs.semanticscholar.org/7733/68ce1faa36d9ac833b3c3412d136033b91c1.pdf" TargetMode="External"/><Relationship Id="rId24" Type="http://schemas.openxmlformats.org/officeDocument/2006/relationships/footer" Target="footer7.xml"/><Relationship Id="rId40" Type="http://schemas.openxmlformats.org/officeDocument/2006/relationships/chart" Target="charts/chart3.xml"/><Relationship Id="rId45" Type="http://schemas.openxmlformats.org/officeDocument/2006/relationships/footer" Target="footer14.xml"/><Relationship Id="rId66" Type="http://schemas.openxmlformats.org/officeDocument/2006/relationships/footer" Target="footer23.xml"/><Relationship Id="rId87" Type="http://schemas.openxmlformats.org/officeDocument/2006/relationships/footer" Target="footer30.xml"/><Relationship Id="rId110" Type="http://schemas.openxmlformats.org/officeDocument/2006/relationships/header" Target="header38.xml"/><Relationship Id="rId115" Type="http://schemas.openxmlformats.org/officeDocument/2006/relationships/header" Target="header40.xml"/><Relationship Id="rId131" Type="http://schemas.openxmlformats.org/officeDocument/2006/relationships/footer" Target="footer46.xml"/><Relationship Id="rId136" Type="http://schemas.openxmlformats.org/officeDocument/2006/relationships/image" Target="media/image27.emf"/><Relationship Id="rId157" Type="http://schemas.openxmlformats.org/officeDocument/2006/relationships/footer" Target="footer56.xml"/><Relationship Id="rId178" Type="http://schemas.openxmlformats.org/officeDocument/2006/relationships/header" Target="header66.xml"/><Relationship Id="rId61" Type="http://schemas.openxmlformats.org/officeDocument/2006/relationships/image" Target="media/image7.emf"/><Relationship Id="rId82" Type="http://schemas.openxmlformats.org/officeDocument/2006/relationships/header" Target="header28.xml"/><Relationship Id="rId152" Type="http://schemas.openxmlformats.org/officeDocument/2006/relationships/header" Target="header54.xml"/><Relationship Id="rId173" Type="http://schemas.openxmlformats.org/officeDocument/2006/relationships/footer" Target="footer63.xml"/><Relationship Id="rId194" Type="http://schemas.openxmlformats.org/officeDocument/2006/relationships/header" Target="header72.xml"/><Relationship Id="rId199" Type="http://schemas.openxmlformats.org/officeDocument/2006/relationships/footer" Target="footer74.xml"/><Relationship Id="rId203" Type="http://schemas.openxmlformats.org/officeDocument/2006/relationships/header" Target="header77.xml"/><Relationship Id="rId208" Type="http://schemas.openxmlformats.org/officeDocument/2006/relationships/image" Target="media/image38.emf"/><Relationship Id="rId229" Type="http://schemas.openxmlformats.org/officeDocument/2006/relationships/hyperlink" Target="https://ec.europa.eu/epale/sites/epale/files/zbornik_radova_znanstveno-strucnog_kolokvija_-_stanje_i_perspektive_obrazovanja_odraslih_u_republici_hrvatskoj_2016.pdf" TargetMode="External"/><Relationship Id="rId19" Type="http://schemas.openxmlformats.org/officeDocument/2006/relationships/footer" Target="footer5.xml"/><Relationship Id="rId224" Type="http://schemas.openxmlformats.org/officeDocument/2006/relationships/footer" Target="footer83.xml"/><Relationship Id="rId240" Type="http://schemas.openxmlformats.org/officeDocument/2006/relationships/hyperlink" Target="https://data.europa.eu/euodp/data/dataset/S2177_457_ENG" TargetMode="External"/><Relationship Id="rId245" Type="http://schemas.openxmlformats.org/officeDocument/2006/relationships/hyperlink" Target="https://publications.europa.eu/en/publication-detail/-/publication/2df2eaca-b3b0-11e7-837e-01aa75ed71a1/language-en" TargetMode="External"/><Relationship Id="rId261" Type="http://schemas.openxmlformats.org/officeDocument/2006/relationships/header" Target="header86.xml"/><Relationship Id="rId266" Type="http://schemas.openxmlformats.org/officeDocument/2006/relationships/fontTable" Target="fontTable.xml"/><Relationship Id="rId14" Type="http://schemas.openxmlformats.org/officeDocument/2006/relationships/header" Target="header3.xml"/><Relationship Id="rId30" Type="http://schemas.openxmlformats.org/officeDocument/2006/relationships/chart" Target="charts/chart1.xml"/><Relationship Id="rId35" Type="http://schemas.openxmlformats.org/officeDocument/2006/relationships/header" Target="header11.xml"/><Relationship Id="rId56" Type="http://schemas.openxmlformats.org/officeDocument/2006/relationships/header" Target="header20.xml"/><Relationship Id="rId77" Type="http://schemas.openxmlformats.org/officeDocument/2006/relationships/footer" Target="footer26.xml"/><Relationship Id="rId100" Type="http://schemas.openxmlformats.org/officeDocument/2006/relationships/image" Target="media/image21.emf"/><Relationship Id="rId105" Type="http://schemas.openxmlformats.org/officeDocument/2006/relationships/footer" Target="footer34.xml"/><Relationship Id="rId126" Type="http://schemas.openxmlformats.org/officeDocument/2006/relationships/header" Target="header45.xml"/><Relationship Id="rId147" Type="http://schemas.openxmlformats.org/officeDocument/2006/relationships/image" Target="media/image32.emf"/><Relationship Id="rId168" Type="http://schemas.openxmlformats.org/officeDocument/2006/relationships/header" Target="header61.xml"/><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image" Target="media/image11.emf"/><Relationship Id="rId93" Type="http://schemas.openxmlformats.org/officeDocument/2006/relationships/footer" Target="footer33.xml"/><Relationship Id="rId98" Type="http://schemas.openxmlformats.org/officeDocument/2006/relationships/image" Target="media/image19.emf"/><Relationship Id="rId121" Type="http://schemas.openxmlformats.org/officeDocument/2006/relationships/image" Target="media/image24.png"/><Relationship Id="rId142" Type="http://schemas.openxmlformats.org/officeDocument/2006/relationships/footer" Target="footer50.xml"/><Relationship Id="rId163" Type="http://schemas.openxmlformats.org/officeDocument/2006/relationships/footer" Target="footer58.xml"/><Relationship Id="rId184" Type="http://schemas.openxmlformats.org/officeDocument/2006/relationships/header" Target="header67.xml"/><Relationship Id="rId189" Type="http://schemas.openxmlformats.org/officeDocument/2006/relationships/footer" Target="footer69.xml"/><Relationship Id="rId219" Type="http://schemas.openxmlformats.org/officeDocument/2006/relationships/image" Target="media/image43.emf"/><Relationship Id="rId3" Type="http://schemas.openxmlformats.org/officeDocument/2006/relationships/styles" Target="styles.xml"/><Relationship Id="rId214" Type="http://schemas.openxmlformats.org/officeDocument/2006/relationships/footer" Target="footer81.xml"/><Relationship Id="rId230" Type="http://schemas.openxmlformats.org/officeDocument/2006/relationships/hyperlink" Target="http://nejednakost.cms.hr/obrazovanje/" TargetMode="External"/><Relationship Id="rId235" Type="http://schemas.openxmlformats.org/officeDocument/2006/relationships/hyperlink" Target="https://ec.europa.eu/info/sites/info/files/2017-european-semester-country-report-croatia-en.pdf" TargetMode="External"/><Relationship Id="rId251" Type="http://schemas.openxmlformats.org/officeDocument/2006/relationships/hyperlink" Target="https://www.dzs.hr/Hrv_Eng/publication/2017/12-01-03_01_2017.htm" TargetMode="External"/><Relationship Id="rId256" Type="http://schemas.openxmlformats.org/officeDocument/2006/relationships/hyperlink" Target="http://www.hgk.hr/documents/seecel-reportfinalreviewed58e5fad85b0fe.pdf" TargetMode="External"/><Relationship Id="rId25" Type="http://schemas.openxmlformats.org/officeDocument/2006/relationships/footer" Target="footer8.xml"/><Relationship Id="rId46" Type="http://schemas.openxmlformats.org/officeDocument/2006/relationships/header" Target="header15.xml"/><Relationship Id="rId67" Type="http://schemas.openxmlformats.org/officeDocument/2006/relationships/header" Target="header24.xml"/><Relationship Id="rId116" Type="http://schemas.openxmlformats.org/officeDocument/2006/relationships/header" Target="header41.xml"/><Relationship Id="rId137" Type="http://schemas.openxmlformats.org/officeDocument/2006/relationships/image" Target="media/image28.emf"/><Relationship Id="rId158" Type="http://schemas.openxmlformats.org/officeDocument/2006/relationships/header" Target="header57.xml"/><Relationship Id="rId20" Type="http://schemas.openxmlformats.org/officeDocument/2006/relationships/header" Target="header6.xml"/><Relationship Id="rId41" Type="http://schemas.openxmlformats.org/officeDocument/2006/relationships/image" Target="media/image6.emf"/><Relationship Id="rId62" Type="http://schemas.openxmlformats.org/officeDocument/2006/relationships/image" Target="media/image8.emf"/><Relationship Id="rId83" Type="http://schemas.openxmlformats.org/officeDocument/2006/relationships/header" Target="header29.xml"/><Relationship Id="rId88" Type="http://schemas.openxmlformats.org/officeDocument/2006/relationships/header" Target="header31.xml"/><Relationship Id="rId111" Type="http://schemas.openxmlformats.org/officeDocument/2006/relationships/footer" Target="footer37.xml"/><Relationship Id="rId132" Type="http://schemas.openxmlformats.org/officeDocument/2006/relationships/footer" Target="footer47.xml"/><Relationship Id="rId153" Type="http://schemas.openxmlformats.org/officeDocument/2006/relationships/footer" Target="footer54.xml"/><Relationship Id="rId174" Type="http://schemas.openxmlformats.org/officeDocument/2006/relationships/header" Target="header64.xml"/><Relationship Id="rId179" Type="http://schemas.openxmlformats.org/officeDocument/2006/relationships/footer" Target="footer66.xml"/><Relationship Id="rId195" Type="http://schemas.openxmlformats.org/officeDocument/2006/relationships/footer" Target="footer72.xml"/><Relationship Id="rId209" Type="http://schemas.openxmlformats.org/officeDocument/2006/relationships/header" Target="header79.xml"/><Relationship Id="rId190" Type="http://schemas.openxmlformats.org/officeDocument/2006/relationships/header" Target="header70.xml"/><Relationship Id="rId204" Type="http://schemas.openxmlformats.org/officeDocument/2006/relationships/footer" Target="footer76.xml"/><Relationship Id="rId220" Type="http://schemas.openxmlformats.org/officeDocument/2006/relationships/image" Target="media/image44.emf"/><Relationship Id="rId225" Type="http://schemas.openxmlformats.org/officeDocument/2006/relationships/header" Target="header84.xml"/><Relationship Id="rId241" Type="http://schemas.openxmlformats.org/officeDocument/2006/relationships/hyperlink" Target="https://data.europa.eu/euodp/data/dataset/S2176_88_2_470_ENG" TargetMode="External"/><Relationship Id="rId246" Type="http://schemas.openxmlformats.org/officeDocument/2006/relationships/hyperlink" Target="https://ec.europa.eu/taxation_customs/sites/taxation/files/taxation_trends_report_2017.pdf" TargetMode="External"/><Relationship Id="rId267"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footer" Target="footer10.xml"/><Relationship Id="rId57" Type="http://schemas.openxmlformats.org/officeDocument/2006/relationships/footer" Target="footer19.xml"/><Relationship Id="rId106" Type="http://schemas.openxmlformats.org/officeDocument/2006/relationships/footer" Target="footer35.xml"/><Relationship Id="rId127" Type="http://schemas.openxmlformats.org/officeDocument/2006/relationships/footer" Target="footer45.xml"/><Relationship Id="rId262" Type="http://schemas.openxmlformats.org/officeDocument/2006/relationships/footer" Target="footer85.xml"/><Relationship Id="rId10" Type="http://schemas.openxmlformats.org/officeDocument/2006/relationships/header" Target="header1.xml"/><Relationship Id="rId31" Type="http://schemas.openxmlformats.org/officeDocument/2006/relationships/chart" Target="charts/chart2.xml"/><Relationship Id="rId52" Type="http://schemas.openxmlformats.org/officeDocument/2006/relationships/footer" Target="footer17.xml"/><Relationship Id="rId73" Type="http://schemas.openxmlformats.org/officeDocument/2006/relationships/image" Target="media/image12.emf"/><Relationship Id="rId78" Type="http://schemas.openxmlformats.org/officeDocument/2006/relationships/header" Target="header27.xml"/><Relationship Id="rId94" Type="http://schemas.openxmlformats.org/officeDocument/2006/relationships/image" Target="media/image15.emf"/><Relationship Id="rId99" Type="http://schemas.openxmlformats.org/officeDocument/2006/relationships/image" Target="media/image20.emf"/><Relationship Id="rId101" Type="http://schemas.openxmlformats.org/officeDocument/2006/relationships/image" Target="media/image22.emf"/><Relationship Id="rId122" Type="http://schemas.openxmlformats.org/officeDocument/2006/relationships/header" Target="header43.xml"/><Relationship Id="rId143" Type="http://schemas.openxmlformats.org/officeDocument/2006/relationships/header" Target="header51.xml"/><Relationship Id="rId148" Type="http://schemas.openxmlformats.org/officeDocument/2006/relationships/header" Target="header52.xml"/><Relationship Id="rId164" Type="http://schemas.openxmlformats.org/officeDocument/2006/relationships/footer" Target="footer59.xml"/><Relationship Id="rId169" Type="http://schemas.openxmlformats.org/officeDocument/2006/relationships/header" Target="header62.xml"/><Relationship Id="rId185" Type="http://schemas.openxmlformats.org/officeDocument/2006/relationships/header" Target="header68.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35.emf"/><Relationship Id="rId210" Type="http://schemas.openxmlformats.org/officeDocument/2006/relationships/header" Target="header80.xml"/><Relationship Id="rId215" Type="http://schemas.openxmlformats.org/officeDocument/2006/relationships/image" Target="media/image39.emf"/><Relationship Id="rId236" Type="http://schemas.openxmlformats.org/officeDocument/2006/relationships/hyperlink" Target="https://ec.europa.eu/info/sites/info/files/ip045_en_0.pdf" TargetMode="External"/><Relationship Id="rId257" Type="http://schemas.openxmlformats.org/officeDocument/2006/relationships/hyperlink" Target="http://www.eizg.hr/hr-HR/O-zdravstvu-iz-ekonomske-perspektive-1417.aspx" TargetMode="External"/><Relationship Id="rId26" Type="http://schemas.openxmlformats.org/officeDocument/2006/relationships/header" Target="header9.xml"/><Relationship Id="rId231" Type="http://schemas.openxmlformats.org/officeDocument/2006/relationships/hyperlink" Target="http://www.hnb.hr/documents/20182/1972383/e-fs-18-2017.pdf/c738405d-b8b7-4e6f-9819-2e0f72e39715" TargetMode="External"/><Relationship Id="rId252" Type="http://schemas.openxmlformats.org/officeDocument/2006/relationships/hyperlink" Target="http://dx.doi.org/10.1787/9789264283312-en" TargetMode="External"/><Relationship Id="rId47" Type="http://schemas.openxmlformats.org/officeDocument/2006/relationships/footer" Target="footer15.xml"/><Relationship Id="rId68" Type="http://schemas.openxmlformats.org/officeDocument/2006/relationships/footer" Target="footer24.xml"/><Relationship Id="rId89" Type="http://schemas.openxmlformats.org/officeDocument/2006/relationships/header" Target="header32.xml"/><Relationship Id="rId112" Type="http://schemas.openxmlformats.org/officeDocument/2006/relationships/footer" Target="footer38.xml"/><Relationship Id="rId133" Type="http://schemas.openxmlformats.org/officeDocument/2006/relationships/header" Target="header48.xml"/><Relationship Id="rId154" Type="http://schemas.openxmlformats.org/officeDocument/2006/relationships/header" Target="header55.xml"/><Relationship Id="rId175" Type="http://schemas.openxmlformats.org/officeDocument/2006/relationships/header" Target="header65.xml"/><Relationship Id="rId196" Type="http://schemas.openxmlformats.org/officeDocument/2006/relationships/header" Target="header73.xml"/><Relationship Id="rId200" Type="http://schemas.openxmlformats.org/officeDocument/2006/relationships/header" Target="header75.xml"/><Relationship Id="rId16" Type="http://schemas.openxmlformats.org/officeDocument/2006/relationships/header" Target="header4.xml"/><Relationship Id="rId221" Type="http://schemas.openxmlformats.org/officeDocument/2006/relationships/header" Target="header82.xml"/><Relationship Id="rId242" Type="http://schemas.openxmlformats.org/officeDocument/2006/relationships/hyperlink" Target="https://ec.europa.eu/info/sites/info/files/2017-european-semester-country-report-croatia-en.pdf" TargetMode="External"/><Relationship Id="rId263" Type="http://schemas.openxmlformats.org/officeDocument/2006/relationships/footer" Target="footer86.xml"/><Relationship Id="rId37" Type="http://schemas.openxmlformats.org/officeDocument/2006/relationships/footer" Target="footer11.xml"/><Relationship Id="rId58" Type="http://schemas.openxmlformats.org/officeDocument/2006/relationships/footer" Target="footer20.xml"/><Relationship Id="rId79" Type="http://schemas.openxmlformats.org/officeDocument/2006/relationships/footer" Target="footer27.xml"/><Relationship Id="rId102" Type="http://schemas.openxmlformats.org/officeDocument/2006/relationships/image" Target="media/image23.emf"/><Relationship Id="rId123" Type="http://schemas.openxmlformats.org/officeDocument/2006/relationships/header" Target="header44.xml"/><Relationship Id="rId144" Type="http://schemas.openxmlformats.org/officeDocument/2006/relationships/footer" Target="footer51.xml"/><Relationship Id="rId90" Type="http://schemas.openxmlformats.org/officeDocument/2006/relationships/footer" Target="footer31.xml"/><Relationship Id="rId165" Type="http://schemas.openxmlformats.org/officeDocument/2006/relationships/header" Target="header60.xml"/><Relationship Id="rId186" Type="http://schemas.openxmlformats.org/officeDocument/2006/relationships/footer" Target="footer67.xml"/><Relationship Id="rId211" Type="http://schemas.openxmlformats.org/officeDocument/2006/relationships/footer" Target="footer79.xml"/><Relationship Id="rId232" Type="http://schemas.openxmlformats.org/officeDocument/2006/relationships/hyperlink" Target="https://ec.europa.eu/growth/content/study-about-administrative-formalities-important-procedures-and-administrative-burdens-0_en" TargetMode="External"/><Relationship Id="rId253" Type="http://schemas.openxmlformats.org/officeDocument/2006/relationships/hyperlink" Target="http://www.ijf.hr/upload/files/file/ENG/newsletter/112.pdf" TargetMode="External"/><Relationship Id="rId27" Type="http://schemas.openxmlformats.org/officeDocument/2006/relationships/footer" Target="footer9.xml"/><Relationship Id="rId48" Type="http://schemas.openxmlformats.org/officeDocument/2006/relationships/hyperlink" Target="https://cohesiondata.ec.europa.eu/countries/HR" TargetMode="External"/><Relationship Id="rId69" Type="http://schemas.openxmlformats.org/officeDocument/2006/relationships/image" Target="media/image9.emf"/><Relationship Id="rId113" Type="http://schemas.openxmlformats.org/officeDocument/2006/relationships/header" Target="header39.xml"/><Relationship Id="rId134" Type="http://schemas.openxmlformats.org/officeDocument/2006/relationships/footer" Target="footer48.xml"/><Relationship Id="rId80" Type="http://schemas.openxmlformats.org/officeDocument/2006/relationships/image" Target="media/image13.emf"/><Relationship Id="rId155" Type="http://schemas.openxmlformats.org/officeDocument/2006/relationships/header" Target="header56.xml"/><Relationship Id="rId176" Type="http://schemas.openxmlformats.org/officeDocument/2006/relationships/footer" Target="footer64.xml"/><Relationship Id="rId197" Type="http://schemas.openxmlformats.org/officeDocument/2006/relationships/header" Target="header74.xml"/><Relationship Id="rId201" Type="http://schemas.openxmlformats.org/officeDocument/2006/relationships/footer" Target="footer75.xml"/><Relationship Id="rId222" Type="http://schemas.openxmlformats.org/officeDocument/2006/relationships/header" Target="header83.xml"/><Relationship Id="rId243" Type="http://schemas.openxmlformats.org/officeDocument/2006/relationships/hyperlink" Target="https://ec.europa.eu/digital-single-market/en/news/digital-economy-and-society-index-desi-2017" TargetMode="External"/><Relationship Id="rId264" Type="http://schemas.openxmlformats.org/officeDocument/2006/relationships/header" Target="header87.xml"/><Relationship Id="rId17" Type="http://schemas.openxmlformats.org/officeDocument/2006/relationships/header" Target="header5.xml"/><Relationship Id="rId38" Type="http://schemas.openxmlformats.org/officeDocument/2006/relationships/header" Target="header12.xml"/><Relationship Id="rId59" Type="http://schemas.openxmlformats.org/officeDocument/2006/relationships/header" Target="header21.xml"/><Relationship Id="rId103" Type="http://schemas.openxmlformats.org/officeDocument/2006/relationships/header" Target="header34.xml"/><Relationship Id="rId124" Type="http://schemas.openxmlformats.org/officeDocument/2006/relationships/footer" Target="footer43.xml"/><Relationship Id="rId70" Type="http://schemas.openxmlformats.org/officeDocument/2006/relationships/image" Target="media/image10.emf"/><Relationship Id="rId91" Type="http://schemas.openxmlformats.org/officeDocument/2006/relationships/footer" Target="footer32.xml"/><Relationship Id="rId145" Type="http://schemas.openxmlformats.org/officeDocument/2006/relationships/image" Target="media/image30.emf"/><Relationship Id="rId166" Type="http://schemas.openxmlformats.org/officeDocument/2006/relationships/footer" Target="footer60.xml"/><Relationship Id="rId187" Type="http://schemas.openxmlformats.org/officeDocument/2006/relationships/footer" Target="footer68.xml"/><Relationship Id="rId1" Type="http://schemas.openxmlformats.org/officeDocument/2006/relationships/customXml" Target="../customXml/item1.xml"/><Relationship Id="rId212" Type="http://schemas.openxmlformats.org/officeDocument/2006/relationships/footer" Target="footer80.xml"/><Relationship Id="rId233" Type="http://schemas.openxmlformats.org/officeDocument/2006/relationships/hyperlink" Target="http://skillspanorama.cedefop.europa.eu/en/analytical_highligths/skills-anticipation-croatia" TargetMode="External"/><Relationship Id="rId254" Type="http://schemas.openxmlformats.org/officeDocument/2006/relationships/hyperlink" Target="https://www.vkontrole.lt/tf/files/files/The%20Public%20Procurement%20of%20Construction%20Work-The%20Case%20of%20Croatia.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ci\public\2017%20CRs\2018%20European%20semester\11%20HR\Excel\CR.HR.2018_2_CSR-Pie-Chart.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78308213535116"/>
          <c:y val="1.9911219481038595E-2"/>
          <c:w val="0.78622834841751699"/>
          <c:h val="0.70792592247780939"/>
        </c:manualLayout>
      </c:layout>
      <c:barChart>
        <c:barDir val="col"/>
        <c:grouping val="stacked"/>
        <c:varyColors val="0"/>
        <c:ser>
          <c:idx val="0"/>
          <c:order val="0"/>
          <c:tx>
            <c:strRef>
              <c:f>eco.inflation.dynamics!$AS$6</c:f>
              <c:strCache>
                <c:ptCount val="1"/>
                <c:pt idx="0">
                  <c:v>Energy</c:v>
                </c:pt>
              </c:strCache>
            </c:strRef>
          </c:tx>
          <c:invertIfNegative val="0"/>
          <c:cat>
            <c:strRef>
              <c:f>eco.inflation.dynamics!$AR$19:$AR$138</c:f>
              <c:strCache>
                <c:ptCount val="120"/>
                <c:pt idx="0">
                  <c:v>Jan 08</c:v>
                </c:pt>
                <c:pt idx="1">
                  <c:v>08</c:v>
                </c:pt>
                <c:pt idx="2">
                  <c:v>08</c:v>
                </c:pt>
                <c:pt idx="3">
                  <c:v>08</c:v>
                </c:pt>
                <c:pt idx="4">
                  <c:v>08</c:v>
                </c:pt>
                <c:pt idx="5">
                  <c:v>08</c:v>
                </c:pt>
                <c:pt idx="6">
                  <c:v>08</c:v>
                </c:pt>
                <c:pt idx="7">
                  <c:v>08</c:v>
                </c:pt>
                <c:pt idx="8">
                  <c:v>08</c:v>
                </c:pt>
                <c:pt idx="9">
                  <c:v>08</c:v>
                </c:pt>
                <c:pt idx="10">
                  <c:v>08</c:v>
                </c:pt>
                <c:pt idx="11">
                  <c:v>08</c:v>
                </c:pt>
                <c:pt idx="12">
                  <c:v>Jan 09</c:v>
                </c:pt>
                <c:pt idx="13">
                  <c:v>09</c:v>
                </c:pt>
                <c:pt idx="14">
                  <c:v>09</c:v>
                </c:pt>
                <c:pt idx="15">
                  <c:v>09</c:v>
                </c:pt>
                <c:pt idx="16">
                  <c:v>09</c:v>
                </c:pt>
                <c:pt idx="17">
                  <c:v>09</c:v>
                </c:pt>
                <c:pt idx="18">
                  <c:v>09</c:v>
                </c:pt>
                <c:pt idx="19">
                  <c:v>09</c:v>
                </c:pt>
                <c:pt idx="20">
                  <c:v>09</c:v>
                </c:pt>
                <c:pt idx="21">
                  <c:v>09</c:v>
                </c:pt>
                <c:pt idx="22">
                  <c:v>09</c:v>
                </c:pt>
                <c:pt idx="23">
                  <c:v>09</c:v>
                </c:pt>
                <c:pt idx="24">
                  <c:v>Jan 10</c:v>
                </c:pt>
                <c:pt idx="25">
                  <c:v>10</c:v>
                </c:pt>
                <c:pt idx="26">
                  <c:v>10</c:v>
                </c:pt>
                <c:pt idx="27">
                  <c:v>10</c:v>
                </c:pt>
                <c:pt idx="28">
                  <c:v>10</c:v>
                </c:pt>
                <c:pt idx="29">
                  <c:v>10</c:v>
                </c:pt>
                <c:pt idx="30">
                  <c:v>10</c:v>
                </c:pt>
                <c:pt idx="31">
                  <c:v>10</c:v>
                </c:pt>
                <c:pt idx="32">
                  <c:v>10</c:v>
                </c:pt>
                <c:pt idx="33">
                  <c:v>10</c:v>
                </c:pt>
                <c:pt idx="34">
                  <c:v>10</c:v>
                </c:pt>
                <c:pt idx="35">
                  <c:v>10</c:v>
                </c:pt>
                <c:pt idx="36">
                  <c:v>Jan 11</c:v>
                </c:pt>
                <c:pt idx="37">
                  <c:v>11</c:v>
                </c:pt>
                <c:pt idx="38">
                  <c:v>11</c:v>
                </c:pt>
                <c:pt idx="39">
                  <c:v>11</c:v>
                </c:pt>
                <c:pt idx="40">
                  <c:v>11</c:v>
                </c:pt>
                <c:pt idx="41">
                  <c:v>11</c:v>
                </c:pt>
                <c:pt idx="42">
                  <c:v>11</c:v>
                </c:pt>
                <c:pt idx="43">
                  <c:v>11</c:v>
                </c:pt>
                <c:pt idx="44">
                  <c:v>11</c:v>
                </c:pt>
                <c:pt idx="45">
                  <c:v>11</c:v>
                </c:pt>
                <c:pt idx="46">
                  <c:v>11</c:v>
                </c:pt>
                <c:pt idx="47">
                  <c:v>11</c:v>
                </c:pt>
                <c:pt idx="48">
                  <c:v>Jan 12</c:v>
                </c:pt>
                <c:pt idx="49">
                  <c:v>12</c:v>
                </c:pt>
                <c:pt idx="50">
                  <c:v>12</c:v>
                </c:pt>
                <c:pt idx="51">
                  <c:v>12</c:v>
                </c:pt>
                <c:pt idx="52">
                  <c:v>12</c:v>
                </c:pt>
                <c:pt idx="53">
                  <c:v>12</c:v>
                </c:pt>
                <c:pt idx="54">
                  <c:v>12</c:v>
                </c:pt>
                <c:pt idx="55">
                  <c:v>12</c:v>
                </c:pt>
                <c:pt idx="56">
                  <c:v>12</c:v>
                </c:pt>
                <c:pt idx="57">
                  <c:v>12</c:v>
                </c:pt>
                <c:pt idx="58">
                  <c:v>12</c:v>
                </c:pt>
                <c:pt idx="59">
                  <c:v>12</c:v>
                </c:pt>
                <c:pt idx="60">
                  <c:v>Jan 13</c:v>
                </c:pt>
                <c:pt idx="61">
                  <c:v>13</c:v>
                </c:pt>
                <c:pt idx="62">
                  <c:v>13</c:v>
                </c:pt>
                <c:pt idx="63">
                  <c:v>13</c:v>
                </c:pt>
                <c:pt idx="64">
                  <c:v>13</c:v>
                </c:pt>
                <c:pt idx="65">
                  <c:v>13</c:v>
                </c:pt>
                <c:pt idx="66">
                  <c:v>13</c:v>
                </c:pt>
                <c:pt idx="67">
                  <c:v>13</c:v>
                </c:pt>
                <c:pt idx="68">
                  <c:v>13</c:v>
                </c:pt>
                <c:pt idx="69">
                  <c:v>13</c:v>
                </c:pt>
                <c:pt idx="70">
                  <c:v>13</c:v>
                </c:pt>
                <c:pt idx="71">
                  <c:v>13</c:v>
                </c:pt>
                <c:pt idx="72">
                  <c:v>Jan 14</c:v>
                </c:pt>
                <c:pt idx="73">
                  <c:v>14</c:v>
                </c:pt>
                <c:pt idx="74">
                  <c:v>14</c:v>
                </c:pt>
                <c:pt idx="75">
                  <c:v>14</c:v>
                </c:pt>
                <c:pt idx="76">
                  <c:v>14</c:v>
                </c:pt>
                <c:pt idx="77">
                  <c:v>14</c:v>
                </c:pt>
                <c:pt idx="78">
                  <c:v>14</c:v>
                </c:pt>
                <c:pt idx="79">
                  <c:v>14</c:v>
                </c:pt>
                <c:pt idx="80">
                  <c:v>14</c:v>
                </c:pt>
                <c:pt idx="81">
                  <c:v>14</c:v>
                </c:pt>
                <c:pt idx="82">
                  <c:v>14</c:v>
                </c:pt>
                <c:pt idx="83">
                  <c:v>14</c:v>
                </c:pt>
                <c:pt idx="84">
                  <c:v>Jan 15</c:v>
                </c:pt>
                <c:pt idx="85">
                  <c:v>15</c:v>
                </c:pt>
                <c:pt idx="86">
                  <c:v>15</c:v>
                </c:pt>
                <c:pt idx="87">
                  <c:v>15</c:v>
                </c:pt>
                <c:pt idx="88">
                  <c:v>15</c:v>
                </c:pt>
                <c:pt idx="89">
                  <c:v>15</c:v>
                </c:pt>
                <c:pt idx="90">
                  <c:v>15</c:v>
                </c:pt>
                <c:pt idx="91">
                  <c:v>15</c:v>
                </c:pt>
                <c:pt idx="92">
                  <c:v>15</c:v>
                </c:pt>
                <c:pt idx="93">
                  <c:v>15</c:v>
                </c:pt>
                <c:pt idx="94">
                  <c:v>15</c:v>
                </c:pt>
                <c:pt idx="95">
                  <c:v>15</c:v>
                </c:pt>
                <c:pt idx="96">
                  <c:v>Jan 16</c:v>
                </c:pt>
                <c:pt idx="97">
                  <c:v>16</c:v>
                </c:pt>
                <c:pt idx="98">
                  <c:v>16</c:v>
                </c:pt>
                <c:pt idx="99">
                  <c:v>16</c:v>
                </c:pt>
                <c:pt idx="100">
                  <c:v>16</c:v>
                </c:pt>
                <c:pt idx="101">
                  <c:v>16</c:v>
                </c:pt>
                <c:pt idx="102">
                  <c:v>16</c:v>
                </c:pt>
                <c:pt idx="103">
                  <c:v>16</c:v>
                </c:pt>
                <c:pt idx="104">
                  <c:v>16</c:v>
                </c:pt>
                <c:pt idx="105">
                  <c:v>16</c:v>
                </c:pt>
                <c:pt idx="106">
                  <c:v>16</c:v>
                </c:pt>
                <c:pt idx="107">
                  <c:v>16</c:v>
                </c:pt>
                <c:pt idx="108">
                  <c:v>Jan 17</c:v>
                </c:pt>
                <c:pt idx="109">
                  <c:v>17</c:v>
                </c:pt>
                <c:pt idx="110">
                  <c:v>17</c:v>
                </c:pt>
                <c:pt idx="111">
                  <c:v>17</c:v>
                </c:pt>
                <c:pt idx="112">
                  <c:v>17</c:v>
                </c:pt>
                <c:pt idx="113">
                  <c:v>17</c:v>
                </c:pt>
                <c:pt idx="114">
                  <c:v>17</c:v>
                </c:pt>
                <c:pt idx="115">
                  <c:v>17</c:v>
                </c:pt>
                <c:pt idx="116">
                  <c:v>17</c:v>
                </c:pt>
                <c:pt idx="117">
                  <c:v>17</c:v>
                </c:pt>
                <c:pt idx="118">
                  <c:v>17</c:v>
                </c:pt>
                <c:pt idx="119">
                  <c:v>17</c:v>
                </c:pt>
              </c:strCache>
            </c:strRef>
          </c:cat>
          <c:val>
            <c:numRef>
              <c:f>eco.inflation.dynamics!$AZ$19:$AZ$138</c:f>
              <c:numCache>
                <c:formatCode>0.0</c:formatCode>
                <c:ptCount val="120"/>
                <c:pt idx="0">
                  <c:v>0.18826804066440869</c:v>
                </c:pt>
                <c:pt idx="1">
                  <c:v>0.26719563621805509</c:v>
                </c:pt>
                <c:pt idx="2">
                  <c:v>0.3463968245137744</c:v>
                </c:pt>
                <c:pt idx="3">
                  <c:v>0.41356609569601621</c:v>
                </c:pt>
                <c:pt idx="4">
                  <c:v>0.52288948165638283</c:v>
                </c:pt>
                <c:pt idx="5">
                  <c:v>0.65620697721045307</c:v>
                </c:pt>
                <c:pt idx="6">
                  <c:v>0.83766346507404743</c:v>
                </c:pt>
                <c:pt idx="7">
                  <c:v>0.97382955711163788</c:v>
                </c:pt>
                <c:pt idx="8">
                  <c:v>1.0596583785949611</c:v>
                </c:pt>
                <c:pt idx="9">
                  <c:v>1.1073373592948603</c:v>
                </c:pt>
                <c:pt idx="10">
                  <c:v>1.0688006543894932</c:v>
                </c:pt>
                <c:pt idx="11">
                  <c:v>0.97312325466248373</c:v>
                </c:pt>
                <c:pt idx="12">
                  <c:v>0.82346159737417757</c:v>
                </c:pt>
                <c:pt idx="13">
                  <c:v>0.74627970620239337</c:v>
                </c:pt>
                <c:pt idx="14">
                  <c:v>0.63493243111673525</c:v>
                </c:pt>
                <c:pt idx="15">
                  <c:v>0.54581232643747157</c:v>
                </c:pt>
                <c:pt idx="16">
                  <c:v>0.39256600570201983</c:v>
                </c:pt>
                <c:pt idx="17">
                  <c:v>0.20481714714460628</c:v>
                </c:pt>
                <c:pt idx="18">
                  <c:v>-5.547642178118789E-2</c:v>
                </c:pt>
                <c:pt idx="19">
                  <c:v>-0.20525590973842325</c:v>
                </c:pt>
                <c:pt idx="20">
                  <c:v>-0.34536815920397934</c:v>
                </c:pt>
                <c:pt idx="21">
                  <c:v>-0.4360694752477236</c:v>
                </c:pt>
                <c:pt idx="22">
                  <c:v>-0.41819523296689881</c:v>
                </c:pt>
                <c:pt idx="23">
                  <c:v>-0.31715304687977475</c:v>
                </c:pt>
                <c:pt idx="24">
                  <c:v>-0.21572782937034399</c:v>
                </c:pt>
                <c:pt idx="25">
                  <c:v>-0.12394668300903715</c:v>
                </c:pt>
                <c:pt idx="26">
                  <c:v>2.847890918034866E-2</c:v>
                </c:pt>
                <c:pt idx="27">
                  <c:v>0.17502044254515109</c:v>
                </c:pt>
                <c:pt idx="28">
                  <c:v>0.35526850418086486</c:v>
                </c:pt>
                <c:pt idx="29">
                  <c:v>0.5268473397352712</c:v>
                </c:pt>
                <c:pt idx="30">
                  <c:v>0.73252335812296954</c:v>
                </c:pt>
                <c:pt idx="31">
                  <c:v>0.84890022389707087</c:v>
                </c:pt>
                <c:pt idx="32">
                  <c:v>0.9950669256428667</c:v>
                </c:pt>
                <c:pt idx="33">
                  <c:v>1.1247924709914205</c:v>
                </c:pt>
                <c:pt idx="34">
                  <c:v>1.1743135559258424</c:v>
                </c:pt>
                <c:pt idx="35">
                  <c:v>1.1978608025984907</c:v>
                </c:pt>
                <c:pt idx="36">
                  <c:v>1.2573882885878147</c:v>
                </c:pt>
                <c:pt idx="37">
                  <c:v>1.2464141169186278</c:v>
                </c:pt>
                <c:pt idx="38">
                  <c:v>1.2037767644442605</c:v>
                </c:pt>
                <c:pt idx="39">
                  <c:v>1.1564956556962012</c:v>
                </c:pt>
                <c:pt idx="40">
                  <c:v>1.0987231259904093</c:v>
                </c:pt>
                <c:pt idx="41">
                  <c:v>1.0616286626802141</c:v>
                </c:pt>
                <c:pt idx="42">
                  <c:v>1.0394266691691447</c:v>
                </c:pt>
                <c:pt idx="43">
                  <c:v>1.0622588124336882</c:v>
                </c:pt>
                <c:pt idx="44">
                  <c:v>1.0605403317073185</c:v>
                </c:pt>
                <c:pt idx="45">
                  <c:v>1.0279065476651463</c:v>
                </c:pt>
                <c:pt idx="46">
                  <c:v>1.0025356449162466</c:v>
                </c:pt>
                <c:pt idx="47">
                  <c:v>0.92311179561514689</c:v>
                </c:pt>
                <c:pt idx="48">
                  <c:v>0.9729785631627843</c:v>
                </c:pt>
                <c:pt idx="49">
                  <c:v>0.94664722575779281</c:v>
                </c:pt>
                <c:pt idx="50">
                  <c:v>0.93594989506820681</c:v>
                </c:pt>
                <c:pt idx="51">
                  <c:v>0.92804682946811967</c:v>
                </c:pt>
                <c:pt idx="52">
                  <c:v>1.0334168533708625</c:v>
                </c:pt>
                <c:pt idx="53">
                  <c:v>1.1120825790292697</c:v>
                </c:pt>
                <c:pt idx="54">
                  <c:v>1.1561918086674694</c:v>
                </c:pt>
                <c:pt idx="55">
                  <c:v>1.1917349529039478</c:v>
                </c:pt>
                <c:pt idx="56">
                  <c:v>1.2668540236942836</c:v>
                </c:pt>
                <c:pt idx="57">
                  <c:v>1.3559342295500043</c:v>
                </c:pt>
                <c:pt idx="58">
                  <c:v>1.4402215271882393</c:v>
                </c:pt>
                <c:pt idx="59">
                  <c:v>1.5626997379725844</c:v>
                </c:pt>
                <c:pt idx="60">
                  <c:v>1.8109152186858455</c:v>
                </c:pt>
                <c:pt idx="61">
                  <c:v>1.8780212916585572</c:v>
                </c:pt>
                <c:pt idx="62">
                  <c:v>1.8866261285837478</c:v>
                </c:pt>
                <c:pt idx="63">
                  <c:v>1.8505294668323142</c:v>
                </c:pt>
                <c:pt idx="64">
                  <c:v>1.5712979969928951</c:v>
                </c:pt>
                <c:pt idx="65">
                  <c:v>1.372826582181063</c:v>
                </c:pt>
                <c:pt idx="66">
                  <c:v>1.2436693997642807</c:v>
                </c:pt>
                <c:pt idx="67">
                  <c:v>1.0936612597022932</c:v>
                </c:pt>
                <c:pt idx="68">
                  <c:v>0.87359236779395011</c:v>
                </c:pt>
                <c:pt idx="69">
                  <c:v>0.64081220799907979</c:v>
                </c:pt>
                <c:pt idx="70">
                  <c:v>0.45531712451235595</c:v>
                </c:pt>
                <c:pt idx="71">
                  <c:v>0.28692289005438038</c:v>
                </c:pt>
                <c:pt idx="72">
                  <c:v>0.15441326510278486</c:v>
                </c:pt>
                <c:pt idx="73">
                  <c:v>7.9512586572225551E-3</c:v>
                </c:pt>
                <c:pt idx="74">
                  <c:v>-0.10597656728849969</c:v>
                </c:pt>
                <c:pt idx="75">
                  <c:v>-0.16443760911261671</c:v>
                </c:pt>
                <c:pt idx="76">
                  <c:v>-5.9456724649979253E-2</c:v>
                </c:pt>
                <c:pt idx="77">
                  <c:v>-4.0198911453339413E-3</c:v>
                </c:pt>
                <c:pt idx="78">
                  <c:v>2.6689104553843143E-2</c:v>
                </c:pt>
                <c:pt idx="79">
                  <c:v>3.2374425637199875E-2</c:v>
                </c:pt>
                <c:pt idx="80">
                  <c:v>5.6806554385191693E-2</c:v>
                </c:pt>
                <c:pt idx="81">
                  <c:v>0.13970380364032009</c:v>
                </c:pt>
                <c:pt idx="82">
                  <c:v>0.15354128389639771</c:v>
                </c:pt>
                <c:pt idx="83">
                  <c:v>0.11618084719786791</c:v>
                </c:pt>
                <c:pt idx="84">
                  <c:v>1.1856126413540497E-2</c:v>
                </c:pt>
                <c:pt idx="85">
                  <c:v>-6.0496068592206999E-2</c:v>
                </c:pt>
                <c:pt idx="86">
                  <c:v>-9.3347121164192332E-2</c:v>
                </c:pt>
                <c:pt idx="87">
                  <c:v>-0.15386787230845789</c:v>
                </c:pt>
                <c:pt idx="88">
                  <c:v>-0.23946880987864605</c:v>
                </c:pt>
                <c:pt idx="89">
                  <c:v>-0.3234699593268871</c:v>
                </c:pt>
                <c:pt idx="90">
                  <c:v>-0.4327913244051112</c:v>
                </c:pt>
                <c:pt idx="91">
                  <c:v>-0.53172104417355837</c:v>
                </c:pt>
                <c:pt idx="92">
                  <c:v>-0.63103328655758884</c:v>
                </c:pt>
                <c:pt idx="93">
                  <c:v>-0.76022332011171501</c:v>
                </c:pt>
                <c:pt idx="94">
                  <c:v>-0.83598029394731688</c:v>
                </c:pt>
                <c:pt idx="95">
                  <c:v>-0.871558200103553</c:v>
                </c:pt>
                <c:pt idx="96">
                  <c:v>-0.61116125239677099</c:v>
                </c:pt>
                <c:pt idx="97">
                  <c:v>-0.60285527255414906</c:v>
                </c:pt>
                <c:pt idx="98">
                  <c:v>-0.64406740365789572</c:v>
                </c:pt>
                <c:pt idx="99">
                  <c:v>-0.67502639190744196</c:v>
                </c:pt>
                <c:pt idx="100">
                  <c:v>-0.72767379143424826</c:v>
                </c:pt>
                <c:pt idx="101">
                  <c:v>-0.75775713538944156</c:v>
                </c:pt>
                <c:pt idx="102">
                  <c:v>-0.77524730505050476</c:v>
                </c:pt>
                <c:pt idx="103">
                  <c:v>-0.7738285881530379</c:v>
                </c:pt>
                <c:pt idx="104">
                  <c:v>-0.73753064415771841</c:v>
                </c:pt>
                <c:pt idx="105">
                  <c:v>-0.69237808779393917</c:v>
                </c:pt>
                <c:pt idx="106">
                  <c:v>-0.65613584649064483</c:v>
                </c:pt>
                <c:pt idx="107">
                  <c:v>-0.61024762500000018</c:v>
                </c:pt>
                <c:pt idx="108">
                  <c:v>-0.61017743797366808</c:v>
                </c:pt>
                <c:pt idx="109">
                  <c:v>-0.53858369473861334</c:v>
                </c:pt>
                <c:pt idx="110">
                  <c:v>-0.45568192860831269</c:v>
                </c:pt>
                <c:pt idx="111">
                  <c:v>-0.36716558267199828</c:v>
                </c:pt>
                <c:pt idx="112">
                  <c:v>-0.28172491856537868</c:v>
                </c:pt>
                <c:pt idx="113">
                  <c:v>-0.24289932700126105</c:v>
                </c:pt>
                <c:pt idx="114">
                  <c:v>-0.20266466982446188</c:v>
                </c:pt>
                <c:pt idx="115">
                  <c:v>-0.14477596566523612</c:v>
                </c:pt>
                <c:pt idx="116">
                  <c:v>-9.9774416663003448E-2</c:v>
                </c:pt>
                <c:pt idx="117">
                  <c:v>-6.4364853910409164E-2</c:v>
                </c:pt>
                <c:pt idx="118">
                  <c:v>-2.3828909492275289E-2</c:v>
                </c:pt>
                <c:pt idx="119">
                  <c:v>-4.5313475553200352E-2</c:v>
                </c:pt>
              </c:numCache>
            </c:numRef>
          </c:val>
        </c:ser>
        <c:ser>
          <c:idx val="1"/>
          <c:order val="1"/>
          <c:tx>
            <c:strRef>
              <c:f>eco.inflation.dynamics!$AT$6</c:f>
              <c:strCache>
                <c:ptCount val="1"/>
                <c:pt idx="0">
                  <c:v>Food</c:v>
                </c:pt>
              </c:strCache>
            </c:strRef>
          </c:tx>
          <c:invertIfNegative val="0"/>
          <c:cat>
            <c:strRef>
              <c:f>eco.inflation.dynamics!$AR$19:$AR$138</c:f>
              <c:strCache>
                <c:ptCount val="120"/>
                <c:pt idx="0">
                  <c:v>Jan 08</c:v>
                </c:pt>
                <c:pt idx="1">
                  <c:v>08</c:v>
                </c:pt>
                <c:pt idx="2">
                  <c:v>08</c:v>
                </c:pt>
                <c:pt idx="3">
                  <c:v>08</c:v>
                </c:pt>
                <c:pt idx="4">
                  <c:v>08</c:v>
                </c:pt>
                <c:pt idx="5">
                  <c:v>08</c:v>
                </c:pt>
                <c:pt idx="6">
                  <c:v>08</c:v>
                </c:pt>
                <c:pt idx="7">
                  <c:v>08</c:v>
                </c:pt>
                <c:pt idx="8">
                  <c:v>08</c:v>
                </c:pt>
                <c:pt idx="9">
                  <c:v>08</c:v>
                </c:pt>
                <c:pt idx="10">
                  <c:v>08</c:v>
                </c:pt>
                <c:pt idx="11">
                  <c:v>08</c:v>
                </c:pt>
                <c:pt idx="12">
                  <c:v>Jan 09</c:v>
                </c:pt>
                <c:pt idx="13">
                  <c:v>09</c:v>
                </c:pt>
                <c:pt idx="14">
                  <c:v>09</c:v>
                </c:pt>
                <c:pt idx="15">
                  <c:v>09</c:v>
                </c:pt>
                <c:pt idx="16">
                  <c:v>09</c:v>
                </c:pt>
                <c:pt idx="17">
                  <c:v>09</c:v>
                </c:pt>
                <c:pt idx="18">
                  <c:v>09</c:v>
                </c:pt>
                <c:pt idx="19">
                  <c:v>09</c:v>
                </c:pt>
                <c:pt idx="20">
                  <c:v>09</c:v>
                </c:pt>
                <c:pt idx="21">
                  <c:v>09</c:v>
                </c:pt>
                <c:pt idx="22">
                  <c:v>09</c:v>
                </c:pt>
                <c:pt idx="23">
                  <c:v>09</c:v>
                </c:pt>
                <c:pt idx="24">
                  <c:v>Jan 10</c:v>
                </c:pt>
                <c:pt idx="25">
                  <c:v>10</c:v>
                </c:pt>
                <c:pt idx="26">
                  <c:v>10</c:v>
                </c:pt>
                <c:pt idx="27">
                  <c:v>10</c:v>
                </c:pt>
                <c:pt idx="28">
                  <c:v>10</c:v>
                </c:pt>
                <c:pt idx="29">
                  <c:v>10</c:v>
                </c:pt>
                <c:pt idx="30">
                  <c:v>10</c:v>
                </c:pt>
                <c:pt idx="31">
                  <c:v>10</c:v>
                </c:pt>
                <c:pt idx="32">
                  <c:v>10</c:v>
                </c:pt>
                <c:pt idx="33">
                  <c:v>10</c:v>
                </c:pt>
                <c:pt idx="34">
                  <c:v>10</c:v>
                </c:pt>
                <c:pt idx="35">
                  <c:v>10</c:v>
                </c:pt>
                <c:pt idx="36">
                  <c:v>Jan 11</c:v>
                </c:pt>
                <c:pt idx="37">
                  <c:v>11</c:v>
                </c:pt>
                <c:pt idx="38">
                  <c:v>11</c:v>
                </c:pt>
                <c:pt idx="39">
                  <c:v>11</c:v>
                </c:pt>
                <c:pt idx="40">
                  <c:v>11</c:v>
                </c:pt>
                <c:pt idx="41">
                  <c:v>11</c:v>
                </c:pt>
                <c:pt idx="42">
                  <c:v>11</c:v>
                </c:pt>
                <c:pt idx="43">
                  <c:v>11</c:v>
                </c:pt>
                <c:pt idx="44">
                  <c:v>11</c:v>
                </c:pt>
                <c:pt idx="45">
                  <c:v>11</c:v>
                </c:pt>
                <c:pt idx="46">
                  <c:v>11</c:v>
                </c:pt>
                <c:pt idx="47">
                  <c:v>11</c:v>
                </c:pt>
                <c:pt idx="48">
                  <c:v>Jan 12</c:v>
                </c:pt>
                <c:pt idx="49">
                  <c:v>12</c:v>
                </c:pt>
                <c:pt idx="50">
                  <c:v>12</c:v>
                </c:pt>
                <c:pt idx="51">
                  <c:v>12</c:v>
                </c:pt>
                <c:pt idx="52">
                  <c:v>12</c:v>
                </c:pt>
                <c:pt idx="53">
                  <c:v>12</c:v>
                </c:pt>
                <c:pt idx="54">
                  <c:v>12</c:v>
                </c:pt>
                <c:pt idx="55">
                  <c:v>12</c:v>
                </c:pt>
                <c:pt idx="56">
                  <c:v>12</c:v>
                </c:pt>
                <c:pt idx="57">
                  <c:v>12</c:v>
                </c:pt>
                <c:pt idx="58">
                  <c:v>12</c:v>
                </c:pt>
                <c:pt idx="59">
                  <c:v>12</c:v>
                </c:pt>
                <c:pt idx="60">
                  <c:v>Jan 13</c:v>
                </c:pt>
                <c:pt idx="61">
                  <c:v>13</c:v>
                </c:pt>
                <c:pt idx="62">
                  <c:v>13</c:v>
                </c:pt>
                <c:pt idx="63">
                  <c:v>13</c:v>
                </c:pt>
                <c:pt idx="64">
                  <c:v>13</c:v>
                </c:pt>
                <c:pt idx="65">
                  <c:v>13</c:v>
                </c:pt>
                <c:pt idx="66">
                  <c:v>13</c:v>
                </c:pt>
                <c:pt idx="67">
                  <c:v>13</c:v>
                </c:pt>
                <c:pt idx="68">
                  <c:v>13</c:v>
                </c:pt>
                <c:pt idx="69">
                  <c:v>13</c:v>
                </c:pt>
                <c:pt idx="70">
                  <c:v>13</c:v>
                </c:pt>
                <c:pt idx="71">
                  <c:v>13</c:v>
                </c:pt>
                <c:pt idx="72">
                  <c:v>Jan 14</c:v>
                </c:pt>
                <c:pt idx="73">
                  <c:v>14</c:v>
                </c:pt>
                <c:pt idx="74">
                  <c:v>14</c:v>
                </c:pt>
                <c:pt idx="75">
                  <c:v>14</c:v>
                </c:pt>
                <c:pt idx="76">
                  <c:v>14</c:v>
                </c:pt>
                <c:pt idx="77">
                  <c:v>14</c:v>
                </c:pt>
                <c:pt idx="78">
                  <c:v>14</c:v>
                </c:pt>
                <c:pt idx="79">
                  <c:v>14</c:v>
                </c:pt>
                <c:pt idx="80">
                  <c:v>14</c:v>
                </c:pt>
                <c:pt idx="81">
                  <c:v>14</c:v>
                </c:pt>
                <c:pt idx="82">
                  <c:v>14</c:v>
                </c:pt>
                <c:pt idx="83">
                  <c:v>14</c:v>
                </c:pt>
                <c:pt idx="84">
                  <c:v>Jan 15</c:v>
                </c:pt>
                <c:pt idx="85">
                  <c:v>15</c:v>
                </c:pt>
                <c:pt idx="86">
                  <c:v>15</c:v>
                </c:pt>
                <c:pt idx="87">
                  <c:v>15</c:v>
                </c:pt>
                <c:pt idx="88">
                  <c:v>15</c:v>
                </c:pt>
                <c:pt idx="89">
                  <c:v>15</c:v>
                </c:pt>
                <c:pt idx="90">
                  <c:v>15</c:v>
                </c:pt>
                <c:pt idx="91">
                  <c:v>15</c:v>
                </c:pt>
                <c:pt idx="92">
                  <c:v>15</c:v>
                </c:pt>
                <c:pt idx="93">
                  <c:v>15</c:v>
                </c:pt>
                <c:pt idx="94">
                  <c:v>15</c:v>
                </c:pt>
                <c:pt idx="95">
                  <c:v>15</c:v>
                </c:pt>
                <c:pt idx="96">
                  <c:v>Jan 16</c:v>
                </c:pt>
                <c:pt idx="97">
                  <c:v>16</c:v>
                </c:pt>
                <c:pt idx="98">
                  <c:v>16</c:v>
                </c:pt>
                <c:pt idx="99">
                  <c:v>16</c:v>
                </c:pt>
                <c:pt idx="100">
                  <c:v>16</c:v>
                </c:pt>
                <c:pt idx="101">
                  <c:v>16</c:v>
                </c:pt>
                <c:pt idx="102">
                  <c:v>16</c:v>
                </c:pt>
                <c:pt idx="103">
                  <c:v>16</c:v>
                </c:pt>
                <c:pt idx="104">
                  <c:v>16</c:v>
                </c:pt>
                <c:pt idx="105">
                  <c:v>16</c:v>
                </c:pt>
                <c:pt idx="106">
                  <c:v>16</c:v>
                </c:pt>
                <c:pt idx="107">
                  <c:v>16</c:v>
                </c:pt>
                <c:pt idx="108">
                  <c:v>Jan 17</c:v>
                </c:pt>
                <c:pt idx="109">
                  <c:v>17</c:v>
                </c:pt>
                <c:pt idx="110">
                  <c:v>17</c:v>
                </c:pt>
                <c:pt idx="111">
                  <c:v>17</c:v>
                </c:pt>
                <c:pt idx="112">
                  <c:v>17</c:v>
                </c:pt>
                <c:pt idx="113">
                  <c:v>17</c:v>
                </c:pt>
                <c:pt idx="114">
                  <c:v>17</c:v>
                </c:pt>
                <c:pt idx="115">
                  <c:v>17</c:v>
                </c:pt>
                <c:pt idx="116">
                  <c:v>17</c:v>
                </c:pt>
                <c:pt idx="117">
                  <c:v>17</c:v>
                </c:pt>
                <c:pt idx="118">
                  <c:v>17</c:v>
                </c:pt>
                <c:pt idx="119">
                  <c:v>17</c:v>
                </c:pt>
              </c:strCache>
            </c:strRef>
          </c:cat>
          <c:val>
            <c:numRef>
              <c:f>eco.inflation.dynamics!$BA$19:$BA$138</c:f>
              <c:numCache>
                <c:formatCode>0.0</c:formatCode>
                <c:ptCount val="120"/>
                <c:pt idx="0">
                  <c:v>1.2497747640803578</c:v>
                </c:pt>
                <c:pt idx="1">
                  <c:v>1.4851155658519763</c:v>
                </c:pt>
                <c:pt idx="2">
                  <c:v>1.6867517543491615</c:v>
                </c:pt>
                <c:pt idx="3">
                  <c:v>1.9008016050951835</c:v>
                </c:pt>
                <c:pt idx="4">
                  <c:v>2.1535829411044776</c:v>
                </c:pt>
                <c:pt idx="5">
                  <c:v>2.4893973813539487</c:v>
                </c:pt>
                <c:pt idx="6">
                  <c:v>2.7961056043250792</c:v>
                </c:pt>
                <c:pt idx="7">
                  <c:v>3.0273255080020092</c:v>
                </c:pt>
                <c:pt idx="8">
                  <c:v>3.1212874712286696</c:v>
                </c:pt>
                <c:pt idx="9">
                  <c:v>3.1793417199242362</c:v>
                </c:pt>
                <c:pt idx="10">
                  <c:v>3.1657039747947007</c:v>
                </c:pt>
                <c:pt idx="11">
                  <c:v>3.0193803412830005</c:v>
                </c:pt>
                <c:pt idx="12">
                  <c:v>2.9299695702933244</c:v>
                </c:pt>
                <c:pt idx="13">
                  <c:v>2.8601825097832942</c:v>
                </c:pt>
                <c:pt idx="14">
                  <c:v>2.8041183854743537</c:v>
                </c:pt>
                <c:pt idx="15">
                  <c:v>2.7364331637456907</c:v>
                </c:pt>
                <c:pt idx="16">
                  <c:v>2.6001903832142306</c:v>
                </c:pt>
                <c:pt idx="17">
                  <c:v>2.3757613132446505</c:v>
                </c:pt>
                <c:pt idx="18">
                  <c:v>2.1225447318002466</c:v>
                </c:pt>
                <c:pt idx="19">
                  <c:v>1.8807781015197982</c:v>
                </c:pt>
                <c:pt idx="20">
                  <c:v>1.6753171677800529</c:v>
                </c:pt>
                <c:pt idx="21">
                  <c:v>1.465807844719091</c:v>
                </c:pt>
                <c:pt idx="22">
                  <c:v>1.3173725441468971</c:v>
                </c:pt>
                <c:pt idx="23">
                  <c:v>1.2003999687289704</c:v>
                </c:pt>
                <c:pt idx="24">
                  <c:v>1.0191414501503853</c:v>
                </c:pt>
                <c:pt idx="25">
                  <c:v>0.79692472948917292</c:v>
                </c:pt>
                <c:pt idx="26">
                  <c:v>0.57500408174771089</c:v>
                </c:pt>
                <c:pt idx="27">
                  <c:v>0.32377394715203994</c:v>
                </c:pt>
                <c:pt idx="28">
                  <c:v>0.11818576697199284</c:v>
                </c:pt>
                <c:pt idx="29">
                  <c:v>-4.5953017283163144E-2</c:v>
                </c:pt>
                <c:pt idx="30">
                  <c:v>-0.15350162553476915</c:v>
                </c:pt>
                <c:pt idx="31">
                  <c:v>-0.23686200303407126</c:v>
                </c:pt>
                <c:pt idx="32">
                  <c:v>-0.26704690354829363</c:v>
                </c:pt>
                <c:pt idx="33">
                  <c:v>-0.28231830881517456</c:v>
                </c:pt>
                <c:pt idx="34">
                  <c:v>-0.299138152091594</c:v>
                </c:pt>
                <c:pt idx="35">
                  <c:v>-0.27471772153740859</c:v>
                </c:pt>
                <c:pt idx="36">
                  <c:v>-0.16322073173643839</c:v>
                </c:pt>
                <c:pt idx="37">
                  <c:v>-9.5930896755433287E-3</c:v>
                </c:pt>
                <c:pt idx="38">
                  <c:v>0.17037085945058053</c:v>
                </c:pt>
                <c:pt idx="39">
                  <c:v>0.35635673037619153</c:v>
                </c:pt>
                <c:pt idx="40">
                  <c:v>0.56456289810117755</c:v>
                </c:pt>
                <c:pt idx="41">
                  <c:v>0.73621763757892289</c:v>
                </c:pt>
                <c:pt idx="42">
                  <c:v>0.86907549192043709</c:v>
                </c:pt>
                <c:pt idx="43">
                  <c:v>0.99804649310672111</c:v>
                </c:pt>
                <c:pt idx="44">
                  <c:v>1.0962451441350367</c:v>
                </c:pt>
                <c:pt idx="45">
                  <c:v>1.2156029335271432</c:v>
                </c:pt>
                <c:pt idx="46">
                  <c:v>1.3225696306096681</c:v>
                </c:pt>
                <c:pt idx="47">
                  <c:v>1.3944303427544882</c:v>
                </c:pt>
                <c:pt idx="48">
                  <c:v>1.3640500232442221</c:v>
                </c:pt>
                <c:pt idx="49">
                  <c:v>1.3203485234006682</c:v>
                </c:pt>
                <c:pt idx="50">
                  <c:v>1.2321862622572177</c:v>
                </c:pt>
                <c:pt idx="51">
                  <c:v>1.2000288830443424</c:v>
                </c:pt>
                <c:pt idx="52">
                  <c:v>1.1291711750824482</c:v>
                </c:pt>
                <c:pt idx="53">
                  <c:v>1.1084876937036237</c:v>
                </c:pt>
                <c:pt idx="54">
                  <c:v>1.0992665107227173</c:v>
                </c:pt>
                <c:pt idx="55">
                  <c:v>1.1170263944233787</c:v>
                </c:pt>
                <c:pt idx="56">
                  <c:v>1.1596707463229246</c:v>
                </c:pt>
                <c:pt idx="57">
                  <c:v>1.1674331667026698</c:v>
                </c:pt>
                <c:pt idx="58">
                  <c:v>1.165644594399335</c:v>
                </c:pt>
                <c:pt idx="59">
                  <c:v>1.203667035797817</c:v>
                </c:pt>
                <c:pt idx="60">
                  <c:v>1.2015414627785559</c:v>
                </c:pt>
                <c:pt idx="61">
                  <c:v>1.2827016198602101</c:v>
                </c:pt>
                <c:pt idx="62">
                  <c:v>1.3712657450457666</c:v>
                </c:pt>
                <c:pt idx="63">
                  <c:v>1.4377439652181911</c:v>
                </c:pt>
                <c:pt idx="64">
                  <c:v>1.5439583865150557</c:v>
                </c:pt>
                <c:pt idx="65">
                  <c:v>1.6207367801689476</c:v>
                </c:pt>
                <c:pt idx="66">
                  <c:v>1.6834578594202354</c:v>
                </c:pt>
                <c:pt idx="67">
                  <c:v>1.7078484967470096</c:v>
                </c:pt>
                <c:pt idx="68">
                  <c:v>1.6811307635935648</c:v>
                </c:pt>
                <c:pt idx="69">
                  <c:v>1.6457138416448664</c:v>
                </c:pt>
                <c:pt idx="70">
                  <c:v>1.6099339206699963</c:v>
                </c:pt>
                <c:pt idx="71">
                  <c:v>1.5233104299453359</c:v>
                </c:pt>
                <c:pt idx="72">
                  <c:v>1.429489291239407</c:v>
                </c:pt>
                <c:pt idx="73">
                  <c:v>1.3025903444034039</c:v>
                </c:pt>
                <c:pt idx="74">
                  <c:v>1.1944611684159481</c:v>
                </c:pt>
                <c:pt idx="75">
                  <c:v>1.0561055821938259</c:v>
                </c:pt>
                <c:pt idx="76">
                  <c:v>0.86533521373031907</c:v>
                </c:pt>
                <c:pt idx="77">
                  <c:v>0.67219017181101037</c:v>
                </c:pt>
                <c:pt idx="78">
                  <c:v>0.47575658324487557</c:v>
                </c:pt>
                <c:pt idx="79">
                  <c:v>0.28354907676872859</c:v>
                </c:pt>
                <c:pt idx="80">
                  <c:v>0.13236434902184036</c:v>
                </c:pt>
                <c:pt idx="81">
                  <c:v>1.3687043961777608E-2</c:v>
                </c:pt>
                <c:pt idx="82">
                  <c:v>-7.4771678608828065E-2</c:v>
                </c:pt>
                <c:pt idx="83">
                  <c:v>-0.14493972232423419</c:v>
                </c:pt>
                <c:pt idx="84">
                  <c:v>-0.1798824750587984</c:v>
                </c:pt>
                <c:pt idx="85">
                  <c:v>-0.17638955789762367</c:v>
                </c:pt>
                <c:pt idx="86">
                  <c:v>-0.18404539479955273</c:v>
                </c:pt>
                <c:pt idx="87">
                  <c:v>-0.16659776154009964</c:v>
                </c:pt>
                <c:pt idx="88">
                  <c:v>-0.12248319143199098</c:v>
                </c:pt>
                <c:pt idx="89">
                  <c:v>-6.5468344249300092E-2</c:v>
                </c:pt>
                <c:pt idx="90">
                  <c:v>-1.2694363555058034E-2</c:v>
                </c:pt>
                <c:pt idx="91">
                  <c:v>5.6398050578797383E-2</c:v>
                </c:pt>
                <c:pt idx="92">
                  <c:v>9.9297204147236764E-2</c:v>
                </c:pt>
                <c:pt idx="93">
                  <c:v>0.1475514632478605</c:v>
                </c:pt>
                <c:pt idx="94">
                  <c:v>0.17157757495504877</c:v>
                </c:pt>
                <c:pt idx="95">
                  <c:v>0.19670930413152105</c:v>
                </c:pt>
                <c:pt idx="96">
                  <c:v>0.19651058052026538</c:v>
                </c:pt>
                <c:pt idx="97">
                  <c:v>0.16347965339516365</c:v>
                </c:pt>
                <c:pt idx="98">
                  <c:v>0.12239201342411477</c:v>
                </c:pt>
                <c:pt idx="99">
                  <c:v>7.889747101397096E-2</c:v>
                </c:pt>
                <c:pt idx="100">
                  <c:v>6.1789241665207807E-2</c:v>
                </c:pt>
                <c:pt idx="101">
                  <c:v>3.867556777862826E-2</c:v>
                </c:pt>
                <c:pt idx="102">
                  <c:v>3.0062931605450153E-2</c:v>
                </c:pt>
                <c:pt idx="103">
                  <c:v>-5.7154066733592305E-3</c:v>
                </c:pt>
                <c:pt idx="104">
                  <c:v>-2.1557384502754191E-2</c:v>
                </c:pt>
                <c:pt idx="105">
                  <c:v>-4.6996969588782536E-2</c:v>
                </c:pt>
                <c:pt idx="106">
                  <c:v>-5.6849158249698377E-2</c:v>
                </c:pt>
                <c:pt idx="107">
                  <c:v>-3.7058416666668488E-2</c:v>
                </c:pt>
                <c:pt idx="108">
                  <c:v>1.9604330579437768E-2</c:v>
                </c:pt>
                <c:pt idx="109">
                  <c:v>9.6881811800474379E-2</c:v>
                </c:pt>
                <c:pt idx="110">
                  <c:v>0.19072919827787313</c:v>
                </c:pt>
                <c:pt idx="111">
                  <c:v>0.28668479479376718</c:v>
                </c:pt>
                <c:pt idx="112">
                  <c:v>0.33740020745800148</c:v>
                </c:pt>
                <c:pt idx="113">
                  <c:v>0.38526014162792754</c:v>
                </c:pt>
                <c:pt idx="114">
                  <c:v>0.43525755921721021</c:v>
                </c:pt>
                <c:pt idx="115">
                  <c:v>0.5114191546030411</c:v>
                </c:pt>
                <c:pt idx="116">
                  <c:v>0.58816685420275261</c:v>
                </c:pt>
                <c:pt idx="117">
                  <c:v>0.65755012857772399</c:v>
                </c:pt>
                <c:pt idx="118">
                  <c:v>0.71296411764002321</c:v>
                </c:pt>
                <c:pt idx="119">
                  <c:v>0.73526390636908445</c:v>
                </c:pt>
              </c:numCache>
            </c:numRef>
          </c:val>
        </c:ser>
        <c:ser>
          <c:idx val="2"/>
          <c:order val="2"/>
          <c:tx>
            <c:strRef>
              <c:f>eco.inflation.dynamics!$AU$6</c:f>
              <c:strCache>
                <c:ptCount val="1"/>
                <c:pt idx="0">
                  <c:v>Other</c:v>
                </c:pt>
              </c:strCache>
            </c:strRef>
          </c:tx>
          <c:invertIfNegative val="0"/>
          <c:cat>
            <c:strRef>
              <c:f>eco.inflation.dynamics!$AR$19:$AR$138</c:f>
              <c:strCache>
                <c:ptCount val="120"/>
                <c:pt idx="0">
                  <c:v>Jan 08</c:v>
                </c:pt>
                <c:pt idx="1">
                  <c:v>08</c:v>
                </c:pt>
                <c:pt idx="2">
                  <c:v>08</c:v>
                </c:pt>
                <c:pt idx="3">
                  <c:v>08</c:v>
                </c:pt>
                <c:pt idx="4">
                  <c:v>08</c:v>
                </c:pt>
                <c:pt idx="5">
                  <c:v>08</c:v>
                </c:pt>
                <c:pt idx="6">
                  <c:v>08</c:v>
                </c:pt>
                <c:pt idx="7">
                  <c:v>08</c:v>
                </c:pt>
                <c:pt idx="8">
                  <c:v>08</c:v>
                </c:pt>
                <c:pt idx="9">
                  <c:v>08</c:v>
                </c:pt>
                <c:pt idx="10">
                  <c:v>08</c:v>
                </c:pt>
                <c:pt idx="11">
                  <c:v>08</c:v>
                </c:pt>
                <c:pt idx="12">
                  <c:v>Jan 09</c:v>
                </c:pt>
                <c:pt idx="13">
                  <c:v>09</c:v>
                </c:pt>
                <c:pt idx="14">
                  <c:v>09</c:v>
                </c:pt>
                <c:pt idx="15">
                  <c:v>09</c:v>
                </c:pt>
                <c:pt idx="16">
                  <c:v>09</c:v>
                </c:pt>
                <c:pt idx="17">
                  <c:v>09</c:v>
                </c:pt>
                <c:pt idx="18">
                  <c:v>09</c:v>
                </c:pt>
                <c:pt idx="19">
                  <c:v>09</c:v>
                </c:pt>
                <c:pt idx="20">
                  <c:v>09</c:v>
                </c:pt>
                <c:pt idx="21">
                  <c:v>09</c:v>
                </c:pt>
                <c:pt idx="22">
                  <c:v>09</c:v>
                </c:pt>
                <c:pt idx="23">
                  <c:v>09</c:v>
                </c:pt>
                <c:pt idx="24">
                  <c:v>Jan 10</c:v>
                </c:pt>
                <c:pt idx="25">
                  <c:v>10</c:v>
                </c:pt>
                <c:pt idx="26">
                  <c:v>10</c:v>
                </c:pt>
                <c:pt idx="27">
                  <c:v>10</c:v>
                </c:pt>
                <c:pt idx="28">
                  <c:v>10</c:v>
                </c:pt>
                <c:pt idx="29">
                  <c:v>10</c:v>
                </c:pt>
                <c:pt idx="30">
                  <c:v>10</c:v>
                </c:pt>
                <c:pt idx="31">
                  <c:v>10</c:v>
                </c:pt>
                <c:pt idx="32">
                  <c:v>10</c:v>
                </c:pt>
                <c:pt idx="33">
                  <c:v>10</c:v>
                </c:pt>
                <c:pt idx="34">
                  <c:v>10</c:v>
                </c:pt>
                <c:pt idx="35">
                  <c:v>10</c:v>
                </c:pt>
                <c:pt idx="36">
                  <c:v>Jan 11</c:v>
                </c:pt>
                <c:pt idx="37">
                  <c:v>11</c:v>
                </c:pt>
                <c:pt idx="38">
                  <c:v>11</c:v>
                </c:pt>
                <c:pt idx="39">
                  <c:v>11</c:v>
                </c:pt>
                <c:pt idx="40">
                  <c:v>11</c:v>
                </c:pt>
                <c:pt idx="41">
                  <c:v>11</c:v>
                </c:pt>
                <c:pt idx="42">
                  <c:v>11</c:v>
                </c:pt>
                <c:pt idx="43">
                  <c:v>11</c:v>
                </c:pt>
                <c:pt idx="44">
                  <c:v>11</c:v>
                </c:pt>
                <c:pt idx="45">
                  <c:v>11</c:v>
                </c:pt>
                <c:pt idx="46">
                  <c:v>11</c:v>
                </c:pt>
                <c:pt idx="47">
                  <c:v>11</c:v>
                </c:pt>
                <c:pt idx="48">
                  <c:v>Jan 12</c:v>
                </c:pt>
                <c:pt idx="49">
                  <c:v>12</c:v>
                </c:pt>
                <c:pt idx="50">
                  <c:v>12</c:v>
                </c:pt>
                <c:pt idx="51">
                  <c:v>12</c:v>
                </c:pt>
                <c:pt idx="52">
                  <c:v>12</c:v>
                </c:pt>
                <c:pt idx="53">
                  <c:v>12</c:v>
                </c:pt>
                <c:pt idx="54">
                  <c:v>12</c:v>
                </c:pt>
                <c:pt idx="55">
                  <c:v>12</c:v>
                </c:pt>
                <c:pt idx="56">
                  <c:v>12</c:v>
                </c:pt>
                <c:pt idx="57">
                  <c:v>12</c:v>
                </c:pt>
                <c:pt idx="58">
                  <c:v>12</c:v>
                </c:pt>
                <c:pt idx="59">
                  <c:v>12</c:v>
                </c:pt>
                <c:pt idx="60">
                  <c:v>Jan 13</c:v>
                </c:pt>
                <c:pt idx="61">
                  <c:v>13</c:v>
                </c:pt>
                <c:pt idx="62">
                  <c:v>13</c:v>
                </c:pt>
                <c:pt idx="63">
                  <c:v>13</c:v>
                </c:pt>
                <c:pt idx="64">
                  <c:v>13</c:v>
                </c:pt>
                <c:pt idx="65">
                  <c:v>13</c:v>
                </c:pt>
                <c:pt idx="66">
                  <c:v>13</c:v>
                </c:pt>
                <c:pt idx="67">
                  <c:v>13</c:v>
                </c:pt>
                <c:pt idx="68">
                  <c:v>13</c:v>
                </c:pt>
                <c:pt idx="69">
                  <c:v>13</c:v>
                </c:pt>
                <c:pt idx="70">
                  <c:v>13</c:v>
                </c:pt>
                <c:pt idx="71">
                  <c:v>13</c:v>
                </c:pt>
                <c:pt idx="72">
                  <c:v>Jan 14</c:v>
                </c:pt>
                <c:pt idx="73">
                  <c:v>14</c:v>
                </c:pt>
                <c:pt idx="74">
                  <c:v>14</c:v>
                </c:pt>
                <c:pt idx="75">
                  <c:v>14</c:v>
                </c:pt>
                <c:pt idx="76">
                  <c:v>14</c:v>
                </c:pt>
                <c:pt idx="77">
                  <c:v>14</c:v>
                </c:pt>
                <c:pt idx="78">
                  <c:v>14</c:v>
                </c:pt>
                <c:pt idx="79">
                  <c:v>14</c:v>
                </c:pt>
                <c:pt idx="80">
                  <c:v>14</c:v>
                </c:pt>
                <c:pt idx="81">
                  <c:v>14</c:v>
                </c:pt>
                <c:pt idx="82">
                  <c:v>14</c:v>
                </c:pt>
                <c:pt idx="83">
                  <c:v>14</c:v>
                </c:pt>
                <c:pt idx="84">
                  <c:v>Jan 15</c:v>
                </c:pt>
                <c:pt idx="85">
                  <c:v>15</c:v>
                </c:pt>
                <c:pt idx="86">
                  <c:v>15</c:v>
                </c:pt>
                <c:pt idx="87">
                  <c:v>15</c:v>
                </c:pt>
                <c:pt idx="88">
                  <c:v>15</c:v>
                </c:pt>
                <c:pt idx="89">
                  <c:v>15</c:v>
                </c:pt>
                <c:pt idx="90">
                  <c:v>15</c:v>
                </c:pt>
                <c:pt idx="91">
                  <c:v>15</c:v>
                </c:pt>
                <c:pt idx="92">
                  <c:v>15</c:v>
                </c:pt>
                <c:pt idx="93">
                  <c:v>15</c:v>
                </c:pt>
                <c:pt idx="94">
                  <c:v>15</c:v>
                </c:pt>
                <c:pt idx="95">
                  <c:v>15</c:v>
                </c:pt>
                <c:pt idx="96">
                  <c:v>Jan 16</c:v>
                </c:pt>
                <c:pt idx="97">
                  <c:v>16</c:v>
                </c:pt>
                <c:pt idx="98">
                  <c:v>16</c:v>
                </c:pt>
                <c:pt idx="99">
                  <c:v>16</c:v>
                </c:pt>
                <c:pt idx="100">
                  <c:v>16</c:v>
                </c:pt>
                <c:pt idx="101">
                  <c:v>16</c:v>
                </c:pt>
                <c:pt idx="102">
                  <c:v>16</c:v>
                </c:pt>
                <c:pt idx="103">
                  <c:v>16</c:v>
                </c:pt>
                <c:pt idx="104">
                  <c:v>16</c:v>
                </c:pt>
                <c:pt idx="105">
                  <c:v>16</c:v>
                </c:pt>
                <c:pt idx="106">
                  <c:v>16</c:v>
                </c:pt>
                <c:pt idx="107">
                  <c:v>16</c:v>
                </c:pt>
                <c:pt idx="108">
                  <c:v>Jan 17</c:v>
                </c:pt>
                <c:pt idx="109">
                  <c:v>17</c:v>
                </c:pt>
                <c:pt idx="110">
                  <c:v>17</c:v>
                </c:pt>
                <c:pt idx="111">
                  <c:v>17</c:v>
                </c:pt>
                <c:pt idx="112">
                  <c:v>17</c:v>
                </c:pt>
                <c:pt idx="113">
                  <c:v>17</c:v>
                </c:pt>
                <c:pt idx="114">
                  <c:v>17</c:v>
                </c:pt>
                <c:pt idx="115">
                  <c:v>17</c:v>
                </c:pt>
                <c:pt idx="116">
                  <c:v>17</c:v>
                </c:pt>
                <c:pt idx="117">
                  <c:v>17</c:v>
                </c:pt>
                <c:pt idx="118">
                  <c:v>17</c:v>
                </c:pt>
                <c:pt idx="119">
                  <c:v>17</c:v>
                </c:pt>
              </c:strCache>
            </c:strRef>
          </c:cat>
          <c:val>
            <c:numRef>
              <c:f>eco.inflation.dynamics!$BB$19:$BB$126</c:f>
              <c:numCache>
                <c:formatCode>0.0</c:formatCode>
                <c:ptCount val="108"/>
                <c:pt idx="0">
                  <c:v>1.5879555560274212</c:v>
                </c:pt>
                <c:pt idx="1">
                  <c:v>1.5991620945784264</c:v>
                </c:pt>
                <c:pt idx="2">
                  <c:v>1.6030043638343972</c:v>
                </c:pt>
                <c:pt idx="3">
                  <c:v>1.6054940780863287</c:v>
                </c:pt>
                <c:pt idx="4">
                  <c:v>1.5943849162523764</c:v>
                </c:pt>
                <c:pt idx="5">
                  <c:v>1.6279517748882404</c:v>
                </c:pt>
                <c:pt idx="6">
                  <c:v>1.6706948260105221</c:v>
                </c:pt>
                <c:pt idx="7">
                  <c:v>1.7101476098628519</c:v>
                </c:pt>
                <c:pt idx="8">
                  <c:v>1.7645990651840158</c:v>
                </c:pt>
                <c:pt idx="9">
                  <c:v>1.8075497429056071</c:v>
                </c:pt>
                <c:pt idx="10">
                  <c:v>1.8499299222560428</c:v>
                </c:pt>
                <c:pt idx="11">
                  <c:v>1.8578166551309148</c:v>
                </c:pt>
                <c:pt idx="12">
                  <c:v>1.8758369266761319</c:v>
                </c:pt>
                <c:pt idx="13">
                  <c:v>1.8829713545582647</c:v>
                </c:pt>
                <c:pt idx="14">
                  <c:v>1.8842813178380748</c:v>
                </c:pt>
                <c:pt idx="15">
                  <c:v>1.8755167746018482</c:v>
                </c:pt>
                <c:pt idx="16">
                  <c:v>1.8570576626637727</c:v>
                </c:pt>
                <c:pt idx="17">
                  <c:v>1.821664220958557</c:v>
                </c:pt>
                <c:pt idx="18">
                  <c:v>1.7862508761226457</c:v>
                </c:pt>
                <c:pt idx="19">
                  <c:v>1.7254923999451925</c:v>
                </c:pt>
                <c:pt idx="20">
                  <c:v>1.6375128277650877</c:v>
                </c:pt>
                <c:pt idx="21">
                  <c:v>1.5703721534775288</c:v>
                </c:pt>
                <c:pt idx="22">
                  <c:v>1.4751837829742125</c:v>
                </c:pt>
                <c:pt idx="23">
                  <c:v>1.3925833071353586</c:v>
                </c:pt>
                <c:pt idx="24">
                  <c:v>1.2901499087103057</c:v>
                </c:pt>
                <c:pt idx="25">
                  <c:v>1.1788065419415727</c:v>
                </c:pt>
                <c:pt idx="26">
                  <c:v>1.0610738478543049</c:v>
                </c:pt>
                <c:pt idx="27">
                  <c:v>0.94432376841086896</c:v>
                </c:pt>
                <c:pt idx="28">
                  <c:v>0.83894632358394317</c:v>
                </c:pt>
                <c:pt idx="29">
                  <c:v>0.72637573850144599</c:v>
                </c:pt>
                <c:pt idx="30">
                  <c:v>0.60826159620347175</c:v>
                </c:pt>
                <c:pt idx="31">
                  <c:v>0.51935252440097968</c:v>
                </c:pt>
                <c:pt idx="32">
                  <c:v>0.44899224111058744</c:v>
                </c:pt>
                <c:pt idx="33">
                  <c:v>0.35626950353193404</c:v>
                </c:pt>
                <c:pt idx="34">
                  <c:v>0.27197564267370261</c:v>
                </c:pt>
                <c:pt idx="35">
                  <c:v>0.20968122854868954</c:v>
                </c:pt>
                <c:pt idx="36">
                  <c:v>0.16869042782196153</c:v>
                </c:pt>
                <c:pt idx="37">
                  <c:v>0.11792251579004086</c:v>
                </c:pt>
                <c:pt idx="38">
                  <c:v>8.018107262006624E-2</c:v>
                </c:pt>
                <c:pt idx="39">
                  <c:v>5.5662771142205025E-2</c:v>
                </c:pt>
                <c:pt idx="40">
                  <c:v>2.4855845560097088E-2</c:v>
                </c:pt>
                <c:pt idx="41">
                  <c:v>-2.7750641803381921E-3</c:v>
                </c:pt>
                <c:pt idx="42">
                  <c:v>-3.340607269841369E-2</c:v>
                </c:pt>
                <c:pt idx="43">
                  <c:v>-7.8982443517349246E-2</c:v>
                </c:pt>
                <c:pt idx="44">
                  <c:v>-0.11377107238573861</c:v>
                </c:pt>
                <c:pt idx="45">
                  <c:v>-0.11165790133436081</c:v>
                </c:pt>
                <c:pt idx="46">
                  <c:v>-9.5268721507488108E-2</c:v>
                </c:pt>
                <c:pt idx="47">
                  <c:v>-6.5627668653473886E-2</c:v>
                </c:pt>
                <c:pt idx="48">
                  <c:v>-4.9919935909201935E-2</c:v>
                </c:pt>
                <c:pt idx="49">
                  <c:v>-4.2352866240633141E-2</c:v>
                </c:pt>
                <c:pt idx="50">
                  <c:v>3.8402831600614154E-3</c:v>
                </c:pt>
                <c:pt idx="51">
                  <c:v>5.0702934440123332E-2</c:v>
                </c:pt>
                <c:pt idx="52">
                  <c:v>0.10252732214201644</c:v>
                </c:pt>
                <c:pt idx="53">
                  <c:v>0.15901393217178872</c:v>
                </c:pt>
                <c:pt idx="54">
                  <c:v>0.2144128168835211</c:v>
                </c:pt>
                <c:pt idx="55">
                  <c:v>0.29291548419932489</c:v>
                </c:pt>
                <c:pt idx="56">
                  <c:v>0.36879150075467021</c:v>
                </c:pt>
                <c:pt idx="57">
                  <c:v>0.43367286670078681</c:v>
                </c:pt>
                <c:pt idx="58">
                  <c:v>0.48351773363041506</c:v>
                </c:pt>
                <c:pt idx="59">
                  <c:v>0.51228838314548697</c:v>
                </c:pt>
                <c:pt idx="60">
                  <c:v>0.58066657122174381</c:v>
                </c:pt>
                <c:pt idx="61">
                  <c:v>0.6714104069090544</c:v>
                </c:pt>
                <c:pt idx="62">
                  <c:v>0.68167496672460992</c:v>
                </c:pt>
                <c:pt idx="63">
                  <c:v>0.68531216013752094</c:v>
                </c:pt>
                <c:pt idx="64">
                  <c:v>0.6807627010889763</c:v>
                </c:pt>
                <c:pt idx="65">
                  <c:v>0.66793356400858817</c:v>
                </c:pt>
                <c:pt idx="66">
                  <c:v>0.66777553895485342</c:v>
                </c:pt>
                <c:pt idx="67">
                  <c:v>0.64900690948168049</c:v>
                </c:pt>
                <c:pt idx="68">
                  <c:v>0.637717309246429</c:v>
                </c:pt>
                <c:pt idx="69">
                  <c:v>0.57891992494501765</c:v>
                </c:pt>
                <c:pt idx="70">
                  <c:v>0.50936160110266393</c:v>
                </c:pt>
                <c:pt idx="71">
                  <c:v>0.44032754530664664</c:v>
                </c:pt>
                <c:pt idx="72">
                  <c:v>0.35818426013411436</c:v>
                </c:pt>
                <c:pt idx="73">
                  <c:v>0.25930897524202312</c:v>
                </c:pt>
                <c:pt idx="74">
                  <c:v>0.19711120603245513</c:v>
                </c:pt>
                <c:pt idx="75">
                  <c:v>0.13969867796834387</c:v>
                </c:pt>
                <c:pt idx="76">
                  <c:v>0.12010203643091513</c:v>
                </c:pt>
                <c:pt idx="77">
                  <c:v>0.13027944525922219</c:v>
                </c:pt>
                <c:pt idx="78">
                  <c:v>0.13304539493020126</c:v>
                </c:pt>
                <c:pt idx="79">
                  <c:v>0.15633107122321105</c:v>
                </c:pt>
                <c:pt idx="80">
                  <c:v>0.15923978688216026</c:v>
                </c:pt>
                <c:pt idx="81">
                  <c:v>0.17805124469609301</c:v>
                </c:pt>
                <c:pt idx="82">
                  <c:v>0.22121896428191934</c:v>
                </c:pt>
                <c:pt idx="83">
                  <c:v>0.27701035586243683</c:v>
                </c:pt>
                <c:pt idx="84">
                  <c:v>0.3651326109309182</c:v>
                </c:pt>
                <c:pt idx="85">
                  <c:v>0.42439345139958629</c:v>
                </c:pt>
                <c:pt idx="86">
                  <c:v>0.47762519035296203</c:v>
                </c:pt>
                <c:pt idx="87">
                  <c:v>0.51786789532778599</c:v>
                </c:pt>
                <c:pt idx="88">
                  <c:v>0.52492743344005921</c:v>
                </c:pt>
                <c:pt idx="89">
                  <c:v>0.5131680833438127</c:v>
                </c:pt>
                <c:pt idx="90">
                  <c:v>0.50792855135338211</c:v>
                </c:pt>
                <c:pt idx="91">
                  <c:v>0.50565182492732985</c:v>
                </c:pt>
                <c:pt idx="92">
                  <c:v>0.50242162747102592</c:v>
                </c:pt>
                <c:pt idx="93">
                  <c:v>0.5007494983149251</c:v>
                </c:pt>
                <c:pt idx="94">
                  <c:v>0.49021652334731092</c:v>
                </c:pt>
                <c:pt idx="95">
                  <c:v>0.47568774567897604</c:v>
                </c:pt>
                <c:pt idx="96">
                  <c:v>0.48872333064761747</c:v>
                </c:pt>
                <c:pt idx="97">
                  <c:v>0.47541385740810049</c:v>
                </c:pt>
                <c:pt idx="98">
                  <c:v>0.48477043439898154</c:v>
                </c:pt>
                <c:pt idx="99">
                  <c:v>0.48840956258803836</c:v>
                </c:pt>
                <c:pt idx="100">
                  <c:v>0.46137002787674242</c:v>
                </c:pt>
                <c:pt idx="101">
                  <c:v>0.40894075162144866</c:v>
                </c:pt>
                <c:pt idx="102">
                  <c:v>0.3565525585076123</c:v>
                </c:pt>
                <c:pt idx="103">
                  <c:v>0.25792460251836774</c:v>
                </c:pt>
                <c:pt idx="104">
                  <c:v>0.1886266826400122</c:v>
                </c:pt>
                <c:pt idx="105">
                  <c:v>0.15260226379845562</c:v>
                </c:pt>
                <c:pt idx="106">
                  <c:v>0.15047464487398376</c:v>
                </c:pt>
                <c:pt idx="107">
                  <c:v>0.14537976666666777</c:v>
                </c:pt>
              </c:numCache>
            </c:numRef>
          </c:val>
        </c:ser>
        <c:dLbls>
          <c:showLegendKey val="0"/>
          <c:showVal val="0"/>
          <c:showCatName val="0"/>
          <c:showSerName val="0"/>
          <c:showPercent val="0"/>
          <c:showBubbleSize val="0"/>
        </c:dLbls>
        <c:gapWidth val="150"/>
        <c:overlap val="100"/>
        <c:axId val="94863360"/>
        <c:axId val="95342592"/>
      </c:barChart>
      <c:lineChart>
        <c:grouping val="standard"/>
        <c:varyColors val="0"/>
        <c:ser>
          <c:idx val="3"/>
          <c:order val="3"/>
          <c:tx>
            <c:strRef>
              <c:f>eco.inflation.dynamics!$AV$6</c:f>
              <c:strCache>
                <c:ptCount val="1"/>
                <c:pt idx="0">
                  <c:v>HICP HR</c:v>
                </c:pt>
              </c:strCache>
            </c:strRef>
          </c:tx>
          <c:marker>
            <c:symbol val="none"/>
          </c:marker>
          <c:cat>
            <c:strRef>
              <c:f>eco.inflation.dynamics!$AR$19:$AR$138</c:f>
              <c:strCache>
                <c:ptCount val="120"/>
                <c:pt idx="0">
                  <c:v>Jan 08</c:v>
                </c:pt>
                <c:pt idx="1">
                  <c:v>08</c:v>
                </c:pt>
                <c:pt idx="2">
                  <c:v>08</c:v>
                </c:pt>
                <c:pt idx="3">
                  <c:v>08</c:v>
                </c:pt>
                <c:pt idx="4">
                  <c:v>08</c:v>
                </c:pt>
                <c:pt idx="5">
                  <c:v>08</c:v>
                </c:pt>
                <c:pt idx="6">
                  <c:v>08</c:v>
                </c:pt>
                <c:pt idx="7">
                  <c:v>08</c:v>
                </c:pt>
                <c:pt idx="8">
                  <c:v>08</c:v>
                </c:pt>
                <c:pt idx="9">
                  <c:v>08</c:v>
                </c:pt>
                <c:pt idx="10">
                  <c:v>08</c:v>
                </c:pt>
                <c:pt idx="11">
                  <c:v>08</c:v>
                </c:pt>
                <c:pt idx="12">
                  <c:v>Jan 09</c:v>
                </c:pt>
                <c:pt idx="13">
                  <c:v>09</c:v>
                </c:pt>
                <c:pt idx="14">
                  <c:v>09</c:v>
                </c:pt>
                <c:pt idx="15">
                  <c:v>09</c:v>
                </c:pt>
                <c:pt idx="16">
                  <c:v>09</c:v>
                </c:pt>
                <c:pt idx="17">
                  <c:v>09</c:v>
                </c:pt>
                <c:pt idx="18">
                  <c:v>09</c:v>
                </c:pt>
                <c:pt idx="19">
                  <c:v>09</c:v>
                </c:pt>
                <c:pt idx="20">
                  <c:v>09</c:v>
                </c:pt>
                <c:pt idx="21">
                  <c:v>09</c:v>
                </c:pt>
                <c:pt idx="22">
                  <c:v>09</c:v>
                </c:pt>
                <c:pt idx="23">
                  <c:v>09</c:v>
                </c:pt>
                <c:pt idx="24">
                  <c:v>Jan 10</c:v>
                </c:pt>
                <c:pt idx="25">
                  <c:v>10</c:v>
                </c:pt>
                <c:pt idx="26">
                  <c:v>10</c:v>
                </c:pt>
                <c:pt idx="27">
                  <c:v>10</c:v>
                </c:pt>
                <c:pt idx="28">
                  <c:v>10</c:v>
                </c:pt>
                <c:pt idx="29">
                  <c:v>10</c:v>
                </c:pt>
                <c:pt idx="30">
                  <c:v>10</c:v>
                </c:pt>
                <c:pt idx="31">
                  <c:v>10</c:v>
                </c:pt>
                <c:pt idx="32">
                  <c:v>10</c:v>
                </c:pt>
                <c:pt idx="33">
                  <c:v>10</c:v>
                </c:pt>
                <c:pt idx="34">
                  <c:v>10</c:v>
                </c:pt>
                <c:pt idx="35">
                  <c:v>10</c:v>
                </c:pt>
                <c:pt idx="36">
                  <c:v>Jan 11</c:v>
                </c:pt>
                <c:pt idx="37">
                  <c:v>11</c:v>
                </c:pt>
                <c:pt idx="38">
                  <c:v>11</c:v>
                </c:pt>
                <c:pt idx="39">
                  <c:v>11</c:v>
                </c:pt>
                <c:pt idx="40">
                  <c:v>11</c:v>
                </c:pt>
                <c:pt idx="41">
                  <c:v>11</c:v>
                </c:pt>
                <c:pt idx="42">
                  <c:v>11</c:v>
                </c:pt>
                <c:pt idx="43">
                  <c:v>11</c:v>
                </c:pt>
                <c:pt idx="44">
                  <c:v>11</c:v>
                </c:pt>
                <c:pt idx="45">
                  <c:v>11</c:v>
                </c:pt>
                <c:pt idx="46">
                  <c:v>11</c:v>
                </c:pt>
                <c:pt idx="47">
                  <c:v>11</c:v>
                </c:pt>
                <c:pt idx="48">
                  <c:v>Jan 12</c:v>
                </c:pt>
                <c:pt idx="49">
                  <c:v>12</c:v>
                </c:pt>
                <c:pt idx="50">
                  <c:v>12</c:v>
                </c:pt>
                <c:pt idx="51">
                  <c:v>12</c:v>
                </c:pt>
                <c:pt idx="52">
                  <c:v>12</c:v>
                </c:pt>
                <c:pt idx="53">
                  <c:v>12</c:v>
                </c:pt>
                <c:pt idx="54">
                  <c:v>12</c:v>
                </c:pt>
                <c:pt idx="55">
                  <c:v>12</c:v>
                </c:pt>
                <c:pt idx="56">
                  <c:v>12</c:v>
                </c:pt>
                <c:pt idx="57">
                  <c:v>12</c:v>
                </c:pt>
                <c:pt idx="58">
                  <c:v>12</c:v>
                </c:pt>
                <c:pt idx="59">
                  <c:v>12</c:v>
                </c:pt>
                <c:pt idx="60">
                  <c:v>Jan 13</c:v>
                </c:pt>
                <c:pt idx="61">
                  <c:v>13</c:v>
                </c:pt>
                <c:pt idx="62">
                  <c:v>13</c:v>
                </c:pt>
                <c:pt idx="63">
                  <c:v>13</c:v>
                </c:pt>
                <c:pt idx="64">
                  <c:v>13</c:v>
                </c:pt>
                <c:pt idx="65">
                  <c:v>13</c:v>
                </c:pt>
                <c:pt idx="66">
                  <c:v>13</c:v>
                </c:pt>
                <c:pt idx="67">
                  <c:v>13</c:v>
                </c:pt>
                <c:pt idx="68">
                  <c:v>13</c:v>
                </c:pt>
                <c:pt idx="69">
                  <c:v>13</c:v>
                </c:pt>
                <c:pt idx="70">
                  <c:v>13</c:v>
                </c:pt>
                <c:pt idx="71">
                  <c:v>13</c:v>
                </c:pt>
                <c:pt idx="72">
                  <c:v>Jan 14</c:v>
                </c:pt>
                <c:pt idx="73">
                  <c:v>14</c:v>
                </c:pt>
                <c:pt idx="74">
                  <c:v>14</c:v>
                </c:pt>
                <c:pt idx="75">
                  <c:v>14</c:v>
                </c:pt>
                <c:pt idx="76">
                  <c:v>14</c:v>
                </c:pt>
                <c:pt idx="77">
                  <c:v>14</c:v>
                </c:pt>
                <c:pt idx="78">
                  <c:v>14</c:v>
                </c:pt>
                <c:pt idx="79">
                  <c:v>14</c:v>
                </c:pt>
                <c:pt idx="80">
                  <c:v>14</c:v>
                </c:pt>
                <c:pt idx="81">
                  <c:v>14</c:v>
                </c:pt>
                <c:pt idx="82">
                  <c:v>14</c:v>
                </c:pt>
                <c:pt idx="83">
                  <c:v>14</c:v>
                </c:pt>
                <c:pt idx="84">
                  <c:v>Jan 15</c:v>
                </c:pt>
                <c:pt idx="85">
                  <c:v>15</c:v>
                </c:pt>
                <c:pt idx="86">
                  <c:v>15</c:v>
                </c:pt>
                <c:pt idx="87">
                  <c:v>15</c:v>
                </c:pt>
                <c:pt idx="88">
                  <c:v>15</c:v>
                </c:pt>
                <c:pt idx="89">
                  <c:v>15</c:v>
                </c:pt>
                <c:pt idx="90">
                  <c:v>15</c:v>
                </c:pt>
                <c:pt idx="91">
                  <c:v>15</c:v>
                </c:pt>
                <c:pt idx="92">
                  <c:v>15</c:v>
                </c:pt>
                <c:pt idx="93">
                  <c:v>15</c:v>
                </c:pt>
                <c:pt idx="94">
                  <c:v>15</c:v>
                </c:pt>
                <c:pt idx="95">
                  <c:v>15</c:v>
                </c:pt>
                <c:pt idx="96">
                  <c:v>Jan 16</c:v>
                </c:pt>
                <c:pt idx="97">
                  <c:v>16</c:v>
                </c:pt>
                <c:pt idx="98">
                  <c:v>16</c:v>
                </c:pt>
                <c:pt idx="99">
                  <c:v>16</c:v>
                </c:pt>
                <c:pt idx="100">
                  <c:v>16</c:v>
                </c:pt>
                <c:pt idx="101">
                  <c:v>16</c:v>
                </c:pt>
                <c:pt idx="102">
                  <c:v>16</c:v>
                </c:pt>
                <c:pt idx="103">
                  <c:v>16</c:v>
                </c:pt>
                <c:pt idx="104">
                  <c:v>16</c:v>
                </c:pt>
                <c:pt idx="105">
                  <c:v>16</c:v>
                </c:pt>
                <c:pt idx="106">
                  <c:v>16</c:v>
                </c:pt>
                <c:pt idx="107">
                  <c:v>16</c:v>
                </c:pt>
                <c:pt idx="108">
                  <c:v>Jan 17</c:v>
                </c:pt>
                <c:pt idx="109">
                  <c:v>17</c:v>
                </c:pt>
                <c:pt idx="110">
                  <c:v>17</c:v>
                </c:pt>
                <c:pt idx="111">
                  <c:v>17</c:v>
                </c:pt>
                <c:pt idx="112">
                  <c:v>17</c:v>
                </c:pt>
                <c:pt idx="113">
                  <c:v>17</c:v>
                </c:pt>
                <c:pt idx="114">
                  <c:v>17</c:v>
                </c:pt>
                <c:pt idx="115">
                  <c:v>17</c:v>
                </c:pt>
                <c:pt idx="116">
                  <c:v>17</c:v>
                </c:pt>
                <c:pt idx="117">
                  <c:v>17</c:v>
                </c:pt>
                <c:pt idx="118">
                  <c:v>17</c:v>
                </c:pt>
                <c:pt idx="119">
                  <c:v>17</c:v>
                </c:pt>
              </c:strCache>
            </c:strRef>
          </c:cat>
          <c:val>
            <c:numRef>
              <c:f>eco.inflation.dynamics!$BC$19:$BC$138</c:f>
              <c:numCache>
                <c:formatCode>0.0</c:formatCode>
                <c:ptCount val="120"/>
                <c:pt idx="0">
                  <c:v>2.9765808671436078</c:v>
                </c:pt>
                <c:pt idx="1">
                  <c:v>3.302395420785853</c:v>
                </c:pt>
                <c:pt idx="2">
                  <c:v>3.586807791371549</c:v>
                </c:pt>
                <c:pt idx="3">
                  <c:v>3.8700281237444845</c:v>
                </c:pt>
                <c:pt idx="4">
                  <c:v>4.2196885372481896</c:v>
                </c:pt>
                <c:pt idx="5">
                  <c:v>4.7186914670913627</c:v>
                </c:pt>
                <c:pt idx="6">
                  <c:v>5.2441012612648663</c:v>
                </c:pt>
                <c:pt idx="7">
                  <c:v>5.6497908409292918</c:v>
                </c:pt>
                <c:pt idx="8">
                  <c:v>5.8838755923698693</c:v>
                </c:pt>
                <c:pt idx="9">
                  <c:v>6.032968450720988</c:v>
                </c:pt>
                <c:pt idx="10">
                  <c:v>6.026717293069539</c:v>
                </c:pt>
                <c:pt idx="11">
                  <c:v>5.8033077377436459</c:v>
                </c:pt>
                <c:pt idx="12">
                  <c:v>5.5851142008877641</c:v>
                </c:pt>
                <c:pt idx="13">
                  <c:v>5.4483552503219013</c:v>
                </c:pt>
                <c:pt idx="14">
                  <c:v>5.2818166807502065</c:v>
                </c:pt>
                <c:pt idx="15">
                  <c:v>5.1183120110624092</c:v>
                </c:pt>
                <c:pt idx="16">
                  <c:v>4.8079976138014402</c:v>
                </c:pt>
                <c:pt idx="17">
                  <c:v>4.3568504419022602</c:v>
                </c:pt>
                <c:pt idx="18">
                  <c:v>3.7948337800079779</c:v>
                </c:pt>
                <c:pt idx="19">
                  <c:v>3.3357902893538238</c:v>
                </c:pt>
                <c:pt idx="20">
                  <c:v>2.8950486112417018</c:v>
                </c:pt>
                <c:pt idx="21">
                  <c:v>2.5242882012691314</c:v>
                </c:pt>
                <c:pt idx="22">
                  <c:v>2.3063005931286629</c:v>
                </c:pt>
                <c:pt idx="23">
                  <c:v>2.2247034193998649</c:v>
                </c:pt>
                <c:pt idx="24">
                  <c:v>2.0694711248457232</c:v>
                </c:pt>
                <c:pt idx="25">
                  <c:v>1.8299057293256649</c:v>
                </c:pt>
                <c:pt idx="26">
                  <c:v>1.6421421652290213</c:v>
                </c:pt>
                <c:pt idx="27">
                  <c:v>1.4185049583279818</c:v>
                </c:pt>
                <c:pt idx="28">
                  <c:v>1.2852526439483425</c:v>
                </c:pt>
                <c:pt idx="29">
                  <c:v>1.1759529985426953</c:v>
                </c:pt>
                <c:pt idx="30">
                  <c:v>1.1472783042622448</c:v>
                </c:pt>
                <c:pt idx="31">
                  <c:v>1.0863998829468091</c:v>
                </c:pt>
                <c:pt idx="32">
                  <c:v>1.124889201611956</c:v>
                </c:pt>
                <c:pt idx="33">
                  <c:v>1.1411460758268932</c:v>
                </c:pt>
                <c:pt idx="34">
                  <c:v>1.0911477561736049</c:v>
                </c:pt>
                <c:pt idx="35">
                  <c:v>1.0831376403983128</c:v>
                </c:pt>
                <c:pt idx="36">
                  <c:v>1.1219507760008129</c:v>
                </c:pt>
                <c:pt idx="37">
                  <c:v>1.2246640804571829</c:v>
                </c:pt>
                <c:pt idx="38">
                  <c:v>1.3405945087361149</c:v>
                </c:pt>
                <c:pt idx="39">
                  <c:v>1.4694144111457863</c:v>
                </c:pt>
                <c:pt idx="40">
                  <c:v>1.6034007686172025</c:v>
                </c:pt>
                <c:pt idx="41">
                  <c:v>1.7185150290797591</c:v>
                </c:pt>
                <c:pt idx="42">
                  <c:v>1.8041423760727371</c:v>
                </c:pt>
                <c:pt idx="43">
                  <c:v>1.9106205898317352</c:v>
                </c:pt>
                <c:pt idx="44">
                  <c:v>1.9753488035856082</c:v>
                </c:pt>
                <c:pt idx="45">
                  <c:v>2.0706026771611041</c:v>
                </c:pt>
                <c:pt idx="46">
                  <c:v>2.1767750545546471</c:v>
                </c:pt>
                <c:pt idx="47">
                  <c:v>2.2096960092205409</c:v>
                </c:pt>
                <c:pt idx="48">
                  <c:v>2.1785454185809794</c:v>
                </c:pt>
                <c:pt idx="49">
                  <c:v>2.1289008158392964</c:v>
                </c:pt>
                <c:pt idx="50">
                  <c:v>2.0895281768351648</c:v>
                </c:pt>
                <c:pt idx="51">
                  <c:v>2.1132048485715149</c:v>
                </c:pt>
                <c:pt idx="52">
                  <c:v>2.2016646297403186</c:v>
                </c:pt>
                <c:pt idx="53">
                  <c:v>2.3369521655103531</c:v>
                </c:pt>
                <c:pt idx="54">
                  <c:v>2.4648544828873797</c:v>
                </c:pt>
                <c:pt idx="55">
                  <c:v>2.6382132585306639</c:v>
                </c:pt>
                <c:pt idx="56">
                  <c:v>2.8568896765617691</c:v>
                </c:pt>
                <c:pt idx="57">
                  <c:v>3.0296331013502931</c:v>
                </c:pt>
                <c:pt idx="58">
                  <c:v>3.165595876870908</c:v>
                </c:pt>
                <c:pt idx="59">
                  <c:v>3.3530085455026004</c:v>
                </c:pt>
                <c:pt idx="60">
                  <c:v>3.6174369082397684</c:v>
                </c:pt>
                <c:pt idx="61">
                  <c:v>3.8535560808851566</c:v>
                </c:pt>
                <c:pt idx="62">
                  <c:v>3.9671886651752475</c:v>
                </c:pt>
                <c:pt idx="63">
                  <c:v>4.0058827648995265</c:v>
                </c:pt>
                <c:pt idx="64">
                  <c:v>3.8580718369484623</c:v>
                </c:pt>
                <c:pt idx="65">
                  <c:v>3.7369350866352846</c:v>
                </c:pt>
                <c:pt idx="66">
                  <c:v>3.6699556550640944</c:v>
                </c:pt>
                <c:pt idx="67">
                  <c:v>3.5200304435065499</c:v>
                </c:pt>
                <c:pt idx="68">
                  <c:v>3.2599893171597616</c:v>
                </c:pt>
                <c:pt idx="69">
                  <c:v>2.9396870628020544</c:v>
                </c:pt>
                <c:pt idx="70">
                  <c:v>2.6527173029709861</c:v>
                </c:pt>
                <c:pt idx="71">
                  <c:v>2.3261959153056955</c:v>
                </c:pt>
                <c:pt idx="72">
                  <c:v>1.9795337777589239</c:v>
                </c:pt>
                <c:pt idx="73">
                  <c:v>1.6035404819929377</c:v>
                </c:pt>
                <c:pt idx="74">
                  <c:v>1.313002607440894</c:v>
                </c:pt>
                <c:pt idx="75">
                  <c:v>1.0495926200255967</c:v>
                </c:pt>
                <c:pt idx="76">
                  <c:v>0.93036937429085143</c:v>
                </c:pt>
                <c:pt idx="77">
                  <c:v>0.78606723097962572</c:v>
                </c:pt>
                <c:pt idx="78">
                  <c:v>0.61191006345115984</c:v>
                </c:pt>
                <c:pt idx="79">
                  <c:v>0.44028940464853061</c:v>
                </c:pt>
                <c:pt idx="80">
                  <c:v>0.31954479467368735</c:v>
                </c:pt>
                <c:pt idx="81">
                  <c:v>0.29849750696213651</c:v>
                </c:pt>
                <c:pt idx="82">
                  <c:v>0.26583333333332071</c:v>
                </c:pt>
                <c:pt idx="83">
                  <c:v>0.21991753092589494</c:v>
                </c:pt>
                <c:pt idx="84">
                  <c:v>0.13323784621019907</c:v>
                </c:pt>
                <c:pt idx="85">
                  <c:v>0.11493199856751346</c:v>
                </c:pt>
                <c:pt idx="86">
                  <c:v>0.12326861730924676</c:v>
                </c:pt>
                <c:pt idx="87">
                  <c:v>0.12161092832447817</c:v>
                </c:pt>
                <c:pt idx="88">
                  <c:v>9.2429137661120819E-2</c:v>
                </c:pt>
                <c:pt idx="89">
                  <c:v>5.9098703158033672E-2</c:v>
                </c:pt>
                <c:pt idx="90">
                  <c:v>-5.8239664539438962E-3</c:v>
                </c:pt>
                <c:pt idx="91">
                  <c:v>-3.743106445630584E-2</c:v>
                </c:pt>
                <c:pt idx="92">
                  <c:v>-9.5641253815270666E-2</c:v>
                </c:pt>
                <c:pt idx="93">
                  <c:v>-0.18039437369067324</c:v>
                </c:pt>
                <c:pt idx="94">
                  <c:v>-0.23936369152005588</c:v>
                </c:pt>
                <c:pt idx="95">
                  <c:v>-0.25600744748937032</c:v>
                </c:pt>
                <c:pt idx="96">
                  <c:v>-0.21788666566869841</c:v>
                </c:pt>
                <c:pt idx="97">
                  <c:v>-0.23375953547573047</c:v>
                </c:pt>
                <c:pt idx="98">
                  <c:v>-0.31028774405004178</c:v>
                </c:pt>
                <c:pt idx="99">
                  <c:v>-0.37520486518412</c:v>
                </c:pt>
                <c:pt idx="100">
                  <c:v>-0.47586166734607804</c:v>
                </c:pt>
                <c:pt idx="101">
                  <c:v>-0.58065535858382589</c:v>
                </c:pt>
                <c:pt idx="102">
                  <c:v>-0.65232223387085009</c:v>
                </c:pt>
                <c:pt idx="103">
                  <c:v>-0.7663759818932192</c:v>
                </c:pt>
                <c:pt idx="104">
                  <c:v>-0.78167923680132478</c:v>
                </c:pt>
                <c:pt idx="105">
                  <c:v>-0.76368936081615546</c:v>
                </c:pt>
                <c:pt idx="106">
                  <c:v>-0.71314910314834723</c:v>
                </c:pt>
                <c:pt idx="107">
                  <c:v>-0.62999475004374972</c:v>
                </c:pt>
                <c:pt idx="108">
                  <c:v>-0.54007200960126678</c:v>
                </c:pt>
                <c:pt idx="109">
                  <c:v>-0.37856046961509682</c:v>
                </c:pt>
                <c:pt idx="110">
                  <c:v>-0.21195280295063235</c:v>
                </c:pt>
                <c:pt idx="111">
                  <c:v>-2.4217118997915676E-2</c:v>
                </c:pt>
                <c:pt idx="112">
                  <c:v>0.15547809514258049</c:v>
                </c:pt>
                <c:pt idx="113">
                  <c:v>0.34724837044290968</c:v>
                </c:pt>
                <c:pt idx="114">
                  <c:v>0.54186697040252696</c:v>
                </c:pt>
                <c:pt idx="115">
                  <c:v>0.78738836946041779</c:v>
                </c:pt>
                <c:pt idx="116">
                  <c:v>0.98081166570180844</c:v>
                </c:pt>
                <c:pt idx="117">
                  <c:v>1.1388240823108964</c:v>
                </c:pt>
                <c:pt idx="118">
                  <c:v>1.2561359345500289</c:v>
                </c:pt>
                <c:pt idx="119">
                  <c:v>1.2762875516030725</c:v>
                </c:pt>
              </c:numCache>
            </c:numRef>
          </c:val>
          <c:smooth val="0"/>
        </c:ser>
        <c:ser>
          <c:idx val="4"/>
          <c:order val="4"/>
          <c:tx>
            <c:strRef>
              <c:f>eco.inflation.dynamics!$AW$6</c:f>
              <c:strCache>
                <c:ptCount val="1"/>
                <c:pt idx="0">
                  <c:v>HICP EA</c:v>
                </c:pt>
              </c:strCache>
            </c:strRef>
          </c:tx>
          <c:marker>
            <c:symbol val="none"/>
          </c:marker>
          <c:cat>
            <c:strRef>
              <c:f>eco.inflation.dynamics!$AR$19:$AR$138</c:f>
              <c:strCache>
                <c:ptCount val="120"/>
                <c:pt idx="0">
                  <c:v>Jan 08</c:v>
                </c:pt>
                <c:pt idx="1">
                  <c:v>08</c:v>
                </c:pt>
                <c:pt idx="2">
                  <c:v>08</c:v>
                </c:pt>
                <c:pt idx="3">
                  <c:v>08</c:v>
                </c:pt>
                <c:pt idx="4">
                  <c:v>08</c:v>
                </c:pt>
                <c:pt idx="5">
                  <c:v>08</c:v>
                </c:pt>
                <c:pt idx="6">
                  <c:v>08</c:v>
                </c:pt>
                <c:pt idx="7">
                  <c:v>08</c:v>
                </c:pt>
                <c:pt idx="8">
                  <c:v>08</c:v>
                </c:pt>
                <c:pt idx="9">
                  <c:v>08</c:v>
                </c:pt>
                <c:pt idx="10">
                  <c:v>08</c:v>
                </c:pt>
                <c:pt idx="11">
                  <c:v>08</c:v>
                </c:pt>
                <c:pt idx="12">
                  <c:v>Jan 09</c:v>
                </c:pt>
                <c:pt idx="13">
                  <c:v>09</c:v>
                </c:pt>
                <c:pt idx="14">
                  <c:v>09</c:v>
                </c:pt>
                <c:pt idx="15">
                  <c:v>09</c:v>
                </c:pt>
                <c:pt idx="16">
                  <c:v>09</c:v>
                </c:pt>
                <c:pt idx="17">
                  <c:v>09</c:v>
                </c:pt>
                <c:pt idx="18">
                  <c:v>09</c:v>
                </c:pt>
                <c:pt idx="19">
                  <c:v>09</c:v>
                </c:pt>
                <c:pt idx="20">
                  <c:v>09</c:v>
                </c:pt>
                <c:pt idx="21">
                  <c:v>09</c:v>
                </c:pt>
                <c:pt idx="22">
                  <c:v>09</c:v>
                </c:pt>
                <c:pt idx="23">
                  <c:v>09</c:v>
                </c:pt>
                <c:pt idx="24">
                  <c:v>Jan 10</c:v>
                </c:pt>
                <c:pt idx="25">
                  <c:v>10</c:v>
                </c:pt>
                <c:pt idx="26">
                  <c:v>10</c:v>
                </c:pt>
                <c:pt idx="27">
                  <c:v>10</c:v>
                </c:pt>
                <c:pt idx="28">
                  <c:v>10</c:v>
                </c:pt>
                <c:pt idx="29">
                  <c:v>10</c:v>
                </c:pt>
                <c:pt idx="30">
                  <c:v>10</c:v>
                </c:pt>
                <c:pt idx="31">
                  <c:v>10</c:v>
                </c:pt>
                <c:pt idx="32">
                  <c:v>10</c:v>
                </c:pt>
                <c:pt idx="33">
                  <c:v>10</c:v>
                </c:pt>
                <c:pt idx="34">
                  <c:v>10</c:v>
                </c:pt>
                <c:pt idx="35">
                  <c:v>10</c:v>
                </c:pt>
                <c:pt idx="36">
                  <c:v>Jan 11</c:v>
                </c:pt>
                <c:pt idx="37">
                  <c:v>11</c:v>
                </c:pt>
                <c:pt idx="38">
                  <c:v>11</c:v>
                </c:pt>
                <c:pt idx="39">
                  <c:v>11</c:v>
                </c:pt>
                <c:pt idx="40">
                  <c:v>11</c:v>
                </c:pt>
                <c:pt idx="41">
                  <c:v>11</c:v>
                </c:pt>
                <c:pt idx="42">
                  <c:v>11</c:v>
                </c:pt>
                <c:pt idx="43">
                  <c:v>11</c:v>
                </c:pt>
                <c:pt idx="44">
                  <c:v>11</c:v>
                </c:pt>
                <c:pt idx="45">
                  <c:v>11</c:v>
                </c:pt>
                <c:pt idx="46">
                  <c:v>11</c:v>
                </c:pt>
                <c:pt idx="47">
                  <c:v>11</c:v>
                </c:pt>
                <c:pt idx="48">
                  <c:v>Jan 12</c:v>
                </c:pt>
                <c:pt idx="49">
                  <c:v>12</c:v>
                </c:pt>
                <c:pt idx="50">
                  <c:v>12</c:v>
                </c:pt>
                <c:pt idx="51">
                  <c:v>12</c:v>
                </c:pt>
                <c:pt idx="52">
                  <c:v>12</c:v>
                </c:pt>
                <c:pt idx="53">
                  <c:v>12</c:v>
                </c:pt>
                <c:pt idx="54">
                  <c:v>12</c:v>
                </c:pt>
                <c:pt idx="55">
                  <c:v>12</c:v>
                </c:pt>
                <c:pt idx="56">
                  <c:v>12</c:v>
                </c:pt>
                <c:pt idx="57">
                  <c:v>12</c:v>
                </c:pt>
                <c:pt idx="58">
                  <c:v>12</c:v>
                </c:pt>
                <c:pt idx="59">
                  <c:v>12</c:v>
                </c:pt>
                <c:pt idx="60">
                  <c:v>Jan 13</c:v>
                </c:pt>
                <c:pt idx="61">
                  <c:v>13</c:v>
                </c:pt>
                <c:pt idx="62">
                  <c:v>13</c:v>
                </c:pt>
                <c:pt idx="63">
                  <c:v>13</c:v>
                </c:pt>
                <c:pt idx="64">
                  <c:v>13</c:v>
                </c:pt>
                <c:pt idx="65">
                  <c:v>13</c:v>
                </c:pt>
                <c:pt idx="66">
                  <c:v>13</c:v>
                </c:pt>
                <c:pt idx="67">
                  <c:v>13</c:v>
                </c:pt>
                <c:pt idx="68">
                  <c:v>13</c:v>
                </c:pt>
                <c:pt idx="69">
                  <c:v>13</c:v>
                </c:pt>
                <c:pt idx="70">
                  <c:v>13</c:v>
                </c:pt>
                <c:pt idx="71">
                  <c:v>13</c:v>
                </c:pt>
                <c:pt idx="72">
                  <c:v>Jan 14</c:v>
                </c:pt>
                <c:pt idx="73">
                  <c:v>14</c:v>
                </c:pt>
                <c:pt idx="74">
                  <c:v>14</c:v>
                </c:pt>
                <c:pt idx="75">
                  <c:v>14</c:v>
                </c:pt>
                <c:pt idx="76">
                  <c:v>14</c:v>
                </c:pt>
                <c:pt idx="77">
                  <c:v>14</c:v>
                </c:pt>
                <c:pt idx="78">
                  <c:v>14</c:v>
                </c:pt>
                <c:pt idx="79">
                  <c:v>14</c:v>
                </c:pt>
                <c:pt idx="80">
                  <c:v>14</c:v>
                </c:pt>
                <c:pt idx="81">
                  <c:v>14</c:v>
                </c:pt>
                <c:pt idx="82">
                  <c:v>14</c:v>
                </c:pt>
                <c:pt idx="83">
                  <c:v>14</c:v>
                </c:pt>
                <c:pt idx="84">
                  <c:v>Jan 15</c:v>
                </c:pt>
                <c:pt idx="85">
                  <c:v>15</c:v>
                </c:pt>
                <c:pt idx="86">
                  <c:v>15</c:v>
                </c:pt>
                <c:pt idx="87">
                  <c:v>15</c:v>
                </c:pt>
                <c:pt idx="88">
                  <c:v>15</c:v>
                </c:pt>
                <c:pt idx="89">
                  <c:v>15</c:v>
                </c:pt>
                <c:pt idx="90">
                  <c:v>15</c:v>
                </c:pt>
                <c:pt idx="91">
                  <c:v>15</c:v>
                </c:pt>
                <c:pt idx="92">
                  <c:v>15</c:v>
                </c:pt>
                <c:pt idx="93">
                  <c:v>15</c:v>
                </c:pt>
                <c:pt idx="94">
                  <c:v>15</c:v>
                </c:pt>
                <c:pt idx="95">
                  <c:v>15</c:v>
                </c:pt>
                <c:pt idx="96">
                  <c:v>Jan 16</c:v>
                </c:pt>
                <c:pt idx="97">
                  <c:v>16</c:v>
                </c:pt>
                <c:pt idx="98">
                  <c:v>16</c:v>
                </c:pt>
                <c:pt idx="99">
                  <c:v>16</c:v>
                </c:pt>
                <c:pt idx="100">
                  <c:v>16</c:v>
                </c:pt>
                <c:pt idx="101">
                  <c:v>16</c:v>
                </c:pt>
                <c:pt idx="102">
                  <c:v>16</c:v>
                </c:pt>
                <c:pt idx="103">
                  <c:v>16</c:v>
                </c:pt>
                <c:pt idx="104">
                  <c:v>16</c:v>
                </c:pt>
                <c:pt idx="105">
                  <c:v>16</c:v>
                </c:pt>
                <c:pt idx="106">
                  <c:v>16</c:v>
                </c:pt>
                <c:pt idx="107">
                  <c:v>16</c:v>
                </c:pt>
                <c:pt idx="108">
                  <c:v>Jan 17</c:v>
                </c:pt>
                <c:pt idx="109">
                  <c:v>17</c:v>
                </c:pt>
                <c:pt idx="110">
                  <c:v>17</c:v>
                </c:pt>
                <c:pt idx="111">
                  <c:v>17</c:v>
                </c:pt>
                <c:pt idx="112">
                  <c:v>17</c:v>
                </c:pt>
                <c:pt idx="113">
                  <c:v>17</c:v>
                </c:pt>
                <c:pt idx="114">
                  <c:v>17</c:v>
                </c:pt>
                <c:pt idx="115">
                  <c:v>17</c:v>
                </c:pt>
                <c:pt idx="116">
                  <c:v>17</c:v>
                </c:pt>
                <c:pt idx="117">
                  <c:v>17</c:v>
                </c:pt>
                <c:pt idx="118">
                  <c:v>17</c:v>
                </c:pt>
                <c:pt idx="119">
                  <c:v>17</c:v>
                </c:pt>
              </c:strCache>
            </c:strRef>
          </c:cat>
          <c:val>
            <c:numRef>
              <c:f>eco.inflation.dynamics!$BD$19:$BD$138</c:f>
              <c:numCache>
                <c:formatCode>0.0</c:formatCode>
                <c:ptCount val="120"/>
                <c:pt idx="0">
                  <c:v>3.2046864231564332</c:v>
                </c:pt>
                <c:pt idx="1">
                  <c:v>3.2642309013858561</c:v>
                </c:pt>
                <c:pt idx="2">
                  <c:v>3.5954033450904532</c:v>
                </c:pt>
                <c:pt idx="3">
                  <c:v>3.2673827020915702</c:v>
                </c:pt>
                <c:pt idx="4">
                  <c:v>3.665689149560114</c:v>
                </c:pt>
                <c:pt idx="5">
                  <c:v>3.9549295774647941</c:v>
                </c:pt>
                <c:pt idx="6">
                  <c:v>4.0551225573252081</c:v>
                </c:pt>
                <c:pt idx="7">
                  <c:v>3.8379049554125633</c:v>
                </c:pt>
                <c:pt idx="8">
                  <c:v>3.6437246963562764</c:v>
                </c:pt>
                <c:pt idx="9">
                  <c:v>3.1673195299384505</c:v>
                </c:pt>
                <c:pt idx="10">
                  <c:v>2.1262384504063148</c:v>
                </c:pt>
                <c:pt idx="11">
                  <c:v>1.5855416343275364</c:v>
                </c:pt>
                <c:pt idx="12">
                  <c:v>1.112966054535347</c:v>
                </c:pt>
                <c:pt idx="13">
                  <c:v>1.1756876663709059</c:v>
                </c:pt>
                <c:pt idx="14">
                  <c:v>0.57111477210323169</c:v>
                </c:pt>
                <c:pt idx="15">
                  <c:v>0.61309393474928697</c:v>
                </c:pt>
                <c:pt idx="16">
                  <c:v>3.2640626700031206E-2</c:v>
                </c:pt>
                <c:pt idx="17">
                  <c:v>-0.14090613483633829</c:v>
                </c:pt>
                <c:pt idx="18">
                  <c:v>-0.65132435953105805</c:v>
                </c:pt>
                <c:pt idx="19">
                  <c:v>-0.16306120230459298</c:v>
                </c:pt>
                <c:pt idx="20">
                  <c:v>-0.32552083333332593</c:v>
                </c:pt>
                <c:pt idx="21">
                  <c:v>-0.11933174224345588</c:v>
                </c:pt>
                <c:pt idx="22">
                  <c:v>0.47961630695445567</c:v>
                </c:pt>
                <c:pt idx="23">
                  <c:v>0.92774503383539209</c:v>
                </c:pt>
                <c:pt idx="24">
                  <c:v>0.94661529994495286</c:v>
                </c:pt>
                <c:pt idx="25">
                  <c:v>0.85507564130673508</c:v>
                </c:pt>
                <c:pt idx="26">
                  <c:v>1.5834880419351327</c:v>
                </c:pt>
                <c:pt idx="27">
                  <c:v>1.6322089227421177</c:v>
                </c:pt>
                <c:pt idx="28">
                  <c:v>1.6967587557102481</c:v>
                </c:pt>
                <c:pt idx="29">
                  <c:v>1.4870291978725803</c:v>
                </c:pt>
                <c:pt idx="30">
                  <c:v>1.7263986013986043</c:v>
                </c:pt>
                <c:pt idx="31">
                  <c:v>1.5788327526132351</c:v>
                </c:pt>
                <c:pt idx="32">
                  <c:v>1.8615284128020937</c:v>
                </c:pt>
                <c:pt idx="33">
                  <c:v>1.9441729119148654</c:v>
                </c:pt>
                <c:pt idx="34">
                  <c:v>1.9093078758949833</c:v>
                </c:pt>
                <c:pt idx="35">
                  <c:v>2.2061209040770136</c:v>
                </c:pt>
                <c:pt idx="36">
                  <c:v>2.3116345000545158</c:v>
                </c:pt>
                <c:pt idx="37">
                  <c:v>2.4239130434782652</c:v>
                </c:pt>
                <c:pt idx="38">
                  <c:v>2.6660933132659714</c:v>
                </c:pt>
                <c:pt idx="39">
                  <c:v>2.8265524625267657</c:v>
                </c:pt>
                <c:pt idx="40">
                  <c:v>2.7165775401069681</c:v>
                </c:pt>
                <c:pt idx="41">
                  <c:v>2.7058823529411802</c:v>
                </c:pt>
                <c:pt idx="42">
                  <c:v>2.5563909774436233</c:v>
                </c:pt>
                <c:pt idx="43">
                  <c:v>2.5404652159931373</c:v>
                </c:pt>
                <c:pt idx="44">
                  <c:v>2.9817249118307299</c:v>
                </c:pt>
                <c:pt idx="45">
                  <c:v>3.0257830811847519</c:v>
                </c:pt>
                <c:pt idx="46">
                  <c:v>3.0338513945071366</c:v>
                </c:pt>
                <c:pt idx="47">
                  <c:v>2.7510316368638099</c:v>
                </c:pt>
                <c:pt idx="48">
                  <c:v>2.6537354790578727</c:v>
                </c:pt>
                <c:pt idx="49">
                  <c:v>2.7273692030138852</c:v>
                </c:pt>
                <c:pt idx="50">
                  <c:v>2.6806282722513064</c:v>
                </c:pt>
                <c:pt idx="51">
                  <c:v>2.5718450645564328</c:v>
                </c:pt>
                <c:pt idx="52">
                  <c:v>2.4364847980008264</c:v>
                </c:pt>
                <c:pt idx="53">
                  <c:v>2.3638446318858586</c:v>
                </c:pt>
                <c:pt idx="54">
                  <c:v>2.4193548387096753</c:v>
                </c:pt>
                <c:pt idx="55">
                  <c:v>2.6134225381559739</c:v>
                </c:pt>
                <c:pt idx="56">
                  <c:v>2.6151930261519185</c:v>
                </c:pt>
                <c:pt idx="57">
                  <c:v>2.4922440537745505</c:v>
                </c:pt>
                <c:pt idx="58">
                  <c:v>2.1903089162103484</c:v>
                </c:pt>
                <c:pt idx="59">
                  <c:v>2.2242817423540284</c:v>
                </c:pt>
                <c:pt idx="60">
                  <c:v>1.9829734219269257</c:v>
                </c:pt>
                <c:pt idx="61">
                  <c:v>1.8595041322313932</c:v>
                </c:pt>
                <c:pt idx="62">
                  <c:v>1.7336324699163796</c:v>
                </c:pt>
                <c:pt idx="63">
                  <c:v>1.1775454268602159</c:v>
                </c:pt>
                <c:pt idx="64">
                  <c:v>1.4230534661516581</c:v>
                </c:pt>
                <c:pt idx="65">
                  <c:v>1.6073245167853578</c:v>
                </c:pt>
                <c:pt idx="66">
                  <c:v>1.5952551385622238</c:v>
                </c:pt>
                <c:pt idx="67">
                  <c:v>1.344743276283622</c:v>
                </c:pt>
                <c:pt idx="68">
                  <c:v>1.0922330097087318</c:v>
                </c:pt>
                <c:pt idx="69">
                  <c:v>0.73655534254868371</c:v>
                </c:pt>
                <c:pt idx="70">
                  <c:v>0.85936710140532835</c:v>
                </c:pt>
                <c:pt idx="71">
                  <c:v>0.84617709277727826</c:v>
                </c:pt>
                <c:pt idx="72">
                  <c:v>0.77369439071566237</c:v>
                </c:pt>
                <c:pt idx="73">
                  <c:v>0.70993914807302438</c:v>
                </c:pt>
                <c:pt idx="74">
                  <c:v>0.47113071371291948</c:v>
                </c:pt>
                <c:pt idx="75">
                  <c:v>0.71235075749973564</c:v>
                </c:pt>
                <c:pt idx="76">
                  <c:v>0.49108037682901173</c:v>
                </c:pt>
                <c:pt idx="77">
                  <c:v>0.50060072086504093</c:v>
                </c:pt>
                <c:pt idx="78">
                  <c:v>0.38248616004026292</c:v>
                </c:pt>
                <c:pt idx="79">
                  <c:v>0.36188178528346882</c:v>
                </c:pt>
                <c:pt idx="80">
                  <c:v>0.32012805122050292</c:v>
                </c:pt>
                <c:pt idx="81">
                  <c:v>0.38060897435896468</c:v>
                </c:pt>
                <c:pt idx="82">
                  <c:v>0.28067361668002722</c:v>
                </c:pt>
                <c:pt idx="83">
                  <c:v>-0.16981320547397871</c:v>
                </c:pt>
                <c:pt idx="84">
                  <c:v>-0.5960197999797856</c:v>
                </c:pt>
                <c:pt idx="85">
                  <c:v>-0.27190332326283428</c:v>
                </c:pt>
                <c:pt idx="86">
                  <c:v>-7.9816422228873307E-2</c:v>
                </c:pt>
                <c:pt idx="87">
                  <c:v>9.962143853359251E-3</c:v>
                </c:pt>
                <c:pt idx="88">
                  <c:v>0.33908447192581015</c:v>
                </c:pt>
                <c:pt idx="89">
                  <c:v>0.21916716477385911</c:v>
                </c:pt>
                <c:pt idx="90">
                  <c:v>0.23062268123934526</c:v>
                </c:pt>
                <c:pt idx="91">
                  <c:v>0.13020833333332593</c:v>
                </c:pt>
                <c:pt idx="92">
                  <c:v>-8.9748703629843884E-2</c:v>
                </c:pt>
                <c:pt idx="93">
                  <c:v>0.11973657952504269</c:v>
                </c:pt>
                <c:pt idx="94">
                  <c:v>0.14994002399040252</c:v>
                </c:pt>
                <c:pt idx="95">
                  <c:v>0.23013808284970683</c:v>
                </c:pt>
                <c:pt idx="96">
                  <c:v>0.32520325203251321</c:v>
                </c:pt>
                <c:pt idx="97">
                  <c:v>-0.15146925174189807</c:v>
                </c:pt>
                <c:pt idx="98">
                  <c:v>-3.9940089865209139E-2</c:v>
                </c:pt>
                <c:pt idx="99">
                  <c:v>-0.23906763621873717</c:v>
                </c:pt>
                <c:pt idx="100">
                  <c:v>-9.9393698439509404E-2</c:v>
                </c:pt>
                <c:pt idx="101">
                  <c:v>7.9522862823067086E-2</c:v>
                </c:pt>
                <c:pt idx="102">
                  <c:v>0.16006402561026256</c:v>
                </c:pt>
                <c:pt idx="103">
                  <c:v>0.24007202160647445</c:v>
                </c:pt>
                <c:pt idx="104">
                  <c:v>0.40922247729313632</c:v>
                </c:pt>
                <c:pt idx="105">
                  <c:v>0.50827187562287879</c:v>
                </c:pt>
                <c:pt idx="106">
                  <c:v>0.56891905379778951</c:v>
                </c:pt>
                <c:pt idx="107">
                  <c:v>1.1380652890086829</c:v>
                </c:pt>
                <c:pt idx="108">
                  <c:v>1.7625607779578445</c:v>
                </c:pt>
                <c:pt idx="109">
                  <c:v>1.9822006472491882</c:v>
                </c:pt>
                <c:pt idx="110">
                  <c:v>1.538307861352517</c:v>
                </c:pt>
                <c:pt idx="111">
                  <c:v>1.8871692461307932</c:v>
                </c:pt>
                <c:pt idx="112">
                  <c:v>1.4028454880111507</c:v>
                </c:pt>
                <c:pt idx="113">
                  <c:v>1.26142232816846</c:v>
                </c:pt>
                <c:pt idx="114">
                  <c:v>1.3184178985217621</c:v>
                </c:pt>
                <c:pt idx="115">
                  <c:v>1.4968566011376083</c:v>
                </c:pt>
                <c:pt idx="116">
                  <c:v>1.5308151093439415</c:v>
                </c:pt>
                <c:pt idx="117">
                  <c:v>1.3782845810609734</c:v>
                </c:pt>
                <c:pt idx="118">
                  <c:v>1.5383088527193278</c:v>
                </c:pt>
                <c:pt idx="119">
                  <c:v>0</c:v>
                </c:pt>
              </c:numCache>
            </c:numRef>
          </c:val>
          <c:smooth val="0"/>
        </c:ser>
        <c:ser>
          <c:idx val="5"/>
          <c:order val="5"/>
          <c:tx>
            <c:strRef>
              <c:f>eco.inflation.dynamics!$AX$6</c:f>
              <c:strCache>
                <c:ptCount val="1"/>
                <c:pt idx="0">
                  <c:v>One year interest rates</c:v>
                </c:pt>
              </c:strCache>
            </c:strRef>
          </c:tx>
          <c:marker>
            <c:symbol val="none"/>
          </c:marker>
          <c:cat>
            <c:strRef>
              <c:f>eco.inflation.dynamics!$AR$19:$AR$138</c:f>
              <c:strCache>
                <c:ptCount val="120"/>
                <c:pt idx="0">
                  <c:v>Jan 08</c:v>
                </c:pt>
                <c:pt idx="1">
                  <c:v>08</c:v>
                </c:pt>
                <c:pt idx="2">
                  <c:v>08</c:v>
                </c:pt>
                <c:pt idx="3">
                  <c:v>08</c:v>
                </c:pt>
                <c:pt idx="4">
                  <c:v>08</c:v>
                </c:pt>
                <c:pt idx="5">
                  <c:v>08</c:v>
                </c:pt>
                <c:pt idx="6">
                  <c:v>08</c:v>
                </c:pt>
                <c:pt idx="7">
                  <c:v>08</c:v>
                </c:pt>
                <c:pt idx="8">
                  <c:v>08</c:v>
                </c:pt>
                <c:pt idx="9">
                  <c:v>08</c:v>
                </c:pt>
                <c:pt idx="10">
                  <c:v>08</c:v>
                </c:pt>
                <c:pt idx="11">
                  <c:v>08</c:v>
                </c:pt>
                <c:pt idx="12">
                  <c:v>Jan 09</c:v>
                </c:pt>
                <c:pt idx="13">
                  <c:v>09</c:v>
                </c:pt>
                <c:pt idx="14">
                  <c:v>09</c:v>
                </c:pt>
                <c:pt idx="15">
                  <c:v>09</c:v>
                </c:pt>
                <c:pt idx="16">
                  <c:v>09</c:v>
                </c:pt>
                <c:pt idx="17">
                  <c:v>09</c:v>
                </c:pt>
                <c:pt idx="18">
                  <c:v>09</c:v>
                </c:pt>
                <c:pt idx="19">
                  <c:v>09</c:v>
                </c:pt>
                <c:pt idx="20">
                  <c:v>09</c:v>
                </c:pt>
                <c:pt idx="21">
                  <c:v>09</c:v>
                </c:pt>
                <c:pt idx="22">
                  <c:v>09</c:v>
                </c:pt>
                <c:pt idx="23">
                  <c:v>09</c:v>
                </c:pt>
                <c:pt idx="24">
                  <c:v>Jan 10</c:v>
                </c:pt>
                <c:pt idx="25">
                  <c:v>10</c:v>
                </c:pt>
                <c:pt idx="26">
                  <c:v>10</c:v>
                </c:pt>
                <c:pt idx="27">
                  <c:v>10</c:v>
                </c:pt>
                <c:pt idx="28">
                  <c:v>10</c:v>
                </c:pt>
                <c:pt idx="29">
                  <c:v>10</c:v>
                </c:pt>
                <c:pt idx="30">
                  <c:v>10</c:v>
                </c:pt>
                <c:pt idx="31">
                  <c:v>10</c:v>
                </c:pt>
                <c:pt idx="32">
                  <c:v>10</c:v>
                </c:pt>
                <c:pt idx="33">
                  <c:v>10</c:v>
                </c:pt>
                <c:pt idx="34">
                  <c:v>10</c:v>
                </c:pt>
                <c:pt idx="35">
                  <c:v>10</c:v>
                </c:pt>
                <c:pt idx="36">
                  <c:v>Jan 11</c:v>
                </c:pt>
                <c:pt idx="37">
                  <c:v>11</c:v>
                </c:pt>
                <c:pt idx="38">
                  <c:v>11</c:v>
                </c:pt>
                <c:pt idx="39">
                  <c:v>11</c:v>
                </c:pt>
                <c:pt idx="40">
                  <c:v>11</c:v>
                </c:pt>
                <c:pt idx="41">
                  <c:v>11</c:v>
                </c:pt>
                <c:pt idx="42">
                  <c:v>11</c:v>
                </c:pt>
                <c:pt idx="43">
                  <c:v>11</c:v>
                </c:pt>
                <c:pt idx="44">
                  <c:v>11</c:v>
                </c:pt>
                <c:pt idx="45">
                  <c:v>11</c:v>
                </c:pt>
                <c:pt idx="46">
                  <c:v>11</c:v>
                </c:pt>
                <c:pt idx="47">
                  <c:v>11</c:v>
                </c:pt>
                <c:pt idx="48">
                  <c:v>Jan 12</c:v>
                </c:pt>
                <c:pt idx="49">
                  <c:v>12</c:v>
                </c:pt>
                <c:pt idx="50">
                  <c:v>12</c:v>
                </c:pt>
                <c:pt idx="51">
                  <c:v>12</c:v>
                </c:pt>
                <c:pt idx="52">
                  <c:v>12</c:v>
                </c:pt>
                <c:pt idx="53">
                  <c:v>12</c:v>
                </c:pt>
                <c:pt idx="54">
                  <c:v>12</c:v>
                </c:pt>
                <c:pt idx="55">
                  <c:v>12</c:v>
                </c:pt>
                <c:pt idx="56">
                  <c:v>12</c:v>
                </c:pt>
                <c:pt idx="57">
                  <c:v>12</c:v>
                </c:pt>
                <c:pt idx="58">
                  <c:v>12</c:v>
                </c:pt>
                <c:pt idx="59">
                  <c:v>12</c:v>
                </c:pt>
                <c:pt idx="60">
                  <c:v>Jan 13</c:v>
                </c:pt>
                <c:pt idx="61">
                  <c:v>13</c:v>
                </c:pt>
                <c:pt idx="62">
                  <c:v>13</c:v>
                </c:pt>
                <c:pt idx="63">
                  <c:v>13</c:v>
                </c:pt>
                <c:pt idx="64">
                  <c:v>13</c:v>
                </c:pt>
                <c:pt idx="65">
                  <c:v>13</c:v>
                </c:pt>
                <c:pt idx="66">
                  <c:v>13</c:v>
                </c:pt>
                <c:pt idx="67">
                  <c:v>13</c:v>
                </c:pt>
                <c:pt idx="68">
                  <c:v>13</c:v>
                </c:pt>
                <c:pt idx="69">
                  <c:v>13</c:v>
                </c:pt>
                <c:pt idx="70">
                  <c:v>13</c:v>
                </c:pt>
                <c:pt idx="71">
                  <c:v>13</c:v>
                </c:pt>
                <c:pt idx="72">
                  <c:v>Jan 14</c:v>
                </c:pt>
                <c:pt idx="73">
                  <c:v>14</c:v>
                </c:pt>
                <c:pt idx="74">
                  <c:v>14</c:v>
                </c:pt>
                <c:pt idx="75">
                  <c:v>14</c:v>
                </c:pt>
                <c:pt idx="76">
                  <c:v>14</c:v>
                </c:pt>
                <c:pt idx="77">
                  <c:v>14</c:v>
                </c:pt>
                <c:pt idx="78">
                  <c:v>14</c:v>
                </c:pt>
                <c:pt idx="79">
                  <c:v>14</c:v>
                </c:pt>
                <c:pt idx="80">
                  <c:v>14</c:v>
                </c:pt>
                <c:pt idx="81">
                  <c:v>14</c:v>
                </c:pt>
                <c:pt idx="82">
                  <c:v>14</c:v>
                </c:pt>
                <c:pt idx="83">
                  <c:v>14</c:v>
                </c:pt>
                <c:pt idx="84">
                  <c:v>Jan 15</c:v>
                </c:pt>
                <c:pt idx="85">
                  <c:v>15</c:v>
                </c:pt>
                <c:pt idx="86">
                  <c:v>15</c:v>
                </c:pt>
                <c:pt idx="87">
                  <c:v>15</c:v>
                </c:pt>
                <c:pt idx="88">
                  <c:v>15</c:v>
                </c:pt>
                <c:pt idx="89">
                  <c:v>15</c:v>
                </c:pt>
                <c:pt idx="90">
                  <c:v>15</c:v>
                </c:pt>
                <c:pt idx="91">
                  <c:v>15</c:v>
                </c:pt>
                <c:pt idx="92">
                  <c:v>15</c:v>
                </c:pt>
                <c:pt idx="93">
                  <c:v>15</c:v>
                </c:pt>
                <c:pt idx="94">
                  <c:v>15</c:v>
                </c:pt>
                <c:pt idx="95">
                  <c:v>15</c:v>
                </c:pt>
                <c:pt idx="96">
                  <c:v>Jan 16</c:v>
                </c:pt>
                <c:pt idx="97">
                  <c:v>16</c:v>
                </c:pt>
                <c:pt idx="98">
                  <c:v>16</c:v>
                </c:pt>
                <c:pt idx="99">
                  <c:v>16</c:v>
                </c:pt>
                <c:pt idx="100">
                  <c:v>16</c:v>
                </c:pt>
                <c:pt idx="101">
                  <c:v>16</c:v>
                </c:pt>
                <c:pt idx="102">
                  <c:v>16</c:v>
                </c:pt>
                <c:pt idx="103">
                  <c:v>16</c:v>
                </c:pt>
                <c:pt idx="104">
                  <c:v>16</c:v>
                </c:pt>
                <c:pt idx="105">
                  <c:v>16</c:v>
                </c:pt>
                <c:pt idx="106">
                  <c:v>16</c:v>
                </c:pt>
                <c:pt idx="107">
                  <c:v>16</c:v>
                </c:pt>
                <c:pt idx="108">
                  <c:v>Jan 17</c:v>
                </c:pt>
                <c:pt idx="109">
                  <c:v>17</c:v>
                </c:pt>
                <c:pt idx="110">
                  <c:v>17</c:v>
                </c:pt>
                <c:pt idx="111">
                  <c:v>17</c:v>
                </c:pt>
                <c:pt idx="112">
                  <c:v>17</c:v>
                </c:pt>
                <c:pt idx="113">
                  <c:v>17</c:v>
                </c:pt>
                <c:pt idx="114">
                  <c:v>17</c:v>
                </c:pt>
                <c:pt idx="115">
                  <c:v>17</c:v>
                </c:pt>
                <c:pt idx="116">
                  <c:v>17</c:v>
                </c:pt>
                <c:pt idx="117">
                  <c:v>17</c:v>
                </c:pt>
                <c:pt idx="118">
                  <c:v>17</c:v>
                </c:pt>
                <c:pt idx="119">
                  <c:v>17</c:v>
                </c:pt>
              </c:strCache>
            </c:strRef>
          </c:cat>
          <c:val>
            <c:numRef>
              <c:f>eco.inflation.dynamics!$BE$19:$BE$138</c:f>
              <c:numCache>
                <c:formatCode>0.0</c:formatCode>
                <c:ptCount val="120"/>
                <c:pt idx="0">
                  <c:v>6.74</c:v>
                </c:pt>
                <c:pt idx="1">
                  <c:v>7.2499999999999991</c:v>
                </c:pt>
                <c:pt idx="2">
                  <c:v>7.01</c:v>
                </c:pt>
                <c:pt idx="3">
                  <c:v>6.98</c:v>
                </c:pt>
                <c:pt idx="4">
                  <c:v>7.0000000000000009</c:v>
                </c:pt>
                <c:pt idx="5">
                  <c:v>6.98</c:v>
                </c:pt>
                <c:pt idx="6">
                  <c:v>6.99</c:v>
                </c:pt>
                <c:pt idx="7">
                  <c:v>6.99</c:v>
                </c:pt>
                <c:pt idx="8">
                  <c:v>7.04</c:v>
                </c:pt>
                <c:pt idx="9">
                  <c:v>7.5199999999999987</c:v>
                </c:pt>
                <c:pt idx="10">
                  <c:v>7.9600000000000009</c:v>
                </c:pt>
                <c:pt idx="11">
                  <c:v>7.9800000000000013</c:v>
                </c:pt>
                <c:pt idx="12">
                  <c:v>8.02</c:v>
                </c:pt>
                <c:pt idx="13">
                  <c:v>8.48</c:v>
                </c:pt>
                <c:pt idx="14">
                  <c:v>8.76</c:v>
                </c:pt>
                <c:pt idx="15">
                  <c:v>8.75</c:v>
                </c:pt>
                <c:pt idx="16">
                  <c:v>8.8699999999999992</c:v>
                </c:pt>
                <c:pt idx="17">
                  <c:v>8.9</c:v>
                </c:pt>
                <c:pt idx="18">
                  <c:v>9.0399999999999991</c:v>
                </c:pt>
                <c:pt idx="19">
                  <c:v>9.0399999999999991</c:v>
                </c:pt>
                <c:pt idx="20">
                  <c:v>9.08</c:v>
                </c:pt>
                <c:pt idx="21">
                  <c:v>8.77</c:v>
                </c:pt>
                <c:pt idx="22">
                  <c:v>7.0000000000000009</c:v>
                </c:pt>
                <c:pt idx="23">
                  <c:v>6.22</c:v>
                </c:pt>
                <c:pt idx="24">
                  <c:v>5.51</c:v>
                </c:pt>
                <c:pt idx="25">
                  <c:v>3.73</c:v>
                </c:pt>
                <c:pt idx="26">
                  <c:v>3.54</c:v>
                </c:pt>
                <c:pt idx="27">
                  <c:v>3.84</c:v>
                </c:pt>
                <c:pt idx="28">
                  <c:v>3.93</c:v>
                </c:pt>
                <c:pt idx="29">
                  <c:v>4.03</c:v>
                </c:pt>
                <c:pt idx="30">
                  <c:v>4.08</c:v>
                </c:pt>
                <c:pt idx="31">
                  <c:v>4.0999999999999996</c:v>
                </c:pt>
                <c:pt idx="32">
                  <c:v>4.09</c:v>
                </c:pt>
                <c:pt idx="33">
                  <c:v>4.1100000000000003</c:v>
                </c:pt>
                <c:pt idx="34">
                  <c:v>4.2300000000000004</c:v>
                </c:pt>
                <c:pt idx="35">
                  <c:v>4.28</c:v>
                </c:pt>
                <c:pt idx="36">
                  <c:v>4.3099999999999996</c:v>
                </c:pt>
                <c:pt idx="37">
                  <c:v>4.25</c:v>
                </c:pt>
                <c:pt idx="38">
                  <c:v>4.09</c:v>
                </c:pt>
                <c:pt idx="39">
                  <c:v>3.6799999999999997</c:v>
                </c:pt>
                <c:pt idx="40">
                  <c:v>3.49</c:v>
                </c:pt>
                <c:pt idx="41">
                  <c:v>3.2099999999999995</c:v>
                </c:pt>
                <c:pt idx="42">
                  <c:v>3.2300000000000004</c:v>
                </c:pt>
                <c:pt idx="43">
                  <c:v>4</c:v>
                </c:pt>
                <c:pt idx="44">
                  <c:v>4.71</c:v>
                </c:pt>
                <c:pt idx="45">
                  <c:v>5.94</c:v>
                </c:pt>
                <c:pt idx="46">
                  <c:v>5.9</c:v>
                </c:pt>
                <c:pt idx="47">
                  <c:v>5.89</c:v>
                </c:pt>
                <c:pt idx="48">
                  <c:v>5.88</c:v>
                </c:pt>
                <c:pt idx="49">
                  <c:v>6.2800000000000011</c:v>
                </c:pt>
                <c:pt idx="50">
                  <c:v>5.96</c:v>
                </c:pt>
                <c:pt idx="51">
                  <c:v>5.14</c:v>
                </c:pt>
                <c:pt idx="52">
                  <c:v>4.25</c:v>
                </c:pt>
                <c:pt idx="53">
                  <c:v>3.9800000000000004</c:v>
                </c:pt>
                <c:pt idx="54">
                  <c:v>4.0599999999999996</c:v>
                </c:pt>
                <c:pt idx="55">
                  <c:v>4.28</c:v>
                </c:pt>
                <c:pt idx="56">
                  <c:v>4.22</c:v>
                </c:pt>
                <c:pt idx="57">
                  <c:v>3.94</c:v>
                </c:pt>
                <c:pt idx="58">
                  <c:v>3.74</c:v>
                </c:pt>
                <c:pt idx="59">
                  <c:v>3.2400000000000007</c:v>
                </c:pt>
                <c:pt idx="60">
                  <c:v>3.15</c:v>
                </c:pt>
                <c:pt idx="61">
                  <c:v>2.86</c:v>
                </c:pt>
                <c:pt idx="62">
                  <c:v>2.72</c:v>
                </c:pt>
                <c:pt idx="63">
                  <c:v>2.4900000000000002</c:v>
                </c:pt>
                <c:pt idx="64">
                  <c:v>2.5099999999999998</c:v>
                </c:pt>
                <c:pt idx="65">
                  <c:v>2.78</c:v>
                </c:pt>
                <c:pt idx="66">
                  <c:v>2.91</c:v>
                </c:pt>
                <c:pt idx="67">
                  <c:v>2.76</c:v>
                </c:pt>
                <c:pt idx="68">
                  <c:v>2.76</c:v>
                </c:pt>
                <c:pt idx="69">
                  <c:v>2.65</c:v>
                </c:pt>
                <c:pt idx="70">
                  <c:v>2.39</c:v>
                </c:pt>
                <c:pt idx="71">
                  <c:v>1.97</c:v>
                </c:pt>
                <c:pt idx="72">
                  <c:v>1.86</c:v>
                </c:pt>
                <c:pt idx="73">
                  <c:v>1.76</c:v>
                </c:pt>
                <c:pt idx="74">
                  <c:v>1.7500000000000002</c:v>
                </c:pt>
                <c:pt idx="75">
                  <c:v>1.7399999999999998</c:v>
                </c:pt>
                <c:pt idx="76">
                  <c:v>1.8000000000000003</c:v>
                </c:pt>
                <c:pt idx="77">
                  <c:v>1.8399999999999999</c:v>
                </c:pt>
                <c:pt idx="78">
                  <c:v>1.81</c:v>
                </c:pt>
                <c:pt idx="79">
                  <c:v>1.8500000000000003</c:v>
                </c:pt>
                <c:pt idx="80">
                  <c:v>1.87</c:v>
                </c:pt>
                <c:pt idx="81">
                  <c:v>1.82</c:v>
                </c:pt>
                <c:pt idx="82">
                  <c:v>1.79</c:v>
                </c:pt>
                <c:pt idx="83">
                  <c:v>1.78</c:v>
                </c:pt>
                <c:pt idx="84">
                  <c:v>1.78</c:v>
                </c:pt>
                <c:pt idx="85">
                  <c:v>1.81</c:v>
                </c:pt>
                <c:pt idx="86">
                  <c:v>1.82</c:v>
                </c:pt>
                <c:pt idx="87">
                  <c:v>1.77</c:v>
                </c:pt>
                <c:pt idx="88">
                  <c:v>1.7500000000000002</c:v>
                </c:pt>
                <c:pt idx="89">
                  <c:v>1.72</c:v>
                </c:pt>
                <c:pt idx="90">
                  <c:v>1.71</c:v>
                </c:pt>
                <c:pt idx="91">
                  <c:v>1.73</c:v>
                </c:pt>
                <c:pt idx="92">
                  <c:v>2.09</c:v>
                </c:pt>
                <c:pt idx="93">
                  <c:v>2.2799999999999998</c:v>
                </c:pt>
                <c:pt idx="94">
                  <c:v>2.15</c:v>
                </c:pt>
                <c:pt idx="95">
                  <c:v>1.96</c:v>
                </c:pt>
                <c:pt idx="96">
                  <c:v>1.7399999999999998</c:v>
                </c:pt>
                <c:pt idx="97">
                  <c:v>1.54</c:v>
                </c:pt>
                <c:pt idx="98">
                  <c:v>1.41</c:v>
                </c:pt>
                <c:pt idx="99">
                  <c:v>1.36</c:v>
                </c:pt>
                <c:pt idx="100">
                  <c:v>1.32</c:v>
                </c:pt>
                <c:pt idx="101">
                  <c:v>1.31</c:v>
                </c:pt>
                <c:pt idx="102">
                  <c:v>1.27</c:v>
                </c:pt>
                <c:pt idx="103">
                  <c:v>1.29</c:v>
                </c:pt>
                <c:pt idx="104">
                  <c:v>1.3</c:v>
                </c:pt>
                <c:pt idx="105">
                  <c:v>1.3</c:v>
                </c:pt>
                <c:pt idx="106">
                  <c:v>1.29</c:v>
                </c:pt>
                <c:pt idx="107">
                  <c:v>1.28</c:v>
                </c:pt>
                <c:pt idx="108">
                  <c:v>1.03</c:v>
                </c:pt>
                <c:pt idx="109">
                  <c:v>0.93</c:v>
                </c:pt>
                <c:pt idx="110">
                  <c:v>0.88</c:v>
                </c:pt>
                <c:pt idx="111">
                  <c:v>0.84</c:v>
                </c:pt>
                <c:pt idx="112">
                  <c:v>0.84</c:v>
                </c:pt>
                <c:pt idx="113">
                  <c:v>0.84</c:v>
                </c:pt>
                <c:pt idx="114">
                  <c:v>0.8</c:v>
                </c:pt>
                <c:pt idx="115">
                  <c:v>0.8</c:v>
                </c:pt>
                <c:pt idx="116">
                  <c:v>0.8</c:v>
                </c:pt>
                <c:pt idx="117">
                  <c:v>0.79</c:v>
                </c:pt>
                <c:pt idx="118">
                  <c:v>0.77</c:v>
                </c:pt>
                <c:pt idx="119">
                  <c:v>0</c:v>
                </c:pt>
              </c:numCache>
            </c:numRef>
          </c:val>
          <c:smooth val="0"/>
        </c:ser>
        <c:dLbls>
          <c:showLegendKey val="0"/>
          <c:showVal val="0"/>
          <c:showCatName val="0"/>
          <c:showSerName val="0"/>
          <c:showPercent val="0"/>
          <c:showBubbleSize val="0"/>
        </c:dLbls>
        <c:marker val="1"/>
        <c:smooth val="0"/>
        <c:axId val="94863360"/>
        <c:axId val="95342592"/>
      </c:lineChart>
      <c:catAx>
        <c:axId val="94863360"/>
        <c:scaling>
          <c:orientation val="minMax"/>
        </c:scaling>
        <c:delete val="0"/>
        <c:axPos val="b"/>
        <c:numFmt formatCode="General" sourceLinked="1"/>
        <c:majorTickMark val="none"/>
        <c:minorTickMark val="none"/>
        <c:tickLblPos val="low"/>
        <c:txPr>
          <a:bodyPr rot="-5400000" vert="horz"/>
          <a:lstStyle/>
          <a:p>
            <a:pPr>
              <a:defRPr/>
            </a:pPr>
            <a:endParaRPr lang="en-US"/>
          </a:p>
        </c:txPr>
        <c:crossAx val="95342592"/>
        <c:crosses val="autoZero"/>
        <c:auto val="1"/>
        <c:lblAlgn val="ctr"/>
        <c:lblOffset val="100"/>
        <c:tickLblSkip val="12"/>
        <c:noMultiLvlLbl val="0"/>
      </c:catAx>
      <c:valAx>
        <c:axId val="95342592"/>
        <c:scaling>
          <c:orientation val="minMax"/>
        </c:scaling>
        <c:delete val="0"/>
        <c:axPos val="l"/>
        <c:title>
          <c:tx>
            <c:rich>
              <a:bodyPr rot="0" vert="horz"/>
              <a:lstStyle/>
              <a:p>
                <a:pPr>
                  <a:defRPr b="0"/>
                </a:pPr>
                <a:r>
                  <a:rPr lang="en-US" b="0"/>
                  <a:t>pps</a:t>
                </a:r>
              </a:p>
            </c:rich>
          </c:tx>
          <c:layout>
            <c:manualLayout>
              <c:xMode val="edge"/>
              <c:yMode val="edge"/>
              <c:x val="0.11621154291738686"/>
              <c:y val="1.7614324483005588E-2"/>
            </c:manualLayout>
          </c:layout>
          <c:overlay val="0"/>
        </c:title>
        <c:numFmt formatCode="General" sourceLinked="0"/>
        <c:majorTickMark val="none"/>
        <c:minorTickMark val="none"/>
        <c:tickLblPos val="nextTo"/>
        <c:crossAx val="94863360"/>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r"/>
      <c:layout>
        <c:manualLayout>
          <c:xMode val="edge"/>
          <c:yMode val="edge"/>
          <c:x val="0"/>
          <c:y val="0.87081588728404535"/>
          <c:w val="0.9764060579005196"/>
          <c:h val="0.12918411271595462"/>
        </c:manualLayout>
      </c:layout>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700">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720915032679744E-2"/>
          <c:y val="4.0718055555555549E-2"/>
          <c:w val="0.90195359477124182"/>
          <c:h val="0.69210347222222235"/>
        </c:manualLayout>
      </c:layout>
      <c:barChart>
        <c:barDir val="col"/>
        <c:grouping val="stacked"/>
        <c:varyColors val="0"/>
        <c:ser>
          <c:idx val="0"/>
          <c:order val="0"/>
          <c:tx>
            <c:strRef>
              <c:f>eco.ulc_decomp!$E$23</c:f>
              <c:strCache>
                <c:ptCount val="1"/>
                <c:pt idx="0">
                  <c:v>Productivity contribution (negative sign)</c:v>
                </c:pt>
              </c:strCache>
            </c:strRef>
          </c:tx>
          <c:spPr>
            <a:solidFill>
              <a:srgbClr val="353B73"/>
            </a:solidFill>
          </c:spPr>
          <c:invertIfNegative val="0"/>
          <c:cat>
            <c:strRef>
              <c:f>eco.ulc_decomp!$G$20:$Y$20</c:f>
              <c:strCache>
                <c:ptCount val="19"/>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strCache>
            </c:strRef>
          </c:cat>
          <c:val>
            <c:numRef>
              <c:f>eco.ulc_decomp!$G$23:$Y$23</c:f>
              <c:numCache>
                <c:formatCode>0.0</c:formatCode>
                <c:ptCount val="19"/>
                <c:pt idx="0">
                  <c:v>-4.1076067717858544</c:v>
                </c:pt>
                <c:pt idx="1">
                  <c:v>-4.3398965051719252</c:v>
                </c:pt>
                <c:pt idx="2">
                  <c:v>-2.9980587860605867</c:v>
                </c:pt>
                <c:pt idx="3">
                  <c:v>-3.2133765280020432</c:v>
                </c:pt>
                <c:pt idx="4">
                  <c:v>-3.1065051499945096</c:v>
                </c:pt>
                <c:pt idx="5">
                  <c:v>-1.5770573186744352</c:v>
                </c:pt>
                <c:pt idx="6">
                  <c:v>-1.9273289671838389</c:v>
                </c:pt>
                <c:pt idx="7">
                  <c:v>7.9591777315501933E-2</c:v>
                </c:pt>
                <c:pt idx="8">
                  <c:v>6.6854472305714623</c:v>
                </c:pt>
                <c:pt idx="9">
                  <c:v>-2.4404679565076304</c:v>
                </c:pt>
                <c:pt idx="10">
                  <c:v>-3.665846883961521</c:v>
                </c:pt>
                <c:pt idx="11">
                  <c:v>-1.4160658361396683</c:v>
                </c:pt>
                <c:pt idx="12">
                  <c:v>-2.0410927158290626</c:v>
                </c:pt>
                <c:pt idx="13">
                  <c:v>2.6974822116184294</c:v>
                </c:pt>
                <c:pt idx="14">
                  <c:v>-1.089983555056051</c:v>
                </c:pt>
                <c:pt idx="15">
                  <c:v>-2.8686675726082855</c:v>
                </c:pt>
                <c:pt idx="16">
                  <c:v>-1.3576806865374547</c:v>
                </c:pt>
                <c:pt idx="17">
                  <c:v>-1.1640040823254427</c:v>
                </c:pt>
                <c:pt idx="18">
                  <c:v>-1.1845736375124316</c:v>
                </c:pt>
              </c:numCache>
            </c:numRef>
          </c:val>
        </c:ser>
        <c:ser>
          <c:idx val="1"/>
          <c:order val="1"/>
          <c:tx>
            <c:strRef>
              <c:f>eco.ulc_decomp!$E$24</c:f>
              <c:strCache>
                <c:ptCount val="1"/>
                <c:pt idx="0">
                  <c:v>Real compensation per employee</c:v>
                </c:pt>
              </c:strCache>
            </c:strRef>
          </c:tx>
          <c:spPr>
            <a:solidFill>
              <a:srgbClr val="B4AAA2"/>
            </a:solidFill>
          </c:spPr>
          <c:invertIfNegative val="0"/>
          <c:cat>
            <c:strRef>
              <c:f>eco.ulc_decomp!$G$20:$Y$20</c:f>
              <c:strCache>
                <c:ptCount val="19"/>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strCache>
            </c:strRef>
          </c:cat>
          <c:val>
            <c:numRef>
              <c:f>eco.ulc_decomp!$G$24:$Y$24</c:f>
              <c:numCache>
                <c:formatCode>0.0</c:formatCode>
                <c:ptCount val="19"/>
                <c:pt idx="0">
                  <c:v>-2.309995143978294</c:v>
                </c:pt>
                <c:pt idx="1">
                  <c:v>6.9160119329253256</c:v>
                </c:pt>
                <c:pt idx="2">
                  <c:v>3.0809957973721325</c:v>
                </c:pt>
                <c:pt idx="3">
                  <c:v>0.96015474226955888</c:v>
                </c:pt>
                <c:pt idx="4">
                  <c:v>2.6260927256267497</c:v>
                </c:pt>
                <c:pt idx="5">
                  <c:v>-0.96352279850578926</c:v>
                </c:pt>
                <c:pt idx="6">
                  <c:v>1.110712477451159</c:v>
                </c:pt>
                <c:pt idx="7">
                  <c:v>-0.60925563706527575</c:v>
                </c:pt>
                <c:pt idx="8">
                  <c:v>-2.9294724106474934</c:v>
                </c:pt>
                <c:pt idx="9">
                  <c:v>1.0204803134324036</c:v>
                </c:pt>
                <c:pt idx="10">
                  <c:v>1.9571703999999857</c:v>
                </c:pt>
                <c:pt idx="11">
                  <c:v>-1.178013665236044</c:v>
                </c:pt>
                <c:pt idx="12">
                  <c:v>-1.715176324657508</c:v>
                </c:pt>
                <c:pt idx="13">
                  <c:v>-5.2860182723546867</c:v>
                </c:pt>
                <c:pt idx="14">
                  <c:v>0.3894882798015864</c:v>
                </c:pt>
                <c:pt idx="15">
                  <c:v>-0.10334440455946892</c:v>
                </c:pt>
                <c:pt idx="16">
                  <c:v>1.321083291214542</c:v>
                </c:pt>
                <c:pt idx="17">
                  <c:v>0.43608511255706084</c:v>
                </c:pt>
                <c:pt idx="18">
                  <c:v>0.37176554557991626</c:v>
                </c:pt>
              </c:numCache>
            </c:numRef>
          </c:val>
        </c:ser>
        <c:ser>
          <c:idx val="4"/>
          <c:order val="4"/>
          <c:tx>
            <c:strRef>
              <c:f>eco.ulc_decomp!$E$26</c:f>
              <c:strCache>
                <c:ptCount val="1"/>
                <c:pt idx="0">
                  <c:v>Inflation (GDP deflator growth)</c:v>
                </c:pt>
              </c:strCache>
            </c:strRef>
          </c:tx>
          <c:spPr>
            <a:solidFill>
              <a:srgbClr val="FFD724"/>
            </a:solidFill>
            <a:ln w="28575">
              <a:noFill/>
            </a:ln>
          </c:spPr>
          <c:invertIfNegative val="0"/>
          <c:cat>
            <c:strRef>
              <c:f>eco.ulc_decomp!$G$20:$Y$20</c:f>
              <c:strCache>
                <c:ptCount val="19"/>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strCache>
            </c:strRef>
          </c:cat>
          <c:val>
            <c:numRef>
              <c:f>eco.ulc_decomp!$G$26:$Y$26</c:f>
              <c:numCache>
                <c:formatCode>0.0</c:formatCode>
                <c:ptCount val="19"/>
                <c:pt idx="0">
                  <c:v>4.2051344032096649</c:v>
                </c:pt>
                <c:pt idx="1">
                  <c:v>3.4804895120611468</c:v>
                </c:pt>
                <c:pt idx="2">
                  <c:v>4.0493540501171932</c:v>
                </c:pt>
                <c:pt idx="3">
                  <c:v>3.7221584373273942</c:v>
                </c:pt>
                <c:pt idx="4">
                  <c:v>3.3952169913648911</c:v>
                </c:pt>
                <c:pt idx="5">
                  <c:v>3.997058780899776</c:v>
                </c:pt>
                <c:pt idx="6">
                  <c:v>4.105008873476268</c:v>
                </c:pt>
                <c:pt idx="7">
                  <c:v>5.7025177196874832</c:v>
                </c:pt>
                <c:pt idx="8">
                  <c:v>2.7803444251461418</c:v>
                </c:pt>
                <c:pt idx="9">
                  <c:v>0.82088550617860356</c:v>
                </c:pt>
                <c:pt idx="10">
                  <c:v>1.6638698595328405</c:v>
                </c:pt>
                <c:pt idx="11">
                  <c:v>1.5594453941629283</c:v>
                </c:pt>
                <c:pt idx="12">
                  <c:v>0.78890220154439472</c:v>
                </c:pt>
                <c:pt idx="13">
                  <c:v>6.3643657062950609E-2</c:v>
                </c:pt>
                <c:pt idx="14">
                  <c:v>-1.9856733608747401E-2</c:v>
                </c:pt>
                <c:pt idx="15">
                  <c:v>-8.4241987931332751E-2</c:v>
                </c:pt>
                <c:pt idx="16">
                  <c:v>1.1705535644394471</c:v>
                </c:pt>
                <c:pt idx="17">
                  <c:v>2.0610112602175601</c:v>
                </c:pt>
                <c:pt idx="18">
                  <c:v>2.1471666164828207</c:v>
                </c:pt>
              </c:numCache>
            </c:numRef>
          </c:val>
        </c:ser>
        <c:dLbls>
          <c:showLegendKey val="0"/>
          <c:showVal val="0"/>
          <c:showCatName val="0"/>
          <c:showSerName val="0"/>
          <c:showPercent val="0"/>
          <c:showBubbleSize val="0"/>
        </c:dLbls>
        <c:gapWidth val="150"/>
        <c:overlap val="100"/>
        <c:axId val="95676672"/>
        <c:axId val="106474112"/>
      </c:barChart>
      <c:lineChart>
        <c:grouping val="standard"/>
        <c:varyColors val="0"/>
        <c:ser>
          <c:idx val="2"/>
          <c:order val="2"/>
          <c:tx>
            <c:strRef>
              <c:f>eco.ulc_decomp!$E$25</c:f>
              <c:strCache>
                <c:ptCount val="1"/>
                <c:pt idx="0">
                  <c:v>Nominal unit labour cost</c:v>
                </c:pt>
              </c:strCache>
            </c:strRef>
          </c:tx>
          <c:spPr>
            <a:ln>
              <a:noFill/>
            </a:ln>
          </c:spPr>
          <c:marker>
            <c:symbol val="diamond"/>
            <c:size val="7"/>
            <c:spPr>
              <a:solidFill>
                <a:schemeClr val="accent5"/>
              </a:solidFill>
              <a:ln>
                <a:noFill/>
              </a:ln>
            </c:spPr>
          </c:marker>
          <c:val>
            <c:numRef>
              <c:f>eco.ulc_decomp!$G$25:$Y$25</c:f>
              <c:numCache>
                <c:formatCode>0.0</c:formatCode>
                <c:ptCount val="19"/>
                <c:pt idx="0">
                  <c:v>-2.2184795298007987</c:v>
                </c:pt>
                <c:pt idx="1">
                  <c:v>6.0353864776955257</c:v>
                </c:pt>
                <c:pt idx="2">
                  <c:v>4.1331376344524218</c:v>
                </c:pt>
                <c:pt idx="3">
                  <c:v>1.4578295768358673</c:v>
                </c:pt>
                <c:pt idx="4">
                  <c:v>2.9134592901925327</c:v>
                </c:pt>
                <c:pt idx="5">
                  <c:v>1.3959511958303139</c:v>
                </c:pt>
                <c:pt idx="6">
                  <c:v>3.2709453820751078</c:v>
                </c:pt>
                <c:pt idx="7">
                  <c:v>5.1422036817841521</c:v>
                </c:pt>
                <c:pt idx="8">
                  <c:v>6.9173238288777084</c:v>
                </c:pt>
                <c:pt idx="9">
                  <c:v>-0.57665213663702364</c:v>
                </c:pt>
                <c:pt idx="10">
                  <c:v>-1.1808930000001272E-2</c:v>
                </c:pt>
                <c:pt idx="11">
                  <c:v>-1.0383015923082217</c:v>
                </c:pt>
                <c:pt idx="12">
                  <c:v>-2.9212719826358979</c:v>
                </c:pt>
                <c:pt idx="13">
                  <c:v>-2.5983466057010074</c:v>
                </c:pt>
                <c:pt idx="14">
                  <c:v>-0.71266147506646726</c:v>
                </c:pt>
                <c:pt idx="15">
                  <c:v>-2.9709404242461601</c:v>
                </c:pt>
                <c:pt idx="16">
                  <c:v>1.1340237493090211</c:v>
                </c:pt>
                <c:pt idx="17">
                  <c:v>1.3266378538080437</c:v>
                </c:pt>
                <c:pt idx="18">
                  <c:v>1.3266261284007319</c:v>
                </c:pt>
              </c:numCache>
            </c:numRef>
          </c:val>
          <c:smooth val="0"/>
        </c:ser>
        <c:ser>
          <c:idx val="3"/>
          <c:order val="3"/>
          <c:tx>
            <c:strRef>
              <c:f>eco.ulc_decomp!$E$27</c:f>
              <c:strCache>
                <c:ptCount val="1"/>
                <c:pt idx="0">
                  <c:v>ULC in euro area</c:v>
                </c:pt>
              </c:strCache>
            </c:strRef>
          </c:tx>
          <c:spPr>
            <a:ln w="19050">
              <a:solidFill>
                <a:schemeClr val="accent3"/>
              </a:solidFill>
              <a:prstDash val="solid"/>
            </a:ln>
          </c:spPr>
          <c:marker>
            <c:symbol val="none"/>
          </c:marker>
          <c:val>
            <c:numRef>
              <c:f>eco.ulc_decomp!$G$27:$Y$27</c:f>
              <c:numCache>
                <c:formatCode>0.0</c:formatCode>
                <c:ptCount val="19"/>
                <c:pt idx="0">
                  <c:v>1.883312622608857</c:v>
                </c:pt>
                <c:pt idx="1">
                  <c:v>2.585587012827717</c:v>
                </c:pt>
                <c:pt idx="2">
                  <c:v>2.4507979746362318</c:v>
                </c:pt>
                <c:pt idx="3">
                  <c:v>0.82045594559645441</c:v>
                </c:pt>
                <c:pt idx="4">
                  <c:v>1.5829161741429676</c:v>
                </c:pt>
                <c:pt idx="5">
                  <c:v>0.99777797872802054</c:v>
                </c:pt>
                <c:pt idx="6">
                  <c:v>1.5849447898729663</c:v>
                </c:pt>
                <c:pt idx="7">
                  <c:v>3.8425326558929385</c:v>
                </c:pt>
                <c:pt idx="8">
                  <c:v>4.5256104219159043</c:v>
                </c:pt>
                <c:pt idx="9">
                  <c:v>-0.64943763721934111</c:v>
                </c:pt>
                <c:pt idx="10">
                  <c:v>0.60533119999999219</c:v>
                </c:pt>
                <c:pt idx="11">
                  <c:v>1.9032064972715812</c:v>
                </c:pt>
                <c:pt idx="12">
                  <c:v>1.0504973532086792</c:v>
                </c:pt>
                <c:pt idx="13">
                  <c:v>0.66158306592130067</c:v>
                </c:pt>
                <c:pt idx="14">
                  <c:v>0.305372020207062</c:v>
                </c:pt>
                <c:pt idx="15">
                  <c:v>0.97000829016140599</c:v>
                </c:pt>
                <c:pt idx="16">
                  <c:v>1.1746336964592263</c:v>
                </c:pt>
                <c:pt idx="17">
                  <c:v>1.2803587420774143</c:v>
                </c:pt>
                <c:pt idx="18">
                  <c:v>0.93829143464072562</c:v>
                </c:pt>
              </c:numCache>
            </c:numRef>
          </c:val>
          <c:smooth val="0"/>
        </c:ser>
        <c:dLbls>
          <c:showLegendKey val="0"/>
          <c:showVal val="0"/>
          <c:showCatName val="0"/>
          <c:showSerName val="0"/>
          <c:showPercent val="0"/>
          <c:showBubbleSize val="0"/>
        </c:dLbls>
        <c:marker val="1"/>
        <c:smooth val="0"/>
        <c:axId val="95676672"/>
        <c:axId val="106474112"/>
      </c:lineChart>
      <c:catAx>
        <c:axId val="95676672"/>
        <c:scaling>
          <c:orientation val="minMax"/>
        </c:scaling>
        <c:delete val="0"/>
        <c:axPos val="b"/>
        <c:numFmt formatCode="yy" sourceLinked="0"/>
        <c:majorTickMark val="none"/>
        <c:minorTickMark val="none"/>
        <c:tickLblPos val="low"/>
        <c:txPr>
          <a:bodyPr rot="0" vert="horz"/>
          <a:lstStyle/>
          <a:p>
            <a:pPr>
              <a:defRPr/>
            </a:pPr>
            <a:endParaRPr lang="en-US"/>
          </a:p>
        </c:txPr>
        <c:crossAx val="106474112"/>
        <c:crosses val="autoZero"/>
        <c:auto val="1"/>
        <c:lblAlgn val="ctr"/>
        <c:lblOffset val="100"/>
        <c:tickLblSkip val="1"/>
        <c:noMultiLvlLbl val="0"/>
      </c:catAx>
      <c:valAx>
        <c:axId val="106474112"/>
        <c:scaling>
          <c:orientation val="minMax"/>
        </c:scaling>
        <c:delete val="0"/>
        <c:axPos val="l"/>
        <c:title>
          <c:tx>
            <c:strRef>
              <c:f>eco.ulc_decomp!$E$11</c:f>
              <c:strCache>
                <c:ptCount val="1"/>
                <c:pt idx="0">
                  <c:v>y-o-y %</c:v>
                </c:pt>
              </c:strCache>
            </c:strRef>
          </c:tx>
          <c:layout>
            <c:manualLayout>
              <c:xMode val="edge"/>
              <c:yMode val="edge"/>
              <c:x val="7.3975816993464047E-2"/>
              <c:y val="4.1250694444444444E-2"/>
            </c:manualLayout>
          </c:layout>
          <c:overlay val="0"/>
          <c:txPr>
            <a:bodyPr rot="0" vert="horz"/>
            <a:lstStyle/>
            <a:p>
              <a:pPr>
                <a:defRPr/>
              </a:pPr>
              <a:endParaRPr lang="en-US"/>
            </a:p>
          </c:txPr>
        </c:title>
        <c:numFmt formatCode="0" sourceLinked="0"/>
        <c:majorTickMark val="none"/>
        <c:minorTickMark val="none"/>
        <c:tickLblPos val="nextTo"/>
        <c:txPr>
          <a:bodyPr rot="0" vert="horz"/>
          <a:lstStyle/>
          <a:p>
            <a:pPr>
              <a:defRPr/>
            </a:pPr>
            <a:endParaRPr lang="en-US"/>
          </a:p>
        </c:txPr>
        <c:crossAx val="95676672"/>
        <c:crosses val="autoZero"/>
        <c:crossBetween val="between"/>
      </c:valAx>
    </c:plotArea>
    <c:legend>
      <c:legendPos val="r"/>
      <c:layout>
        <c:manualLayout>
          <c:xMode val="edge"/>
          <c:yMode val="edge"/>
          <c:x val="0"/>
          <c:y val="0.81032208722254084"/>
          <c:w val="1"/>
          <c:h val="0.17649927864977144"/>
        </c:manualLayout>
      </c:layout>
      <c:overlay val="0"/>
    </c:legend>
    <c:plotVisOnly val="1"/>
    <c:dispBlanksAs val="gap"/>
    <c:showDLblsOverMax val="0"/>
  </c:chart>
  <c:spPr>
    <a:ln>
      <a:noFill/>
    </a:ln>
  </c:spPr>
  <c:txPr>
    <a:bodyPr/>
    <a:lstStyle/>
    <a:p>
      <a:pPr>
        <a:defRPr sz="7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522017193050581"/>
          <c:y val="0.18629544463264386"/>
          <c:w val="0.68390980104050703"/>
          <c:h val="0.8102618677360639"/>
        </c:manualLayout>
      </c:layout>
      <c:pieChart>
        <c:varyColors val="1"/>
        <c:ser>
          <c:idx val="0"/>
          <c:order val="0"/>
          <c:tx>
            <c:strRef>
              <c:f>'Pie Chart'!$B$1</c:f>
              <c:strCache>
                <c:ptCount val="1"/>
                <c:pt idx="0">
                  <c:v>Total Count</c:v>
                </c:pt>
              </c:strCache>
            </c:strRef>
          </c:tx>
          <c:spPr>
            <a:ln>
              <a:noFill/>
            </a:ln>
          </c:spPr>
          <c:dPt>
            <c:idx val="0"/>
            <c:bubble3D val="0"/>
            <c:spPr>
              <a:solidFill>
                <a:schemeClr val="accent3">
                  <a:lumMod val="20000"/>
                  <a:lumOff val="80000"/>
                </a:schemeClr>
              </a:solidFill>
              <a:ln>
                <a:noFill/>
              </a:ln>
            </c:spPr>
          </c:dPt>
          <c:dPt>
            <c:idx val="1"/>
            <c:bubble3D val="0"/>
            <c:spPr>
              <a:solidFill>
                <a:schemeClr val="accent3">
                  <a:lumMod val="40000"/>
                  <a:lumOff val="60000"/>
                </a:schemeClr>
              </a:solidFill>
              <a:ln>
                <a:noFill/>
              </a:ln>
            </c:spPr>
          </c:dPt>
          <c:dPt>
            <c:idx val="2"/>
            <c:bubble3D val="0"/>
            <c:spPr>
              <a:solidFill>
                <a:schemeClr val="accent3">
                  <a:lumMod val="60000"/>
                  <a:lumOff val="40000"/>
                </a:schemeClr>
              </a:solidFill>
              <a:ln>
                <a:noFill/>
              </a:ln>
            </c:spPr>
          </c:dPt>
          <c:dPt>
            <c:idx val="3"/>
            <c:bubble3D val="0"/>
            <c:spPr>
              <a:solidFill>
                <a:schemeClr val="accent3">
                  <a:lumMod val="75000"/>
                </a:schemeClr>
              </a:solidFill>
              <a:ln>
                <a:noFill/>
              </a:ln>
            </c:spPr>
          </c:dPt>
          <c:dPt>
            <c:idx val="4"/>
            <c:bubble3D val="0"/>
            <c:spPr>
              <a:solidFill>
                <a:schemeClr val="accent3">
                  <a:lumMod val="50000"/>
                </a:schemeClr>
              </a:solidFill>
              <a:ln>
                <a:noFill/>
              </a:ln>
            </c:spPr>
          </c:dPt>
          <c:dLbls>
            <c:dLbl>
              <c:idx val="0"/>
              <c:layout>
                <c:manualLayout>
                  <c:x val="-1.2390860423299111E-2"/>
                  <c:y val="5.8720268048005744E-2"/>
                </c:manualLayout>
              </c:layout>
              <c:dLblPos val="bestFit"/>
              <c:showLegendKey val="0"/>
              <c:showVal val="0"/>
              <c:showCatName val="1"/>
              <c:showSerName val="0"/>
              <c:showPercent val="1"/>
              <c:showBubbleSize val="0"/>
            </c:dLbl>
            <c:dLbl>
              <c:idx val="1"/>
              <c:layout>
                <c:manualLayout>
                  <c:x val="-2.4781720846598222E-2"/>
                  <c:y val="-1.9574193289860813E-2"/>
                </c:manualLayout>
              </c:layout>
              <c:dLblPos val="bestFit"/>
              <c:showLegendKey val="0"/>
              <c:showVal val="0"/>
              <c:showCatName val="1"/>
              <c:showSerName val="0"/>
              <c:showPercent val="1"/>
              <c:showBubbleSize val="0"/>
            </c:dLbl>
            <c:dLbl>
              <c:idx val="2"/>
              <c:layout>
                <c:manualLayout>
                  <c:x val="2.0651434038831851E-2"/>
                  <c:y val="-2.9360519327598988E-2"/>
                </c:manualLayout>
              </c:layout>
              <c:dLblPos val="bestFit"/>
              <c:showLegendKey val="0"/>
              <c:showVal val="0"/>
              <c:showCatName val="1"/>
              <c:showSerName val="0"/>
              <c:showPercent val="1"/>
              <c:showBubbleSize val="0"/>
            </c:dLbl>
            <c:dLbl>
              <c:idx val="3"/>
              <c:layout>
                <c:manualLayout>
                  <c:x val="4.5432829665996391E-2"/>
                  <c:y val="4.4040201036004312E-2"/>
                </c:manualLayout>
              </c:layout>
              <c:dLblPos val="bestFit"/>
              <c:showLegendKey val="0"/>
              <c:showVal val="0"/>
              <c:showCatName val="1"/>
              <c:showSerName val="0"/>
              <c:showPercent val="1"/>
              <c:showBubbleSize val="0"/>
            </c:dLbl>
            <c:dLbl>
              <c:idx val="4"/>
              <c:layout>
                <c:manualLayout>
                  <c:x val="3.3041969242697276E-2"/>
                  <c:y val="0"/>
                </c:manualLayout>
              </c:layout>
              <c:dLblPos val="bestFit"/>
              <c:showLegendKey val="0"/>
              <c:showVal val="0"/>
              <c:showCatName val="1"/>
              <c:showSerName val="0"/>
              <c:showPercent val="1"/>
              <c:showBubbleSize val="0"/>
            </c:dLbl>
            <c:dLblPos val="outEnd"/>
            <c:showLegendKey val="0"/>
            <c:showVal val="0"/>
            <c:showCatName val="1"/>
            <c:showSerName val="0"/>
            <c:showPercent val="1"/>
            <c:showBubbleSize val="0"/>
            <c:showLeaderLines val="1"/>
          </c:dLbls>
          <c:cat>
            <c:strRef>
              <c:f>'Pie Chart'!Progress</c:f>
              <c:strCache>
                <c:ptCount val="5"/>
                <c:pt idx="0">
                  <c:v>No Progress</c:v>
                </c:pt>
                <c:pt idx="1">
                  <c:v>Limited Progress</c:v>
                </c:pt>
                <c:pt idx="2">
                  <c:v>Some Progress</c:v>
                </c:pt>
                <c:pt idx="3">
                  <c:v>Substantial Progress</c:v>
                </c:pt>
                <c:pt idx="4">
                  <c:v>Full Implemen-tation</c:v>
                </c:pt>
              </c:strCache>
            </c:strRef>
          </c:cat>
          <c:val>
            <c:numRef>
              <c:f>'Pie Chart'!Counts</c:f>
              <c:numCache>
                <c:formatCode>General</c:formatCode>
                <c:ptCount val="5"/>
                <c:pt idx="0">
                  <c:v>8</c:v>
                </c:pt>
                <c:pt idx="1">
                  <c:v>14</c:v>
                </c:pt>
                <c:pt idx="2">
                  <c:v>13</c:v>
                </c:pt>
                <c:pt idx="3">
                  <c:v>5</c:v>
                </c:pt>
                <c:pt idx="4">
                  <c:v>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w="9525" cap="flat" cmpd="sng" algn="ctr">
      <a:solidFill>
        <a:schemeClr val="bg1"/>
      </a:solidFill>
      <a:prstDash val="solid"/>
      <a:round/>
    </a:ln>
    <a:extLst/>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72779121668468E-2"/>
          <c:y val="4.0530851093011445E-2"/>
          <c:w val="0.82384761537348705"/>
          <c:h val="0.77310563722860481"/>
        </c:manualLayout>
      </c:layout>
      <c:barChart>
        <c:barDir val="col"/>
        <c:grouping val="clustered"/>
        <c:varyColors val="0"/>
        <c:ser>
          <c:idx val="0"/>
          <c:order val="0"/>
          <c:tx>
            <c:strRef>
              <c:f>'total-primary'!$S$5</c:f>
              <c:strCache>
                <c:ptCount val="1"/>
                <c:pt idx="0">
                  <c:v>Primary expenditure (lhs)</c:v>
                </c:pt>
              </c:strCache>
            </c:strRef>
          </c:tx>
          <c:invertIfNegative val="0"/>
          <c:cat>
            <c:strRef>
              <c:f>'total-primary'!$R$6:$R$11</c:f>
              <c:strCache>
                <c:ptCount val="6"/>
                <c:pt idx="0">
                  <c:v>Croatia</c:v>
                </c:pt>
                <c:pt idx="1">
                  <c:v>Hungary</c:v>
                </c:pt>
                <c:pt idx="2">
                  <c:v>Slovenia</c:v>
                </c:pt>
                <c:pt idx="3">
                  <c:v>Slovakia</c:v>
                </c:pt>
                <c:pt idx="4">
                  <c:v>Poland</c:v>
                </c:pt>
                <c:pt idx="5">
                  <c:v>Czech R.</c:v>
                </c:pt>
              </c:strCache>
            </c:strRef>
          </c:cat>
          <c:val>
            <c:numRef>
              <c:f>'total-primary'!$S$6:$S$11</c:f>
              <c:numCache>
                <c:formatCode>General</c:formatCode>
                <c:ptCount val="6"/>
                <c:pt idx="0">
                  <c:v>44.026049200000003</c:v>
                </c:pt>
                <c:pt idx="1">
                  <c:v>43.508975700000001</c:v>
                </c:pt>
                <c:pt idx="2">
                  <c:v>42.108539499999999</c:v>
                </c:pt>
                <c:pt idx="3">
                  <c:v>39.86038095</c:v>
                </c:pt>
                <c:pt idx="4">
                  <c:v>39.472688859999998</c:v>
                </c:pt>
                <c:pt idx="5">
                  <c:v>38.464523049999997</c:v>
                </c:pt>
              </c:numCache>
            </c:numRef>
          </c:val>
        </c:ser>
        <c:dLbls>
          <c:showLegendKey val="0"/>
          <c:showVal val="0"/>
          <c:showCatName val="0"/>
          <c:showSerName val="0"/>
          <c:showPercent val="0"/>
          <c:showBubbleSize val="0"/>
        </c:dLbls>
        <c:gapWidth val="150"/>
        <c:axId val="330774784"/>
        <c:axId val="189292544"/>
      </c:barChart>
      <c:lineChart>
        <c:grouping val="standard"/>
        <c:varyColors val="0"/>
        <c:ser>
          <c:idx val="1"/>
          <c:order val="1"/>
          <c:tx>
            <c:strRef>
              <c:f>'total-primary'!$T$5</c:f>
              <c:strCache>
                <c:ptCount val="1"/>
                <c:pt idx="0">
                  <c:v>Decrease from 2010-2015 average (rhs)</c:v>
                </c:pt>
              </c:strCache>
            </c:strRef>
          </c:tx>
          <c:marker>
            <c:symbol val="none"/>
          </c:marker>
          <c:cat>
            <c:strRef>
              <c:f>'total-primary'!$R$6:$R$11</c:f>
              <c:strCache>
                <c:ptCount val="6"/>
                <c:pt idx="0">
                  <c:v>Croatia</c:v>
                </c:pt>
                <c:pt idx="1">
                  <c:v>Hungary</c:v>
                </c:pt>
                <c:pt idx="2">
                  <c:v>Slovenia</c:v>
                </c:pt>
                <c:pt idx="3">
                  <c:v>Slovakia</c:v>
                </c:pt>
                <c:pt idx="4">
                  <c:v>Poland</c:v>
                </c:pt>
                <c:pt idx="5">
                  <c:v>Czech R.</c:v>
                </c:pt>
              </c:strCache>
            </c:strRef>
          </c:cat>
          <c:val>
            <c:numRef>
              <c:f>'total-primary'!$T$6:$T$11</c:f>
              <c:numCache>
                <c:formatCode>General</c:formatCode>
                <c:ptCount val="6"/>
                <c:pt idx="0">
                  <c:v>-0.64227788833333221</c:v>
                </c:pt>
                <c:pt idx="1">
                  <c:v>-1.7155448016666597</c:v>
                </c:pt>
                <c:pt idx="2">
                  <c:v>-6.235335153333331</c:v>
                </c:pt>
                <c:pt idx="3">
                  <c:v>-0.50620332333333806</c:v>
                </c:pt>
                <c:pt idx="4">
                  <c:v>-1.374721319999999</c:v>
                </c:pt>
                <c:pt idx="5">
                  <c:v>-3.1695025600000051</c:v>
                </c:pt>
              </c:numCache>
            </c:numRef>
          </c:val>
          <c:smooth val="0"/>
        </c:ser>
        <c:dLbls>
          <c:showLegendKey val="0"/>
          <c:showVal val="0"/>
          <c:showCatName val="0"/>
          <c:showSerName val="0"/>
          <c:showPercent val="0"/>
          <c:showBubbleSize val="0"/>
        </c:dLbls>
        <c:marker val="1"/>
        <c:smooth val="0"/>
        <c:axId val="189313024"/>
        <c:axId val="189294464"/>
      </c:lineChart>
      <c:catAx>
        <c:axId val="330774784"/>
        <c:scaling>
          <c:orientation val="minMax"/>
        </c:scaling>
        <c:delete val="0"/>
        <c:axPos val="b"/>
        <c:majorTickMark val="none"/>
        <c:minorTickMark val="none"/>
        <c:tickLblPos val="nextTo"/>
        <c:txPr>
          <a:bodyPr/>
          <a:lstStyle/>
          <a:p>
            <a:pPr>
              <a:defRPr sz="680"/>
            </a:pPr>
            <a:endParaRPr lang="en-US"/>
          </a:p>
        </c:txPr>
        <c:crossAx val="189292544"/>
        <c:crosses val="autoZero"/>
        <c:auto val="1"/>
        <c:lblAlgn val="ctr"/>
        <c:lblOffset val="100"/>
        <c:noMultiLvlLbl val="0"/>
      </c:catAx>
      <c:valAx>
        <c:axId val="189292544"/>
        <c:scaling>
          <c:orientation val="minMax"/>
          <c:max val="46"/>
          <c:min val="34"/>
        </c:scaling>
        <c:delete val="0"/>
        <c:axPos val="l"/>
        <c:title>
          <c:tx>
            <c:rich>
              <a:bodyPr rot="0" vert="horz"/>
              <a:lstStyle/>
              <a:p>
                <a:pPr>
                  <a:defRPr b="0"/>
                </a:pPr>
                <a:r>
                  <a:rPr lang="en-US" b="0"/>
                  <a:t>% of GDP</a:t>
                </a:r>
              </a:p>
            </c:rich>
          </c:tx>
          <c:layout>
            <c:manualLayout>
              <c:xMode val="edge"/>
              <c:yMode val="edge"/>
              <c:x val="7.4707396032207191E-2"/>
              <c:y val="4.3004827465755825E-2"/>
            </c:manualLayout>
          </c:layout>
          <c:overlay val="0"/>
        </c:title>
        <c:numFmt formatCode="General" sourceLinked="1"/>
        <c:majorTickMark val="none"/>
        <c:minorTickMark val="none"/>
        <c:tickLblPos val="nextTo"/>
        <c:crossAx val="330774784"/>
        <c:crosses val="autoZero"/>
        <c:crossBetween val="between"/>
        <c:majorUnit val="2"/>
      </c:valAx>
      <c:valAx>
        <c:axId val="189294464"/>
        <c:scaling>
          <c:orientation val="minMax"/>
          <c:min val="-10"/>
        </c:scaling>
        <c:delete val="0"/>
        <c:axPos val="r"/>
        <c:title>
          <c:tx>
            <c:rich>
              <a:bodyPr rot="0" vert="horz"/>
              <a:lstStyle/>
              <a:p>
                <a:pPr>
                  <a:defRPr b="0"/>
                </a:pPr>
                <a:r>
                  <a:rPr lang="en-US" b="0"/>
                  <a:t>pps</a:t>
                </a:r>
              </a:p>
            </c:rich>
          </c:tx>
          <c:layout>
            <c:manualLayout>
              <c:xMode val="edge"/>
              <c:yMode val="edge"/>
              <c:x val="0.82194737278990615"/>
              <c:y val="4.7414581842437069E-2"/>
            </c:manualLayout>
          </c:layout>
          <c:overlay val="0"/>
        </c:title>
        <c:numFmt formatCode="General" sourceLinked="1"/>
        <c:majorTickMark val="none"/>
        <c:minorTickMark val="none"/>
        <c:tickLblPos val="nextTo"/>
        <c:crossAx val="189313024"/>
        <c:crosses val="max"/>
        <c:crossBetween val="between"/>
        <c:majorUnit val="2"/>
      </c:valAx>
      <c:catAx>
        <c:axId val="189313024"/>
        <c:scaling>
          <c:orientation val="minMax"/>
        </c:scaling>
        <c:delete val="1"/>
        <c:axPos val="b"/>
        <c:majorTickMark val="out"/>
        <c:minorTickMark val="none"/>
        <c:tickLblPos val="nextTo"/>
        <c:crossAx val="189294464"/>
        <c:crosses val="autoZero"/>
        <c:auto val="1"/>
        <c:lblAlgn val="ctr"/>
        <c:lblOffset val="100"/>
        <c:noMultiLvlLbl val="0"/>
      </c:cat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ayout>
        <c:manualLayout>
          <c:xMode val="edge"/>
          <c:yMode val="edge"/>
          <c:x val="7.3246582120291412E-3"/>
          <c:y val="0.89332283325677031"/>
          <c:w val="0.97289945090390717"/>
          <c:h val="0.10667716674322973"/>
        </c:manualLayout>
      </c:layout>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700">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7334083239595"/>
          <c:y val="4.8507298143493409E-2"/>
          <c:w val="0.82161207187858054"/>
          <c:h val="0.77021985229753409"/>
        </c:manualLayout>
      </c:layout>
      <c:barChart>
        <c:barDir val="col"/>
        <c:grouping val="clustered"/>
        <c:varyColors val="0"/>
        <c:ser>
          <c:idx val="0"/>
          <c:order val="0"/>
          <c:tx>
            <c:strRef>
              <c:f>'Hospital Personnel'!$K$9</c:f>
              <c:strCache>
                <c:ptCount val="1"/>
                <c:pt idx="0">
                  <c:v>Doctors</c:v>
                </c:pt>
              </c:strCache>
            </c:strRef>
          </c:tx>
          <c:invertIfNegative val="0"/>
          <c:cat>
            <c:strRef>
              <c:f>'Hospital Personnel'!$J$10:$J$13</c:f>
              <c:strCache>
                <c:ptCount val="4"/>
                <c:pt idx="0">
                  <c:v>Croatia</c:v>
                </c:pt>
                <c:pt idx="1">
                  <c:v>EU12</c:v>
                </c:pt>
                <c:pt idx="2">
                  <c:v>EU15</c:v>
                </c:pt>
                <c:pt idx="3">
                  <c:v>EU</c:v>
                </c:pt>
              </c:strCache>
            </c:strRef>
          </c:cat>
          <c:val>
            <c:numRef>
              <c:f>'Hospital Personnel'!$K$10:$K$13</c:f>
              <c:numCache>
                <c:formatCode>#,##0</c:formatCode>
                <c:ptCount val="4"/>
                <c:pt idx="0">
                  <c:v>194.68</c:v>
                </c:pt>
                <c:pt idx="1">
                  <c:v>185.28800000000001</c:v>
                </c:pt>
                <c:pt idx="2">
                  <c:v>203.18833333333336</c:v>
                </c:pt>
                <c:pt idx="3">
                  <c:v>197.29999999999998</c:v>
                </c:pt>
              </c:numCache>
            </c:numRef>
          </c:val>
        </c:ser>
        <c:ser>
          <c:idx val="1"/>
          <c:order val="1"/>
          <c:tx>
            <c:strRef>
              <c:f>'Hospital Personnel'!$L$9</c:f>
              <c:strCache>
                <c:ptCount val="1"/>
                <c:pt idx="0">
                  <c:v>Nurses</c:v>
                </c:pt>
              </c:strCache>
            </c:strRef>
          </c:tx>
          <c:invertIfNegative val="0"/>
          <c:cat>
            <c:strRef>
              <c:f>'Hospital Personnel'!$J$10:$J$13</c:f>
              <c:strCache>
                <c:ptCount val="4"/>
                <c:pt idx="0">
                  <c:v>Croatia</c:v>
                </c:pt>
                <c:pt idx="1">
                  <c:v>EU12</c:v>
                </c:pt>
                <c:pt idx="2">
                  <c:v>EU15</c:v>
                </c:pt>
                <c:pt idx="3">
                  <c:v>EU</c:v>
                </c:pt>
              </c:strCache>
            </c:strRef>
          </c:cat>
          <c:val>
            <c:numRef>
              <c:f>'Hospital Personnel'!$L$10:$L$13</c:f>
              <c:numCache>
                <c:formatCode>#,##0</c:formatCode>
                <c:ptCount val="4"/>
                <c:pt idx="0">
                  <c:v>107.25</c:v>
                </c:pt>
                <c:pt idx="1">
                  <c:v>375.68636363636358</c:v>
                </c:pt>
                <c:pt idx="2">
                  <c:v>494.98384615384629</c:v>
                </c:pt>
                <c:pt idx="3">
                  <c:v>426.98359999999991</c:v>
                </c:pt>
              </c:numCache>
            </c:numRef>
          </c:val>
        </c:ser>
        <c:ser>
          <c:idx val="2"/>
          <c:order val="2"/>
          <c:tx>
            <c:strRef>
              <c:f>'Hospital Personnel'!$M$9</c:f>
              <c:strCache>
                <c:ptCount val="1"/>
                <c:pt idx="0">
                  <c:v>Total employees</c:v>
                </c:pt>
              </c:strCache>
            </c:strRef>
          </c:tx>
          <c:invertIfNegative val="0"/>
          <c:cat>
            <c:strRef>
              <c:f>'Hospital Personnel'!$J$10:$J$13</c:f>
              <c:strCache>
                <c:ptCount val="4"/>
                <c:pt idx="0">
                  <c:v>Croatia</c:v>
                </c:pt>
                <c:pt idx="1">
                  <c:v>EU12</c:v>
                </c:pt>
                <c:pt idx="2">
                  <c:v>EU15</c:v>
                </c:pt>
                <c:pt idx="3">
                  <c:v>EU</c:v>
                </c:pt>
              </c:strCache>
            </c:strRef>
          </c:cat>
          <c:val>
            <c:numRef>
              <c:f>'Hospital Personnel'!$M$10:$M$13</c:f>
              <c:numCache>
                <c:formatCode>#,##0</c:formatCode>
                <c:ptCount val="4"/>
                <c:pt idx="0">
                  <c:v>1079.4000000000001</c:v>
                </c:pt>
                <c:pt idx="1">
                  <c:v>1232.7822222222223</c:v>
                </c:pt>
                <c:pt idx="2">
                  <c:v>1520.3215384615385</c:v>
                </c:pt>
                <c:pt idx="3">
                  <c:v>1388.6356521739131</c:v>
                </c:pt>
              </c:numCache>
            </c:numRef>
          </c:val>
        </c:ser>
        <c:dLbls>
          <c:showLegendKey val="0"/>
          <c:showVal val="0"/>
          <c:showCatName val="0"/>
          <c:showSerName val="0"/>
          <c:showPercent val="0"/>
          <c:showBubbleSize val="0"/>
        </c:dLbls>
        <c:gapWidth val="150"/>
        <c:axId val="190241024"/>
        <c:axId val="190255104"/>
      </c:barChart>
      <c:catAx>
        <c:axId val="190241024"/>
        <c:scaling>
          <c:orientation val="minMax"/>
        </c:scaling>
        <c:delete val="0"/>
        <c:axPos val="b"/>
        <c:majorTickMark val="none"/>
        <c:minorTickMark val="none"/>
        <c:tickLblPos val="low"/>
        <c:spPr>
          <a:ln w="6350" cmpd="sng">
            <a:solidFill>
              <a:schemeClr val="accent4"/>
            </a:solidFill>
            <a:prstDash val="solid"/>
          </a:ln>
        </c:spPr>
        <c:crossAx val="190255104"/>
        <c:crosses val="autoZero"/>
        <c:auto val="1"/>
        <c:lblAlgn val="ctr"/>
        <c:lblOffset val="100"/>
        <c:noMultiLvlLbl val="0"/>
      </c:catAx>
      <c:valAx>
        <c:axId val="190255104"/>
        <c:scaling>
          <c:orientation val="minMax"/>
        </c:scaling>
        <c:delete val="0"/>
        <c:axPos val="l"/>
        <c:title>
          <c:tx>
            <c:rich>
              <a:bodyPr rot="0" vert="horz"/>
              <a:lstStyle/>
              <a:p>
                <a:pPr>
                  <a:defRPr b="0"/>
                </a:pPr>
                <a:r>
                  <a:rPr lang="en-US" b="0"/>
                  <a:t>per 100,000 inhabitants</a:t>
                </a:r>
              </a:p>
            </c:rich>
          </c:tx>
          <c:layout>
            <c:manualLayout>
              <c:xMode val="edge"/>
              <c:yMode val="edge"/>
              <c:x val="0.13696355939237984"/>
              <c:y val="4.0719046909717047E-2"/>
            </c:manualLayout>
          </c:layout>
          <c:overlay val="0"/>
        </c:title>
        <c:numFmt formatCode="#,##0" sourceLinked="1"/>
        <c:majorTickMark val="none"/>
        <c:minorTickMark val="none"/>
        <c:tickLblPos val="nextTo"/>
        <c:spPr>
          <a:ln w="6350" cmpd="sng">
            <a:solidFill>
              <a:schemeClr val="accent4"/>
            </a:solidFill>
            <a:prstDash val="solid"/>
          </a:ln>
        </c:spPr>
        <c:crossAx val="190241024"/>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ayout>
        <c:manualLayout>
          <c:xMode val="edge"/>
          <c:yMode val="edge"/>
          <c:x val="0.1385240485264734"/>
          <c:y val="0.90807606583242451"/>
          <c:w val="0.7478540414871151"/>
          <c:h val="6.5465407907488213E-2"/>
        </c:manualLayout>
      </c:layout>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700">
          <a:latin typeface="Arial"/>
          <a:ea typeface="Arial"/>
          <a:cs typeface="Arial"/>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0.83018</cdr:x>
      <cdr:y>0.04347</cdr:y>
    </cdr:from>
    <cdr:to>
      <cdr:x>0.83232</cdr:x>
      <cdr:y>0.73934</cdr:y>
    </cdr:to>
    <cdr:cxnSp macro="">
      <cdr:nvCxnSpPr>
        <cdr:cNvPr id="2" name="Straight Connector 1"/>
        <cdr:cNvCxnSpPr/>
      </cdr:nvCxnSpPr>
      <cdr:spPr>
        <a:xfrm xmlns:a="http://schemas.openxmlformats.org/drawingml/2006/main">
          <a:off x="2540357" y="125194"/>
          <a:ext cx="6548" cy="2004105"/>
        </a:xfrm>
        <a:prstGeom xmlns:a="http://schemas.openxmlformats.org/drawingml/2006/main" prst="line">
          <a:avLst/>
        </a:prstGeom>
        <a:ln xmlns:a="http://schemas.openxmlformats.org/drawingml/2006/main" w="15875">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0.80884</cdr:x>
      <cdr:y>0.07291</cdr:y>
    </cdr:from>
    <cdr:to>
      <cdr:x>0.9988</cdr:x>
      <cdr:y>0.17117</cdr:y>
    </cdr:to>
    <cdr:sp macro="" textlink="">
      <cdr:nvSpPr>
        <cdr:cNvPr id="4" name="TextBox 4"/>
        <cdr:cNvSpPr txBox="1"/>
      </cdr:nvSpPr>
      <cdr:spPr>
        <a:xfrm xmlns:a="http://schemas.openxmlformats.org/drawingml/2006/main">
          <a:off x="2099144" y="176117"/>
          <a:ext cx="492981" cy="23735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A333F23-4D59-418B-96F1-8442D87E63EE}" type="TxLink">
            <a:rPr lang="en-US" sz="680" b="0" i="1" u="none" strike="noStrike">
              <a:solidFill>
                <a:srgbClr val="000000"/>
              </a:solidFill>
              <a:latin typeface="Arial"/>
              <a:cs typeface="Arial"/>
            </a:rPr>
            <a:pPr/>
            <a:t>forecast</a:t>
          </a:fld>
          <a:endParaRPr lang="en-GB" sz="680" i="1">
            <a:latin typeface="Aria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ECchart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ECchart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AD5F2-8475-4055-9198-8BE607A0C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30539</Words>
  <Characters>171842</Characters>
  <Application>Microsoft Office Word</Application>
  <DocSecurity>0</DocSecurity>
  <Lines>4135</Lines>
  <Paragraphs>581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18</cp:revision>
  <cp:lastPrinted>2018-02-26T09:54:00Z</cp:lastPrinted>
  <dcterms:created xsi:type="dcterms:W3CDTF">2018-03-05T15:42:00Z</dcterms:created>
  <dcterms:modified xsi:type="dcterms:W3CDTF">2018-03-06T17:55:00Z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