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F2" w:rsidRDefault="008D7727" w:rsidP="008D7727">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FFA8340-E992-4AA7-9C18-0BBA61D7282D" style="width:450.85pt;height:444pt">
            <v:imagedata r:id="rId9" o:title=""/>
          </v:shape>
        </w:pict>
      </w:r>
    </w:p>
    <w:bookmarkEnd w:id="0"/>
    <w:p w:rsidR="00D329F2" w:rsidRDefault="00D329F2">
      <w:pPr>
        <w:rPr>
          <w:noProof/>
        </w:rPr>
        <w:sectPr w:rsidR="00D329F2" w:rsidSect="008D772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D329F2" w:rsidRDefault="008D7727">
      <w:pPr>
        <w:pStyle w:val="SectionTitleFramed1"/>
        <w:framePr w:wrap="notBeside"/>
        <w:rPr>
          <w:noProof/>
        </w:rPr>
      </w:pPr>
      <w:bookmarkStart w:id="1" w:name="_GoBack"/>
      <w:bookmarkEnd w:id="1"/>
      <w:r>
        <w:rPr>
          <w:noProof/>
        </w:rPr>
        <w:lastRenderedPageBreak/>
        <w:t>Contents</w:t>
      </w:r>
    </w:p>
    <w:p w:rsidR="00D329F2" w:rsidRDefault="008D7727">
      <w:pPr>
        <w:pStyle w:val="TOC2"/>
        <w:rPr>
          <w:noProof/>
        </w:rPr>
      </w:pPr>
      <w:r>
        <w:rPr>
          <w:noProof/>
        </w:rPr>
        <w:fldChar w:fldCharType="begin"/>
      </w:r>
      <w:r>
        <w:rPr>
          <w:noProof/>
        </w:rPr>
        <w:instrText xml:space="preserve"> TOC \o "1-4" \h \z </w:instrText>
      </w:r>
      <w:r>
        <w:rPr>
          <w:noProof/>
        </w:rPr>
        <w:fldChar w:fldCharType="separate"/>
      </w:r>
      <w:hyperlink w:anchor="_Toc505334094" w:history="1">
        <w:r>
          <w:rPr>
            <w:noProof/>
          </w:rPr>
          <w:t>Executive summary</w:t>
        </w:r>
        <w:r>
          <w:rPr>
            <w:noProof/>
            <w:webHidden/>
          </w:rPr>
          <w:tab/>
        </w:r>
        <w:r>
          <w:rPr>
            <w:noProof/>
            <w:webHidden/>
          </w:rPr>
          <w:fldChar w:fldCharType="begin"/>
        </w:r>
        <w:r>
          <w:rPr>
            <w:noProof/>
            <w:webHidden/>
          </w:rPr>
          <w:instrText xml:space="preserve"> PAGEREF _Toc505334094 \h </w:instrText>
        </w:r>
        <w:r>
          <w:rPr>
            <w:noProof/>
            <w:webHidden/>
          </w:rPr>
        </w:r>
        <w:r>
          <w:rPr>
            <w:noProof/>
            <w:webHidden/>
          </w:rPr>
          <w:fldChar w:fldCharType="separate"/>
        </w:r>
        <w:r>
          <w:rPr>
            <w:noProof/>
            <w:webHidden/>
          </w:rPr>
          <w:t>1</w:t>
        </w:r>
        <w:r>
          <w:rPr>
            <w:noProof/>
            <w:webHidden/>
          </w:rPr>
          <w:fldChar w:fldCharType="end"/>
        </w:r>
      </w:hyperlink>
    </w:p>
    <w:p w:rsidR="00D329F2" w:rsidRDefault="008D7727">
      <w:pPr>
        <w:pStyle w:val="TOC2"/>
        <w:rPr>
          <w:noProof/>
        </w:rPr>
      </w:pPr>
      <w:hyperlink w:anchor="_Toc505334095" w:history="1">
        <w:r>
          <w:rPr>
            <w:noProof/>
          </w:rPr>
          <w:t>1.</w:t>
        </w:r>
        <w:r>
          <w:rPr>
            <w:noProof/>
          </w:rPr>
          <w:tab/>
          <w:t>Economic situation and outlook</w:t>
        </w:r>
        <w:r>
          <w:rPr>
            <w:noProof/>
            <w:webHidden/>
          </w:rPr>
          <w:tab/>
        </w:r>
        <w:r>
          <w:rPr>
            <w:noProof/>
            <w:webHidden/>
          </w:rPr>
          <w:fldChar w:fldCharType="begin"/>
        </w:r>
        <w:r>
          <w:rPr>
            <w:noProof/>
            <w:webHidden/>
          </w:rPr>
          <w:instrText xml:space="preserve"> PAGEREF _Toc505334095 \h </w:instrText>
        </w:r>
        <w:r>
          <w:rPr>
            <w:noProof/>
            <w:webHidden/>
          </w:rPr>
        </w:r>
        <w:r>
          <w:rPr>
            <w:noProof/>
            <w:webHidden/>
          </w:rPr>
          <w:fldChar w:fldCharType="separate"/>
        </w:r>
        <w:r>
          <w:rPr>
            <w:noProof/>
            <w:webHidden/>
          </w:rPr>
          <w:t>4</w:t>
        </w:r>
        <w:r>
          <w:rPr>
            <w:noProof/>
            <w:webHidden/>
          </w:rPr>
          <w:fldChar w:fldCharType="end"/>
        </w:r>
      </w:hyperlink>
    </w:p>
    <w:p w:rsidR="00D329F2" w:rsidRDefault="008D7727">
      <w:pPr>
        <w:pStyle w:val="TOC2"/>
        <w:rPr>
          <w:noProof/>
        </w:rPr>
      </w:pPr>
      <w:hyperlink w:anchor="_Toc505334096" w:history="1">
        <w:r>
          <w:rPr>
            <w:noProof/>
          </w:rPr>
          <w:t>2.</w:t>
        </w:r>
        <w:r>
          <w:rPr>
            <w:noProof/>
          </w:rPr>
          <w:tab/>
          <w:t>Progress with country-specific recommendations</w:t>
        </w:r>
        <w:r>
          <w:rPr>
            <w:noProof/>
            <w:webHidden/>
          </w:rPr>
          <w:tab/>
        </w:r>
        <w:r>
          <w:rPr>
            <w:noProof/>
            <w:webHidden/>
          </w:rPr>
          <w:fldChar w:fldCharType="begin"/>
        </w:r>
        <w:r>
          <w:rPr>
            <w:noProof/>
            <w:webHidden/>
          </w:rPr>
          <w:instrText xml:space="preserve"> PAGEREF _Toc505334096 \h </w:instrText>
        </w:r>
        <w:r>
          <w:rPr>
            <w:noProof/>
            <w:webHidden/>
          </w:rPr>
        </w:r>
        <w:r>
          <w:rPr>
            <w:noProof/>
            <w:webHidden/>
          </w:rPr>
          <w:fldChar w:fldCharType="separate"/>
        </w:r>
        <w:r>
          <w:rPr>
            <w:noProof/>
            <w:webHidden/>
          </w:rPr>
          <w:t>12</w:t>
        </w:r>
        <w:r>
          <w:rPr>
            <w:noProof/>
            <w:webHidden/>
          </w:rPr>
          <w:fldChar w:fldCharType="end"/>
        </w:r>
      </w:hyperlink>
    </w:p>
    <w:p w:rsidR="00D329F2" w:rsidRDefault="008D7727">
      <w:pPr>
        <w:pStyle w:val="TOC2"/>
        <w:rPr>
          <w:noProof/>
        </w:rPr>
      </w:pPr>
      <w:hyperlink w:anchor="_Toc505334097" w:history="1">
        <w:r>
          <w:rPr>
            <w:noProof/>
          </w:rPr>
          <w:t>3.</w:t>
        </w:r>
        <w:r>
          <w:rPr>
            <w:noProof/>
          </w:rPr>
          <w:tab/>
          <w:t>Reform priorities</w:t>
        </w:r>
        <w:r>
          <w:rPr>
            <w:noProof/>
            <w:webHidden/>
          </w:rPr>
          <w:tab/>
        </w:r>
        <w:r>
          <w:rPr>
            <w:noProof/>
            <w:webHidden/>
          </w:rPr>
          <w:fldChar w:fldCharType="begin"/>
        </w:r>
        <w:r>
          <w:rPr>
            <w:noProof/>
            <w:webHidden/>
          </w:rPr>
          <w:instrText xml:space="preserve"> PAGEREF _Toc505334097 \h </w:instrText>
        </w:r>
        <w:r>
          <w:rPr>
            <w:noProof/>
            <w:webHidden/>
          </w:rPr>
        </w:r>
        <w:r>
          <w:rPr>
            <w:noProof/>
            <w:webHidden/>
          </w:rPr>
          <w:fldChar w:fldCharType="separate"/>
        </w:r>
        <w:r>
          <w:rPr>
            <w:noProof/>
            <w:webHidden/>
          </w:rPr>
          <w:t>16</w:t>
        </w:r>
        <w:r>
          <w:rPr>
            <w:noProof/>
            <w:webHidden/>
          </w:rPr>
          <w:fldChar w:fldCharType="end"/>
        </w:r>
      </w:hyperlink>
    </w:p>
    <w:p w:rsidR="00D329F2" w:rsidRDefault="008D7727">
      <w:pPr>
        <w:pStyle w:val="TOC3"/>
        <w:rPr>
          <w:noProof/>
        </w:rPr>
      </w:pPr>
      <w:hyperlink w:anchor="_Toc505334098" w:history="1">
        <w:r>
          <w:rPr>
            <w:noProof/>
          </w:rPr>
          <w:t>3.1.</w:t>
        </w:r>
        <w:r>
          <w:rPr>
            <w:noProof/>
          </w:rPr>
          <w:tab/>
          <w:t>Public finances and taxation</w:t>
        </w:r>
        <w:r>
          <w:rPr>
            <w:noProof/>
            <w:webHidden/>
          </w:rPr>
          <w:tab/>
        </w:r>
        <w:r>
          <w:rPr>
            <w:noProof/>
            <w:webHidden/>
          </w:rPr>
          <w:fldChar w:fldCharType="begin"/>
        </w:r>
        <w:r>
          <w:rPr>
            <w:noProof/>
            <w:webHidden/>
          </w:rPr>
          <w:instrText xml:space="preserve"> PAGEREF _Toc505334098 \h </w:instrText>
        </w:r>
        <w:r>
          <w:rPr>
            <w:noProof/>
            <w:webHidden/>
          </w:rPr>
        </w:r>
        <w:r>
          <w:rPr>
            <w:noProof/>
            <w:webHidden/>
          </w:rPr>
          <w:fldChar w:fldCharType="separate"/>
        </w:r>
        <w:r>
          <w:rPr>
            <w:noProof/>
            <w:webHidden/>
          </w:rPr>
          <w:t>16</w:t>
        </w:r>
        <w:r>
          <w:rPr>
            <w:noProof/>
            <w:webHidden/>
          </w:rPr>
          <w:fldChar w:fldCharType="end"/>
        </w:r>
      </w:hyperlink>
    </w:p>
    <w:p w:rsidR="00D329F2" w:rsidRDefault="008D7727">
      <w:pPr>
        <w:pStyle w:val="TOC3"/>
        <w:rPr>
          <w:noProof/>
        </w:rPr>
      </w:pPr>
      <w:hyperlink w:anchor="_Toc505334099" w:history="1">
        <w:r>
          <w:rPr>
            <w:noProof/>
          </w:rPr>
          <w:t>3.2.</w:t>
        </w:r>
        <w:r>
          <w:rPr>
            <w:noProof/>
          </w:rPr>
          <w:tab/>
          <w:t>Financial sector and housing</w:t>
        </w:r>
        <w:r>
          <w:rPr>
            <w:noProof/>
            <w:webHidden/>
          </w:rPr>
          <w:tab/>
        </w:r>
        <w:r>
          <w:rPr>
            <w:noProof/>
            <w:webHidden/>
          </w:rPr>
          <w:fldChar w:fldCharType="begin"/>
        </w:r>
        <w:r>
          <w:rPr>
            <w:noProof/>
            <w:webHidden/>
          </w:rPr>
          <w:instrText xml:space="preserve"> PAGEREF _Toc505334099 \h </w:instrText>
        </w:r>
        <w:r>
          <w:rPr>
            <w:noProof/>
            <w:webHidden/>
          </w:rPr>
        </w:r>
        <w:r>
          <w:rPr>
            <w:noProof/>
            <w:webHidden/>
          </w:rPr>
          <w:fldChar w:fldCharType="separate"/>
        </w:r>
        <w:r>
          <w:rPr>
            <w:noProof/>
            <w:webHidden/>
          </w:rPr>
          <w:t>19</w:t>
        </w:r>
        <w:r>
          <w:rPr>
            <w:noProof/>
            <w:webHidden/>
          </w:rPr>
          <w:fldChar w:fldCharType="end"/>
        </w:r>
      </w:hyperlink>
    </w:p>
    <w:p w:rsidR="00D329F2" w:rsidRDefault="008D7727">
      <w:pPr>
        <w:pStyle w:val="TOC3"/>
        <w:rPr>
          <w:noProof/>
        </w:rPr>
      </w:pPr>
      <w:hyperlink w:anchor="_Toc505334100" w:history="1">
        <w:r>
          <w:rPr>
            <w:noProof/>
          </w:rPr>
          <w:t>3.3.</w:t>
        </w:r>
        <w:r>
          <w:rPr>
            <w:noProof/>
          </w:rPr>
          <w:tab/>
          <w:t>Labour market, education and social policies</w:t>
        </w:r>
        <w:r>
          <w:rPr>
            <w:noProof/>
            <w:webHidden/>
          </w:rPr>
          <w:tab/>
        </w:r>
        <w:r>
          <w:rPr>
            <w:noProof/>
            <w:webHidden/>
          </w:rPr>
          <w:fldChar w:fldCharType="begin"/>
        </w:r>
        <w:r>
          <w:rPr>
            <w:noProof/>
            <w:webHidden/>
          </w:rPr>
          <w:instrText xml:space="preserve"> PAGEREF _Toc505334100 \h </w:instrText>
        </w:r>
        <w:r>
          <w:rPr>
            <w:noProof/>
            <w:webHidden/>
          </w:rPr>
        </w:r>
        <w:r>
          <w:rPr>
            <w:noProof/>
            <w:webHidden/>
          </w:rPr>
          <w:fldChar w:fldCharType="separate"/>
        </w:r>
        <w:r>
          <w:rPr>
            <w:noProof/>
            <w:webHidden/>
          </w:rPr>
          <w:t>25</w:t>
        </w:r>
        <w:r>
          <w:rPr>
            <w:noProof/>
            <w:webHidden/>
          </w:rPr>
          <w:fldChar w:fldCharType="end"/>
        </w:r>
      </w:hyperlink>
    </w:p>
    <w:p w:rsidR="00D329F2" w:rsidRDefault="008D7727">
      <w:pPr>
        <w:pStyle w:val="TOC3"/>
        <w:rPr>
          <w:noProof/>
        </w:rPr>
      </w:pPr>
      <w:hyperlink w:anchor="_Toc505334101" w:history="1">
        <w:r>
          <w:rPr>
            <w:noProof/>
          </w:rPr>
          <w:t xml:space="preserve">3.4. </w:t>
        </w:r>
        <w:r>
          <w:rPr>
            <w:noProof/>
          </w:rPr>
          <w:tab/>
          <w:t>Investment</w:t>
        </w:r>
        <w:r>
          <w:rPr>
            <w:noProof/>
            <w:webHidden/>
          </w:rPr>
          <w:tab/>
        </w:r>
        <w:r>
          <w:rPr>
            <w:noProof/>
            <w:webHidden/>
          </w:rPr>
          <w:fldChar w:fldCharType="begin"/>
        </w:r>
        <w:r>
          <w:rPr>
            <w:noProof/>
            <w:webHidden/>
          </w:rPr>
          <w:instrText xml:space="preserve"> PAGEREF _Toc505334101 \h </w:instrText>
        </w:r>
        <w:r>
          <w:rPr>
            <w:noProof/>
            <w:webHidden/>
          </w:rPr>
        </w:r>
        <w:r>
          <w:rPr>
            <w:noProof/>
            <w:webHidden/>
          </w:rPr>
          <w:fldChar w:fldCharType="separate"/>
        </w:r>
        <w:r>
          <w:rPr>
            <w:noProof/>
            <w:webHidden/>
          </w:rPr>
          <w:t>32</w:t>
        </w:r>
        <w:r>
          <w:rPr>
            <w:noProof/>
            <w:webHidden/>
          </w:rPr>
          <w:fldChar w:fldCharType="end"/>
        </w:r>
      </w:hyperlink>
    </w:p>
    <w:p w:rsidR="00D329F2" w:rsidRDefault="008D7727">
      <w:pPr>
        <w:pStyle w:val="TOC3"/>
        <w:rPr>
          <w:noProof/>
        </w:rPr>
      </w:pPr>
      <w:hyperlink w:anchor="_Toc505334102" w:history="1">
        <w:r>
          <w:rPr>
            <w:noProof/>
          </w:rPr>
          <w:t xml:space="preserve">3.5. </w:t>
        </w:r>
        <w:r>
          <w:rPr>
            <w:noProof/>
          </w:rPr>
          <w:tab/>
          <w:t>Sectoral policies</w:t>
        </w:r>
        <w:r>
          <w:rPr>
            <w:noProof/>
            <w:webHidden/>
          </w:rPr>
          <w:tab/>
        </w:r>
        <w:r>
          <w:rPr>
            <w:noProof/>
            <w:webHidden/>
          </w:rPr>
          <w:fldChar w:fldCharType="begin"/>
        </w:r>
        <w:r>
          <w:rPr>
            <w:noProof/>
            <w:webHidden/>
          </w:rPr>
          <w:instrText xml:space="preserve"> PAGEREF _Toc505334102 \h </w:instrText>
        </w:r>
        <w:r>
          <w:rPr>
            <w:noProof/>
            <w:webHidden/>
          </w:rPr>
        </w:r>
        <w:r>
          <w:rPr>
            <w:noProof/>
            <w:webHidden/>
          </w:rPr>
          <w:fldChar w:fldCharType="separate"/>
        </w:r>
        <w:r>
          <w:rPr>
            <w:noProof/>
            <w:webHidden/>
          </w:rPr>
          <w:t>38</w:t>
        </w:r>
        <w:r>
          <w:rPr>
            <w:noProof/>
            <w:webHidden/>
          </w:rPr>
          <w:fldChar w:fldCharType="end"/>
        </w:r>
      </w:hyperlink>
    </w:p>
    <w:p w:rsidR="00D329F2" w:rsidRDefault="008D7727">
      <w:pPr>
        <w:pStyle w:val="TOC2"/>
        <w:rPr>
          <w:noProof/>
        </w:rPr>
      </w:pPr>
      <w:hyperlink w:anchor="_Toc505334103" w:history="1">
        <w:r>
          <w:rPr>
            <w:noProof/>
          </w:rPr>
          <w:t>Annex A: Overview Table</w:t>
        </w:r>
        <w:r>
          <w:rPr>
            <w:noProof/>
            <w:webHidden/>
          </w:rPr>
          <w:tab/>
        </w:r>
        <w:r>
          <w:rPr>
            <w:noProof/>
            <w:webHidden/>
          </w:rPr>
          <w:fldChar w:fldCharType="begin"/>
        </w:r>
        <w:r>
          <w:rPr>
            <w:noProof/>
            <w:webHidden/>
          </w:rPr>
          <w:instrText xml:space="preserve"> PAGEREF _Toc505334103 \h </w:instrText>
        </w:r>
        <w:r>
          <w:rPr>
            <w:noProof/>
            <w:webHidden/>
          </w:rPr>
        </w:r>
        <w:r>
          <w:rPr>
            <w:noProof/>
            <w:webHidden/>
          </w:rPr>
          <w:fldChar w:fldCharType="separate"/>
        </w:r>
        <w:r>
          <w:rPr>
            <w:noProof/>
            <w:webHidden/>
          </w:rPr>
          <w:t>44</w:t>
        </w:r>
        <w:r>
          <w:rPr>
            <w:noProof/>
            <w:webHidden/>
          </w:rPr>
          <w:fldChar w:fldCharType="end"/>
        </w:r>
      </w:hyperlink>
    </w:p>
    <w:p w:rsidR="00D329F2" w:rsidRDefault="008D7727">
      <w:pPr>
        <w:pStyle w:val="TOC2"/>
        <w:rPr>
          <w:noProof/>
        </w:rPr>
      </w:pPr>
      <w:hyperlink w:anchor="_Toc505334104" w:history="1">
        <w:r>
          <w:rPr>
            <w:noProof/>
          </w:rPr>
          <w:t>Annex B: MIP Scoreboard</w:t>
        </w:r>
        <w:r>
          <w:rPr>
            <w:noProof/>
            <w:webHidden/>
          </w:rPr>
          <w:tab/>
        </w:r>
        <w:r>
          <w:rPr>
            <w:noProof/>
            <w:webHidden/>
          </w:rPr>
          <w:fldChar w:fldCharType="begin"/>
        </w:r>
        <w:r>
          <w:rPr>
            <w:noProof/>
            <w:webHidden/>
          </w:rPr>
          <w:instrText xml:space="preserve"> PAGEREF _Toc505334104 \h </w:instrText>
        </w:r>
        <w:r>
          <w:rPr>
            <w:noProof/>
            <w:webHidden/>
          </w:rPr>
        </w:r>
        <w:r>
          <w:rPr>
            <w:noProof/>
            <w:webHidden/>
          </w:rPr>
          <w:fldChar w:fldCharType="separate"/>
        </w:r>
        <w:r>
          <w:rPr>
            <w:noProof/>
            <w:webHidden/>
          </w:rPr>
          <w:t>47</w:t>
        </w:r>
        <w:r>
          <w:rPr>
            <w:noProof/>
            <w:webHidden/>
          </w:rPr>
          <w:fldChar w:fldCharType="end"/>
        </w:r>
      </w:hyperlink>
    </w:p>
    <w:p w:rsidR="00D329F2" w:rsidRDefault="008D7727">
      <w:pPr>
        <w:pStyle w:val="TOC2"/>
        <w:rPr>
          <w:noProof/>
        </w:rPr>
      </w:pPr>
      <w:hyperlink w:anchor="_Toc505334105" w:history="1">
        <w:r>
          <w:rPr>
            <w:noProof/>
          </w:rPr>
          <w:t>Annex C: Standard Tables</w:t>
        </w:r>
        <w:r>
          <w:rPr>
            <w:noProof/>
            <w:webHidden/>
          </w:rPr>
          <w:tab/>
        </w:r>
        <w:r>
          <w:rPr>
            <w:noProof/>
            <w:webHidden/>
          </w:rPr>
          <w:fldChar w:fldCharType="begin"/>
        </w:r>
        <w:r>
          <w:rPr>
            <w:noProof/>
            <w:webHidden/>
          </w:rPr>
          <w:instrText xml:space="preserve"> PAGEREF _Toc505334105 \h </w:instrText>
        </w:r>
        <w:r>
          <w:rPr>
            <w:noProof/>
            <w:webHidden/>
          </w:rPr>
        </w:r>
        <w:r>
          <w:rPr>
            <w:noProof/>
            <w:webHidden/>
          </w:rPr>
          <w:fldChar w:fldCharType="separate"/>
        </w:r>
        <w:r>
          <w:rPr>
            <w:noProof/>
            <w:webHidden/>
          </w:rPr>
          <w:t>48</w:t>
        </w:r>
        <w:r>
          <w:rPr>
            <w:noProof/>
            <w:webHidden/>
          </w:rPr>
          <w:fldChar w:fldCharType="end"/>
        </w:r>
      </w:hyperlink>
    </w:p>
    <w:p w:rsidR="00D329F2" w:rsidRDefault="008D7727">
      <w:pPr>
        <w:pStyle w:val="TOC2"/>
        <w:rPr>
          <w:noProof/>
        </w:rPr>
      </w:pPr>
      <w:hyperlink w:anchor="_Toc505334106" w:history="1">
        <w:r>
          <w:rPr>
            <w:noProof/>
          </w:rPr>
          <w:t>References</w:t>
        </w:r>
        <w:r>
          <w:rPr>
            <w:noProof/>
            <w:webHidden/>
          </w:rPr>
          <w:tab/>
        </w:r>
        <w:r>
          <w:rPr>
            <w:noProof/>
            <w:webHidden/>
          </w:rPr>
          <w:fldChar w:fldCharType="begin"/>
        </w:r>
        <w:r>
          <w:rPr>
            <w:noProof/>
            <w:webHidden/>
          </w:rPr>
          <w:instrText xml:space="preserve"> PAGEREF _Toc505334106 \h </w:instrText>
        </w:r>
        <w:r>
          <w:rPr>
            <w:noProof/>
            <w:webHidden/>
          </w:rPr>
        </w:r>
        <w:r>
          <w:rPr>
            <w:noProof/>
            <w:webHidden/>
          </w:rPr>
          <w:fldChar w:fldCharType="separate"/>
        </w:r>
        <w:r>
          <w:rPr>
            <w:noProof/>
            <w:webHidden/>
          </w:rPr>
          <w:t>54</w:t>
        </w:r>
        <w:r>
          <w:rPr>
            <w:noProof/>
            <w:webHidden/>
          </w:rPr>
          <w:fldChar w:fldCharType="end"/>
        </w:r>
      </w:hyperlink>
    </w:p>
    <w:p w:rsidR="00D329F2" w:rsidRDefault="008D7727">
      <w:pPr>
        <w:rPr>
          <w:noProof/>
        </w:rPr>
      </w:pPr>
      <w:r>
        <w:rPr>
          <w:noProof/>
        </w:rPr>
        <w:fldChar w:fldCharType="end"/>
      </w:r>
    </w:p>
    <w:p w:rsidR="00D329F2" w:rsidRDefault="008D7727">
      <w:pPr>
        <w:pStyle w:val="HEADINGTOC"/>
        <w:rPr>
          <w:noProof/>
        </w:rPr>
      </w:pPr>
      <w:r>
        <w:rPr>
          <w:noProof/>
        </w:rPr>
        <w:t>LIST OF Tables</w:t>
      </w:r>
    </w:p>
    <w:p w:rsidR="00D329F2" w:rsidRDefault="008D7727">
      <w:pPr>
        <w:pStyle w:val="TOC5"/>
        <w:rPr>
          <w:noProof/>
        </w:rPr>
      </w:pPr>
      <w:r>
        <w:rPr>
          <w:noProof/>
        </w:rPr>
        <w:fldChar w:fldCharType="begin"/>
      </w:r>
      <w:r>
        <w:rPr>
          <w:noProof/>
        </w:rPr>
        <w:instrText xml:space="preserve"> TOC \o "5-5" \h \z \u </w:instrText>
      </w:r>
      <w:r>
        <w:rPr>
          <w:noProof/>
        </w:rPr>
        <w:fldChar w:fldCharType="separate"/>
      </w:r>
      <w:hyperlink w:anchor="_Toc505333960" w:history="1">
        <w:r>
          <w:rPr>
            <w:noProof/>
          </w:rPr>
          <w:t>Table 1.1:</w:t>
        </w:r>
        <w:r>
          <w:rPr>
            <w:noProof/>
          </w:rPr>
          <w:tab/>
          <w:t>Key economic and financial indicators - United Kingdom</w:t>
        </w:r>
        <w:r>
          <w:rPr>
            <w:noProof/>
            <w:webHidden/>
          </w:rPr>
          <w:tab/>
        </w:r>
        <w:r>
          <w:rPr>
            <w:noProof/>
            <w:webHidden/>
          </w:rPr>
          <w:fldChar w:fldCharType="begin"/>
        </w:r>
        <w:r>
          <w:rPr>
            <w:noProof/>
            <w:webHidden/>
          </w:rPr>
          <w:instrText xml:space="preserve"> PAGEREF _Toc505333960 \h </w:instrText>
        </w:r>
        <w:r>
          <w:rPr>
            <w:noProof/>
            <w:webHidden/>
          </w:rPr>
        </w:r>
        <w:r>
          <w:rPr>
            <w:noProof/>
            <w:webHidden/>
          </w:rPr>
          <w:fldChar w:fldCharType="separate"/>
        </w:r>
        <w:r>
          <w:rPr>
            <w:noProof/>
            <w:webHidden/>
          </w:rPr>
          <w:t>11</w:t>
        </w:r>
        <w:r>
          <w:rPr>
            <w:noProof/>
            <w:webHidden/>
          </w:rPr>
          <w:fldChar w:fldCharType="end"/>
        </w:r>
      </w:hyperlink>
    </w:p>
    <w:p w:rsidR="00D329F2" w:rsidRDefault="008D7727">
      <w:pPr>
        <w:pStyle w:val="TOC5"/>
        <w:rPr>
          <w:noProof/>
        </w:rPr>
      </w:pPr>
      <w:hyperlink w:anchor="_Toc505333961" w:history="1">
        <w:r>
          <w:rPr>
            <w:noProof/>
          </w:rPr>
          <w:t>Table 2.1:</w:t>
        </w:r>
        <w:r>
          <w:rPr>
            <w:noProof/>
          </w:rPr>
          <w:tab/>
          <w:t>Assessment of progress with 2017 CSRs</w:t>
        </w:r>
        <w:r>
          <w:rPr>
            <w:noProof/>
            <w:webHidden/>
          </w:rPr>
          <w:tab/>
        </w:r>
        <w:r>
          <w:rPr>
            <w:noProof/>
            <w:webHidden/>
          </w:rPr>
          <w:fldChar w:fldCharType="begin"/>
        </w:r>
        <w:r>
          <w:rPr>
            <w:noProof/>
            <w:webHidden/>
          </w:rPr>
          <w:instrText xml:space="preserve"> PAGEREF _Toc505333961 \h </w:instrText>
        </w:r>
        <w:r>
          <w:rPr>
            <w:noProof/>
            <w:webHidden/>
          </w:rPr>
        </w:r>
        <w:r>
          <w:rPr>
            <w:noProof/>
            <w:webHidden/>
          </w:rPr>
          <w:fldChar w:fldCharType="separate"/>
        </w:r>
        <w:r>
          <w:rPr>
            <w:noProof/>
            <w:webHidden/>
          </w:rPr>
          <w:t>14</w:t>
        </w:r>
        <w:r>
          <w:rPr>
            <w:noProof/>
            <w:webHidden/>
          </w:rPr>
          <w:fldChar w:fldCharType="end"/>
        </w:r>
      </w:hyperlink>
    </w:p>
    <w:p w:rsidR="00D329F2" w:rsidRDefault="008D7727">
      <w:pPr>
        <w:pStyle w:val="TOC5"/>
        <w:rPr>
          <w:noProof/>
        </w:rPr>
      </w:pPr>
      <w:hyperlink w:anchor="_Toc505333962" w:history="1">
        <w:r>
          <w:rPr>
            <w:noProof/>
          </w:rPr>
          <w:t>Table 3.1.1:</w:t>
        </w:r>
        <w:r>
          <w:rPr>
            <w:noProof/>
          </w:rPr>
          <w:tab/>
          <w:t>Composition o</w:t>
        </w:r>
        <w:r>
          <w:rPr>
            <w:noProof/>
          </w:rPr>
          <w:t>f tax revenues, 2016-2017</w:t>
        </w:r>
        <w:r>
          <w:rPr>
            <w:noProof/>
            <w:webHidden/>
          </w:rPr>
          <w:tab/>
        </w:r>
        <w:r>
          <w:rPr>
            <w:noProof/>
            <w:webHidden/>
          </w:rPr>
          <w:fldChar w:fldCharType="begin"/>
        </w:r>
        <w:r>
          <w:rPr>
            <w:noProof/>
            <w:webHidden/>
          </w:rPr>
          <w:instrText xml:space="preserve"> PAGEREF _Toc505333962 \h </w:instrText>
        </w:r>
        <w:r>
          <w:rPr>
            <w:noProof/>
            <w:webHidden/>
          </w:rPr>
        </w:r>
        <w:r>
          <w:rPr>
            <w:noProof/>
            <w:webHidden/>
          </w:rPr>
          <w:fldChar w:fldCharType="separate"/>
        </w:r>
        <w:r>
          <w:rPr>
            <w:noProof/>
            <w:webHidden/>
          </w:rPr>
          <w:t>16</w:t>
        </w:r>
        <w:r>
          <w:rPr>
            <w:noProof/>
            <w:webHidden/>
          </w:rPr>
          <w:fldChar w:fldCharType="end"/>
        </w:r>
      </w:hyperlink>
    </w:p>
    <w:p w:rsidR="00D329F2" w:rsidRDefault="008D7727">
      <w:pPr>
        <w:pStyle w:val="TOC5"/>
        <w:rPr>
          <w:noProof/>
        </w:rPr>
      </w:pPr>
      <w:hyperlink w:anchor="_Toc505333963" w:history="1">
        <w:r>
          <w:rPr>
            <w:noProof/>
          </w:rPr>
          <w:t>Table B.1:</w:t>
        </w:r>
        <w:r>
          <w:rPr>
            <w:noProof/>
          </w:rPr>
          <w:tab/>
          <w:t>The MIP scoreboard for United Kingdom (AMR 2018)</w:t>
        </w:r>
        <w:r>
          <w:rPr>
            <w:noProof/>
            <w:webHidden/>
          </w:rPr>
          <w:tab/>
        </w:r>
        <w:r>
          <w:rPr>
            <w:noProof/>
            <w:webHidden/>
          </w:rPr>
          <w:fldChar w:fldCharType="begin"/>
        </w:r>
        <w:r>
          <w:rPr>
            <w:noProof/>
            <w:webHidden/>
          </w:rPr>
          <w:instrText xml:space="preserve"> PAGEREF _Toc505333963 \h </w:instrText>
        </w:r>
        <w:r>
          <w:rPr>
            <w:noProof/>
            <w:webHidden/>
          </w:rPr>
        </w:r>
        <w:r>
          <w:rPr>
            <w:noProof/>
            <w:webHidden/>
          </w:rPr>
          <w:fldChar w:fldCharType="separate"/>
        </w:r>
        <w:r>
          <w:rPr>
            <w:noProof/>
            <w:webHidden/>
          </w:rPr>
          <w:t>47</w:t>
        </w:r>
        <w:r>
          <w:rPr>
            <w:noProof/>
            <w:webHidden/>
          </w:rPr>
          <w:fldChar w:fldCharType="end"/>
        </w:r>
      </w:hyperlink>
    </w:p>
    <w:p w:rsidR="00D329F2" w:rsidRDefault="008D7727">
      <w:pPr>
        <w:pStyle w:val="TOC5"/>
        <w:rPr>
          <w:noProof/>
        </w:rPr>
      </w:pPr>
      <w:hyperlink w:anchor="_Toc505333964" w:history="1">
        <w:r>
          <w:rPr>
            <w:noProof/>
          </w:rPr>
          <w:t>Table C.1:</w:t>
        </w:r>
        <w:r>
          <w:rPr>
            <w:noProof/>
          </w:rPr>
          <w:tab/>
          <w:t>Financial market indicators</w:t>
        </w:r>
        <w:r>
          <w:rPr>
            <w:noProof/>
            <w:webHidden/>
          </w:rPr>
          <w:tab/>
        </w:r>
        <w:r>
          <w:rPr>
            <w:noProof/>
            <w:webHidden/>
          </w:rPr>
          <w:fldChar w:fldCharType="begin"/>
        </w:r>
        <w:r>
          <w:rPr>
            <w:noProof/>
            <w:webHidden/>
          </w:rPr>
          <w:instrText xml:space="preserve"> PAGEREF _Toc505333964 \h </w:instrText>
        </w:r>
        <w:r>
          <w:rPr>
            <w:noProof/>
            <w:webHidden/>
          </w:rPr>
        </w:r>
        <w:r>
          <w:rPr>
            <w:noProof/>
            <w:webHidden/>
          </w:rPr>
          <w:fldChar w:fldCharType="separate"/>
        </w:r>
        <w:r>
          <w:rPr>
            <w:noProof/>
            <w:webHidden/>
          </w:rPr>
          <w:t>48</w:t>
        </w:r>
        <w:r>
          <w:rPr>
            <w:noProof/>
            <w:webHidden/>
          </w:rPr>
          <w:fldChar w:fldCharType="end"/>
        </w:r>
      </w:hyperlink>
    </w:p>
    <w:p w:rsidR="00D329F2" w:rsidRDefault="008D7727">
      <w:pPr>
        <w:pStyle w:val="TOC5"/>
        <w:rPr>
          <w:noProof/>
        </w:rPr>
      </w:pPr>
      <w:hyperlink w:anchor="_Toc505333965" w:history="1">
        <w:r>
          <w:rPr>
            <w:noProof/>
          </w:rPr>
          <w:t>Table C.2:</w:t>
        </w:r>
        <w:r>
          <w:rPr>
            <w:noProof/>
          </w:rPr>
          <w:tab/>
          <w:t>Headline Social Scoreboard indicators</w:t>
        </w:r>
        <w:r>
          <w:rPr>
            <w:noProof/>
            <w:webHidden/>
          </w:rPr>
          <w:tab/>
        </w:r>
        <w:r>
          <w:rPr>
            <w:noProof/>
            <w:webHidden/>
          </w:rPr>
          <w:fldChar w:fldCharType="begin"/>
        </w:r>
        <w:r>
          <w:rPr>
            <w:noProof/>
            <w:webHidden/>
          </w:rPr>
          <w:instrText xml:space="preserve"> PAGEREF _Toc505333965 \h </w:instrText>
        </w:r>
        <w:r>
          <w:rPr>
            <w:noProof/>
            <w:webHidden/>
          </w:rPr>
        </w:r>
        <w:r>
          <w:rPr>
            <w:noProof/>
            <w:webHidden/>
          </w:rPr>
          <w:fldChar w:fldCharType="separate"/>
        </w:r>
        <w:r>
          <w:rPr>
            <w:noProof/>
            <w:webHidden/>
          </w:rPr>
          <w:t>49</w:t>
        </w:r>
        <w:r>
          <w:rPr>
            <w:noProof/>
            <w:webHidden/>
          </w:rPr>
          <w:fldChar w:fldCharType="end"/>
        </w:r>
      </w:hyperlink>
    </w:p>
    <w:p w:rsidR="00D329F2" w:rsidRDefault="008D7727">
      <w:pPr>
        <w:pStyle w:val="TOC5"/>
        <w:rPr>
          <w:noProof/>
        </w:rPr>
      </w:pPr>
      <w:hyperlink w:anchor="_Toc505333966" w:history="1">
        <w:r>
          <w:rPr>
            <w:noProof/>
          </w:rPr>
          <w:t>Table C.3:</w:t>
        </w:r>
        <w:r>
          <w:rPr>
            <w:noProof/>
          </w:rPr>
          <w:tab/>
          <w:t>Labour market, education and social indicators</w:t>
        </w:r>
        <w:r>
          <w:rPr>
            <w:noProof/>
            <w:webHidden/>
          </w:rPr>
          <w:tab/>
        </w:r>
        <w:r>
          <w:rPr>
            <w:noProof/>
            <w:webHidden/>
          </w:rPr>
          <w:fldChar w:fldCharType="begin"/>
        </w:r>
        <w:r>
          <w:rPr>
            <w:noProof/>
            <w:webHidden/>
          </w:rPr>
          <w:instrText xml:space="preserve"> PAGEREF _</w:instrText>
        </w:r>
        <w:r>
          <w:rPr>
            <w:noProof/>
            <w:webHidden/>
          </w:rPr>
          <w:instrText xml:space="preserve">Toc505333966 \h </w:instrText>
        </w:r>
        <w:r>
          <w:rPr>
            <w:noProof/>
            <w:webHidden/>
          </w:rPr>
        </w:r>
        <w:r>
          <w:rPr>
            <w:noProof/>
            <w:webHidden/>
          </w:rPr>
          <w:fldChar w:fldCharType="separate"/>
        </w:r>
        <w:r>
          <w:rPr>
            <w:noProof/>
            <w:webHidden/>
          </w:rPr>
          <w:t>50</w:t>
        </w:r>
        <w:r>
          <w:rPr>
            <w:noProof/>
            <w:webHidden/>
          </w:rPr>
          <w:fldChar w:fldCharType="end"/>
        </w:r>
      </w:hyperlink>
    </w:p>
    <w:p w:rsidR="00D329F2" w:rsidRDefault="008D7727">
      <w:pPr>
        <w:pStyle w:val="TOC5"/>
        <w:rPr>
          <w:noProof/>
        </w:rPr>
      </w:pPr>
      <w:hyperlink w:anchor="_Toc505333967" w:history="1">
        <w:r>
          <w:rPr>
            <w:noProof/>
          </w:rPr>
          <w:t>Table C.4:</w:t>
        </w:r>
        <w:r>
          <w:rPr>
            <w:noProof/>
          </w:rPr>
          <w:tab/>
          <w:t>Social inclusion and health indicators</w:t>
        </w:r>
        <w:r>
          <w:rPr>
            <w:noProof/>
            <w:webHidden/>
          </w:rPr>
          <w:tab/>
        </w:r>
        <w:r>
          <w:rPr>
            <w:noProof/>
            <w:webHidden/>
          </w:rPr>
          <w:fldChar w:fldCharType="begin"/>
        </w:r>
        <w:r>
          <w:rPr>
            <w:noProof/>
            <w:webHidden/>
          </w:rPr>
          <w:instrText xml:space="preserve"> PAGEREF _Toc505333967 \h </w:instrText>
        </w:r>
        <w:r>
          <w:rPr>
            <w:noProof/>
            <w:webHidden/>
          </w:rPr>
        </w:r>
        <w:r>
          <w:rPr>
            <w:noProof/>
            <w:webHidden/>
          </w:rPr>
          <w:fldChar w:fldCharType="separate"/>
        </w:r>
        <w:r>
          <w:rPr>
            <w:noProof/>
            <w:webHidden/>
          </w:rPr>
          <w:t>51</w:t>
        </w:r>
        <w:r>
          <w:rPr>
            <w:noProof/>
            <w:webHidden/>
          </w:rPr>
          <w:fldChar w:fldCharType="end"/>
        </w:r>
      </w:hyperlink>
    </w:p>
    <w:p w:rsidR="00D329F2" w:rsidRDefault="008D7727">
      <w:pPr>
        <w:pStyle w:val="TOC5"/>
        <w:rPr>
          <w:noProof/>
        </w:rPr>
      </w:pPr>
      <w:hyperlink w:anchor="_Toc505333968" w:history="1">
        <w:r>
          <w:rPr>
            <w:noProof/>
          </w:rPr>
          <w:t>Table C.5:</w:t>
        </w:r>
        <w:r>
          <w:rPr>
            <w:noProof/>
          </w:rPr>
          <w:tab/>
          <w:t>Product market performance and policy indicators</w:t>
        </w:r>
        <w:r>
          <w:rPr>
            <w:noProof/>
            <w:webHidden/>
          </w:rPr>
          <w:tab/>
        </w:r>
        <w:r>
          <w:rPr>
            <w:noProof/>
            <w:webHidden/>
          </w:rPr>
          <w:fldChar w:fldCharType="begin"/>
        </w:r>
        <w:r>
          <w:rPr>
            <w:noProof/>
            <w:webHidden/>
          </w:rPr>
          <w:instrText xml:space="preserve"> PAGEREF _Toc505333968 \h </w:instrText>
        </w:r>
        <w:r>
          <w:rPr>
            <w:noProof/>
            <w:webHidden/>
          </w:rPr>
        </w:r>
        <w:r>
          <w:rPr>
            <w:noProof/>
            <w:webHidden/>
          </w:rPr>
          <w:fldChar w:fldCharType="separate"/>
        </w:r>
        <w:r>
          <w:rPr>
            <w:noProof/>
            <w:webHidden/>
          </w:rPr>
          <w:t>52</w:t>
        </w:r>
        <w:r>
          <w:rPr>
            <w:noProof/>
            <w:webHidden/>
          </w:rPr>
          <w:fldChar w:fldCharType="end"/>
        </w:r>
      </w:hyperlink>
    </w:p>
    <w:p w:rsidR="00D329F2" w:rsidRDefault="008D7727">
      <w:pPr>
        <w:pStyle w:val="TOC5"/>
        <w:rPr>
          <w:noProof/>
        </w:rPr>
      </w:pPr>
      <w:hyperlink w:anchor="_Toc505333969" w:history="1">
        <w:r>
          <w:rPr>
            <w:noProof/>
          </w:rPr>
          <w:t>Table C.6:</w:t>
        </w:r>
        <w:r>
          <w:rPr>
            <w:noProof/>
          </w:rPr>
          <w:tab/>
          <w:t xml:space="preserve">Green </w:t>
        </w:r>
        <w:r>
          <w:rPr>
            <w:noProof/>
          </w:rPr>
          <w:t>growth</w:t>
        </w:r>
        <w:r>
          <w:rPr>
            <w:noProof/>
            <w:webHidden/>
          </w:rPr>
          <w:tab/>
        </w:r>
        <w:r>
          <w:rPr>
            <w:noProof/>
            <w:webHidden/>
          </w:rPr>
          <w:fldChar w:fldCharType="begin"/>
        </w:r>
        <w:r>
          <w:rPr>
            <w:noProof/>
            <w:webHidden/>
          </w:rPr>
          <w:instrText xml:space="preserve"> PAGEREF _Toc505333969 \h </w:instrText>
        </w:r>
        <w:r>
          <w:rPr>
            <w:noProof/>
            <w:webHidden/>
          </w:rPr>
        </w:r>
        <w:r>
          <w:rPr>
            <w:noProof/>
            <w:webHidden/>
          </w:rPr>
          <w:fldChar w:fldCharType="separate"/>
        </w:r>
        <w:r>
          <w:rPr>
            <w:noProof/>
            <w:webHidden/>
          </w:rPr>
          <w:t>53</w:t>
        </w:r>
        <w:r>
          <w:rPr>
            <w:noProof/>
            <w:webHidden/>
          </w:rPr>
          <w:fldChar w:fldCharType="end"/>
        </w:r>
      </w:hyperlink>
    </w:p>
    <w:p w:rsidR="00D329F2" w:rsidRDefault="008D7727">
      <w:pPr>
        <w:rPr>
          <w:noProof/>
        </w:rPr>
      </w:pPr>
      <w:r>
        <w:rPr>
          <w:noProof/>
        </w:rPr>
        <w:fldChar w:fldCharType="end"/>
      </w:r>
    </w:p>
    <w:p w:rsidR="00D329F2" w:rsidRDefault="008D7727">
      <w:pPr>
        <w:pStyle w:val="HEADINGTOC"/>
        <w:rPr>
          <w:noProof/>
        </w:rPr>
      </w:pPr>
      <w:r>
        <w:rPr>
          <w:noProof/>
        </w:rPr>
        <w:t>LIST OF Graphs</w:t>
      </w:r>
    </w:p>
    <w:p w:rsidR="00D329F2" w:rsidRDefault="008D7727">
      <w:pPr>
        <w:pStyle w:val="TOC6"/>
        <w:rPr>
          <w:rFonts w:asciiTheme="minorHAnsi" w:eastAsiaTheme="minorEastAsia" w:hAnsiTheme="minorHAnsi" w:cstheme="minorBidi"/>
          <w:noProof/>
          <w:color w:val="auto"/>
          <w:sz w:val="22"/>
          <w:lang w:eastAsia="en-GB"/>
        </w:rPr>
      </w:pPr>
      <w:r>
        <w:rPr>
          <w:noProof/>
        </w:rPr>
        <w:fldChar w:fldCharType="begin"/>
      </w:r>
      <w:r>
        <w:rPr>
          <w:noProof/>
        </w:rPr>
        <w:instrText xml:space="preserve"> TOC \o "6-6" \h \z \u </w:instrText>
      </w:r>
      <w:r>
        <w:rPr>
          <w:noProof/>
        </w:rPr>
        <w:fldChar w:fldCharType="separate"/>
      </w:r>
      <w:hyperlink w:anchor="_Toc507256288" w:history="1">
        <w:r>
          <w:rPr>
            <w:rStyle w:val="Hyperlink"/>
            <w:noProof/>
          </w:rPr>
          <w:t>Graph 1.1:</w:t>
        </w:r>
        <w:r>
          <w:rPr>
            <w:rFonts w:asciiTheme="minorHAnsi" w:eastAsiaTheme="minorEastAsia" w:hAnsiTheme="minorHAnsi" w:cstheme="minorBidi"/>
            <w:noProof/>
            <w:color w:val="auto"/>
            <w:sz w:val="22"/>
            <w:lang w:eastAsia="en-GB"/>
          </w:rPr>
          <w:tab/>
        </w:r>
        <w:r>
          <w:rPr>
            <w:rStyle w:val="Hyperlink"/>
            <w:noProof/>
          </w:rPr>
          <w:t>Real GDP growth</w:t>
        </w:r>
        <w:r>
          <w:rPr>
            <w:noProof/>
            <w:webHidden/>
          </w:rPr>
          <w:tab/>
        </w:r>
        <w:r>
          <w:rPr>
            <w:noProof/>
            <w:webHidden/>
          </w:rPr>
          <w:fldChar w:fldCharType="begin"/>
        </w:r>
        <w:r>
          <w:rPr>
            <w:noProof/>
            <w:webHidden/>
          </w:rPr>
          <w:instrText xml:space="preserve"> PAGEREF _Toc507256288 \h </w:instrText>
        </w:r>
        <w:r>
          <w:rPr>
            <w:noProof/>
            <w:webHidden/>
          </w:rPr>
        </w:r>
        <w:r>
          <w:rPr>
            <w:noProof/>
            <w:webHidden/>
          </w:rPr>
          <w:fldChar w:fldCharType="separate"/>
        </w:r>
        <w:r>
          <w:rPr>
            <w:noProof/>
            <w:webHidden/>
          </w:rPr>
          <w:t>4</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89" w:history="1">
        <w:r>
          <w:rPr>
            <w:rStyle w:val="Hyperlink"/>
            <w:noProof/>
          </w:rPr>
          <w:t>Graph 1.2:</w:t>
        </w:r>
        <w:r>
          <w:rPr>
            <w:rFonts w:asciiTheme="minorHAnsi" w:eastAsiaTheme="minorEastAsia" w:hAnsiTheme="minorHAnsi" w:cstheme="minorBidi"/>
            <w:noProof/>
            <w:color w:val="auto"/>
            <w:sz w:val="22"/>
            <w:lang w:eastAsia="en-GB"/>
          </w:rPr>
          <w:tab/>
        </w:r>
        <w:r>
          <w:rPr>
            <w:rStyle w:val="Hyperlink"/>
            <w:noProof/>
          </w:rPr>
          <w:t>Private consumption and wages</w:t>
        </w:r>
        <w:r>
          <w:rPr>
            <w:noProof/>
            <w:webHidden/>
          </w:rPr>
          <w:tab/>
        </w:r>
        <w:r>
          <w:rPr>
            <w:noProof/>
            <w:webHidden/>
          </w:rPr>
          <w:fldChar w:fldCharType="begin"/>
        </w:r>
        <w:r>
          <w:rPr>
            <w:noProof/>
            <w:webHidden/>
          </w:rPr>
          <w:instrText xml:space="preserve"> PAGEREF _Toc507256289 \h </w:instrText>
        </w:r>
        <w:r>
          <w:rPr>
            <w:noProof/>
            <w:webHidden/>
          </w:rPr>
        </w:r>
        <w:r>
          <w:rPr>
            <w:noProof/>
            <w:webHidden/>
          </w:rPr>
          <w:fldChar w:fldCharType="separate"/>
        </w:r>
        <w:r>
          <w:rPr>
            <w:noProof/>
            <w:webHidden/>
          </w:rPr>
          <w:t>4</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0" w:history="1">
        <w:r>
          <w:rPr>
            <w:rStyle w:val="Hyperlink"/>
            <w:noProof/>
          </w:rPr>
          <w:t>Graph 1.3:</w:t>
        </w:r>
        <w:r>
          <w:rPr>
            <w:rFonts w:asciiTheme="minorHAnsi" w:eastAsiaTheme="minorEastAsia" w:hAnsiTheme="minorHAnsi" w:cstheme="minorBidi"/>
            <w:noProof/>
            <w:color w:val="auto"/>
            <w:sz w:val="22"/>
            <w:lang w:eastAsia="en-GB"/>
          </w:rPr>
          <w:tab/>
        </w:r>
        <w:r>
          <w:rPr>
            <w:rStyle w:val="Hyperlink"/>
            <w:noProof/>
          </w:rPr>
          <w:t>Real households saving ratio</w:t>
        </w:r>
        <w:r>
          <w:rPr>
            <w:noProof/>
            <w:webHidden/>
          </w:rPr>
          <w:tab/>
        </w:r>
        <w:r>
          <w:rPr>
            <w:noProof/>
            <w:webHidden/>
          </w:rPr>
          <w:fldChar w:fldCharType="begin"/>
        </w:r>
        <w:r>
          <w:rPr>
            <w:noProof/>
            <w:webHidden/>
          </w:rPr>
          <w:instrText xml:space="preserve"> PAGEREF _Toc507256290 \h </w:instrText>
        </w:r>
        <w:r>
          <w:rPr>
            <w:noProof/>
            <w:webHidden/>
          </w:rPr>
        </w:r>
        <w:r>
          <w:rPr>
            <w:noProof/>
            <w:webHidden/>
          </w:rPr>
          <w:fldChar w:fldCharType="separate"/>
        </w:r>
        <w:r>
          <w:rPr>
            <w:noProof/>
            <w:webHidden/>
          </w:rPr>
          <w:t>4</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1" w:history="1">
        <w:r>
          <w:rPr>
            <w:rStyle w:val="Hyperlink"/>
            <w:noProof/>
          </w:rPr>
          <w:t>Graph 1.4:</w:t>
        </w:r>
        <w:r>
          <w:rPr>
            <w:rFonts w:asciiTheme="minorHAnsi" w:eastAsiaTheme="minorEastAsia" w:hAnsiTheme="minorHAnsi" w:cstheme="minorBidi"/>
            <w:noProof/>
            <w:color w:val="auto"/>
            <w:sz w:val="22"/>
            <w:lang w:eastAsia="en-GB"/>
          </w:rPr>
          <w:tab/>
        </w:r>
        <w:r>
          <w:rPr>
            <w:rStyle w:val="Hyperlink"/>
            <w:noProof/>
          </w:rPr>
          <w:t>Net exports’ contribution to GDP growth</w:t>
        </w:r>
        <w:r>
          <w:rPr>
            <w:noProof/>
            <w:webHidden/>
          </w:rPr>
          <w:tab/>
        </w:r>
        <w:r>
          <w:rPr>
            <w:noProof/>
            <w:webHidden/>
          </w:rPr>
          <w:fldChar w:fldCharType="begin"/>
        </w:r>
        <w:r>
          <w:rPr>
            <w:noProof/>
            <w:webHidden/>
          </w:rPr>
          <w:instrText xml:space="preserve"> PAGEREF _Toc507256291 \h </w:instrText>
        </w:r>
        <w:r>
          <w:rPr>
            <w:noProof/>
            <w:webHidden/>
          </w:rPr>
        </w:r>
        <w:r>
          <w:rPr>
            <w:noProof/>
            <w:webHidden/>
          </w:rPr>
          <w:fldChar w:fldCharType="separate"/>
        </w:r>
        <w:r>
          <w:rPr>
            <w:noProof/>
            <w:webHidden/>
          </w:rPr>
          <w:t>5</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2" w:history="1">
        <w:r>
          <w:rPr>
            <w:rStyle w:val="Hyperlink"/>
            <w:noProof/>
          </w:rPr>
          <w:t>Graph 1.5:</w:t>
        </w:r>
        <w:r>
          <w:rPr>
            <w:rFonts w:asciiTheme="minorHAnsi" w:eastAsiaTheme="minorEastAsia" w:hAnsiTheme="minorHAnsi" w:cstheme="minorBidi"/>
            <w:noProof/>
            <w:color w:val="auto"/>
            <w:sz w:val="22"/>
            <w:lang w:eastAsia="en-GB"/>
          </w:rPr>
          <w:tab/>
        </w:r>
        <w:r>
          <w:rPr>
            <w:rStyle w:val="Hyperlink"/>
            <w:noProof/>
          </w:rPr>
          <w:t>Potential GDP growth</w:t>
        </w:r>
        <w:r>
          <w:rPr>
            <w:noProof/>
            <w:webHidden/>
          </w:rPr>
          <w:tab/>
        </w:r>
        <w:r>
          <w:rPr>
            <w:noProof/>
            <w:webHidden/>
          </w:rPr>
          <w:fldChar w:fldCharType="begin"/>
        </w:r>
        <w:r>
          <w:rPr>
            <w:noProof/>
            <w:webHidden/>
          </w:rPr>
          <w:instrText xml:space="preserve"> PAGEREF _Toc507256292 \h </w:instrText>
        </w:r>
        <w:r>
          <w:rPr>
            <w:noProof/>
            <w:webHidden/>
          </w:rPr>
        </w:r>
        <w:r>
          <w:rPr>
            <w:noProof/>
            <w:webHidden/>
          </w:rPr>
          <w:fldChar w:fldCharType="separate"/>
        </w:r>
        <w:r>
          <w:rPr>
            <w:noProof/>
            <w:webHidden/>
          </w:rPr>
          <w:t>5</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3" w:history="1">
        <w:r>
          <w:rPr>
            <w:rStyle w:val="Hyperlink"/>
            <w:noProof/>
          </w:rPr>
          <w:t>Grap</w:t>
        </w:r>
        <w:r>
          <w:rPr>
            <w:rStyle w:val="Hyperlink"/>
            <w:noProof/>
          </w:rPr>
          <w:t>h 1.6:</w:t>
        </w:r>
        <w:r>
          <w:rPr>
            <w:rFonts w:asciiTheme="minorHAnsi" w:eastAsiaTheme="minorEastAsia" w:hAnsiTheme="minorHAnsi" w:cstheme="minorBidi"/>
            <w:noProof/>
            <w:color w:val="auto"/>
            <w:sz w:val="22"/>
            <w:lang w:eastAsia="en-GB"/>
          </w:rPr>
          <w:tab/>
        </w:r>
        <w:r>
          <w:rPr>
            <w:rStyle w:val="Hyperlink"/>
            <w:noProof/>
          </w:rPr>
          <w:t>Inflation and the nominal effective exchange rate (NEER)</w:t>
        </w:r>
        <w:r>
          <w:rPr>
            <w:noProof/>
            <w:webHidden/>
          </w:rPr>
          <w:tab/>
        </w:r>
        <w:r>
          <w:rPr>
            <w:noProof/>
            <w:webHidden/>
          </w:rPr>
          <w:fldChar w:fldCharType="begin"/>
        </w:r>
        <w:r>
          <w:rPr>
            <w:noProof/>
            <w:webHidden/>
          </w:rPr>
          <w:instrText xml:space="preserve"> PAGEREF _Toc507256293 \h </w:instrText>
        </w:r>
        <w:r>
          <w:rPr>
            <w:noProof/>
            <w:webHidden/>
          </w:rPr>
        </w:r>
        <w:r>
          <w:rPr>
            <w:noProof/>
            <w:webHidden/>
          </w:rPr>
          <w:fldChar w:fldCharType="separate"/>
        </w:r>
        <w:r>
          <w:rPr>
            <w:noProof/>
            <w:webHidden/>
          </w:rPr>
          <w:t>6</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4" w:history="1">
        <w:r>
          <w:rPr>
            <w:rStyle w:val="Hyperlink"/>
            <w:noProof/>
          </w:rPr>
          <w:t>Graph 1.7:</w:t>
        </w:r>
        <w:r>
          <w:rPr>
            <w:rFonts w:asciiTheme="minorHAnsi" w:eastAsiaTheme="minorEastAsia" w:hAnsiTheme="minorHAnsi" w:cstheme="minorBidi"/>
            <w:noProof/>
            <w:color w:val="auto"/>
            <w:sz w:val="22"/>
            <w:lang w:eastAsia="en-GB"/>
          </w:rPr>
          <w:tab/>
        </w:r>
        <w:r>
          <w:rPr>
            <w:rStyle w:val="Hyperlink"/>
            <w:noProof/>
          </w:rPr>
          <w:t>Labour market indicators</w:t>
        </w:r>
        <w:r>
          <w:rPr>
            <w:noProof/>
            <w:webHidden/>
          </w:rPr>
          <w:tab/>
        </w:r>
        <w:r>
          <w:rPr>
            <w:noProof/>
            <w:webHidden/>
          </w:rPr>
          <w:fldChar w:fldCharType="begin"/>
        </w:r>
        <w:r>
          <w:rPr>
            <w:noProof/>
            <w:webHidden/>
          </w:rPr>
          <w:instrText xml:space="preserve"> PAGEREF _Toc507256294 \h </w:instrText>
        </w:r>
        <w:r>
          <w:rPr>
            <w:noProof/>
            <w:webHidden/>
          </w:rPr>
        </w:r>
        <w:r>
          <w:rPr>
            <w:noProof/>
            <w:webHidden/>
          </w:rPr>
          <w:fldChar w:fldCharType="separate"/>
        </w:r>
        <w:r>
          <w:rPr>
            <w:noProof/>
            <w:webHidden/>
          </w:rPr>
          <w:t>6</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5" w:history="1">
        <w:r>
          <w:rPr>
            <w:rStyle w:val="Hyperlink"/>
            <w:noProof/>
          </w:rPr>
          <w:t>Graph 1.8:</w:t>
        </w:r>
        <w:r>
          <w:rPr>
            <w:rFonts w:asciiTheme="minorHAnsi" w:eastAsiaTheme="minorEastAsia" w:hAnsiTheme="minorHAnsi" w:cstheme="minorBidi"/>
            <w:noProof/>
            <w:color w:val="auto"/>
            <w:sz w:val="22"/>
            <w:lang w:eastAsia="en-GB"/>
          </w:rPr>
          <w:tab/>
        </w:r>
        <w:r>
          <w:rPr>
            <w:rStyle w:val="Hyperlink"/>
            <w:noProof/>
          </w:rPr>
          <w:t>Unemployment rate and potential additional labour force</w:t>
        </w:r>
        <w:r>
          <w:rPr>
            <w:noProof/>
            <w:webHidden/>
          </w:rPr>
          <w:tab/>
        </w:r>
        <w:r>
          <w:rPr>
            <w:noProof/>
            <w:webHidden/>
          </w:rPr>
          <w:fldChar w:fldCharType="begin"/>
        </w:r>
        <w:r>
          <w:rPr>
            <w:noProof/>
            <w:webHidden/>
          </w:rPr>
          <w:instrText xml:space="preserve"> PAGEREF _Toc507256295 \h </w:instrText>
        </w:r>
        <w:r>
          <w:rPr>
            <w:noProof/>
            <w:webHidden/>
          </w:rPr>
        </w:r>
        <w:r>
          <w:rPr>
            <w:noProof/>
            <w:webHidden/>
          </w:rPr>
          <w:fldChar w:fldCharType="separate"/>
        </w:r>
        <w:r>
          <w:rPr>
            <w:noProof/>
            <w:webHidden/>
          </w:rPr>
          <w:t>7</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6" w:history="1">
        <w:r>
          <w:rPr>
            <w:rStyle w:val="Hyperlink"/>
            <w:noProof/>
          </w:rPr>
          <w:t>Graph 1.9:</w:t>
        </w:r>
        <w:r>
          <w:rPr>
            <w:rFonts w:asciiTheme="minorHAnsi" w:eastAsiaTheme="minorEastAsia" w:hAnsiTheme="minorHAnsi" w:cstheme="minorBidi"/>
            <w:noProof/>
            <w:color w:val="auto"/>
            <w:sz w:val="22"/>
            <w:lang w:eastAsia="en-GB"/>
          </w:rPr>
          <w:tab/>
        </w:r>
        <w:r>
          <w:rPr>
            <w:rStyle w:val="Hyperlink"/>
            <w:noProof/>
          </w:rPr>
          <w:t>Current account balance</w:t>
        </w:r>
        <w:r>
          <w:rPr>
            <w:noProof/>
            <w:webHidden/>
          </w:rPr>
          <w:tab/>
        </w:r>
        <w:r>
          <w:rPr>
            <w:noProof/>
            <w:webHidden/>
          </w:rPr>
          <w:fldChar w:fldCharType="begin"/>
        </w:r>
        <w:r>
          <w:rPr>
            <w:noProof/>
            <w:webHidden/>
          </w:rPr>
          <w:instrText xml:space="preserve"> PAGEREF _Toc507256296 \h </w:instrText>
        </w:r>
        <w:r>
          <w:rPr>
            <w:noProof/>
            <w:webHidden/>
          </w:rPr>
        </w:r>
        <w:r>
          <w:rPr>
            <w:noProof/>
            <w:webHidden/>
          </w:rPr>
          <w:fldChar w:fldCharType="separate"/>
        </w:r>
        <w:r>
          <w:rPr>
            <w:noProof/>
            <w:webHidden/>
          </w:rPr>
          <w:t>8</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7" w:history="1">
        <w:r>
          <w:rPr>
            <w:rStyle w:val="Hyperlink"/>
            <w:noProof/>
          </w:rPr>
          <w:t>Graph 1.10:</w:t>
        </w:r>
        <w:r>
          <w:rPr>
            <w:rFonts w:asciiTheme="minorHAnsi" w:eastAsiaTheme="minorEastAsia" w:hAnsiTheme="minorHAnsi" w:cstheme="minorBidi"/>
            <w:noProof/>
            <w:color w:val="auto"/>
            <w:sz w:val="22"/>
            <w:lang w:eastAsia="en-GB"/>
          </w:rPr>
          <w:tab/>
        </w:r>
        <w:r>
          <w:rPr>
            <w:rStyle w:val="Hyperlink"/>
            <w:noProof/>
          </w:rPr>
          <w:t>Net international investment position</w:t>
        </w:r>
        <w:r>
          <w:rPr>
            <w:noProof/>
            <w:webHidden/>
          </w:rPr>
          <w:tab/>
        </w:r>
        <w:r>
          <w:rPr>
            <w:noProof/>
            <w:webHidden/>
          </w:rPr>
          <w:fldChar w:fldCharType="begin"/>
        </w:r>
        <w:r>
          <w:rPr>
            <w:noProof/>
            <w:webHidden/>
          </w:rPr>
          <w:instrText xml:space="preserve"> P</w:instrText>
        </w:r>
        <w:r>
          <w:rPr>
            <w:noProof/>
            <w:webHidden/>
          </w:rPr>
          <w:instrText xml:space="preserve">AGEREF _Toc507256297 \h </w:instrText>
        </w:r>
        <w:r>
          <w:rPr>
            <w:noProof/>
            <w:webHidden/>
          </w:rPr>
        </w:r>
        <w:r>
          <w:rPr>
            <w:noProof/>
            <w:webHidden/>
          </w:rPr>
          <w:fldChar w:fldCharType="separate"/>
        </w:r>
        <w:r>
          <w:rPr>
            <w:noProof/>
            <w:webHidden/>
          </w:rPr>
          <w:t>8</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8" w:history="1">
        <w:r>
          <w:rPr>
            <w:rStyle w:val="Hyperlink"/>
            <w:noProof/>
          </w:rPr>
          <w:t>Graph 1.11:</w:t>
        </w:r>
        <w:r>
          <w:rPr>
            <w:rFonts w:asciiTheme="minorHAnsi" w:eastAsiaTheme="minorEastAsia" w:hAnsiTheme="minorHAnsi" w:cstheme="minorBidi"/>
            <w:noProof/>
            <w:color w:val="auto"/>
            <w:sz w:val="22"/>
            <w:lang w:eastAsia="en-GB"/>
          </w:rPr>
          <w:tab/>
        </w:r>
        <w:r>
          <w:rPr>
            <w:rStyle w:val="Hyperlink"/>
            <w:noProof/>
          </w:rPr>
          <w:t>Consumer credit growth</w:t>
        </w:r>
        <w:r>
          <w:rPr>
            <w:noProof/>
            <w:webHidden/>
          </w:rPr>
          <w:tab/>
        </w:r>
        <w:r>
          <w:rPr>
            <w:noProof/>
            <w:webHidden/>
          </w:rPr>
          <w:fldChar w:fldCharType="begin"/>
        </w:r>
        <w:r>
          <w:rPr>
            <w:noProof/>
            <w:webHidden/>
          </w:rPr>
          <w:instrText xml:space="preserve"> PAGEREF _Toc507256298 \h </w:instrText>
        </w:r>
        <w:r>
          <w:rPr>
            <w:noProof/>
            <w:webHidden/>
          </w:rPr>
        </w:r>
        <w:r>
          <w:rPr>
            <w:noProof/>
            <w:webHidden/>
          </w:rPr>
          <w:fldChar w:fldCharType="separate"/>
        </w:r>
        <w:r>
          <w:rPr>
            <w:noProof/>
            <w:webHidden/>
          </w:rPr>
          <w:t>9</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299" w:history="1">
        <w:r>
          <w:rPr>
            <w:rStyle w:val="Hyperlink"/>
            <w:noProof/>
          </w:rPr>
          <w:t>Graph 2.1:</w:t>
        </w:r>
        <w:r>
          <w:rPr>
            <w:rFonts w:asciiTheme="minorHAnsi" w:eastAsiaTheme="minorEastAsia" w:hAnsiTheme="minorHAnsi" w:cstheme="minorBidi"/>
            <w:noProof/>
            <w:color w:val="auto"/>
            <w:sz w:val="22"/>
            <w:lang w:eastAsia="en-GB"/>
          </w:rPr>
          <w:tab/>
        </w:r>
        <w:r>
          <w:rPr>
            <w:rStyle w:val="Hyperlink"/>
            <w:noProof/>
          </w:rPr>
          <w:t>Overall multiannual implementation of 2011-2017 CSRs to date</w:t>
        </w:r>
        <w:r>
          <w:rPr>
            <w:noProof/>
            <w:webHidden/>
          </w:rPr>
          <w:tab/>
        </w:r>
        <w:r>
          <w:rPr>
            <w:noProof/>
            <w:webHidden/>
          </w:rPr>
          <w:fldChar w:fldCharType="begin"/>
        </w:r>
        <w:r>
          <w:rPr>
            <w:noProof/>
            <w:webHidden/>
          </w:rPr>
          <w:instrText xml:space="preserve"> PAGEREF _Toc507256299 \h </w:instrText>
        </w:r>
        <w:r>
          <w:rPr>
            <w:noProof/>
            <w:webHidden/>
          </w:rPr>
        </w:r>
        <w:r>
          <w:rPr>
            <w:noProof/>
            <w:webHidden/>
          </w:rPr>
          <w:fldChar w:fldCharType="separate"/>
        </w:r>
        <w:r>
          <w:rPr>
            <w:noProof/>
            <w:webHidden/>
          </w:rPr>
          <w:t>12</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0" w:history="1">
        <w:r>
          <w:rPr>
            <w:rStyle w:val="Hyperlink"/>
            <w:noProof/>
          </w:rPr>
          <w:t>Graph 3.1.1:</w:t>
        </w:r>
        <w:r>
          <w:rPr>
            <w:rFonts w:asciiTheme="minorHAnsi" w:eastAsiaTheme="minorEastAsia" w:hAnsiTheme="minorHAnsi" w:cstheme="minorBidi"/>
            <w:noProof/>
            <w:color w:val="auto"/>
            <w:sz w:val="22"/>
            <w:lang w:eastAsia="en-GB"/>
          </w:rPr>
          <w:tab/>
        </w:r>
        <w:r>
          <w:rPr>
            <w:rStyle w:val="Hyperlink"/>
            <w:noProof/>
          </w:rPr>
          <w:t>Debt projections based on probability</w:t>
        </w:r>
        <w:r>
          <w:rPr>
            <w:noProof/>
            <w:webHidden/>
          </w:rPr>
          <w:tab/>
        </w:r>
        <w:r>
          <w:rPr>
            <w:noProof/>
            <w:webHidden/>
          </w:rPr>
          <w:fldChar w:fldCharType="begin"/>
        </w:r>
        <w:r>
          <w:rPr>
            <w:noProof/>
            <w:webHidden/>
          </w:rPr>
          <w:instrText xml:space="preserve"> PAGEREF _Toc507256300 \h </w:instrText>
        </w:r>
        <w:r>
          <w:rPr>
            <w:noProof/>
            <w:webHidden/>
          </w:rPr>
        </w:r>
        <w:r>
          <w:rPr>
            <w:noProof/>
            <w:webHidden/>
          </w:rPr>
          <w:fldChar w:fldCharType="separate"/>
        </w:r>
        <w:r>
          <w:rPr>
            <w:noProof/>
            <w:webHidden/>
          </w:rPr>
          <w:t>17</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1" w:history="1">
        <w:r>
          <w:rPr>
            <w:rStyle w:val="Hyperlink"/>
            <w:noProof/>
          </w:rPr>
          <w:t>Graph 3.1.2:</w:t>
        </w:r>
        <w:r>
          <w:rPr>
            <w:rFonts w:asciiTheme="minorHAnsi" w:eastAsiaTheme="minorEastAsia" w:hAnsiTheme="minorHAnsi" w:cstheme="minorBidi"/>
            <w:noProof/>
            <w:color w:val="auto"/>
            <w:sz w:val="22"/>
            <w:lang w:eastAsia="en-GB"/>
          </w:rPr>
          <w:tab/>
        </w:r>
        <w:r>
          <w:rPr>
            <w:rStyle w:val="Hyperlink"/>
            <w:noProof/>
          </w:rPr>
          <w:t>Gross public debt as a % of GDP</w:t>
        </w:r>
        <w:r>
          <w:rPr>
            <w:noProof/>
            <w:webHidden/>
          </w:rPr>
          <w:tab/>
        </w:r>
        <w:r>
          <w:rPr>
            <w:noProof/>
            <w:webHidden/>
          </w:rPr>
          <w:fldChar w:fldCharType="begin"/>
        </w:r>
        <w:r>
          <w:rPr>
            <w:noProof/>
            <w:webHidden/>
          </w:rPr>
          <w:instrText xml:space="preserve"> PAGEREF _Toc507256301 \h </w:instrText>
        </w:r>
        <w:r>
          <w:rPr>
            <w:noProof/>
            <w:webHidden/>
          </w:rPr>
        </w:r>
        <w:r>
          <w:rPr>
            <w:noProof/>
            <w:webHidden/>
          </w:rPr>
          <w:fldChar w:fldCharType="separate"/>
        </w:r>
        <w:r>
          <w:rPr>
            <w:noProof/>
            <w:webHidden/>
          </w:rPr>
          <w:t>18</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2" w:history="1">
        <w:r>
          <w:rPr>
            <w:rStyle w:val="Hyperlink"/>
            <w:noProof/>
          </w:rPr>
          <w:t>Graph 3.2.1:</w:t>
        </w:r>
        <w:r>
          <w:rPr>
            <w:rFonts w:asciiTheme="minorHAnsi" w:eastAsiaTheme="minorEastAsia" w:hAnsiTheme="minorHAnsi" w:cstheme="minorBidi"/>
            <w:noProof/>
            <w:color w:val="auto"/>
            <w:sz w:val="22"/>
            <w:lang w:eastAsia="en-GB"/>
          </w:rPr>
          <w:tab/>
        </w:r>
        <w:r>
          <w:rPr>
            <w:rStyle w:val="Hyperlink"/>
            <w:noProof/>
          </w:rPr>
          <w:t>Financing of non-financial corporates (NFCs)</w:t>
        </w:r>
        <w:r>
          <w:rPr>
            <w:noProof/>
            <w:webHidden/>
          </w:rPr>
          <w:tab/>
        </w:r>
        <w:r>
          <w:rPr>
            <w:noProof/>
            <w:webHidden/>
          </w:rPr>
          <w:fldChar w:fldCharType="begin"/>
        </w:r>
        <w:r>
          <w:rPr>
            <w:noProof/>
            <w:webHidden/>
          </w:rPr>
          <w:instrText xml:space="preserve"> P</w:instrText>
        </w:r>
        <w:r>
          <w:rPr>
            <w:noProof/>
            <w:webHidden/>
          </w:rPr>
          <w:instrText xml:space="preserve">AGEREF _Toc507256302 \h </w:instrText>
        </w:r>
        <w:r>
          <w:rPr>
            <w:noProof/>
            <w:webHidden/>
          </w:rPr>
        </w:r>
        <w:r>
          <w:rPr>
            <w:noProof/>
            <w:webHidden/>
          </w:rPr>
          <w:fldChar w:fldCharType="separate"/>
        </w:r>
        <w:r>
          <w:rPr>
            <w:noProof/>
            <w:webHidden/>
          </w:rPr>
          <w:t>19</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3" w:history="1">
        <w:r>
          <w:rPr>
            <w:rStyle w:val="Hyperlink"/>
            <w:noProof/>
          </w:rPr>
          <w:t>Graph 3.2.2:</w:t>
        </w:r>
        <w:r>
          <w:rPr>
            <w:rFonts w:asciiTheme="minorHAnsi" w:eastAsiaTheme="minorEastAsia" w:hAnsiTheme="minorHAnsi" w:cstheme="minorBidi"/>
            <w:noProof/>
            <w:color w:val="auto"/>
            <w:sz w:val="22"/>
            <w:lang w:eastAsia="en-GB"/>
          </w:rPr>
          <w:tab/>
        </w:r>
        <w:r>
          <w:rPr>
            <w:rStyle w:val="Hyperlink"/>
            <w:noProof/>
          </w:rPr>
          <w:t>Tier 1 ratio (%): domestic banking groups and stand-alone banks (2016 Q4)</w:t>
        </w:r>
        <w:r>
          <w:rPr>
            <w:noProof/>
            <w:webHidden/>
          </w:rPr>
          <w:tab/>
        </w:r>
        <w:r>
          <w:rPr>
            <w:noProof/>
            <w:webHidden/>
          </w:rPr>
          <w:fldChar w:fldCharType="begin"/>
        </w:r>
        <w:r>
          <w:rPr>
            <w:noProof/>
            <w:webHidden/>
          </w:rPr>
          <w:instrText xml:space="preserve"> PAGEREF _Toc507256303 \h </w:instrText>
        </w:r>
        <w:r>
          <w:rPr>
            <w:noProof/>
            <w:webHidden/>
          </w:rPr>
        </w:r>
        <w:r>
          <w:rPr>
            <w:noProof/>
            <w:webHidden/>
          </w:rPr>
          <w:fldChar w:fldCharType="separate"/>
        </w:r>
        <w:r>
          <w:rPr>
            <w:noProof/>
            <w:webHidden/>
          </w:rPr>
          <w:t>19</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4" w:history="1">
        <w:r>
          <w:rPr>
            <w:rStyle w:val="Hyperlink"/>
            <w:noProof/>
          </w:rPr>
          <w:t>Graph 3.2.3:</w:t>
        </w:r>
        <w:r>
          <w:rPr>
            <w:rFonts w:asciiTheme="minorHAnsi" w:eastAsiaTheme="minorEastAsia" w:hAnsiTheme="minorHAnsi" w:cstheme="minorBidi"/>
            <w:noProof/>
            <w:color w:val="auto"/>
            <w:sz w:val="22"/>
            <w:lang w:eastAsia="en-GB"/>
          </w:rPr>
          <w:tab/>
        </w:r>
        <w:r>
          <w:rPr>
            <w:rStyle w:val="Hyperlink"/>
            <w:noProof/>
          </w:rPr>
          <w:t>Return on equity (%): domestic banking groups and stand-alone banks (2016 Q4)</w:t>
        </w:r>
        <w:r>
          <w:rPr>
            <w:noProof/>
            <w:webHidden/>
          </w:rPr>
          <w:tab/>
        </w:r>
        <w:r>
          <w:rPr>
            <w:noProof/>
            <w:webHidden/>
          </w:rPr>
          <w:fldChar w:fldCharType="begin"/>
        </w:r>
        <w:r>
          <w:rPr>
            <w:noProof/>
            <w:webHidden/>
          </w:rPr>
          <w:instrText xml:space="preserve"> PAGEREF _Toc507256304 \h </w:instrText>
        </w:r>
        <w:r>
          <w:rPr>
            <w:noProof/>
            <w:webHidden/>
          </w:rPr>
        </w:r>
        <w:r>
          <w:rPr>
            <w:noProof/>
            <w:webHidden/>
          </w:rPr>
          <w:fldChar w:fldCharType="separate"/>
        </w:r>
        <w:r>
          <w:rPr>
            <w:noProof/>
            <w:webHidden/>
          </w:rPr>
          <w:t>20</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5" w:history="1">
        <w:r>
          <w:rPr>
            <w:rStyle w:val="Hyperlink"/>
            <w:noProof/>
          </w:rPr>
          <w:t>Graph 3.2.4:</w:t>
        </w:r>
        <w:r>
          <w:rPr>
            <w:rFonts w:asciiTheme="minorHAnsi" w:eastAsiaTheme="minorEastAsia" w:hAnsiTheme="minorHAnsi" w:cstheme="minorBidi"/>
            <w:noProof/>
            <w:color w:val="auto"/>
            <w:sz w:val="22"/>
            <w:lang w:eastAsia="en-GB"/>
          </w:rPr>
          <w:tab/>
        </w:r>
        <w:r>
          <w:rPr>
            <w:rStyle w:val="Hyperlink"/>
            <w:noProof/>
          </w:rPr>
          <w:t>Real house price growth (Q1-2007 to Q2-2017)</w:t>
        </w:r>
        <w:r>
          <w:rPr>
            <w:noProof/>
            <w:webHidden/>
          </w:rPr>
          <w:tab/>
        </w:r>
        <w:r>
          <w:rPr>
            <w:noProof/>
            <w:webHidden/>
          </w:rPr>
          <w:fldChar w:fldCharType="begin"/>
        </w:r>
        <w:r>
          <w:rPr>
            <w:noProof/>
            <w:webHidden/>
          </w:rPr>
          <w:instrText xml:space="preserve"> PAGEREF _Toc507256305 \h </w:instrText>
        </w:r>
        <w:r>
          <w:rPr>
            <w:noProof/>
            <w:webHidden/>
          </w:rPr>
        </w:r>
        <w:r>
          <w:rPr>
            <w:noProof/>
            <w:webHidden/>
          </w:rPr>
          <w:fldChar w:fldCharType="separate"/>
        </w:r>
        <w:r>
          <w:rPr>
            <w:noProof/>
            <w:webHidden/>
          </w:rPr>
          <w:t>21</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6" w:history="1">
        <w:r>
          <w:rPr>
            <w:rStyle w:val="Hyperlink"/>
            <w:noProof/>
          </w:rPr>
          <w:t>Graph </w:t>
        </w:r>
        <w:r>
          <w:rPr>
            <w:rStyle w:val="Hyperlink"/>
            <w:noProof/>
          </w:rPr>
          <w:t>3.2.5:</w:t>
        </w:r>
        <w:r>
          <w:rPr>
            <w:rFonts w:asciiTheme="minorHAnsi" w:eastAsiaTheme="minorEastAsia" w:hAnsiTheme="minorHAnsi" w:cstheme="minorBidi"/>
            <w:noProof/>
            <w:color w:val="auto"/>
            <w:sz w:val="22"/>
            <w:lang w:eastAsia="en-GB"/>
          </w:rPr>
          <w:tab/>
        </w:r>
        <w:r>
          <w:rPr>
            <w:rStyle w:val="Hyperlink"/>
            <w:noProof/>
          </w:rPr>
          <w:t>Quarterly housing starts and completions (England) (2002-2017)</w:t>
        </w:r>
        <w:r>
          <w:rPr>
            <w:noProof/>
            <w:webHidden/>
          </w:rPr>
          <w:tab/>
        </w:r>
        <w:r>
          <w:rPr>
            <w:noProof/>
            <w:webHidden/>
          </w:rPr>
          <w:fldChar w:fldCharType="begin"/>
        </w:r>
        <w:r>
          <w:rPr>
            <w:noProof/>
            <w:webHidden/>
          </w:rPr>
          <w:instrText xml:space="preserve"> PAGEREF _Toc507256306 \h </w:instrText>
        </w:r>
        <w:r>
          <w:rPr>
            <w:noProof/>
            <w:webHidden/>
          </w:rPr>
        </w:r>
        <w:r>
          <w:rPr>
            <w:noProof/>
            <w:webHidden/>
          </w:rPr>
          <w:fldChar w:fldCharType="separate"/>
        </w:r>
        <w:r>
          <w:rPr>
            <w:noProof/>
            <w:webHidden/>
          </w:rPr>
          <w:t>22</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7" w:history="1">
        <w:r>
          <w:rPr>
            <w:rStyle w:val="Hyperlink"/>
            <w:noProof/>
          </w:rPr>
          <w:t>Graph 3.2.6:</w:t>
        </w:r>
        <w:r>
          <w:rPr>
            <w:rFonts w:asciiTheme="minorHAnsi" w:eastAsiaTheme="minorEastAsia" w:hAnsiTheme="minorHAnsi" w:cstheme="minorBidi"/>
            <w:noProof/>
            <w:color w:val="auto"/>
            <w:sz w:val="22"/>
            <w:lang w:eastAsia="en-GB"/>
          </w:rPr>
          <w:tab/>
        </w:r>
        <w:r>
          <w:rPr>
            <w:rStyle w:val="Hyperlink"/>
            <w:noProof/>
          </w:rPr>
          <w:t>House building in England by tenure (1969-2</w:t>
        </w:r>
        <w:r>
          <w:rPr>
            <w:rStyle w:val="Hyperlink"/>
            <w:noProof/>
          </w:rPr>
          <w:t>017)</w:t>
        </w:r>
        <w:r>
          <w:rPr>
            <w:noProof/>
            <w:webHidden/>
          </w:rPr>
          <w:tab/>
        </w:r>
        <w:r>
          <w:rPr>
            <w:noProof/>
            <w:webHidden/>
          </w:rPr>
          <w:fldChar w:fldCharType="begin"/>
        </w:r>
        <w:r>
          <w:rPr>
            <w:noProof/>
            <w:webHidden/>
          </w:rPr>
          <w:instrText xml:space="preserve"> PAGEREF _Toc507256307 \h </w:instrText>
        </w:r>
        <w:r>
          <w:rPr>
            <w:noProof/>
            <w:webHidden/>
          </w:rPr>
        </w:r>
        <w:r>
          <w:rPr>
            <w:noProof/>
            <w:webHidden/>
          </w:rPr>
          <w:fldChar w:fldCharType="separate"/>
        </w:r>
        <w:r>
          <w:rPr>
            <w:noProof/>
            <w:webHidden/>
          </w:rPr>
          <w:t>23</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8" w:history="1">
        <w:r>
          <w:rPr>
            <w:rStyle w:val="Hyperlink"/>
            <w:noProof/>
          </w:rPr>
          <w:t>Graph 3.3.1:</w:t>
        </w:r>
        <w:r>
          <w:rPr>
            <w:rFonts w:asciiTheme="minorHAnsi" w:eastAsiaTheme="minorEastAsia" w:hAnsiTheme="minorHAnsi" w:cstheme="minorBidi"/>
            <w:noProof/>
            <w:color w:val="auto"/>
            <w:sz w:val="22"/>
            <w:lang w:eastAsia="en-GB"/>
          </w:rPr>
          <w:tab/>
        </w:r>
        <w:r>
          <w:rPr>
            <w:rStyle w:val="Hyperlink"/>
            <w:noProof/>
          </w:rPr>
          <w:t>At-risk-of-poverty-or-social-exclusion rate and its components</w:t>
        </w:r>
        <w:r>
          <w:rPr>
            <w:noProof/>
            <w:webHidden/>
          </w:rPr>
          <w:tab/>
        </w:r>
        <w:r>
          <w:rPr>
            <w:noProof/>
            <w:webHidden/>
          </w:rPr>
          <w:fldChar w:fldCharType="begin"/>
        </w:r>
        <w:r>
          <w:rPr>
            <w:noProof/>
            <w:webHidden/>
          </w:rPr>
          <w:instrText xml:space="preserve"> PAGEREF _Toc507256308 \h </w:instrText>
        </w:r>
        <w:r>
          <w:rPr>
            <w:noProof/>
            <w:webHidden/>
          </w:rPr>
        </w:r>
        <w:r>
          <w:rPr>
            <w:noProof/>
            <w:webHidden/>
          </w:rPr>
          <w:fldChar w:fldCharType="separate"/>
        </w:r>
        <w:r>
          <w:rPr>
            <w:noProof/>
            <w:webHidden/>
          </w:rPr>
          <w:t>29</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09" w:history="1">
        <w:r>
          <w:rPr>
            <w:rStyle w:val="Hyperlink"/>
            <w:noProof/>
          </w:rPr>
          <w:t>Graph 3.3.2:</w:t>
        </w:r>
        <w:r>
          <w:rPr>
            <w:rFonts w:asciiTheme="minorHAnsi" w:eastAsiaTheme="minorEastAsia" w:hAnsiTheme="minorHAnsi" w:cstheme="minorBidi"/>
            <w:noProof/>
            <w:color w:val="auto"/>
            <w:sz w:val="22"/>
            <w:lang w:eastAsia="en-GB"/>
          </w:rPr>
          <w:tab/>
        </w:r>
        <w:r>
          <w:rPr>
            <w:rStyle w:val="Hyperlink"/>
            <w:noProof/>
          </w:rPr>
          <w:t>At-risk-of-poverty-or-social-exclusion rate, age groups</w:t>
        </w:r>
        <w:r>
          <w:rPr>
            <w:noProof/>
            <w:webHidden/>
          </w:rPr>
          <w:tab/>
        </w:r>
        <w:r>
          <w:rPr>
            <w:noProof/>
            <w:webHidden/>
          </w:rPr>
          <w:fldChar w:fldCharType="begin"/>
        </w:r>
        <w:r>
          <w:rPr>
            <w:noProof/>
            <w:webHidden/>
          </w:rPr>
          <w:instrText xml:space="preserve"> PAGEREF _Toc507256309 \h </w:instrText>
        </w:r>
        <w:r>
          <w:rPr>
            <w:noProof/>
            <w:webHidden/>
          </w:rPr>
        </w:r>
        <w:r>
          <w:rPr>
            <w:noProof/>
            <w:webHidden/>
          </w:rPr>
          <w:fldChar w:fldCharType="separate"/>
        </w:r>
        <w:r>
          <w:rPr>
            <w:noProof/>
            <w:webHidden/>
          </w:rPr>
          <w:t>29</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10" w:history="1">
        <w:r>
          <w:rPr>
            <w:rStyle w:val="Hyperlink"/>
            <w:noProof/>
          </w:rPr>
          <w:t>Graph 3.3.3:</w:t>
        </w:r>
        <w:r>
          <w:rPr>
            <w:rFonts w:asciiTheme="minorHAnsi" w:eastAsiaTheme="minorEastAsia" w:hAnsiTheme="minorHAnsi" w:cstheme="minorBidi"/>
            <w:noProof/>
            <w:color w:val="auto"/>
            <w:sz w:val="22"/>
            <w:lang w:eastAsia="en-GB"/>
          </w:rPr>
          <w:tab/>
        </w:r>
        <w:r>
          <w:rPr>
            <w:rStyle w:val="Hyperlink"/>
            <w:noProof/>
          </w:rPr>
          <w:t>In-work-poverty rate, groups</w:t>
        </w:r>
        <w:r>
          <w:rPr>
            <w:noProof/>
            <w:webHidden/>
          </w:rPr>
          <w:tab/>
        </w:r>
        <w:r>
          <w:rPr>
            <w:noProof/>
            <w:webHidden/>
          </w:rPr>
          <w:fldChar w:fldCharType="begin"/>
        </w:r>
        <w:r>
          <w:rPr>
            <w:noProof/>
            <w:webHidden/>
          </w:rPr>
          <w:instrText xml:space="preserve"> PAGEREF _Toc507256310 \h </w:instrText>
        </w:r>
        <w:r>
          <w:rPr>
            <w:noProof/>
            <w:webHidden/>
          </w:rPr>
        </w:r>
        <w:r>
          <w:rPr>
            <w:noProof/>
            <w:webHidden/>
          </w:rPr>
          <w:fldChar w:fldCharType="separate"/>
        </w:r>
        <w:r>
          <w:rPr>
            <w:noProof/>
            <w:webHidden/>
          </w:rPr>
          <w:t>30</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11" w:history="1">
        <w:r>
          <w:rPr>
            <w:rStyle w:val="Hyperlink"/>
            <w:noProof/>
          </w:rPr>
          <w:t>Graph 3.4.1:</w:t>
        </w:r>
        <w:r>
          <w:rPr>
            <w:rFonts w:asciiTheme="minorHAnsi" w:eastAsiaTheme="minorEastAsia" w:hAnsiTheme="minorHAnsi" w:cstheme="minorBidi"/>
            <w:noProof/>
            <w:color w:val="auto"/>
            <w:sz w:val="22"/>
            <w:lang w:eastAsia="en-GB"/>
          </w:rPr>
          <w:tab/>
        </w:r>
        <w:r>
          <w:rPr>
            <w:rStyle w:val="Hyperlink"/>
            <w:noProof/>
          </w:rPr>
          <w:t>Investment shares in G7 nations</w:t>
        </w:r>
        <w:r>
          <w:rPr>
            <w:rStyle w:val="Hyperlink"/>
            <w:noProof/>
          </w:rPr>
          <w:t>, quarterly data</w:t>
        </w:r>
        <w:r>
          <w:rPr>
            <w:noProof/>
            <w:webHidden/>
          </w:rPr>
          <w:tab/>
        </w:r>
        <w:r>
          <w:rPr>
            <w:noProof/>
            <w:webHidden/>
          </w:rPr>
          <w:fldChar w:fldCharType="begin"/>
        </w:r>
        <w:r>
          <w:rPr>
            <w:noProof/>
            <w:webHidden/>
          </w:rPr>
          <w:instrText xml:space="preserve"> PAGEREF _Toc507256311 \h </w:instrText>
        </w:r>
        <w:r>
          <w:rPr>
            <w:noProof/>
            <w:webHidden/>
          </w:rPr>
        </w:r>
        <w:r>
          <w:rPr>
            <w:noProof/>
            <w:webHidden/>
          </w:rPr>
          <w:fldChar w:fldCharType="separate"/>
        </w:r>
        <w:r>
          <w:rPr>
            <w:noProof/>
            <w:webHidden/>
          </w:rPr>
          <w:t>32</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12" w:history="1">
        <w:r>
          <w:rPr>
            <w:rStyle w:val="Hyperlink"/>
            <w:noProof/>
          </w:rPr>
          <w:t>Graph 3.4.2:</w:t>
        </w:r>
        <w:r>
          <w:rPr>
            <w:rFonts w:asciiTheme="minorHAnsi" w:eastAsiaTheme="minorEastAsia" w:hAnsiTheme="minorHAnsi" w:cstheme="minorBidi"/>
            <w:noProof/>
            <w:color w:val="auto"/>
            <w:sz w:val="22"/>
            <w:lang w:eastAsia="en-GB"/>
          </w:rPr>
          <w:tab/>
        </w:r>
        <w:r>
          <w:rPr>
            <w:rStyle w:val="Hyperlink"/>
            <w:noProof/>
          </w:rPr>
          <w:t>Equipment and dwellings investment share in the UK and the EU-27</w:t>
        </w:r>
        <w:r>
          <w:rPr>
            <w:noProof/>
            <w:webHidden/>
          </w:rPr>
          <w:tab/>
        </w:r>
        <w:r>
          <w:rPr>
            <w:noProof/>
            <w:webHidden/>
          </w:rPr>
          <w:fldChar w:fldCharType="begin"/>
        </w:r>
        <w:r>
          <w:rPr>
            <w:noProof/>
            <w:webHidden/>
          </w:rPr>
          <w:instrText xml:space="preserve"> PAGEREF _Toc507256312 \h </w:instrText>
        </w:r>
        <w:r>
          <w:rPr>
            <w:noProof/>
            <w:webHidden/>
          </w:rPr>
        </w:r>
        <w:r>
          <w:rPr>
            <w:noProof/>
            <w:webHidden/>
          </w:rPr>
          <w:fldChar w:fldCharType="separate"/>
        </w:r>
        <w:r>
          <w:rPr>
            <w:noProof/>
            <w:webHidden/>
          </w:rPr>
          <w:t>32</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13" w:history="1">
        <w:r>
          <w:rPr>
            <w:rStyle w:val="Hyperlink"/>
            <w:noProof/>
          </w:rPr>
          <w:t>Graph 3.4.3:</w:t>
        </w:r>
        <w:r>
          <w:rPr>
            <w:rFonts w:asciiTheme="minorHAnsi" w:eastAsiaTheme="minorEastAsia" w:hAnsiTheme="minorHAnsi" w:cstheme="minorBidi"/>
            <w:noProof/>
            <w:color w:val="auto"/>
            <w:sz w:val="22"/>
            <w:lang w:eastAsia="en-GB"/>
          </w:rPr>
          <w:tab/>
        </w:r>
        <w:r>
          <w:rPr>
            <w:rStyle w:val="Hyperlink"/>
            <w:noProof/>
          </w:rPr>
          <w:t>Recent trends in UK labour productivity and real wages</w:t>
        </w:r>
        <w:r>
          <w:rPr>
            <w:noProof/>
            <w:webHidden/>
          </w:rPr>
          <w:tab/>
        </w:r>
        <w:r>
          <w:rPr>
            <w:noProof/>
            <w:webHidden/>
          </w:rPr>
          <w:fldChar w:fldCharType="begin"/>
        </w:r>
        <w:r>
          <w:rPr>
            <w:noProof/>
            <w:webHidden/>
          </w:rPr>
          <w:instrText xml:space="preserve"> PAGEREF _Toc507256313 \h </w:instrText>
        </w:r>
        <w:r>
          <w:rPr>
            <w:noProof/>
            <w:webHidden/>
          </w:rPr>
        </w:r>
        <w:r>
          <w:rPr>
            <w:noProof/>
            <w:webHidden/>
          </w:rPr>
          <w:fldChar w:fldCharType="separate"/>
        </w:r>
        <w:r>
          <w:rPr>
            <w:noProof/>
            <w:webHidden/>
          </w:rPr>
          <w:t>35</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14" w:history="1">
        <w:r>
          <w:rPr>
            <w:rStyle w:val="Hyperlink"/>
            <w:noProof/>
          </w:rPr>
          <w:t>Graph 3.4.4:</w:t>
        </w:r>
        <w:r>
          <w:rPr>
            <w:rFonts w:asciiTheme="minorHAnsi" w:eastAsiaTheme="minorEastAsia" w:hAnsiTheme="minorHAnsi" w:cstheme="minorBidi"/>
            <w:noProof/>
            <w:color w:val="auto"/>
            <w:sz w:val="22"/>
            <w:lang w:eastAsia="en-GB"/>
          </w:rPr>
          <w:tab/>
        </w:r>
        <w:r>
          <w:rPr>
            <w:rStyle w:val="Hyperlink"/>
            <w:noProof/>
          </w:rPr>
          <w:t>Regional disparities in nominal labour productivity</w:t>
        </w:r>
        <w:r>
          <w:rPr>
            <w:noProof/>
            <w:webHidden/>
          </w:rPr>
          <w:tab/>
        </w:r>
        <w:r>
          <w:rPr>
            <w:noProof/>
            <w:webHidden/>
          </w:rPr>
          <w:fldChar w:fldCharType="begin"/>
        </w:r>
        <w:r>
          <w:rPr>
            <w:noProof/>
            <w:webHidden/>
          </w:rPr>
          <w:instrText xml:space="preserve"> PAGEREF _Toc507256314 \h </w:instrText>
        </w:r>
        <w:r>
          <w:rPr>
            <w:noProof/>
            <w:webHidden/>
          </w:rPr>
        </w:r>
        <w:r>
          <w:rPr>
            <w:noProof/>
            <w:webHidden/>
          </w:rPr>
          <w:fldChar w:fldCharType="separate"/>
        </w:r>
        <w:r>
          <w:rPr>
            <w:noProof/>
            <w:webHidden/>
          </w:rPr>
          <w:t>36</w:t>
        </w:r>
        <w:r>
          <w:rPr>
            <w:noProof/>
            <w:webHidden/>
          </w:rPr>
          <w:fldChar w:fldCharType="end"/>
        </w:r>
      </w:hyperlink>
    </w:p>
    <w:p w:rsidR="00D329F2" w:rsidRDefault="008D7727">
      <w:pPr>
        <w:pStyle w:val="TOC6"/>
        <w:rPr>
          <w:rFonts w:asciiTheme="minorHAnsi" w:eastAsiaTheme="minorEastAsia" w:hAnsiTheme="minorHAnsi" w:cstheme="minorBidi"/>
          <w:noProof/>
          <w:color w:val="auto"/>
          <w:sz w:val="22"/>
          <w:lang w:eastAsia="en-GB"/>
        </w:rPr>
      </w:pPr>
      <w:hyperlink w:anchor="_Toc507256315" w:history="1">
        <w:r>
          <w:rPr>
            <w:rStyle w:val="Hyperlink"/>
            <w:noProof/>
          </w:rPr>
          <w:t>Graph 3.5.1:</w:t>
        </w:r>
        <w:r>
          <w:rPr>
            <w:rFonts w:asciiTheme="minorHAnsi" w:eastAsiaTheme="minorEastAsia" w:hAnsiTheme="minorHAnsi" w:cstheme="minorBidi"/>
            <w:noProof/>
            <w:color w:val="auto"/>
            <w:sz w:val="22"/>
            <w:lang w:eastAsia="en-GB"/>
          </w:rPr>
          <w:tab/>
        </w:r>
        <w:r>
          <w:rPr>
            <w:rStyle w:val="Hyperlink"/>
            <w:noProof/>
          </w:rPr>
          <w:t>Projected</w:t>
        </w:r>
        <w:r>
          <w:rPr>
            <w:rStyle w:val="Hyperlink"/>
            <w:noProof/>
          </w:rPr>
          <w:t xml:space="preserve"> electricity generation by source</w:t>
        </w:r>
        <w:r>
          <w:rPr>
            <w:noProof/>
            <w:webHidden/>
          </w:rPr>
          <w:tab/>
        </w:r>
        <w:r>
          <w:rPr>
            <w:noProof/>
            <w:webHidden/>
          </w:rPr>
          <w:fldChar w:fldCharType="begin"/>
        </w:r>
        <w:r>
          <w:rPr>
            <w:noProof/>
            <w:webHidden/>
          </w:rPr>
          <w:instrText xml:space="preserve"> PAGEREF _Toc507256315 \h </w:instrText>
        </w:r>
        <w:r>
          <w:rPr>
            <w:noProof/>
            <w:webHidden/>
          </w:rPr>
        </w:r>
        <w:r>
          <w:rPr>
            <w:noProof/>
            <w:webHidden/>
          </w:rPr>
          <w:fldChar w:fldCharType="separate"/>
        </w:r>
        <w:r>
          <w:rPr>
            <w:noProof/>
            <w:webHidden/>
          </w:rPr>
          <w:t>40</w:t>
        </w:r>
        <w:r>
          <w:rPr>
            <w:noProof/>
            <w:webHidden/>
          </w:rPr>
          <w:fldChar w:fldCharType="end"/>
        </w:r>
      </w:hyperlink>
    </w:p>
    <w:p w:rsidR="00D329F2" w:rsidRDefault="008D7727">
      <w:pPr>
        <w:rPr>
          <w:noProof/>
        </w:rPr>
      </w:pPr>
      <w:r>
        <w:rPr>
          <w:noProof/>
        </w:rPr>
        <w:fldChar w:fldCharType="end"/>
      </w:r>
    </w:p>
    <w:p w:rsidR="00D329F2" w:rsidRDefault="008D7727">
      <w:pPr>
        <w:pStyle w:val="HEADINGTOC"/>
        <w:rPr>
          <w:noProof/>
        </w:rPr>
      </w:pPr>
      <w:r>
        <w:rPr>
          <w:noProof/>
        </w:rPr>
        <w:t>LIST OF Boxes</w:t>
      </w:r>
    </w:p>
    <w:p w:rsidR="00D329F2" w:rsidRDefault="008D7727">
      <w:pPr>
        <w:pStyle w:val="TOC7"/>
        <w:rPr>
          <w:noProof/>
        </w:rPr>
      </w:pPr>
      <w:r>
        <w:rPr>
          <w:noProof/>
        </w:rPr>
        <w:fldChar w:fldCharType="begin"/>
      </w:r>
      <w:r>
        <w:rPr>
          <w:noProof/>
        </w:rPr>
        <w:instrText xml:space="preserve"> TOC \o "7-7" \h \z \u </w:instrText>
      </w:r>
      <w:r>
        <w:rPr>
          <w:noProof/>
        </w:rPr>
        <w:fldChar w:fldCharType="separate"/>
      </w:r>
      <w:hyperlink w:anchor="_Toc505333668" w:history="1">
        <w:r>
          <w:rPr>
            <w:noProof/>
          </w:rPr>
          <w:t xml:space="preserve">Box 2.1: Tangible results delivered through EU </w:t>
        </w:r>
        <w:r>
          <w:rPr>
            <w:noProof/>
          </w:rPr>
          <w:t>support to structural change in the UK</w:t>
        </w:r>
        <w:r>
          <w:rPr>
            <w:noProof/>
            <w:webHidden/>
          </w:rPr>
          <w:tab/>
        </w:r>
        <w:r>
          <w:rPr>
            <w:noProof/>
            <w:webHidden/>
          </w:rPr>
          <w:fldChar w:fldCharType="begin"/>
        </w:r>
        <w:r>
          <w:rPr>
            <w:noProof/>
            <w:webHidden/>
          </w:rPr>
          <w:instrText xml:space="preserve"> PAGEREF _Toc505333668 \h </w:instrText>
        </w:r>
        <w:r>
          <w:rPr>
            <w:noProof/>
            <w:webHidden/>
          </w:rPr>
        </w:r>
        <w:r>
          <w:rPr>
            <w:noProof/>
            <w:webHidden/>
          </w:rPr>
          <w:fldChar w:fldCharType="separate"/>
        </w:r>
        <w:r>
          <w:rPr>
            <w:noProof/>
            <w:webHidden/>
          </w:rPr>
          <w:t>15</w:t>
        </w:r>
        <w:r>
          <w:rPr>
            <w:noProof/>
            <w:webHidden/>
          </w:rPr>
          <w:fldChar w:fldCharType="end"/>
        </w:r>
      </w:hyperlink>
    </w:p>
    <w:p w:rsidR="00D329F2" w:rsidRDefault="008D7727">
      <w:pPr>
        <w:pStyle w:val="TOC7"/>
        <w:rPr>
          <w:noProof/>
        </w:rPr>
      </w:pPr>
      <w:hyperlink w:anchor="_Toc505333669" w:history="1">
        <w:r>
          <w:rPr>
            <w:noProof/>
          </w:rPr>
          <w:t>Box 3.3.2: European Pillar of Social Rights in the United Kingdom</w:t>
        </w:r>
        <w:r>
          <w:rPr>
            <w:noProof/>
            <w:webHidden/>
          </w:rPr>
          <w:tab/>
        </w:r>
        <w:r>
          <w:rPr>
            <w:noProof/>
            <w:webHidden/>
          </w:rPr>
          <w:fldChar w:fldCharType="begin"/>
        </w:r>
        <w:r>
          <w:rPr>
            <w:noProof/>
            <w:webHidden/>
          </w:rPr>
          <w:instrText xml:space="preserve"> PAGEREF _Toc505333669</w:instrText>
        </w:r>
        <w:r>
          <w:rPr>
            <w:noProof/>
            <w:webHidden/>
          </w:rPr>
          <w:instrText xml:space="preserve"> \h </w:instrText>
        </w:r>
        <w:r>
          <w:rPr>
            <w:noProof/>
            <w:webHidden/>
          </w:rPr>
        </w:r>
        <w:r>
          <w:rPr>
            <w:noProof/>
            <w:webHidden/>
          </w:rPr>
          <w:fldChar w:fldCharType="separate"/>
        </w:r>
        <w:r>
          <w:rPr>
            <w:noProof/>
            <w:webHidden/>
          </w:rPr>
          <w:t>26</w:t>
        </w:r>
        <w:r>
          <w:rPr>
            <w:noProof/>
            <w:webHidden/>
          </w:rPr>
          <w:fldChar w:fldCharType="end"/>
        </w:r>
      </w:hyperlink>
    </w:p>
    <w:p w:rsidR="00D329F2" w:rsidRDefault="008D7727">
      <w:pPr>
        <w:pStyle w:val="TOC7"/>
        <w:rPr>
          <w:noProof/>
        </w:rPr>
      </w:pPr>
      <w:hyperlink w:anchor="_Toc505333670" w:history="1">
        <w:r>
          <w:rPr>
            <w:noProof/>
          </w:rPr>
          <w:t>Box 3.4.3: Policy highlights:  Making infrastructure policy more coherent and long term</w:t>
        </w:r>
        <w:r>
          <w:rPr>
            <w:noProof/>
            <w:webHidden/>
          </w:rPr>
          <w:tab/>
        </w:r>
        <w:r>
          <w:rPr>
            <w:noProof/>
            <w:webHidden/>
          </w:rPr>
          <w:fldChar w:fldCharType="begin"/>
        </w:r>
        <w:r>
          <w:rPr>
            <w:noProof/>
            <w:webHidden/>
          </w:rPr>
          <w:instrText xml:space="preserve"> PAGEREF _Toc505333670 \h </w:instrText>
        </w:r>
        <w:r>
          <w:rPr>
            <w:noProof/>
            <w:webHidden/>
          </w:rPr>
        </w:r>
        <w:r>
          <w:rPr>
            <w:noProof/>
            <w:webHidden/>
          </w:rPr>
          <w:fldChar w:fldCharType="separate"/>
        </w:r>
        <w:r>
          <w:rPr>
            <w:noProof/>
            <w:webHidden/>
          </w:rPr>
          <w:t>33</w:t>
        </w:r>
        <w:r>
          <w:rPr>
            <w:noProof/>
            <w:webHidden/>
          </w:rPr>
          <w:fldChar w:fldCharType="end"/>
        </w:r>
      </w:hyperlink>
    </w:p>
    <w:p w:rsidR="00D329F2" w:rsidRDefault="008D7727">
      <w:pPr>
        <w:pStyle w:val="TOC7"/>
        <w:rPr>
          <w:noProof/>
        </w:rPr>
      </w:pPr>
      <w:hyperlink w:anchor="_Toc505333671" w:history="1">
        <w:r>
          <w:rPr>
            <w:noProof/>
          </w:rPr>
          <w:t>Box 3.4.4: Investment challenges and reforms in the United Kingdom</w:t>
        </w:r>
        <w:r>
          <w:rPr>
            <w:noProof/>
            <w:webHidden/>
          </w:rPr>
          <w:tab/>
        </w:r>
        <w:r>
          <w:rPr>
            <w:noProof/>
            <w:webHidden/>
          </w:rPr>
          <w:fldChar w:fldCharType="begin"/>
        </w:r>
        <w:r>
          <w:rPr>
            <w:noProof/>
            <w:webHidden/>
          </w:rPr>
          <w:instrText xml:space="preserve"> PAGEREF _Toc505333671 \h </w:instrText>
        </w:r>
        <w:r>
          <w:rPr>
            <w:noProof/>
            <w:webHidden/>
          </w:rPr>
        </w:r>
        <w:r>
          <w:rPr>
            <w:noProof/>
            <w:webHidden/>
          </w:rPr>
          <w:fldChar w:fldCharType="separate"/>
        </w:r>
        <w:r>
          <w:rPr>
            <w:noProof/>
            <w:webHidden/>
          </w:rPr>
          <w:t>37</w:t>
        </w:r>
        <w:r>
          <w:rPr>
            <w:noProof/>
            <w:webHidden/>
          </w:rPr>
          <w:fldChar w:fldCharType="end"/>
        </w:r>
      </w:hyperlink>
    </w:p>
    <w:p w:rsidR="00D329F2" w:rsidRDefault="008D7727">
      <w:pPr>
        <w:rPr>
          <w:noProof/>
        </w:rPr>
      </w:pPr>
      <w:r>
        <w:rPr>
          <w:noProof/>
        </w:rPr>
        <w:fldChar w:fldCharType="end"/>
      </w:r>
    </w:p>
    <w:p w:rsidR="00D329F2" w:rsidRDefault="00D329F2">
      <w:pPr>
        <w:rPr>
          <w:noProof/>
          <w:lang w:val="en-US"/>
        </w:rPr>
      </w:pPr>
    </w:p>
    <w:p w:rsidR="00D329F2" w:rsidRDefault="00D329F2">
      <w:pPr>
        <w:rPr>
          <w:noProof/>
          <w:lang w:val="en-US"/>
        </w:rPr>
        <w:sectPr w:rsidR="00D329F2">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D329F2" w:rsidRDefault="008D7727">
      <w:pPr>
        <w:pStyle w:val="SectionTitleFramed2"/>
        <w:framePr w:wrap="notBeside"/>
        <w:rPr>
          <w:noProof/>
        </w:rPr>
      </w:pPr>
      <w:bookmarkStart w:id="2" w:name="_Toc505334094"/>
      <w:r>
        <w:rPr>
          <w:noProof/>
        </w:rPr>
        <w:lastRenderedPageBreak/>
        <w:t>Executive summary</w:t>
      </w:r>
      <w:bookmarkEnd w:id="2"/>
    </w:p>
    <w:p w:rsidR="00D329F2" w:rsidRDefault="008D7727">
      <w:pPr>
        <w:rPr>
          <w:noProof/>
        </w:rPr>
      </w:pPr>
      <w:r>
        <w:rPr>
          <w:b/>
          <w:noProof/>
        </w:rPr>
        <w:t>The UK has scope to raise stagnant productivity by increasing both public and private investment</w:t>
      </w:r>
      <w:r>
        <w:rPr>
          <w:noProof/>
        </w:rPr>
        <w:t xml:space="preserve">. Unemployment is at a record low and the UK has many strengths. However,  productivity is weak due to deep-rooted </w:t>
      </w:r>
      <w:r>
        <w:rPr>
          <w:noProof/>
        </w:rPr>
        <w:t>policy challenges including low investment and skills gaps. The UK could boost potential growth through more radical action to enable sufficient housebuilding in areas of high demand and by delivering on its objectives to raise the quality of technical edu</w:t>
      </w:r>
      <w:r>
        <w:rPr>
          <w:noProof/>
        </w:rPr>
        <w:t>cation and to upgrade transport networks (</w:t>
      </w:r>
      <w:r>
        <w:rPr>
          <w:rStyle w:val="FootnoteReference"/>
          <w:noProof/>
        </w:rPr>
        <w:footnoteReference w:id="1"/>
      </w:r>
      <w:r>
        <w:rPr>
          <w:noProof/>
        </w:rPr>
        <w:t>).</w:t>
      </w:r>
    </w:p>
    <w:p w:rsidR="00D329F2" w:rsidRDefault="008D7727">
      <w:pPr>
        <w:rPr>
          <w:noProof/>
        </w:rPr>
      </w:pPr>
      <w:r>
        <w:rPr>
          <w:b/>
          <w:noProof/>
        </w:rPr>
        <w:t>Growth is expected to be subdued in 2018 and 2019.</w:t>
      </w:r>
      <w:r>
        <w:rPr>
          <w:noProof/>
        </w:rPr>
        <w:t xml:space="preserve"> The slight slowdown in growth to 1.8 % in 2017 was driven primarily by private consumption, as higher consumer price inflation squeezed real household incomes.</w:t>
      </w:r>
      <w:r>
        <w:rPr>
          <w:noProof/>
        </w:rPr>
        <w:t xml:space="preserve"> The uncertainty around Brexit continues to weigh on business investment, while the depreciation of sterling in 2016 has produced only a modest boost to net exports. Based on a purely technical assumption of the status quo in terms of trading relations bet</w:t>
      </w:r>
      <w:r>
        <w:rPr>
          <w:noProof/>
        </w:rPr>
        <w:t>ween the UK and the rest of the EU, growth is expected to slow further to 1.4 % in 2018 and 1.1 % in 2019. Private consumption and business investment are projected to remain subdued, with net export growth easing off, in line with developments in export m</w:t>
      </w:r>
      <w:r>
        <w:rPr>
          <w:noProof/>
        </w:rPr>
        <w:t>arkets. Risks to the baseline forecast are large and predominantly to the downside.</w:t>
      </w:r>
    </w:p>
    <w:p w:rsidR="00D329F2" w:rsidRDefault="008D7727">
      <w:pPr>
        <w:rPr>
          <w:noProof/>
        </w:rPr>
      </w:pPr>
      <w:r>
        <w:rPr>
          <w:b/>
          <w:noProof/>
        </w:rPr>
        <w:t>Consumer prices rose sharply in 2017 following the 2016 depreciation of sterling.</w:t>
      </w:r>
      <w:r>
        <w:rPr>
          <w:noProof/>
        </w:rPr>
        <w:t xml:space="preserve"> The Harmonised Index of Consumer Prices measure of inflation reached 3.0 % in December 201</w:t>
      </w:r>
      <w:r>
        <w:rPr>
          <w:noProof/>
        </w:rPr>
        <w:t>7, and inflation is significantly above the Bank of England’s target. Inflation is expected to remain elevated in 2018, before easing in 2019.</w:t>
      </w:r>
    </w:p>
    <w:p w:rsidR="00D329F2" w:rsidRDefault="008D7727">
      <w:pPr>
        <w:rPr>
          <w:noProof/>
        </w:rPr>
      </w:pPr>
      <w:r>
        <w:rPr>
          <w:b/>
          <w:noProof/>
        </w:rPr>
        <w:t>The headline labour market picture is positive.</w:t>
      </w:r>
      <w:r>
        <w:rPr>
          <w:noProof/>
        </w:rPr>
        <w:t xml:space="preserve"> The employment rate (20-64) remained at a record level of 78.2 % </w:t>
      </w:r>
      <w:r>
        <w:rPr>
          <w:noProof/>
        </w:rPr>
        <w:t>in Q3-2017, while at 4.2 % unemployment is at its lowest level since 1975.</w:t>
      </w:r>
    </w:p>
    <w:p w:rsidR="00D329F2" w:rsidRDefault="008D7727">
      <w:pPr>
        <w:rPr>
          <w:noProof/>
        </w:rPr>
      </w:pPr>
      <w:r>
        <w:rPr>
          <w:b/>
          <w:noProof/>
        </w:rPr>
        <w:t>The large current account deficit continues to pose external financing risks.</w:t>
      </w:r>
      <w:r>
        <w:rPr>
          <w:noProof/>
        </w:rPr>
        <w:t xml:space="preserve"> The current account deficit widened to a record 5.9 % of GDP in 2016, and remains elevated. However, th</w:t>
      </w:r>
      <w:r>
        <w:rPr>
          <w:noProof/>
        </w:rPr>
        <w:t>e composition of the deficit tempers risks associated with sizeable external financing needs. The UK’s Net International Investment Position has improved due to valuation effects linked to the fall in sterling. However, to date the net trade response to we</w:t>
      </w:r>
      <w:r>
        <w:rPr>
          <w:noProof/>
        </w:rPr>
        <w:t>aker sterling has been disappointing. A persistently big deficit in trade in goods is offset largely but not fully by net service exports.</w:t>
      </w:r>
    </w:p>
    <w:p w:rsidR="00D329F2" w:rsidRDefault="008D7727">
      <w:pPr>
        <w:rPr>
          <w:noProof/>
        </w:rPr>
      </w:pPr>
      <w:r>
        <w:rPr>
          <w:b/>
          <w:noProof/>
        </w:rPr>
        <w:t>Private-sector debt remains high, and consumer credit growth has been elevated since early 2016.</w:t>
      </w:r>
      <w:r>
        <w:rPr>
          <w:noProof/>
        </w:rPr>
        <w:t xml:space="preserve"> Following the financ</w:t>
      </w:r>
      <w:r>
        <w:rPr>
          <w:noProof/>
        </w:rPr>
        <w:t xml:space="preserve">ial crisis, UK banks have reduced debt and strengthened their balance sheets. The level of non-performing loans is quite low, although bank profitability remains weak. Lending to non-financial firms grew modestly in 2017, as did lending to households that </w:t>
      </w:r>
      <w:r>
        <w:rPr>
          <w:noProof/>
        </w:rPr>
        <w:t>is secured on dwellings. Consumer credit grew more rapidly, alongside a fall in the household saving ratio. Although household debt remains high, debt service costs currently remain low. Signs of a moderation in house price growth should slow the growth of</w:t>
      </w:r>
      <w:r>
        <w:rPr>
          <w:noProof/>
        </w:rPr>
        <w:t xml:space="preserve"> mortgage debt.</w:t>
      </w:r>
    </w:p>
    <w:p w:rsidR="00D329F2" w:rsidRDefault="008D7727">
      <w:pPr>
        <w:rPr>
          <w:noProof/>
        </w:rPr>
      </w:pPr>
      <w:r>
        <w:rPr>
          <w:b/>
          <w:noProof/>
        </w:rPr>
        <w:t>Overall, the UK has made some progress in addressing the 2017 country-specific recommendations.</w:t>
      </w:r>
      <w:r>
        <w:rPr>
          <w:noProof/>
        </w:rPr>
        <w:t xml:space="preserve"> There has been some progress on housing investment. The government is implementing a range of policies to boost housing supply. It announced fur</w:t>
      </w:r>
      <w:r>
        <w:rPr>
          <w:noProof/>
        </w:rPr>
        <w:t>ther measures in the 2017 Autumn Budget, including additional moves to make the planning system more supportive of residential development. The upward trend in annual housing completions continued in 2017, although new supply continues to fall short of est</w:t>
      </w:r>
      <w:r>
        <w:rPr>
          <w:noProof/>
        </w:rPr>
        <w:t>imated housing need and many barriers to housebuilding remain. There has been some progress on skills and apprenticeships. The number of apprenticeship starts apparently dropped in the second half of 2017, coinciding with the introduction of the apprentice</w:t>
      </w:r>
      <w:r>
        <w:rPr>
          <w:noProof/>
        </w:rPr>
        <w:t>ship levy. The quality of apprenticeships (measured by the level of qualification) appears to be improving, albeit from a low base. Other routes for progression in work are at a very early stage but backed by a clear political impetus. It is important that</w:t>
      </w:r>
      <w:r>
        <w:rPr>
          <w:noProof/>
        </w:rPr>
        <w:t xml:space="preserve"> the ambitious intentions and plans are swiftly implemented.</w:t>
      </w:r>
    </w:p>
    <w:p w:rsidR="00D329F2" w:rsidRDefault="008D7727">
      <w:pPr>
        <w:rPr>
          <w:noProof/>
        </w:rPr>
      </w:pPr>
      <w:r>
        <w:rPr>
          <w:noProof/>
        </w:rPr>
        <w:t>Regarding progress in reaching the national targets under the Europe 2020 strategy, the UK is performing well on greenhouse gas emissions. It has made good progress on renewable energy and energy</w:t>
      </w:r>
      <w:r>
        <w:rPr>
          <w:noProof/>
        </w:rPr>
        <w:t xml:space="preserve"> efficiency However, the UK faces challenges in achieving the 2020 targets.</w:t>
      </w:r>
    </w:p>
    <w:p w:rsidR="00D329F2" w:rsidRDefault="008D7727">
      <w:pPr>
        <w:rPr>
          <w:noProof/>
        </w:rPr>
      </w:pPr>
      <w:r>
        <w:rPr>
          <w:b/>
          <w:noProof/>
        </w:rPr>
        <w:t>The UK performs adequately on the indicators of the Social Scoreboard supporting the European Pillar of Social Rights.</w:t>
      </w:r>
      <w:r>
        <w:rPr>
          <w:noProof/>
        </w:rPr>
        <w:t xml:space="preserve"> The post-crisis economic recovery has translated into a signi</w:t>
      </w:r>
      <w:r>
        <w:rPr>
          <w:noProof/>
        </w:rPr>
        <w:t>ficant improvement in employment outcomes, bringing a large number of people back into the labour market and employment. However, there is untapped potential with high inactivity rates among certain groups. Many women work part time. Projections suggest th</w:t>
      </w:r>
      <w:r>
        <w:rPr>
          <w:noProof/>
        </w:rPr>
        <w:t>at recent social reforms risk increasing in-work poverty and poverty among children.</w:t>
      </w:r>
    </w:p>
    <w:p w:rsidR="00D329F2" w:rsidRDefault="008D7727">
      <w:pPr>
        <w:rPr>
          <w:noProof/>
        </w:rPr>
      </w:pPr>
      <w:r>
        <w:rPr>
          <w:noProof/>
        </w:rPr>
        <w:t>Key structural issues analysed in this report, which point to particular challenges for the UK, are:</w:t>
      </w:r>
    </w:p>
    <w:p w:rsidR="00D329F2" w:rsidRDefault="008D7727">
      <w:pPr>
        <w:pStyle w:val="ListBullet"/>
        <w:numPr>
          <w:ilvl w:val="0"/>
          <w:numId w:val="8"/>
        </w:numPr>
        <w:rPr>
          <w:noProof/>
        </w:rPr>
      </w:pPr>
      <w:r>
        <w:rPr>
          <w:b/>
          <w:noProof/>
        </w:rPr>
        <w:t>High general government debt is a source of vulnerability.</w:t>
      </w:r>
      <w:r>
        <w:rPr>
          <w:noProof/>
        </w:rPr>
        <w:t xml:space="preserve"> The deficit</w:t>
      </w:r>
      <w:r>
        <w:rPr>
          <w:noProof/>
        </w:rPr>
        <w:t xml:space="preserve"> fell to 2.3 % in 2016-2017, although deficit reduction is expected to stall temporarily in 2017-2018. The debt-to-GDP ratio is expected to remain above 80 % and could increase if potential shocks to the economy materialise. The UK faces medium fiscal risk</w:t>
      </w:r>
      <w:r>
        <w:rPr>
          <w:noProof/>
        </w:rPr>
        <w:t>s in the long term, linked to the projected impact of age-related spending on pensions, health and long term care.</w:t>
      </w:r>
    </w:p>
    <w:p w:rsidR="00D329F2" w:rsidRDefault="008D7727">
      <w:pPr>
        <w:pStyle w:val="ListBullet"/>
        <w:numPr>
          <w:ilvl w:val="0"/>
          <w:numId w:val="8"/>
        </w:numPr>
        <w:rPr>
          <w:noProof/>
        </w:rPr>
      </w:pPr>
      <w:r>
        <w:rPr>
          <w:b/>
          <w:noProof/>
        </w:rPr>
        <w:t>Housing costs are high and housing supply still lags growth in demand</w:t>
      </w:r>
      <w:r>
        <w:rPr>
          <w:noProof/>
        </w:rPr>
        <w:t xml:space="preserve">. While house price growth has slowed in recent quarters, affordability </w:t>
      </w:r>
      <w:r>
        <w:rPr>
          <w:noProof/>
        </w:rPr>
        <w:t>has continued to decline due to low wage growth. Home ownership has fallen significantly among younger age cohorts in recent years, increasing intergenerational inequality. A cyclical recovery and government policy reforms have contributed to a continued p</w:t>
      </w:r>
      <w:r>
        <w:rPr>
          <w:noProof/>
        </w:rPr>
        <w:t>ick up in residential construction. However, new housing supply remains insufficient, particularly in areas of high demand. The government recognises the problem and has set ambitious objectives to increase supply in the coming years. At the same time, the</w:t>
      </w:r>
      <w:r>
        <w:rPr>
          <w:noProof/>
        </w:rPr>
        <w:t xml:space="preserve"> government has reaffirmed its commitment to limiting development around urban centres.</w:t>
      </w:r>
    </w:p>
    <w:p w:rsidR="00D329F2" w:rsidRDefault="008D7727">
      <w:pPr>
        <w:pStyle w:val="ListBullet"/>
        <w:numPr>
          <w:ilvl w:val="0"/>
          <w:numId w:val="8"/>
        </w:numPr>
        <w:rPr>
          <w:noProof/>
        </w:rPr>
      </w:pPr>
      <w:r>
        <w:rPr>
          <w:b/>
          <w:noProof/>
        </w:rPr>
        <w:t>Labour market entry is easy for most people, but progression is difficult for some.</w:t>
      </w:r>
      <w:r>
        <w:rPr>
          <w:noProof/>
        </w:rPr>
        <w:t xml:space="preserve"> Youth and long term unemployment are low and stable. However, some cohorts have a hi</w:t>
      </w:r>
      <w:r>
        <w:rPr>
          <w:noProof/>
        </w:rPr>
        <w:t>gher propensity to be stuck in low-wage, low-hours and/or low-progression jobs. Many new skills initiatives are targeting the flow of new entrants to the labour market. but a large share of the current work force is either low-skilled or in jobs not matchi</w:t>
      </w:r>
      <w:r>
        <w:rPr>
          <w:noProof/>
        </w:rPr>
        <w:t>ng their qualifications. Apprenticeship reform is underway but more focused on quantity targets rather than quality. Other upskilling and reskilling opportunities require strengthening. The National Retraining Scheme to reskill and upskill those who alread</w:t>
      </w:r>
      <w:r>
        <w:rPr>
          <w:noProof/>
        </w:rPr>
        <w:t>y have completed full-time education, including those in work, could improve their future prospects but is yet to be implemented.</w:t>
      </w:r>
    </w:p>
    <w:p w:rsidR="00D329F2" w:rsidRDefault="008D7727">
      <w:pPr>
        <w:pStyle w:val="ListBullet"/>
        <w:numPr>
          <w:ilvl w:val="0"/>
          <w:numId w:val="8"/>
        </w:numPr>
        <w:rPr>
          <w:noProof/>
        </w:rPr>
      </w:pPr>
      <w:r>
        <w:rPr>
          <w:b/>
          <w:noProof/>
        </w:rPr>
        <w:t>There are care- and poverty-related challenges for working-age families.</w:t>
      </w:r>
      <w:r>
        <w:rPr>
          <w:noProof/>
        </w:rPr>
        <w:t xml:space="preserve"> Pressures on childcare and social care supply can aff</w:t>
      </w:r>
      <w:r>
        <w:rPr>
          <w:noProof/>
        </w:rPr>
        <w:t>ect female full-time employment. Other social policy outcomes, particularly for working-age families who receive in-work benefits, will be hit by previously announced cutbacks and reforms now being implemented in a context of heightened inflation.</w:t>
      </w:r>
    </w:p>
    <w:p w:rsidR="00D329F2" w:rsidRDefault="008D7727">
      <w:pPr>
        <w:pStyle w:val="ListBullet"/>
        <w:numPr>
          <w:ilvl w:val="0"/>
          <w:numId w:val="8"/>
        </w:numPr>
        <w:rPr>
          <w:noProof/>
        </w:rPr>
      </w:pPr>
      <w:r>
        <w:rPr>
          <w:b/>
          <w:noProof/>
        </w:rPr>
        <w:t>Producti</w:t>
      </w:r>
      <w:r>
        <w:rPr>
          <w:b/>
          <w:noProof/>
        </w:rPr>
        <w:t>vity is low and stagnant, due partly to low investment.</w:t>
      </w:r>
      <w:r>
        <w:rPr>
          <w:noProof/>
        </w:rPr>
        <w:t xml:space="preserve"> The UK is an open economy with a high employment rate and many positive aspects to its business environment. However, labour productivity is significantly lower than in other developed economies, and </w:t>
      </w:r>
      <w:r>
        <w:rPr>
          <w:noProof/>
        </w:rPr>
        <w:t xml:space="preserve">no higher than it was a decade ago. Large parts of the economy perform comparatively poorly on the main drivers of productivity — skills, investment and the adoption and implementation of efficient business processes. Private investment remains well below </w:t>
      </w:r>
      <w:r>
        <w:rPr>
          <w:noProof/>
        </w:rPr>
        <w:t>the EU average, particularly in equipment, and there remain impediments to the efficient allocation of capital and labour.</w:t>
      </w:r>
    </w:p>
    <w:p w:rsidR="00D329F2" w:rsidRDefault="008D7727">
      <w:pPr>
        <w:pStyle w:val="ListBullet"/>
        <w:numPr>
          <w:ilvl w:val="0"/>
          <w:numId w:val="8"/>
        </w:numPr>
        <w:rPr>
          <w:noProof/>
        </w:rPr>
      </w:pPr>
      <w:r>
        <w:rPr>
          <w:b/>
          <w:noProof/>
        </w:rPr>
        <w:t>The UK has a significant challenge to deliver a modern network infrastructure that can meet future demand.</w:t>
      </w:r>
      <w:r>
        <w:rPr>
          <w:noProof/>
        </w:rPr>
        <w:t xml:space="preserve"> The UK's road, rail and av</w:t>
      </w:r>
      <w:r>
        <w:rPr>
          <w:noProof/>
        </w:rPr>
        <w:t>iation networks have significant and growing capacity pressures. There is also an increasingly urgent need for higher investment in new energy generation and supply capacity. The government has created two agencies to provide a more stable and long-term fr</w:t>
      </w:r>
      <w:r>
        <w:rPr>
          <w:noProof/>
        </w:rPr>
        <w:t>amework for infrastructure investment and is increasing public infrastructure investment. Annual investment from the public and private sector needs to grow substantially over the next decade to deliver all the projects planned.</w:t>
      </w:r>
    </w:p>
    <w:p w:rsidR="00D329F2" w:rsidRDefault="00D329F2">
      <w:pPr>
        <w:rPr>
          <w:noProof/>
        </w:rPr>
        <w:sectPr w:rsidR="00D329F2">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D329F2" w:rsidRDefault="008D7727">
      <w:pPr>
        <w:pStyle w:val="SectionTitleFramed3"/>
        <w:framePr w:wrap="notBeside"/>
        <w:rPr>
          <w:noProof/>
        </w:rPr>
      </w:pPr>
      <w:bookmarkStart w:id="3" w:name="_Toc505334095"/>
      <w:r>
        <w:rPr>
          <w:rFonts w:ascii="Times New Roman" w:hAnsi="Times New Roman"/>
          <w:b/>
          <w:noProof/>
          <w:color w:val="808080"/>
          <w:sz w:val="72"/>
        </w:rPr>
        <w:t>1.</w:t>
      </w:r>
      <w:r>
        <w:rPr>
          <w:noProof/>
        </w:rPr>
        <w:tab/>
        <w:t>Economic situation and outlook</w:t>
      </w:r>
      <w:bookmarkEnd w:id="3"/>
    </w:p>
    <w:p w:rsidR="00D329F2" w:rsidRDefault="008D7727">
      <w:pPr>
        <w:pStyle w:val="Heading"/>
        <w:rPr>
          <w:rFonts w:eastAsiaTheme="minorHAnsi"/>
          <w:noProof/>
        </w:rPr>
      </w:pPr>
      <w:r>
        <w:rPr>
          <w:rFonts w:eastAsiaTheme="minorHAnsi"/>
          <w:noProof/>
        </w:rPr>
        <w:t>GDP growth and its composition</w:t>
      </w:r>
    </w:p>
    <w:p w:rsidR="00D329F2" w:rsidRDefault="008D7727">
      <w:pPr>
        <w:rPr>
          <w:i/>
          <w:noProof/>
        </w:rPr>
      </w:pPr>
      <w:r>
        <w:rPr>
          <w:b/>
          <w:noProof/>
        </w:rPr>
        <w:t>The pace of quarterly economic growth in the UK has slowed since the sta</w:t>
      </w:r>
      <w:r>
        <w:rPr>
          <w:b/>
          <w:noProof/>
        </w:rPr>
        <w:t>rt of 2017.</w:t>
      </w:r>
      <w:r>
        <w:rPr>
          <w:noProof/>
        </w:rPr>
        <w:t xml:space="preserve"> Annual GDP growth had already slowed from 2.3 % in 2015 to 1.9 % in 2016 (Graph 1.1). Since the start of 2017, the pace of quarterly growth slowed significantly, from 0.7 % quarter-on-quarter in Q4-2016 to an average of 0.4 % in 2017</w:t>
      </w:r>
      <w:r>
        <w:rPr>
          <w:i/>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4" w:name="_Toc507256288"/>
            <w:r>
              <w:rPr>
                <w:noProof/>
              </w:rPr>
              <w:t>Graph 1.1:</w:t>
            </w:r>
            <w:r>
              <w:rPr>
                <w:b/>
                <w:noProof/>
              </w:rPr>
              <w:tab/>
              <w:t>Real GDP growth</w:t>
            </w:r>
            <w:bookmarkEnd w:id="4"/>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5EA718AC" wp14:editId="4B6A564D">
                  <wp:extent cx="2597595" cy="2701878"/>
                  <wp:effectExtent l="0" t="0" r="0" b="0"/>
                  <wp:docPr id="26" name="Picture 26" descr="&lt;nbr&gt;&lt;GETTEXTFROMWORD&gt;&lt;/nbr&gt;&#10;&lt;title&gt;&lt;GETTEXTFROMWORD&gt;&lt;/title&gt;&#10;&lt;id&gt;64b4d5d1-a556-4b04-b6db-b0e3c1e72fff&lt;/id&gt;&#10;&lt;srcType&gt;EXCEL&lt;/srcType&gt;&#10;&lt;srcPath&gt;P:\Projects\EU2020\European Semester\2018\Country reports\2018-02-06 Master files\28 UK&lt;/srcPath&gt;&#10;&lt;srcName&gt;1. Economic sit and Outlook MB.xlsx&lt;/srcName&gt;&#10;&lt;type&gt;graph&lt;/type&gt;&#10; &lt;srcSheet&gt;GDP_Contrib&lt;/srcSheet&gt;&#10; &lt;srcChartTitle&gt;Chart 10&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3:29&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701878"/>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Office for National Statistics &amp; European Commission</w:t>
            </w:r>
          </w:p>
        </w:tc>
      </w:tr>
    </w:tbl>
    <w:p w:rsidR="00D329F2" w:rsidRDefault="008D7727">
      <w:pPr>
        <w:rPr>
          <w:noProof/>
        </w:rPr>
      </w:pPr>
      <w:r>
        <w:rPr>
          <w:b/>
          <w:noProof/>
        </w:rPr>
        <w:t>This slowdown in growth has been driven primarily by a decline in private consumption growth</w:t>
      </w:r>
      <w:r>
        <w:rPr>
          <w:noProof/>
        </w:rPr>
        <w:t xml:space="preserve">, which fell to an average of 0.2 % quarter-on-quarter in the first three quarters of 2017. This was mainly due to the squeeze on real disposable incomes as nominal wage growth fell below consumer price inflation (Graph </w:t>
      </w:r>
      <w:r>
        <w:rPr>
          <w:noProof/>
        </w:rPr>
        <w:fldChar w:fldCharType="begin"/>
      </w:r>
      <w:r>
        <w:rPr>
          <w:noProof/>
        </w:rPr>
        <w:instrText xml:space="preserve"> QUOTE "1.2"</w:instrText>
      </w:r>
      <w:r>
        <w:rPr>
          <w:noProof/>
        </w:rPr>
        <w:fldChar w:fldCharType="begin">
          <w:fldData xml:space="preserve">QwBSAE8AUwBTAFIARQBGAEUAUgBFAE4AQwBFACoARwBSAEEAUABIACoANwBmADYAOQBmADIANQA3
AC0AOAAxAGIAYwAtADQAMgBmADUALQA5ADAAYQA2AC0AZABjADIAZgBjADYAOQA0AGMAOQA5ADAA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xml:space="preserve">). Consumer prices have risen sharply in 2017 following the 2016 depreciation of sterling. </w:t>
      </w:r>
    </w:p>
    <w:p w:rsidR="00D329F2" w:rsidRDefault="008D7727">
      <w:pPr>
        <w:rPr>
          <w:noProof/>
        </w:rPr>
      </w:pPr>
      <w:r>
        <w:rPr>
          <w:b/>
          <w:noProof/>
        </w:rPr>
        <w:t>Households have to date smoothed consumption by reducing their savings.</w:t>
      </w:r>
      <w:r>
        <w:rPr>
          <w:noProof/>
        </w:rPr>
        <w:t xml:space="preserve"> The hea</w:t>
      </w:r>
      <w:r>
        <w:rPr>
          <w:noProof/>
        </w:rPr>
        <w:t>dline (national accounts) households saving ratio (</w:t>
      </w:r>
      <w:r>
        <w:rPr>
          <w:noProof/>
          <w:vertAlign w:val="superscript"/>
        </w:rPr>
        <w:footnoteReference w:id="2"/>
      </w:r>
      <w:r>
        <w:rPr>
          <w:noProof/>
        </w:rPr>
        <w:t xml:space="preserve">) fell from 8.2 % (of disposable income) in Q1-2016 to a near record low of 5.2 % in Q3-2017 (Graph </w:t>
      </w:r>
      <w:r>
        <w:rPr>
          <w:noProof/>
        </w:rPr>
        <w:fldChar w:fldCharType="begin"/>
      </w:r>
      <w:r>
        <w:rPr>
          <w:noProof/>
        </w:rPr>
        <w:instrText xml:space="preserve"> QUOTE "1.3"</w:instrText>
      </w:r>
      <w:r>
        <w:rPr>
          <w:noProof/>
        </w:rPr>
        <w:fldChar w:fldCharType="begin">
          <w:fldData xml:space="preserve">QwBSAE8AUwBTAFIARQBGAEUAUgBFAE4AQwBFACoARwBSAEEAUABIACoAYQAwADkAOABjADYAOAA0
AC0ANQA5AGEAMAAtADQAZQA0ADMALQA5ADEAOQA2AC0ANwA3AGMAMAA2ADMAYQBmAGYAMQA3ADgA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When measured on a cash basis (</w:t>
      </w:r>
      <w:r>
        <w:rPr>
          <w:noProof/>
          <w:vertAlign w:val="superscript"/>
        </w:rPr>
        <w:footnoteReference w:id="3"/>
      </w:r>
      <w:r>
        <w:rPr>
          <w:noProof/>
        </w:rPr>
        <w:t xml:space="preserve">) the households saving ratio recovered to a modest 1.4 % in Q3-2017 from a negative 0.8 % in Q1-2017. This indicates that households spent more than they earned in income during Q1-2017. </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5" w:name="_Toc507256289"/>
            <w:r>
              <w:rPr>
                <w:noProof/>
              </w:rPr>
              <w:t>Graph 1.2:</w:t>
            </w:r>
            <w:r>
              <w:rPr>
                <w:b/>
                <w:noProof/>
              </w:rPr>
              <w:tab/>
              <w:t>Priv</w:t>
            </w:r>
            <w:r>
              <w:rPr>
                <w:b/>
                <w:noProof/>
              </w:rPr>
              <w:t>ate consumption and wages</w:t>
            </w:r>
            <w:bookmarkEnd w:id="5"/>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497D9D51" wp14:editId="730901FE">
                  <wp:extent cx="2597595" cy="2436430"/>
                  <wp:effectExtent l="0" t="0" r="0" b="0"/>
                  <wp:docPr id="27" name="Picture 27" descr="&lt;nbr&gt;&lt;GETTEXTFROMWORD&gt;&lt;/nbr&gt;&#10;&lt;title&gt;&lt;GETTEXTFROMWORD&gt;&lt;/title&gt;&#10;&lt;id&gt;7f69f257-81bc-42f5-90a6-dc2fc694c990&lt;/id&gt;&#10;&lt;srcType&gt;EXCEL&lt;/srcType&gt;&#10;&lt;srcPath&gt;P:\Projects\EU2020\European Semester\2018\Country reports\2018-02-06 Master files\28 UK&lt;/srcPath&gt;&#10;&lt;srcName&gt;1. Economic sit and Outlook MB.xlsx&lt;/srcName&gt;&#10;&lt;type&gt;graph&lt;/type&gt;&#10; &lt;srcSheet&gt;Inf_cons_wag&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3:29&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Office for National Statistics</w:t>
            </w:r>
          </w:p>
        </w:tc>
      </w:tr>
    </w:tbl>
    <w:p w:rsidR="00D329F2" w:rsidRDefault="00D329F2">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6" w:name="_Toc507256290"/>
            <w:r>
              <w:rPr>
                <w:noProof/>
              </w:rPr>
              <w:t>Graph 1.3:</w:t>
            </w:r>
            <w:r>
              <w:rPr>
                <w:b/>
                <w:noProof/>
              </w:rPr>
              <w:tab/>
              <w:t>Real households saving ratio</w:t>
            </w:r>
            <w:bookmarkEnd w:id="6"/>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3B9E57BF" wp14:editId="44991892">
                  <wp:extent cx="2597595" cy="2436430"/>
                  <wp:effectExtent l="0" t="0" r="0" b="0"/>
                  <wp:docPr id="28" name="Picture 28" descr="&lt;nbr&gt;&lt;GETTEXTFROMWORD&gt;&lt;/nbr&gt;&#10;&lt;title&gt;&lt;GETTEXTFROMWORD&gt;&lt;/title&gt;&#10;&lt;id&gt;a098c684-59a0-4e43-9196-77c063aff178&lt;/id&gt;&#10;&lt;srcType&gt;EXCEL&lt;/srcType&gt;&#10;&lt;srcPath&gt;P:\Projects\EU2020\European Semester\2018\Country reports\2018-02-06 Master files\28 UK&lt;/srcPath&gt;&#10;&lt;srcName&gt;1. Economic sit and Outlook MB.xlsx&lt;/srcName&gt;&#10;&lt;type&gt;graph&lt;/type&gt;&#10; &lt;srcSheet&gt;Saving&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3:29&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Office for National Statistics</w:t>
            </w:r>
          </w:p>
        </w:tc>
      </w:tr>
    </w:tbl>
    <w:p w:rsidR="00D329F2" w:rsidRDefault="008D7727">
      <w:pPr>
        <w:rPr>
          <w:noProof/>
        </w:rPr>
      </w:pPr>
      <w:r>
        <w:rPr>
          <w:b/>
          <w:noProof/>
        </w:rPr>
        <w:t>Private consumption growth is expected to remain subdued over the 2018-2019 forecast horizon.</w:t>
      </w:r>
      <w:r>
        <w:rPr>
          <w:noProof/>
        </w:rPr>
        <w:t xml:space="preserve"> In 2018, modest growth in nominal wages is projected to be outpaced by elevated consumer price inflation. Nonetheless, households are expected to smooth consumption by continuing to reduce savings in 2018. In 2019, despite lower projected inflation, priva</w:t>
      </w:r>
      <w:r>
        <w:rPr>
          <w:noProof/>
        </w:rPr>
        <w:t>te consumption growth is expected to be constrained by a marginal rebound in the households saving ratio.</w:t>
      </w:r>
    </w:p>
    <w:p w:rsidR="00D329F2" w:rsidRDefault="008D7727">
      <w:pPr>
        <w:rPr>
          <w:noProof/>
        </w:rPr>
      </w:pPr>
      <w:r>
        <w:rPr>
          <w:b/>
          <w:noProof/>
        </w:rPr>
        <w:t>The impact of the depreciation of sterling in 2016 and buoyant external demand has provided a boost to net exports.</w:t>
      </w:r>
      <w:r>
        <w:rPr>
          <w:noProof/>
        </w:rPr>
        <w:t xml:space="preserve"> Net exports actually made a negati</w:t>
      </w:r>
      <w:r>
        <w:rPr>
          <w:noProof/>
        </w:rPr>
        <w:t xml:space="preserve">ve 0.8 pps. contribution to GDP growth in 2016 (Graph 1.4). Service exports provided the only positive contribution to net trade in 2016, with financial services making the largest contribution to the increase in the services trade surplus. In the first 3 </w:t>
      </w:r>
      <w:r>
        <w:rPr>
          <w:noProof/>
        </w:rPr>
        <w:t>quarters of 2017, supported by the previous depreciation of sterling and robust export market growth, net exports have on average contributed 0.9 pps. to year-on-year growth. Net trade is therefore expected to make a positive contribution to growth in 2017</w:t>
      </w:r>
      <w:r>
        <w:rPr>
          <w:noProof/>
        </w:rPr>
        <w:t xml:space="preserve">, which is expected to partially offset the impact of weaker domestic demand. Over the forecast horizon, net export growth is forecast to grow in line with growth projections in export markets as the boost from the previous sterling depreciation fades. </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7" w:name="_Toc507256291"/>
            <w:r>
              <w:rPr>
                <w:noProof/>
              </w:rPr>
              <w:t>Graph 1.4:</w:t>
            </w:r>
            <w:r>
              <w:rPr>
                <w:b/>
                <w:noProof/>
              </w:rPr>
              <w:tab/>
              <w:t>Net exports’ contribution to GDP growth</w:t>
            </w:r>
            <w:bookmarkEnd w:id="7"/>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40507F3E" wp14:editId="6B2E3E12">
                  <wp:extent cx="2597595" cy="2436430"/>
                  <wp:effectExtent l="0" t="0" r="0" b="0"/>
                  <wp:docPr id="29" name="Picture 29" descr="&lt;nbr&gt;&lt;GETTEXTFROMWORD&gt;&lt;/nbr&gt;&#10;&lt;title&gt;&lt;GETTEXTFROMWORD&gt;&lt;/title&gt;&#10;&lt;id&gt;2363ffba-b0f9-4ecb-b51e-f713605251c5&lt;/id&gt;&#10;&lt;srcType&gt;EXCEL&lt;/srcType&gt;&#10;&lt;srcPath&gt;P:\Projects\EU2020\European Semester\2018\Country reports\2018-02-06 Master files\28 UK&lt;/srcPath&gt;&#10;&lt;srcName&gt;1. Economic sit and Outlook MB.xlsx&lt;/srcName&gt;&#10;&lt;type&gt;graph&lt;/type&gt;&#10; &lt;srcSheet&gt;Exp_I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3:29&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Office for National Statistics</w:t>
            </w:r>
          </w:p>
        </w:tc>
      </w:tr>
    </w:tbl>
    <w:p w:rsidR="00D329F2" w:rsidRDefault="008D7727">
      <w:pPr>
        <w:rPr>
          <w:noProof/>
        </w:rPr>
      </w:pPr>
      <w:r>
        <w:rPr>
          <w:b/>
          <w:noProof/>
        </w:rPr>
        <w:t>GDP growth is expected to remain subdued over the forecast horizon</w:t>
      </w:r>
      <w:r>
        <w:rPr>
          <w:noProof/>
        </w:rPr>
        <w:t xml:space="preserve">, slowing gradually to 1.4 % in 2018 and 1.1 % in 2019. As discussed previously, alongside the </w:t>
      </w:r>
      <w:r>
        <w:rPr>
          <w:noProof/>
        </w:rPr>
        <w:t>moderating contribution of net exports, consumption growth is projected to be modest, in line with weak real wage growth and diminishing consumer confidence, while uncertainty is expected to continue to weigh on business investment. The projections for 201</w:t>
      </w:r>
      <w:r>
        <w:rPr>
          <w:noProof/>
        </w:rPr>
        <w:t xml:space="preserve">9 are based on a purely technical assumption of status quo in terms of trading relations between the EU27 and the UK. This is for forecasting purposes only and has no bearing on the talks underway in the context of the Article 50 process. However, as this </w:t>
      </w:r>
      <w:r>
        <w:rPr>
          <w:noProof/>
        </w:rPr>
        <w:t>purely technical assumption implies a relatively benign scenario, the risks to the 2019 baseline forecast are large and predominantly to the downside</w:t>
      </w:r>
    </w:p>
    <w:p w:rsidR="00D329F2" w:rsidRDefault="008D7727">
      <w:pPr>
        <w:pStyle w:val="Heading"/>
        <w:rPr>
          <w:rFonts w:eastAsiaTheme="minorHAnsi"/>
          <w:noProof/>
        </w:rPr>
      </w:pPr>
      <w:r>
        <w:rPr>
          <w:rFonts w:eastAsiaTheme="minorHAnsi"/>
          <w:noProof/>
        </w:rPr>
        <w:t>Potential growth</w:t>
      </w:r>
    </w:p>
    <w:p w:rsidR="00D329F2" w:rsidRDefault="008D7727">
      <w:pPr>
        <w:widowControl w:val="0"/>
        <w:rPr>
          <w:noProof/>
        </w:rPr>
      </w:pPr>
      <w:r>
        <w:rPr>
          <w:b/>
          <w:noProof/>
        </w:rPr>
        <w:t>Weak productivity growth continues to weigh on potential GDP growth</w:t>
      </w:r>
      <w:r>
        <w:rPr>
          <w:noProof/>
        </w:rPr>
        <w:t>. In line with the sta</w:t>
      </w:r>
      <w:r>
        <w:rPr>
          <w:noProof/>
        </w:rPr>
        <w:t xml:space="preserve">gnation of labour productivity since the economic downturn, potential GDP growth has remained relatively subdued compared to the pre-crisis period (Graph </w:t>
      </w:r>
      <w:r>
        <w:rPr>
          <w:noProof/>
        </w:rPr>
        <w:fldChar w:fldCharType="begin"/>
      </w:r>
      <w:r>
        <w:rPr>
          <w:noProof/>
        </w:rPr>
        <w:instrText xml:space="preserve"> QUOTE "1.5"</w:instrText>
      </w:r>
      <w:r>
        <w:rPr>
          <w:noProof/>
        </w:rPr>
        <w:fldChar w:fldCharType="begin">
          <w:fldData xml:space="preserve">QwBSAE8AUwBTAFIARQBGAEUAUgBFAE4AQwBFACoARwBSAEEAUABIACoAOABmAGYAMABiADMAMABh
AC0AYwA0ADEAZQAtADQANABkAGYALQA4AGMAOAA3AC0AOABiADgAZAA5ADIAYQAzADgAOAAxADcA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While the contribution from total factor productivity (TFP) increased slightly from 2014 to 2016, most of the modest increase in potential output since the downturn has been due to a growing labour force.</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8" w:name="_Toc507256292"/>
            <w:r>
              <w:rPr>
                <w:noProof/>
              </w:rPr>
              <w:t>Graph 1.5:</w:t>
            </w:r>
            <w:r>
              <w:rPr>
                <w:b/>
                <w:noProof/>
              </w:rPr>
              <w:tab/>
              <w:t>Potential GDP grow</w:t>
            </w:r>
            <w:r>
              <w:rPr>
                <w:b/>
                <w:noProof/>
              </w:rPr>
              <w:t>th</w:t>
            </w:r>
            <w:bookmarkEnd w:id="8"/>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68101C7E" wp14:editId="4D21F373">
                  <wp:extent cx="2597595" cy="2787200"/>
                  <wp:effectExtent l="0" t="0" r="0" b="0"/>
                  <wp:docPr id="30" name="Picture 30" descr="&lt;nbr&gt;&lt;GETTEXTFROMWORD&gt;&lt;/nbr&gt;&#10;&lt;title&gt;&lt;GETTEXTFROMWORD&gt;&lt;/title&gt;&#10;&lt;id&gt;8ff0b30a-c41e-44df-8c87-8b8d92a38817&lt;/id&gt;&#10;&lt;srcType&gt;EXCEL&lt;/srcType&gt;&#10;&lt;srcPath&gt;P:\Projects\EU2020\European Semester\2018\Country reports\2018-02-06 Master files\28 UK&lt;/srcPath&gt;&#10;&lt;srcName&gt;1. Economic sit and Outlook MB.xlsx&lt;/srcName&gt;&#10;&lt;type&gt;graph&lt;/type&gt;&#10; &lt;srcSheet&gt;Pot_growt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3:29&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78720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European Commission</w:t>
            </w:r>
          </w:p>
        </w:tc>
      </w:tr>
    </w:tbl>
    <w:p w:rsidR="00D329F2" w:rsidRDefault="008D7727">
      <w:pPr>
        <w:pStyle w:val="Heading"/>
        <w:widowControl w:val="0"/>
        <w:rPr>
          <w:rFonts w:eastAsiaTheme="minorHAnsi"/>
          <w:noProof/>
        </w:rPr>
      </w:pPr>
      <w:r>
        <w:rPr>
          <w:rFonts w:eastAsiaTheme="minorHAnsi"/>
          <w:noProof/>
        </w:rPr>
        <w:t>Inflation</w:t>
      </w:r>
    </w:p>
    <w:p w:rsidR="00D329F2" w:rsidRDefault="008D7727">
      <w:pPr>
        <w:widowControl w:val="0"/>
        <w:rPr>
          <w:noProof/>
        </w:rPr>
      </w:pPr>
      <w:r>
        <w:rPr>
          <w:b/>
          <w:noProof/>
        </w:rPr>
        <w:t>Consumer prices rose sharply in 2017 following the 2016 depreciation of sterling</w:t>
      </w:r>
      <w:r>
        <w:rPr>
          <w:noProof/>
        </w:rPr>
        <w:t xml:space="preserve"> (Graph </w:t>
      </w:r>
      <w:r>
        <w:rPr>
          <w:noProof/>
        </w:rPr>
        <w:fldChar w:fldCharType="begin"/>
      </w:r>
      <w:r>
        <w:rPr>
          <w:noProof/>
        </w:rPr>
        <w:instrText xml:space="preserve"> QUOTE "1.6"</w:instrText>
      </w:r>
      <w:r>
        <w:rPr>
          <w:noProof/>
        </w:rPr>
        <w:fldChar w:fldCharType="begin">
          <w:fldData xml:space="preserve">QwBSAE8AUwBTAFIARQBGAEUAUgBFAE4AQwBFACoARwBSAEEAUABIACoAYQBjADIAZQA0AGUAZQA3
AC0AYQAwAGMAZQAtADQAZgBiADUALQA4ADkAOAAxAC0AZQAyADEANgAxADgANgAyADAAMgA5ADMA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The harmonised index of consumer prices measure of inflation stood at 3.0 % in December 2017. After peaking in 2017, inflation is expected to remain eleva</w:t>
      </w:r>
      <w:r>
        <w:rPr>
          <w:noProof/>
        </w:rPr>
        <w:t>ted in 2018 at 2.7 %. In 2019, inflation is projected to ease to 2.0 %, matching the Bank of England’s inflation target of 2 %.</w:t>
      </w:r>
    </w:p>
    <w:p w:rsidR="00D329F2" w:rsidRDefault="008D7727">
      <w:pPr>
        <w:pStyle w:val="Heading"/>
        <w:widowControl w:val="0"/>
        <w:rPr>
          <w:rFonts w:eastAsiaTheme="minorHAnsi"/>
          <w:noProof/>
        </w:rPr>
      </w:pPr>
      <w:r>
        <w:rPr>
          <w:rFonts w:eastAsiaTheme="minorHAnsi"/>
          <w:noProof/>
        </w:rPr>
        <w:t>Labour market</w:t>
      </w:r>
    </w:p>
    <w:p w:rsidR="00D329F2" w:rsidRDefault="008D7727">
      <w:pPr>
        <w:widowControl w:val="0"/>
        <w:rPr>
          <w:noProof/>
        </w:rPr>
      </w:pPr>
      <w:r>
        <w:rPr>
          <w:b/>
          <w:noProof/>
        </w:rPr>
        <w:t>Headline labour market figures continued to strengthen amid slowing economic growth</w:t>
      </w:r>
      <w:r>
        <w:rPr>
          <w:noProof/>
        </w:rPr>
        <w:t xml:space="preserve"> (Graph 1.7)</w:t>
      </w:r>
      <w:r>
        <w:rPr>
          <w:b/>
          <w:noProof/>
        </w:rPr>
        <w:t>.</w:t>
      </w:r>
      <w:r>
        <w:rPr>
          <w:noProof/>
        </w:rPr>
        <w:t xml:space="preserve"> In 2016, activity</w:t>
      </w:r>
      <w:r>
        <w:rPr>
          <w:noProof/>
        </w:rPr>
        <w:t xml:space="preserve"> (20-64) (81 %), long-term unemployment (15-74), (1.3 %) youth unemployment (15-24) (13 %) and the rate of youth not in employment, education or training (NEET) (15-24) (10.9 %) were all on an improving or stable path. Employment (20-64) and unemployment (</w:t>
      </w:r>
      <w:r>
        <w:rPr>
          <w:noProof/>
        </w:rPr>
        <w:t>15-64) rates in Q3-2017 at 78.2 % and 4.2 % respectively continued this positive trend. The activity rate is on a long-term positive path. Strong employment growth together with modest economic growth continued the trend of weak productivity growth since t</w:t>
      </w:r>
      <w:r>
        <w:rPr>
          <w:noProof/>
        </w:rPr>
        <w:t xml:space="preserve">he 2008 crisis (see Section 3.4).  </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9" w:name="_Toc507256293"/>
            <w:r>
              <w:rPr>
                <w:noProof/>
              </w:rPr>
              <w:t>Graph 1.6:</w:t>
            </w:r>
            <w:r>
              <w:rPr>
                <w:b/>
                <w:noProof/>
              </w:rPr>
              <w:tab/>
              <w:t>Inflation and the nominal effective exchange rate (NEER)</w:t>
            </w:r>
            <w:bookmarkEnd w:id="9"/>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2A856F46" wp14:editId="5C0AAADE">
                  <wp:extent cx="2597595" cy="2436430"/>
                  <wp:effectExtent l="0" t="0" r="0" b="0"/>
                  <wp:docPr id="36" name="Picture 36" descr="&lt;nbr&gt;&lt;GETTEXTFROMWORD&gt;&lt;/nbr&gt;&#10;&lt;title&gt;&lt;GETTEXTFROMWORD&gt;&lt;/title&gt;&#10;&lt;id&gt;ac2e4ee7-a0ce-4fb5-8981-e21618620293&lt;/id&gt;&#10;&lt;srcType&gt;EXCEL&lt;/srcType&gt;&#10;&lt;srcPath&gt;P:\Projects\EU2020\European Semester\2018\Country reports\2018-02-06 Master files\28 UK&lt;/srcPath&gt;&#10;&lt;srcName&gt;1. Economic sit and Outlook MB.xlsx&lt;/srcName&gt;&#10;&lt;type&gt;graph&lt;/type&gt;&#10; &lt;srcSheet&gt;hicp_nee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3:29&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European Commission</w:t>
            </w:r>
          </w:p>
        </w:tc>
      </w:tr>
    </w:tbl>
    <w:p w:rsidR="00D329F2" w:rsidRDefault="008D7727">
      <w:pPr>
        <w:rPr>
          <w:noProof/>
        </w:rPr>
      </w:pPr>
      <w:r>
        <w:rPr>
          <w:b/>
          <w:noProof/>
        </w:rPr>
        <w:t>The decrease in unemployment masks remaining labour market reserves</w:t>
      </w:r>
      <w:r>
        <w:rPr>
          <w:noProof/>
        </w:rPr>
        <w:t xml:space="preserve"> (Graph </w:t>
      </w:r>
      <w:r>
        <w:rPr>
          <w:noProof/>
        </w:rPr>
        <w:fldChar w:fldCharType="begin"/>
      </w:r>
      <w:r>
        <w:rPr>
          <w:noProof/>
        </w:rPr>
        <w:instrText xml:space="preserve"> QUOTE "1.8"</w:instrText>
      </w:r>
      <w:r>
        <w:rPr>
          <w:noProof/>
        </w:rPr>
        <w:fldChar w:fldCharType="begin">
          <w:fldData xml:space="preserve">QwBSAE8AUwBTAFIARQBGAEUAUgBFAE4AQwBFACoARwBSAEEAUABIACoANwA1ADEAZQBjAGYAYQAx
AC0ANgA2AGMAZgAtADQANwA3ADEALQA4AGIAMgA0AC0AZABkAGIAMQBiADUANAA1ADMAZQA0ADkA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1.8</w:t>
      </w:r>
      <w:r>
        <w:rPr>
          <w:noProof/>
        </w:rPr>
        <w:fldChar w:fldCharType="end"/>
      </w:r>
      <w:r>
        <w:rPr>
          <w:noProof/>
        </w:rPr>
        <w:t>). While unemployment is now below pre-crisis levels, the share of underemployed part-time workers in the active population (i.e. workers who would like to w</w:t>
      </w:r>
      <w:r>
        <w:rPr>
          <w:noProof/>
        </w:rPr>
        <w:t>ork full time but cannot find full-time work) is still higher than before the crisis (4.5 % of the labour force in Q3-2017 as compared to 3.9 % in Q1-2008). Other broad indices of labour market reserves have also shown a less steep decline than the unemplo</w:t>
      </w:r>
      <w:r>
        <w:rPr>
          <w:noProof/>
        </w:rPr>
        <w:t>yment rate (European Commission 2017a). These suggest there is still untapped labour market potential (see Section 3.3).</w:t>
      </w:r>
    </w:p>
    <w:p w:rsidR="00D329F2" w:rsidRDefault="008D7727">
      <w:pPr>
        <w:rPr>
          <w:noProof/>
        </w:rPr>
      </w:pPr>
      <w:r>
        <w:rPr>
          <w:b/>
          <w:noProof/>
        </w:rPr>
        <w:t>Net migration to the UK continues but has fallen from recent highs.</w:t>
      </w:r>
      <w:r>
        <w:rPr>
          <w:noProof/>
        </w:rPr>
        <w:t xml:space="preserve"> Net migration to the UK was estimated at + 230,000 to the year endi</w:t>
      </w:r>
      <w:r>
        <w:rPr>
          <w:noProof/>
        </w:rPr>
        <w:t>ng June 2017, down from +336,000 a year earlier. EU citizens accounted for three quarters of the fall in net migration.</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10" w:name="_Toc507256294"/>
            <w:r>
              <w:rPr>
                <w:noProof/>
              </w:rPr>
              <w:t>Graph 1.7:</w:t>
            </w:r>
            <w:r>
              <w:rPr>
                <w:b/>
                <w:noProof/>
              </w:rPr>
              <w:tab/>
              <w:t>Labour market indicators</w:t>
            </w:r>
            <w:bookmarkEnd w:id="10"/>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2049E9B5" wp14:editId="4E977D2D">
                  <wp:extent cx="2597595" cy="2436430"/>
                  <wp:effectExtent l="0" t="0" r="0" b="0"/>
                  <wp:docPr id="37" name="Picture 37" descr="&lt;nbr&gt;&lt;GETTEXTFROMWORD&gt;&lt;/nbr&gt;&#10;&lt;title&gt;&lt;GETTEXTFROMWORD&gt;&lt;/title&gt;&#10;&lt;id&gt;8e7e1636-e24b-446c-be14-cc08c28337be&lt;/id&gt;&#10;&lt;srcType&gt;EXCEL&lt;/srcType&gt;&#10;&lt;srcPath&gt;P:\Projects\EU2020\European Semester\2018\Country reports\2018-02-06 Master files\28 UK&lt;/srcPath&gt;&#10;&lt;srcName&gt;UK_DG_EMPL.xlsx&lt;/srcName&gt;&#10;&lt;type&gt;graph&lt;/type&gt;&#10; &lt;srcSheet&gt;EMPL1_AR_UR_YUR_NEET_LU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7:34&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Eurostat</w:t>
            </w:r>
          </w:p>
        </w:tc>
      </w:tr>
    </w:tbl>
    <w:p w:rsidR="00D329F2" w:rsidRDefault="008D7727">
      <w:pPr>
        <w:rPr>
          <w:noProof/>
        </w:rPr>
      </w:pPr>
      <w:r>
        <w:rPr>
          <w:b/>
          <w:noProof/>
        </w:rPr>
        <w:t xml:space="preserve">Despite the labour market recovery, wage growth has remained moderate and </w:t>
      </w:r>
      <w:r>
        <w:rPr>
          <w:b/>
          <w:noProof/>
        </w:rPr>
        <w:t>below the rate of inflation.</w:t>
      </w:r>
      <w:r>
        <w:rPr>
          <w:noProof/>
        </w:rPr>
        <w:t xml:space="preserve"> After rising moderately to 2.4 % in 2016, nominal wage growth eased in 2017. Weak nominal wage growth alongside elevated consumer price inflation has meant that real wage growth turned negative, to -0.4 % year-on-year in Q3-201</w:t>
      </w:r>
      <w:r>
        <w:rPr>
          <w:noProof/>
        </w:rPr>
        <w:t>7. Nominal wage growth is expected to be around 2.1 % in 2017, below the projection for consumer price inflation of 2.7 %, resulting in negative real wage growth for the year as a whole.</w:t>
      </w:r>
    </w:p>
    <w:p w:rsidR="00D329F2" w:rsidRDefault="008D7727">
      <w:pPr>
        <w:rPr>
          <w:noProof/>
        </w:rPr>
      </w:pPr>
      <w:r>
        <w:rPr>
          <w:b/>
          <w:noProof/>
        </w:rPr>
        <w:t>Factors explaining modest nominal wage growth include weak productivi</w:t>
      </w:r>
      <w:r>
        <w:rPr>
          <w:b/>
          <w:noProof/>
        </w:rPr>
        <w:t>ty developments, as well as composition effects as low-wage jobs are added to the economy</w:t>
      </w:r>
      <w:r>
        <w:rPr>
          <w:noProof/>
        </w:rPr>
        <w:t>. According to Bank of England estimates, the sectoral, occupational and skills composition of employment growth may reduce wage growth by about 0.7 pps. in 2017 (Bank</w:t>
      </w:r>
      <w:r>
        <w:rPr>
          <w:noProof/>
        </w:rPr>
        <w:t xml:space="preserve"> of England, 2017).</w:t>
      </w:r>
    </w:p>
    <w:p w:rsidR="00D329F2" w:rsidRDefault="008D7727">
      <w:pPr>
        <w:rPr>
          <w:noProof/>
        </w:rPr>
      </w:pPr>
      <w:r>
        <w:rPr>
          <w:b/>
          <w:noProof/>
        </w:rPr>
        <w:t>Self-employment has also played an important role in employment creation in the recovery</w:t>
      </w:r>
      <w:r>
        <w:rPr>
          <w:noProof/>
        </w:rPr>
        <w:t>. Since Q1-2009, self-employment has increased by about one million and accounts for 36 % of total employment growth to Q3-2017. Self-employed perso</w:t>
      </w:r>
      <w:r>
        <w:rPr>
          <w:noProof/>
        </w:rPr>
        <w:t>ns now account for around 15 % of the workforce. However, as discussed in Section 3.3, some self-employed persons tend to be less secure and less well paid than regular employees.</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11" w:name="_Toc507256295"/>
            <w:r>
              <w:rPr>
                <w:noProof/>
              </w:rPr>
              <w:t>Graph 1.8:</w:t>
            </w:r>
            <w:r>
              <w:rPr>
                <w:b/>
                <w:noProof/>
              </w:rPr>
              <w:tab/>
              <w:t>Unemployment rate and potential additional labour force</w:t>
            </w:r>
            <w:bookmarkEnd w:id="11"/>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24A9F892" wp14:editId="27B1CEFC">
                  <wp:extent cx="2597595" cy="2436430"/>
                  <wp:effectExtent l="0" t="0" r="0" b="2540"/>
                  <wp:docPr id="39" name="Picture 39" descr="&lt;nbr&gt;&lt;GETTEXTFROMWORD&gt;&lt;/nbr&gt;&#10;&lt;title&gt;&lt;GETTEXTFROMWORD&gt;&lt;/title&gt;&#10;&lt;id&gt;751ecfa1-66cf-4771-8b24-ddb1b5453e49&lt;/id&gt;&#10;&lt;srcType&gt;EXCEL&lt;/srcType&gt;&#10;&lt;srcPath&gt;P:\Projects\EU2020\European Semester\2018\Country reports\2018-02-06 Master files\28 UK&lt;/srcPath&gt;&#10;&lt;srcName&gt;UK_DG_EMPL.xlsx&lt;/srcName&gt;&#10;&lt;type&gt;graph&lt;/type&gt;&#10; &lt;srcSheet&gt;EMPL2_UNE_SIU&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17:34&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w:t>
            </w:r>
            <w:r>
              <w:rPr>
                <w:b/>
                <w:i/>
                <w:noProof/>
              </w:rPr>
              <w:t>e:</w:t>
            </w:r>
            <w:r>
              <w:rPr>
                <w:noProof/>
              </w:rPr>
              <w:t xml:space="preserve"> Eurostat</w:t>
            </w:r>
          </w:p>
        </w:tc>
      </w:tr>
    </w:tbl>
    <w:p w:rsidR="00D329F2" w:rsidRDefault="008D7727">
      <w:pPr>
        <w:pStyle w:val="Heading"/>
        <w:rPr>
          <w:rFonts w:eastAsiaTheme="minorHAnsi"/>
          <w:noProof/>
        </w:rPr>
      </w:pPr>
      <w:r>
        <w:rPr>
          <w:rFonts w:eastAsiaTheme="minorHAnsi"/>
          <w:noProof/>
        </w:rPr>
        <w:t>Social developments</w:t>
      </w:r>
    </w:p>
    <w:p w:rsidR="00D329F2" w:rsidRDefault="008D7727">
      <w:pPr>
        <w:rPr>
          <w:noProof/>
        </w:rPr>
      </w:pPr>
      <w:r>
        <w:rPr>
          <w:b/>
          <w:noProof/>
        </w:rPr>
        <w:t>Income inequality remains level with the EU average.</w:t>
      </w:r>
      <w:r>
        <w:rPr>
          <w:noProof/>
        </w:rPr>
        <w:t xml:space="preserve"> After having increased in recent years, in 2016 the share of income of the richest 20 % of households was 5.1 times greater than that of the poorest 20 %, which was sligh</w:t>
      </w:r>
      <w:r>
        <w:rPr>
          <w:noProof/>
        </w:rPr>
        <w:t>tly below the EU average, (European Commission, 2017a). Since 2010, growth in GDP has outpaced growth in household disposable income, weakening the inclusiveness of the recovery, even as the tax benefit system continues its above-average performance in red</w:t>
      </w:r>
      <w:r>
        <w:rPr>
          <w:noProof/>
        </w:rPr>
        <w:t>ucing inequality in disposable incomes.</w:t>
      </w:r>
    </w:p>
    <w:p w:rsidR="00D329F2" w:rsidRDefault="008D7727">
      <w:pPr>
        <w:rPr>
          <w:noProof/>
        </w:rPr>
      </w:pPr>
      <w:r>
        <w:rPr>
          <w:b/>
          <w:noProof/>
        </w:rPr>
        <w:t>Wealth inequality is high.</w:t>
      </w:r>
      <w:r>
        <w:rPr>
          <w:noProof/>
        </w:rPr>
        <w:t xml:space="preserve"> The recent house price increases exacerbate inequality which results from the uneven ownership of housing assets (Resolution Foundation, 2017a). This reverses a pre-crisis trend of falling wealth inequality due to broadening home ownership. Rent increases</w:t>
      </w:r>
      <w:r>
        <w:rPr>
          <w:noProof/>
        </w:rPr>
        <w:t xml:space="preserve"> are also having an effect, as the median income of tenants was just 69 % of that of owners, one of the lowest ratios in the EU.</w:t>
      </w:r>
    </w:p>
    <w:p w:rsidR="00D329F2" w:rsidRDefault="008D7727">
      <w:pPr>
        <w:pStyle w:val="Heading"/>
        <w:rPr>
          <w:rFonts w:eastAsiaTheme="minorHAnsi"/>
          <w:noProof/>
        </w:rPr>
      </w:pPr>
      <w:r>
        <w:rPr>
          <w:rFonts w:eastAsiaTheme="minorHAnsi"/>
          <w:noProof/>
        </w:rPr>
        <w:t>External position</w:t>
      </w:r>
    </w:p>
    <w:p w:rsidR="00D329F2" w:rsidRDefault="008D7727">
      <w:pPr>
        <w:rPr>
          <w:noProof/>
        </w:rPr>
      </w:pPr>
      <w:r>
        <w:rPr>
          <w:b/>
          <w:noProof/>
        </w:rPr>
        <w:t>The large current account deficit continues to pose external financing risks.</w:t>
      </w:r>
      <w:r>
        <w:rPr>
          <w:noProof/>
        </w:rPr>
        <w:t xml:space="preserve"> The deficit widened to 5.9 % of GDP in 2016, the largest deficit on record (Graph</w:t>
      </w:r>
      <w:r>
        <w:rPr>
          <w:noProof/>
        </w:rPr>
        <w:fldChar w:fldCharType="begin"/>
      </w:r>
      <w:r>
        <w:rPr>
          <w:noProof/>
        </w:rPr>
        <w:instrText xml:space="preserve"> QUOTE "1.9"</w:instrText>
      </w:r>
      <w:r>
        <w:rPr>
          <w:noProof/>
        </w:rPr>
        <w:fldChar w:fldCharType="begin">
          <w:fldData xml:space="preserve">QwBSAE8AUwBTAFIARQBGAEUAUgBFAE4AQwBFACoARwBSAEEAUABIACoAOABjAGMAMABmADkAMwAy
AC0ANwA5ADkANQAtADQAYgAwAGYALQBhADgAYwBiAC0AYgBkADkAZQBiADkANwA4AGUAOAAxADAA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1.9</w:t>
      </w:r>
      <w:r>
        <w:rPr>
          <w:noProof/>
        </w:rPr>
        <w:fldChar w:fldCharType="end"/>
      </w:r>
      <w:r>
        <w:rPr>
          <w:noProof/>
        </w:rPr>
        <w:t>). In Q3-2017, the current account deficit stood at 4</w:t>
      </w:r>
      <w:r>
        <w:rPr>
          <w:noProof/>
        </w:rPr>
        <w:t>.5 % of GDP, which implies sizeable external financing needs. Furthermore, at -3.3% of GDP in cyclically</w:t>
      </w:r>
      <w:r>
        <w:rPr>
          <w:noProof/>
        </w:rPr>
        <w:noBreakHyphen/>
        <w:t>adjusted terms, the current account deficit remains considerably below the country</w:t>
      </w:r>
      <w:r>
        <w:rPr>
          <w:noProof/>
        </w:rPr>
        <w:noBreakHyphen/>
        <w:t>specific ‘norm’ of 0% suggested by fundamentals(</w:t>
      </w:r>
      <w:r>
        <w:rPr>
          <w:noProof/>
          <w:vertAlign w:val="superscript"/>
        </w:rPr>
        <w:footnoteReference w:id="4"/>
      </w:r>
      <w:r>
        <w:rPr>
          <w:noProof/>
        </w:rPr>
        <w:t>). However; the com</w:t>
      </w:r>
      <w:r>
        <w:rPr>
          <w:noProof/>
        </w:rPr>
        <w:t>position of the financing of the deficit mitigates some of these risks. The deterioration since 2011, the last year the current account deficit was below 3 % of GDP, has been largely driven by a decline in the primary income balance, which fell to -2.6 % o</w:t>
      </w:r>
      <w:r>
        <w:rPr>
          <w:noProof/>
        </w:rPr>
        <w:t xml:space="preserve">f GDP in 2016. This is because UK earnings on assets abroad have fallen relative to the earnings on foreign investments in the UK. Nonetheless, the net trade response to sterling’s depreciation in 2016 has been disappointing as there was a widening in the </w:t>
      </w:r>
      <w:r>
        <w:rPr>
          <w:noProof/>
        </w:rPr>
        <w:t>trade deficit to 2.1 % of GDP, the largest trade deficit of the post-crisis period. However, the trade deficit has been broadly stable, standing at around 2 % since 2012, and has improved compared to the pre-crisis period.</w:t>
      </w:r>
    </w:p>
    <w:p w:rsidR="00D329F2" w:rsidRDefault="008D7727">
      <w:pPr>
        <w:rPr>
          <w:noProof/>
        </w:rPr>
      </w:pPr>
      <w:r>
        <w:rPr>
          <w:b/>
          <w:noProof/>
        </w:rPr>
        <w:t>Despite the widening in the curre</w:t>
      </w:r>
      <w:r>
        <w:rPr>
          <w:b/>
          <w:noProof/>
        </w:rPr>
        <w:t>nt account deficit, the net international investment position narrowed substantially.</w:t>
      </w:r>
      <w:r>
        <w:rPr>
          <w:noProof/>
        </w:rPr>
        <w:t xml:space="preserve"> The UK’s negative net international investment position improved from -18.4 % of GDP in 2015 to -1.1 % of GDP in 2016 (Graph </w:t>
      </w:r>
      <w:r>
        <w:rPr>
          <w:noProof/>
        </w:rPr>
        <w:fldChar w:fldCharType="begin"/>
      </w:r>
      <w:r>
        <w:rPr>
          <w:noProof/>
        </w:rPr>
        <w:instrText xml:space="preserve"> QUOTE "1.10"</w:instrText>
      </w:r>
      <w:r>
        <w:rPr>
          <w:noProof/>
        </w:rPr>
        <w:fldChar w:fldCharType="begin">
          <w:fldData xml:space="preserve">QwBSAE8AUwBTAFIARQBGAEUAUgBFAE4AQwBFACoARwBSAEEAUABIACoANABjAGYAMgA4AGYAYQBh
AC0ANABmAGUANAAtADQANABlADkALQBhADQAMAAxAC0AMwAwAGYANQBlADcAYwBjAGIAYQBhAGYA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1.10</w:t>
      </w:r>
      <w:r>
        <w:rPr>
          <w:noProof/>
        </w:rPr>
        <w:fldChar w:fldCharType="end"/>
      </w:r>
      <w:r>
        <w:rPr>
          <w:noProof/>
        </w:rPr>
        <w:t>). This was a result of total assets increasing by GBP 1.36 trillion (EUR 1.55 triillion) to GBP 10.94 trillion (EUR 12.48 trillion), the highest value of assets (in GBP) held in</w:t>
      </w:r>
      <w:r>
        <w:rPr>
          <w:noProof/>
        </w:rPr>
        <w:t xml:space="preserve"> 5 years. The change in the value of assets reflects both an accumulation of net assets, but also, the 2016 fall of the sterling exchange rate to an eight-year low. In 2016 the decline in the nominal effective exchange rate by 13 % from 2015 led to a highe</w:t>
      </w:r>
      <w:r>
        <w:rPr>
          <w:noProof/>
        </w:rPr>
        <w:t>r valuation of the stocks held abroad when converted back into sterling.</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12" w:name="_Toc507256296"/>
            <w:r>
              <w:rPr>
                <w:noProof/>
              </w:rPr>
              <w:t>Graph 1.9:</w:t>
            </w:r>
            <w:r>
              <w:rPr>
                <w:b/>
                <w:noProof/>
              </w:rPr>
              <w:tab/>
              <w:t>Current account balance</w:t>
            </w:r>
            <w:bookmarkEnd w:id="12"/>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6B5E5A22" wp14:editId="1DB4BA39">
                  <wp:extent cx="2597595" cy="2436430"/>
                  <wp:effectExtent l="0" t="0" r="0" b="0"/>
                  <wp:docPr id="42" name="Picture 42" descr="&lt;nbr&gt;&lt;GETTEXTFROMWORD&gt;&lt;/nbr&gt;&#10;&lt;title&gt;&lt;GETTEXTFROMWORD&gt;&lt;/title&gt;&#10;&lt;id&gt;8cc0f932-7995-4b0f-a8cb-bd9eb978e810&lt;/id&gt;&#10;&lt;srcType&gt;EXCEL&lt;/srcType&gt;&#10;&lt;srcPath&gt;P:\Projects\EU2020\European Semester\2018\Country reports\2018-02-06 Master files\28 UK&lt;/srcPath&gt;&#10;&lt;srcName&gt;1. Economic sit and Outlook MB.xlsx&lt;/srcName&gt;&#10;&lt;type&gt;graph&lt;/type&gt;&#10; &lt;srcSheet&gt;CA&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20:22&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Office for National Statistics &amp; European Commission</w:t>
            </w:r>
          </w:p>
        </w:tc>
      </w:tr>
    </w:tbl>
    <w:p w:rsidR="00D329F2" w:rsidRDefault="00D329F2">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13" w:name="_Toc507256297"/>
            <w:r>
              <w:rPr>
                <w:noProof/>
              </w:rPr>
              <w:t>Graph 1.10:</w:t>
            </w:r>
            <w:r>
              <w:rPr>
                <w:b/>
                <w:noProof/>
              </w:rPr>
              <w:tab/>
              <w:t>Net international investment position</w:t>
            </w:r>
            <w:bookmarkEnd w:id="13"/>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3958D787" wp14:editId="20512013">
                  <wp:extent cx="2597595" cy="2436430"/>
                  <wp:effectExtent l="0" t="0" r="0" b="2540"/>
                  <wp:docPr id="22" name="Picture 22" descr="&lt;nbr&gt;&lt;GETTEXTFROMWORD&gt;&lt;/nbr&gt;&#10;&lt;title&gt;&lt;GETTEXTFROMWORD&gt;&lt;/title&gt;&#10;&lt;id&gt;4cf28faa-4fe4-44e9-a401-30f5e7ccbaaf&lt;/id&gt;&#10;&lt;srcType&gt;EXCEL&lt;/srcType&gt;&#10;&lt;srcPath&gt;\\net1.cec.eu.int\ci\Public\2017 CRs\2018 European semester\28 UK\Revised Second Draft\Graphs\&lt;/srcPath&gt;&#10;&lt;srcName&gt;1. Economic sit and Outlook MB.xlsx&lt;/srcName&gt;&#10;&lt;type&gt;graph&lt;/type&gt;&#10; &lt;srcSheet&gt;NII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4:53:58&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Office for National Statistics &amp; European Commission</w:t>
            </w:r>
          </w:p>
        </w:tc>
      </w:tr>
    </w:tbl>
    <w:p w:rsidR="00D329F2" w:rsidRDefault="008D7727">
      <w:pPr>
        <w:pStyle w:val="Heading"/>
        <w:rPr>
          <w:noProof/>
        </w:rPr>
      </w:pPr>
      <w:r>
        <w:rPr>
          <w:noProof/>
        </w:rPr>
        <w:t>Monetary policy</w:t>
      </w:r>
    </w:p>
    <w:p w:rsidR="00D329F2" w:rsidRDefault="008D7727">
      <w:pPr>
        <w:rPr>
          <w:noProof/>
        </w:rPr>
      </w:pPr>
      <w:r>
        <w:rPr>
          <w:b/>
          <w:noProof/>
        </w:rPr>
        <w:t>In November 2017, the Bank of England tightened monetary policy.</w:t>
      </w:r>
      <w:r>
        <w:rPr>
          <w:noProof/>
        </w:rPr>
        <w:t xml:space="preserve"> The Bank’s Monetary Policy Committee (MPC) voted to increase Bank Rate by 0.25 percentage points, to 0.5 %. The MPC also</w:t>
      </w:r>
      <w:r>
        <w:rPr>
          <w:noProof/>
        </w:rPr>
        <w:t xml:space="preserve"> voted to maintain the stock of sterling non-financial investment-grade corporate bond purchases at GBP 10 billion (EUR 11.4 billion) and to maintain the stock of UK government bond purchases at GBP 435 billion (EUR 496 billion). In its decision summary, t</w:t>
      </w:r>
      <w:r>
        <w:rPr>
          <w:noProof/>
        </w:rPr>
        <w:t>he MPC stated that it was appropriate to tighten modestly the stance of monetary policy in order to return inflation sustainably to the target. The MPC decision also stated that future increases in Bank Rate are expected to be at a gradual pace and to a li</w:t>
      </w:r>
      <w:r>
        <w:rPr>
          <w:noProof/>
        </w:rPr>
        <w:t>mited extent.</w:t>
      </w:r>
    </w:p>
    <w:p w:rsidR="00D329F2" w:rsidRDefault="008D7727">
      <w:pPr>
        <w:pStyle w:val="Heading"/>
        <w:rPr>
          <w:noProof/>
        </w:rPr>
      </w:pPr>
      <w:r>
        <w:rPr>
          <w:noProof/>
        </w:rPr>
        <w:t>Financial sector and debt</w:t>
      </w:r>
    </w:p>
    <w:p w:rsidR="00D329F2" w:rsidRDefault="008D7727">
      <w:pPr>
        <w:rPr>
          <w:noProof/>
        </w:rPr>
      </w:pPr>
      <w:r>
        <w:rPr>
          <w:b/>
          <w:noProof/>
        </w:rPr>
        <w:t>Following the financial crisis UK banks have deleveraged and strengthened their balance sheets.</w:t>
      </w:r>
      <w:r>
        <w:rPr>
          <w:noProof/>
        </w:rPr>
        <w:t xml:space="preserve"> The total assets of the banking system declined by some 18 % between the peak recorded at the end of 2008 and the end of</w:t>
      </w:r>
      <w:r>
        <w:rPr>
          <w:noProof/>
        </w:rPr>
        <w:t xml:space="preserve"> 2015, but started to grow again afterwards. As of September 2017, total assets had recovered most of the decline and were only 5 % below their 2008 peak. The repair of the banks’ balance sheets involved a change in their structure as well. Banks have incr</w:t>
      </w:r>
      <w:r>
        <w:rPr>
          <w:noProof/>
        </w:rPr>
        <w:t>eased the share of their domestic lending and domestic assets as a share of total assets while reducing the share of overseas and intra-financial sector liabilities.</w:t>
      </w:r>
    </w:p>
    <w:p w:rsidR="00D329F2" w:rsidRDefault="008D7727">
      <w:pPr>
        <w:rPr>
          <w:noProof/>
        </w:rPr>
      </w:pPr>
      <w:r>
        <w:rPr>
          <w:b/>
          <w:noProof/>
        </w:rPr>
        <w:t>Credit growth has recovered since the beginning of 2016 for all categories of borrowers, l</w:t>
      </w:r>
      <w:r>
        <w:rPr>
          <w:b/>
          <w:noProof/>
        </w:rPr>
        <w:t>ed by consumer credit growth</w:t>
      </w:r>
      <w:r>
        <w:rPr>
          <w:noProof/>
        </w:rPr>
        <w:t xml:space="preserve">. Lending to households grew by 4.1 % year-on-year. while lending secured on dwellings grew by 3.3 % (Graph </w:t>
      </w:r>
      <w:r>
        <w:rPr>
          <w:noProof/>
        </w:rPr>
        <w:fldChar w:fldCharType="begin"/>
      </w:r>
      <w:r>
        <w:rPr>
          <w:noProof/>
        </w:rPr>
        <w:instrText xml:space="preserve"> QUOTE "1.11"</w:instrText>
      </w:r>
      <w:r>
        <w:rPr>
          <w:noProof/>
        </w:rPr>
        <w:fldChar w:fldCharType="begin">
          <w:fldData xml:space="preserve">QwBSAE8AUwBTAFIARQBGAEUAUgBFAE4AQwBFACoARwBSAEEAUABIACoAYgBhADcAYgAxADkANQAw
AC0ANwBkADAANAAtADQAZAAxAGQALQA4AGMAMwAzAC0AOQBhAGEAMQBiADkAYgBjAGMAOQBmADUA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1.11</w:t>
      </w:r>
      <w:r>
        <w:rPr>
          <w:noProof/>
        </w:rPr>
        <w:fldChar w:fldCharType="end"/>
      </w:r>
      <w:r>
        <w:rPr>
          <w:noProof/>
        </w:rPr>
        <w:t>). Alongside the fall in the households saving ratio and despite a slight slowdown in November, unsecured consumer credit continued to grow rapidly at 9.1 % year-on-year in November.</w:t>
      </w:r>
    </w:p>
    <w:p w:rsidR="00D329F2" w:rsidRDefault="008D7727">
      <w:pPr>
        <w:rPr>
          <w:noProof/>
        </w:rPr>
      </w:pPr>
      <w:r>
        <w:rPr>
          <w:b/>
          <w:noProof/>
        </w:rPr>
        <w:t>The rapid rise in credit growth prompted the Prudential Regulation Auth</w:t>
      </w:r>
      <w:r>
        <w:rPr>
          <w:b/>
          <w:noProof/>
        </w:rPr>
        <w:t>ority and the Financial Conduct Authority to bring forward the assessment of stressed losses on consumer credit lending in the Bank of England’s 2017 annual stress test.</w:t>
      </w:r>
      <w:r>
        <w:rPr>
          <w:noProof/>
        </w:rPr>
        <w:t xml:space="preserve"> Additionally, the Bank’s Financial Policy Committee, decided in November 2017 to raise</w:t>
      </w:r>
      <w:r>
        <w:rPr>
          <w:noProof/>
        </w:rPr>
        <w:t xml:space="preserve"> the UK countercyclical capital buffer rate from 0.5 % to 1 %, the rate deemed appropriate in a standard domestic risk environment. This decision reflects the Committee’s assessment that apart from the risks related to Brexit, domestic risks are at a stand</w:t>
      </w:r>
      <w:r>
        <w:rPr>
          <w:noProof/>
        </w:rPr>
        <w:t>ard level overall and that while debt levels are high, overall credit growth is only a little above nominal GDP growth, and debt-servicing costs are low.</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14" w:name="_Toc507256298"/>
            <w:r>
              <w:rPr>
                <w:noProof/>
              </w:rPr>
              <w:t>Graph 1.11:</w:t>
            </w:r>
            <w:r>
              <w:rPr>
                <w:b/>
                <w:noProof/>
              </w:rPr>
              <w:tab/>
              <w:t>Consumer credit growth</w:t>
            </w:r>
            <w:bookmarkEnd w:id="14"/>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63483E0F" wp14:editId="6581B863">
                  <wp:extent cx="2597595" cy="2442486"/>
                  <wp:effectExtent l="0" t="0" r="0" b="0"/>
                  <wp:docPr id="43" name="Picture 43" descr="&lt;nbr&gt;&lt;GETTEXTFROMWORD&gt;&lt;/nbr&gt;&#10;&lt;title&gt;&lt;GETTEXTFROMWORD&gt;&lt;/title&gt;&#10;&lt;id&gt;ba7b1950-7d04-4d1d-8c33-9aa1b9bcc9f5&lt;/id&gt;&#10;&lt;srcType&gt;EXCEL&lt;/srcType&gt;&#10;&lt;srcPath&gt;P:\Projects\EU2020\European Semester\2018\Country reports\2018-02-06 Master files\28 UK&lt;/srcPath&gt;&#10;&lt;srcName&gt;1. Economic sit and Outlook MB.xlsx&lt;/srcName&gt;&#10;&lt;type&gt;graph&lt;/type&gt;&#10; &lt;srcSheet&gt;Credit growt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20T16:20:22&lt;/scrFileTime&gt;&#10;&lt;imageInformation&gt;&#10; &lt;dontScaleUp&gt;no&lt;/dontScaleUp&gt;&#10;&lt;/imageInformation&gt;&#10;&lt;url&gt;&lt;/url&gt;&#10;&lt;basedocguid&gt;{0C1FB006-BB3A-40D5-8932-FC718253D4EC}&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Bank of England</w:t>
            </w:r>
          </w:p>
        </w:tc>
      </w:tr>
    </w:tbl>
    <w:p w:rsidR="00D329F2" w:rsidRDefault="008D7727">
      <w:pPr>
        <w:rPr>
          <w:noProof/>
        </w:rPr>
      </w:pPr>
      <w:r>
        <w:rPr>
          <w:b/>
          <w:noProof/>
        </w:rPr>
        <w:t>Despite stabilising over recent years,</w:t>
      </w:r>
      <w:r>
        <w:rPr>
          <w:b/>
          <w:noProof/>
        </w:rPr>
        <w:t xml:space="preserve"> household debt remains high.</w:t>
      </w:r>
      <w:r>
        <w:rPr>
          <w:noProof/>
        </w:rPr>
        <w:t xml:space="preserve"> After having fallen steadily from a peak of 96 % of GDP in 2009, household debt has broadly stabilised in the past 4 years. In 2016 household debt stood at 86 % of GDP. Despite this improvement, the Commission’s prudential thr</w:t>
      </w:r>
      <w:r>
        <w:rPr>
          <w:noProof/>
        </w:rPr>
        <w:t>eshold and fundamentals-based benchmarks for household debt suggest that household indebtedness still presents financial stability risks. Furthermore, the Commission’s household debt sustainability indicators (S1 and S2) suggest that the near record low ho</w:t>
      </w:r>
      <w:r>
        <w:rPr>
          <w:noProof/>
        </w:rPr>
        <w:t>useholds saving ratio should increase to make debt levels sustainable over both the medium and long term (</w:t>
      </w:r>
      <w:r>
        <w:rPr>
          <w:noProof/>
          <w:vertAlign w:val="superscript"/>
        </w:rPr>
        <w:footnoteReference w:id="5"/>
      </w:r>
      <w:r>
        <w:rPr>
          <w:noProof/>
        </w:rPr>
        <w:t>). Given the high level of indebtedness of households, the European Systemic Risk Board — which conducted, in 2016, a forward-looking EU-wide assessm</w:t>
      </w:r>
      <w:r>
        <w:rPr>
          <w:noProof/>
        </w:rPr>
        <w:t>ent of the real estate market across the EU — issued a warning on 28 November 2016 to the UK (as well as to seven other EU countries) on the vulnerabilities of the residential real estate sector. The Board subsequently concluded that while there are pocket</w:t>
      </w:r>
      <w:r>
        <w:rPr>
          <w:noProof/>
        </w:rPr>
        <w:t>s of risky lending, as highlighted by the growth in unsecured credit, vulnerabilities related to the real estate sector appear to have reduced. The easing of house price growth in 2017, as well as internal European Commission forecasts, point to subdued re</w:t>
      </w:r>
      <w:r>
        <w:rPr>
          <w:noProof/>
        </w:rPr>
        <w:t>al house price growth during 2017-2019. As the moderation in house price growth is expected to occur alongside a lower level of mortgage approvals, this should slow the pace of the build-up in mortgage debt.</w:t>
      </w:r>
    </w:p>
    <w:p w:rsidR="00D329F2" w:rsidRDefault="008D7727">
      <w:pPr>
        <w:rPr>
          <w:noProof/>
        </w:rPr>
      </w:pPr>
      <w:r>
        <w:rPr>
          <w:b/>
          <w:noProof/>
        </w:rPr>
        <w:t>Growth in credit for non-financial corporates wa</w:t>
      </w:r>
      <w:r>
        <w:rPr>
          <w:b/>
          <w:noProof/>
        </w:rPr>
        <w:t>s 2.1 % year-on-year as of December 2017.</w:t>
      </w:r>
      <w:r>
        <w:rPr>
          <w:noProof/>
        </w:rPr>
        <w:t xml:space="preserve"> The slight increase was driven by credit to large businesses, which grew by 3.0 % in November,. Over the same period, credit growth to small and medium-sized enterprises dropped marginally, to 0.4 % in October to 0</w:t>
      </w:r>
      <w:r>
        <w:rPr>
          <w:noProof/>
        </w:rPr>
        <w:t>.4 % in November. Helped by the increase in the quality of banks’ assets and the stock of loans, the ratio of gross non-performing-loans improved and was one of the lowest in the EU at 1.8 % as of the end of 2016.</w:t>
      </w:r>
    </w:p>
    <w:p w:rsidR="00D329F2" w:rsidRDefault="008D7727">
      <w:pPr>
        <w:pStyle w:val="Heading"/>
        <w:rPr>
          <w:noProof/>
        </w:rPr>
      </w:pPr>
      <w:r>
        <w:rPr>
          <w:noProof/>
        </w:rPr>
        <w:t>Public finances</w:t>
      </w:r>
    </w:p>
    <w:p w:rsidR="00D329F2" w:rsidRDefault="008D7727">
      <w:pPr>
        <w:rPr>
          <w:noProof/>
        </w:rPr>
      </w:pPr>
      <w:r>
        <w:rPr>
          <w:b/>
          <w:noProof/>
        </w:rPr>
        <w:t xml:space="preserve">The budget deficit has </w:t>
      </w:r>
      <w:r>
        <w:rPr>
          <w:b/>
          <w:noProof/>
        </w:rPr>
        <w:t>declined quite substantially in recent years, although it is expected to increase slightly in the current fiscal year (to the end of March 2018).</w:t>
      </w:r>
      <w:r>
        <w:rPr>
          <w:noProof/>
        </w:rPr>
        <w:t xml:space="preserve"> The general government deficit fell to 2.3 % of GDP in 2016-2017, below the reference value of 3 % of GDP cont</w:t>
      </w:r>
      <w:r>
        <w:rPr>
          <w:noProof/>
        </w:rPr>
        <w:t>ained in the Treaty on the Functioning of the EU. This represented a substantial fall compared to a deficit of 4 % of GDP in 2015-2016 and was partly due to some revenue windfalls, such as exceptionally high self-declared personal income taxes ahead of a c</w:t>
      </w:r>
      <w:r>
        <w:rPr>
          <w:noProof/>
        </w:rPr>
        <w:t>hange to dividend taxation at the start of the current fiscal year. The reversal of these windfall revenues is expected to give rise to a small increase in the deficit in the current fiscal year, with the Commission 2017 autumn forecast projecting an incre</w:t>
      </w:r>
      <w:r>
        <w:rPr>
          <w:noProof/>
        </w:rPr>
        <w:t>ase to 2.5 % of GDP. The deficit is then expected to resume its declining trend and is projected to fall to 1.3 % of GDP in 2019-2020. The structural budget balance is expected to fall from 2.9 % of GDP in 2017-2018 to 1.4 % of GDP in 2019-2020.</w:t>
      </w:r>
    </w:p>
    <w:p w:rsidR="00D329F2" w:rsidRDefault="008D7727">
      <w:pPr>
        <w:rPr>
          <w:noProof/>
        </w:rPr>
      </w:pPr>
      <w:r>
        <w:rPr>
          <w:b/>
          <w:noProof/>
        </w:rPr>
        <w:t>The measur</w:t>
      </w:r>
      <w:r>
        <w:rPr>
          <w:b/>
          <w:noProof/>
        </w:rPr>
        <w:t>es announced as part of the 2017 Autumn Budget (HM Treasury (2017a) will slow the expected pace of fiscal consolidation in the coming years.</w:t>
      </w:r>
      <w:r>
        <w:rPr>
          <w:noProof/>
        </w:rPr>
        <w:t xml:space="preserve"> A majority of the measures announced by the Chancellor of the Exchequer on 22 November 2017 related to government e</w:t>
      </w:r>
      <w:r>
        <w:rPr>
          <w:noProof/>
        </w:rPr>
        <w:t>xpenditure, with the introduction of a number of new expenditure items and a slowing of the pace of planned reductions in existing items. While the Office for Budget Responsibility (OBR) still expects the UK government to meet its fiscal targets (see Secti</w:t>
      </w:r>
      <w:r>
        <w:rPr>
          <w:noProof/>
        </w:rPr>
        <w:t>on 3.1), it projects the nominal general government deficit to be higher across its forecast period, compared to its March 2017 forecast. For example, the OBR now expects the deficit to stand at 1.8 % of GDP in 2019-2020, compared to 1.1 % of GDP in its pr</w:t>
      </w:r>
      <w:r>
        <w:rPr>
          <w:noProof/>
        </w:rPr>
        <w:t>evious forecast. While some of this increase is due to data revisions and changes in the OBR’s macroeconomic forecast, most of it is due to the additional measures announced in the 2017 Autumn Budget, such as additional spending on the National Health Serv</w:t>
      </w:r>
      <w:r>
        <w:rPr>
          <w:noProof/>
        </w:rPr>
        <w:t>ice or increased funding for measures designed to boost home ownership.</w:t>
      </w:r>
      <w:r>
        <w:rPr>
          <w:noProof/>
        </w:rPr>
        <w:br w:type="column"/>
      </w:r>
      <w:r>
        <w:rPr>
          <w:b/>
          <w:noProof/>
        </w:rPr>
        <w:t>The general government debt remains at a high level, reaching 86.8 % of GDP in 2016-2017.</w:t>
      </w:r>
      <w:r>
        <w:rPr>
          <w:noProof/>
        </w:rPr>
        <w:t xml:space="preserve"> According to the Commission 2017 autumn forecast, the debt-to-GDP ratio is expected to have pe</w:t>
      </w:r>
      <w:r>
        <w:rPr>
          <w:noProof/>
        </w:rPr>
        <w:t>aked in 2016-2017 and to fall gradually over the remainder of the forecast period. However, this forecast does not take account of the measures announced in the 2017 Autumn Budget, which are expected to further increase the general government deficit and d</w:t>
      </w:r>
      <w:r>
        <w:rPr>
          <w:noProof/>
        </w:rPr>
        <w:t>ebt in the coming years. According to the OBR’s latest economic and fiscal outlook (OBR, 2017a), which takes into account these budget measures, the debt-to-GDP ratio is now expected to peak at 87.4 % of GDP in 2019-2020 before starting to decline graduall</w:t>
      </w:r>
      <w:r>
        <w:rPr>
          <w:noProof/>
        </w:rPr>
        <w:t>y. High levels of public debt pose macroeconomic risks, such as by reducing the economy’s shock absorption capacity or increasing its exposure to unexpected changes in market sentiment.</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15" w:name="_Toc505333960"/>
            <w:r>
              <w:rPr>
                <w:noProof/>
              </w:rPr>
              <w:t>Table 1.1:</w:t>
            </w:r>
            <w:r>
              <w:rPr>
                <w:b/>
                <w:noProof/>
              </w:rPr>
              <w:tab/>
              <w:t>Key economic and financial indicators - United Kingdom</w:t>
            </w:r>
            <w:bookmarkEnd w:id="15"/>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3C8BA03B" wp14:editId="538ED159">
                  <wp:extent cx="5212676" cy="695289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12583" cy="6952767"/>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(1)  NIIP excluding direct investment and portfolio equity shares .</w:t>
            </w:r>
            <w:r>
              <w:rPr>
                <w:noProof/>
              </w:rPr>
              <w:br/>
              <w:t>(2) Domestic banking groups and stand-alone banks, EU and non-EU foreign-controlled subsidiaries and EU and non-EU foreign-controlled branches.</w:t>
            </w:r>
          </w:p>
          <w:p w:rsidR="00D329F2" w:rsidRDefault="008D7727">
            <w:pPr>
              <w:pStyle w:val="TableSource"/>
              <w:rPr>
                <w:noProof/>
              </w:rPr>
            </w:pPr>
            <w:r>
              <w:rPr>
                <w:b/>
                <w:i/>
                <w:noProof/>
              </w:rPr>
              <w:t>Source:</w:t>
            </w:r>
            <w:r>
              <w:rPr>
                <w:noProof/>
              </w:rPr>
              <w:t xml:space="preserve"> Eurostat and ECB as of 30 Jan 2018</w:t>
            </w:r>
            <w:r>
              <w:rPr>
                <w:noProof/>
              </w:rPr>
              <w:t>, where available; European Commission for forecast figures (Winter forecast 2018 for real GDP and HICP, Autumn forecast 2017 otherwise)</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rPr>
          <w:noProof/>
        </w:rPr>
        <w:sectPr w:rsidR="00D329F2">
          <w:headerReference w:type="even" r:id="rId40"/>
          <w:headerReference w:type="default" r:id="rId41"/>
          <w:footerReference w:type="even" r:id="rId42"/>
          <w:footerReference w:type="default" r:id="rId43"/>
          <w:headerReference w:type="first" r:id="rId44"/>
          <w:footerReference w:type="first" r:id="rId45"/>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329F2" w:rsidRDefault="008D7727">
      <w:pPr>
        <w:pStyle w:val="SectionTitleFramed4"/>
        <w:framePr w:wrap="notBeside"/>
        <w:rPr>
          <w:noProof/>
        </w:rPr>
      </w:pPr>
      <w:bookmarkStart w:id="16" w:name="_Toc505334096"/>
      <w:r>
        <w:rPr>
          <w:rFonts w:ascii="Times New Roman" w:hAnsi="Times New Roman"/>
          <w:b/>
          <w:noProof/>
          <w:color w:val="808080"/>
          <w:sz w:val="72"/>
        </w:rPr>
        <w:t>2.</w:t>
      </w:r>
      <w:r>
        <w:rPr>
          <w:noProof/>
        </w:rPr>
        <w:tab/>
        <w:t>Progress with country-specific recommendations</w:t>
      </w:r>
      <w:bookmarkEnd w:id="16"/>
    </w:p>
    <w:p w:rsidR="00D329F2" w:rsidRDefault="008D7727">
      <w:pPr>
        <w:widowControl w:val="0"/>
        <w:rPr>
          <w:noProof/>
        </w:rPr>
      </w:pPr>
      <w:r>
        <w:rPr>
          <w:b/>
          <w:noProof/>
        </w:rPr>
        <w:t>Progress with implementing the recommendations addressed to the UK in 2017 (</w:t>
      </w:r>
      <w:r>
        <w:rPr>
          <w:noProof/>
          <w:vertAlign w:val="superscript"/>
        </w:rPr>
        <w:footnoteReference w:id="6"/>
      </w:r>
      <w:r>
        <w:rPr>
          <w:b/>
          <w:noProof/>
        </w:rPr>
        <w:t>) has to be seen in a longer term perspective since the introduction of the European Semester i</w:t>
      </w:r>
      <w:r>
        <w:rPr>
          <w:b/>
          <w:noProof/>
        </w:rPr>
        <w:t>n 2011. The UK has undertaken several reforms since then.</w:t>
      </w:r>
      <w:r>
        <w:rPr>
          <w:noProof/>
        </w:rPr>
        <w:t xml:space="preserve"> Looking at the multi-annual assessment of CSR implementation, 85 % of CSRs addressed to the UK have recorded ‘some progress’. A further 9 %, covering access to finance and fiscal policy, achieved ‘s</w:t>
      </w:r>
      <w:r>
        <w:rPr>
          <w:noProof/>
        </w:rPr>
        <w:t xml:space="preserve">ubstantial’ progress. The other 6 % of CSRs recorded only ‘limited’ progress (see Graph 2.1). Labour market, housing and infrastructure CSRs have tended to record some progress. While the government has put in place a range of relevant policies, these are </w:t>
      </w:r>
      <w:r>
        <w:rPr>
          <w:noProof/>
        </w:rPr>
        <w:t>all deep rooted and long-standing policy challenges requiring sustained reform efforts. It is also not clear how successful current policy will be. There has been more variation in the assessment of fiscal CSRs over time as the pace of ongoing fiscal conso</w:t>
      </w:r>
      <w:r>
        <w:rPr>
          <w:noProof/>
        </w:rPr>
        <w:t>lidation has fluctuated, as have trends in public investment.</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17" w:name="_Toc507256299"/>
            <w:r>
              <w:rPr>
                <w:noProof/>
              </w:rPr>
              <w:t>Graph 2.1:</w:t>
            </w:r>
            <w:r>
              <w:rPr>
                <w:b/>
                <w:noProof/>
              </w:rPr>
              <w:tab/>
              <w:t>Overall multiannual implementation of 2011-2017 CSRs to date</w:t>
            </w:r>
            <w:bookmarkEnd w:id="17"/>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29021BF9" wp14:editId="50F7F4BA">
                  <wp:extent cx="2597595" cy="2436430"/>
                  <wp:effectExtent l="0" t="0" r="0" b="0"/>
                  <wp:docPr id="3" name="Picture 3" descr="&lt;nbr&gt;&lt;GETTEXTFROMWORD&gt;&lt;/nbr&gt;&#10;&lt;title&gt;&lt;GETTEXTFROMWORD&gt;&lt;/title&gt;&#10;&lt;id&gt;5c7960c6-c305-472b-abc7-ed7e77810df2&lt;/id&gt;&#10;&lt;srcType&gt;EXCEL&lt;/srcType&gt;&#10;&lt;srcPath&gt;\\net1\Ci\Public\2017 CRs\2018 European semester\28 UK\Revised Second Draft\Graphs&lt;/srcPath&gt;&#10;&lt;srcName&gt;2. MAA country charts.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2T16:03:32&lt;/scrFileTime&gt;&#10;&lt;imageInformation&gt;&#10; &lt;dontScaleUp&gt;no&lt;/dontScaleUp&gt;&#10;&lt;/imageInformation&gt;&#10;&lt;url&gt;&lt;/url&gt;&#10;&lt;basedocguid&gt;{ACC166C5-B95C-420B-934A-327650C5779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Footnote"/>
              <w:keepNext/>
              <w:rPr>
                <w:noProof/>
              </w:rPr>
            </w:pPr>
            <w:r>
              <w:rPr>
                <w:noProof/>
              </w:rPr>
              <w:t xml:space="preserve">(1) The overall assessment of the country-specific recommendations related to fiscal policy exclude compliance with </w:t>
            </w:r>
            <w:r>
              <w:rPr>
                <w:noProof/>
              </w:rPr>
              <w:t>the Stability and Growth pact.</w:t>
            </w:r>
            <w:r>
              <w:rPr>
                <w:noProof/>
              </w:rPr>
              <w:br/>
              <w:t>(2) 2011-2012: Different CSR assessment categories</w:t>
            </w:r>
            <w:r>
              <w:rPr>
                <w:noProof/>
              </w:rPr>
              <w:br/>
              <w:t>(3) The multiannual CSR assessment looks at the implementation since the CSRs were first adopted until the March 2018 Country Report.</w:t>
            </w:r>
          </w:p>
          <w:p w:rsidR="00D329F2" w:rsidRDefault="008D7727">
            <w:pPr>
              <w:pStyle w:val="GraphSource"/>
              <w:keepNext/>
              <w:jc w:val="center"/>
              <w:rPr>
                <w:noProof/>
              </w:rPr>
            </w:pPr>
            <w:r>
              <w:rPr>
                <w:b/>
                <w:i/>
                <w:noProof/>
              </w:rPr>
              <w:t>Source:</w:t>
            </w:r>
            <w:r>
              <w:rPr>
                <w:noProof/>
              </w:rPr>
              <w:t xml:space="preserve"> European Commission</w:t>
            </w:r>
          </w:p>
        </w:tc>
      </w:tr>
    </w:tbl>
    <w:p w:rsidR="00D329F2" w:rsidRDefault="008D7727">
      <w:pPr>
        <w:keepNext/>
        <w:widowControl w:val="0"/>
        <w:rPr>
          <w:noProof/>
        </w:rPr>
      </w:pPr>
      <w:r>
        <w:rPr>
          <w:b/>
          <w:noProof/>
        </w:rPr>
        <w:t xml:space="preserve">The fiscal </w:t>
      </w:r>
      <w:r>
        <w:rPr>
          <w:b/>
          <w:noProof/>
        </w:rPr>
        <w:t>deficit has gradually decreased to below 3 % of GDP</w:t>
      </w:r>
      <w:r>
        <w:rPr>
          <w:noProof/>
        </w:rPr>
        <w:t>. The UK has left the Excessive Deficit Procedure of the Stability and Growth Pact.</w:t>
      </w:r>
    </w:p>
    <w:p w:rsidR="00D329F2" w:rsidRDefault="008D7727">
      <w:pPr>
        <w:widowControl w:val="0"/>
        <w:rPr>
          <w:noProof/>
        </w:rPr>
      </w:pPr>
      <w:r>
        <w:rPr>
          <w:b/>
          <w:noProof/>
        </w:rPr>
        <w:t>The UK has announced a range of policy measures to increase housing supply.</w:t>
      </w:r>
      <w:r>
        <w:rPr>
          <w:noProof/>
        </w:rPr>
        <w:t xml:space="preserve"> Residential construction and net additions to</w:t>
      </w:r>
      <w:r>
        <w:rPr>
          <w:noProof/>
        </w:rPr>
        <w:t xml:space="preserve"> the housing stock have risen since the start of the decade, due both to an ongoing cyclical recovery from a post-crisis trough and to policy action, including major reforms to the planning system. Housing affordability has continued to deteriorate, howeve</w:t>
      </w:r>
      <w:r>
        <w:rPr>
          <w:noProof/>
        </w:rPr>
        <w:t xml:space="preserve">r, despite a recent slowdown in house price growth. The ongoing deterioration in affordability, which has been particularly acute in major urban centres, underlines the long-term and structural challenges that exist in the housing market. These challenges </w:t>
      </w:r>
      <w:r>
        <w:rPr>
          <w:noProof/>
        </w:rPr>
        <w:t>are nevertheless recognised by the government, which has set itself the ambitious goal of increasing annual housing supply to 300 000 units by the mid-2020s. Household debt remains high but household balance sheets are strong on aggregate, while households</w:t>
      </w:r>
      <w:r>
        <w:rPr>
          <w:noProof/>
        </w:rPr>
        <w:t xml:space="preserve"> and the broader economy appear resilient to short-term shocks.</w:t>
      </w:r>
    </w:p>
    <w:p w:rsidR="00D329F2" w:rsidRDefault="008D7727">
      <w:pPr>
        <w:widowControl w:val="0"/>
        <w:rPr>
          <w:noProof/>
        </w:rPr>
      </w:pPr>
      <w:r>
        <w:rPr>
          <w:b/>
          <w:noProof/>
        </w:rPr>
        <w:t>The UK has received evolving recommendations on labour market and social issues</w:t>
      </w:r>
      <w:r>
        <w:rPr>
          <w:noProof/>
        </w:rPr>
        <w:t>. On skills and apprenticeships, there remain concerns about the quality and/or qualification level of actions un</w:t>
      </w:r>
      <w:r>
        <w:rPr>
          <w:noProof/>
        </w:rPr>
        <w:t>dertaken, given both labour market needs and the implications for the progression potential for individuals already in the workforce. On childcare, reforms to date have been constant but gradual. The full roll-out of some initiatives is now underway. There</w:t>
      </w:r>
      <w:r>
        <w:rPr>
          <w:noProof/>
        </w:rPr>
        <w:t xml:space="preserve"> is some dissatisfaction from both providers and service users, but progress can be seen. The UK received recommendations from 2011 to 2014 on poverty and the welfare system, with a particular focus on child poverty, which remains quite high. Although the </w:t>
      </w:r>
      <w:r>
        <w:rPr>
          <w:noProof/>
        </w:rPr>
        <w:t>tax benefit system currently performs quite well in alleviating inequality, this will come under pressure as previously announced cutbacks and freezes are rolled out against a background of increased inflation.</w:t>
      </w:r>
    </w:p>
    <w:p w:rsidR="00D329F2" w:rsidRDefault="008D7727">
      <w:pPr>
        <w:rPr>
          <w:noProof/>
        </w:rPr>
      </w:pPr>
      <w:r>
        <w:rPr>
          <w:b/>
          <w:noProof/>
        </w:rPr>
        <w:t>The UK received recommendations on infrastruc</w:t>
      </w:r>
      <w:r>
        <w:rPr>
          <w:b/>
          <w:noProof/>
        </w:rPr>
        <w:t>ture in 2012 to 2014, and again in 2016.</w:t>
      </w:r>
      <w:r>
        <w:rPr>
          <w:noProof/>
        </w:rPr>
        <w:t xml:space="preserve"> The government has set out ambitious plans to remedy shortfalls in network infrastructure in its National Infrastructure Delivery Plan. While tangible progress to date has been modest and pressure on networks is bui</w:t>
      </w:r>
      <w:r>
        <w:rPr>
          <w:noProof/>
        </w:rPr>
        <w:t>lding, the UK is starting to deal with the cumulated effects of decades of public under-investment in infrastructure. The government is also taking steps to increase private infrastructure investment, particularly in energy, and some major projects have be</w:t>
      </w:r>
      <w:r>
        <w:rPr>
          <w:noProof/>
        </w:rPr>
        <w:t>en approved.</w:t>
      </w:r>
    </w:p>
    <w:p w:rsidR="00D329F2" w:rsidRDefault="008D7727">
      <w:pPr>
        <w:rPr>
          <w:noProof/>
        </w:rPr>
      </w:pPr>
      <w:r>
        <w:rPr>
          <w:b/>
          <w:noProof/>
        </w:rPr>
        <w:t>The UK has made some (</w:t>
      </w:r>
      <w:r>
        <w:rPr>
          <w:noProof/>
          <w:vertAlign w:val="superscript"/>
        </w:rPr>
        <w:footnoteReference w:id="7"/>
      </w:r>
      <w:r>
        <w:rPr>
          <w:b/>
          <w:noProof/>
        </w:rPr>
        <w:t>) progress in addressing the 2017 country-specific recommendations (CSRs).</w:t>
      </w:r>
      <w:r>
        <w:rPr>
          <w:noProof/>
        </w:rPr>
        <w:t xml:space="preserve"> The UK currently has three CSRs. The fiscal CSR 1 is not assessed in this country report. There has been some progress on CSR 2, which relates to</w:t>
      </w:r>
      <w:r>
        <w:rPr>
          <w:noProof/>
        </w:rPr>
        <w:t xml:space="preserve"> housing supply. The government is implementing a wide-range of measures to boost housing supply and announced further measures in its 2017 Autumn Budget. </w:t>
      </w:r>
      <w:r>
        <w:rPr>
          <w:noProof/>
        </w:rPr>
        <w:br w:type="column"/>
        <w:t xml:space="preserve">These measures are likely to have contributed to higher annual housing completions in recent years, </w:t>
      </w:r>
      <w:r>
        <w:rPr>
          <w:noProof/>
        </w:rPr>
        <w:t>although new supply of housing continues to fall short of demand, particularly in major urban centres. There has also been some progress on CSR 3 on skills. Skills challenges remain and are multi-faceted. The Apprenticeship Levy, the Institute of Apprentic</w:t>
      </w:r>
      <w:r>
        <w:rPr>
          <w:noProof/>
        </w:rPr>
        <w:t>eships, and other measures either announced or begun — such as Technical Education reforms and the National Retraining Scheme — offer scope for lifelong learning progression assistance for those ‘stuck’ in low-wage, entry-level jobs.</w:t>
      </w:r>
    </w:p>
    <w:p w:rsidR="00D329F2" w:rsidRDefault="008D7727">
      <w:pPr>
        <w:rPr>
          <w:noProof/>
        </w:rPr>
      </w:pPr>
      <w:r>
        <w:rPr>
          <w:b/>
          <w:noProof/>
        </w:rPr>
        <w:t>European Structural an</w:t>
      </w:r>
      <w:r>
        <w:rPr>
          <w:b/>
          <w:noProof/>
        </w:rPr>
        <w:t xml:space="preserve">d Investment Funds (ESIF) are important in supporting inclusive growth and convergence in the UK. </w:t>
      </w:r>
      <w:r>
        <w:rPr>
          <w:noProof/>
        </w:rPr>
        <w:t>Box 2.1 discusses ESIF investment, which funds projects including investment in transport and broadband networks, support to SME competitiveness, skills devel</w:t>
      </w:r>
      <w:r>
        <w:rPr>
          <w:noProof/>
        </w:rPr>
        <w:t>opment and lifelong learning.</w:t>
      </w: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p w:rsidR="00D329F2" w:rsidRDefault="00D329F2">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18" w:name="_Toc505333961"/>
            <w:r>
              <w:rPr>
                <w:noProof/>
              </w:rPr>
              <w:t>Table 2.1:</w:t>
            </w:r>
            <w:r>
              <w:rPr>
                <w:b/>
                <w:noProof/>
              </w:rPr>
              <w:tab/>
              <w:t>Assessment of progress with 2017 CSRs</w:t>
            </w:r>
            <w:bookmarkEnd w:id="18"/>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5374522B" wp14:editId="30812A37">
                  <wp:extent cx="5400929" cy="3029852"/>
                  <wp:effectExtent l="0" t="0" r="0" b="0"/>
                  <wp:docPr id="2" name="Picture 2" descr="&lt;nbr&gt;&lt;GETTEXTFROMWORD&gt;&lt;/nbr&gt;&#10;&lt;title&gt;&lt;GETTEXTFROMWORD&gt;&lt;/title&gt;&#10;&lt;id&gt;dee002cb-e852-4b01-a51b-ec0146f6cf50&lt;/id&gt;&#10;&lt;srcType&gt;WORD&lt;/srcType&gt;&#10;&lt;srcPath&gt;\\net1\Ci\Public\2017 CRs\2018 European semester\28 UK\Revised Second Draft\Tables&lt;/srcPath&gt;&#10;&lt;srcName&gt;Table 2.1.docx&lt;/srcName&gt;&#10;&lt;type&gt;table&lt;/typ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1:02:34&lt;/scrFileTime&gt;&#10;&lt;imageInformation&gt;&#10; &lt;dontScaleUp&gt;no&lt;/dontScaleUp&gt;&#10;&lt;/imageInformation&gt;&#10;&lt;url&gt;&lt;/url&gt;&#10;&lt;basedocguid&gt;{ACC166C5-B95C-420B-934A-327650C5779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929" cy="3029852"/>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Source"/>
              <w:rPr>
                <w:noProof/>
              </w:rPr>
            </w:pPr>
            <w:r>
              <w:rPr>
                <w:b/>
                <w:i/>
                <w:noProof/>
              </w:rPr>
              <w:t>Source:</w:t>
            </w:r>
            <w:r>
              <w:rPr>
                <w:noProof/>
              </w:rPr>
              <w:t xml:space="preserve"> European Commission</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rPr>
          <w:noProof/>
        </w:rPr>
        <w:sectPr w:rsidR="00D329F2">
          <w:headerReference w:type="even" r:id="rId48"/>
          <w:headerReference w:type="default" r:id="rId49"/>
          <w:footerReference w:type="even" r:id="rId50"/>
          <w:footerReference w:type="default" r:id="rId51"/>
          <w:headerReference w:type="first" r:id="rId52"/>
          <w:footerReference w:type="first" r:id="rId5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329F2">
        <w:trPr>
          <w:jc w:val="center"/>
        </w:trPr>
        <w:tc>
          <w:tcPr>
            <w:tcW w:w="8721" w:type="dxa"/>
            <w:shd w:val="clear" w:color="auto" w:fill="F7FCFF"/>
          </w:tcPr>
          <w:p w:rsidR="00D329F2" w:rsidRDefault="008D7727">
            <w:pPr>
              <w:pStyle w:val="BoxTitle"/>
              <w:pageBreakBefore/>
              <w:rPr>
                <w:b/>
                <w:noProof/>
              </w:rPr>
            </w:pPr>
            <w:bookmarkStart w:id="19" w:name="_Toc505333668"/>
            <w:r>
              <w:rPr>
                <w:i/>
                <w:noProof/>
              </w:rPr>
              <w:t xml:space="preserve">Box 2.1: </w:t>
            </w:r>
            <w:r>
              <w:rPr>
                <w:b/>
                <w:noProof/>
              </w:rPr>
              <w:t>Tangible results delivered through EU support to structural change in the UK</w:t>
            </w:r>
            <w:bookmarkEnd w:id="19"/>
          </w:p>
          <w:p w:rsidR="00D329F2" w:rsidRDefault="008D7727">
            <w:pPr>
              <w:pStyle w:val="BoxText"/>
              <w:rPr>
                <w:b/>
                <w:noProof/>
                <w:szCs w:val="20"/>
              </w:rPr>
            </w:pPr>
            <w:r>
              <w:rPr>
                <w:b/>
                <w:noProof/>
                <w:szCs w:val="20"/>
              </w:rPr>
              <w:t>The UK is a beneficiary of significant European Structural and Investment Funds (ESI Funds) support and can recei</w:t>
            </w:r>
            <w:r>
              <w:rPr>
                <w:b/>
                <w:noProof/>
                <w:szCs w:val="20"/>
              </w:rPr>
              <w:t xml:space="preserve">ve up to EUR 16.3 billion (GBP 14.3 billion) by 2020. </w:t>
            </w:r>
            <w:r>
              <w:rPr>
                <w:noProof/>
                <w:szCs w:val="20"/>
              </w:rPr>
              <w:t>This represents around 3 % of annual public investment (</w:t>
            </w:r>
            <w:r>
              <w:rPr>
                <w:noProof/>
                <w:szCs w:val="20"/>
                <w:vertAlign w:val="superscript"/>
              </w:rPr>
              <w:endnoteReference w:id="1"/>
            </w:r>
            <w:r>
              <w:rPr>
                <w:noProof/>
                <w:szCs w:val="20"/>
              </w:rPr>
              <w:t xml:space="preserve">) from 2014-2018. By 31 December 2017, an estimated EUR 10.23 billion (GBP 8.97 billion) (62.8 % of the total) had been allocated to projects on </w:t>
            </w:r>
            <w:r>
              <w:rPr>
                <w:noProof/>
                <w:szCs w:val="20"/>
              </w:rPr>
              <w:t>the ground. Currently, 171 000 enterprises receive support which is expected to create 44 000 new jobs, broadband access is being extended to a further 128 160 households, and projects are being implemented to reduce greenhouse gas emissions by 169 406 ton</w:t>
            </w:r>
            <w:r>
              <w:rPr>
                <w:noProof/>
                <w:szCs w:val="20"/>
              </w:rPr>
              <w:t>nes of CO</w:t>
            </w:r>
            <w:r>
              <w:rPr>
                <w:noProof/>
                <w:szCs w:val="20"/>
                <w:vertAlign w:val="subscript"/>
              </w:rPr>
              <w:t xml:space="preserve">2 </w:t>
            </w:r>
            <w:r>
              <w:rPr>
                <w:noProof/>
                <w:szCs w:val="20"/>
              </w:rPr>
              <w:t>equivalent a year. Of the total EU financing, 20 % is to be delivered via financial instruments, up from 9 % in 2007-2013.</w:t>
            </w:r>
            <w:r>
              <w:rPr>
                <w:b/>
                <w:noProof/>
                <w:szCs w:val="20"/>
              </w:rPr>
              <w:t xml:space="preserve"> </w:t>
            </w:r>
          </w:p>
          <w:p w:rsidR="00D329F2" w:rsidRDefault="008D7727">
            <w:pPr>
              <w:pStyle w:val="BoxText"/>
              <w:rPr>
                <w:b/>
                <w:noProof/>
                <w:szCs w:val="20"/>
              </w:rPr>
            </w:pPr>
            <w:r>
              <w:rPr>
                <w:b/>
                <w:noProof/>
                <w:szCs w:val="20"/>
              </w:rPr>
              <w:t>ESI Funds help address structural policy challenges and implement country-specific recommendations.</w:t>
            </w:r>
            <w:r>
              <w:rPr>
                <w:noProof/>
                <w:szCs w:val="20"/>
              </w:rPr>
              <w:t xml:space="preserve"> The actions financed </w:t>
            </w:r>
            <w:r>
              <w:rPr>
                <w:noProof/>
                <w:szCs w:val="20"/>
              </w:rPr>
              <w:t>include: promoting R&amp;D in the private sector and SME competitiveness; increasing the share of energy from renewables through low carbon solutions and transport and smart cities; and contributing to the [mitigation of climate change impacts] though sustaina</w:t>
            </w:r>
            <w:r>
              <w:rPr>
                <w:noProof/>
                <w:szCs w:val="20"/>
              </w:rPr>
              <w:t>ble land use and the management of flood and coastal erosion risks. Infrastructure investment is being made in less developed regions, including in the TEN-T and broadband networks. The UK is using ESI funding to reduce inactivity among young people and lo</w:t>
            </w:r>
            <w:r>
              <w:rPr>
                <w:noProof/>
                <w:szCs w:val="20"/>
              </w:rPr>
              <w:t xml:space="preserve">ng-term welfare benefit recipients and to improve training and skills, including through apprenticeship schemes. It is also investing in education and lifelong learning, and promoting social inclusion by fighting poverty and discrimination. </w:t>
            </w:r>
          </w:p>
          <w:p w:rsidR="00D329F2" w:rsidRDefault="008D7727">
            <w:pPr>
              <w:pStyle w:val="BoxText"/>
              <w:rPr>
                <w:noProof/>
                <w:szCs w:val="20"/>
              </w:rPr>
            </w:pPr>
            <w:r>
              <w:rPr>
                <w:b/>
                <w:noProof/>
                <w:szCs w:val="20"/>
              </w:rPr>
              <w:t>Take up of the</w:t>
            </w:r>
            <w:r>
              <w:rPr>
                <w:b/>
                <w:noProof/>
                <w:szCs w:val="20"/>
              </w:rPr>
              <w:t xml:space="preserve"> European Fund for Strategic Investments (EFSI) in the UK is progressing. </w:t>
            </w:r>
            <w:r>
              <w:rPr>
                <w:noProof/>
                <w:szCs w:val="20"/>
              </w:rPr>
              <w:t>As of December 2017, the total volume of financing operations approved under the EFSI was EUR 2.6 billion (GBP 2.3 billion), of which the energy sector accounts for EUR 2 billion (GB</w:t>
            </w:r>
            <w:r>
              <w:rPr>
                <w:noProof/>
                <w:szCs w:val="20"/>
              </w:rPr>
              <w:t>P 1.75 billion). This is expected to trigger total private and public investment of EUR 18.8 billion (GBP 16.5 billion). Within the total, 20 projects involving the UK have been approved so far under the Infrastructure and Innovation Window (including 11 m</w:t>
            </w:r>
            <w:r>
              <w:rPr>
                <w:noProof/>
                <w:szCs w:val="20"/>
              </w:rPr>
              <w:t>ulti-country projects), amounting to EUR 2.1 billion (GBP 1.84 billion) in EIB financing under the EFSI. This is expected to trigger about EUR 15 billion (GBP 13.1 billion) in investment. Under the SME Window, 12 agreements with financial intermediaries ha</w:t>
            </w:r>
            <w:r>
              <w:rPr>
                <w:noProof/>
                <w:szCs w:val="20"/>
              </w:rPr>
              <w:t>ve been approved. European Investment Fund financing enabled by the EFSI amounts to EUR 489 million (GBP 429 billion), which is expected to mobilise around EUR 3.8 billion (GBP 3.3 billion) in total investment and benefit close to 3 000 smaller companies o</w:t>
            </w:r>
            <w:r>
              <w:rPr>
                <w:noProof/>
                <w:szCs w:val="20"/>
              </w:rPr>
              <w:t>r start-ups.</w:t>
            </w:r>
          </w:p>
          <w:p w:rsidR="00D329F2" w:rsidRDefault="008D7727">
            <w:pPr>
              <w:pStyle w:val="BoxText"/>
              <w:rPr>
                <w:noProof/>
              </w:rPr>
            </w:pPr>
            <w:r>
              <w:rPr>
                <w:b/>
                <w:noProof/>
                <w:szCs w:val="20"/>
              </w:rPr>
              <w:t>Allocations under Horizon 2020, the Connecting Europe Facility and other directly managed EU funds are additional to the ESI Funds.</w:t>
            </w:r>
            <w:r>
              <w:rPr>
                <w:noProof/>
                <w:szCs w:val="20"/>
              </w:rPr>
              <w:t xml:space="preserve"> By the end of 2017, the UK had signed agreements for EUR 348 million (GBP 305 million) for projects under the C</w:t>
            </w:r>
            <w:r>
              <w:rPr>
                <w:noProof/>
                <w:szCs w:val="20"/>
              </w:rPr>
              <w:t>onnecting Europe Facility.</w:t>
            </w:r>
            <w:r>
              <w:rPr>
                <w:noProof/>
              </w:rPr>
              <w:t xml:space="preserve"> </w:t>
            </w:r>
          </w:p>
        </w:tc>
      </w:tr>
    </w:tbl>
    <w:p w:rsidR="00D329F2" w:rsidRDefault="00D329F2">
      <w:pPr>
        <w:spacing w:after="0" w:line="20" w:lineRule="exact"/>
        <w:rPr>
          <w:noProof/>
          <w:sz w:val="2"/>
        </w:rPr>
        <w:sectPr w:rsidR="00D329F2">
          <w:headerReference w:type="even" r:id="rId54"/>
          <w:headerReference w:type="default" r:id="rId55"/>
          <w:footerReference w:type="even" r:id="rId56"/>
          <w:footerReference w:type="default" r:id="rId57"/>
          <w:headerReference w:type="first" r:id="rId58"/>
          <w:footerReference w:type="first" r:id="rId5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329F2" w:rsidRDefault="00D329F2">
      <w:pPr>
        <w:rPr>
          <w:noProof/>
        </w:rPr>
        <w:sectPr w:rsidR="00D329F2">
          <w:headerReference w:type="even" r:id="rId60"/>
          <w:headerReference w:type="default" r:id="rId61"/>
          <w:footerReference w:type="even" r:id="rId62"/>
          <w:footerReference w:type="default" r:id="rId63"/>
          <w:headerReference w:type="first" r:id="rId64"/>
          <w:footerReference w:type="first" r:id="rId6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D329F2" w:rsidRDefault="008D7727">
      <w:pPr>
        <w:pStyle w:val="SectionTitleFramed5"/>
        <w:framePr w:wrap="notBeside"/>
        <w:rPr>
          <w:noProof/>
        </w:rPr>
      </w:pPr>
      <w:bookmarkStart w:id="20" w:name="_Toc505334097"/>
      <w:r>
        <w:rPr>
          <w:rFonts w:ascii="Times New Roman" w:hAnsi="Times New Roman"/>
          <w:b/>
          <w:noProof/>
          <w:color w:val="808080"/>
          <w:sz w:val="72"/>
        </w:rPr>
        <w:t>3.</w:t>
      </w:r>
      <w:r>
        <w:rPr>
          <w:noProof/>
        </w:rPr>
        <w:tab/>
        <w:t>Reform priorities</w:t>
      </w:r>
      <w:bookmarkEnd w:id="20"/>
    </w:p>
    <w:p w:rsidR="00D329F2" w:rsidRDefault="008D7727">
      <w:pPr>
        <w:pStyle w:val="SubsectionHeading1"/>
        <w:framePr w:wrap="notBeside"/>
        <w:rPr>
          <w:noProof/>
        </w:rPr>
      </w:pPr>
      <w:bookmarkStart w:id="21" w:name="_Toc505334098"/>
      <w:r>
        <w:rPr>
          <w:noProof/>
        </w:rPr>
        <w:t>3.1.</w:t>
      </w:r>
      <w:r>
        <w:rPr>
          <w:noProof/>
        </w:rPr>
        <w:tab/>
        <w:t>Public finances and taxation</w:t>
      </w:r>
      <w:bookmarkEnd w:id="21"/>
    </w:p>
    <w:p w:rsidR="00D329F2" w:rsidRDefault="008D7727">
      <w:pPr>
        <w:pStyle w:val="Heading"/>
        <w:rPr>
          <w:noProof/>
        </w:rPr>
      </w:pPr>
      <w:r>
        <w:rPr>
          <w:noProof/>
        </w:rPr>
        <w:t xml:space="preserve">Taxation policy </w:t>
      </w:r>
    </w:p>
    <w:p w:rsidR="00D329F2" w:rsidRDefault="008D7727">
      <w:pPr>
        <w:rPr>
          <w:noProof/>
        </w:rPr>
      </w:pPr>
      <w:r>
        <w:rPr>
          <w:b/>
          <w:noProof/>
        </w:rPr>
        <w:t xml:space="preserve">Despite an increase in the tax burden in recent years, the UK’s </w:t>
      </w:r>
      <w:r>
        <w:rPr>
          <w:b/>
          <w:noProof/>
        </w:rPr>
        <w:t>tax-to-GDP ratio remains well below the EU average.</w:t>
      </w:r>
      <w:r>
        <w:rPr>
          <w:noProof/>
        </w:rPr>
        <w:t xml:space="preserve"> Tax receipts increased by 7 % in the 2016-2017 financial year, bringing the total tax burden to 34.4 % of GDP (Table 3.1.1), below the GDP-weighted EU average of 39 %.</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Height w:val="20"/>
        </w:trPr>
        <w:tc>
          <w:tcPr>
            <w:tcW w:w="4110" w:type="dxa"/>
            <w:shd w:val="clear" w:color="auto" w:fill="auto"/>
          </w:tcPr>
          <w:p w:rsidR="00D329F2" w:rsidRDefault="00D329F2">
            <w:pPr>
              <w:pStyle w:val="SlimCell"/>
              <w:keepNext/>
              <w:rPr>
                <w:noProof/>
              </w:rPr>
            </w:pPr>
          </w:p>
        </w:tc>
      </w:tr>
      <w:tr w:rsidR="00D329F2">
        <w:trPr>
          <w:cantSplit/>
        </w:trPr>
        <w:tc>
          <w:tcPr>
            <w:tcW w:w="4110" w:type="dxa"/>
            <w:shd w:val="clear" w:color="auto" w:fill="auto"/>
          </w:tcPr>
          <w:p w:rsidR="00D329F2" w:rsidRDefault="008D7727">
            <w:pPr>
              <w:pStyle w:val="TableTitle"/>
              <w:rPr>
                <w:b/>
                <w:noProof/>
              </w:rPr>
            </w:pPr>
            <w:bookmarkStart w:id="22" w:name="_Toc505333962"/>
            <w:r>
              <w:rPr>
                <w:noProof/>
              </w:rPr>
              <w:t>Table 3.1.1:</w:t>
            </w:r>
            <w:r>
              <w:rPr>
                <w:b/>
                <w:noProof/>
              </w:rPr>
              <w:tab/>
              <w:t xml:space="preserve">Composition of tax </w:t>
            </w:r>
            <w:r>
              <w:rPr>
                <w:b/>
                <w:noProof/>
              </w:rPr>
              <w:t>revenues, 2016-2017</w:t>
            </w:r>
            <w:bookmarkEnd w:id="22"/>
          </w:p>
        </w:tc>
      </w:tr>
      <w:tr w:rsidR="00D329F2">
        <w:trPr>
          <w:cantSplit/>
        </w:trPr>
        <w:tc>
          <w:tcPr>
            <w:tcW w:w="4110" w:type="dxa"/>
            <w:shd w:val="clear" w:color="auto" w:fill="auto"/>
          </w:tcPr>
          <w:p w:rsidR="00D329F2" w:rsidRDefault="008D7727">
            <w:pPr>
              <w:pStyle w:val="TableShape"/>
              <w:rPr>
                <w:noProof/>
                <w:sz w:val="2"/>
              </w:rPr>
            </w:pPr>
            <w:r>
              <w:rPr>
                <w:noProof/>
                <w:sz w:val="2"/>
                <w:lang w:eastAsia="en-GB"/>
              </w:rPr>
              <w:drawing>
                <wp:inline distT="0" distB="0" distL="0" distR="0" wp14:anchorId="663D5DB7" wp14:editId="5B41183C">
                  <wp:extent cx="2597595" cy="1449718"/>
                  <wp:effectExtent l="0" t="0" r="0" b="0"/>
                  <wp:docPr id="60" name="Picture 60" descr="&lt;nbr&gt;&lt;GETTEXTFROMWORD&gt;&lt;/nbr&gt;&#10;&lt;title&gt;&lt;GETTEXTFROMWORD&gt;&lt;/title&gt;&#10;&lt;id&gt;57d61abe-0aaf-4b32-976e-70789bbb1801&lt;/id&gt;&#10;&lt;srcType&gt;WORD&lt;/srcType&gt;&#10;&lt;srcPath&gt;\\net1\Ci\Public\2017 CRs\2018 European semester\28 UK\Revised Second Draft\Tables&lt;/srcPath&gt;&#10;&lt;srcName&gt;Table_3_1.docx&lt;/srcName&gt;&#10;&lt;type&gt;table&lt;/typ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2T10:30:31&lt;/scrFileTime&gt;&#10;&lt;imageInformation&gt;&#10; &lt;dontScaleUp&gt;no&lt;/dontScaleUp&gt;&#10;&lt;/imageInformation&gt;&#10;&lt;url&gt;&lt;/url&gt;&#10;&lt;basedocguid&gt;{33C68021-45DA-4023-8625-6020C89AD52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1449718"/>
                          </a:xfrm>
                          <a:prstGeom prst="rect">
                            <a:avLst/>
                          </a:prstGeom>
                          <a:noFill/>
                          <a:ln>
                            <a:noFill/>
                          </a:ln>
                        </pic:spPr>
                      </pic:pic>
                    </a:graphicData>
                  </a:graphic>
                </wp:inline>
              </w:drawing>
            </w:r>
          </w:p>
        </w:tc>
      </w:tr>
      <w:tr w:rsidR="00D329F2">
        <w:trPr>
          <w:cantSplit/>
        </w:trPr>
        <w:tc>
          <w:tcPr>
            <w:tcW w:w="4110" w:type="dxa"/>
            <w:shd w:val="clear" w:color="auto" w:fill="auto"/>
          </w:tcPr>
          <w:p w:rsidR="00D329F2" w:rsidRDefault="008D7727">
            <w:pPr>
              <w:pStyle w:val="TableSource"/>
              <w:rPr>
                <w:noProof/>
              </w:rPr>
            </w:pPr>
            <w:r>
              <w:rPr>
                <w:b/>
                <w:i/>
                <w:noProof/>
              </w:rPr>
              <w:t>Source:</w:t>
            </w:r>
            <w:r>
              <w:rPr>
                <w:noProof/>
              </w:rPr>
              <w:t xml:space="preserve"> Autumn Budget 2017</w:t>
            </w:r>
          </w:p>
        </w:tc>
      </w:tr>
      <w:tr w:rsidR="00D329F2">
        <w:trPr>
          <w:cantSplit/>
          <w:trHeight w:val="20"/>
        </w:trPr>
        <w:tc>
          <w:tcPr>
            <w:tcW w:w="4110" w:type="dxa"/>
            <w:shd w:val="clear" w:color="auto" w:fill="auto"/>
            <w:tcMar>
              <w:bottom w:w="240" w:type="dxa"/>
            </w:tcMar>
          </w:tcPr>
          <w:p w:rsidR="00D329F2" w:rsidRDefault="00D329F2">
            <w:pPr>
              <w:pStyle w:val="SlimCell"/>
              <w:rPr>
                <w:noProof/>
              </w:rPr>
            </w:pPr>
          </w:p>
        </w:tc>
      </w:tr>
    </w:tbl>
    <w:p w:rsidR="00D329F2" w:rsidRDefault="008D7727">
      <w:pPr>
        <w:rPr>
          <w:noProof/>
        </w:rPr>
      </w:pPr>
      <w:r>
        <w:rPr>
          <w:b/>
          <w:noProof/>
        </w:rPr>
        <w:t>Personal income tax revenues increased by 4.9 % in 2016-2017 and continue to make the largest contribution to tax revenues.</w:t>
      </w:r>
      <w:r>
        <w:rPr>
          <w:noProof/>
        </w:rPr>
        <w:t xml:space="preserve"> Around a quarter of the increase reflected stronger income tax revenues on bon</w:t>
      </w:r>
      <w:r>
        <w:rPr>
          <w:noProof/>
        </w:rPr>
        <w:t>uses in the financial and business services sectors. Windfall revenues related to dividend taxation also contributed to the increase. The tax burden on labour is among the lowest in the EU across the income scale. At 28.6 % of the average wage for a two-ea</w:t>
      </w:r>
      <w:r>
        <w:rPr>
          <w:noProof/>
        </w:rPr>
        <w:t>rner couple with two children, the UK has the third lowest tax wedge in the EU (37.1 %) (</w:t>
      </w:r>
      <w:r>
        <w:rPr>
          <w:noProof/>
          <w:vertAlign w:val="superscript"/>
        </w:rPr>
        <w:footnoteReference w:id="8"/>
      </w:r>
      <w:r>
        <w:rPr>
          <w:noProof/>
        </w:rPr>
        <w:t>).</w:t>
      </w:r>
    </w:p>
    <w:p w:rsidR="00D329F2" w:rsidRDefault="008D7727">
      <w:pPr>
        <w:rPr>
          <w:noProof/>
        </w:rPr>
      </w:pPr>
      <w:r>
        <w:rPr>
          <w:b/>
          <w:noProof/>
        </w:rPr>
        <w:t>Although there were large increases in corporate tax revenue across the main sectors, a significant proportion of this can be attributed to a change in the basis o</w:t>
      </w:r>
      <w:r>
        <w:rPr>
          <w:b/>
          <w:noProof/>
        </w:rPr>
        <w:t>f accounting for corporate income tax.</w:t>
      </w:r>
      <w:r>
        <w:rPr>
          <w:noProof/>
        </w:rPr>
        <w:t xml:space="preserve"> As discussed in previous country reports, some elements of the tax system may create disincentives for corporate investment. The effective marginal tax rate for new investment stood at 24.7 % in 2016, above the non-we</w:t>
      </w:r>
      <w:r>
        <w:rPr>
          <w:noProof/>
        </w:rPr>
        <w:t>ighted EU average of 15.7 % and among the highest of all EU countries (ZEW, 2016). This is largely due to property taxation and the capital allowance regime. Recurring taxes levied on business property are higher than elsewhere in the OECD and could repres</w:t>
      </w:r>
      <w:r>
        <w:rPr>
          <w:noProof/>
        </w:rPr>
        <w:t>ent a barrier to investment (IFS, 2014).</w:t>
      </w:r>
    </w:p>
    <w:p w:rsidR="00D329F2" w:rsidRDefault="008D7727">
      <w:pPr>
        <w:rPr>
          <w:noProof/>
        </w:rPr>
      </w:pPr>
      <w:r>
        <w:rPr>
          <w:b/>
          <w:noProof/>
        </w:rPr>
        <w:t>The UK has moved to a more territorial corporate tax system in recent years and has introduced measures to protect the tax base from aggressive tax planning and avoidance</w:t>
      </w:r>
      <w:r>
        <w:rPr>
          <w:noProof/>
        </w:rPr>
        <w:t>. In line with the OECD Base Erosion Profit S</w:t>
      </w:r>
      <w:r>
        <w:rPr>
          <w:noProof/>
        </w:rPr>
        <w:t>hifting Action Plan (2013) as well as the ATADs</w:t>
      </w:r>
      <w:r>
        <w:rPr>
          <w:rStyle w:val="FootnoteReference"/>
          <w:noProof/>
        </w:rPr>
        <w:footnoteReference w:id="9"/>
      </w:r>
      <w:r>
        <w:rPr>
          <w:noProof/>
        </w:rPr>
        <w:t>, these measures include: (i) restrictions on interest for corporate tax deductibility; (ii) extending the scope of withholding tax on royalties paid abroad; and (iii) the introduction of hybrid mismatch rule</w:t>
      </w:r>
      <w:r>
        <w:rPr>
          <w:noProof/>
        </w:rPr>
        <w:t xml:space="preserve">s, which counteract cross-border situations where, for example, the same expenditures are tax deductible in both jurisdictions. In 2016, the UK also changed its Patent Box scheme (a tax incentive regime in relation to income from intellectual property) to </w:t>
      </w:r>
      <w:r>
        <w:rPr>
          <w:noProof/>
        </w:rPr>
        <w:t>comply with international tax avoidance rules (HM Revenue &amp; Customs, 2015). As agreed in the Code of Conduct Group for Business Taxation, the Patent Box was aligned to the modified “nexus approach”, which limits the application of the tax incentive to taxp</w:t>
      </w:r>
      <w:r>
        <w:rPr>
          <w:noProof/>
        </w:rPr>
        <w:t>ayers that incurred relevant expenditures, such as R&amp;D. While the economic evidence for the effectiveness of patent boxes as a means to encourage R&amp;D remains weak (CPB, 2014), they may be used as a tax competition tool. (Alstadsæter et. al, 2017). The prov</w:t>
      </w:r>
      <w:r>
        <w:rPr>
          <w:noProof/>
        </w:rPr>
        <w:t>isions of the Anti-Tax Avoidance Directives (ATADs) will have to be transposed into national law by the end of 2018 and 2019. It will be important to assess to what extent the transposition of the ATADs will limit the scope for aggressive tax planning in t</w:t>
      </w:r>
      <w:r>
        <w:rPr>
          <w:noProof/>
        </w:rPr>
        <w:t>he United Kingdom.</w:t>
      </w:r>
    </w:p>
    <w:p w:rsidR="00D329F2" w:rsidRDefault="008D7727">
      <w:pPr>
        <w:rPr>
          <w:noProof/>
        </w:rPr>
      </w:pPr>
      <w:r>
        <w:rPr>
          <w:b/>
          <w:noProof/>
        </w:rPr>
        <w:t>The tax-exemption of dividends received from abroad and lack of a withholding tax on dividends paid are considered features that may be used by international companies in aggressive tax planning.</w:t>
      </w:r>
      <w:r>
        <w:rPr>
          <w:noProof/>
        </w:rPr>
        <w:t xml:space="preserve"> In a recent study (van’t Riet and Lejour,</w:t>
      </w:r>
      <w:r>
        <w:rPr>
          <w:noProof/>
        </w:rPr>
        <w:t xml:space="preserve"> 2017),, the UK was ranked first among 108 jurisdictions in the world having a tax regime that companies could potentially use for facilitating the routing of untaxed dividends. Since 2009, the UK has effectively exempted dividend income (</w:t>
      </w:r>
      <w:r>
        <w:rPr>
          <w:noProof/>
          <w:vertAlign w:val="superscript"/>
        </w:rPr>
        <w:footnoteReference w:id="10"/>
      </w:r>
      <w:r>
        <w:rPr>
          <w:noProof/>
        </w:rPr>
        <w:t>) received by UK</w:t>
      </w:r>
      <w:r>
        <w:rPr>
          <w:noProof/>
        </w:rPr>
        <w:t xml:space="preserve"> companies from abroad to UK tax although the exemption does include some anti-avoidance provisions. Furthermore, the UK does not impose withholding tax on dividends paid by companies in the UK.</w:t>
      </w:r>
    </w:p>
    <w:p w:rsidR="00D329F2" w:rsidRDefault="008D7727">
      <w:pPr>
        <w:rPr>
          <w:noProof/>
        </w:rPr>
      </w:pPr>
      <w:r>
        <w:rPr>
          <w:b/>
          <w:noProof/>
        </w:rPr>
        <w:t>With one of the stated aim being to improve its tax competiti</w:t>
      </w:r>
      <w:r>
        <w:rPr>
          <w:b/>
          <w:noProof/>
        </w:rPr>
        <w:t>veness, the UK reformed its controlled foreign companies rules in 2013 (</w:t>
      </w:r>
      <w:r>
        <w:rPr>
          <w:noProof/>
          <w:vertAlign w:val="superscript"/>
        </w:rPr>
        <w:footnoteReference w:id="11"/>
      </w:r>
      <w:r>
        <w:rPr>
          <w:b/>
          <w:noProof/>
        </w:rPr>
        <w:t>).</w:t>
      </w:r>
      <w:r>
        <w:rPr>
          <w:noProof/>
        </w:rPr>
        <w:t xml:space="preserve"> This allows international companies to exempt certain chargeable profits from financing operations of their non-UK subsidiaries. The Commission has recently announced an in-depth i</w:t>
      </w:r>
      <w:r>
        <w:rPr>
          <w:noProof/>
        </w:rPr>
        <w:t xml:space="preserve">nvestigation into the controlled foreign companies rules to see if the scheme allows multinationals to pay less UK tax, in breach of EU State Aid rules (European Commission, 2017b). ). </w:t>
      </w:r>
    </w:p>
    <w:p w:rsidR="00D329F2" w:rsidRDefault="008D7727">
      <w:pPr>
        <w:rPr>
          <w:noProof/>
        </w:rPr>
      </w:pPr>
      <w:r>
        <w:rPr>
          <w:b/>
          <w:noProof/>
        </w:rPr>
        <w:t>While the UK is in line with the EU average on VAT compliance (</w:t>
      </w:r>
      <w:r>
        <w:rPr>
          <w:noProof/>
          <w:vertAlign w:val="superscript"/>
        </w:rPr>
        <w:footnoteReference w:id="12"/>
      </w:r>
      <w:r>
        <w:rPr>
          <w:b/>
          <w:noProof/>
        </w:rPr>
        <w:t>), the</w:t>
      </w:r>
      <w:r>
        <w:rPr>
          <w:b/>
          <w:noProof/>
        </w:rPr>
        <w:t xml:space="preserve"> government loses potential revenues by using reduced VAT rates.</w:t>
      </w:r>
      <w:r>
        <w:rPr>
          <w:noProof/>
        </w:rPr>
        <w:t xml:space="preserve"> At 17.2 %, the actionable VAT Policy Gap, due to exemptions and reduced rates, was higher than the EU average (16.4 %) in 2015 (</w:t>
      </w:r>
      <w:r>
        <w:rPr>
          <w:noProof/>
          <w:vertAlign w:val="superscript"/>
        </w:rPr>
        <w:footnoteReference w:id="13"/>
      </w:r>
      <w:r>
        <w:rPr>
          <w:noProof/>
        </w:rPr>
        <w:t>) (</w:t>
      </w:r>
      <w:r>
        <w:rPr>
          <w:noProof/>
          <w:vertAlign w:val="superscript"/>
        </w:rPr>
        <w:footnoteReference w:id="14"/>
      </w:r>
      <w:r>
        <w:rPr>
          <w:noProof/>
        </w:rPr>
        <w:t>). Foregone revenues due to reduced VAT rates are estimate</w:t>
      </w:r>
      <w:r>
        <w:rPr>
          <w:noProof/>
        </w:rPr>
        <w:t>d to have been 2.5 % of GDP in 2016-2017 (UK Government, 2018). In addition to its standard 20 % VAT rate, the UK applies a reduced rate of 5 %, along with a super-reduced rate of 0 % (</w:t>
      </w:r>
      <w:r>
        <w:rPr>
          <w:noProof/>
          <w:vertAlign w:val="superscript"/>
        </w:rPr>
        <w:footnoteReference w:id="15"/>
      </w:r>
      <w:r>
        <w:rPr>
          <w:noProof/>
        </w:rPr>
        <w:t>).</w:t>
      </w:r>
    </w:p>
    <w:p w:rsidR="00D329F2" w:rsidRDefault="008D7727">
      <w:pPr>
        <w:rPr>
          <w:noProof/>
        </w:rPr>
      </w:pPr>
      <w:r>
        <w:rPr>
          <w:b/>
          <w:noProof/>
        </w:rPr>
        <w:t>The UK is taking a number of measures to address VAT fraud in e-com</w:t>
      </w:r>
      <w:r>
        <w:rPr>
          <w:b/>
          <w:noProof/>
        </w:rPr>
        <w:t>merce.</w:t>
      </w:r>
      <w:r>
        <w:rPr>
          <w:noProof/>
        </w:rPr>
        <w:t xml:space="preserve"> For example, online marketplaces will become liable for any unpaid VAT of a UK business arising from supply of goods in the UK via that marketplace. These rules will also extend to online marketplaces for non-UK suppliers, when the marketplace knew </w:t>
      </w:r>
      <w:r>
        <w:rPr>
          <w:noProof/>
        </w:rPr>
        <w:t>(or should have known) that the supplier should be registered for VAT purposes in the UK.</w:t>
      </w:r>
    </w:p>
    <w:p w:rsidR="00D329F2" w:rsidRDefault="008D7727">
      <w:pPr>
        <w:pStyle w:val="Heading"/>
        <w:rPr>
          <w:noProof/>
        </w:rPr>
      </w:pPr>
      <w:r>
        <w:rPr>
          <w:noProof/>
        </w:rPr>
        <w:t>Long-term sustainability of public finances</w:t>
      </w:r>
    </w:p>
    <w:p w:rsidR="00D329F2" w:rsidRDefault="008D7727">
      <w:pPr>
        <w:rPr>
          <w:noProof/>
        </w:rPr>
      </w:pPr>
      <w:r>
        <w:rPr>
          <w:b/>
          <w:noProof/>
        </w:rPr>
        <w:t xml:space="preserve">While the high level of general government debt represents a source of vulnerability for the UK economy, no substantial </w:t>
      </w:r>
      <w:r>
        <w:rPr>
          <w:b/>
          <w:noProof/>
        </w:rPr>
        <w:t>short-term fiscal risks exist at the current time.</w:t>
      </w:r>
      <w:r>
        <w:rPr>
          <w:noProof/>
        </w:rPr>
        <w:t xml:space="preserve"> According to the Commission 2017 autumn forecast, general government debt is expected to have peaked at 86.8 % of GDP in 2016-2017 before falling over the forecast period, although this forecast does not t</w:t>
      </w:r>
      <w:r>
        <w:rPr>
          <w:noProof/>
        </w:rPr>
        <w:t>ake account of measures announced in the 2017 Autumn Budget. The Commission’s short-term fiscal risk indicator, which is based on a comprehensive approach that takes both fiscal and macro-financial variables into account, remains below the threshold that i</w:t>
      </w:r>
      <w:r>
        <w:rPr>
          <w:noProof/>
        </w:rPr>
        <w:t>ndicates a risk.</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23" w:name="_Toc507256300"/>
            <w:r>
              <w:rPr>
                <w:noProof/>
              </w:rPr>
              <w:t>Graph 3.1.1:</w:t>
            </w:r>
            <w:r>
              <w:rPr>
                <w:b/>
                <w:noProof/>
              </w:rPr>
              <w:tab/>
              <w:t>Debt projections based on probability</w:t>
            </w:r>
            <w:bookmarkEnd w:id="23"/>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6B4B9F12" wp14:editId="4F22573F">
                  <wp:extent cx="2596126" cy="2105025"/>
                  <wp:effectExtent l="0" t="0" r="0" b="0"/>
                  <wp:docPr id="61" name="Picture 61" descr="&lt;nbr&gt;&lt;GETTEXTFROMWORD&gt;&lt;/nbr&gt;&#10;&lt;title&gt;&lt;GETTEXTFROMWORD&gt;&lt;/title&gt;&#10;&lt;id&gt;5aef1480-b88b-4f7a-bceb-363d79e36226&lt;/id&gt;&#10;&lt;srcType&gt;EXCEL&lt;/srcType&gt;&#10;&lt;srcPath&gt;\\net1\Ci\Public\2017 CRs\2018 European semester\28 UK\Revised Second Draft\Graphs&lt;/srcPath&gt;&#10;&lt;srcName&gt;3.1.1 Sustainability.xlsx&lt;/srcName&gt;&#10;&lt;type&gt;graph&lt;/type&gt;&#10; &lt;srcSheet&gt;Fanchar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0T15:51:40&lt;/scrFileTime&gt;&#10;&lt;imageInformation&gt;&#10; &lt;dontScaleUp&gt;no&lt;/dontScaleUp&gt;&#10;&lt;/imageInformation&gt;&#10;&lt;url&gt;&lt;/url&gt;&#10;&lt;basedocguid&gt;{33C68021-45DA-4023-8625-6020C89AD52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2106216"/>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jc w:val="center"/>
              <w:rPr>
                <w:noProof/>
              </w:rPr>
            </w:pPr>
            <w:r>
              <w:rPr>
                <w:b/>
                <w:i/>
                <w:noProof/>
              </w:rPr>
              <w:t>Source:</w:t>
            </w:r>
            <w:r>
              <w:rPr>
                <w:noProof/>
              </w:rPr>
              <w:t xml:space="preserve"> </w:t>
            </w:r>
            <w:r>
              <w:rPr>
                <w:noProof/>
                <w:sz w:val="13"/>
                <w:szCs w:val="13"/>
              </w:rPr>
              <w:t>European Commission, Debt Sustainability Monitor 2017</w:t>
            </w:r>
          </w:p>
        </w:tc>
      </w:tr>
    </w:tbl>
    <w:p w:rsidR="00D329F2" w:rsidRDefault="008D7727">
      <w:pPr>
        <w:rPr>
          <w:noProof/>
        </w:rPr>
      </w:pPr>
      <w:r>
        <w:rPr>
          <w:b/>
          <w:noProof/>
        </w:rPr>
        <w:t xml:space="preserve">The debt-to-GDP ratio is expected to remain at a high level in the medium term and could increase further if potential </w:t>
      </w:r>
      <w:r>
        <w:rPr>
          <w:b/>
          <w:noProof/>
        </w:rPr>
        <w:t>shocks were to hit the UK economy.</w:t>
      </w:r>
      <w:r>
        <w:rPr>
          <w:noProof/>
        </w:rPr>
        <w:t xml:space="preserve"> In a baseline scenario, general government debt is expected to remain at around 80 % of GDP at the end of the Commission’s projection period (2028). Potential shocks to nominal growth, interest rates or the structural pri</w:t>
      </w:r>
      <w:r>
        <w:rPr>
          <w:noProof/>
        </w:rPr>
        <w:t xml:space="preserve">mary balance pose risks to this scenario. As shown in Graphs </w:t>
      </w:r>
      <w:r>
        <w:rPr>
          <w:noProof/>
        </w:rPr>
        <w:fldChar w:fldCharType="begin"/>
      </w:r>
      <w:r>
        <w:rPr>
          <w:noProof/>
        </w:rPr>
        <w:instrText xml:space="preserve"> QUOTE "3.1.1"</w:instrText>
      </w:r>
      <w:r>
        <w:rPr>
          <w:noProof/>
        </w:rPr>
        <w:fldChar w:fldCharType="begin">
          <w:fldData xml:space="preserve">QwBSAE8AUwBTAFIARQBGAEUAUgBFAE4AQwBFACoARwBSAEEAUABIACoANQBhAGUAZgAxADQAOAAw
AC0AYgA4ADgAYgAtADQAZgA3AGEALQBiAGMAZQBiAC0AMwA2ADMAZAA3ADkAZQAzADYAMgAyADYA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3.1.1</w:t>
      </w:r>
      <w:r>
        <w:rPr>
          <w:noProof/>
        </w:rPr>
        <w:fldChar w:fldCharType="end"/>
      </w:r>
      <w:r>
        <w:rPr>
          <w:noProof/>
        </w:rPr>
        <w:t xml:space="preserve"> and </w:t>
      </w:r>
      <w:r>
        <w:rPr>
          <w:noProof/>
        </w:rPr>
        <w:fldChar w:fldCharType="begin"/>
      </w:r>
      <w:r>
        <w:rPr>
          <w:noProof/>
        </w:rPr>
        <w:instrText xml:space="preserve"> QUOTE "3.1.2"</w:instrText>
      </w:r>
      <w:r>
        <w:rPr>
          <w:noProof/>
        </w:rPr>
        <w:fldChar w:fldCharType="begin">
          <w:fldData xml:space="preserve">QwBSAE8AUwBTAFIARQBGAEUAUgBFAE4AQwBFACoARwBSAEEAUABIACoAMABiAGIAMAA4ADcAOQBl
AC0AMwA2ADMAZgAtADQAZQA3ADcALQA4AGQANAA2AC0AOAAzAGUAZAAwAGYAOAA2ADQAMQAzAGYA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3.1.2</w:t>
      </w:r>
      <w:r>
        <w:rPr>
          <w:noProof/>
        </w:rPr>
        <w:fldChar w:fldCharType="end"/>
      </w:r>
      <w:r>
        <w:rPr>
          <w:noProof/>
        </w:rPr>
        <w:t>, the materialisation of such shocks could cause general government debt to rise above 90 % of GDP. In order to reduce the debt-to-GDP ratio to 60 % of GDP by 2032, a cumulative fiscal effort of 2.</w:t>
      </w:r>
      <w:r>
        <w:rPr>
          <w:noProof/>
        </w:rPr>
        <w:t>1 pps. of GDP (relative to a scenario in which there is no change to fiscal policy) would be required during the 5-year period following the final year of the Commission’s forecast, i.e. by 2024 (</w:t>
      </w:r>
      <w:r>
        <w:rPr>
          <w:noProof/>
          <w:vertAlign w:val="superscript"/>
        </w:rPr>
        <w:footnoteReference w:id="16"/>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24" w:name="_Toc507256301"/>
            <w:r>
              <w:rPr>
                <w:noProof/>
              </w:rPr>
              <w:t>Graph 3.1.2:</w:t>
            </w:r>
            <w:r>
              <w:rPr>
                <w:b/>
                <w:noProof/>
              </w:rPr>
              <w:tab/>
              <w:t>Gross public debt as a % of GDP</w:t>
            </w:r>
            <w:bookmarkEnd w:id="24"/>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7379E054" wp14:editId="259FEB8E">
                  <wp:extent cx="2595526" cy="2171700"/>
                  <wp:effectExtent l="0" t="0" r="0" b="0"/>
                  <wp:docPr id="5" name="Picture 5" descr="&lt;nbr&gt;&lt;GETTEXTFROMWORD&gt;&lt;/nbr&gt;&#10;&lt;title&gt;&lt;GETTEXTFROMWORD&gt;&lt;/title&gt;&#10;&lt;id&gt;0bb0879e-363f-4e77-8d46-83ed0f86413f&lt;/id&gt;&#10;&lt;srcType&gt;EXCEL&lt;/srcType&gt;&#10;&lt;srcPath&gt;\\net1\Ci\Public\2017 CRs\2018 European semester\28 UK\Revised Second Draft\Graphs&lt;/srcPath&gt;&#10;&lt;srcName&gt;3.1.1 Sustainability.xlsx&lt;/srcName&gt;&#10;&lt;type&gt;graph&lt;/type&gt;&#10; &lt;srcSheet&gt;Debt Projections (scenario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0T15:51:40&lt;/scrFileTime&gt;&#10;&lt;imageInformation&gt;&#10; &lt;dontScaleUp&gt;no&lt;/dontScaleUp&gt;&#10;&lt;/imageInformation&gt;&#10;&lt;url&gt;&lt;/url&gt;&#10;&lt;basedocguid&gt;{33C68021-45DA-4023-8625-6020C89AD52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173431"/>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w:t>
            </w:r>
            <w:r>
              <w:rPr>
                <w:noProof/>
                <w:sz w:val="13"/>
                <w:szCs w:val="13"/>
              </w:rPr>
              <w:t>European Commission, Debt Sustainability Monitor 2017</w:t>
            </w:r>
          </w:p>
        </w:tc>
      </w:tr>
    </w:tbl>
    <w:p w:rsidR="00D329F2" w:rsidRDefault="008D7727">
      <w:pPr>
        <w:rPr>
          <w:noProof/>
        </w:rPr>
      </w:pPr>
      <w:r>
        <w:rPr>
          <w:b/>
          <w:noProof/>
        </w:rPr>
        <w:t>The UK faces medium fiscal risks in the long term.</w:t>
      </w:r>
      <w:r>
        <w:rPr>
          <w:noProof/>
        </w:rPr>
        <w:t xml:space="preserve"> The Commission’s long-term sustainability gap indicator (the S2 indicator (</w:t>
      </w:r>
      <w:r>
        <w:rPr>
          <w:noProof/>
          <w:vertAlign w:val="superscript"/>
        </w:rPr>
        <w:footnoteReference w:id="17"/>
      </w:r>
      <w:r>
        <w:rPr>
          <w:noProof/>
        </w:rPr>
        <w:t xml:space="preserve">)) shows that an upfront fiscal adjustment of 3.4 pps. of GDP would be </w:t>
      </w:r>
      <w:r>
        <w:rPr>
          <w:noProof/>
        </w:rPr>
        <w:t>needed to ensure the long-term sustainability of public finances. This is due to the projected impact of age-related public spending (contribution of 3.4 pps. of GDP), with the initial budgetary position (determined by the structural primary balance and de</w:t>
      </w:r>
      <w:r>
        <w:rPr>
          <w:noProof/>
        </w:rPr>
        <w:t>bt level in the final year of the Commission’s forecast) having a slightly positive contribution (0.1 pps. of GDP). Of the contribution of age-related spending, 1.4 pps. and 1.1 pps. of GDP relate to pensions and healthcare, respectively.</w:t>
      </w:r>
    </w:p>
    <w:p w:rsidR="00D329F2" w:rsidRDefault="008D7727">
      <w:pPr>
        <w:pStyle w:val="Heading"/>
        <w:rPr>
          <w:noProof/>
        </w:rPr>
      </w:pPr>
      <w:r>
        <w:rPr>
          <w:noProof/>
        </w:rPr>
        <w:t>Healthcare</w:t>
      </w:r>
    </w:p>
    <w:p w:rsidR="00D329F2" w:rsidRDefault="008D7727">
      <w:pPr>
        <w:rPr>
          <w:noProof/>
        </w:rPr>
      </w:pPr>
      <w:r>
        <w:rPr>
          <w:noProof/>
        </w:rPr>
        <w:t>The he</w:t>
      </w:r>
      <w:r>
        <w:rPr>
          <w:noProof/>
        </w:rPr>
        <w:t>althcare system remains under financial pressure and spending in this area contributes to long-term risks to the sustainability of public finances. In its 2017 Autumn Budget and further announcements since, the government increased its allocation of curren</w:t>
      </w:r>
      <w:r>
        <w:rPr>
          <w:noProof/>
        </w:rPr>
        <w:t>t and capital spending to the National Health Service (NHS) in England for the coming years. According to NHS England (2018), this will contribute to real-term revenue growth of 2.4 % in 2018-2019. However, adjusted for population growth and ageing, revenu</w:t>
      </w:r>
      <w:r>
        <w:rPr>
          <w:noProof/>
        </w:rPr>
        <w:t>es are expected to be 1.4 % higher (in real terms) in 2018-2019 and to fall by 0.8 % in 2019-2020. This follows an extended period of low revenue growth, with the Institute for Fiscal Studies estimating that revenues grew by 1.1 % per year in real terms be</w:t>
      </w:r>
      <w:r>
        <w:rPr>
          <w:noProof/>
        </w:rPr>
        <w:t>tween 2009-2010 and 2015-2016, compared to an historical average of 4.1 %. This has contributed to increased pressure on healthcare services (see Section 3.3) and a corresponding decline in performance against key access targets (National Audit Office, 201</w:t>
      </w:r>
      <w:r>
        <w:rPr>
          <w:noProof/>
        </w:rPr>
        <w:t>8). As discussed above, expenditure on health care is expected to give rise to a fiscal sustainability challenge in the long term.</w:t>
      </w:r>
    </w:p>
    <w:p w:rsidR="00D329F2" w:rsidRDefault="008D7727">
      <w:pPr>
        <w:pStyle w:val="Heading"/>
        <w:rPr>
          <w:noProof/>
        </w:rPr>
      </w:pPr>
      <w:r>
        <w:rPr>
          <w:noProof/>
        </w:rPr>
        <w:t>Fiscal frameworks</w:t>
      </w:r>
    </w:p>
    <w:p w:rsidR="00D329F2" w:rsidRDefault="008D7727">
      <w:pPr>
        <w:rPr>
          <w:noProof/>
        </w:rPr>
      </w:pPr>
      <w:r>
        <w:rPr>
          <w:b/>
          <w:noProof/>
        </w:rPr>
        <w:t>In the 2017 Autumn Budget, the UK confirmed the fiscal rules adopted in the 2016 Autumn Statement.</w:t>
      </w:r>
      <w:r>
        <w:rPr>
          <w:noProof/>
        </w:rPr>
        <w:t xml:space="preserve"> In contr</w:t>
      </w:r>
      <w:r>
        <w:rPr>
          <w:noProof/>
        </w:rPr>
        <w:t>ast, the UK changed its fiscal rules every year between 2014 and 2016. According to the OBR (2017b), the government has a greater than 50 % chance of meeting its fiscal targets, which include a structural deficit below 2 % of GDP by 2020-2021. This is desp</w:t>
      </w:r>
      <w:r>
        <w:rPr>
          <w:noProof/>
        </w:rPr>
        <w:t>ite an announced slowing of the pace of fiscal consolidation and takes account of planned further cuts in real spending on public services (in per capita terms). The OBR highlighted that the recent decision by the Office for National Statistics to reclassi</w:t>
      </w:r>
      <w:r>
        <w:rPr>
          <w:noProof/>
        </w:rPr>
        <w:t>fy English housing associations outside the public sector, thus reducing public-sector debt, contributed to its positive assessment.</w:t>
      </w:r>
    </w:p>
    <w:p w:rsidR="00D329F2" w:rsidRDefault="008D7727">
      <w:pPr>
        <w:rPr>
          <w:noProof/>
        </w:rPr>
      </w:pPr>
      <w:r>
        <w:rPr>
          <w:b/>
          <w:noProof/>
        </w:rPr>
        <w:t>In its 2017 fiscal risks report, the OBR analysed a number of downside risks that could lead to the UK not complying with i</w:t>
      </w:r>
      <w:r>
        <w:rPr>
          <w:b/>
          <w:noProof/>
        </w:rPr>
        <w:t>ts fiscal rules.</w:t>
      </w:r>
      <w:r>
        <w:rPr>
          <w:noProof/>
        </w:rPr>
        <w:t xml:space="preserve"> The report noted that even small changes to estimated potential GDP growth can have significant adverse effects on public finances over time. On the revenue side, it identified the emergence of evasion-related tax shortfalls and a possible</w:t>
      </w:r>
      <w:r>
        <w:rPr>
          <w:noProof/>
        </w:rPr>
        <w:t xml:space="preserve"> slowdown in the growth of tax bases as specific budgetary risks. Spending pressures in the areas of welfare and health/social care were identified as the main risks on the expenditure side.</w:t>
      </w:r>
    </w:p>
    <w:p w:rsidR="00D329F2" w:rsidRDefault="00D329F2">
      <w:pPr>
        <w:rPr>
          <w:noProof/>
        </w:rPr>
        <w:sectPr w:rsidR="00D329F2">
          <w:headerReference w:type="even" r:id="rId69"/>
          <w:headerReference w:type="default" r:id="rId70"/>
          <w:footerReference w:type="even" r:id="rId71"/>
          <w:footerReference w:type="default" r:id="rId72"/>
          <w:headerReference w:type="first" r:id="rId73"/>
          <w:footerReference w:type="first" r:id="rId7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329F2" w:rsidRDefault="008D7727">
      <w:pPr>
        <w:pStyle w:val="SectionTitleFramed6"/>
        <w:framePr w:wrap="notBeside"/>
        <w:rPr>
          <w:noProof/>
        </w:rPr>
      </w:pPr>
      <w:bookmarkStart w:id="25" w:name="_Toc505334099"/>
      <w:r>
        <w:rPr>
          <w:noProof/>
        </w:rPr>
        <w:t>3.2.</w:t>
      </w:r>
      <w:r>
        <w:rPr>
          <w:noProof/>
        </w:rPr>
        <w:tab/>
        <w:t>Financial sector and housing</w:t>
      </w:r>
      <w:bookmarkEnd w:id="25"/>
    </w:p>
    <w:p w:rsidR="00D329F2" w:rsidRDefault="008D7727">
      <w:pPr>
        <w:pStyle w:val="NumberedHeading1"/>
        <w:tabs>
          <w:tab w:val="left" w:pos="567"/>
        </w:tabs>
        <w:rPr>
          <w:noProof/>
        </w:rPr>
      </w:pPr>
      <w:r>
        <w:rPr>
          <w:noProof/>
        </w:rPr>
        <w:t>3.2.1.</w:t>
      </w:r>
      <w:r>
        <w:rPr>
          <w:noProof/>
        </w:rPr>
        <w:tab/>
        <w:t xml:space="preserve">financial sector developments </w:t>
      </w:r>
    </w:p>
    <w:p w:rsidR="00D329F2" w:rsidRDefault="008D7727">
      <w:pPr>
        <w:pStyle w:val="Heading"/>
        <w:rPr>
          <w:noProof/>
        </w:rPr>
      </w:pPr>
      <w:r>
        <w:rPr>
          <w:noProof/>
        </w:rPr>
        <w:t>Importance of financial services and banking</w:t>
      </w:r>
    </w:p>
    <w:p w:rsidR="00D329F2" w:rsidRDefault="008D7727">
      <w:pPr>
        <w:rPr>
          <w:noProof/>
        </w:rPr>
      </w:pPr>
      <w:r>
        <w:rPr>
          <w:b/>
          <w:noProof/>
        </w:rPr>
        <w:t>The UK is one of the world’s leading financial centr</w:t>
      </w:r>
      <w:r>
        <w:rPr>
          <w:b/>
          <w:noProof/>
        </w:rPr>
        <w:t>es, with the sector's assets representing around 10 times the country’s GDP.</w:t>
      </w:r>
      <w:r>
        <w:rPr>
          <w:noProof/>
        </w:rPr>
        <w:t xml:space="preserve"> The sector is dominated by banks, whose total assets accounted for 380 % of GDP at end-2016. Given its large size, improving the financial sector</w:t>
      </w:r>
      <w:r>
        <w:rPr>
          <w:b/>
          <w:noProof/>
        </w:rPr>
        <w:t>’</w:t>
      </w:r>
      <w:r>
        <w:rPr>
          <w:noProof/>
        </w:rPr>
        <w:t xml:space="preserve">s resilience since the financial </w:t>
      </w:r>
      <w:r>
        <w:rPr>
          <w:noProof/>
        </w:rPr>
        <w:t xml:space="preserve">crisis has been important for both the domestic and global economies. </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26" w:name="_Toc507256302"/>
            <w:r>
              <w:rPr>
                <w:noProof/>
              </w:rPr>
              <w:t>Graph 3.2.1:</w:t>
            </w:r>
            <w:r>
              <w:rPr>
                <w:b/>
                <w:noProof/>
              </w:rPr>
              <w:tab/>
              <w:t>Financing of non-financial corporates (NFCs)</w:t>
            </w:r>
            <w:bookmarkEnd w:id="26"/>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031C75CA" wp14:editId="75DF79A1">
                  <wp:extent cx="2597595" cy="2440702"/>
                  <wp:effectExtent l="0" t="0" r="0" b="0"/>
                  <wp:docPr id="62" name="Picture 62" descr="&lt;nbr&gt;&lt;GETTEXTFROMWORD&gt;&lt;/nbr&gt;&#10;&lt;title&gt;&lt;GETTEXTFROMWORD&gt;&lt;/title&gt;&#10;&lt;id&gt;0f62dd12-040b-4a0a-a949-aa011ce631d6&lt;/id&gt;&#10;&lt;srcType&gt;EXCEL&lt;/srcType&gt;&#10;&lt;srcPath&gt;\\net1\Ci\Public\2017 CRs\2018 European semester\28 UK\Revised Second Draft\Graphs&lt;/srcPath&gt;&#10;&lt;srcName&gt;3.2.1. Finance.xlsx&lt;/srcName&gt;&#10;&lt;type&gt;graph&lt;/type&gt;&#10; &lt;srcSheet&gt;NFC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2T11:45:22&lt;/scrFileTime&gt;&#10;&lt;imageInformation&gt;&#10; &lt;dontScaleUp&gt;no&lt;/dontScaleUp&gt;&#10;&lt;/imageInformation&gt;&#10;&lt;url&gt;&lt;/url&gt;&#10;&lt;basedocguid&gt;{5684860A-F569-491D-9379-4AD6AFBA7E6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440702"/>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European Central Bank, AMECO</w:t>
            </w:r>
          </w:p>
        </w:tc>
      </w:tr>
    </w:tbl>
    <w:p w:rsidR="00D329F2" w:rsidRDefault="008D7727">
      <w:pPr>
        <w:rPr>
          <w:noProof/>
        </w:rPr>
      </w:pPr>
      <w:r>
        <w:rPr>
          <w:b/>
          <w:noProof/>
        </w:rPr>
        <w:t xml:space="preserve">Despite the large size of the banking sector, non-financial corporates are less </w:t>
      </w:r>
      <w:r>
        <w:rPr>
          <w:b/>
          <w:noProof/>
        </w:rPr>
        <w:t>reliant on bank credit than the EU average.</w:t>
      </w:r>
      <w:r>
        <w:rPr>
          <w:noProof/>
        </w:rPr>
        <w:t xml:space="preserve"> At the end of 2016, loans from monetary financial institutions to non-financial corporates were around 20 % of GDP, around half the EU average (Graph </w:t>
      </w:r>
      <w:r>
        <w:rPr>
          <w:noProof/>
        </w:rPr>
        <w:fldChar w:fldCharType="begin"/>
      </w:r>
      <w:r>
        <w:rPr>
          <w:noProof/>
        </w:rPr>
        <w:instrText xml:space="preserve"> QUOTE "3.2.1"</w:instrText>
      </w:r>
      <w:r>
        <w:rPr>
          <w:noProof/>
        </w:rPr>
        <w:fldChar w:fldCharType="begin">
          <w:fldData xml:space="preserve">QwBSAE8AUwBTAFIARQBGAEUAUgBFAE4AQwBFACoARwBSAEEAUABIACoAMABmADYAMgBkAGQAMQAy
AC0AMAA0ADAAYgAtADQAYQAwAGEALQBhADkANAA5AC0AYQBhADAAMQAxAGMAZQA2ADMAMQBkADYA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3.2.1</w:t>
      </w:r>
      <w:r>
        <w:rPr>
          <w:noProof/>
        </w:rPr>
        <w:fldChar w:fldCharType="end"/>
      </w:r>
      <w:r>
        <w:rPr>
          <w:noProof/>
        </w:rPr>
        <w:t>). By contrast, listed shares represented around 75 % of GDP, approximately 20 pps. higher than the EU average. Venture capital financing plays a more significant role than in other EU countrie</w:t>
      </w:r>
      <w:r>
        <w:rPr>
          <w:noProof/>
        </w:rPr>
        <w:t>s, standing at 3.3 % of GDP in 2015 (compared to an EU average of 2.4 %). This financing mix makes UK companies less vulnerable to changes in the availability of bank credit related to the economic cycle. Bank credit to domestic households is more substant</w:t>
      </w:r>
      <w:r>
        <w:rPr>
          <w:noProof/>
        </w:rPr>
        <w:t xml:space="preserve">ial, at about 65 % of GDP at end-2016. Its strong growth in recent years poses some risks to financial stability (see below). </w:t>
      </w:r>
    </w:p>
    <w:p w:rsidR="00D329F2" w:rsidRDefault="008D7727">
      <w:pPr>
        <w:rPr>
          <w:noProof/>
        </w:rPr>
      </w:pPr>
      <w:r>
        <w:rPr>
          <w:b/>
          <w:noProof/>
        </w:rPr>
        <w:t>UK banks have continued to strengthen their capital positions.</w:t>
      </w:r>
      <w:r>
        <w:rPr>
          <w:noProof/>
        </w:rPr>
        <w:t xml:space="preserve"> The banking sector’s aggregate Tier 1 capital ratio (i.e. the rati</w:t>
      </w:r>
      <w:r>
        <w:rPr>
          <w:noProof/>
        </w:rPr>
        <w:t xml:space="preserve">o of core equity capital to total risk-weighted assets) has increased by more than 600 bps since 2010, partly due to increased regulatory requirements. The ratio reached 16.7 % of risk-weighted assets in September 2017, comparing favourably to other large </w:t>
      </w:r>
      <w:r>
        <w:rPr>
          <w:noProof/>
        </w:rPr>
        <w:t xml:space="preserve">EU countries (Graph </w:t>
      </w:r>
      <w:r>
        <w:rPr>
          <w:noProof/>
        </w:rPr>
        <w:fldChar w:fldCharType="begin"/>
      </w:r>
      <w:r>
        <w:rPr>
          <w:noProof/>
        </w:rPr>
        <w:instrText xml:space="preserve"> QUOTE "3.2.2"</w:instrText>
      </w:r>
      <w:r>
        <w:rPr>
          <w:noProof/>
        </w:rPr>
        <w:fldChar w:fldCharType="begin">
          <w:fldData xml:space="preserve">QwBSAE8AUwBTAFIARQBGAEUAUgBFAE4AQwBFACoARwBSAEEAUABIACoAMwA4AGMAZQBiADEANQA5
AC0AMgA1ADMAMgAtADQAMQBmAGEALQA4ADEAMgBlAC0AZgA4AGYAZQA1ADUAMQAwADkAYgAwADQA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3.2.2</w:t>
      </w:r>
      <w:r>
        <w:rPr>
          <w:noProof/>
        </w:rPr>
        <w:fldChar w:fldCharType="end"/>
      </w:r>
      <w:r>
        <w:rPr>
          <w:noProof/>
        </w:rPr>
        <w:t>). In 2017, the Bank of England’s Financial Policy Committee strengthened the application of mortgage affordabi</w:t>
      </w:r>
      <w:r>
        <w:rPr>
          <w:noProof/>
        </w:rPr>
        <w:t>lity tests and raised the minimum leverage requirement (i.e. the ratio of core equity capital and total consolidated assets). This follows previous measures to prevent excessive growth in the number of highly-indebted households with mortgage loans.</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27" w:name="_Toc507256303"/>
            <w:r>
              <w:rPr>
                <w:noProof/>
              </w:rPr>
              <w:t>Graph </w:t>
            </w:r>
            <w:r>
              <w:rPr>
                <w:noProof/>
              </w:rPr>
              <w:t>3.2.2:</w:t>
            </w:r>
            <w:r>
              <w:rPr>
                <w:b/>
                <w:noProof/>
              </w:rPr>
              <w:tab/>
              <w:t>Tier 1 ratio (%): domestic banking groups and stand-alone banks (2016 Q4)</w:t>
            </w:r>
            <w:bookmarkEnd w:id="27"/>
          </w:p>
        </w:tc>
      </w:tr>
      <w:tr w:rsidR="00D329F2">
        <w:trPr>
          <w:cantSplit/>
        </w:trPr>
        <w:tc>
          <w:tcPr>
            <w:tcW w:w="4110" w:type="dxa"/>
            <w:shd w:val="clear" w:color="auto" w:fill="auto"/>
          </w:tcPr>
          <w:p w:rsidR="00D329F2" w:rsidRDefault="008D7727">
            <w:pPr>
              <w:pStyle w:val="GraphShape"/>
              <w:jc w:val="both"/>
              <w:rPr>
                <w:noProof/>
                <w:sz w:val="2"/>
              </w:rPr>
            </w:pPr>
            <w:r>
              <w:rPr>
                <w:noProof/>
                <w:sz w:val="2"/>
                <w:lang w:eastAsia="en-GB"/>
              </w:rPr>
              <w:drawing>
                <wp:inline distT="0" distB="0" distL="0" distR="0" wp14:anchorId="194A1EFD" wp14:editId="4B937FF0">
                  <wp:extent cx="2597595" cy="2374112"/>
                  <wp:effectExtent l="0" t="0" r="0" b="0"/>
                  <wp:docPr id="63" name="Picture 63" descr="&lt;nbr&gt;&lt;GETTEXTFROMWORD&gt;&lt;/nbr&gt;&#10;&lt;title&gt;&lt;GETTEXTFROMWORD&gt;&lt;/title&gt;&#10;&lt;id&gt;38ceb159-2532-41fa-812e-f8fe55109b04&lt;/id&gt;&#10;&lt;srcType&gt;EXCEL&lt;/srcType&gt;&#10;&lt;srcPath&gt;\\net1\Ci\Public\2017 CRs\2018 European semester\28 UK\Revised Second Draft\Graphs&lt;/srcPath&gt;&#10;&lt;srcName&gt;3.2.1. Finance.xlsx&lt;/srcName&gt;&#10;&lt;type&gt;graph&lt;/type&gt;&#10; &lt;srcSheet&gt;ECBTier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2T11:45:22&lt;/scrFileTime&gt;&#10;&lt;imageInformation&gt;&#10; &lt;dontScaleUp&gt;no&lt;/dontScaleUp&gt;&#10;&lt;/imageInformation&gt;&#10;&lt;url&gt;&lt;/url&gt;&#10;&lt;basedocguid&gt;{5684860A-F569-491D-9379-4AD6AFBA7E6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374112"/>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European Central Bank</w:t>
            </w:r>
          </w:p>
        </w:tc>
      </w:tr>
    </w:tbl>
    <w:p w:rsidR="00D329F2" w:rsidRDefault="008D7727">
      <w:pPr>
        <w:rPr>
          <w:noProof/>
        </w:rPr>
      </w:pPr>
      <w:r>
        <w:rPr>
          <w:b/>
          <w:noProof/>
        </w:rPr>
        <w:t>Nevertheless, bank profitability remains weak and may pose a risk to the resilience of the sector.</w:t>
      </w:r>
      <w:r>
        <w:rPr>
          <w:noProof/>
        </w:rPr>
        <w:t xml:space="preserve"> Although weak profitability is also a problem for EU banks in general, UK banks’ profitability has continued to underperform both relative to historic levels and the EU average (Graph </w:t>
      </w:r>
      <w:r>
        <w:rPr>
          <w:noProof/>
        </w:rPr>
        <w:fldChar w:fldCharType="begin"/>
      </w:r>
      <w:r>
        <w:rPr>
          <w:noProof/>
        </w:rPr>
        <w:instrText xml:space="preserve"> QUOTE "3.2.3"</w:instrText>
      </w:r>
      <w:r>
        <w:rPr>
          <w:noProof/>
        </w:rPr>
        <w:fldChar w:fldCharType="begin">
          <w:fldData xml:space="preserve">QwBSAE8AUwBTAFIARQBGAEUAUgBFAE4AQwBFACoARwBSAEEAUABIACoAYQA5AGMAMABkAGIANQA1
AC0AMwBjADYAMgAtADQAZABmADUALQBhADAAMwAzAC0AOQAyADQAZgBkADUANQAyAGQAMwBhADEA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3.2.3</w:t>
      </w:r>
      <w:r>
        <w:rPr>
          <w:noProof/>
        </w:rPr>
        <w:fldChar w:fldCharType="end"/>
      </w:r>
      <w:r>
        <w:rPr>
          <w:noProof/>
        </w:rPr>
        <w:t>). Profitability was harmed by one-off factors in 2016, such as misconduct (</w:t>
      </w:r>
      <w:r>
        <w:rPr>
          <w:noProof/>
          <w:vertAlign w:val="superscript"/>
        </w:rPr>
        <w:footnoteReference w:id="18"/>
      </w:r>
      <w:r>
        <w:rPr>
          <w:noProof/>
        </w:rPr>
        <w:t>) and restructuring costs, but improved in the first quarter of 2017. Nevertheless, weak profitability poses a potential chall</w:t>
      </w:r>
      <w:r>
        <w:rPr>
          <w:noProof/>
        </w:rPr>
        <w:t xml:space="preserve">enge for the capacity of the sector to strengthen its capital base via retained earnings. </w:t>
      </w:r>
    </w:p>
    <w:p w:rsidR="00D329F2" w:rsidRDefault="008D7727">
      <w:pPr>
        <w:rPr>
          <w:noProof/>
        </w:rPr>
      </w:pPr>
      <w:r>
        <w:rPr>
          <w:noProof/>
        </w:rPr>
        <w:t>The UK financial sector is facing important challenges related to Brexit and in particular the fact that the UK will become a third country in March 2019. This may h</w:t>
      </w:r>
      <w:r>
        <w:rPr>
          <w:noProof/>
        </w:rPr>
        <w:t xml:space="preserve">ave a significant impact on the possibility of UK financial institutions to provide their services throughout the EU. </w:t>
      </w:r>
    </w:p>
    <w:p w:rsidR="00D329F2" w:rsidRDefault="008D7727">
      <w:pPr>
        <w:rPr>
          <w:noProof/>
        </w:rPr>
      </w:pPr>
      <w:r>
        <w:rPr>
          <w:b/>
          <w:noProof/>
        </w:rPr>
        <w:t>The Bank of England’s 2017 stress tests indicate that banks remain resilient.</w:t>
      </w:r>
      <w:r>
        <w:rPr>
          <w:noProof/>
        </w:rPr>
        <w:t xml:space="preserve"> The results of the tests indicate that the banking system w</w:t>
      </w:r>
      <w:r>
        <w:rPr>
          <w:noProof/>
        </w:rPr>
        <w:t>ould weather a simultaneous recession in the UK and globally, as well as further misconduct costs. In the first 2 years of stress, major UK banks would incur losses of around GBP 50 billion (EUR 57 billion), which could be absorbed by existing capital buff</w:t>
      </w:r>
      <w:r>
        <w:rPr>
          <w:noProof/>
        </w:rPr>
        <w:t xml:space="preserve">ers. For the first time since the stress tests started in 2014, no single bank came out in need of further capital. Nevertheless, the Bank of England stated that a combination of a ‘disorderly’ Brexit and severe domestic and global conditions could result </w:t>
      </w:r>
      <w:r>
        <w:rPr>
          <w:noProof/>
        </w:rPr>
        <w:t>in a worse outcome, with a negative impact on lending. The Bank of England also stated that banks had been ‘underestimating the losses on consumer credit exposures that could occur in a severe stress’ (see Section 1).</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28" w:name="_Toc507256304"/>
            <w:r>
              <w:rPr>
                <w:noProof/>
              </w:rPr>
              <w:t>Graph 3.2.3:</w:t>
            </w:r>
            <w:r>
              <w:rPr>
                <w:b/>
                <w:noProof/>
              </w:rPr>
              <w:tab/>
              <w:t>Return on equity (%): dom</w:t>
            </w:r>
            <w:r>
              <w:rPr>
                <w:b/>
                <w:noProof/>
              </w:rPr>
              <w:t>estic banking groups and stand-alone banks (2016 Q4)</w:t>
            </w:r>
            <w:bookmarkEnd w:id="28"/>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74A00495" wp14:editId="39DCC5A2">
                  <wp:extent cx="2597595" cy="2436430"/>
                  <wp:effectExtent l="0" t="0" r="0" b="0"/>
                  <wp:docPr id="64" name="Picture 64" descr="&lt;nbr&gt;&lt;GETTEXTFROMWORD&gt;&lt;/nbr&gt;&#10;&lt;title&gt;&lt;GETTEXTFROMWORD&gt;&lt;/title&gt;&#10;&lt;id&gt;a9c0db55-3c62-4df5-a033-924fd552d3a1&lt;/id&gt;&#10;&lt;srcType&gt;EXCEL&lt;/srcType&gt;&#10;&lt;srcPath&gt;\\net1\Ci\Public\2017 CRs\2018 European semester\28 UK\Revised Second Draft\Graphs&lt;/srcPath&gt;&#10;&lt;srcName&gt;3.2.1. Finance.xlsx&lt;/srcName&gt;&#10;&lt;type&gt;graph&lt;/type&gt;&#10; &lt;srcSheet&gt;ECBRo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2T11:45:22&lt;/scrFileTime&gt;&#10;&lt;imageInformation&gt;&#10; &lt;dontScaleUp&gt;no&lt;/dontScaleUp&gt;&#10;&lt;/imageInformation&gt;&#10;&lt;url&gt;&lt;/url&gt;&#10;&lt;basedocguid&gt;{5684860A-F569-491D-9379-4AD6AFBA7E6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European Central Bank</w:t>
            </w:r>
          </w:p>
        </w:tc>
      </w:tr>
    </w:tbl>
    <w:p w:rsidR="00D329F2" w:rsidRDefault="008D7727">
      <w:pPr>
        <w:pStyle w:val="Heading"/>
        <w:rPr>
          <w:noProof/>
        </w:rPr>
      </w:pPr>
      <w:r>
        <w:rPr>
          <w:noProof/>
        </w:rPr>
        <w:t>Macro-prudential regulation</w:t>
      </w:r>
    </w:p>
    <w:p w:rsidR="00D329F2" w:rsidRDefault="008D7727">
      <w:pPr>
        <w:rPr>
          <w:noProof/>
        </w:rPr>
      </w:pPr>
      <w:r>
        <w:rPr>
          <w:b/>
          <w:noProof/>
        </w:rPr>
        <w:t>The UK authorities have continued to implement measures aimed at strengthening financial stability and at mitigating risks associated with t</w:t>
      </w:r>
      <w:r>
        <w:rPr>
          <w:b/>
          <w:noProof/>
        </w:rPr>
        <w:t>he UK’s withdrawal from the EU.</w:t>
      </w:r>
      <w:r>
        <w:rPr>
          <w:noProof/>
        </w:rPr>
        <w:t xml:space="preserve"> In 2017, the Bank of England’s Financial Policy Committee announced measures to prevent excessive growth in the number of highly-indebted households with mortgage loans. It strengthened the application of mortgage affordabil</w:t>
      </w:r>
      <w:r>
        <w:rPr>
          <w:noProof/>
        </w:rPr>
        <w:t xml:space="preserve">ity tests, announced changes to banks’ leverage ratios and announced its intention to raise the minimum leverage requirement (i.e. the ratio of core equity capital and total consolidated assets). The Bank of England further implemented the bank resolution </w:t>
      </w:r>
      <w:r>
        <w:rPr>
          <w:noProof/>
        </w:rPr>
        <w:t>framework by publishing, in May 2017, estimates of the amount of ‘minimum requirements for own funds and eligible liabilities for bail-in’ (i.e. the MREL) for the largest UK banks. The Bank of England, the Financial Conduct Authority and the Prudential Reg</w:t>
      </w:r>
      <w:r>
        <w:rPr>
          <w:noProof/>
        </w:rPr>
        <w:t>ulation Authority are working with banks and other financial sector institutions to ensure adequate contingency planning for the UK’s withdrawal from the EU. The government plans to ensure an adequate legal and regulatory framework for financial services v</w:t>
      </w:r>
      <w:r>
        <w:rPr>
          <w:noProof/>
        </w:rPr>
        <w:t>ia the EU Withdrawal Bill and related secondary legislation.</w:t>
      </w:r>
    </w:p>
    <w:p w:rsidR="00D329F2" w:rsidRDefault="008D7727">
      <w:pPr>
        <w:pStyle w:val="NumberedHeading1"/>
        <w:tabs>
          <w:tab w:val="left" w:pos="567"/>
        </w:tabs>
        <w:rPr>
          <w:noProof/>
        </w:rPr>
      </w:pPr>
      <w:r>
        <w:rPr>
          <w:noProof/>
        </w:rPr>
        <w:t>3.2.2.</w:t>
      </w:r>
      <w:r>
        <w:rPr>
          <w:noProof/>
        </w:rPr>
        <w:tab/>
        <w:t xml:space="preserve"> housing sector</w:t>
      </w:r>
    </w:p>
    <w:p w:rsidR="00D329F2" w:rsidRDefault="008D7727">
      <w:pPr>
        <w:rPr>
          <w:noProof/>
        </w:rPr>
      </w:pPr>
      <w:r>
        <w:rPr>
          <w:b/>
          <w:noProof/>
        </w:rPr>
        <w:t>While house price growth has slowed in recent quarters, affordability has continued to decline amid low wage growth.</w:t>
      </w:r>
      <w:r>
        <w:rPr>
          <w:noProof/>
        </w:rPr>
        <w:t xml:space="preserve"> As discussed in previous country reports, rapid house p</w:t>
      </w:r>
      <w:r>
        <w:rPr>
          <w:noProof/>
        </w:rPr>
        <w:t xml:space="preserve">rice growth in recent years has led to a significant deterioration in affordability. This has contributed to declining rates of home ownership, particularly among younger age cohorts. With inadequate and inelastic housing supply commonly identified as the </w:t>
      </w:r>
      <w:r>
        <w:rPr>
          <w:noProof/>
        </w:rPr>
        <w:t>main factors driving rapid house price growth, particularly in urban areas, the government is pursuing a range of measures aimed at boosting supply.</w:t>
      </w:r>
    </w:p>
    <w:p w:rsidR="00D329F2" w:rsidRDefault="008D7727">
      <w:pPr>
        <w:pStyle w:val="Heading"/>
        <w:rPr>
          <w:noProof/>
        </w:rPr>
      </w:pPr>
      <w:r>
        <w:rPr>
          <w:noProof/>
        </w:rPr>
        <w:t>Housing demand and affordability</w:t>
      </w:r>
    </w:p>
    <w:p w:rsidR="00D329F2" w:rsidRDefault="008D7727">
      <w:pPr>
        <w:rPr>
          <w:noProof/>
        </w:rPr>
      </w:pPr>
      <w:r>
        <w:rPr>
          <w:b/>
          <w:noProof/>
        </w:rPr>
        <w:t>House price growth has slowed since mid-2016, although it remains positive</w:t>
      </w:r>
      <w:r>
        <w:rPr>
          <w:b/>
          <w:noProof/>
        </w:rPr>
        <w:t>.</w:t>
      </w:r>
      <w:r>
        <w:rPr>
          <w:noProof/>
        </w:rPr>
        <w:t xml:space="preserve"> According to the Office for National Statistics, nominal house price growth (year-on-year) fell from 8.2 % year-on-year in June 2016 to around 4.8 % for 2017 as a whole. The slowdown has been particularly marked in London, with growth falling from 11.6 %</w:t>
      </w:r>
      <w:r>
        <w:rPr>
          <w:noProof/>
        </w:rPr>
        <w:t xml:space="preserve"> in June 2016 to around 3.2 % in 2017 (year-on-year). Real house price growth has also fallen, from 7 % year-on-year in the first quarter of 2016 to 2.7 % year-on-year in the second quarter of 2017 (Graph </w:t>
      </w:r>
      <w:r>
        <w:rPr>
          <w:noProof/>
        </w:rPr>
        <w:fldChar w:fldCharType="begin"/>
      </w:r>
      <w:r>
        <w:rPr>
          <w:noProof/>
        </w:rPr>
        <w:instrText xml:space="preserve"> QUOTE "3.2.4"</w:instrText>
      </w:r>
      <w:r>
        <w:rPr>
          <w:noProof/>
        </w:rPr>
        <w:fldChar w:fldCharType="begin">
          <w:fldData xml:space="preserve">QwBSAE8AUwBTAFIARQBGAEUAUgBFAE4AQwBFACoARwBSAEEAUABIACoAYQA1AGIANwA5AGMANAA3
AC0ANgBjADEAMAAtADQAYQBjADEALQBhAGIAMgAyAC0ANgAyADgANwBhAGUAOABiADcAZQA4ADQA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3.2.4</w:t>
      </w:r>
      <w:r>
        <w:rPr>
          <w:noProof/>
        </w:rPr>
        <w:fldChar w:fldCharType="end"/>
      </w:r>
      <w:r>
        <w:rPr>
          <w:noProof/>
        </w:rPr>
        <w:t>). Private housing rental price growth has also fallen (in Great Britain), from 2.6 % year-on-year in January 2016 to 1.2 % year-on-year in December 2017, below the rate of consumer p</w:t>
      </w:r>
      <w:r>
        <w:rPr>
          <w:noProof/>
        </w:rPr>
        <w:t>rice inflation. These factors point to a weakening of housing demand, despite a mild pick-up in the growth of lending secured on dwellings and the low cost of mortgages. At the same time, price-to-rent and price-to-income ratios continued to point to overv</w:t>
      </w:r>
      <w:r>
        <w:rPr>
          <w:noProof/>
        </w:rPr>
        <w:t>aluation of around 25 % in the housing market at the end of 2016, while a model-based assessment pointed to overvaluation of around 10 % (see Philiponnet and Turrini, 2017).</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29" w:name="_Toc507256305"/>
            <w:r>
              <w:rPr>
                <w:noProof/>
              </w:rPr>
              <w:t>Graph 3.2.4:</w:t>
            </w:r>
            <w:r>
              <w:rPr>
                <w:b/>
                <w:noProof/>
              </w:rPr>
              <w:tab/>
              <w:t>Real house price growth (Q1-2007 to Q2-2017)</w:t>
            </w:r>
            <w:bookmarkEnd w:id="29"/>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6596BB48" wp14:editId="629B946B">
                  <wp:extent cx="2596551" cy="2242868"/>
                  <wp:effectExtent l="0" t="0" r="0" b="0"/>
                  <wp:docPr id="65" name="Picture 65" descr="&lt;nbr&gt;&lt;GETTEXTFROMWORD&gt;&lt;/nbr&gt;&#10;&lt;title&gt;&lt;GETTEXTFROMWORD&gt;&lt;/title&gt;&#10;&lt;id&gt;a5b79c47-6c10-4ac1-ab22-6287ae8b7e84&lt;/id&gt;&#10;&lt;srcType&gt;EXCEL&lt;/srcType&gt;&#10;&lt;srcPath&gt;\\net1\Ci\Public\2017 CRs\2018 European semester\28 UK\Revised Second Draft\Graphs&lt;/srcPath&gt;&#10;&lt;srcName&gt;3.2.2. Housing.xlsx&lt;/srcName&gt;&#10;&lt;type&gt;graph&lt;/type&gt;&#10; &lt;srcSheet&gt;Real House Pric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0:29:58&lt;/scrFileTime&gt;&#10;&lt;imageInformation&gt;&#10; &lt;dontScaleUp&gt;no&lt;/dontScaleUp&gt;&#10;&lt;/imageInformation&gt;&#10;&lt;url&gt;&lt;/url&gt;&#10;&lt;basedocguid&gt;{5684860A-F569-491D-9379-4AD6AFBA7E6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97595" cy="224377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Eurostat, OECD, Bank for International Settlements, Commission calculations</w:t>
            </w:r>
          </w:p>
        </w:tc>
      </w:tr>
    </w:tbl>
    <w:p w:rsidR="00D329F2" w:rsidRDefault="008D7727">
      <w:pPr>
        <w:rPr>
          <w:noProof/>
        </w:rPr>
      </w:pPr>
      <w:r>
        <w:rPr>
          <w:b/>
          <w:noProof/>
        </w:rPr>
        <w:t>Forward-looking indicators point to further demand-side weakness in the coming quarters.</w:t>
      </w:r>
      <w:r>
        <w:rPr>
          <w:noProof/>
        </w:rPr>
        <w:t xml:space="preserve"> Survey data from the Royal Institution of Chartered Surveyors suggest a further softening of demand and house sales across the UK in the coming months, with the ‘New Buyers Enquiries’ indicator remaining in negative territory for most of 2017. These data </w:t>
      </w:r>
      <w:r>
        <w:rPr>
          <w:noProof/>
        </w:rPr>
        <w:t>also show that near-term expectations for prices are negative, particularly for London and other regions in England, although price growth is still expected in most regions over a 12-month period. As discussed in Section 1, Commission forecasts (based on a</w:t>
      </w:r>
      <w:r>
        <w:rPr>
          <w:noProof/>
        </w:rPr>
        <w:t>n error-correction model) point to subdued real house price developments between 2017 and 2019.</w:t>
      </w:r>
    </w:p>
    <w:p w:rsidR="00D329F2" w:rsidRDefault="008D7727">
      <w:pPr>
        <w:rPr>
          <w:noProof/>
        </w:rPr>
      </w:pPr>
      <w:r>
        <w:rPr>
          <w:b/>
          <w:noProof/>
        </w:rPr>
        <w:t>Despite the slowdown in house price growth, housing affordability in the UK continues to deteriorate.</w:t>
      </w:r>
      <w:r>
        <w:rPr>
          <w:noProof/>
        </w:rPr>
        <w:t xml:space="preserve"> House price growth has remained higher than wage growth, w</w:t>
      </w:r>
      <w:r>
        <w:rPr>
          <w:noProof/>
        </w:rPr>
        <w:t xml:space="preserve">hich has been modest (see Section 1). According to data from the Office for National Statistics, the ratio of median house prices to median annual earnings rose to a new high of 7.7 in 2016, compared to just 3.5 in 1997 and an average of 6.5 in the period </w:t>
      </w:r>
      <w:r>
        <w:rPr>
          <w:noProof/>
        </w:rPr>
        <w:t xml:space="preserve">2000 to 2016. </w:t>
      </w:r>
    </w:p>
    <w:p w:rsidR="00D329F2" w:rsidRDefault="008D7727">
      <w:pPr>
        <w:rPr>
          <w:noProof/>
        </w:rPr>
      </w:pPr>
      <w:r>
        <w:rPr>
          <w:b/>
          <w:noProof/>
        </w:rPr>
        <w:t>The increase in house prices over the last decade has contributed to a decline in the home ownership rate, particularly among younger age cohorts.</w:t>
      </w:r>
      <w:r>
        <w:rPr>
          <w:noProof/>
        </w:rPr>
        <w:t xml:space="preserve"> The rate of home ownership fell from 70.9 % in 2003 to 62.9 % in 2015-2016, with a more substa</w:t>
      </w:r>
      <w:r>
        <w:rPr>
          <w:noProof/>
        </w:rPr>
        <w:t>ntial fall for those aged between 25 and 34. According to the Redfern Review (2016), this decline has been largely driven by three factors: (i) the higher cost of, and restrictions on, mortgage lending for first-time buyers since 2008; (ii) higher real hou</w:t>
      </w:r>
      <w:r>
        <w:rPr>
          <w:noProof/>
        </w:rPr>
        <w:t>se prices; and (iii) declining relative incomes for younger age cohorts compared to older age cohorts. Declining housing affordability for younger age cohorts reduces those households’ ability to accumulate wealth and, as discussed by the Resolution Founda</w:t>
      </w:r>
      <w:r>
        <w:rPr>
          <w:noProof/>
        </w:rPr>
        <w:t>tion (2017b), increases intergenerational inequality. According to the same study, households headed by 30 year olds spend a higher proportion of disposable income on housing costs, are more likely to live in overcrowded accommodation, and have longer comm</w:t>
      </w:r>
      <w:r>
        <w:rPr>
          <w:noProof/>
        </w:rPr>
        <w:t xml:space="preserve">ute times than previous cohorts. </w:t>
      </w:r>
    </w:p>
    <w:p w:rsidR="00D329F2" w:rsidRDefault="008D7727">
      <w:pPr>
        <w:rPr>
          <w:noProof/>
        </w:rPr>
      </w:pPr>
      <w:r>
        <w:rPr>
          <w:b/>
          <w:noProof/>
        </w:rPr>
        <w:t>Deteriorating affordability in the private rental sector is likely to have contributed to an increase in homelessness.</w:t>
      </w:r>
      <w:r>
        <w:rPr>
          <w:noProof/>
        </w:rPr>
        <w:t xml:space="preserve"> According to the National Audit Office (2017a), changes in the affordability of private rental accommod</w:t>
      </w:r>
      <w:r>
        <w:rPr>
          <w:noProof/>
        </w:rPr>
        <w:t>ation explains around one fifth of the variation in homelessness across local authority areas in the period between 2012-2013 and 2016-2017. Indeed, according to the same report, the ending of private-sector tenancies has become the single largest driver o</w:t>
      </w:r>
      <w:r>
        <w:rPr>
          <w:noProof/>
        </w:rPr>
        <w:t xml:space="preserve">f homelessness in England. As discussed in Section 3.3, the incidence of homelessness has been on an increasing trend in England. </w:t>
      </w:r>
    </w:p>
    <w:p w:rsidR="00D329F2" w:rsidRDefault="008D7727">
      <w:pPr>
        <w:pStyle w:val="Heading"/>
        <w:rPr>
          <w:noProof/>
        </w:rPr>
      </w:pPr>
      <w:r>
        <w:rPr>
          <w:noProof/>
        </w:rPr>
        <w:t>Housing supply and constraints</w:t>
      </w:r>
    </w:p>
    <w:p w:rsidR="00D329F2" w:rsidRDefault="008D7727">
      <w:pPr>
        <w:rPr>
          <w:noProof/>
        </w:rPr>
      </w:pPr>
      <w:r>
        <w:rPr>
          <w:b/>
          <w:noProof/>
        </w:rPr>
        <w:t>Annual housing supply has increased in recent years.</w:t>
      </w:r>
      <w:r>
        <w:rPr>
          <w:noProof/>
        </w:rPr>
        <w:t xml:space="preserve"> After bottoming out in the early part of </w:t>
      </w:r>
      <w:r>
        <w:rPr>
          <w:noProof/>
        </w:rPr>
        <w:t xml:space="preserve">this decade, housing starts have steadily increased in recent years (Graph </w:t>
      </w:r>
      <w:r>
        <w:rPr>
          <w:noProof/>
        </w:rPr>
        <w:fldChar w:fldCharType="begin"/>
      </w:r>
      <w:r>
        <w:rPr>
          <w:noProof/>
        </w:rPr>
        <w:instrText xml:space="preserve"> QUOTE "3.2.5"</w:instrText>
      </w:r>
      <w:r>
        <w:rPr>
          <w:noProof/>
        </w:rPr>
        <w:fldChar w:fldCharType="begin">
          <w:fldData xml:space="preserve">QwBSAE8AUwBTAFIARQBGAEUAUgBFAE4AQwBFACoARwBSAEEAUABIACoAMQA2ADAANQAyADEAYwA4
AC0AMgA4ADQAOQAtADQAOQBjAGIALQBiADgAMwBiAC0AOAA0ADUAMgBmAGYAZAA2ADgAZgA0ADEA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3.2.5</w:t>
      </w:r>
      <w:r>
        <w:rPr>
          <w:noProof/>
        </w:rPr>
        <w:fldChar w:fldCharType="end"/>
      </w:r>
      <w:r>
        <w:rPr>
          <w:noProof/>
        </w:rPr>
        <w:t xml:space="preserve">) to reach around 168 000 in England in 2016, reflecting </w:t>
      </w:r>
      <w:r>
        <w:rPr>
          <w:noProof/>
        </w:rPr>
        <w:t>a cyclical recovery and the impact of government policy reforms. Net additions to the housing stock, which account for conversions and demolitions, rose to around 217 000 units in England in 2016-2017, compared to around 190 000 in 2015-2016. Indicators of</w:t>
      </w:r>
      <w:r>
        <w:rPr>
          <w:noProof/>
        </w:rPr>
        <w:t xml:space="preserve"> supply were quite strong in the first half of 2017, with housing starts in England rising to 93 310, compared to 84 480 in the first half of 2016. This is in contrast to an overall slowdown in construction output in recent quarters (see Section 3.4).</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30" w:name="_Toc507256306"/>
            <w:r>
              <w:rPr>
                <w:noProof/>
              </w:rPr>
              <w:t>Grap</w:t>
            </w:r>
            <w:r>
              <w:rPr>
                <w:noProof/>
              </w:rPr>
              <w:t>h 3.2.5:</w:t>
            </w:r>
            <w:r>
              <w:rPr>
                <w:b/>
                <w:noProof/>
              </w:rPr>
              <w:tab/>
              <w:t>Quarterly housing starts and completions (England) (2002-2017)</w:t>
            </w:r>
            <w:bookmarkEnd w:id="30"/>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0599AFDB" wp14:editId="73FC1602">
                  <wp:extent cx="2593045" cy="2406770"/>
                  <wp:effectExtent l="0" t="0" r="0" b="0"/>
                  <wp:docPr id="66" name="Picture 66" descr="&lt;nbr&gt;&lt;GETTEXTFROMWORD&gt;&lt;/nbr&gt;&#10;&lt;title&gt;&lt;GETTEXTFROMWORD&gt;&lt;/title&gt;&#10;&lt;id&gt;160521c8-2849-49cb-b83b-8452ffd68f41&lt;/id&gt;&#10;&lt;srcType&gt;EXCEL&lt;/srcType&gt;&#10;&lt;srcPath&gt;\\net1\Ci\Public\2017 CRs\2018 European semester\28 UK\Revised Second Draft\Graphs&lt;/srcPath&gt;&#10;&lt;srcName&gt;3.2.2. Housing.xlsx&lt;/srcName&gt;&#10;&lt;type&gt;graph&lt;/type&gt;&#10; &lt;srcSheet&gt;Housing StartsComplet&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0:29:58&lt;/scrFileTime&gt;&#10;&lt;imageInformation&gt;&#10; &lt;dontScaleUp&gt;no&lt;/dontScaleUp&gt;&#10;&lt;/imageInformation&gt;&#10;&lt;url&gt;&lt;/url&gt;&#10;&lt;basedocguid&gt;{5684860A-F569-491D-9379-4AD6AFBA7E6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2597595" cy="2410993"/>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jc w:val="center"/>
              <w:rPr>
                <w:noProof/>
              </w:rPr>
            </w:pPr>
            <w:r>
              <w:rPr>
                <w:b/>
                <w:i/>
                <w:noProof/>
              </w:rPr>
              <w:t>Source:</w:t>
            </w:r>
            <w:r>
              <w:rPr>
                <w:noProof/>
              </w:rPr>
              <w:t xml:space="preserve"> Department for Communities and Local Government</w:t>
            </w:r>
          </w:p>
        </w:tc>
      </w:tr>
    </w:tbl>
    <w:p w:rsidR="00D329F2" w:rsidRDefault="008D7727">
      <w:pPr>
        <w:rPr>
          <w:noProof/>
        </w:rPr>
      </w:pPr>
      <w:r>
        <w:rPr>
          <w:b/>
          <w:noProof/>
        </w:rPr>
        <w:t>Despite these increases, new housing supply continues to fall short of estimates of housing needs.</w:t>
      </w:r>
      <w:r>
        <w:rPr>
          <w:noProof/>
        </w:rPr>
        <w:t xml:space="preserve"> Most studies estimate that the housing stock needs to increase by between 200 000 and 300 000 units a year to meet new housing needs (generally measured as estimated household formations) and to address the existing shortfall. For example, the House of Lo</w:t>
      </w:r>
      <w:r>
        <w:rPr>
          <w:noProof/>
        </w:rPr>
        <w:t>rds (2016) states that ‘300 000 new homes are needed annually for the foreseeable future’ to ‘address the housing crisis’.</w:t>
      </w:r>
    </w:p>
    <w:p w:rsidR="00D329F2" w:rsidRDefault="008D7727">
      <w:pPr>
        <w:rPr>
          <w:noProof/>
        </w:rPr>
      </w:pPr>
      <w:r>
        <w:rPr>
          <w:b/>
          <w:noProof/>
        </w:rPr>
        <w:t>As discussed in previous country reports, a number of factors contribute to inelastic housing supply.</w:t>
      </w:r>
      <w:r>
        <w:rPr>
          <w:noProof/>
        </w:rPr>
        <w:t xml:space="preserve"> Regulation of the land market i</w:t>
      </w:r>
      <w:r>
        <w:rPr>
          <w:noProof/>
        </w:rPr>
        <w:t>s strict and complex, limiting the amount and location of land available for residential development. In particular, there are limits placed on residential development around major urban centres, due to the government’s ‘green belt’ policy aimed at contain</w:t>
      </w:r>
      <w:r>
        <w:rPr>
          <w:noProof/>
        </w:rPr>
        <w:t>ing urban sprawl. The process of obtaining planning permission is complex and costly, although the government has undertaken a number of initiatives in this area in recent years. Finally, the residential construction sector has become increasingly concentr</w:t>
      </w:r>
      <w:r>
        <w:rPr>
          <w:noProof/>
        </w:rPr>
        <w:t>ated, with the high cost of land and complexity of the planning system creating barriers to entry for smaller firms. The dominance of the housebuilding industry by a small number of large firms may limit its ability to adequately respond to high demand for</w:t>
      </w:r>
      <w:r>
        <w:rPr>
          <w:noProof/>
        </w:rPr>
        <w:t xml:space="preserve"> housing by increasing supply. The building sector also reports that it faces difficulties in securing a sufficient number of skilled workers.</w:t>
      </w:r>
    </w:p>
    <w:p w:rsidR="00D329F2" w:rsidRDefault="008D7727">
      <w:pPr>
        <w:pStyle w:val="Heading"/>
        <w:rPr>
          <w:noProof/>
        </w:rPr>
      </w:pPr>
      <w:r>
        <w:rPr>
          <w:noProof/>
        </w:rPr>
        <w:t>The government’s policy response</w:t>
      </w:r>
    </w:p>
    <w:p w:rsidR="00D329F2" w:rsidRDefault="008D7727">
      <w:pPr>
        <w:rPr>
          <w:noProof/>
        </w:rPr>
      </w:pPr>
      <w:r>
        <w:rPr>
          <w:b/>
          <w:noProof/>
        </w:rPr>
        <w:t xml:space="preserve">The UK government recognises the problem of insufficient housing supply and has </w:t>
      </w:r>
      <w:r>
        <w:rPr>
          <w:b/>
          <w:noProof/>
        </w:rPr>
        <w:t>set ambitious objectives for increasing supply in the coming years.</w:t>
      </w:r>
      <w:r>
        <w:rPr>
          <w:noProof/>
        </w:rPr>
        <w:t xml:space="preserve"> As set out in the Department for Communities and Local Government’s ‘Single Departmental Plan’ (2016), the UK government has two broad objectives for the housing market: (i) to drive up ho</w:t>
      </w:r>
      <w:r>
        <w:rPr>
          <w:noProof/>
        </w:rPr>
        <w:t>using supply; and (ii) to increase home ownership. It has become increasingly ambitious in its policy objectives, with a commitment to deliver 1 million more homes (net additions) between 2015 and 2020 recently being complemented by the objective of increa</w:t>
      </w:r>
      <w:r>
        <w:rPr>
          <w:noProof/>
        </w:rPr>
        <w:t>sing annual supply to 300 000 homes by the mid-2020s.</w:t>
      </w:r>
    </w:p>
    <w:p w:rsidR="00D329F2" w:rsidRDefault="008D7727">
      <w:pPr>
        <w:rPr>
          <w:noProof/>
        </w:rPr>
      </w:pPr>
      <w:r>
        <w:rPr>
          <w:b/>
          <w:noProof/>
        </w:rPr>
        <w:t>The government has set out its policy objectives in a white paper entitled ‘Fixing Our Broken Housing Market’ (February 2017) and announced a range of new measures in its 2017 Autumn Budget.</w:t>
      </w:r>
      <w:r>
        <w:rPr>
          <w:noProof/>
        </w:rPr>
        <w:t xml:space="preserve"> The white p</w:t>
      </w:r>
      <w:r>
        <w:rPr>
          <w:noProof/>
        </w:rPr>
        <w:t>aper sets out four broad policy objectives for the housing market. These are: (i) increasing the supply of land available for house building; (ii) accelerating the rate of house completions; (iii) encouraging more diversity in the building industry; and (i</w:t>
      </w:r>
      <w:r>
        <w:rPr>
          <w:noProof/>
        </w:rPr>
        <w:t>v) providing support to people across different tenures, and to prevent homelessness. The measures announced in the 2017 Autumn Budget build on these priorities and include further reforms to the planning system, such as strengthening of central government</w:t>
      </w:r>
      <w:r>
        <w:rPr>
          <w:noProof/>
        </w:rPr>
        <w:t>’s powers to direct local authorities to produce a ‘local plan’ to address local housing needs. Measures also include increased funding for the Housing Infrastructure Fund, which provides funding to local authorities to build housing-related public infrast</w:t>
      </w:r>
      <w:r>
        <w:rPr>
          <w:noProof/>
        </w:rPr>
        <w:t xml:space="preserve">ructure, and the Home Building Fund, which provides financing to private-sector home builders. </w:t>
      </w:r>
    </w:p>
    <w:p w:rsidR="00D329F2" w:rsidRDefault="008D7727">
      <w:pPr>
        <w:rPr>
          <w:noProof/>
        </w:rPr>
      </w:pPr>
      <w:r>
        <w:rPr>
          <w:b/>
          <w:noProof/>
        </w:rPr>
        <w:t>Measures adopted by the government in recent years largely seek to incentivise the private sector to build more homes.</w:t>
      </w:r>
      <w:r>
        <w:rPr>
          <w:noProof/>
        </w:rPr>
        <w:t xml:space="preserve"> It is noteworthy, however, that while hou</w:t>
      </w:r>
      <w:r>
        <w:rPr>
          <w:noProof/>
        </w:rPr>
        <w:t xml:space="preserve">se building activity by the private sector has broadly followed macroeconomic cyclical trends over the last 50 years, there has not been substantial variation around an average annual output of around 130 000 units. Indeed, during this period, total house </w:t>
      </w:r>
      <w:r>
        <w:rPr>
          <w:noProof/>
        </w:rPr>
        <w:t xml:space="preserve">building only approached the government’s current target of 300 000 per year when local authorities made a significant contribution, although data do not include conversions. </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31" w:name="_Toc507256307"/>
            <w:r>
              <w:rPr>
                <w:noProof/>
              </w:rPr>
              <w:t>Graph 3.2.6:</w:t>
            </w:r>
            <w:r>
              <w:rPr>
                <w:b/>
                <w:noProof/>
              </w:rPr>
              <w:tab/>
              <w:t>House building in England by tenure (1969-2017)</w:t>
            </w:r>
            <w:bookmarkEnd w:id="31"/>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28E5466F" wp14:editId="7ECBE5F7">
                  <wp:extent cx="2597595" cy="2441487"/>
                  <wp:effectExtent l="0" t="0" r="0" b="0"/>
                  <wp:docPr id="67" name="Picture 67" descr="&lt;nbr&gt;&lt;GETTEXTFROMWORD&gt;&lt;/nbr&gt;&#10;&lt;title&gt;&lt;GETTEXTFROMWORD&gt;&lt;/title&gt;&#10;&lt;id&gt;fe7f7b60-20ce-4dde-a4e6-1433c450be1b&lt;/id&gt;&#10;&lt;srcType&gt;EXCEL&lt;/srcType&gt;&#10;&lt;srcPath&gt;\\net1\Ci\Public\2017 CRs\2018 European semester\28 UK\Revised Second Draft\Graphs&lt;/srcPath&gt;&#10;&lt;srcName&gt;3.2.2. Housing.xlsx&lt;/srcName&gt;&#10;&lt;type&gt;graph&lt;/type&gt;&#10; &lt;srcSheet&gt;House building&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0:29:58&lt;/scrFileTime&gt;&#10;&lt;imageInformation&gt;&#10; &lt;dontScaleUp&gt;no&lt;/dontScaleUp&gt;&#10;&lt;/imageInformation&gt;&#10;&lt;url&gt;&lt;/url&gt;&#10;&lt;basedocguid&gt;{5684860A-F569-491D-9379-4AD6AFBA7E6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97595" cy="2441487"/>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Departm</w:t>
            </w:r>
            <w:r>
              <w:rPr>
                <w:noProof/>
              </w:rPr>
              <w:t>ent of Communities and Local Government</w:t>
            </w:r>
          </w:p>
        </w:tc>
      </w:tr>
    </w:tbl>
    <w:p w:rsidR="00D329F2" w:rsidRDefault="008D7727">
      <w:pPr>
        <w:rPr>
          <w:noProof/>
        </w:rPr>
      </w:pPr>
      <w:r>
        <w:rPr>
          <w:b/>
          <w:noProof/>
        </w:rPr>
        <w:t>The public sector currently has a limited role in home building.</w:t>
      </w:r>
      <w:r>
        <w:rPr>
          <w:noProof/>
        </w:rPr>
        <w:t xml:space="preserve"> In its 2017 Autumn Budget, the government announced an increase of GBP 1 billion (EUR 1.1 billion) in the ‘housing revenue account’ borrowing caps and invited local authorities in areas of ‘high affordability pressure’ to bid for increased caps. This will</w:t>
      </w:r>
      <w:r>
        <w:rPr>
          <w:noProof/>
        </w:rPr>
        <w:t xml:space="preserve"> allow local authorities to build more homes. However, it will have a marginal effect on housing supply, with local authorities constructing an average of around 1 500 homes annually since 2010. Indeed, the public sector has not made a significant contribu</w:t>
      </w:r>
      <w:r>
        <w:rPr>
          <w:noProof/>
        </w:rPr>
        <w:t xml:space="preserve">tion to house building since the 1980s (Graph </w:t>
      </w:r>
      <w:r>
        <w:rPr>
          <w:noProof/>
        </w:rPr>
        <w:fldChar w:fldCharType="begin"/>
      </w:r>
      <w:r>
        <w:rPr>
          <w:noProof/>
        </w:rPr>
        <w:instrText xml:space="preserve"> QUOTE "3.2.6"</w:instrText>
      </w:r>
      <w:r>
        <w:rPr>
          <w:noProof/>
        </w:rPr>
        <w:fldChar w:fldCharType="begin">
          <w:fldData xml:space="preserve">QwBSAE8AUwBTAFIARQBGAEUAUgBFAE4AQwBFACoARwBSAEEAUABIACoAZgBlADcAZgA3AGIANgAw
AC0AMgAwAGMAZQAtADQAZABkAGUALQBhADQAZQA2AC0AMQA0ADMAMwBjADQANQAwAGIAZQAxAGIA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3.2.6</w:t>
      </w:r>
      <w:r>
        <w:rPr>
          <w:noProof/>
        </w:rPr>
        <w:fldChar w:fldCharType="end"/>
      </w:r>
      <w:r>
        <w:rPr>
          <w:noProof/>
        </w:rPr>
        <w:t>). At the same time, the public sector can undertake an important facilitator role in</w:t>
      </w:r>
      <w:r>
        <w:rPr>
          <w:noProof/>
        </w:rPr>
        <w:t xml:space="preserve"> the development of new housing projects through the roll-out of necessary infrastructure, such as in the Oxford-Milton Keynes-Cambridge corridor project (see Section 3.4). As stated by the National Audit Office (2017b), the European Investment Bank provid</w:t>
      </w:r>
      <w:r>
        <w:rPr>
          <w:noProof/>
        </w:rPr>
        <w:t>es funding for development of social housing in the UK through a number of channels, including through funding to housing associations.</w:t>
      </w:r>
    </w:p>
    <w:p w:rsidR="00D329F2" w:rsidRDefault="008D7727">
      <w:pPr>
        <w:rPr>
          <w:noProof/>
        </w:rPr>
      </w:pPr>
      <w:r>
        <w:rPr>
          <w:b/>
          <w:noProof/>
        </w:rPr>
        <w:t>Demand-side measures aimed at increasing home ownership may put upward pressure on prices and further reduce affordabili</w:t>
      </w:r>
      <w:r>
        <w:rPr>
          <w:b/>
          <w:noProof/>
        </w:rPr>
        <w:t>ty for lower income cohorts.</w:t>
      </w:r>
      <w:r>
        <w:rPr>
          <w:noProof/>
        </w:rPr>
        <w:t xml:space="preserve"> In its 2017 Autumn Budget, the government announced two key measures aimed at increasing home ownership: an extension of the ‘help to buy’ equity loan scheme and an exemption of first-time buyers from stamp duty (subject to sev</w:t>
      </w:r>
      <w:r>
        <w:rPr>
          <w:noProof/>
        </w:rPr>
        <w:t xml:space="preserve">eral caps). With respect to the ‘help to buy’ equity loan scheme, analysis from the Resolution Foundation (Resolution Foundation, 2017c) shows that price growth of new-build properties has outpaced that of properties sold in the secondary market in recent </w:t>
      </w:r>
      <w:r>
        <w:rPr>
          <w:noProof/>
        </w:rPr>
        <w:t xml:space="preserve">quarters. This suggests that the scheme may have contributed to more rapid price growth in this segment of the market. Similarly, in its latest economic and fiscal outlook (November 2017), the Office for Budgetary Responsibility states that it expects the </w:t>
      </w:r>
      <w:r>
        <w:rPr>
          <w:noProof/>
        </w:rPr>
        <w:t>stamp duty exemption to increase house prices by around 0.3 %, with most of the effect occurring in 2018. Both schemes may also suffer from elevated deadweight costs as regards their efficiency, with many buyers that benefit from them likely to have purcha</w:t>
      </w:r>
      <w:r>
        <w:rPr>
          <w:noProof/>
        </w:rPr>
        <w:t>sed homes in the absence of support.</w:t>
      </w:r>
    </w:p>
    <w:p w:rsidR="00D329F2" w:rsidRDefault="008D7727">
      <w:pPr>
        <w:rPr>
          <w:noProof/>
        </w:rPr>
      </w:pPr>
      <w:r>
        <w:rPr>
          <w:b/>
          <w:noProof/>
        </w:rPr>
        <w:t>In its white paper, the government confirmed its commitment to maintaining existing protections for the ‘green belt’, thus limiting the possibility of residential construction around existing urban areas.</w:t>
      </w:r>
      <w:r>
        <w:rPr>
          <w:noProof/>
        </w:rPr>
        <w:t xml:space="preserve"> The ‘green bel</w:t>
      </w:r>
      <w:r>
        <w:rPr>
          <w:noProof/>
        </w:rPr>
        <w:t>t’ consists of banks of land in which there are additional, specific restrictions on residential development. These areas generally surround urban centres and it is estimated that they cover 13 % of the total land area of England. In its white paper, the g</w:t>
      </w:r>
      <w:r>
        <w:rPr>
          <w:noProof/>
        </w:rPr>
        <w:t xml:space="preserve">overnment refers to the success of this policy in containing urban sprawl, as well as to achieving wider environmental and societal objectives. At the same time, it has been criticised, including by organisations such as the OECD, for limiting the ability </w:t>
      </w:r>
      <w:r>
        <w:rPr>
          <w:noProof/>
        </w:rPr>
        <w:t>of housing supply to respond to demand and to shifts in the UK's economic geography. According to Mace et al. (2016), the Metropolitan Green Belt, which surrounds London, has contributed to a housing crisis there by ‘locking up’ developable land, thus forc</w:t>
      </w:r>
      <w:r>
        <w:rPr>
          <w:noProof/>
        </w:rPr>
        <w:t>ing development to take place outside of the area covered and increasing commuting times.</w:t>
      </w:r>
    </w:p>
    <w:p w:rsidR="00D329F2" w:rsidRDefault="00D329F2">
      <w:pPr>
        <w:rPr>
          <w:noProof/>
        </w:rPr>
        <w:sectPr w:rsidR="00D329F2">
          <w:headerReference w:type="even" r:id="rId81"/>
          <w:headerReference w:type="default" r:id="rId82"/>
          <w:footerReference w:type="even" r:id="rId83"/>
          <w:footerReference w:type="default" r:id="rId84"/>
          <w:headerReference w:type="first" r:id="rId85"/>
          <w:footerReference w:type="first" r:id="rId8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329F2" w:rsidRDefault="008D7727">
      <w:pPr>
        <w:pStyle w:val="SectionTitleFramed7"/>
        <w:framePr w:wrap="notBeside"/>
        <w:rPr>
          <w:noProof/>
        </w:rPr>
      </w:pPr>
      <w:bookmarkStart w:id="32" w:name="_Toc505334100"/>
      <w:r>
        <w:rPr>
          <w:noProof/>
        </w:rPr>
        <w:t>3.3.</w:t>
      </w:r>
      <w:r>
        <w:rPr>
          <w:noProof/>
        </w:rPr>
        <w:tab/>
        <w:t>Labour ma</w:t>
      </w:r>
      <w:r>
        <w:rPr>
          <w:noProof/>
        </w:rPr>
        <w:t>rket, education and social policies</w:t>
      </w:r>
      <w:bookmarkEnd w:id="32"/>
    </w:p>
    <w:p w:rsidR="00D329F2" w:rsidRDefault="008D7727">
      <w:pPr>
        <w:pStyle w:val="Heading"/>
        <w:rPr>
          <w:noProof/>
        </w:rPr>
      </w:pPr>
      <w:r>
        <w:rPr>
          <w:noProof/>
        </w:rPr>
        <w:t>Labour market</w:t>
      </w:r>
    </w:p>
    <w:p w:rsidR="00D329F2" w:rsidRDefault="008D7727">
      <w:pPr>
        <w:rPr>
          <w:noProof/>
        </w:rPr>
      </w:pPr>
      <w:r>
        <w:rPr>
          <w:b/>
          <w:noProof/>
        </w:rPr>
        <w:t xml:space="preserve">While the UK has a good record in creating jobs, there is concern about the quality of some of those jobs, particularly in more atypical forms of work. </w:t>
      </w:r>
      <w:r>
        <w:rPr>
          <w:noProof/>
        </w:rPr>
        <w:t>The UK has a high employment rate (20-64) of 78.2% and</w:t>
      </w:r>
      <w:r>
        <w:rPr>
          <w:noProof/>
        </w:rPr>
        <w:t xml:space="preserve"> an unemployment rate of 4.2%. However, while over 60 % of total employment is full-time and permanent, a large proportion of the employment growth is related to atypical employment such as part-time work, self-employment, including bogus self-employment, </w:t>
      </w:r>
      <w:r>
        <w:rPr>
          <w:noProof/>
        </w:rPr>
        <w:t>and new forms of employment. A particular issue for consideration is the ‘gig economy’, estimated to represent around 1.3 million workers or 4 % of those in employment. The UK Government recently commissioned and published a review of ‘Modern Employment Pr</w:t>
      </w:r>
      <w:r>
        <w:rPr>
          <w:noProof/>
        </w:rPr>
        <w:t>actices’ and intends to publish a response to the report in 2018.</w:t>
      </w:r>
    </w:p>
    <w:p w:rsidR="00D329F2" w:rsidRDefault="008D7727">
      <w:pPr>
        <w:rPr>
          <w:noProof/>
        </w:rPr>
      </w:pPr>
      <w:r>
        <w:rPr>
          <w:b/>
          <w:noProof/>
        </w:rPr>
        <w:t>In-work progression is limited.</w:t>
      </w:r>
      <w:r>
        <w:rPr>
          <w:noProof/>
        </w:rPr>
        <w:t xml:space="preserve"> A recent Social Mobility Commission report notes that ensuring routes to progress in work is especially important for those on lower incomes. Of those low pai</w:t>
      </w:r>
      <w:r>
        <w:rPr>
          <w:noProof/>
        </w:rPr>
        <w:t xml:space="preserve">d in 2006, only 17 % were found to have made a sustained move onto higher wages by 2016 (Social Mobility Commission, 2017). An ongoing propensity for a substantial number of workers to either get stuck on or fail to permanently exit from low wages, points </w:t>
      </w:r>
      <w:r>
        <w:rPr>
          <w:noProof/>
        </w:rPr>
        <w:t>to the need for reforms in adult learning and upskilling more broadly (see below on skills).</w:t>
      </w:r>
    </w:p>
    <w:p w:rsidR="00D329F2" w:rsidRDefault="008D7727">
      <w:pPr>
        <w:rPr>
          <w:noProof/>
        </w:rPr>
      </w:pPr>
      <w:r>
        <w:rPr>
          <w:b/>
          <w:noProof/>
        </w:rPr>
        <w:t>Inactivity and part-time work due to care responsibilities remain high for women.</w:t>
      </w:r>
      <w:r>
        <w:rPr>
          <w:noProof/>
        </w:rPr>
        <w:t xml:space="preserve"> In 2016, a large share of inactive (28.1%) and part-time working (40.1%) women we</w:t>
      </w:r>
      <w:r>
        <w:rPr>
          <w:noProof/>
        </w:rPr>
        <w:t>re not seeking employment due to them looking after children or incapacitated adults. These figures are among the highest in the EU. This is closely related to the lack of compensated, non-transferable parental leave entitlements for fathers and the insuff</w:t>
      </w:r>
      <w:r>
        <w:rPr>
          <w:noProof/>
        </w:rPr>
        <w:t>icient availability of full-time childcare for children under three (see section on childcare provision).</w:t>
      </w:r>
    </w:p>
    <w:p w:rsidR="00D329F2" w:rsidRDefault="008D7727">
      <w:pPr>
        <w:rPr>
          <w:noProof/>
        </w:rPr>
      </w:pPr>
      <w:r>
        <w:rPr>
          <w:b/>
          <w:noProof/>
        </w:rPr>
        <w:t>The gender pay gap is relatively high.</w:t>
      </w:r>
      <w:r>
        <w:rPr>
          <w:noProof/>
        </w:rPr>
        <w:t xml:space="preserve"> At 20.9 % in 2015, the unadjusted gender pay gap is among the highest in the EU, which may also partly be a con</w:t>
      </w:r>
      <w:r>
        <w:rPr>
          <w:noProof/>
        </w:rPr>
        <w:t>sequence of disrupted careers for women as mentioned above. Women are more likely to be low paid than men and are also far more likely to get stuck on low pay. However, there has been an improvement over the past decades for women (Social Mobility Commissi</w:t>
      </w:r>
      <w:r>
        <w:rPr>
          <w:noProof/>
        </w:rPr>
        <w:t>on, 2017). The UK government has introduced mandatory reporting of gender pay gaps for companies with more than 250 employees. The most recent figures show that the gender overall earnings gap in the UK stood at 45 % (2014), while the gender pension gap st</w:t>
      </w:r>
      <w:r>
        <w:rPr>
          <w:noProof/>
        </w:rPr>
        <w:t>ood at 34.4 % in 2016.</w:t>
      </w:r>
    </w:p>
    <w:p w:rsidR="00D329F2" w:rsidRDefault="008D7727">
      <w:pPr>
        <w:rPr>
          <w:noProof/>
        </w:rPr>
      </w:pPr>
      <w:r>
        <w:rPr>
          <w:b/>
          <w:noProof/>
        </w:rPr>
        <w:t>Disability employment issues have received attention from the government.</w:t>
      </w:r>
      <w:r>
        <w:rPr>
          <w:noProof/>
        </w:rPr>
        <w:t xml:space="preserve"> The disability employment gap in the UK remains large (33.6 pps. vs. the EU average of 25.7 pps., EU-SILC 2015). The UK Government has recently launched a Disa</w:t>
      </w:r>
      <w:r>
        <w:rPr>
          <w:noProof/>
        </w:rPr>
        <w:t>bility Employment Strategy. Targets include getting a million more disabled people in work by 2027 and providing a more comprehensive offering encompassing welfare, health, local authority and employer initiatives. The new Work and Health Programme to help</w:t>
      </w:r>
      <w:r>
        <w:rPr>
          <w:noProof/>
        </w:rPr>
        <w:t xml:space="preserve"> disabled people into employment commenced in November 2017.</w:t>
      </w:r>
    </w:p>
    <w:p w:rsidR="00D329F2" w:rsidRDefault="008D7727">
      <w:pPr>
        <w:rPr>
          <w:noProof/>
        </w:rPr>
      </w:pPr>
      <w:r>
        <w:rPr>
          <w:b/>
          <w:noProof/>
        </w:rPr>
        <w:t>Social dialogue in the UK remains much less structured than in some other EU Member States.</w:t>
      </w:r>
      <w:r>
        <w:rPr>
          <w:noProof/>
        </w:rPr>
        <w:t xml:space="preserve"> Engagement between government, business and unions tends to be ad-hoc and for operational purposes only</w:t>
      </w:r>
      <w:r>
        <w:rPr>
          <w:noProof/>
        </w:rPr>
        <w:t>. For example, as outlined below, business is involved in both the Institute for Apprenticeships and the new National Retraining Scheme, while unions are only involved in the latter.</w:t>
      </w:r>
    </w:p>
    <w:p w:rsidR="00D329F2" w:rsidRDefault="008D7727">
      <w:pPr>
        <w:pStyle w:val="Heading"/>
        <w:rPr>
          <w:noProof/>
        </w:rPr>
      </w:pPr>
      <w:r>
        <w:rPr>
          <w:noProof/>
        </w:rPr>
        <w:t>Skills</w:t>
      </w:r>
    </w:p>
    <w:p w:rsidR="00D329F2" w:rsidRDefault="008D7727">
      <w:pPr>
        <w:rPr>
          <w:noProof/>
        </w:rPr>
      </w:pPr>
      <w:r>
        <w:rPr>
          <w:b/>
          <w:noProof/>
        </w:rPr>
        <w:t>Matching jobs to the skills profile of the workforce (i.e. address</w:t>
      </w:r>
      <w:r>
        <w:rPr>
          <w:b/>
          <w:noProof/>
        </w:rPr>
        <w:t>ing mismatches) and to the needs of particular sectors remains an issue.</w:t>
      </w:r>
      <w:r>
        <w:rPr>
          <w:noProof/>
        </w:rPr>
        <w:t xml:space="preserve"> Business surveys point to skills shortages in certain sectors for both high and low skilled occupations. The European Business Survey responses indicate that about 20-25 % of business</w:t>
      </w:r>
      <w:r>
        <w:rPr>
          <w:noProof/>
        </w:rPr>
        <w:t xml:space="preserve">es in the UK require more skilled labour. This is higher than the EU average of about 14 % and risks being further aggravated depending on the future relationship between the EU and the UK and the mobility of skilled EU workers. At the same time, there is </w:t>
      </w:r>
      <w:r>
        <w:rPr>
          <w:noProof/>
        </w:rPr>
        <w:t>evidence that the number of low-skilled jobs on offer in the UK has remained constant while the proportion of low-skilled workers has decreased. This situation suggests that policies to stimulate demand for skilled workers may be needed to complement the s</w:t>
      </w:r>
      <w:r>
        <w:rPr>
          <w:noProof/>
        </w:rPr>
        <w:t>upply side measures proposed or underway.</w:t>
      </w:r>
    </w:p>
    <w:p w:rsidR="00D329F2" w:rsidRDefault="00D329F2">
      <w:pPr>
        <w:rPr>
          <w:b/>
          <w:noProof/>
        </w:rPr>
        <w:sectPr w:rsidR="00D329F2">
          <w:headerReference w:type="even" r:id="rId87"/>
          <w:headerReference w:type="default" r:id="rId88"/>
          <w:footerReference w:type="even" r:id="rId89"/>
          <w:footerReference w:type="default" r:id="rId90"/>
          <w:headerReference w:type="first" r:id="rId91"/>
          <w:footerReference w:type="first" r:id="rId92"/>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329F2">
        <w:trPr>
          <w:jc w:val="center"/>
        </w:trPr>
        <w:tc>
          <w:tcPr>
            <w:tcW w:w="8721" w:type="dxa"/>
            <w:shd w:val="clear" w:color="auto" w:fill="F7FCFF"/>
          </w:tcPr>
          <w:p w:rsidR="00D329F2" w:rsidRDefault="008D7727">
            <w:pPr>
              <w:pStyle w:val="BoxTitle"/>
              <w:pageBreakBefore/>
              <w:rPr>
                <w:b/>
                <w:noProof/>
              </w:rPr>
            </w:pPr>
            <w:bookmarkStart w:id="33" w:name="_Toc505333669"/>
            <w:r>
              <w:rPr>
                <w:i/>
                <w:noProof/>
              </w:rPr>
              <w:t xml:space="preserve">Box 3.3.1: </w:t>
            </w:r>
            <w:r>
              <w:rPr>
                <w:b/>
                <w:noProof/>
              </w:rPr>
              <w:t xml:space="preserve">Monitoring performance in light of </w:t>
            </w:r>
            <w:r>
              <w:rPr>
                <w:b/>
                <w:noProof/>
              </w:rPr>
              <w:t>the European Pillar of Social Rights</w:t>
            </w:r>
            <w:bookmarkEnd w:id="33"/>
          </w:p>
          <w:p w:rsidR="00D329F2" w:rsidRDefault="008D7727">
            <w:pPr>
              <w:spacing w:after="120" w:line="220" w:lineRule="atLeast"/>
              <w:ind w:right="3"/>
              <w:rPr>
                <w:noProof/>
                <w:sz w:val="18"/>
                <w:szCs w:val="20"/>
              </w:rPr>
            </w:pPr>
            <w:r>
              <w:rPr>
                <w:noProof/>
                <w:sz w:val="18"/>
                <w:szCs w:val="20"/>
              </w:rPr>
              <w:t xml:space="preserve">The European Pillar of Social Rights, proclaimed on 17 November 2017 by the European Parliament, the Council and the European Commission, sets out 20 principles and rights to benefit citizens in the EU. In light of the </w:t>
            </w:r>
            <w:r>
              <w:rPr>
                <w:noProof/>
                <w:sz w:val="18"/>
                <w:szCs w:val="20"/>
              </w:rPr>
              <w:t>legacy of the crisis and changes in our societies driven by population ageing, technological change and new ways of working, the Pillar serves as a compass for a renewed process of convergence towards better working and living conditions.</w:t>
            </w:r>
          </w:p>
          <w:p w:rsidR="00D329F2" w:rsidRDefault="008D7727">
            <w:pPr>
              <w:spacing w:after="220" w:line="220" w:lineRule="atLeast"/>
              <w:ind w:right="85"/>
              <w:rPr>
                <w:rFonts w:eastAsia="Times New Roman"/>
                <w:b/>
                <w:noProof/>
                <w:sz w:val="18"/>
                <w:szCs w:val="20"/>
              </w:rPr>
            </w:pPr>
            <w:r>
              <w:rPr>
                <w:rFonts w:eastAsia="Times New Roman"/>
                <w:noProof/>
                <w:sz w:val="18"/>
                <w:szCs w:val="24"/>
                <w:lang w:eastAsia="en-GB"/>
              </w:rPr>
              <w:drawing>
                <wp:anchor distT="0" distB="0" distL="114300" distR="114300" simplePos="0" relativeHeight="251657216" behindDoc="0" locked="0" layoutInCell="1" allowOverlap="1" wp14:anchorId="6F42262B" wp14:editId="57BF3FF9">
                  <wp:simplePos x="0" y="0"/>
                  <wp:positionH relativeFrom="column">
                    <wp:posOffset>-635</wp:posOffset>
                  </wp:positionH>
                  <wp:positionV relativeFrom="paragraph">
                    <wp:posOffset>24130</wp:posOffset>
                  </wp:positionV>
                  <wp:extent cx="2628265" cy="409702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628265" cy="409702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b/>
                <w:noProof/>
                <w:sz w:val="18"/>
                <w:szCs w:val="20"/>
              </w:rPr>
              <w:t xml:space="preserve">The UK performs </w:t>
            </w:r>
            <w:r>
              <w:rPr>
                <w:rFonts w:eastAsia="Times New Roman"/>
                <w:b/>
                <w:noProof/>
                <w:sz w:val="18"/>
                <w:szCs w:val="20"/>
              </w:rPr>
              <w:t>adequately on the indicators of the Social Scoreboard</w:t>
            </w:r>
            <w:r>
              <w:rPr>
                <w:rStyle w:val="EndnoteReference"/>
                <w:rFonts w:eastAsia="Times New Roman"/>
                <w:b/>
                <w:noProof/>
                <w:sz w:val="18"/>
                <w:szCs w:val="20"/>
              </w:rPr>
              <w:endnoteReference w:id="2"/>
            </w:r>
            <w:r>
              <w:rPr>
                <w:rFonts w:eastAsia="Times New Roman"/>
                <w:b/>
                <w:noProof/>
                <w:sz w:val="18"/>
                <w:szCs w:val="20"/>
              </w:rPr>
              <w:t xml:space="preserve"> supporting the European Pillar of Social Rights. </w:t>
            </w:r>
            <w:r>
              <w:rPr>
                <w:rFonts w:eastAsia="Times New Roman"/>
                <w:noProof/>
                <w:sz w:val="18"/>
                <w:szCs w:val="20"/>
              </w:rPr>
              <w:t>Headline employment and unemployment rates are relatively high. Social transfers (other than pensions) contribute to poverty reduction.</w:t>
            </w:r>
            <w:r>
              <w:rPr>
                <w:rFonts w:eastAsia="Times New Roman"/>
                <w:noProof/>
                <w:sz w:val="18"/>
                <w:szCs w:val="20"/>
                <w:highlight w:val="yellow"/>
              </w:rPr>
              <w:t xml:space="preserve"> </w:t>
            </w:r>
          </w:p>
          <w:p w:rsidR="00D329F2" w:rsidRDefault="008D7727">
            <w:pPr>
              <w:pStyle w:val="BoxText"/>
              <w:rPr>
                <w:noProof/>
              </w:rPr>
            </w:pPr>
            <w:r>
              <w:rPr>
                <w:b/>
                <w:noProof/>
                <w:szCs w:val="20"/>
              </w:rPr>
              <w:t>The UK tax bene</w:t>
            </w:r>
            <w:r>
              <w:rPr>
                <w:b/>
                <w:noProof/>
                <w:szCs w:val="20"/>
              </w:rPr>
              <w:t>fit system performs relatively well in reducing poverty at present, but is at risk of deteriorating.</w:t>
            </w:r>
            <w:r>
              <w:rPr>
                <w:noProof/>
                <w:szCs w:val="20"/>
              </w:rPr>
              <w:t xml:space="preserve"> Social transfers reduced poverty by a considerable 43.4 % in 2016 in the UK. Nevertheless, as discussed in Section 3.3 and previous UK Country Reports, muc</w:t>
            </w:r>
            <w:r>
              <w:rPr>
                <w:noProof/>
                <w:szCs w:val="20"/>
              </w:rPr>
              <w:t>h of the cumulative effect of recent working-age welfare reforms and other cutbacks are expected to take an increasing toll over the next few years, notably in the areas of social protection, minimum income, healthcare, long-term care, childcare and suppor</w:t>
            </w:r>
            <w:r>
              <w:rPr>
                <w:noProof/>
                <w:szCs w:val="20"/>
              </w:rPr>
              <w:t>t to children. The latter, in particular, may come under pressure as a result of restricting means-tested support to a maximum of two children, regardless of family size, from April 2017.</w:t>
            </w:r>
            <w:r>
              <w:rPr>
                <w:noProof/>
              </w:rPr>
              <w:t xml:space="preserve"> </w:t>
            </w:r>
          </w:p>
        </w:tc>
      </w:tr>
    </w:tbl>
    <w:p w:rsidR="00D329F2" w:rsidRDefault="00D329F2">
      <w:pPr>
        <w:spacing w:after="0" w:line="20" w:lineRule="exact"/>
        <w:rPr>
          <w:b/>
          <w:noProof/>
          <w:sz w:val="2"/>
        </w:rPr>
        <w:sectPr w:rsidR="00D329F2">
          <w:headerReference w:type="even" r:id="rId94"/>
          <w:headerReference w:type="default" r:id="rId95"/>
          <w:footerReference w:type="even" r:id="rId96"/>
          <w:footerReference w:type="default" r:id="rId97"/>
          <w:headerReference w:type="first" r:id="rId98"/>
          <w:footerReference w:type="first" r:id="rId99"/>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329F2" w:rsidRDefault="008D7727">
      <w:pPr>
        <w:rPr>
          <w:noProof/>
        </w:rPr>
      </w:pPr>
      <w:r>
        <w:rPr>
          <w:b/>
          <w:noProof/>
        </w:rPr>
        <w:t>Over a quarter of workers in the UK have only low skills, which holds back labour productivity and job quality</w:t>
      </w:r>
      <w:r>
        <w:rPr>
          <w:noProof/>
        </w:rPr>
        <w:t xml:space="preserve"> (see Section 3.4). Even if the </w:t>
      </w:r>
      <w:r>
        <w:rPr>
          <w:noProof/>
        </w:rPr>
        <w:t>disparity between the employment rates of low, medium and high-skilled workers in the UK was one of the lowest in the EU in 2016, in the context of the Upskilling Pathways Recommendation, upskilling and better utilisation of skills among those in low-skill</w:t>
      </w:r>
      <w:r>
        <w:rPr>
          <w:noProof/>
        </w:rPr>
        <w:t>ed jobs could increase productivity, job quality and consequently raise living standards (OECD, 2017). Geographical and sectoral balancing of skills supply with skills demand is a challenge. The high employment rate somewhat obscures the need to develop th</w:t>
      </w:r>
      <w:r>
        <w:rPr>
          <w:noProof/>
        </w:rPr>
        <w:t>e skills and prospects of the current workforce. For example, the UK lacks sufficient skilled ICT professionals.</w:t>
      </w:r>
    </w:p>
    <w:p w:rsidR="00D329F2" w:rsidRDefault="008D7727">
      <w:pPr>
        <w:rPr>
          <w:noProof/>
        </w:rPr>
      </w:pPr>
      <w:r>
        <w:rPr>
          <w:b/>
          <w:noProof/>
        </w:rPr>
        <w:t>There is a great deal of devolution of skills polices in the UK.</w:t>
      </w:r>
      <w:r>
        <w:rPr>
          <w:noProof/>
        </w:rPr>
        <w:t xml:space="preserve"> This is particularly the case for Scotland, Wales and Northern Ireland. As in </w:t>
      </w:r>
      <w:r>
        <w:rPr>
          <w:noProof/>
        </w:rPr>
        <w:t>previous country reports, there is little scope to reflect differentiation in this report. Consequently, the text below, unless otherwise indicated, concerns England only.</w:t>
      </w:r>
    </w:p>
    <w:p w:rsidR="00D329F2" w:rsidRDefault="008D7727">
      <w:pPr>
        <w:rPr>
          <w:noProof/>
        </w:rPr>
      </w:pPr>
      <w:r>
        <w:rPr>
          <w:b/>
          <w:noProof/>
        </w:rPr>
        <w:t>A number of policies are either in progress or have been announced in relation to sk</w:t>
      </w:r>
      <w:r>
        <w:rPr>
          <w:b/>
          <w:noProof/>
        </w:rPr>
        <w:t>ills challenges.</w:t>
      </w:r>
      <w:r>
        <w:rPr>
          <w:noProof/>
        </w:rPr>
        <w:t xml:space="preserve"> Apprenticeship reform has seen the commencement of both the Apprenticeship Levy and of the Institute for Apprenticeships. The introduction of the levy has coincided with a 59 % drop in apprenticeship starts in the final quarter of the 2016</w:t>
      </w:r>
      <w:r>
        <w:rPr>
          <w:noProof/>
        </w:rPr>
        <w:t>-2017 academic year compared with the same quarter in 2015-2016. This reflects the increased engagement required by employers as a result of the reform. However, it also affects the prospects for the achievement of the statutory target of 3 million apprent</w:t>
      </w:r>
      <w:r>
        <w:rPr>
          <w:noProof/>
        </w:rPr>
        <w:t>iceships starts in England between 2015 and 2020.</w:t>
      </w:r>
    </w:p>
    <w:p w:rsidR="00D329F2" w:rsidRDefault="008D7727">
      <w:pPr>
        <w:rPr>
          <w:noProof/>
        </w:rPr>
      </w:pPr>
      <w:r>
        <w:rPr>
          <w:b/>
          <w:noProof/>
        </w:rPr>
        <w:t>Measuring quality of apprenticeships is needed to complement quantity targets</w:t>
      </w:r>
      <w:r>
        <w:rPr>
          <w:noProof/>
        </w:rPr>
        <w:t>. A parliamentary committee report calls for a greater emphasis on outcomes of apprenticeships (House of Commons, 2017a). The rep</w:t>
      </w:r>
      <w:r>
        <w:rPr>
          <w:noProof/>
        </w:rPr>
        <w:t>ort notes the potential difficulty in seeking to satisfy the needs of individual firms, sectors and regional economies while also seeking to use apprenticeships as a means of helping people to achieve social mobility. The recent drop in apprenticeship star</w:t>
      </w:r>
      <w:r>
        <w:rPr>
          <w:noProof/>
        </w:rPr>
        <w:t xml:space="preserve">ts arguably confirms these concerns. Nevertheless, statistics for the 2016-2017 academic year indicated a large increase of 37.4 % in those engaging in ‘higher’ apprenticeships (level 4 and above), albeit from a very low base. These represent around 7.4 % </w:t>
      </w:r>
      <w:r>
        <w:rPr>
          <w:noProof/>
        </w:rPr>
        <w:t>of starts in 2016-2017, up from around 5.3 % of starts in 2015-2016. This could indicate an improvement in the quality of apprenticeships. The age profile of those engaged in apprenticeships remains unusually high compared to other EU countries. The propor</w:t>
      </w:r>
      <w:r>
        <w:rPr>
          <w:noProof/>
        </w:rPr>
        <w:t>tion of starts by those aged over 25 is 46.5 % compared to those aged 19-24 at 28.7 % and those aged under 19 at 24.8 %.</w:t>
      </w:r>
    </w:p>
    <w:p w:rsidR="00D329F2" w:rsidRDefault="008D7727">
      <w:pPr>
        <w:rPr>
          <w:noProof/>
        </w:rPr>
      </w:pPr>
      <w:r>
        <w:rPr>
          <w:b/>
          <w:noProof/>
        </w:rPr>
        <w:t>The trajectory of the potential impact of apprenticeship policy is at an important juncture.</w:t>
      </w:r>
      <w:r>
        <w:rPr>
          <w:noProof/>
        </w:rPr>
        <w:t xml:space="preserve"> Vital employer engagement is encouraged by</w:t>
      </w:r>
      <w:r>
        <w:rPr>
          <w:noProof/>
        </w:rPr>
        <w:t xml:space="preserve"> the reforms. Smaller employers, who are now required to contribute around 10 % to the costs of an apprenticeship, appear more reluctant to take on apprentices. Some larger employers may also regard the levy as a payroll tax and may be reluctant to recoup </w:t>
      </w:r>
      <w:r>
        <w:rPr>
          <w:noProof/>
        </w:rPr>
        <w:t>this via engagement with apprentices. Conversely, most stakeholders appear to welcome changes from the previous system, which may have incentivised some training providers to encourage apprenticeship starts to maximise their financial return. The limited i</w:t>
      </w:r>
      <w:r>
        <w:rPr>
          <w:noProof/>
        </w:rPr>
        <w:t>nvolvement of trade unions contrasts with the shared apprenticeship governance seen elsewhere in the EU.</w:t>
      </w:r>
    </w:p>
    <w:p w:rsidR="00D329F2" w:rsidRDefault="008D7727">
      <w:pPr>
        <w:rPr>
          <w:noProof/>
        </w:rPr>
      </w:pPr>
      <w:r>
        <w:rPr>
          <w:b/>
          <w:noProof/>
        </w:rPr>
        <w:t>Vocational paths for school leavers are being reformed.</w:t>
      </w:r>
      <w:r>
        <w:rPr>
          <w:noProof/>
        </w:rPr>
        <w:t xml:space="preserve"> The 2017 Spring Budget announced the introduction of T-levels – technical qualifications that 1</w:t>
      </w:r>
      <w:r>
        <w:rPr>
          <w:noProof/>
        </w:rPr>
        <w:t>6- to 19-year-olds will be able to take as an alternative to A-levels, the main school leaving qualification. T-levels and apprenticeships offer alternative routes for school leavers. These may be important to improve employment and reduce unemployment and</w:t>
      </w:r>
      <w:r>
        <w:rPr>
          <w:noProof/>
        </w:rPr>
        <w:t xml:space="preserve"> inactivity in younger age groups.</w:t>
      </w:r>
    </w:p>
    <w:p w:rsidR="00D329F2" w:rsidRDefault="008D7727">
      <w:pPr>
        <w:rPr>
          <w:noProof/>
        </w:rPr>
      </w:pPr>
      <w:r>
        <w:rPr>
          <w:b/>
          <w:noProof/>
        </w:rPr>
        <w:t>A gap remains in the provision of upskilling/reskilling opportunities outside of T-Levels or apprenticeships.</w:t>
      </w:r>
      <w:r>
        <w:rPr>
          <w:noProof/>
        </w:rPr>
        <w:t xml:space="preserve"> This may particularly be the case for those currently in the workforce and seeking in-work progression. The ‘Un</w:t>
      </w:r>
      <w:r>
        <w:rPr>
          <w:noProof/>
        </w:rPr>
        <w:t>locking Talent, Fulfilling Potential’ initiative launched in December 2017 seeks to improve social mobility via education, including through lifelong learning.</w:t>
      </w:r>
    </w:p>
    <w:p w:rsidR="00D329F2" w:rsidRDefault="008D7727">
      <w:pPr>
        <w:rPr>
          <w:noProof/>
        </w:rPr>
      </w:pPr>
      <w:r>
        <w:rPr>
          <w:b/>
          <w:noProof/>
        </w:rPr>
        <w:t>The November 2017 Industrial Strategy White Paper (see Section 3.4) contained a number of skills</w:t>
      </w:r>
      <w:r>
        <w:rPr>
          <w:b/>
          <w:noProof/>
        </w:rPr>
        <w:t xml:space="preserve"> announcements.</w:t>
      </w:r>
      <w:r>
        <w:rPr>
          <w:noProof/>
        </w:rPr>
        <w:t xml:space="preserve"> Certain aspects of skills governance structures in England are to be devolved. Local Enterprise Partnerships, Skills Advisory Panels and the devolution of Adult Skills Budgets to some authorities are all intended to address the regional disparity associat</w:t>
      </w:r>
      <w:r>
        <w:rPr>
          <w:noProof/>
        </w:rPr>
        <w:t>ed with productivity, skills and progression. It is intended that Local Industrial Strategies will be the key outcome of this devolution.</w:t>
      </w:r>
    </w:p>
    <w:p w:rsidR="00D329F2" w:rsidRDefault="008D7727">
      <w:pPr>
        <w:rPr>
          <w:noProof/>
        </w:rPr>
      </w:pPr>
      <w:r>
        <w:rPr>
          <w:b/>
          <w:noProof/>
        </w:rPr>
        <w:t>The white paper and the 2017 Autumn Budget also announced a National Retraining Scheme for England.</w:t>
      </w:r>
      <w:r>
        <w:rPr>
          <w:noProof/>
        </w:rPr>
        <w:t xml:space="preserve"> This aims to impro</w:t>
      </w:r>
      <w:r>
        <w:rPr>
          <w:noProof/>
        </w:rPr>
        <w:t>ve lifelong learning, for those in and out of work. It will be overseen by a National Retraining Partnership, involving the government, employers and unions in a rare example of tripartite cooperation. Career Learning was allocated GBP 40 million (EUR 45.6</w:t>
      </w:r>
      <w:r>
        <w:rPr>
          <w:noProof/>
        </w:rPr>
        <w:t> million) in the 2017 Spring Budget to set up pilots to test initial approaches that will feed into a National Retraining Scheme. In 2018 the scheme is to use an additional GBP 30 million (EUR 34 million) for particular digital skills needs and GBP 34 mill</w:t>
      </w:r>
      <w:r>
        <w:rPr>
          <w:noProof/>
        </w:rPr>
        <w:t>ion (EUR 39 million) for particular construction skills needs.</w:t>
      </w:r>
    </w:p>
    <w:p w:rsidR="00D329F2" w:rsidRDefault="008D7727">
      <w:pPr>
        <w:pStyle w:val="Heading"/>
        <w:rPr>
          <w:noProof/>
        </w:rPr>
      </w:pPr>
      <w:r>
        <w:rPr>
          <w:noProof/>
        </w:rPr>
        <w:t>Education</w:t>
      </w:r>
    </w:p>
    <w:p w:rsidR="00D329F2" w:rsidRDefault="008D7727">
      <w:pPr>
        <w:rPr>
          <w:noProof/>
        </w:rPr>
      </w:pPr>
      <w:r>
        <w:rPr>
          <w:b/>
          <w:noProof/>
        </w:rPr>
        <w:t>There are disparities in educational outcomes across the UK</w:t>
      </w:r>
      <w:r>
        <w:rPr>
          <w:noProof/>
        </w:rPr>
        <w:t>. Students in England and Northern Ireland score above the OECD average, whereas students in Scotland are around the average</w:t>
      </w:r>
      <w:r>
        <w:rPr>
          <w:noProof/>
        </w:rPr>
        <w:t xml:space="preserve"> and students in Wales below it (OECD, 2016). Nevertheless, analysis shows that the gap in England and Scotland between top performers from an economically disadvantaged background and their ‘well off’ peers was equivalent to more than 2 years of schooling</w:t>
      </w:r>
      <w:r>
        <w:rPr>
          <w:noProof/>
        </w:rPr>
        <w:t xml:space="preserve"> on average (Sutton Trust, 2017). The 2015 results for Wales and Scotland in the Programme for International Student Assessment (PISA) show negative trends. Each nation is attempting to reduce performance gaps.</w:t>
      </w:r>
    </w:p>
    <w:p w:rsidR="00D329F2" w:rsidRDefault="008D7727">
      <w:pPr>
        <w:rPr>
          <w:noProof/>
        </w:rPr>
      </w:pPr>
      <w:r>
        <w:rPr>
          <w:b/>
          <w:noProof/>
        </w:rPr>
        <w:t>A revised National Funding Formula in England</w:t>
      </w:r>
      <w:r>
        <w:rPr>
          <w:b/>
          <w:noProof/>
        </w:rPr>
        <w:t xml:space="preserve"> alters the distribution of school funding (DfE, 2017)</w:t>
      </w:r>
      <w:r>
        <w:rPr>
          <w:noProof/>
        </w:rPr>
        <w:t xml:space="preserve">. The intention is to move from allocations at local authority level to a system providing more evenly distributed funding per pupil across all schools. A House of Commons Select Committee is, however, </w:t>
      </w:r>
      <w:r>
        <w:rPr>
          <w:noProof/>
        </w:rPr>
        <w:t>very critical of the funding reforms, challenging the government’s expectation of major efficiency savings (House of Commons, 2017b).</w:t>
      </w:r>
    </w:p>
    <w:p w:rsidR="00D329F2" w:rsidRDefault="008D7727">
      <w:pPr>
        <w:rPr>
          <w:noProof/>
        </w:rPr>
      </w:pPr>
      <w:r>
        <w:rPr>
          <w:b/>
          <w:noProof/>
        </w:rPr>
        <w:t>Supply and retention of teachers is a serious constraint on the UK education system.</w:t>
      </w:r>
      <w:r>
        <w:rPr>
          <w:noProof/>
        </w:rPr>
        <w:t xml:space="preserve"> The shortage of teachers is a continu</w:t>
      </w:r>
      <w:r>
        <w:rPr>
          <w:noProof/>
        </w:rPr>
        <w:t>ing challenge for the education sector, particularly in certain subjects and regions. In England, a total of 30 000 new teachers per year are needed to maintain supply, but this target has not been achieved for the last 4 years. As concerns retention, a 20</w:t>
      </w:r>
      <w:r>
        <w:rPr>
          <w:noProof/>
        </w:rPr>
        <w:t>16 survey found that the proportion of teachers considering leaving the profession had increased from 17 % in 2015 to 23 % in 2016 (NFER, 2016). The Institute for Fiscal Studies (IFS) estimates that the high number of teachers who leave the profession with</w:t>
      </w:r>
      <w:r>
        <w:rPr>
          <w:noProof/>
        </w:rPr>
        <w:t>in 5 years of qualifying is equivalent to GBP 312 million (EUR 356 million) of public expenditure wasted on their initial training (Ward, 2016).</w:t>
      </w:r>
    </w:p>
    <w:p w:rsidR="00D329F2" w:rsidRDefault="008D7727">
      <w:pPr>
        <w:rPr>
          <w:noProof/>
        </w:rPr>
      </w:pPr>
      <w:r>
        <w:rPr>
          <w:b/>
          <w:noProof/>
        </w:rPr>
        <w:t>The effectiveness of the teacher supply model is unclear (DfE, 2013).</w:t>
      </w:r>
      <w:r>
        <w:rPr>
          <w:noProof/>
        </w:rPr>
        <w:t xml:space="preserve"> Teacher recruitment targets are not being</w:t>
      </w:r>
      <w:r>
        <w:rPr>
          <w:noProof/>
        </w:rPr>
        <w:t xml:space="preserve"> met both in overall numbers and in particular subject or regional needs. The government has been investing in recruitment and retention of teachers. GBP 75 million (EUR 86 million) over 3 years was made available through the Teaching and Leadership Innova</w:t>
      </w:r>
      <w:r>
        <w:rPr>
          <w:noProof/>
        </w:rPr>
        <w:t>tion Fund (</w:t>
      </w:r>
      <w:r>
        <w:rPr>
          <w:noProof/>
          <w:vertAlign w:val="superscript"/>
        </w:rPr>
        <w:footnoteReference w:id="19"/>
      </w:r>
      <w:r>
        <w:rPr>
          <w:noProof/>
        </w:rPr>
        <w:t>). However, in England, an investigation by the National Audit Office (NAO) concluded that “the Department for Education cannot demonstrate that its efforts to improve teacher retention and quality are having a positive impact and are value for</w:t>
      </w:r>
      <w:r>
        <w:rPr>
          <w:noProof/>
        </w:rPr>
        <w:t xml:space="preserve"> money” (NAO, 2017c).</w:t>
      </w:r>
    </w:p>
    <w:p w:rsidR="00D329F2" w:rsidRDefault="008D7727">
      <w:pPr>
        <w:rPr>
          <w:noProof/>
        </w:rPr>
      </w:pPr>
      <w:r>
        <w:rPr>
          <w:b/>
          <w:noProof/>
        </w:rPr>
        <w:t>Inclusion and widening participation in higher education remains a political priority across the UK</w:t>
      </w:r>
      <w:r>
        <w:rPr>
          <w:noProof/>
        </w:rPr>
        <w:t xml:space="preserve">. Although young people from disadvantaged backgrounds are now 60 % more likely to participate in higher education than in 2006, there </w:t>
      </w:r>
      <w:r>
        <w:rPr>
          <w:noProof/>
        </w:rPr>
        <w:t>remain challenges to achieving equitable participation and the gap remains large: young people from disadvantaged backgrounds are 2.5 times less likely to attend higher education than the average. The Office for Fair Access has annual access agreements wit</w:t>
      </w:r>
      <w:r>
        <w:rPr>
          <w:noProof/>
        </w:rPr>
        <w:t>h each higher education institute and, from the 2018-2019 academic year, will agree arrangements with colleges and universities which are proposing a fee rise, so that places can be secured for talented students from disadvantaged backgrounds (OFFA, 2017).</w:t>
      </w:r>
      <w:r>
        <w:rPr>
          <w:noProof/>
        </w:rPr>
        <w:t xml:space="preserve"> In the first results of the Teaching Excellence Framework (</w:t>
      </w:r>
      <w:r>
        <w:rPr>
          <w:noProof/>
          <w:vertAlign w:val="superscript"/>
        </w:rPr>
        <w:footnoteReference w:id="20"/>
      </w:r>
      <w:r>
        <w:rPr>
          <w:noProof/>
        </w:rPr>
        <w:t>) some high-ranking research universities (with the highest tuition fees) did not receive the highest grading for teaching.</w:t>
      </w:r>
    </w:p>
    <w:p w:rsidR="00D329F2" w:rsidRDefault="008D7727">
      <w:pPr>
        <w:pStyle w:val="Heading"/>
        <w:rPr>
          <w:noProof/>
        </w:rPr>
      </w:pPr>
      <w:r>
        <w:rPr>
          <w:noProof/>
        </w:rPr>
        <w:t>Social indicators and policies</w:t>
      </w:r>
    </w:p>
    <w:p w:rsidR="00D329F2" w:rsidRDefault="008D7727">
      <w:pPr>
        <w:rPr>
          <w:noProof/>
        </w:rPr>
      </w:pPr>
      <w:r>
        <w:rPr>
          <w:b/>
          <w:noProof/>
        </w:rPr>
        <w:t xml:space="preserve">Poverty and other social indicators are </w:t>
      </w:r>
      <w:r>
        <w:rPr>
          <w:b/>
          <w:noProof/>
        </w:rPr>
        <w:t>stable for the UK.</w:t>
      </w:r>
      <w:r>
        <w:rPr>
          <w:noProof/>
        </w:rPr>
        <w:t xml:space="preserve"> Graph 3.3.1 shows a gradual decline in the at-risk-of-poverty-or-social-exclusion rate and its components. Nevertheless, there remains much concern about the cumulative effects of working-age welfare reforms and cutbacks introduced since</w:t>
      </w:r>
      <w:r>
        <w:rPr>
          <w:noProof/>
        </w:rPr>
        <w:t xml:space="preserve"> 2010. The freeze in working-age benefits (including in-work benefits) from 2015 is being implemented in the context of a 3 % inflation rate. This will negatively affect the adequacy of minimum income benefits. The coverage of unemployment benefits is also</w:t>
      </w:r>
      <w:r>
        <w:rPr>
          <w:noProof/>
        </w:rPr>
        <w:t xml:space="preserve"> below the EU average and is falling (</w:t>
      </w:r>
      <w:r>
        <w:rPr>
          <w:noProof/>
          <w:vertAlign w:val="superscript"/>
        </w:rPr>
        <w:footnoteReference w:id="21"/>
      </w:r>
      <w:r>
        <w:rPr>
          <w:noProof/>
        </w:rPr>
        <w:t>). The UK at-risk-of-poverty rate after housing costs at 34.8 % in 2016 is among the highest in the EU. The UK has one of the largest at-risk-of-poverty-or-social-exclusion gaps between people with/without disabilitie</w:t>
      </w:r>
      <w:r>
        <w:rPr>
          <w:noProof/>
        </w:rPr>
        <w:t>s in the EU (14.6 pps vs. the EU average of 10.1 pps).</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34" w:name="_Toc507256308"/>
            <w:r>
              <w:rPr>
                <w:noProof/>
              </w:rPr>
              <w:t>Graph 3.3.1:</w:t>
            </w:r>
            <w:r>
              <w:rPr>
                <w:b/>
                <w:noProof/>
              </w:rPr>
              <w:tab/>
              <w:t>At-risk-of-poverty-or-social-exclusion rate and its components</w:t>
            </w:r>
            <w:bookmarkEnd w:id="34"/>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5F061324" wp14:editId="07192433">
                  <wp:extent cx="2597595" cy="2436430"/>
                  <wp:effectExtent l="0" t="0" r="0" b="0"/>
                  <wp:docPr id="11" name="Picture 11" descr="&lt;nbr&gt;&lt;GETTEXTFROMWORD&gt;&lt;/nbr&gt;&#10;&lt;title&gt;&lt;GETTEXTFROMWORD&gt;&lt;/title&gt;&#10;&lt;id&gt;d37d7e5c-c821-4bfd-9309-4c982d9c61bd&lt;/id&gt;&#10;&lt;srcType&gt;EXCEL&lt;/srcType&gt;&#10;&lt;srcPath&gt;\\net1\Ci\Public\2017 CRs\2018 European semester\28 UK\Revised Second Draft\Graphs&lt;/srcPath&gt;&#10;&lt;srcName&gt;3.3. Labour market.xlsx&lt;/srcName&gt;&#10;&lt;type&gt;graph&lt;/type&gt;&#10; &lt;srcSheet&gt;AROPE&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1-14T15:29:25&lt;/scrFileTime&gt;&#10;&lt;imageInformation&gt;&#10; &lt;dontScaleUp&gt;no&lt;/dontScaleUp&gt;&#10;&lt;/imageInformation&gt;&#10;&lt;url&gt;&lt;/url&gt;&#10;&lt;basedocguid&gt;{8C174BB0-1527-4057-8676-E960F3A7EAE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Eurostat</w:t>
            </w:r>
          </w:p>
        </w:tc>
      </w:tr>
    </w:tbl>
    <w:p w:rsidR="00D329F2" w:rsidRDefault="008D7727">
      <w:pPr>
        <w:rPr>
          <w:noProof/>
        </w:rPr>
      </w:pPr>
      <w:r>
        <w:rPr>
          <w:b/>
          <w:noProof/>
        </w:rPr>
        <w:t>Child poverty is forecast by some to increase due to a restriction of benefits.</w:t>
      </w:r>
      <w:r>
        <w:rPr>
          <w:noProof/>
        </w:rPr>
        <w:t xml:space="preserve"> There is now a curb on means-tested family support to a maximum of two children, which will impact any further children born after April 2017. This is forecast to lead to an increase in child poverty where the intended behavioural impact of the policy doe</w:t>
      </w:r>
      <w:r>
        <w:rPr>
          <w:noProof/>
        </w:rPr>
        <w:t>s not occur. The IFS forecasts that absolute child poverty (after housing costs, AHC) will rise from 27.5 % in 2014-2015 to 30.3 % in 2021-2022. It also forecasts an increase in absolute poverty (AHC) for children living in working households from 21.4 % i</w:t>
      </w:r>
      <w:r>
        <w:rPr>
          <w:noProof/>
        </w:rPr>
        <w:t>n 2014-2015 to 23.3 % in 2021-2022. Absolute poverty (AHC) for all is forecast to fall slightly from 20.3 % to 19.8 % over the same period.</w:t>
      </w:r>
    </w:p>
    <w:p w:rsidR="00D329F2" w:rsidRDefault="008D7727">
      <w:pPr>
        <w:rPr>
          <w:noProof/>
        </w:rPr>
      </w:pPr>
      <w:r>
        <w:rPr>
          <w:b/>
          <w:noProof/>
        </w:rPr>
        <w:t>Differences in income growth have stimulated a debate on intergenerational ‘fairness’</w:t>
      </w:r>
      <w:r>
        <w:rPr>
          <w:noProof/>
        </w:rPr>
        <w:t>. The narrowing of the at-risk-</w:t>
      </w:r>
      <w:r>
        <w:rPr>
          <w:noProof/>
        </w:rPr>
        <w:t>of-poverty-or-social-exclusion gap between the elderly, the working-age population and children observed in 2016 (see Graph 3.3.2) is projected to reverse its trajectory up to 2021-2022. The ‘triple-lock’ on pension increases will exacerbate this trend, as</w:t>
      </w:r>
      <w:r>
        <w:rPr>
          <w:noProof/>
        </w:rPr>
        <w:t xml:space="preserve"> the 3 % inflation figure from September 2017 will trigger a commensurate increase in the state pension from April 2018, while working-age payment rates remain frozen. Furthermore, the income share of older workers (age group 55-64) has increased in the pe</w:t>
      </w:r>
      <w:r>
        <w:rPr>
          <w:noProof/>
        </w:rPr>
        <w:t>riod 2007-2014, while that of the younger cohort (age group 25-39) has decreased. This has been mainly driven by changes in the income per worker in each age group (European Commission, 2017a).</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35" w:name="_Toc507256309"/>
            <w:r>
              <w:rPr>
                <w:noProof/>
              </w:rPr>
              <w:t>Graph 3.3.2:</w:t>
            </w:r>
            <w:r>
              <w:rPr>
                <w:b/>
                <w:noProof/>
              </w:rPr>
              <w:tab/>
              <w:t xml:space="preserve">At-risk-of-poverty-or-social-exclusion rate, age </w:t>
            </w:r>
            <w:r>
              <w:rPr>
                <w:b/>
                <w:noProof/>
              </w:rPr>
              <w:t>groups</w:t>
            </w:r>
            <w:bookmarkEnd w:id="35"/>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6A8E5D04" wp14:editId="72934DE6">
                  <wp:extent cx="2597595" cy="2442194"/>
                  <wp:effectExtent l="0" t="0" r="0" b="0"/>
                  <wp:docPr id="12" name="Picture 12" descr="&lt;nbr&gt;&lt;GETTEXTFROMWORD&gt;&lt;/nbr&gt;&#10;&lt;title&gt;&lt;GETTEXTFROMWORD&gt;&lt;/title&gt;&#10;&lt;id&gt;0699a3fb-4e35-4c8c-b132-315afe14af3a&lt;/id&gt;&#10;&lt;srcType&gt;EXCEL&lt;/srcType&gt;&#10;&lt;srcPath&gt;\\net1\Ci\Public\2017 CRs\2018 European semester\28 UK\Revised Second Draft\Graphs&lt;/srcPath&gt;&#10;&lt;srcName&gt;3.3. Labour market.xlsx&lt;/srcName&gt;&#10;&lt;type&gt;graph&lt;/type&gt;&#10; &lt;srcSheet&gt;AROPE_group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1-14T15:29:25&lt;/scrFileTime&gt;&#10;&lt;imageInformation&gt;&#10; &lt;dontScaleUp&gt;no&lt;/dontScaleUp&gt;&#10;&lt;/imageInformation&gt;&#10;&lt;url&gt;&lt;/url&gt;&#10;&lt;basedocguid&gt;{8C174BB0-1527-4057-8676-E960F3A7EAE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2442194"/>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jc w:val="center"/>
              <w:rPr>
                <w:noProof/>
              </w:rPr>
            </w:pPr>
            <w:r>
              <w:rPr>
                <w:b/>
                <w:i/>
                <w:noProof/>
              </w:rPr>
              <w:t>Source:</w:t>
            </w:r>
            <w:r>
              <w:rPr>
                <w:noProof/>
              </w:rPr>
              <w:t xml:space="preserve"> Eurostat</w:t>
            </w:r>
          </w:p>
        </w:tc>
      </w:tr>
    </w:tbl>
    <w:p w:rsidR="00D329F2" w:rsidRDefault="008D7727">
      <w:pPr>
        <w:rPr>
          <w:noProof/>
        </w:rPr>
      </w:pPr>
      <w:r>
        <w:rPr>
          <w:b/>
          <w:noProof/>
        </w:rPr>
        <w:t>In-work poverty rates are relatively stable at present.</w:t>
      </w:r>
      <w:r>
        <w:rPr>
          <w:noProof/>
        </w:rPr>
        <w:t xml:space="preserve"> However, there are notable differences between disaggregated groups (see Graph 3.3.3). As noted above, the number of children experiencing poverty in working families is projected to increase. The current proportion of children experiencing poverty who ar</w:t>
      </w:r>
      <w:r>
        <w:rPr>
          <w:noProof/>
        </w:rPr>
        <w:t>e in a family with at least one working adult is projected to remain around 66 %. This is likely to be strongly correlated to work intensity, and thus concerns about low-wages, low-hours or low progression prospects mentioned in this and previous country r</w:t>
      </w:r>
      <w:r>
        <w:rPr>
          <w:noProof/>
        </w:rPr>
        <w:t>eports are relevant. As noted in previous country reports, the cut to work allowances in Universal Credit makes the in-work benefit system considerably less generous than the legacy Tax Credits system.</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36" w:name="_Toc507256310"/>
            <w:r>
              <w:rPr>
                <w:noProof/>
              </w:rPr>
              <w:t>Graph 3.3.3:</w:t>
            </w:r>
            <w:r>
              <w:rPr>
                <w:b/>
                <w:noProof/>
              </w:rPr>
              <w:tab/>
              <w:t>In-work-poverty rate, groups</w:t>
            </w:r>
            <w:bookmarkEnd w:id="36"/>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18205C87" wp14:editId="2C8A7725">
                  <wp:extent cx="2597595" cy="2449414"/>
                  <wp:effectExtent l="0" t="0" r="0" b="8255"/>
                  <wp:docPr id="6" name="Picture 6" descr="&lt;nbr&gt;&lt;GETTEXTFROMWORD&gt;&lt;/nbr&gt;&#10;&lt;title&gt;&lt;GETTEXTFROMWORD&gt;&lt;/title&gt;&#10;&lt;id&gt;cc8ef4c4-f05c-4681-9a6f-df8a63b843d5&lt;/id&gt;&#10;&lt;srcType&gt;EXCEL&lt;/srcType&gt;&#10;&lt;srcPath&gt;\\net1\Ci\Public\2017 CRs\2018 European semester\28 UK\Revised Second Draft\Graphs&lt;/srcPath&gt;&#10;&lt;srcName&gt;3.3. Labour market.xlsx&lt;/srcName&gt;&#10;&lt;type&gt;graph&lt;/type&gt;&#10; &lt;srcSheet&gt;IWP_group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1-14T15:29:25&lt;/scrFileTime&gt;&#10;&lt;imageInformation&gt;&#10; &lt;dontScaleUp&gt;no&lt;/dontScaleUp&gt;&#10;&lt;/imageInformation&gt;&#10;&lt;url&gt;&lt;/url&gt;&#10;&lt;basedocguid&gt;{8C174BB0-1527-4057-8676-E960F3A7EAE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97595" cy="2449414"/>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jc w:val="center"/>
              <w:rPr>
                <w:noProof/>
              </w:rPr>
            </w:pPr>
            <w:r>
              <w:rPr>
                <w:b/>
                <w:i/>
                <w:noProof/>
              </w:rPr>
              <w:t>Source:</w:t>
            </w:r>
            <w:r>
              <w:rPr>
                <w:noProof/>
              </w:rPr>
              <w:t xml:space="preserve"> </w:t>
            </w:r>
            <w:r>
              <w:rPr>
                <w:noProof/>
              </w:rPr>
              <w:t>Eurostat</w:t>
            </w:r>
          </w:p>
        </w:tc>
      </w:tr>
    </w:tbl>
    <w:p w:rsidR="00D329F2" w:rsidRDefault="008D7727">
      <w:pPr>
        <w:rPr>
          <w:noProof/>
        </w:rPr>
      </w:pPr>
      <w:r>
        <w:rPr>
          <w:b/>
          <w:noProof/>
        </w:rPr>
        <w:t>Universal Credit roll-out continues</w:t>
      </w:r>
      <w:r>
        <w:rPr>
          <w:noProof/>
        </w:rPr>
        <w:t xml:space="preserve">. The full roll-out of Universal Credit remains projected to take until 2022. As of 14 December 2017, there were 700 000 claimants of Universal Credit (some 42 % in at least partial employment). Attention has </w:t>
      </w:r>
      <w:r>
        <w:rPr>
          <w:noProof/>
        </w:rPr>
        <w:t>recently been focused on differences with the working-age welfare systems the Universal Credit is designed to supersede. Concerns have been raised about the initial waiting period, the frequency of payment and difficulties for those in receipt of housing s</w:t>
      </w:r>
      <w:r>
        <w:rPr>
          <w:noProof/>
        </w:rPr>
        <w:t>upport. The 2017 Autumn Budget announced measures including reducing the waiting period from 6 weeks to 5.</w:t>
      </w:r>
    </w:p>
    <w:p w:rsidR="00D329F2" w:rsidRDefault="008D7727">
      <w:pPr>
        <w:rPr>
          <w:noProof/>
        </w:rPr>
      </w:pPr>
      <w:r>
        <w:rPr>
          <w:b/>
          <w:noProof/>
        </w:rPr>
        <w:t>Trials of in-work conditionality, which can apply to all working adults in a household, are ongoing.</w:t>
      </w:r>
      <w:r>
        <w:rPr>
          <w:noProof/>
        </w:rPr>
        <w:t xml:space="preserve"> Ultimately, it is hoped that in-work conditional</w:t>
      </w:r>
      <w:r>
        <w:rPr>
          <w:noProof/>
        </w:rPr>
        <w:t>ity can address issues of low-work intensity, low-wages and low-hours and also assist with progression. A randomised control trial of 15 000 participants is under way and is expected to report in summer 2018.</w:t>
      </w:r>
    </w:p>
    <w:p w:rsidR="00D329F2" w:rsidRDefault="008D7727">
      <w:pPr>
        <w:rPr>
          <w:noProof/>
        </w:rPr>
      </w:pPr>
      <w:r>
        <w:rPr>
          <w:b/>
          <w:noProof/>
        </w:rPr>
        <w:t>Housing affordability remains a concern</w:t>
      </w:r>
      <w:r>
        <w:rPr>
          <w:noProof/>
        </w:rPr>
        <w:t>. Supply</w:t>
      </w:r>
      <w:r>
        <w:rPr>
          <w:noProof/>
        </w:rPr>
        <w:t xml:space="preserve"> issues (see Section 3.2.2) coexist with pressures on social assistance for housing. 12.3 % of the UK population spend over 40 % of their income on housing, which is above the EU average. This rises to 35.4 % for those who rent. In England in 2015, 14 470 </w:t>
      </w:r>
      <w:r>
        <w:rPr>
          <w:noProof/>
        </w:rPr>
        <w:t xml:space="preserve">households were considered as ‘statutorily homeless’ (meaning they are considered in ‘priority need’), a 6 % increase on 2014 (Feantsa, 2017 overview). </w:t>
      </w:r>
    </w:p>
    <w:p w:rsidR="00D329F2" w:rsidRDefault="008D7727">
      <w:pPr>
        <w:pStyle w:val="Heading"/>
        <w:rPr>
          <w:noProof/>
        </w:rPr>
      </w:pPr>
      <w:r>
        <w:rPr>
          <w:noProof/>
        </w:rPr>
        <w:t>Childcare provision</w:t>
      </w:r>
    </w:p>
    <w:p w:rsidR="00D329F2" w:rsidRDefault="008D7727">
      <w:pPr>
        <w:rPr>
          <w:noProof/>
        </w:rPr>
      </w:pPr>
      <w:r>
        <w:rPr>
          <w:b/>
          <w:noProof/>
        </w:rPr>
        <w:t>In 2015, fewer than 30 % of children less than 3 years of age attended formal child</w:t>
      </w:r>
      <w:r>
        <w:rPr>
          <w:b/>
          <w:noProof/>
        </w:rPr>
        <w:t>care.</w:t>
      </w:r>
      <w:r>
        <w:rPr>
          <w:noProof/>
        </w:rPr>
        <w:t xml:space="preserve"> The adequacy of supported childcare provision in England has increased since 2016. This is largely thanks to the September 2017 full roll-out of the improved offering of 30 hours of free childcare. However, this is confined to children aged 3 and 4 w</w:t>
      </w:r>
      <w:r>
        <w:rPr>
          <w:noProof/>
        </w:rPr>
        <w:t>here all parents are working and is offered for the equivalent of 38 weeks per year. The take-up of the improved offer for 3 and 4 year olds was ahead of expectations, whereas the offer available to the most disadvantaged 2 year olds remains undersubscribe</w:t>
      </w:r>
      <w:r>
        <w:rPr>
          <w:noProof/>
        </w:rPr>
        <w:t>d. The Sutton Trust has suggested that a shift in focus away from high quality early years education towards affordable childcare for working families could damage social mobility.</w:t>
      </w:r>
    </w:p>
    <w:p w:rsidR="00D329F2" w:rsidRDefault="008D7727">
      <w:pPr>
        <w:rPr>
          <w:noProof/>
        </w:rPr>
      </w:pPr>
      <w:r>
        <w:rPr>
          <w:b/>
          <w:noProof/>
        </w:rPr>
        <w:t>Childcare supply concerns linger</w:t>
      </w:r>
      <w:r>
        <w:rPr>
          <w:noProof/>
        </w:rPr>
        <w:t>. The 2017 Childcare Survey suggests that s</w:t>
      </w:r>
      <w:r>
        <w:rPr>
          <w:noProof/>
        </w:rPr>
        <w:t>ufficient supply remains an issue, reporting that half of local authorities in England do not have enough childcare provision for parents working full time. The figures for Scotland (75 %) and Wales (80 %) are worse. The survey indicated prices had remaine</w:t>
      </w:r>
      <w:r>
        <w:rPr>
          <w:noProof/>
        </w:rPr>
        <w:t>d somewhat steady over the last year. However, at an average of GBP 116 (EUR 132) per week for a part-time (25 hours) place for a child under 2, affordability remains an issue.</w:t>
      </w:r>
    </w:p>
    <w:p w:rsidR="00D329F2" w:rsidRDefault="008D7727">
      <w:pPr>
        <w:pStyle w:val="Heading"/>
        <w:rPr>
          <w:noProof/>
        </w:rPr>
      </w:pPr>
      <w:r>
        <w:rPr>
          <w:noProof/>
        </w:rPr>
        <w:t>Health sector</w:t>
      </w:r>
    </w:p>
    <w:p w:rsidR="00D329F2" w:rsidRDefault="008D7727">
      <w:pPr>
        <w:rPr>
          <w:noProof/>
        </w:rPr>
      </w:pPr>
      <w:r>
        <w:rPr>
          <w:b/>
          <w:noProof/>
        </w:rPr>
        <w:t>Overall, access to care is sufficient</w:t>
      </w:r>
      <w:r>
        <w:rPr>
          <w:noProof/>
        </w:rPr>
        <w:t xml:space="preserve">. The rate of self-reported </w:t>
      </w:r>
      <w:r>
        <w:rPr>
          <w:noProof/>
        </w:rPr>
        <w:t>unmet needs for medical care due to cost, distance and waiting lists (2.8 %) is slightly lower than the EU average (3.2 %). Financial protection is very good with low out-of-pocket spending. However, the UK has striking inequalities in self-reported health</w:t>
      </w:r>
      <w:r>
        <w:rPr>
          <w:noProof/>
        </w:rPr>
        <w:t xml:space="preserve"> by socioeconomic status and most behavioural risk factors are far more prevalent among people with lower income and education. (OECD/European Observatory on Health Systems and Policies, 2017).  </w:t>
      </w:r>
    </w:p>
    <w:p w:rsidR="00D329F2" w:rsidRDefault="008D7727">
      <w:pPr>
        <w:rPr>
          <w:noProof/>
        </w:rPr>
      </w:pPr>
      <w:r>
        <w:rPr>
          <w:b/>
          <w:noProof/>
        </w:rPr>
        <w:t xml:space="preserve">Hospitals are working at near-full capacity with low bed </w:t>
      </w:r>
      <w:r>
        <w:rPr>
          <w:b/>
          <w:noProof/>
        </w:rPr>
        <w:t>numbers, high occupancy rates and short lengths of stay.</w:t>
      </w:r>
      <w:r>
        <w:rPr>
          <w:noProof/>
        </w:rPr>
        <w:t xml:space="preserve"> There are also relatively few doctors and falling numbers of nurses. Together with the lack of integration of health and social care, these factors contribute to the long-standing challenges of waiti</w:t>
      </w:r>
      <w:r>
        <w:rPr>
          <w:noProof/>
        </w:rPr>
        <w:t>ng times for elective and emergency care.</w:t>
      </w:r>
    </w:p>
    <w:p w:rsidR="00D329F2" w:rsidRDefault="008D7727">
      <w:pPr>
        <w:rPr>
          <w:noProof/>
        </w:rPr>
      </w:pPr>
      <w:r>
        <w:rPr>
          <w:b/>
          <w:noProof/>
        </w:rPr>
        <w:t>The National Health Service has been very reliant on the international recruitment of health workers</w:t>
      </w:r>
      <w:r>
        <w:rPr>
          <w:noProof/>
        </w:rPr>
        <w:t>. It has been estimated that 12 % of NHS staff in England are non-British. About 10 % of doctors and 7 % of nurses</w:t>
      </w:r>
      <w:r>
        <w:rPr>
          <w:noProof/>
        </w:rPr>
        <w:t xml:space="preserve"> working for the NHS are from other EU countries</w:t>
      </w:r>
      <w:r>
        <w:rPr>
          <w:rStyle w:val="FootnoteReference"/>
          <w:noProof/>
        </w:rPr>
        <w:footnoteReference w:id="22"/>
      </w:r>
      <w:r>
        <w:rPr>
          <w:noProof/>
        </w:rPr>
        <w:t>. Anticipated workforce shortages, restrictions on pay rises for NHS staff and questions about future staffing once the UK leaves the EU are sources of concern.</w:t>
      </w:r>
    </w:p>
    <w:p w:rsidR="00D329F2" w:rsidRDefault="008D7727">
      <w:pPr>
        <w:rPr>
          <w:noProof/>
        </w:rPr>
      </w:pPr>
      <w:r>
        <w:rPr>
          <w:b/>
          <w:noProof/>
        </w:rPr>
        <w:t>The healthcare system is currently under finan</w:t>
      </w:r>
      <w:r>
        <w:rPr>
          <w:b/>
          <w:noProof/>
        </w:rPr>
        <w:t>cial pressure and projected health care spending challenges the long-term fiscal sustainability of the health care system</w:t>
      </w:r>
      <w:r>
        <w:rPr>
          <w:noProof/>
        </w:rPr>
        <w:t>. Health services are predominantly financed from taxation. In 2015, 80 % of total health expenditure came from public sources (compara</w:t>
      </w:r>
      <w:r>
        <w:rPr>
          <w:noProof/>
        </w:rPr>
        <w:t>ble to the EU average of 79 %). Healthcare expenditure is expected to increase by at least 1.4 pps of GDP between 2016 and 2070, due to the ageing population. Based on the projections of the Ageing Report 2018 (forthcoming), this will threaten the medium a</w:t>
      </w:r>
      <w:r>
        <w:rPr>
          <w:noProof/>
        </w:rPr>
        <w:t xml:space="preserve">nd long-term fiscal sustainability of the system. In recent years, growth in health spending has not matched the increase in demand for healthcare (see Section 3.1). Official estimates from 2014, based on demand trends at that time and on an assumption of </w:t>
      </w:r>
      <w:r>
        <w:rPr>
          <w:noProof/>
        </w:rPr>
        <w:t>flat real-term funding increases, highlighted that by 2020-2021 there would be a GBP 30 billion (EUR 34 billion) shortfall in NHS funding in England. Subsequently, the government committed to inject extra funds into the health system while the NHS committe</w:t>
      </w:r>
      <w:r>
        <w:rPr>
          <w:noProof/>
        </w:rPr>
        <w:t xml:space="preserve">d to introduce further measures to improve effectiveness and efficiency. </w:t>
      </w:r>
    </w:p>
    <w:p w:rsidR="00D329F2" w:rsidRDefault="008D7727">
      <w:pPr>
        <w:rPr>
          <w:noProof/>
        </w:rPr>
        <w:sectPr w:rsidR="00D329F2">
          <w:headerReference w:type="even" r:id="rId103"/>
          <w:headerReference w:type="default" r:id="rId104"/>
          <w:footerReference w:type="even" r:id="rId105"/>
          <w:footerReference w:type="default" r:id="rId106"/>
          <w:headerReference w:type="first" r:id="rId107"/>
          <w:footerReference w:type="first" r:id="rId10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r>
        <w:rPr>
          <w:b/>
          <w:noProof/>
        </w:rPr>
        <w:br w:type="column"/>
        <w:t>Long-term car</w:t>
      </w:r>
      <w:r>
        <w:rPr>
          <w:b/>
          <w:noProof/>
        </w:rPr>
        <w:t>e is under severe financial pressure affecting access to, levels and quality of publicly funded care.</w:t>
      </w:r>
      <w:r>
        <w:rPr>
          <w:noProof/>
        </w:rPr>
        <w:t xml:space="preserve"> This reflects demographically-driven increases in demand, new cost pressures and cuts to the budgets for local authorities responsible for funding and pro</w:t>
      </w:r>
      <w:r>
        <w:rPr>
          <w:noProof/>
        </w:rPr>
        <w:t xml:space="preserve">viding care. Based on the projections of the Ageing Report, above average increases on expenditure on long-term care are projected until 2070. </w:t>
      </w:r>
    </w:p>
    <w:p w:rsidR="00D329F2" w:rsidRDefault="008D7727">
      <w:pPr>
        <w:pStyle w:val="SectionTitleFramed8"/>
        <w:framePr w:wrap="notBeside"/>
        <w:rPr>
          <w:noProof/>
        </w:rPr>
      </w:pPr>
      <w:bookmarkStart w:id="37" w:name="_Toc505334101"/>
      <w:r>
        <w:rPr>
          <w:noProof/>
        </w:rPr>
        <w:t>3.4. Investment</w:t>
      </w:r>
      <w:bookmarkEnd w:id="37"/>
    </w:p>
    <w:p w:rsidR="00D329F2" w:rsidRDefault="008D7727">
      <w:pPr>
        <w:pStyle w:val="Heading"/>
        <w:rPr>
          <w:noProof/>
        </w:rPr>
      </w:pPr>
      <w:r>
        <w:rPr>
          <w:noProof/>
        </w:rPr>
        <w:t>Investment trends</w:t>
      </w:r>
    </w:p>
    <w:p w:rsidR="00D329F2" w:rsidRDefault="008D7727">
      <w:pPr>
        <w:rPr>
          <w:noProof/>
        </w:rPr>
      </w:pPr>
      <w:r>
        <w:rPr>
          <w:b/>
          <w:noProof/>
        </w:rPr>
        <w:t>The UK has long had the lowest investment share in GDP of any G7 nation (Graph</w:t>
      </w:r>
      <w:r>
        <w:rPr>
          <w:b/>
          <w:noProof/>
        </w:rPr>
        <w:t xml:space="preserve"> 3.4.1)</w:t>
      </w:r>
      <w:r>
        <w:rPr>
          <w:noProof/>
        </w:rPr>
        <w:t>. Over the last 20 years, the UK’s average gross-physical-capital-formation-to-GDP ratio of 16.7 % was almost 3pps lower than the next lowest figure among a group of over 30 advanced EU and non-EU economies (ONS, 2017a). The UK has the lowest averag</w:t>
      </w:r>
      <w:r>
        <w:rPr>
          <w:noProof/>
        </w:rPr>
        <w:t>e non-government sector investment-to-GDP ratio, along with the second lowest average government sector investment-to-GDP ratio. However, there is evidence that the UK performs better on measures of intangible investment (European Commission, 2017c). Box 3</w:t>
      </w:r>
      <w:r>
        <w:rPr>
          <w:noProof/>
        </w:rPr>
        <w:t>.4.2 summarises UK investment trends and sets out the principal barriers to higher investment.</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38" w:name="_Toc507256311"/>
            <w:r>
              <w:rPr>
                <w:noProof/>
              </w:rPr>
              <w:t>Graph 3.4.1:</w:t>
            </w:r>
            <w:r>
              <w:rPr>
                <w:b/>
                <w:noProof/>
              </w:rPr>
              <w:tab/>
              <w:t>Investment shares in G7 nations, quarterly data</w:t>
            </w:r>
            <w:bookmarkEnd w:id="38"/>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57098096" wp14:editId="2296D289">
                  <wp:extent cx="2597595" cy="2438649"/>
                  <wp:effectExtent l="0" t="0" r="0" b="0"/>
                  <wp:docPr id="10" name="Picture 10" descr="&lt;nbr&gt;&lt;GETTEXTFROMWORD&gt;&lt;/nbr&gt;&#10;&lt;title&gt;&lt;GETTEXTFROMWORD&gt;&lt;/title&gt;&#10;&lt;id&gt;b1e3b6ae-2b6b-4b2e-8a1d-3a558c72766c&lt;/id&gt;&#10;&lt;srcType&gt;EXCEL&lt;/srcType&gt;&#10;&lt;srcPath&gt;\\net1\Ci\Public\2017 CRs\2018 European semester\28 UK\Revised Second Draft\Graphs&lt;/srcPath&gt;&#10;&lt;srcName&gt;3.4. Investment.xlsx&lt;/srcName&gt;&#10;&lt;type&gt;graph&lt;/type&gt;&#10; &lt;srcSheet&gt;Inv share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5:44:28&lt;/scrFileTime&gt;&#10;&lt;imageInformation&gt;&#10; &lt;dontScaleUp&gt;no&lt;/dontScaleUp&gt;&#10;&lt;/imageInformation&gt;&#10;&lt;url&gt;&lt;/url&gt;&#10;&lt;basedocguid&gt;{8CBE0632-E6E5-4C8A-850B-33D009745E0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2597595" cy="2438649"/>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OECD</w:t>
            </w:r>
          </w:p>
        </w:tc>
      </w:tr>
    </w:tbl>
    <w:p w:rsidR="00D329F2" w:rsidRDefault="008D7727">
      <w:pPr>
        <w:rPr>
          <w:noProof/>
        </w:rPr>
      </w:pPr>
      <w:r>
        <w:rPr>
          <w:b/>
          <w:noProof/>
        </w:rPr>
        <w:t>Private investment remains well below the EU average, particularly in equipment.</w:t>
      </w:r>
      <w:r>
        <w:rPr>
          <w:noProof/>
        </w:rPr>
        <w:t xml:space="preserve"> After recovering from a trough in the financial crisis, as set out in Section 1, private investment growth has stalled since 2015 and is projected to remain subdued in the UK, in contrast with a robust European and global picture. Low equipment investment</w:t>
      </w:r>
      <w:r>
        <w:rPr>
          <w:noProof/>
        </w:rPr>
        <w:t xml:space="preserve"> (Graph 3.4.2) is only partially accounted for by the relatively small weight of capital-intensive production industries in UK GDP, as within specific sectors fixed investment by UK firms is also relatively low. As set out in Section 3.2, the government ai</w:t>
      </w:r>
      <w:r>
        <w:rPr>
          <w:noProof/>
        </w:rPr>
        <w:t>ms to facilitate increased dwellings investment to address the chronic housing shortage. Housebuilding continues to grow, although the recovery in the broader construction sector lost momentum in 2017.</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39" w:name="_Toc507256312"/>
            <w:r>
              <w:rPr>
                <w:noProof/>
              </w:rPr>
              <w:t>Graph 3.4.2:</w:t>
            </w:r>
            <w:r>
              <w:rPr>
                <w:b/>
                <w:noProof/>
              </w:rPr>
              <w:tab/>
              <w:t xml:space="preserve">Equipment and dwellings investment share </w:t>
            </w:r>
            <w:r>
              <w:rPr>
                <w:b/>
                <w:noProof/>
              </w:rPr>
              <w:t>in the UK and the EU-27</w:t>
            </w:r>
            <w:bookmarkEnd w:id="39"/>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0F1795A8" wp14:editId="16D5173D">
                  <wp:extent cx="2597595" cy="2455391"/>
                  <wp:effectExtent l="0" t="0" r="0" b="0"/>
                  <wp:docPr id="8" name="Picture 8" descr="&lt;nbr&gt;&lt;GETTEXTFROMWORD&gt;&lt;/nbr&gt;&#10;&lt;title&gt;&lt;GETTEXTFROMWORD&gt;&lt;/title&gt;&#10;&lt;id&gt;a7eee335-62d0-4cb3-a3cf-921d6d61e770&lt;/id&gt;&#10;&lt;srcType&gt;EXCEL&lt;/srcType&gt;&#10;&lt;srcPath&gt;\\net1\Ci\Public\2017 CRs\2018 European semester\28 UK\Revised Second Draft\Graphs&lt;/srcPath&gt;&#10;&lt;srcName&gt;3.4. Investment.xlsx&lt;/srcName&gt;&#10;&lt;type&gt;graph&lt;/type&gt;&#10; &lt;srcSheet&gt;Equip dwell&lt;/srcSheet&gt;&#10; &lt;srcChartTitle&gt;Chart 7&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5:44:28&lt;/scrFileTime&gt;&#10;&lt;imageInformation&gt;&#10; &lt;dontScaleUp&gt;no&lt;/dontScaleUp&gt;&#10;&lt;/imageInformation&gt;&#10;&lt;url&gt;&lt;/url&gt;&#10;&lt;basedocguid&gt;{8CBE0632-E6E5-4C8A-850B-33D009745E0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597595" cy="2455391"/>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European Commission</w:t>
            </w:r>
          </w:p>
        </w:tc>
      </w:tr>
    </w:tbl>
    <w:p w:rsidR="00D329F2" w:rsidRDefault="008D7727">
      <w:pPr>
        <w:rPr>
          <w:noProof/>
        </w:rPr>
      </w:pPr>
      <w:r>
        <w:rPr>
          <w:b/>
          <w:noProof/>
        </w:rPr>
        <w:t>Public capital expenditure has risen somewhat in the last 2 years.</w:t>
      </w:r>
      <w:r>
        <w:rPr>
          <w:noProof/>
        </w:rPr>
        <w:t xml:space="preserve"> Total public sector net investment is projected to remain at around 2.0 % of GDP until 2019-2020. Since 2010, the government has inc</w:t>
      </w:r>
      <w:r>
        <w:rPr>
          <w:noProof/>
        </w:rPr>
        <w:t>reasingly focused public sector net investment on economic infrastructure, especially transport, while it has reduced the proportion spent on public services such as education and healthcare. Public sector construction rose in 2017, but it is set to fall s</w:t>
      </w:r>
      <w:r>
        <w:rPr>
          <w:noProof/>
        </w:rPr>
        <w:t>lightly in 2018 before picking up again.</w:t>
      </w:r>
    </w:p>
    <w:p w:rsidR="00D329F2" w:rsidRDefault="00D329F2">
      <w:pPr>
        <w:rPr>
          <w:b/>
          <w:noProof/>
        </w:rPr>
        <w:sectPr w:rsidR="00D329F2">
          <w:headerReference w:type="even" r:id="rId111"/>
          <w:headerReference w:type="default" r:id="rId112"/>
          <w:footerReference w:type="even" r:id="rId113"/>
          <w:footerReference w:type="default" r:id="rId114"/>
          <w:headerReference w:type="first" r:id="rId115"/>
          <w:footerReference w:type="first" r:id="rId11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329F2">
        <w:trPr>
          <w:jc w:val="center"/>
        </w:trPr>
        <w:tc>
          <w:tcPr>
            <w:tcW w:w="8721" w:type="dxa"/>
            <w:shd w:val="clear" w:color="auto" w:fill="F7FCFF"/>
          </w:tcPr>
          <w:p w:rsidR="00D329F2" w:rsidRDefault="008D7727">
            <w:pPr>
              <w:pStyle w:val="BoxTitle"/>
              <w:pageBreakBefore/>
              <w:rPr>
                <w:b/>
                <w:noProof/>
              </w:rPr>
            </w:pPr>
            <w:bookmarkStart w:id="40" w:name="_Toc505333670"/>
            <w:r>
              <w:rPr>
                <w:i/>
                <w:noProof/>
              </w:rPr>
              <w:t xml:space="preserve">Box 3.4.1: </w:t>
            </w:r>
            <w:r>
              <w:rPr>
                <w:b/>
                <w:noProof/>
              </w:rPr>
              <w:t>Policy highlights: Making infrastructure policy more coherent and long</w:t>
            </w:r>
            <w:r>
              <w:rPr>
                <w:b/>
                <w:noProof/>
              </w:rPr>
              <w:t xml:space="preserve"> term</w:t>
            </w:r>
            <w:bookmarkEnd w:id="40"/>
          </w:p>
          <w:p w:rsidR="00D329F2" w:rsidRDefault="008D7727">
            <w:pPr>
              <w:ind w:right="6"/>
              <w:rPr>
                <w:noProof/>
              </w:rPr>
            </w:pPr>
            <w:r>
              <w:rPr>
                <w:b/>
                <w:noProof/>
              </w:rPr>
              <w:t>The government has recently created two agencies to provide a more stable and long-term framework for infrastructure investment.</w:t>
            </w:r>
            <w:r>
              <w:rPr>
                <w:noProof/>
              </w:rPr>
              <w:t xml:space="preserve"> As discussed in Section 3, the UK requires major investment to meet current and projected future demand for housing and i</w:t>
            </w:r>
            <w:r>
              <w:rPr>
                <w:noProof/>
              </w:rPr>
              <w:t>nfrastructure, but there are currently shortcomings in infrastructure planning and implementation. The Infrastructure and Projects Authority (IPA), established in 2015, is in charge of monitoring projects and helping to deliver them. The National Infrastru</w:t>
            </w:r>
            <w:r>
              <w:rPr>
                <w:noProof/>
              </w:rPr>
              <w:t>cture Commission (NIC) is an independent body established in 2016 to conduct long-term infrastructure planning, for the economy as a whole and for selected key projects. The government has asked the NIC to assume that annual government spending on economic</w:t>
            </w:r>
            <w:r>
              <w:rPr>
                <w:noProof/>
              </w:rPr>
              <w:t xml:space="preserve"> infrastructure will be 1.0-1.2 % of GDP between 2020 and 2050, a slight increase on current levels.</w:t>
            </w:r>
          </w:p>
          <w:p w:rsidR="00D329F2" w:rsidRDefault="008D7727">
            <w:pPr>
              <w:ind w:right="6"/>
              <w:rPr>
                <w:noProof/>
              </w:rPr>
            </w:pPr>
            <w:r>
              <w:rPr>
                <w:b/>
                <w:noProof/>
              </w:rPr>
              <w:t>The infrastructure pipeline suggests that annual investment should grow substantially over the next decade</w:t>
            </w:r>
            <w:r>
              <w:rPr>
                <w:noProof/>
              </w:rPr>
              <w:t>. The IPA’s December 2017 National Infrastructure</w:t>
            </w:r>
            <w:r>
              <w:rPr>
                <w:noProof/>
              </w:rPr>
              <w:t xml:space="preserve"> and Construction Pipeline (IPA, 2017) provided an update on the delivery of the National Infrastructure Delivery Plan 2016-2021. The plan sets out a pipeline of over GBP 460 billion (EUR 525 billion) of planned public and private investment projects acros</w:t>
            </w:r>
            <w:r>
              <w:rPr>
                <w:noProof/>
              </w:rPr>
              <w:t>s the economy, of which GBP 240 billion (EUR 274 billion) is expected to be invested by 2021. The main components of the pipeline by value are energy generation, utilities, transport and social infrastructure. Over 45 % of the value of the pipeline require</w:t>
            </w:r>
            <w:r>
              <w:rPr>
                <w:noProof/>
              </w:rPr>
              <w:t>s private funding. Of this private funding, 40 % relates to privatised utilities subject to economic regulation. The IPA projects total infrastructure investment over the next decade at GBP 600 billion (EUR 685 billion). This implies that the total infrast</w:t>
            </w:r>
            <w:r>
              <w:rPr>
                <w:noProof/>
              </w:rPr>
              <w:t>ructure investment required in the five-year period 2021-2022 to 2026-2027 will be almost 50 % higher than what is on course to be delivered in the preceding 5 years (2016-2017 to 2020-2021).</w:t>
            </w:r>
          </w:p>
          <w:p w:rsidR="00D329F2" w:rsidRDefault="008D7727">
            <w:pPr>
              <w:ind w:right="6"/>
              <w:rPr>
                <w:noProof/>
                <w:szCs w:val="20"/>
              </w:rPr>
            </w:pPr>
            <w:r>
              <w:rPr>
                <w:b/>
                <w:noProof/>
              </w:rPr>
              <w:t>In October 2017, the NIC published its interim assessment of nat</w:t>
            </w:r>
            <w:r>
              <w:rPr>
                <w:b/>
                <w:noProof/>
              </w:rPr>
              <w:t>ional infrastructure priorities over the longer term </w:t>
            </w:r>
            <w:r>
              <w:rPr>
                <w:noProof/>
              </w:rPr>
              <w:t>(NIC, 2017a). The interim assessment is a ‘visions and priorities’ document that sets out the key objectives for the UK’s infrastructure networks between now and 2050. It sets out the challenges to deliv</w:t>
            </w:r>
            <w:r>
              <w:rPr>
                <w:noProof/>
              </w:rPr>
              <w:t xml:space="preserve">er investment in new, upgraded and replacement infrastructure, and outlines current weaknesses in infrastructure planning that need to be overcome. The interim assessment is a precursor to the first full National Infrastructure Assessment in 2018. The </w:t>
            </w:r>
            <w:r>
              <w:rPr>
                <w:noProof/>
                <w:szCs w:val="20"/>
              </w:rPr>
              <w:t xml:space="preserve">NIC </w:t>
            </w:r>
            <w:r>
              <w:rPr>
                <w:noProof/>
                <w:szCs w:val="20"/>
              </w:rPr>
              <w:t>has also emphasised the importance of the effective use of digital technologies for maximising the performance of existing infrastructure. This includes, for example, demand management systems in transport and energy networks, and the use of digital signal</w:t>
            </w:r>
            <w:r>
              <w:rPr>
                <w:noProof/>
                <w:szCs w:val="20"/>
              </w:rPr>
              <w:t>ling and sensors to increase the capacity of road and rail networks.</w:t>
            </w:r>
          </w:p>
          <w:p w:rsidR="00D329F2" w:rsidRDefault="008D7727">
            <w:pPr>
              <w:pStyle w:val="BoxText"/>
              <w:rPr>
                <w:noProof/>
              </w:rPr>
            </w:pPr>
            <w:r>
              <w:rPr>
                <w:b/>
                <w:noProof/>
                <w:sz w:val="20"/>
                <w:szCs w:val="20"/>
              </w:rPr>
              <w:t>The NIC also has a facilitator role</w:t>
            </w:r>
            <w:r>
              <w:rPr>
                <w:noProof/>
                <w:sz w:val="20"/>
                <w:szCs w:val="20"/>
              </w:rPr>
              <w:t>. In the Oxford-Milton Keynes-Cambridge corridor project (NIC, 2017b), which includes both a new railway line and housing developments, it has helped to</w:t>
            </w:r>
            <w:r>
              <w:rPr>
                <w:noProof/>
                <w:sz w:val="20"/>
                <w:szCs w:val="20"/>
              </w:rPr>
              <w:t xml:space="preserve"> bring the interested parties together. This is a positive example that could act as a pilot to support the government’s focus on city-regions, and on connecting homes and jobs.</w:t>
            </w:r>
            <w:r>
              <w:rPr>
                <w:noProof/>
              </w:rPr>
              <w:t xml:space="preserve"> </w:t>
            </w:r>
          </w:p>
        </w:tc>
      </w:tr>
    </w:tbl>
    <w:p w:rsidR="00D329F2" w:rsidRDefault="00D329F2">
      <w:pPr>
        <w:spacing w:after="0" w:line="20" w:lineRule="exact"/>
        <w:rPr>
          <w:b/>
          <w:noProof/>
          <w:sz w:val="2"/>
        </w:rPr>
        <w:sectPr w:rsidR="00D329F2">
          <w:headerReference w:type="even" r:id="rId117"/>
          <w:headerReference w:type="default" r:id="rId118"/>
          <w:footerReference w:type="even" r:id="rId119"/>
          <w:footerReference w:type="default" r:id="rId120"/>
          <w:headerReference w:type="first" r:id="rId121"/>
          <w:footerReference w:type="first" r:id="rId12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329F2" w:rsidRDefault="008D7727">
      <w:pPr>
        <w:pStyle w:val="Heading"/>
        <w:rPr>
          <w:noProof/>
        </w:rPr>
      </w:pPr>
      <w:r>
        <w:rPr>
          <w:noProof/>
        </w:rPr>
        <w:t>Infrastructure investment</w:t>
      </w:r>
    </w:p>
    <w:p w:rsidR="00D329F2" w:rsidRDefault="008D7727">
      <w:pPr>
        <w:rPr>
          <w:noProof/>
        </w:rPr>
      </w:pPr>
      <w:r>
        <w:rPr>
          <w:b/>
          <w:noProof/>
        </w:rPr>
        <w:t>The UK faces significant challenges to deliver modern network infrastructure with sufficient capacity to meet future demand.</w:t>
      </w:r>
      <w:r>
        <w:rPr>
          <w:noProof/>
        </w:rPr>
        <w:t xml:space="preserve"> As discussed in Section 3.5, road congestion is high and rail capacity is increasingly inadequate in places in the face of rapidly growing demand. There is also an increasingly urgent need for higher investment in new energy generation and supply capacity</w:t>
      </w:r>
      <w:r>
        <w:rPr>
          <w:noProof/>
        </w:rPr>
        <w:t>. While many firms are positive about the government’s infrastructure policy approach over the last five years, only 30 % are satisfied with the pace of delivery and almost three quarters doubt that overall infrastructure will improve by 2022 (CBI/AECOM, 2</w:t>
      </w:r>
      <w:r>
        <w:rPr>
          <w:noProof/>
        </w:rPr>
        <w:t>017). As discussed in Box 3.4.1, the government has established new agencies that aim to improve the coherence of infrastructure policy making, and support longer-term planning.</w:t>
      </w:r>
    </w:p>
    <w:p w:rsidR="00D329F2" w:rsidRDefault="008D7727">
      <w:pPr>
        <w:rPr>
          <w:noProof/>
          <w:highlight w:val="cyan"/>
        </w:rPr>
      </w:pPr>
      <w:r>
        <w:rPr>
          <w:b/>
          <w:noProof/>
        </w:rPr>
        <w:t>The government is prioritising public infrastructure investment, although it i</w:t>
      </w:r>
      <w:r>
        <w:rPr>
          <w:b/>
          <w:noProof/>
        </w:rPr>
        <w:t>s not clear if this will prove adequate.</w:t>
      </w:r>
      <w:r>
        <w:rPr>
          <w:noProof/>
        </w:rPr>
        <w:t xml:space="preserve"> In countries that do not have excess capacity, network infrastructure spending (construction and maintenance) tends to have particularly strong positive impacts on demand in the short term and on productivity in the</w:t>
      </w:r>
      <w:r>
        <w:rPr>
          <w:noProof/>
        </w:rPr>
        <w:t xml:space="preserve"> longer term (OECD, 2016). Given the scale of the challenge and the potential benefits, including the complementarity between public and business investment, there is a strong case for increased public investment spending in the UK. The ‘National Productiv</w:t>
      </w:r>
      <w:r>
        <w:rPr>
          <w:noProof/>
        </w:rPr>
        <w:t xml:space="preserve">ity Investment Fund’ (NPIF) will provide a total of GBP 31 billion (EUR 35 billion) of funding for infrastructure, housing and R&amp;D between 2017-2018 and 2022-2023, with a planned focus on regional growth, including improvements to infrastructure needed to </w:t>
      </w:r>
      <w:r>
        <w:rPr>
          <w:noProof/>
        </w:rPr>
        <w:t>support housing development. The European Investment Bank (EIB) has also had an important role in funding UK projects, particularly in infrastructure. The EIB lent EUR 6.93 billion (GBP 6.07 billion) to UK projects in 2016 and EUR 1.84 billion (GBP 1.61 bi</w:t>
      </w:r>
      <w:r>
        <w:rPr>
          <w:noProof/>
        </w:rPr>
        <w:t>llion) in 2017.</w:t>
      </w:r>
    </w:p>
    <w:p w:rsidR="00D329F2" w:rsidRDefault="008D7727">
      <w:pPr>
        <w:rPr>
          <w:noProof/>
        </w:rPr>
      </w:pPr>
      <w:r>
        <w:rPr>
          <w:b/>
          <w:noProof/>
        </w:rPr>
        <w:t>Recent analysis has identified scope for improving the economic returns from infrastructure investment on both the cost and benefit sides.</w:t>
      </w:r>
      <w:r>
        <w:rPr>
          <w:noProof/>
        </w:rPr>
        <w:t xml:space="preserve"> The unit cost of building and maintaining infrastructure is often particularly high in the UK. The UK</w:t>
      </w:r>
      <w:r>
        <w:rPr>
          <w:noProof/>
        </w:rPr>
        <w:t xml:space="preserve"> government acknowledges this and has set out plans to improve the effectiveness of infrastructure spending (IPA, 2017b). The UK is systematic in its use of cost benefit analysis in infrastructure projects, particularly in transport, but there remains scop</w:t>
      </w:r>
      <w:r>
        <w:rPr>
          <w:noProof/>
        </w:rPr>
        <w:t xml:space="preserve">e for improvement in planning and implementation (Institute for Government, 2017a). An analysis of the government’s management of six major projects, (Institute for Government 2017b) concluded that serious problems persist with: (i) comprehensive planning </w:t>
      </w:r>
      <w:r>
        <w:rPr>
          <w:noProof/>
        </w:rPr>
        <w:t>of infrastructure on a national basis; (ii) considering options at an early stage; (iii) modelling risks and costs; (iv) ensuring appropriate project and risk management capability within government; and (v) mustering the political will to address the issu</w:t>
      </w:r>
      <w:r>
        <w:rPr>
          <w:noProof/>
        </w:rPr>
        <w:t xml:space="preserve">e of ‘concentrated losers’. If successful, the increased policy focus on joining up different aspects of infrastructure, including transport and housing, could deliver higher future returns from transport investment than those captured in the core results </w:t>
      </w:r>
      <w:r>
        <w:rPr>
          <w:noProof/>
        </w:rPr>
        <w:t>of a cost benefit analysis.</w:t>
      </w:r>
    </w:p>
    <w:p w:rsidR="00D329F2" w:rsidRDefault="008D7727">
      <w:pPr>
        <w:rPr>
          <w:noProof/>
          <w:highlight w:val="yellow"/>
        </w:rPr>
      </w:pPr>
      <w:r>
        <w:rPr>
          <w:b/>
          <w:noProof/>
        </w:rPr>
        <w:t>The increased private financing envisaged by the IPA (Box 3.4.1) is not straightforward for new transport infrastructure.</w:t>
      </w:r>
      <w:r>
        <w:rPr>
          <w:noProof/>
        </w:rPr>
        <w:t xml:space="preserve"> It is important to carefully assess the feasibility and desirability of delivering transport infrastructur</w:t>
      </w:r>
      <w:r>
        <w:rPr>
          <w:noProof/>
        </w:rPr>
        <w:t>e with private capital on a project-by-project basis. The government has broadened the UK Guarantees scheme to allow construction guarantees. Although to date only GBP 4 billion (EUR 4.6 billion) of guarantees have been signed under this scheme compared to</w:t>
      </w:r>
      <w:r>
        <w:rPr>
          <w:noProof/>
        </w:rPr>
        <w:t xml:space="preserve"> a capacity of up to GBP 40 billion (EUR 46 billion), the government sees its added value as being as much about providing expertise and coordination as money. The government sees the potential to increase the currently limited use of private finance for e</w:t>
      </w:r>
      <w:r>
        <w:rPr>
          <w:noProof/>
        </w:rPr>
        <w:t>conomic infrastructure, while emphasising it needs to be careful to avoid repeating past mistakes, in particular where alternative approaches may have delivered lower full life costs (NAO, 2017d). The scope for pension funds to invest in the construction p</w:t>
      </w:r>
      <w:r>
        <w:rPr>
          <w:noProof/>
        </w:rPr>
        <w:t xml:space="preserve">hase of projects is limited by their risk aversion and financial regulations. For new public-private partnership projects, the government plans to publish the forecasted and actual rates of return annually, hence allowing a comparison between the expected </w:t>
      </w:r>
      <w:r>
        <w:rPr>
          <w:noProof/>
        </w:rPr>
        <w:t>and actual performance of projects.</w:t>
      </w:r>
    </w:p>
    <w:p w:rsidR="00D329F2" w:rsidRDefault="008D7727">
      <w:pPr>
        <w:pStyle w:val="Heading"/>
        <w:rPr>
          <w:noProof/>
        </w:rPr>
      </w:pPr>
      <w:r>
        <w:rPr>
          <w:noProof/>
        </w:rPr>
        <w:t>Productivity</w:t>
      </w:r>
    </w:p>
    <w:p w:rsidR="00D329F2" w:rsidRDefault="008D7727">
      <w:pPr>
        <w:rPr>
          <w:noProof/>
        </w:rPr>
      </w:pPr>
      <w:r>
        <w:rPr>
          <w:b/>
          <w:noProof/>
        </w:rPr>
        <w:t>UK productivity is significantly below the G7 average.</w:t>
      </w:r>
      <w:r>
        <w:rPr>
          <w:noProof/>
        </w:rPr>
        <w:t xml:space="preserve"> The UK is an open economy with a high employment rate and many positive aspects to its business environment which should tend to support hiring, investm</w:t>
      </w:r>
      <w:r>
        <w:rPr>
          <w:noProof/>
        </w:rPr>
        <w:t>ent and productivity. The UK also has comparatively low levels of regulation in product and labour markets, a high-quality public administration, deep capital markets, strong universities and a high stock of FDI. However, UK output per hour is 15 % below t</w:t>
      </w:r>
      <w:r>
        <w:rPr>
          <w:noProof/>
        </w:rPr>
        <w:t>he G7 average, and more than 20 % below what workers in France, Germany and the United States produce.</w:t>
      </w:r>
    </w:p>
    <w:p w:rsidR="00D329F2" w:rsidRDefault="008D7727">
      <w:pPr>
        <w:rPr>
          <w:noProof/>
        </w:rPr>
      </w:pPr>
      <w:r>
        <w:rPr>
          <w:b/>
          <w:noProof/>
        </w:rPr>
        <w:t>Labour productivity is no higher than it was a decade ago, and real wages remain well below their pre-crisis peak (see Graph 3.4.3)</w:t>
      </w:r>
      <w:r>
        <w:rPr>
          <w:noProof/>
        </w:rPr>
        <w:t>. In the decade before</w:t>
      </w:r>
      <w:r>
        <w:rPr>
          <w:noProof/>
        </w:rPr>
        <w:t xml:space="preserve"> the financial crisis the UK was catching up with the G7 average. However, more recently it has fallen further behind. In 2017-Q3 output per hour was only 1 % higher than it was a decade ago (ONS, 2017b). By 2016, the UK’s “productivity puzzle” — the diffe</w:t>
      </w:r>
      <w:r>
        <w:rPr>
          <w:noProof/>
        </w:rPr>
        <w:t>rence between the current level of labour productivity and what it would have been if the pre-downturn productivity trend had continued — was 15.8 %, the largest in the G7 (ONS, 2017c). The reasons for this shortfall were discussed in the 2016 country repo</w:t>
      </w:r>
      <w:r>
        <w:rPr>
          <w:noProof/>
        </w:rPr>
        <w:t>rt. Since 2010, a combination of strong employment growth and subdued investment has resulted in a falling stock of capital per worker employed (ONS</w:t>
      </w:r>
      <w:r>
        <w:rPr>
          <w:i/>
          <w:noProof/>
        </w:rPr>
        <w:t>,</w:t>
      </w:r>
      <w:r>
        <w:rPr>
          <w:noProof/>
        </w:rPr>
        <w:t xml:space="preserve"> 2017d).</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41" w:name="_Toc507256313"/>
            <w:r>
              <w:rPr>
                <w:noProof/>
              </w:rPr>
              <w:t>Graph 3.4.3:</w:t>
            </w:r>
            <w:r>
              <w:rPr>
                <w:b/>
                <w:noProof/>
              </w:rPr>
              <w:tab/>
              <w:t>Recent trends in UK labour productivity and real wages</w:t>
            </w:r>
            <w:bookmarkEnd w:id="41"/>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07E94466" wp14:editId="1AF1AA3D">
                  <wp:extent cx="2595057" cy="1793041"/>
                  <wp:effectExtent l="0" t="0" r="0" b="0"/>
                  <wp:docPr id="38" name="Picture 38" descr="&lt;nbr&gt;&lt;GETTEXTFROMWORD&gt;&lt;/nbr&gt;&#10;&lt;title&gt;&lt;GETTEXTFROMWORD&gt;&lt;/title&gt;&#10;&lt;id&gt;4e6db9c0-0d86-4ffc-aa24-06fe4fe28dd4&lt;/id&gt;&#10;&lt;srcType&gt;EXCEL&lt;/srcType&gt;&#10;&lt;srcPath&gt;\\net1\Ci\Public\2017 CRs\2018 European semester\28 UK\Revised Second Draft\Graphs&lt;/srcPath&gt;&#10;&lt;srcName&gt;3.4. Investment.xlsx&lt;/srcName&gt;&#10;&lt;type&gt;graph&lt;/type&gt;&#10; &lt;srcSheet&gt;Prod wage&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5:44:28&lt;/scrFileTime&gt;&#10;&lt;imageInformation&gt;&#10; &lt;dontScaleUp&gt;no&lt;/dontScaleUp&gt;&#10;&lt;/imageInformation&gt;&#10;&lt;url&gt;&lt;/url&gt;&#10;&lt;basedocguid&gt;{8CBE0632-E6E5-4C8A-850B-33D009745E0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97595" cy="1794795"/>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ONS and European Commission</w:t>
            </w:r>
          </w:p>
        </w:tc>
      </w:tr>
    </w:tbl>
    <w:p w:rsidR="00D329F2" w:rsidRDefault="008D7727">
      <w:pPr>
        <w:rPr>
          <w:noProof/>
        </w:rPr>
      </w:pPr>
      <w:r>
        <w:rPr>
          <w:b/>
          <w:noProof/>
        </w:rPr>
        <w:t>Most of the productivity slowdown occurred within sectors, although there has also been a shift in employment away from high-productivity sectors such as financial services, and oil and gas</w:t>
      </w:r>
      <w:r>
        <w:rPr>
          <w:noProof/>
        </w:rPr>
        <w:t>. Half of the within-sector productiv</w:t>
      </w:r>
      <w:r>
        <w:rPr>
          <w:noProof/>
        </w:rPr>
        <w:t xml:space="preserve">ity shortfall is accounted for by non-financial services (with IT and communications being the largest contributor), a quarter by financial services, and another quarter by manufacturing, other production and construction (Kierzenkowski et al, 2017a). The </w:t>
      </w:r>
      <w:r>
        <w:rPr>
          <w:noProof/>
        </w:rPr>
        <w:t>OECD recommended that for most regions there should be more government focus on improving the performance of service sectors that have a large weight in the economy, such as ICT and other knowledge-intensive services (OECD, 2017).</w:t>
      </w:r>
    </w:p>
    <w:p w:rsidR="00D329F2" w:rsidRDefault="008D7727">
      <w:pPr>
        <w:rPr>
          <w:noProof/>
        </w:rPr>
      </w:pPr>
      <w:r>
        <w:rPr>
          <w:b/>
          <w:noProof/>
        </w:rPr>
        <w:t>Medium-term prospects for</w:t>
      </w:r>
      <w:r>
        <w:rPr>
          <w:b/>
          <w:noProof/>
        </w:rPr>
        <w:t xml:space="preserve"> productivity look subdued.</w:t>
      </w:r>
      <w:r>
        <w:rPr>
          <w:noProof/>
        </w:rPr>
        <w:t xml:space="preserve"> Since 2010, the OBR had, like other forecasters, been consistently overoptimistic on UK productivity by predicting an imminent return to close to pre-crisis growth rates. It is now clear that the lower post-crisis level and grow</w:t>
      </w:r>
      <w:r>
        <w:rPr>
          <w:noProof/>
        </w:rPr>
        <w:t>th of productivity is mainly structural rather than cyclical. In its November 2017 Economic and Fiscal Outlook the OBR sharply downgraded its forecast for medium-term UK productivity growth, by an average of 0.7 pps. to between 0.9 % and 1.2 % per year unt</w:t>
      </w:r>
      <w:r>
        <w:rPr>
          <w:noProof/>
        </w:rPr>
        <w:t>il 2023 (OBR, 2017c). As a result the OBR expect that by the beginning of 2023 output per hour will be 27 % below an extrapolation of the pre-crisis trend.</w:t>
      </w:r>
    </w:p>
    <w:p w:rsidR="00D329F2" w:rsidRDefault="008D7727">
      <w:pPr>
        <w:rPr>
          <w:noProof/>
        </w:rPr>
      </w:pPr>
      <w:r>
        <w:rPr>
          <w:b/>
          <w:noProof/>
        </w:rPr>
        <w:t>On 27 November 2017 the government released an Industrial Strategy White Paper (BEIS, 2017a).</w:t>
      </w:r>
      <w:r>
        <w:rPr>
          <w:noProof/>
        </w:rPr>
        <w:t xml:space="preserve"> The wh</w:t>
      </w:r>
      <w:r>
        <w:rPr>
          <w:noProof/>
        </w:rPr>
        <w:t>ite paper set out plans to address the UK’s weak overall productivity performance and to consolidate or develop sectoral strengths. The paper focused on five ‘foundations of productivity’ — ideas, people, infrastructure, business environment and places. It</w:t>
      </w:r>
      <w:r>
        <w:rPr>
          <w:noProof/>
        </w:rPr>
        <w:t xml:space="preserve"> also identified four ‘grand challenges’ — artificial intelligence, clean growth, ageing society and the future of mobility. In line with other recent reports on the UK productivity challenge, it put a major focus on addressing broad-based underperformance</w:t>
      </w:r>
      <w:r>
        <w:rPr>
          <w:noProof/>
        </w:rPr>
        <w:t xml:space="preserve"> across sectors, firms and places, as well as supporting innovation and pockets of excellence. The four ‘sector deals’ announced in the paper — artificial intelligence, automotive, construction, life sciences — reflect this balance.</w:t>
      </w:r>
    </w:p>
    <w:p w:rsidR="00D329F2" w:rsidRDefault="008D7727">
      <w:pPr>
        <w:rPr>
          <w:noProof/>
        </w:rPr>
      </w:pPr>
      <w:r>
        <w:rPr>
          <w:b/>
          <w:noProof/>
        </w:rPr>
        <w:t>The UK has pockets of e</w:t>
      </w:r>
      <w:r>
        <w:rPr>
          <w:b/>
          <w:noProof/>
        </w:rPr>
        <w:t>xcellence, but a wide dispersion of firm-level performance.</w:t>
      </w:r>
      <w:r>
        <w:rPr>
          <w:noProof/>
        </w:rPr>
        <w:t xml:space="preserve"> The UK has many high-performing sectors and firms, which are well integrated into global value chains. The UK’s sectoral strengths are focused in areas where intangible assets are especially impor</w:t>
      </w:r>
      <w:r>
        <w:rPr>
          <w:noProof/>
        </w:rPr>
        <w:t>tant, for example pharmaceuticals, higher education and financial and professional services. Among manufacturing firms, average output per worker and management practices are both considerably higher in multinationals than domestic firms, with productivity</w:t>
      </w:r>
      <w:r>
        <w:rPr>
          <w:noProof/>
        </w:rPr>
        <w:t xml:space="preserve"> lowest in firms with family ownership and management (ONS, 2017e). After adjusting for size, industry and other factors, firms with inward FDI are 75 % more productive than non-FDI firms (ONS</w:t>
      </w:r>
      <w:r>
        <w:rPr>
          <w:i/>
          <w:noProof/>
        </w:rPr>
        <w:t>,</w:t>
      </w:r>
      <w:r>
        <w:rPr>
          <w:noProof/>
        </w:rPr>
        <w:t xml:space="preserve"> 2017f). The gap in service productivity between high and low-p</w:t>
      </w:r>
      <w:r>
        <w:rPr>
          <w:noProof/>
        </w:rPr>
        <w:t>erforming firms is 50 % larger in the UK than other advanced economies and has been widening over time (Haldane, 2017).</w:t>
      </w:r>
    </w:p>
    <w:p w:rsidR="00D329F2" w:rsidRDefault="008D7727">
      <w:pPr>
        <w:rPr>
          <w:noProof/>
        </w:rPr>
      </w:pPr>
      <w:r>
        <w:rPr>
          <w:b/>
          <w:noProof/>
        </w:rPr>
        <w:t>The UK has a long tail of poor performance, with much of the economy operating far from the productivity frontier.</w:t>
      </w:r>
      <w:r>
        <w:rPr>
          <w:noProof/>
        </w:rPr>
        <w:t xml:space="preserve"> Across large parts of</w:t>
      </w:r>
      <w:r>
        <w:rPr>
          <w:noProof/>
        </w:rPr>
        <w:t xml:space="preserve"> the economy, the UK has long lagged behind its main competitors on the main drivers of productivity — skills, investment and the adoption and implementation of efficient business processes. A combination of patchy management, low equipment and R&amp;D spendin</w:t>
      </w:r>
      <w:r>
        <w:rPr>
          <w:noProof/>
        </w:rPr>
        <w:t>g, and gaps in workforce skills hold back innovation and its diffusion, particularly in domestic firms (OECD, 2017). The Confederation of British Industry (CBI) recently emphasised the need for a public policy focus on promoting the more consistent and app</w:t>
      </w:r>
      <w:r>
        <w:rPr>
          <w:noProof/>
        </w:rPr>
        <w:t>ropriate diffusion of existing technology and business best practice (CBI, 2017). For example, across UK manufacturing as a whole, the density of industrial robots is one of the lowest in the OECD (IFR, 2016), while the proportion of UK businesses using te</w:t>
      </w:r>
      <w:r>
        <w:rPr>
          <w:noProof/>
        </w:rPr>
        <w:t>chnologies such as electronic information sharing (19 %) and radio-frequency identification (7.7 %) are among the lowest in the EU (European Commission, 2017d). The business-led Productivity Council focuses on improving business-to-business engagement, sup</w:t>
      </w:r>
      <w:r>
        <w:rPr>
          <w:noProof/>
        </w:rPr>
        <w:t>ported by government funding.</w:t>
      </w:r>
    </w:p>
    <w:p w:rsidR="00D329F2" w:rsidRDefault="008D7727">
      <w:pPr>
        <w:rPr>
          <w:noProof/>
        </w:rPr>
      </w:pPr>
      <w:r>
        <w:rPr>
          <w:b/>
          <w:noProof/>
        </w:rPr>
        <w:t>Productivity is also held down by impediments to the efficient allocation of capital and labour.</w:t>
      </w:r>
      <w:r>
        <w:rPr>
          <w:noProof/>
        </w:rPr>
        <w:t xml:space="preserve"> Since the financial crisis, flows of labour and capital between companies have been unusually low, and the dispersion in rates of</w:t>
      </w:r>
      <w:r>
        <w:rPr>
          <w:noProof/>
        </w:rPr>
        <w:t xml:space="preserve"> return between sectors has been high (Haldane, 2017). This may be partly caused by ‘zombie firms’, which have poor performance and prospects but have been able to continue to operate and to tie up capital and resources. However, the number of such firms i</w:t>
      </w:r>
      <w:r>
        <w:rPr>
          <w:noProof/>
        </w:rPr>
        <w:t>s not especially high in the UK (Adalet McGowan et al, 2017). Higher financing costs may lead to a more rapid exit from the market among the least productive and least profitable firms.</w:t>
      </w:r>
    </w:p>
    <w:p w:rsidR="00D329F2" w:rsidRDefault="008D7727">
      <w:pPr>
        <w:rPr>
          <w:noProof/>
        </w:rPr>
      </w:pPr>
      <w:r>
        <w:rPr>
          <w:b/>
          <w:noProof/>
        </w:rPr>
        <w:t>The housing shortage (discussed in Section 3.2) is part of the problem</w:t>
      </w:r>
      <w:r>
        <w:rPr>
          <w:noProof/>
        </w:rPr>
        <w:t>. The OECD emphasises the importance of relaxing barriers to housing supply so as to improve resource allocation, and specifically to allow cities to grow in an organic way (OECD, 2017). Despite its much higher productivity, in terms of household disposabl</w:t>
      </w:r>
      <w:r>
        <w:rPr>
          <w:noProof/>
        </w:rPr>
        <w:t xml:space="preserve">e income after housing costs London is only at the national average (Resolution Foundation, 2017d). </w:t>
      </w:r>
    </w:p>
    <w:p w:rsidR="00D329F2" w:rsidRDefault="008D7727">
      <w:pPr>
        <w:rPr>
          <w:noProof/>
        </w:rPr>
      </w:pPr>
      <w:r>
        <w:rPr>
          <w:b/>
          <w:noProof/>
        </w:rPr>
        <w:t>The UK also has large regional disparities in productivity, with low levels outside London and South East England (Graph 3.4.4)</w:t>
      </w:r>
      <w:r>
        <w:rPr>
          <w:noProof/>
        </w:rPr>
        <w:t xml:space="preserve">. Out of 15 UK metropolitan </w:t>
      </w:r>
      <w:r>
        <w:rPr>
          <w:noProof/>
        </w:rPr>
        <w:t>areas, 11 have a lower productivity than the average metropolitan area in the OECD (OECD, 2017). In contrast, London has a congestion and costs issue to address to cement its status as a leading global economic hub. The OECD found that overall regional inv</w:t>
      </w:r>
      <w:r>
        <w:rPr>
          <w:noProof/>
        </w:rPr>
        <w:t>estment ratios appear weakly linked to productivity, with the sectoral composition of regions and their type of investment more important (Kierzenkowski et al., 2017b).</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42" w:name="_Toc507256314"/>
            <w:r>
              <w:rPr>
                <w:noProof/>
              </w:rPr>
              <w:t>Graph 3.4.4:</w:t>
            </w:r>
            <w:r>
              <w:rPr>
                <w:b/>
                <w:noProof/>
              </w:rPr>
              <w:tab/>
              <w:t>Regional disparities in nominal labour productivity</w:t>
            </w:r>
            <w:bookmarkEnd w:id="42"/>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441CADF1" wp14:editId="1B49D0D8">
                  <wp:extent cx="2595057" cy="2283446"/>
                  <wp:effectExtent l="0" t="0" r="0" b="0"/>
                  <wp:docPr id="7" name="Picture 7" descr="&lt;nbr&gt;&lt;GETTEXTFROMWORD&gt;&lt;/nbr&gt;&#10;&lt;title&gt;&lt;GETTEXTFROMWORD&gt;&lt;/title&gt;&#10;&lt;id&gt;64ab5d59-3323-4d4c-81b2-26d43fbcae17&lt;/id&gt;&#10;&lt;srcType&gt;EXCEL&lt;/srcType&gt;&#10;&lt;srcPath&gt;\\net1\Ci\Public\2017 CRs\2018 European semester\28 UK\Revised Second Draft\Graphs&lt;/srcPath&gt;&#10;&lt;srcName&gt;3.4. Investment.xlsx&lt;/srcName&gt;&#10;&lt;type&gt;graph&lt;/type&gt;&#10; &lt;srcSheet&gt;Reg dis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5:44:28&lt;/scrFileTime&gt;&#10;&lt;imageInformation&gt;&#10; &lt;dontScaleUp&gt;no&lt;/dontScaleUp&gt;&#10;&lt;/imageInformation&gt;&#10;&lt;url&gt;&lt;/url&gt;&#10;&lt;basedocguid&gt;{8CBE0632-E6E5-4C8A-850B-33D009745E0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7595" cy="2285679"/>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rPr>
                <w:noProof/>
              </w:rPr>
            </w:pPr>
            <w:r>
              <w:rPr>
                <w:b/>
                <w:i/>
                <w:noProof/>
              </w:rPr>
              <w:t>Source:</w:t>
            </w:r>
            <w:r>
              <w:rPr>
                <w:noProof/>
              </w:rPr>
              <w:t xml:space="preserve"> ONS</w:t>
            </w:r>
          </w:p>
        </w:tc>
      </w:tr>
    </w:tbl>
    <w:p w:rsidR="00D329F2" w:rsidRDefault="008D7727">
      <w:pPr>
        <w:rPr>
          <w:noProof/>
        </w:rPr>
      </w:pPr>
      <w:r>
        <w:rPr>
          <w:b/>
          <w:noProof/>
        </w:rPr>
        <w:t>Regional differences in R&amp;D spending are also large.</w:t>
      </w:r>
      <w:r>
        <w:rPr>
          <w:noProof/>
        </w:rPr>
        <w:t xml:space="preserve"> Overall UK R&amp;D spending is below the EU average (see Section 3.5). R&amp;D intensity in the East of England is similar to levels in Sweden at 3.5 % of GDP, with South East England at 2.4 %. By contrast, Nort</w:t>
      </w:r>
      <w:r>
        <w:rPr>
          <w:noProof/>
        </w:rPr>
        <w:t>h East England, London (</w:t>
      </w:r>
      <w:r>
        <w:rPr>
          <w:noProof/>
          <w:vertAlign w:val="superscript"/>
        </w:rPr>
        <w:footnoteReference w:id="23"/>
      </w:r>
      <w:r>
        <w:rPr>
          <w:noProof/>
        </w:rPr>
        <w:t>) and Yorkshire and the Humber invest only around 1-1.1 % of their GDP in R&amp;D.</w:t>
      </w:r>
    </w:p>
    <w:p w:rsidR="00D329F2" w:rsidRDefault="008D7727">
      <w:pPr>
        <w:rPr>
          <w:noProof/>
        </w:rPr>
      </w:pPr>
      <w:r>
        <w:rPr>
          <w:b/>
          <w:noProof/>
        </w:rPr>
        <w:t>The government seeks to make investment and growth policy in city regions more coherent</w:t>
      </w:r>
      <w:r>
        <w:rPr>
          <w:noProof/>
        </w:rPr>
        <w:t>. To date there is little sign of low-performing regions convergi</w:t>
      </w:r>
      <w:r>
        <w:rPr>
          <w:noProof/>
        </w:rPr>
        <w:t>ng with London and South East England. Boosting relatively low living standards in these regions (see Section 3.3) will require addressing deficiencies in human and physical capital and capturing potential agglomeration benefits within and across city regi</w:t>
      </w:r>
      <w:r>
        <w:rPr>
          <w:noProof/>
        </w:rPr>
        <w:t>ons, including through improved transport connectivity (see Section 3.5). The government recognises this will require both higher infrastructure investment outside London and an improvement in the returns from that investment through better coordination be</w:t>
      </w:r>
      <w:r>
        <w:rPr>
          <w:noProof/>
        </w:rPr>
        <w:t>tween both transport and housing policy, and different layers of government and the private sector.</w:t>
      </w:r>
    </w:p>
    <w:p w:rsidR="00D329F2" w:rsidRDefault="00D329F2">
      <w:pPr>
        <w:rPr>
          <w:noProof/>
        </w:rPr>
        <w:sectPr w:rsidR="00D329F2">
          <w:headerReference w:type="even" r:id="rId125"/>
          <w:headerReference w:type="default" r:id="rId126"/>
          <w:footerReference w:type="even" r:id="rId127"/>
          <w:footerReference w:type="default" r:id="rId128"/>
          <w:headerReference w:type="first" r:id="rId129"/>
          <w:footerReference w:type="first" r:id="rId13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D329F2">
        <w:trPr>
          <w:jc w:val="center"/>
        </w:trPr>
        <w:tc>
          <w:tcPr>
            <w:tcW w:w="8721" w:type="dxa"/>
            <w:shd w:val="clear" w:color="auto" w:fill="F7FCFF"/>
          </w:tcPr>
          <w:p w:rsidR="00D329F2" w:rsidRDefault="008D7727">
            <w:pPr>
              <w:pStyle w:val="BoxTitle"/>
              <w:pageBreakBefore/>
              <w:rPr>
                <w:b/>
                <w:noProof/>
              </w:rPr>
            </w:pPr>
            <w:bookmarkStart w:id="43" w:name="_Toc505333671"/>
            <w:r>
              <w:rPr>
                <w:i/>
                <w:noProof/>
              </w:rPr>
              <w:t xml:space="preserve">Box 3.4.2: </w:t>
            </w:r>
            <w:r>
              <w:rPr>
                <w:b/>
                <w:noProof/>
              </w:rPr>
              <w:t>Investment</w:t>
            </w:r>
            <w:r>
              <w:rPr>
                <w:b/>
                <w:noProof/>
              </w:rPr>
              <w:t xml:space="preserve"> challenges and reforms in the United Kingdom</w:t>
            </w:r>
            <w:bookmarkEnd w:id="43"/>
          </w:p>
          <w:p w:rsidR="00D329F2" w:rsidRDefault="008D7727">
            <w:pPr>
              <w:pStyle w:val="BoxText"/>
              <w:rPr>
                <w:b/>
                <w:noProof/>
                <w:color w:val="auto"/>
              </w:rPr>
            </w:pPr>
            <w:r>
              <w:rPr>
                <w:b/>
                <w:noProof/>
                <w:color w:val="auto"/>
              </w:rPr>
              <w:t>Macroeconomic perspective</w:t>
            </w:r>
          </w:p>
          <w:p w:rsidR="00D329F2" w:rsidRDefault="008D7727">
            <w:pPr>
              <w:pStyle w:val="BoxText"/>
              <w:rPr>
                <w:noProof/>
              </w:rPr>
            </w:pPr>
            <w:r>
              <w:rPr>
                <w:noProof/>
              </w:rPr>
              <w:t>Total physical investment in the UK (measured as gross fixed capital formation) fell significantly during the crisis, with a sharp fall in private investment only partially offset by a</w:t>
            </w:r>
            <w:r>
              <w:rPr>
                <w:noProof/>
              </w:rPr>
              <w:t xml:space="preserve"> temporary increase in public investment. Public investment is marginally below the EU average (see Section 3.4) and there are shortcomings in transport infrastructure (see Section 3.5). Private investment is significantly below the EU average, despite a r</w:t>
            </w:r>
            <w:r>
              <w:rPr>
                <w:noProof/>
              </w:rPr>
              <w:t>obust recovery from a post-crisis trough. Equipment investment is particularly low, which is only partly related to the UK’s specialisation in services. Relatively low housebuilding has contributed to the UK’s housing shortage (see Section 3.2). Heightened</w:t>
            </w:r>
            <w:r>
              <w:rPr>
                <w:noProof/>
              </w:rPr>
              <w:t xml:space="preserve"> uncertainty is currently weighing on investment, and this is set to persist (see Section 1).</w:t>
            </w:r>
          </w:p>
          <w:p w:rsidR="00D329F2" w:rsidRDefault="008D7727">
            <w:pPr>
              <w:pStyle w:val="BoxText"/>
              <w:spacing w:after="120"/>
              <w:rPr>
                <w:noProof/>
                <w:color w:val="auto"/>
              </w:rPr>
            </w:pPr>
            <w:r>
              <w:rPr>
                <w:b/>
                <w:noProof/>
                <w:color w:val="auto"/>
              </w:rPr>
              <w:t>Assessment of barriers to investment and ongoing reforms</w:t>
            </w:r>
          </w:p>
          <w:p w:rsidR="00D329F2" w:rsidRDefault="008D7727">
            <w:pPr>
              <w:pStyle w:val="BoxText"/>
              <w:spacing w:after="120"/>
              <w:rPr>
                <w:noProof/>
              </w:rPr>
            </w:pPr>
            <w:r>
              <w:rPr>
                <w:noProof/>
                <w:lang w:eastAsia="en-GB"/>
              </w:rPr>
              <w:drawing>
                <wp:inline distT="0" distB="0" distL="0" distR="0" wp14:anchorId="79DD9D39" wp14:editId="45E57ABC">
                  <wp:extent cx="5039995" cy="206625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039995" cy="2066256"/>
                          </a:xfrm>
                          <a:prstGeom prst="rect">
                            <a:avLst/>
                          </a:prstGeom>
                          <a:noFill/>
                          <a:ln>
                            <a:noFill/>
                          </a:ln>
                        </pic:spPr>
                      </pic:pic>
                    </a:graphicData>
                  </a:graphic>
                </wp:inline>
              </w:drawing>
            </w:r>
          </w:p>
          <w:p w:rsidR="00D329F2" w:rsidRDefault="008D7727">
            <w:pPr>
              <w:pStyle w:val="BoxText"/>
              <w:rPr>
                <w:noProof/>
              </w:rPr>
            </w:pPr>
            <w:r>
              <w:rPr>
                <w:noProof/>
              </w:rPr>
              <w:t>Overall barriers to private investment in the UK are moderate, as confirmed by the European Commission’</w:t>
            </w:r>
            <w:r>
              <w:rPr>
                <w:noProof/>
              </w:rPr>
              <w:t>s assessment. Relevant reforms have been adopted on spatial planning and technical skills, but effective implementation is challenging and structural problems remain.</w:t>
            </w:r>
          </w:p>
          <w:p w:rsidR="00D329F2" w:rsidRDefault="008D7727">
            <w:pPr>
              <w:pStyle w:val="BoxText"/>
              <w:rPr>
                <w:b/>
                <w:noProof/>
              </w:rPr>
            </w:pPr>
            <w:r>
              <w:rPr>
                <w:b/>
                <w:noProof/>
              </w:rPr>
              <w:t>Main barriers to investment and priority actions underway</w:t>
            </w:r>
          </w:p>
          <w:p w:rsidR="00D329F2" w:rsidRDefault="008D7727">
            <w:pPr>
              <w:pStyle w:val="BoxText"/>
              <w:rPr>
                <w:noProof/>
              </w:rPr>
            </w:pPr>
            <w:r>
              <w:rPr>
                <w:b/>
                <w:noProof/>
              </w:rPr>
              <w:t>1. Spatial planning regulations</w:t>
            </w:r>
            <w:r>
              <w:rPr>
                <w:b/>
                <w:noProof/>
              </w:rPr>
              <w:t>:</w:t>
            </w:r>
            <w:r>
              <w:rPr>
                <w:noProof/>
              </w:rPr>
              <w:t xml:space="preserve"> Regulation of the land market, particularly of residential construction, is strict and complex (see Section 3.2). The process of obtaining planning permission is often lengthy, complex, uncertain and costly. Limits on the scope for development, particular</w:t>
            </w:r>
            <w:r>
              <w:rPr>
                <w:noProof/>
              </w:rPr>
              <w:t>ly around poles of economic growth, have led to an undersupply of housing and very high prices of non-agricultural land. Expensive land and the complex planning system contribute to the tendency for infrastructure projects to take longer and cost more than</w:t>
            </w:r>
            <w:r>
              <w:rPr>
                <w:noProof/>
              </w:rPr>
              <w:t xml:space="preserve"> in other European countries (see Section 3.4). Planning restrictions can also hinder the use of modern, efficient commercial buildings and equipment. Substantial ongoing reforms to the planning system should help to facilitate increased development but ma</w:t>
            </w:r>
            <w:r>
              <w:rPr>
                <w:noProof/>
              </w:rPr>
              <w:t>y not prove sufficient.</w:t>
            </w:r>
          </w:p>
          <w:p w:rsidR="00D329F2" w:rsidRDefault="008D7727">
            <w:pPr>
              <w:pStyle w:val="BoxText"/>
              <w:spacing w:after="0"/>
              <w:rPr>
                <w:noProof/>
              </w:rPr>
            </w:pPr>
            <w:r>
              <w:rPr>
                <w:b/>
                <w:noProof/>
              </w:rPr>
              <w:t>2. Technical skills:</w:t>
            </w:r>
            <w:r>
              <w:rPr>
                <w:noProof/>
              </w:rPr>
              <w:t xml:space="preserve"> While the UK has a strong higher education system, there are weaknesses in both technical and basic skills (see Section 3.3) which contribute to the UK’s weak productivity performance. More specifically, skills </w:t>
            </w:r>
            <w:r>
              <w:rPr>
                <w:noProof/>
              </w:rPr>
              <w:t>shortages are often most acute in occupations linked closely to investment, such as engineers, tradespeople and construction workers. The UK is implementing a programme to expand and reform the apprenticeship system. The government intends to add responsib</w:t>
            </w:r>
            <w:r>
              <w:rPr>
                <w:noProof/>
              </w:rPr>
              <w:t>ilities to the new Institute for Apprenticeships by expanding its remit and renaming it the Institute for Apprenticeships and Technical Education from April 2018. This, and wider plans to address skills issues set out in the new Post-16 Skills Plan, are am</w:t>
            </w:r>
            <w:r>
              <w:rPr>
                <w:noProof/>
              </w:rPr>
              <w:t xml:space="preserve">bitious in intention and will require coherent, committed and timely implementation. </w:t>
            </w:r>
          </w:p>
        </w:tc>
      </w:tr>
    </w:tbl>
    <w:p w:rsidR="00D329F2" w:rsidRDefault="00D329F2">
      <w:pPr>
        <w:spacing w:after="0" w:line="20" w:lineRule="exact"/>
        <w:rPr>
          <w:noProof/>
          <w:sz w:val="2"/>
        </w:rPr>
        <w:sectPr w:rsidR="00D329F2">
          <w:headerReference w:type="even" r:id="rId132"/>
          <w:headerReference w:type="default" r:id="rId133"/>
          <w:footerReference w:type="even" r:id="rId134"/>
          <w:footerReference w:type="default" r:id="rId135"/>
          <w:headerReference w:type="first" r:id="rId136"/>
          <w:footerReference w:type="first" r:id="rId13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D329F2" w:rsidRDefault="00D329F2">
      <w:pPr>
        <w:rPr>
          <w:noProof/>
        </w:rPr>
        <w:sectPr w:rsidR="00D329F2">
          <w:headerReference w:type="even" r:id="rId138"/>
          <w:headerReference w:type="default" r:id="rId139"/>
          <w:footerReference w:type="even" r:id="rId140"/>
          <w:footerReference w:type="default" r:id="rId141"/>
          <w:headerReference w:type="first" r:id="rId142"/>
          <w:footerReference w:type="first" r:id="rId143"/>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D329F2" w:rsidRDefault="008D7727">
      <w:pPr>
        <w:pStyle w:val="SectionTitleFramed9"/>
        <w:framePr w:wrap="notBeside"/>
        <w:rPr>
          <w:noProof/>
        </w:rPr>
      </w:pPr>
      <w:bookmarkStart w:id="44" w:name="_Toc505334102"/>
      <w:r>
        <w:rPr>
          <w:noProof/>
        </w:rPr>
        <w:t>3.5. Sectoral policies</w:t>
      </w:r>
      <w:bookmarkEnd w:id="44"/>
    </w:p>
    <w:p w:rsidR="00D329F2" w:rsidRDefault="008D7727">
      <w:pPr>
        <w:pStyle w:val="Heading"/>
        <w:rPr>
          <w:noProof/>
        </w:rPr>
      </w:pPr>
      <w:r>
        <w:rPr>
          <w:noProof/>
        </w:rPr>
        <w:t>Transport infrastructure</w:t>
      </w:r>
    </w:p>
    <w:p w:rsidR="00D329F2" w:rsidRDefault="008D7727">
      <w:pPr>
        <w:widowControl w:val="0"/>
        <w:rPr>
          <w:noProof/>
        </w:rPr>
      </w:pPr>
      <w:r>
        <w:rPr>
          <w:b/>
          <w:noProof/>
        </w:rPr>
        <w:t>The UK’s road, rail and aviation networks have significant and growing capacity pressures.</w:t>
      </w:r>
      <w:r>
        <w:rPr>
          <w:noProof/>
        </w:rPr>
        <w:t xml:space="preserve"> Relative to population, the UK’s road and rail networks are less dense than the EU average (European Commission, 2017e). In terms of higher capacity routes — motorways and electrified rail — the UK has fallen further behind the EU average since the mid-19</w:t>
      </w:r>
      <w:r>
        <w:rPr>
          <w:noProof/>
        </w:rPr>
        <w:t>90s (</w:t>
      </w:r>
      <w:r>
        <w:rPr>
          <w:i/>
          <w:noProof/>
        </w:rPr>
        <w:t>ibid</w:t>
      </w:r>
      <w:r>
        <w:rPr>
          <w:noProof/>
        </w:rPr>
        <w:t>.). At the same time, demand and congestion have been rising, corresponding to longer commutes (Trade Union Congress, 2017). The NIC projects that, by 2050, road use in Great Britain could grow by 37-61 % and rail use by 12-43 % (NIC, 2017a). Rail</w:t>
      </w:r>
      <w:r>
        <w:rPr>
          <w:noProof/>
        </w:rPr>
        <w:t xml:space="preserve"> freight has the potential to nearly double by 2030 if allowed to grow unconstrained (DfT, 2014).</w:t>
      </w:r>
    </w:p>
    <w:p w:rsidR="00D329F2" w:rsidRDefault="008D7727">
      <w:pPr>
        <w:widowControl w:val="0"/>
        <w:rPr>
          <w:noProof/>
        </w:rPr>
      </w:pPr>
      <w:r>
        <w:rPr>
          <w:b/>
          <w:noProof/>
        </w:rPr>
        <w:t>There are challenges to both increase transport investment and improve its targeting and efficiency.</w:t>
      </w:r>
      <w:r>
        <w:rPr>
          <w:noProof/>
        </w:rPr>
        <w:t xml:space="preserve"> As set out in Section 3.4, high congestion and relatively</w:t>
      </w:r>
      <w:r>
        <w:rPr>
          <w:noProof/>
        </w:rPr>
        <w:t xml:space="preserve"> underdeveloped public transport networks are factors contributing to the low labour productivity in many parts of the UK. Improved transport networks could therefore help to improve economic performance. Over 85 % of transport investment is publicly funde</w:t>
      </w:r>
      <w:r>
        <w:rPr>
          <w:noProof/>
        </w:rPr>
        <w:t>d (IPA, 2017), and historically the UK has had relatively low rates of public investment in transport infrastructure. The government recognises the scale of the challenge, and is increasing spending on new projects and improvements, particularly in rail. A</w:t>
      </w:r>
      <w:r>
        <w:rPr>
          <w:noProof/>
        </w:rPr>
        <w:t>s discussed in Section 3.4, there is scope to improve project selection and the cost effectiveness of transport investment.</w:t>
      </w:r>
    </w:p>
    <w:p w:rsidR="00D329F2" w:rsidRDefault="008D7727">
      <w:pPr>
        <w:widowControl w:val="0"/>
        <w:rPr>
          <w:noProof/>
        </w:rPr>
      </w:pPr>
      <w:r>
        <w:rPr>
          <w:b/>
          <w:noProof/>
        </w:rPr>
        <w:t>Current investment focuses on London and major inter-city projects</w:t>
      </w:r>
      <w:r>
        <w:rPr>
          <w:noProof/>
        </w:rPr>
        <w:t xml:space="preserve">. Almost 30 % of public transport infrastructure investment is on </w:t>
      </w:r>
      <w:r>
        <w:rPr>
          <w:noProof/>
        </w:rPr>
        <w:t>projects in London. This makes it the region with the highest per capita spending (HM Treasury, 2017b). The government has stated that there should be a better geographical balance in future. There has been a tendency to prioritise large and high-profile c</w:t>
      </w:r>
      <w:r>
        <w:rPr>
          <w:noProof/>
        </w:rPr>
        <w:t xml:space="preserve">onstruction projects over smaller improvements, renewals and ongoing maintenance that may have superior benefit to cost ratios (DfT, 2017a). In the coming years a large proportion of the rail budget is also committed to a few large projects, in particular </w:t>
      </w:r>
      <w:r>
        <w:rPr>
          <w:noProof/>
        </w:rPr>
        <w:t>‘High Speed 2’ (see below). The government now plans to focus more on smaller schemes that deliver quickly at lower risk </w:t>
      </w:r>
      <w:r>
        <w:rPr>
          <w:i/>
          <w:noProof/>
        </w:rPr>
        <w:t>(ibid.)</w:t>
      </w:r>
      <w:r>
        <w:rPr>
          <w:noProof/>
        </w:rPr>
        <w:t>.</w:t>
      </w:r>
    </w:p>
    <w:p w:rsidR="00D329F2" w:rsidRDefault="008D7727">
      <w:pPr>
        <w:widowControl w:val="0"/>
        <w:rPr>
          <w:noProof/>
        </w:rPr>
      </w:pPr>
      <w:r>
        <w:rPr>
          <w:b/>
          <w:noProof/>
        </w:rPr>
        <w:t>Low transport infrastructure investment outside the south of England may have held back agglomeration effects (OECD, 2017) (se</w:t>
      </w:r>
      <w:r>
        <w:rPr>
          <w:b/>
          <w:noProof/>
        </w:rPr>
        <w:t>e Section 3.4).</w:t>
      </w:r>
      <w:r>
        <w:rPr>
          <w:noProof/>
        </w:rPr>
        <w:t xml:space="preserve"> The ‘Northern Powerhouse Strategy’ (HM Treasury, 2016b) set out insufficient transport connectivity as one of the barriers holding back productivity in the north of England relative to the south. In most of the major UK conurbations outside</w:t>
      </w:r>
      <w:r>
        <w:rPr>
          <w:noProof/>
        </w:rPr>
        <w:t xml:space="preserve"> London, over 70 % of journeys to work are made by car despite growing road congestion (in London only 30 % are by car). This is a much higher proportion than in most comparable cities across Europe (EMTA, 2017), and reflects poor public transport availabi</w:t>
      </w:r>
      <w:r>
        <w:rPr>
          <w:noProof/>
        </w:rPr>
        <w:t>lity. For the next few years the government has only committed a modest amount of additional funding to urban transport projects. There are growing calls for significantly higher investment in urban transport and associated infrastructure outside London in</w:t>
      </w:r>
      <w:r>
        <w:rPr>
          <w:noProof/>
        </w:rPr>
        <w:t xml:space="preserve"> order to improve intra-city linkages between people and jobs (Transport for the North, 2018). The government has also given a commitment that in future central government decision making will take account of the views and plans of sub-national transport b</w:t>
      </w:r>
      <w:r>
        <w:rPr>
          <w:noProof/>
        </w:rPr>
        <w:t>odies (DfT, 2017a). The growing number of combined authorities — covering multiple local authorities within a city or region — have been given new powers to borrow to fund infrastructure projects (NAO, 2017e).</w:t>
      </w:r>
    </w:p>
    <w:p w:rsidR="00D329F2" w:rsidRDefault="008D7727">
      <w:pPr>
        <w:pStyle w:val="Heading"/>
        <w:rPr>
          <w:noProof/>
        </w:rPr>
      </w:pPr>
      <w:r>
        <w:rPr>
          <w:noProof/>
        </w:rPr>
        <w:t>Road transport</w:t>
      </w:r>
    </w:p>
    <w:p w:rsidR="00D329F2" w:rsidRDefault="008D7727">
      <w:pPr>
        <w:rPr>
          <w:noProof/>
        </w:rPr>
      </w:pPr>
      <w:r>
        <w:rPr>
          <w:b/>
          <w:noProof/>
        </w:rPr>
        <w:t>In recent years road congestion</w:t>
      </w:r>
      <w:r>
        <w:rPr>
          <w:b/>
          <w:noProof/>
        </w:rPr>
        <w:t xml:space="preserve"> has been increasing within nearly all major cities (NIC, 2017a, p.74).</w:t>
      </w:r>
      <w:r>
        <w:rPr>
          <w:noProof/>
        </w:rPr>
        <w:t xml:space="preserve"> The UK was among the most congested developed countries in the world in 2016, with traffic congestion costing drivers over GBP 37 billion (EUR 42 billion) (INRIX, 2018). Since 1993 roa</w:t>
      </w:r>
      <w:r>
        <w:rPr>
          <w:noProof/>
        </w:rPr>
        <w:t>d traffic has grown by 23 % while the length of the network has only increased by 3 %. In the longer term, continued traffic growth could lead to severe congestion spreading across the arterial roads of the strategic road network (SRN) (DfT, 2017a).</w:t>
      </w:r>
    </w:p>
    <w:p w:rsidR="00D329F2" w:rsidRDefault="008D7727">
      <w:pPr>
        <w:rPr>
          <w:noProof/>
        </w:rPr>
      </w:pPr>
      <w:r>
        <w:rPr>
          <w:b/>
          <w:noProof/>
        </w:rPr>
        <w:t>The go</w:t>
      </w:r>
      <w:r>
        <w:rPr>
          <w:b/>
          <w:noProof/>
        </w:rPr>
        <w:t>vernment is in the process of setting its post-2020 road investment priorities.</w:t>
      </w:r>
      <w:r>
        <w:rPr>
          <w:noProof/>
        </w:rPr>
        <w:t xml:space="preserve"> Highways England now manages the SRN in England, which carries a third of road traffic on 2 % of the total road length. The UK is mid-way through the first Roads Investment Str</w:t>
      </w:r>
      <w:r>
        <w:rPr>
          <w:noProof/>
        </w:rPr>
        <w:t>ategy (RIS), covering 2015-2020, which has focused on tackling a backlog of projects needed to address notorious bottlenecks. In developing the second RIS, covering the period from 2020-2025, the government is seeking to ‘address long standing under invest</w:t>
      </w:r>
      <w:r>
        <w:rPr>
          <w:noProof/>
        </w:rPr>
        <w:t>ment in the SRN’ and has highlighted the need to improve road links to ports and airports.</w:t>
      </w:r>
    </w:p>
    <w:p w:rsidR="00D329F2" w:rsidRDefault="008D7727">
      <w:pPr>
        <w:rPr>
          <w:noProof/>
        </w:rPr>
      </w:pPr>
      <w:r>
        <w:rPr>
          <w:b/>
          <w:noProof/>
        </w:rPr>
        <w:t>Central funding is being increased but cuts to local funding threaten maintenance.</w:t>
      </w:r>
      <w:r>
        <w:rPr>
          <w:noProof/>
        </w:rPr>
        <w:t xml:space="preserve"> Overall spending on road maintenance has dropped significantly since the financial</w:t>
      </w:r>
      <w:r>
        <w:rPr>
          <w:noProof/>
        </w:rPr>
        <w:t xml:space="preserve"> crisis and there is evidence of aggregate under-investment (RAC Foundation, 2017). While central transport infrastructure funding has been prioritised, local authorities are under severe financial pressures. Given that maintenance spending often has a ver</w:t>
      </w:r>
      <w:r>
        <w:rPr>
          <w:noProof/>
        </w:rPr>
        <w:t>y high return, estimated to average GBP 13 for every GBP 1 spent (DfT, 2015) this pattern is not efficient in aggregate. The government is consulting on introducing an intermediate designation of ‘Major Road Network’ to ensure that maintenance and enhancem</w:t>
      </w:r>
      <w:r>
        <w:rPr>
          <w:noProof/>
        </w:rPr>
        <w:t>ent of locally managed A-roads is not neglected.</w:t>
      </w:r>
    </w:p>
    <w:p w:rsidR="00D329F2" w:rsidRDefault="008D7727">
      <w:pPr>
        <w:pStyle w:val="Heading"/>
        <w:rPr>
          <w:noProof/>
        </w:rPr>
      </w:pPr>
      <w:r>
        <w:rPr>
          <w:noProof/>
        </w:rPr>
        <w:t>Rail transport</w:t>
      </w:r>
    </w:p>
    <w:p w:rsidR="00D329F2" w:rsidRDefault="008D7727">
      <w:pPr>
        <w:rPr>
          <w:noProof/>
        </w:rPr>
      </w:pPr>
      <w:r>
        <w:rPr>
          <w:b/>
          <w:noProof/>
        </w:rPr>
        <w:t>There is continued growth in demand across intercity, commuter and freight services.</w:t>
      </w:r>
      <w:r>
        <w:rPr>
          <w:noProof/>
        </w:rPr>
        <w:t xml:space="preserve"> Passenger rail traffic per capita has increased more rapidly than in most other EU countries in the last 20</w:t>
      </w:r>
      <w:r>
        <w:rPr>
          <w:noProof/>
        </w:rPr>
        <w:t xml:space="preserve"> years but the overall density of the rail network remains comparatively low. As a result, passenger traffic per km of rail line has almost doubled, but progress in extending electrification — currently at 34 % of the network — has been modest (DfT, 2017b)</w:t>
      </w:r>
      <w:r>
        <w:rPr>
          <w:noProof/>
        </w:rPr>
        <w:t>. In the past few years the effects of growing pressure on the network have become increasingly apparent, though there are indications that passenger growth has recently slowed. The effects of any disruption are magnified when ageing infrastructure is oper</w:t>
      </w:r>
      <w:r>
        <w:rPr>
          <w:noProof/>
        </w:rPr>
        <w:t>ating at full capacity (DfT, 2017c). Overcrowding during peak times in London increased by 45 % from 2011 to 2016 (DfT, 2017d). Punctuality has also dropped across the network as a whole (ORR, 2017).</w:t>
      </w:r>
    </w:p>
    <w:p w:rsidR="00D329F2" w:rsidRDefault="008D7727">
      <w:pPr>
        <w:rPr>
          <w:noProof/>
        </w:rPr>
      </w:pPr>
      <w:r>
        <w:rPr>
          <w:b/>
          <w:noProof/>
        </w:rPr>
        <w:t>A number of major projects are being delivered, although</w:t>
      </w:r>
      <w:r>
        <w:rPr>
          <w:b/>
          <w:noProof/>
        </w:rPr>
        <w:t xml:space="preserve"> some planned projects have recently been delayed or cancelled</w:t>
      </w:r>
      <w:r>
        <w:rPr>
          <w:noProof/>
        </w:rPr>
        <w:t>. ‘Crossrail’ is a new rail line linking east and west London and the surrounding area. The central tunnel is due to open in 2018 with services fully operating by December 2019. A number of larg</w:t>
      </w:r>
      <w:r>
        <w:rPr>
          <w:noProof/>
        </w:rPr>
        <w:t>e contracts have recently been signed for construction of the first phase of ‘High Speed 2’ between London and Birmingham. In the current Rail Control Period 5 (CP5), covering 2015-2019, the government committed itself to more projects than could be delive</w:t>
      </w:r>
      <w:r>
        <w:rPr>
          <w:noProof/>
        </w:rPr>
        <w:t>red with the resources and time available. As a result, a number of planned schemes have been scaled back, and some lines will no longer be fully electrified. Due to cost overruns, GBP 3.4 billion (EUR 3.9 billion) of renewals are likely to be pushed beyon</w:t>
      </w:r>
      <w:r>
        <w:rPr>
          <w:noProof/>
        </w:rPr>
        <w:t>d 2020.</w:t>
      </w:r>
    </w:p>
    <w:p w:rsidR="00D329F2" w:rsidRDefault="008D7727">
      <w:pPr>
        <w:rPr>
          <w:noProof/>
        </w:rPr>
      </w:pPr>
      <w:r>
        <w:rPr>
          <w:b/>
          <w:noProof/>
        </w:rPr>
        <w:t>In November 2017, the government published its strategic vision for rail (DfT, 2017e).</w:t>
      </w:r>
      <w:r>
        <w:rPr>
          <w:noProof/>
        </w:rPr>
        <w:t xml:space="preserve"> There have been problems in the incentives and collaboration between Network Rail, which manages rail infrastructure, and the train operating companies. To addre</w:t>
      </w:r>
      <w:r>
        <w:rPr>
          <w:noProof/>
        </w:rPr>
        <w:t xml:space="preserve">ss this, the government has announced plans to roll out joint teams running day to day train and track operations. The Government is developing its proposals for Rail CP6 (covering 2019-2024) and has announced that GBP 47.9 billion (EUR 54.7 billion) will </w:t>
      </w:r>
      <w:r>
        <w:rPr>
          <w:noProof/>
        </w:rPr>
        <w:t>be available for rail infrastructure spending. GBP 34.7 billion (EUR 39.6 billion) will be provided as government grants, with the remainder coming from track access charges and commercial income. While a high degree of pre-commitment of funds has somewhat</w:t>
      </w:r>
      <w:r>
        <w:rPr>
          <w:noProof/>
        </w:rPr>
        <w:t xml:space="preserve"> limited the room for manoeuvre in CP6, the government has also announced plans to reopen a number of lines that were closed in the 1960s. In the longer term, network improvements may focus more on improving intra-urban connectivity outside London, as disc</w:t>
      </w:r>
      <w:r>
        <w:rPr>
          <w:noProof/>
        </w:rPr>
        <w:t>ussed above. The government is seeking to continue to shift the cost of funding rail infrastructure from taxpayers to passengers. Ticket prices are already high and passengers’ stated top priority for improving the railways is the value for money of ticket</w:t>
      </w:r>
      <w:r>
        <w:rPr>
          <w:noProof/>
        </w:rPr>
        <w:t>s (Transport Focus, 2017).</w:t>
      </w:r>
    </w:p>
    <w:p w:rsidR="00D329F2" w:rsidRDefault="008D7727">
      <w:pPr>
        <w:pStyle w:val="Heading"/>
        <w:rPr>
          <w:noProof/>
        </w:rPr>
      </w:pPr>
      <w:r>
        <w:rPr>
          <w:noProof/>
        </w:rPr>
        <w:t>Aviation</w:t>
      </w:r>
    </w:p>
    <w:p w:rsidR="00D329F2" w:rsidRDefault="008D7727">
      <w:pPr>
        <w:rPr>
          <w:noProof/>
        </w:rPr>
      </w:pPr>
      <w:r>
        <w:rPr>
          <w:b/>
          <w:noProof/>
        </w:rPr>
        <w:t>The government</w:t>
      </w:r>
      <w:r>
        <w:rPr>
          <w:noProof/>
        </w:rPr>
        <w:t>’</w:t>
      </w:r>
      <w:r>
        <w:rPr>
          <w:b/>
          <w:noProof/>
        </w:rPr>
        <w:t>s preferred scheme for additional airport capacity is a new north-west runway at Heathrow Airport.</w:t>
      </w:r>
      <w:r>
        <w:rPr>
          <w:noProof/>
        </w:rPr>
        <w:t xml:space="preserve"> Additional runway capacity in the south-east of England is needed if London is to maintain its status as a</w:t>
      </w:r>
      <w:r>
        <w:rPr>
          <w:noProof/>
        </w:rPr>
        <w:t>n international aviation hub and meet growing domestic demand. The government has consulted on a draft Airports National Policy Statement. However, there are many political, regulatory and environmental processes and concerns that will need to be addressed</w:t>
      </w:r>
      <w:r>
        <w:rPr>
          <w:noProof/>
        </w:rPr>
        <w:t xml:space="preserve"> before the development of any new runway.</w:t>
      </w:r>
    </w:p>
    <w:p w:rsidR="00D329F2" w:rsidRDefault="008D7727">
      <w:pPr>
        <w:pStyle w:val="Heading"/>
        <w:rPr>
          <w:noProof/>
        </w:rPr>
      </w:pPr>
      <w:r>
        <w:rPr>
          <w:noProof/>
        </w:rPr>
        <w:t>Telecommunications networks</w:t>
      </w:r>
    </w:p>
    <w:p w:rsidR="00D329F2" w:rsidRDefault="008D7727">
      <w:pPr>
        <w:rPr>
          <w:noProof/>
        </w:rPr>
      </w:pPr>
      <w:r>
        <w:rPr>
          <w:b/>
          <w:noProof/>
        </w:rPr>
        <w:t>There is a substantial gap in superfast broadband availability between urban and rural areas.</w:t>
      </w:r>
      <w:r>
        <w:rPr>
          <w:noProof/>
        </w:rPr>
        <w:t xml:space="preserve"> The UK already has superfast broadband (≥ 30Mbit/s) available to the vast majority of premises. However, as of November 2016, two-thirds (67 %) of rural connections received an average speed of less than 10Mbit/s, compared to 24 % of urban connections (Of</w:t>
      </w:r>
      <w:r>
        <w:rPr>
          <w:noProof/>
        </w:rPr>
        <w:t>com, 2017a). In May 2017, around 3 % of UK premises (840 000) had access to ‘full fibre’ services, which offer download speeds of between 250 Mbit/s and 1 Gbit/s (Ofcom, 2017b).</w:t>
      </w:r>
    </w:p>
    <w:p w:rsidR="00D329F2" w:rsidRDefault="008D7727">
      <w:pPr>
        <w:rPr>
          <w:noProof/>
        </w:rPr>
      </w:pPr>
      <w:r>
        <w:rPr>
          <w:b/>
          <w:noProof/>
        </w:rPr>
        <w:t>On 1 March 2017, the UK Government published an umbrella strategy to support d</w:t>
      </w:r>
      <w:r>
        <w:rPr>
          <w:b/>
          <w:noProof/>
        </w:rPr>
        <w:t>igitalisation.</w:t>
      </w:r>
      <w:r>
        <w:rPr>
          <w:noProof/>
        </w:rPr>
        <w:t xml:space="preserve"> This set out the aim to complete the roll-out of 4G and superfast broadband and to implement a broadband universal service obligation (USO) by 2020 (DCMS, 2017). It also reconfirmed a GBP 1 billion (EUR 1.14 billion) investment program in fu</w:t>
      </w:r>
      <w:r>
        <w:rPr>
          <w:noProof/>
        </w:rPr>
        <w:t>ll fibre and 5G. The government will invest up to GBP 400 million (EUR 456 million) into the Digital Infrastructure Investment Fund (launched in July 2017) over four years to support an at least equivalent amount of commercial financing for fibre investmen</w:t>
      </w:r>
      <w:r>
        <w:rPr>
          <w:noProof/>
        </w:rPr>
        <w:t>t. Investment in full fibre is also being supported by 100 % business rates relief on new full-fibre infrastructure for a five year period from April 2017. In December 2017, the government confirmed that it will use a regulatory USO to give every household</w:t>
      </w:r>
      <w:r>
        <w:rPr>
          <w:noProof/>
        </w:rPr>
        <w:t xml:space="preserve"> and business in the UK the right to request a broadband connection with speeds of at least 10 Mbit/s by 2020. As set out in Section 3.4, the NIC has emphasised the potential for digital infrastructure to improve the performance of UK transport networks.</w:t>
      </w:r>
    </w:p>
    <w:p w:rsidR="00D329F2" w:rsidRDefault="008D7727">
      <w:pPr>
        <w:pStyle w:val="Heading"/>
        <w:rPr>
          <w:noProof/>
        </w:rPr>
      </w:pPr>
      <w:r>
        <w:rPr>
          <w:noProof/>
        </w:rPr>
        <w:t>E</w:t>
      </w:r>
      <w:r>
        <w:rPr>
          <w:noProof/>
        </w:rPr>
        <w:t>nergy infrastructure</w:t>
      </w:r>
    </w:p>
    <w:p w:rsidR="00D329F2" w:rsidRDefault="008D7727">
      <w:pPr>
        <w:rPr>
          <w:noProof/>
        </w:rPr>
      </w:pPr>
      <w:r>
        <w:rPr>
          <w:b/>
          <w:noProof/>
        </w:rPr>
        <w:t>Substantial investment is needed to gradually reduce the share of fossil fuels in the energy supply mix, increase efficiency, and reduce emissions</w:t>
      </w:r>
      <w:r>
        <w:rPr>
          <w:noProof/>
        </w:rPr>
        <w:t xml:space="preserve">. As shown in Graph 3.5.1, the UK authorities anticipate a significant shift in the UK’s </w:t>
      </w:r>
      <w:r>
        <w:rPr>
          <w:noProof/>
        </w:rPr>
        <w:t>electricity supply mix over time. This is in addition to any replacement and maintenance of ageing existing capacity. Winter 2017-2018 is the first time the capacity market is in operation. Following a competitive process, the capacity market pays provider</w:t>
      </w:r>
      <w:r>
        <w:rPr>
          <w:noProof/>
        </w:rPr>
        <w:t>s in return for a commitment to provide reliable sources of electricity to maintain system reliability when needed. The IPA project an acceleration of energy infrastructure investment from a total of GBP 57 billion (EUR 65 billion) over the next 4 years to</w:t>
      </w:r>
      <w:r>
        <w:rPr>
          <w:noProof/>
        </w:rPr>
        <w:t xml:space="preserve"> a total of GBP 134 billion (EUR 153 billion) in the subsequent six years (IPA, 2017). The government plays an important role in managing the complex regulation of the energy sector. While only 42 % of infrastructure providers surveyed in summer 2017 expre</w:t>
      </w:r>
      <w:r>
        <w:rPr>
          <w:noProof/>
        </w:rPr>
        <w:t>ssed confidence in the ability of current government policy to improve UK energy infrastructure, this is a sharp 30 pps improvement from a year before and reflects a fall in policy uncertainty (CBI/AECOM, 2017).</w:t>
      </w:r>
    </w:p>
    <w:tbl>
      <w:tblPr>
        <w:tblW w:w="0" w:type="auto"/>
        <w:tblLayout w:type="fixed"/>
        <w:tblCellMar>
          <w:left w:w="0" w:type="dxa"/>
          <w:right w:w="0" w:type="dxa"/>
        </w:tblCellMar>
        <w:tblLook w:val="0000" w:firstRow="0" w:lastRow="0" w:firstColumn="0" w:lastColumn="0" w:noHBand="0" w:noVBand="0"/>
      </w:tblPr>
      <w:tblGrid>
        <w:gridCol w:w="4110"/>
      </w:tblGrid>
      <w:tr w:rsidR="00D329F2">
        <w:trPr>
          <w:cantSplit/>
        </w:trPr>
        <w:tc>
          <w:tcPr>
            <w:tcW w:w="4110" w:type="dxa"/>
            <w:shd w:val="clear" w:color="auto" w:fill="auto"/>
          </w:tcPr>
          <w:p w:rsidR="00D329F2" w:rsidRDefault="008D7727">
            <w:pPr>
              <w:pStyle w:val="GraphTitle"/>
              <w:rPr>
                <w:b/>
                <w:noProof/>
              </w:rPr>
            </w:pPr>
            <w:bookmarkStart w:id="45" w:name="_Toc507256315"/>
            <w:r>
              <w:rPr>
                <w:noProof/>
              </w:rPr>
              <w:t>Graph 3.5.1:</w:t>
            </w:r>
            <w:r>
              <w:rPr>
                <w:b/>
                <w:noProof/>
              </w:rPr>
              <w:tab/>
              <w:t>Projected electricity generatio</w:t>
            </w:r>
            <w:r>
              <w:rPr>
                <w:b/>
                <w:noProof/>
              </w:rPr>
              <w:t>n by source</w:t>
            </w:r>
            <w:bookmarkEnd w:id="45"/>
          </w:p>
        </w:tc>
      </w:tr>
      <w:tr w:rsidR="00D329F2">
        <w:trPr>
          <w:cantSplit/>
        </w:trPr>
        <w:tc>
          <w:tcPr>
            <w:tcW w:w="4110" w:type="dxa"/>
            <w:shd w:val="clear" w:color="auto" w:fill="auto"/>
          </w:tcPr>
          <w:p w:rsidR="00D329F2" w:rsidRDefault="008D7727">
            <w:pPr>
              <w:pStyle w:val="GraphShape"/>
              <w:rPr>
                <w:noProof/>
                <w:sz w:val="2"/>
              </w:rPr>
            </w:pPr>
            <w:r>
              <w:rPr>
                <w:noProof/>
                <w:sz w:val="2"/>
                <w:lang w:eastAsia="en-GB"/>
              </w:rPr>
              <w:drawing>
                <wp:inline distT="0" distB="0" distL="0" distR="0" wp14:anchorId="0FA24ED9" wp14:editId="60B7986C">
                  <wp:extent cx="2597595" cy="2436430"/>
                  <wp:effectExtent l="0" t="0" r="0" b="0"/>
                  <wp:docPr id="71" name="Picture 71" descr="&lt;nbr&gt;&lt;GETTEXTFROMWORD&gt;&lt;/nbr&gt;&#10;&lt;title&gt;&lt;GETTEXTFROMWORD&gt;&lt;/title&gt;&#10;&lt;id&gt;5e8372e1-c63a-4817-b05e-1a39e4d1d6b2&lt;/id&gt;&#10;&lt;srcType&gt;EXCEL&lt;/srcType&gt;&#10;&lt;srcPath&gt;\\net1\Ci\Public\2017 CRs\2018 European semester\28 UK\Revised Second Draft\Graphs&lt;/srcPath&gt;&#10;&lt;srcName&gt;3.5. Sectoral policies.xlsx&lt;/srcName&gt;&#10;&lt;type&gt;graph&lt;/type&gt;&#10; &lt;srcSheet&gt;Electricity generation&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1-13T17:20:17&lt;/scrFileTime&gt;&#10;&lt;imageInformation&gt;&#10; &lt;dontScaleUp&gt;no&lt;/dontScaleUp&gt;&#10;&lt;/imageInformation&gt;&#10;&lt;url&gt;&lt;/url&gt;&#10;&lt;basedocguid&gt;{094C1ACA-9722-4DA8-A82A-E810CC10613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D329F2">
        <w:trPr>
          <w:cantSplit/>
        </w:trPr>
        <w:tc>
          <w:tcPr>
            <w:tcW w:w="4110" w:type="dxa"/>
            <w:shd w:val="clear" w:color="auto" w:fill="auto"/>
            <w:tcMar>
              <w:bottom w:w="240" w:type="dxa"/>
            </w:tcMar>
          </w:tcPr>
          <w:p w:rsidR="00D329F2" w:rsidRDefault="008D7727">
            <w:pPr>
              <w:pStyle w:val="GraphSource"/>
              <w:keepNext/>
              <w:jc w:val="center"/>
              <w:rPr>
                <w:noProof/>
              </w:rPr>
            </w:pPr>
            <w:r>
              <w:rPr>
                <w:b/>
                <w:i/>
                <w:noProof/>
              </w:rPr>
              <w:t>Source:</w:t>
            </w:r>
            <w:r>
              <w:rPr>
                <w:noProof/>
              </w:rPr>
              <w:t xml:space="preserve"> Department for Business, Energy &amp; Industrial Strategy</w:t>
            </w:r>
          </w:p>
        </w:tc>
      </w:tr>
    </w:tbl>
    <w:p w:rsidR="00D329F2" w:rsidRDefault="008D7727">
      <w:pPr>
        <w:rPr>
          <w:noProof/>
        </w:rPr>
      </w:pPr>
      <w:r>
        <w:rPr>
          <w:b/>
          <w:noProof/>
        </w:rPr>
        <w:t>The cost of new offshore wind capacity has fallen sharply</w:t>
      </w:r>
      <w:r>
        <w:rPr>
          <w:noProof/>
        </w:rPr>
        <w:t xml:space="preserve">. The main form of government support for low carbon energy is now the ‘Contracts for Difference’ (CfD) scheme </w:t>
      </w:r>
      <w:r>
        <w:rPr>
          <w:noProof/>
        </w:rPr>
        <w:t>introduced in 2014. If an agreed ‘strike price’ is higher than the market price, the counterparty must pay the renewable generator the difference between the two prices. In the opposite case, the renewable generator must pay back the difference. Most contr</w:t>
      </w:r>
      <w:r>
        <w:rPr>
          <w:noProof/>
        </w:rPr>
        <w:t>acts are awarded through a competitive bidding process open to specified technologies for a period of 15 years. In September 2017, for projects delivering in 2022/23, the second CfD allocation round set a strike price less than half the average price award</w:t>
      </w:r>
      <w:r>
        <w:rPr>
          <w:noProof/>
        </w:rPr>
        <w:t>ed to offshore schemes in a 2015 auction. The falling cost of intermittent wind power could enhance the case for investing in storage in the future. Feed-in tariffs were introduced in 2010 and remain in place for generators of below 5MW.</w:t>
      </w:r>
    </w:p>
    <w:p w:rsidR="00D329F2" w:rsidRDefault="008D7727">
      <w:pPr>
        <w:rPr>
          <w:noProof/>
        </w:rPr>
      </w:pPr>
      <w:r>
        <w:rPr>
          <w:b/>
          <w:noProof/>
        </w:rPr>
        <w:t>The cost-effective</w:t>
      </w:r>
      <w:r>
        <w:rPr>
          <w:b/>
          <w:noProof/>
        </w:rPr>
        <w:t>ness of new nuclear capacity is uncertain.</w:t>
      </w:r>
      <w:r>
        <w:rPr>
          <w:noProof/>
        </w:rPr>
        <w:t xml:space="preserve"> In September 2016, contracts were signed with energy company EDF for a GBP 18 billion (EUR 20.5 billion) nuclear power plant — Hinkley Point C — which will provide 7 % of the UK’s electricity needs. The NAO has pu</w:t>
      </w:r>
      <w:r>
        <w:rPr>
          <w:noProof/>
        </w:rPr>
        <w:t>blished a report on Hinkley Point C which was critical of the high costs and risks that the project will impose on consumers, and questioned its overall value for money (NAO, 2017f). As shown in Graph 3.5.1, the government envisages the construction of sub</w:t>
      </w:r>
      <w:r>
        <w:rPr>
          <w:noProof/>
        </w:rPr>
        <w:t xml:space="preserve">stantial new nuclear generating capacity over the next 15-20 years. The government has not re-evaluated its strategic case for nuclear power since 2008. However, as set out in the 2017 Industrial Strategy White Paper (see Section 3.4), government-industry </w:t>
      </w:r>
      <w:r>
        <w:rPr>
          <w:noProof/>
        </w:rPr>
        <w:t xml:space="preserve">discussions are ongoing regarding how substantial cost reductions can be achieved in respect of nuclear new build. The UK government is also taking steps to foster the development of small modular. </w:t>
      </w:r>
    </w:p>
    <w:p w:rsidR="00D329F2" w:rsidRDefault="008D7727">
      <w:pPr>
        <w:rPr>
          <w:noProof/>
        </w:rPr>
      </w:pPr>
      <w:r>
        <w:rPr>
          <w:b/>
          <w:noProof/>
        </w:rPr>
        <w:t>Projects in the planning phase could raise Great Britain’</w:t>
      </w:r>
      <w:r>
        <w:rPr>
          <w:b/>
          <w:noProof/>
        </w:rPr>
        <w:t>s currently low level of electricity interconnection.</w:t>
      </w:r>
      <w:r>
        <w:rPr>
          <w:noProof/>
        </w:rPr>
        <w:t xml:space="preserve"> The UK currently has an interconnection level of about 6 % of installed generating capacity (</w:t>
      </w:r>
      <w:r>
        <w:rPr>
          <w:noProof/>
          <w:vertAlign w:val="superscript"/>
        </w:rPr>
        <w:footnoteReference w:id="24"/>
      </w:r>
      <w:r>
        <w:rPr>
          <w:noProof/>
        </w:rPr>
        <w:t>). This is expected to increase to 8 % by 2020, still below the target of 10 %. The Great Britain market (i.</w:t>
      </w:r>
      <w:r>
        <w:rPr>
          <w:noProof/>
        </w:rPr>
        <w:t>e. England, Wales and Scotland) has low levels of interconnection with the rest of Europe. By contrast, the Northern Irish electricity market is fully integrated with the Republic of Ireland (see the Ireland country report). New rules on the Integrated Sin</w:t>
      </w:r>
      <w:r>
        <w:rPr>
          <w:noProof/>
        </w:rPr>
        <w:t>gle Electricity Market are scheduled to enter into force in May 2018. This is expected to facilitate the transition to a low-carbon energy sector in a more competitive market environment. Some 11 new interconnectors are currently in various planning phases</w:t>
      </w:r>
      <w:r>
        <w:rPr>
          <w:noProof/>
        </w:rPr>
        <w:t xml:space="preserve"> since the UK undertook a policy to actively promote interconnection and Ofgem, the energy regulator, launched the ‘cap and floor’ regulatory regime in 2014. Out of these, the projects under construction (</w:t>
      </w:r>
      <w:r>
        <w:rPr>
          <w:noProof/>
          <w:vertAlign w:val="superscript"/>
        </w:rPr>
        <w:footnoteReference w:id="25"/>
      </w:r>
      <w:r>
        <w:rPr>
          <w:noProof/>
        </w:rPr>
        <w:t>) are anticipated to be completed by the early 202</w:t>
      </w:r>
      <w:r>
        <w:rPr>
          <w:noProof/>
        </w:rPr>
        <w:t>0s and to more than double Great Britain’s interconnected capacity. The projected growth of net electricity imports shown in Graph 3.5.1 is linked to this extra capacity.</w:t>
      </w:r>
    </w:p>
    <w:p w:rsidR="00D329F2" w:rsidRDefault="008D7727">
      <w:pPr>
        <w:rPr>
          <w:noProof/>
        </w:rPr>
      </w:pPr>
      <w:r>
        <w:rPr>
          <w:b/>
          <w:noProof/>
        </w:rPr>
        <w:t>The UK power generation sector has a much lower level of concentration than the EU av</w:t>
      </w:r>
      <w:r>
        <w:rPr>
          <w:b/>
          <w:noProof/>
        </w:rPr>
        <w:t>erage due to the UK’s early moves to liberalise its energy markets.</w:t>
      </w:r>
      <w:r>
        <w:rPr>
          <w:noProof/>
        </w:rPr>
        <w:t xml:space="preserve"> However, wholesale prices are above the EU average (56.1 vs. 40.6 EUR/MWh), which is linked to; (i) the UK’s high dependence on natural gas; (ii) an ageing generation fleet; (iii) the smal</w:t>
      </w:r>
      <w:r>
        <w:rPr>
          <w:noProof/>
        </w:rPr>
        <w:t>l size of the British market compared to the interconnected continental European market; and (iv) the Carbon Price Floor. The planned higher levels of interconnection should help bring wholesale prices down in the future.</w:t>
      </w:r>
    </w:p>
    <w:p w:rsidR="00D329F2" w:rsidRDefault="008D7727">
      <w:pPr>
        <w:rPr>
          <w:noProof/>
        </w:rPr>
      </w:pPr>
      <w:r>
        <w:rPr>
          <w:b/>
          <w:noProof/>
        </w:rPr>
        <w:t>In October 2017, the government pu</w:t>
      </w:r>
      <w:r>
        <w:rPr>
          <w:b/>
          <w:noProof/>
        </w:rPr>
        <w:t>blished draft legislation to place a temporary price cap for domestic customers on expensive standard variable tariffs and default tariffs.</w:t>
      </w:r>
      <w:r>
        <w:rPr>
          <w:noProof/>
        </w:rPr>
        <w:t xml:space="preserve"> Around two-thirds of domestic energy consumers are currently on these tariffs. The proposed legislation would result</w:t>
      </w:r>
      <w:r>
        <w:rPr>
          <w:noProof/>
        </w:rPr>
        <w:t xml:space="preserve"> in a cap on energy prices which would run until the end of 2020 and possibly be extended to 2023. In July 2017, Ofgem announced plans to protect vulnerable consumers through a safeguard tariff (Ofgem, 2017a). Ofgem is also continuing with its switching pr</w:t>
      </w:r>
      <w:r>
        <w:rPr>
          <w:noProof/>
        </w:rPr>
        <w:t>ogramme (Ofgem, 2017b) to make it easier for consumers to switch supplier or tariff to try to ensure that all consumers have better access to cheaper energy deals. The six largest electricity and gas suppliers still dominate the market, though their combin</w:t>
      </w:r>
      <w:r>
        <w:rPr>
          <w:noProof/>
        </w:rPr>
        <w:t>ed market share fell from over 90 % in 2012 to approximately 80 % in 2017, particularly as a result of new small- and medium-sized suppliers entering the market.</w:t>
      </w:r>
    </w:p>
    <w:p w:rsidR="00D329F2" w:rsidRDefault="008D7727">
      <w:pPr>
        <w:pStyle w:val="Heading"/>
        <w:rPr>
          <w:noProof/>
        </w:rPr>
      </w:pPr>
      <w:r>
        <w:rPr>
          <w:noProof/>
        </w:rPr>
        <w:t>Climate, energy and environment</w:t>
      </w:r>
    </w:p>
    <w:p w:rsidR="00D329F2" w:rsidRDefault="008D7727">
      <w:pPr>
        <w:rPr>
          <w:noProof/>
        </w:rPr>
      </w:pPr>
      <w:r>
        <w:rPr>
          <w:b/>
          <w:noProof/>
        </w:rPr>
        <w:t>The UK is currently on track to meet its Europe 2020 target fo</w:t>
      </w:r>
      <w:r>
        <w:rPr>
          <w:b/>
          <w:noProof/>
        </w:rPr>
        <w:t>r greenhouse gas emissions not covered by the EU Emissions Trading Scheme (ETS).</w:t>
      </w:r>
      <w:r>
        <w:rPr>
          <w:noProof/>
        </w:rPr>
        <w:t xml:space="preserve"> According to approximated data, in 2016 UK greenhouse gas emissions were 22 % below 2005 levels. Projections based on existing measures indicate that emissions from non-ETS se</w:t>
      </w:r>
      <w:r>
        <w:rPr>
          <w:noProof/>
        </w:rPr>
        <w:t>ctors will be 26 % below 2005 levels by 2020, over-achieving the 16 % target under Europe 2020. In October 2017, the UK government published the Clean Growth Strategy (HM Government, 2017), which sets out a set of policies and proposals to deliver increase</w:t>
      </w:r>
      <w:r>
        <w:rPr>
          <w:noProof/>
        </w:rPr>
        <w:t>d economic growth and decreased emissions throughout the next decade.</w:t>
      </w:r>
    </w:p>
    <w:p w:rsidR="00D329F2" w:rsidRDefault="008D7727">
      <w:pPr>
        <w:rPr>
          <w:noProof/>
        </w:rPr>
      </w:pPr>
      <w:r>
        <w:rPr>
          <w:b/>
          <w:noProof/>
        </w:rPr>
        <w:t>The UK met interim targets but still has a challenge to meet its 2020 renewable energy target of 15 %.</w:t>
      </w:r>
      <w:r>
        <w:rPr>
          <w:noProof/>
        </w:rPr>
        <w:t xml:space="preserve"> The share of renewable energy is estimated to have reached 9.3 % in 2016. This put </w:t>
      </w:r>
      <w:r>
        <w:rPr>
          <w:noProof/>
        </w:rPr>
        <w:t xml:space="preserve">the UK </w:t>
      </w:r>
      <w:bookmarkStart w:id="46" w:name="_ftnref1"/>
      <w:bookmarkEnd w:id="46"/>
      <w:r>
        <w:rPr>
          <w:noProof/>
        </w:rPr>
        <w:t>above its 2015-2016 interim indicative target (7.47 %), though the trajectory to reach the 2020 target remains challenging. There are encouraging levels of growth in the renewable electricity sector, which in 2016 reached 25 % of electricity generat</w:t>
      </w:r>
      <w:r>
        <w:rPr>
          <w:noProof/>
        </w:rPr>
        <w:t>ion (HM Government, 2017). Around 75 % of new electricity generation capacity added since 2010 uses renewable energy sources (BEIS, 2017b).</w:t>
      </w:r>
    </w:p>
    <w:p w:rsidR="00D329F2" w:rsidRDefault="008D7727">
      <w:pPr>
        <w:rPr>
          <w:noProof/>
        </w:rPr>
      </w:pPr>
      <w:r>
        <w:rPr>
          <w:b/>
          <w:noProof/>
        </w:rPr>
        <w:t>The UK should continue its efforts on energy efficiency to meet its indicative 2020 targets.</w:t>
      </w:r>
      <w:r>
        <w:rPr>
          <w:noProof/>
        </w:rPr>
        <w:t xml:space="preserve"> Between 2005 and 2016, </w:t>
      </w:r>
      <w:r>
        <w:rPr>
          <w:noProof/>
        </w:rPr>
        <w:t xml:space="preserve">the UK achieved a significant decrease in the levels of both primary energy consumption (down by 18 %, to 182 Mtoe) and final energy consumption (down by 12 % to 134 Mtoe). However, in recent years the decreasing trend seems to have stalled. As with other </w:t>
      </w:r>
      <w:r>
        <w:rPr>
          <w:noProof/>
        </w:rPr>
        <w:t>EU countries, this could be partially linked to the economic recovery, which implies additional energy efficiency efforts will be required if the energy consumption targets are to be met.</w:t>
      </w:r>
    </w:p>
    <w:p w:rsidR="00D329F2" w:rsidRDefault="008D7727">
      <w:pPr>
        <w:rPr>
          <w:noProof/>
        </w:rPr>
      </w:pPr>
      <w:r>
        <w:rPr>
          <w:b/>
          <w:noProof/>
        </w:rPr>
        <w:t>The UK is very active in the promotion of eco-innovation.</w:t>
      </w:r>
      <w:r>
        <w:rPr>
          <w:noProof/>
        </w:rPr>
        <w:t xml:space="preserve"> However, t</w:t>
      </w:r>
      <w:r>
        <w:rPr>
          <w:noProof/>
        </w:rPr>
        <w:t>he UK ranked 11</w:t>
      </w:r>
      <w:r>
        <w:rPr>
          <w:noProof/>
          <w:vertAlign w:val="superscript"/>
        </w:rPr>
        <w:t>th</w:t>
      </w:r>
      <w:r>
        <w:rPr>
          <w:noProof/>
        </w:rPr>
        <w:t xml:space="preserve"> in the EU eco-innovation rankings scoreboard for 2015 (Eco-innovation observatory 2015). Multiple organisations foster systemic eco-innovation and a more circular economy. Particularly dynamic areas are remanufacturing and new business mo</w:t>
      </w:r>
      <w:r>
        <w:rPr>
          <w:noProof/>
        </w:rPr>
        <w:t>dels, recycling, sustainable use of natural resources, ultra-low emission vehicles and carbon abatement technologies. In the UK, access to capital appears to be more of a barrier to circular economy projects than technical impediments.</w:t>
      </w:r>
    </w:p>
    <w:p w:rsidR="00D329F2" w:rsidRDefault="008D7727">
      <w:pPr>
        <w:rPr>
          <w:noProof/>
        </w:rPr>
      </w:pPr>
      <w:r>
        <w:rPr>
          <w:b/>
          <w:noProof/>
        </w:rPr>
        <w:t>Air pollution contin</w:t>
      </w:r>
      <w:r>
        <w:rPr>
          <w:b/>
          <w:noProof/>
        </w:rPr>
        <w:t>ues to be a challenge in the UK.</w:t>
      </w:r>
      <w:r>
        <w:rPr>
          <w:noProof/>
        </w:rPr>
        <w:t xml:space="preserve"> Although an annual EU limit value for nitrogen dioxide (40µg/m</w:t>
      </w:r>
      <w:r>
        <w:rPr>
          <w:noProof/>
          <w:vertAlign w:val="superscript"/>
        </w:rPr>
        <w:t>3</w:t>
      </w:r>
      <w:r>
        <w:rPr>
          <w:noProof/>
        </w:rPr>
        <w:t>) has been in force since 2010, 37 out of the 43 air quality zones in the UK did not meet this air quality standard in 2016 (Defra, 2017). Air pollution is also</w:t>
      </w:r>
      <w:r>
        <w:rPr>
          <w:noProof/>
        </w:rPr>
        <w:t xml:space="preserve"> a cause of many premature deaths in the UK (EEA, 2017). Road vehicles contribute about 80 % of NO2 pollution at the roadside. Growth in the number of diesel cars has exacerbated this problem, as has the high level of road congestion discussed above. In th</w:t>
      </w:r>
      <w:r>
        <w:rPr>
          <w:noProof/>
        </w:rPr>
        <w:t>e past, the relatively favourable treatment of diesel in the Vehicle Excise Duty system contributed to this. Following a series of legal challenges the government published a final revised air quality plan in July 2017. Based on these measures the governme</w:t>
      </w:r>
      <w:r>
        <w:rPr>
          <w:noProof/>
        </w:rPr>
        <w:t>nt expects 37 of the UK’s 43 zones to be compliant by 2021, with full compliance achieved only in 2026. A wider air quality strategy covering a broader range of pollutants and sources has been announced for 2018.</w:t>
      </w:r>
    </w:p>
    <w:p w:rsidR="00D329F2" w:rsidRDefault="008D7727">
      <w:pPr>
        <w:pStyle w:val="Heading"/>
        <w:rPr>
          <w:noProof/>
        </w:rPr>
      </w:pPr>
      <w:r>
        <w:rPr>
          <w:noProof/>
        </w:rPr>
        <w:t>Research, development and innovation</w:t>
      </w:r>
    </w:p>
    <w:p w:rsidR="00D329F2" w:rsidRDefault="008D7727">
      <w:pPr>
        <w:rPr>
          <w:noProof/>
        </w:rPr>
      </w:pPr>
      <w:r>
        <w:rPr>
          <w:b/>
          <w:noProof/>
        </w:rPr>
        <w:t>Protracted low levels of R&amp;D investment continue to hold back UK productivity growth (see Section 3.4).</w:t>
      </w:r>
      <w:r>
        <w:rPr>
          <w:noProof/>
        </w:rPr>
        <w:t xml:space="preserve"> Over the past decade, R&amp;D intensity has been broadly flat, remaining well below the EU average. In 2016, R&amp;D investment accounted for 1.69 % of UK GDP, </w:t>
      </w:r>
      <w:r>
        <w:rPr>
          <w:noProof/>
        </w:rPr>
        <w:t xml:space="preserve">compared to an EU average of 2.03 %. As discussed in Section 3.4, there are significant regional differences in R&amp;D intensity. </w:t>
      </w:r>
    </w:p>
    <w:p w:rsidR="00D329F2" w:rsidRDefault="008D7727">
      <w:pPr>
        <w:rPr>
          <w:noProof/>
        </w:rPr>
      </w:pPr>
      <w:r>
        <w:rPr>
          <w:b/>
          <w:noProof/>
        </w:rPr>
        <w:t>Private R&amp;D has slightly increased in recent years, but remains below the EU average.</w:t>
      </w:r>
      <w:r>
        <w:rPr>
          <w:noProof/>
        </w:rPr>
        <w:t xml:space="preserve"> Private R&amp;D intensity has increased slight</w:t>
      </w:r>
      <w:r>
        <w:rPr>
          <w:noProof/>
        </w:rPr>
        <w:t>ly since 2012, when it bottomed at 1.02 % of GDP, to reach 1.13 % in 2016, still below the 1.32 % EU average. To some extent, this is linked to the low weight of manufacturing in the UK economy (see Section 3.4), in particular high-tech manufacturing.</w:t>
      </w:r>
    </w:p>
    <w:p w:rsidR="00D329F2" w:rsidRDefault="008D7727">
      <w:pPr>
        <w:rPr>
          <w:noProof/>
        </w:rPr>
      </w:pPr>
      <w:r>
        <w:rPr>
          <w:b/>
          <w:noProof/>
        </w:rPr>
        <w:t>Publ</w:t>
      </w:r>
      <w:r>
        <w:rPr>
          <w:b/>
          <w:noProof/>
        </w:rPr>
        <w:t>ic R&amp;D has declined since 2009, which could jeopardise the UK’s world class science base.</w:t>
      </w:r>
      <w:r>
        <w:rPr>
          <w:noProof/>
        </w:rPr>
        <w:t xml:space="preserve"> UK public R&amp;D — covering both government and Higher Education expenditure — fell from 0.63 % of GDP in 2009 to 0.52 % in 2016. This is significantly below the EU aver</w:t>
      </w:r>
      <w:r>
        <w:rPr>
          <w:noProof/>
        </w:rPr>
        <w:t>age of 0.69 % of GDP. This protracted low level of public R&amp;D expenditure could negatively affect the quality of the UK’s scientific production. However, to date, UK science continues to be world-class, supported by a culture of evaluation. The UK produces</w:t>
      </w:r>
      <w:r>
        <w:rPr>
          <w:noProof/>
        </w:rPr>
        <w:t xml:space="preserve"> 14.8 % of the top 10 % most cited publications worldwide, the highest proportion of any EU Member State.</w:t>
      </w:r>
    </w:p>
    <w:p w:rsidR="00D329F2" w:rsidRDefault="008D7727">
      <w:pPr>
        <w:rPr>
          <w:noProof/>
        </w:rPr>
      </w:pPr>
      <w:r>
        <w:rPr>
          <w:b/>
          <w:noProof/>
        </w:rPr>
        <w:t>The government has committed itself to significantly increasing public R&amp;D investment</w:t>
      </w:r>
      <w:r>
        <w:rPr>
          <w:noProof/>
        </w:rPr>
        <w:t xml:space="preserve">. In the 2017 Autumn Budget, the government pledged to increase </w:t>
      </w:r>
      <w:r>
        <w:rPr>
          <w:noProof/>
        </w:rPr>
        <w:t xml:space="preserve">public R&amp;D spending by GBP 2.3 billion (EUR 2.6 billion) in 2018-2019, and up to GBP 12.5 billion (EUR 14.3 billion) by 2021-2022. This increased public investment is part of the government’s productivity strategy (see Section 3.4) and is intended to help </w:t>
      </w:r>
      <w:r>
        <w:rPr>
          <w:noProof/>
        </w:rPr>
        <w:t>achieve a target of raising the UK’s overall R&amp;D investment to the level of the OECD average, currently 2.4 % of GDP. To date, UK-based stakeholders have received EUR 4.2 billon (GBP 3.7 billion) from the EU Horizon 2020 Research and Innovation Framework P</w:t>
      </w:r>
      <w:r>
        <w:rPr>
          <w:noProof/>
        </w:rPr>
        <w:t>rogramme.</w:t>
      </w:r>
    </w:p>
    <w:p w:rsidR="00D329F2" w:rsidRDefault="008D7727">
      <w:pPr>
        <w:rPr>
          <w:noProof/>
        </w:rPr>
      </w:pPr>
      <w:r>
        <w:rPr>
          <w:b/>
          <w:noProof/>
        </w:rPr>
        <w:t>Improving relatively weak science-business linkages would help the UK to capitalise on its scientific excellence</w:t>
      </w:r>
      <w:r>
        <w:rPr>
          <w:noProof/>
        </w:rPr>
        <w:t>. Existing initiatives, such as the Catapult Centres or the Higher Education Innovation Fund, should be evaluated with a view to refin</w:t>
      </w:r>
      <w:r>
        <w:rPr>
          <w:noProof/>
        </w:rPr>
        <w:t>ing and potentially expanding and/or complementing them. In addition, the creation of UK Research and Innovation — bringing together the Research Councils, Innovate UK, science and innovation functions of the Higher Education Funding Council for England, a</w:t>
      </w:r>
      <w:r>
        <w:rPr>
          <w:noProof/>
        </w:rPr>
        <w:t>nd the Industry Strategy Challenge Fund — can help improve the coherence of government policy.</w:t>
      </w:r>
    </w:p>
    <w:p w:rsidR="00D329F2" w:rsidRDefault="008D7727">
      <w:pPr>
        <w:pStyle w:val="Heading"/>
        <w:rPr>
          <w:noProof/>
        </w:rPr>
      </w:pPr>
      <w:r>
        <w:rPr>
          <w:noProof/>
        </w:rPr>
        <w:t>Public administration</w:t>
      </w:r>
    </w:p>
    <w:p w:rsidR="00D329F2" w:rsidRDefault="008D7727">
      <w:pPr>
        <w:rPr>
          <w:noProof/>
        </w:rPr>
      </w:pPr>
      <w:r>
        <w:rPr>
          <w:b/>
          <w:noProof/>
        </w:rPr>
        <w:t>In spite of recent issues involving large contractors, the UK public procurement system generally functions well and is one of the most eff</w:t>
      </w:r>
      <w:r>
        <w:rPr>
          <w:b/>
          <w:noProof/>
        </w:rPr>
        <w:t>icient in the EU.</w:t>
      </w:r>
      <w:r>
        <w:rPr>
          <w:noProof/>
        </w:rPr>
        <w:t xml:space="preserve"> This is due in part to the high degree of professionalism of civil servants dealing with procurement procedures at central government level and the possibilities for training and professional development provided to them.</w:t>
      </w:r>
    </w:p>
    <w:p w:rsidR="00D329F2" w:rsidRDefault="008D7727">
      <w:pPr>
        <w:rPr>
          <w:noProof/>
        </w:rPr>
      </w:pPr>
      <w:r>
        <w:rPr>
          <w:b/>
          <w:noProof/>
        </w:rPr>
        <w:t>Legal and regula</w:t>
      </w:r>
      <w:r>
        <w:rPr>
          <w:b/>
          <w:noProof/>
        </w:rPr>
        <w:t>tory contracting authorities perform well on regulatory compliance.</w:t>
      </w:r>
      <w:r>
        <w:rPr>
          <w:noProof/>
        </w:rPr>
        <w:t xml:space="preserve"> Recently the Cabinet Office developed a comprehensive ‘Commercial skills and competency framework’ for civil servants. A central government entity, the Crown Commercial Service (CCS), has </w:t>
      </w:r>
      <w:r>
        <w:rPr>
          <w:noProof/>
        </w:rPr>
        <w:t>brought together policy, advice and direct buying as a central procurement body. The CCS attempts to favour aggregation of demand where possible, increase the professionalisation of procurement officers and support administrations in achieving value for mo</w:t>
      </w:r>
      <w:r>
        <w:rPr>
          <w:noProof/>
        </w:rPr>
        <w:t>ney through guidance and policy actions.</w:t>
      </w:r>
    </w:p>
    <w:p w:rsidR="00D329F2" w:rsidRDefault="008D7727">
      <w:pPr>
        <w:rPr>
          <w:noProof/>
        </w:rPr>
      </w:pPr>
      <w:r>
        <w:rPr>
          <w:b/>
          <w:noProof/>
        </w:rPr>
        <w:t>Small suppliers are encouraged to participate in public procurement procedures.</w:t>
      </w:r>
      <w:r>
        <w:rPr>
          <w:noProof/>
        </w:rPr>
        <w:t xml:space="preserve"> In the last few years, a strong emphasis has been placed on actions to make it easier for SMEs to access public procurement procedures.</w:t>
      </w:r>
      <w:r>
        <w:rPr>
          <w:noProof/>
        </w:rPr>
        <w:t xml:space="preserve"> These actions include assessing suppliers after the award of the contract instead of doing so during the procedure; ensuring prompt payment to small enterprises and encouraging big suppliers to pay smaller subcontractors within a maximum of 60 days; divid</w:t>
      </w:r>
      <w:r>
        <w:rPr>
          <w:noProof/>
        </w:rPr>
        <w:t>ing contracts into smaller lots; and creating an ʻSME Panelʼ of industry representatives giving policy advice and recommendations on how to improve access for SMEs. Despite the effort towards greater aggregation, UK authorities have paid attention to makin</w:t>
      </w:r>
      <w:r>
        <w:rPr>
          <w:noProof/>
        </w:rPr>
        <w:t>g framework agreements more SME-friendly. While judicial review procedures remain costly, in particular for SMEs, the CCS has set up a ʻMystery Shopperʼ scheme to settle emerging issues during procurement procedures and analyse possible irregularities or i</w:t>
      </w:r>
      <w:r>
        <w:rPr>
          <w:noProof/>
        </w:rPr>
        <w:t>nefficiencies.</w:t>
      </w:r>
    </w:p>
    <w:p w:rsidR="00D329F2" w:rsidRDefault="008D7727">
      <w:pPr>
        <w:rPr>
          <w:noProof/>
        </w:rPr>
      </w:pPr>
      <w:r>
        <w:rPr>
          <w:b/>
          <w:noProof/>
        </w:rPr>
        <w:t>The UK lags behind other EU countries in eGovernment</w:t>
      </w:r>
      <w:r>
        <w:rPr>
          <w:noProof/>
        </w:rPr>
        <w:t>. This is particularly the case with regard to take up of eGovernment services, online service completion and the sophistication of services: availability of pre-filled forms is very low (1</w:t>
      </w:r>
      <w:r>
        <w:rPr>
          <w:noProof/>
        </w:rPr>
        <w:t>7 out of 100). By contrast, the UK performs relatively well in the use of open data. In February 2017, the UK announced a new Government Transformation strategy for 2017-2020 (Cabinet Office, 2017). Its implementation will be crucial for improving eGovernm</w:t>
      </w:r>
      <w:r>
        <w:rPr>
          <w:noProof/>
        </w:rPr>
        <w:t>ent services and for encouraging higher usage.</w:t>
      </w:r>
    </w:p>
    <w:p w:rsidR="00D329F2" w:rsidRDefault="00D329F2">
      <w:pPr>
        <w:rPr>
          <w:noProof/>
        </w:rPr>
        <w:sectPr w:rsidR="00D329F2">
          <w:headerReference w:type="even" r:id="rId145"/>
          <w:headerReference w:type="default" r:id="rId146"/>
          <w:footerReference w:type="even" r:id="rId147"/>
          <w:footerReference w:type="default" r:id="rId148"/>
          <w:headerReference w:type="first" r:id="rId149"/>
          <w:footerReference w:type="first" r:id="rId1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D329F2" w:rsidRDefault="008D7727">
      <w:pPr>
        <w:pStyle w:val="SectionTitleFramedtwolines"/>
        <w:framePr w:wrap="notBeside"/>
        <w:rPr>
          <w:noProof/>
        </w:rPr>
      </w:pPr>
      <w:bookmarkStart w:id="47" w:name="_Toc505334103"/>
      <w:r>
        <w:rPr>
          <w:noProof/>
        </w:rPr>
        <w:t>Annex A</w:t>
      </w:r>
    </w:p>
    <w:p w:rsidR="00D329F2" w:rsidRDefault="008D7727">
      <w:pPr>
        <w:pStyle w:val="SectionTitleFramedtwolines"/>
        <w:framePr w:wrap="notBeside"/>
        <w:rPr>
          <w:noProof/>
        </w:rPr>
      </w:pPr>
      <w:r>
        <w:rPr>
          <w:noProof/>
        </w:rPr>
        <w:t>Overview Table</w:t>
      </w:r>
      <w:bookmarkEnd w:id="47"/>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3969"/>
      </w:tblGrid>
      <w:tr w:rsidR="00D329F2">
        <w:tc>
          <w:tcPr>
            <w:tcW w:w="4536" w:type="dxa"/>
            <w:tcBorders>
              <w:top w:val="single" w:sz="4" w:space="0" w:color="auto"/>
              <w:left w:val="single" w:sz="4" w:space="0" w:color="auto"/>
              <w:bottom w:val="single" w:sz="4" w:space="0" w:color="auto"/>
              <w:right w:val="nil"/>
            </w:tcBorders>
            <w:shd w:val="clear" w:color="auto" w:fill="auto"/>
          </w:tcPr>
          <w:p w:rsidR="00D329F2" w:rsidRDefault="008D7727">
            <w:pPr>
              <w:rPr>
                <w:b/>
                <w:noProof/>
              </w:rPr>
            </w:pPr>
            <w:r>
              <w:rPr>
                <w:b/>
                <w:noProof/>
              </w:rPr>
              <w:t>Commitments</w:t>
            </w:r>
          </w:p>
        </w:tc>
        <w:tc>
          <w:tcPr>
            <w:tcW w:w="3969" w:type="dxa"/>
            <w:tcBorders>
              <w:top w:val="single" w:sz="4" w:space="0" w:color="auto"/>
              <w:left w:val="nil"/>
              <w:bottom w:val="single" w:sz="4" w:space="0" w:color="auto"/>
            </w:tcBorders>
            <w:shd w:val="clear" w:color="auto" w:fill="auto"/>
          </w:tcPr>
          <w:p w:rsidR="00D329F2" w:rsidRDefault="008D7727">
            <w:pPr>
              <w:rPr>
                <w:b/>
                <w:noProof/>
              </w:rPr>
            </w:pPr>
            <w:r>
              <w:rPr>
                <w:b/>
                <w:noProof/>
              </w:rPr>
              <w:t>Summary assessment (</w:t>
            </w:r>
            <w:r>
              <w:rPr>
                <w:noProof/>
                <w:vertAlign w:val="superscript"/>
              </w:rPr>
              <w:footnoteReference w:id="26"/>
            </w:r>
            <w:r>
              <w:rPr>
                <w:b/>
                <w:noProof/>
              </w:rPr>
              <w:t>)</w:t>
            </w:r>
          </w:p>
        </w:tc>
      </w:tr>
      <w:tr w:rsidR="00D329F2">
        <w:tc>
          <w:tcPr>
            <w:tcW w:w="8505" w:type="dxa"/>
            <w:gridSpan w:val="2"/>
            <w:tcBorders>
              <w:top w:val="single" w:sz="4" w:space="0" w:color="auto"/>
              <w:left w:val="single" w:sz="4" w:space="0" w:color="auto"/>
              <w:bottom w:val="dashed" w:sz="4" w:space="0" w:color="auto"/>
            </w:tcBorders>
            <w:shd w:val="clear" w:color="auto" w:fill="auto"/>
          </w:tcPr>
          <w:p w:rsidR="00D329F2" w:rsidRDefault="008D7727">
            <w:pPr>
              <w:rPr>
                <w:b/>
                <w:noProof/>
              </w:rPr>
            </w:pPr>
            <w:r>
              <w:rPr>
                <w:b/>
                <w:noProof/>
              </w:rPr>
              <w:t xml:space="preserve">2017 </w:t>
            </w:r>
            <w:r>
              <w:rPr>
                <w:b/>
                <w:noProof/>
              </w:rPr>
              <w:t>country-specific recommendations (CSRs)</w:t>
            </w:r>
          </w:p>
        </w:tc>
      </w:tr>
      <w:tr w:rsidR="00D329F2">
        <w:tc>
          <w:tcPr>
            <w:tcW w:w="4536" w:type="dxa"/>
            <w:tcBorders>
              <w:top w:val="single" w:sz="4" w:space="0" w:color="auto"/>
              <w:left w:val="single" w:sz="4" w:space="0" w:color="auto"/>
              <w:bottom w:val="dashed" w:sz="4" w:space="0" w:color="auto"/>
            </w:tcBorders>
            <w:shd w:val="clear" w:color="auto" w:fill="auto"/>
          </w:tcPr>
          <w:p w:rsidR="00D329F2" w:rsidRDefault="008D7727">
            <w:pPr>
              <w:rPr>
                <w:b/>
                <w:noProof/>
              </w:rPr>
            </w:pPr>
            <w:r>
              <w:rPr>
                <w:b/>
                <w:noProof/>
              </w:rPr>
              <w:t>CSR 1:</w:t>
            </w:r>
          </w:p>
          <w:p w:rsidR="00D329F2" w:rsidRDefault="008D7727">
            <w:pPr>
              <w:rPr>
                <w:noProof/>
              </w:rPr>
            </w:pPr>
            <w:r>
              <w:rPr>
                <w:noProof/>
              </w:rPr>
              <w:t>Pursue a substantial fiscal effort in 2018-19 in line with the requirements of the preventive arm of the Stability and Growth Pact, taking into account the need to strengthen the ongoing recovery and to ensur</w:t>
            </w:r>
            <w:r>
              <w:rPr>
                <w:noProof/>
              </w:rPr>
              <w:t>e the sustainability of the United Kingdom’s public finances.</w:t>
            </w:r>
          </w:p>
        </w:tc>
        <w:tc>
          <w:tcPr>
            <w:tcW w:w="3969" w:type="dxa"/>
            <w:tcBorders>
              <w:top w:val="single" w:sz="4" w:space="0" w:color="auto"/>
              <w:bottom w:val="dashed" w:sz="4" w:space="0" w:color="auto"/>
            </w:tcBorders>
            <w:shd w:val="clear" w:color="auto" w:fill="auto"/>
          </w:tcPr>
          <w:p w:rsidR="00D329F2" w:rsidRDefault="008D7727">
            <w:pPr>
              <w:rPr>
                <w:noProof/>
              </w:rPr>
            </w:pPr>
            <w:r>
              <w:rPr>
                <w:noProof/>
              </w:rPr>
              <w:t>CSRs related to compliance with the Stability and Growth Pact will be assessed in spring once the final data is available.</w:t>
            </w:r>
          </w:p>
        </w:tc>
      </w:tr>
      <w:tr w:rsidR="00D329F2">
        <w:tc>
          <w:tcPr>
            <w:tcW w:w="4536" w:type="dxa"/>
            <w:tcBorders>
              <w:top w:val="dashed" w:sz="4" w:space="0" w:color="auto"/>
              <w:left w:val="single" w:sz="4" w:space="0" w:color="auto"/>
              <w:bottom w:val="dashed" w:sz="4" w:space="0" w:color="auto"/>
            </w:tcBorders>
            <w:shd w:val="clear" w:color="auto" w:fill="auto"/>
          </w:tcPr>
          <w:p w:rsidR="00D329F2" w:rsidRDefault="008D7727">
            <w:pPr>
              <w:rPr>
                <w:noProof/>
              </w:rPr>
            </w:pPr>
            <w:r>
              <w:rPr>
                <w:b/>
                <w:noProof/>
              </w:rPr>
              <w:t>CSR 2</w:t>
            </w:r>
            <w:r>
              <w:rPr>
                <w:noProof/>
              </w:rPr>
              <w:t>:</w:t>
            </w:r>
          </w:p>
          <w:p w:rsidR="00D329F2" w:rsidRDefault="008D7727">
            <w:pPr>
              <w:rPr>
                <w:noProof/>
              </w:rPr>
            </w:pPr>
            <w:r>
              <w:rPr>
                <w:noProof/>
              </w:rPr>
              <w:t xml:space="preserve">Take further steps to boost housing supply, including through </w:t>
            </w:r>
            <w:r>
              <w:rPr>
                <w:noProof/>
              </w:rPr>
              <w:t>reforms to planning rules and their implementation.</w:t>
            </w:r>
          </w:p>
        </w:tc>
        <w:tc>
          <w:tcPr>
            <w:tcW w:w="3969" w:type="dxa"/>
            <w:tcBorders>
              <w:top w:val="dashed" w:sz="4" w:space="0" w:color="auto"/>
              <w:bottom w:val="dashed" w:sz="4" w:space="0" w:color="auto"/>
            </w:tcBorders>
            <w:shd w:val="clear" w:color="auto" w:fill="auto"/>
          </w:tcPr>
          <w:p w:rsidR="00D329F2" w:rsidRDefault="008D7727">
            <w:pPr>
              <w:rPr>
                <w:noProof/>
              </w:rPr>
            </w:pPr>
            <w:r>
              <w:rPr>
                <w:noProof/>
              </w:rPr>
              <w:t xml:space="preserve">The United Kingdom has made </w:t>
            </w:r>
            <w:r>
              <w:rPr>
                <w:b/>
                <w:noProof/>
              </w:rPr>
              <w:t>some progress</w:t>
            </w:r>
            <w:r>
              <w:rPr>
                <w:noProof/>
              </w:rPr>
              <w:t xml:space="preserve"> in addressing CSR 2:</w:t>
            </w:r>
          </w:p>
          <w:p w:rsidR="00D329F2" w:rsidRDefault="008D7727">
            <w:pPr>
              <w:rPr>
                <w:noProof/>
              </w:rPr>
            </w:pPr>
            <w:r>
              <w:rPr>
                <w:b/>
                <w:noProof/>
              </w:rPr>
              <w:t>Some progress</w:t>
            </w:r>
            <w:r>
              <w:rPr>
                <w:noProof/>
              </w:rPr>
              <w:t xml:space="preserve"> on boosting housing supply. The government is implementing a wide-range of measures to boost housing supply and announced furth</w:t>
            </w:r>
            <w:r>
              <w:rPr>
                <w:noProof/>
              </w:rPr>
              <w:t>er measures in its 2017 Autumn Budget. These measures have likely contributed to higher annual housing completions in recent years. However, new housing supply remains below estimated housing need and many barriers to housebuilding remain.</w:t>
            </w:r>
          </w:p>
        </w:tc>
      </w:tr>
      <w:tr w:rsidR="00D329F2">
        <w:tc>
          <w:tcPr>
            <w:tcW w:w="4536" w:type="dxa"/>
            <w:tcBorders>
              <w:top w:val="dashed" w:sz="4" w:space="0" w:color="auto"/>
              <w:left w:val="single" w:sz="4" w:space="0" w:color="auto"/>
              <w:bottom w:val="dashed" w:sz="4" w:space="0" w:color="auto"/>
            </w:tcBorders>
            <w:shd w:val="clear" w:color="auto" w:fill="auto"/>
          </w:tcPr>
          <w:p w:rsidR="00D329F2" w:rsidRDefault="008D7727">
            <w:pPr>
              <w:rPr>
                <w:noProof/>
              </w:rPr>
            </w:pPr>
            <w:r>
              <w:rPr>
                <w:b/>
                <w:noProof/>
              </w:rPr>
              <w:t>CSR 3</w:t>
            </w:r>
            <w:r>
              <w:rPr>
                <w:noProof/>
              </w:rPr>
              <w:t>:</w:t>
            </w:r>
          </w:p>
          <w:p w:rsidR="00D329F2" w:rsidRDefault="008D7727">
            <w:pPr>
              <w:rPr>
                <w:noProof/>
              </w:rPr>
            </w:pPr>
            <w:r>
              <w:rPr>
                <w:noProof/>
              </w:rPr>
              <w:t xml:space="preserve">Address </w:t>
            </w:r>
            <w:r>
              <w:rPr>
                <w:noProof/>
              </w:rPr>
              <w:t>skills mismatches and provide for skills progression, including by continuing to strengthen the quality of apprenticeships and providing for other funded ‘Further Education’ progression routes.</w:t>
            </w:r>
          </w:p>
        </w:tc>
        <w:tc>
          <w:tcPr>
            <w:tcW w:w="3969" w:type="dxa"/>
            <w:tcBorders>
              <w:top w:val="dashed" w:sz="4" w:space="0" w:color="auto"/>
              <w:bottom w:val="dashed" w:sz="4" w:space="0" w:color="auto"/>
            </w:tcBorders>
            <w:shd w:val="clear" w:color="auto" w:fill="auto"/>
          </w:tcPr>
          <w:p w:rsidR="00D329F2" w:rsidRDefault="008D7727">
            <w:pPr>
              <w:rPr>
                <w:noProof/>
              </w:rPr>
            </w:pPr>
            <w:r>
              <w:rPr>
                <w:noProof/>
              </w:rPr>
              <w:t xml:space="preserve">The United Kingdom has made </w:t>
            </w:r>
            <w:r>
              <w:rPr>
                <w:b/>
                <w:noProof/>
              </w:rPr>
              <w:t>some progress</w:t>
            </w:r>
            <w:r>
              <w:rPr>
                <w:noProof/>
              </w:rPr>
              <w:t xml:space="preserve"> in addressing CSR 3:</w:t>
            </w:r>
          </w:p>
          <w:p w:rsidR="00D329F2" w:rsidRDefault="008D7727">
            <w:pPr>
              <w:rPr>
                <w:noProof/>
              </w:rPr>
            </w:pPr>
            <w:r>
              <w:rPr>
                <w:b/>
                <w:noProof/>
              </w:rPr>
              <w:t>Some progress</w:t>
            </w:r>
            <w:r>
              <w:rPr>
                <w:noProof/>
              </w:rPr>
              <w:t xml:space="preserve"> in addressing skills and apprenticeship issues. There has been some progress in implementing this CSR. Quality in apprenticeships, if measured by the level at which an apprenticeship is taken, increased in 2016-2017. For example, there has b</w:t>
            </w:r>
            <w:r>
              <w:rPr>
                <w:noProof/>
              </w:rPr>
              <w:t>een an increase of 37.4 % in ‘higher’ apprenticeships, albeit from a very low base, and they still only represent 7.5 % of starts. This coincided with the beginning of the Apprenticeship Levy. Other routes for those aged 16-19 will become available via new</w:t>
            </w:r>
            <w:r>
              <w:rPr>
                <w:noProof/>
              </w:rPr>
              <w:t xml:space="preserve"> ‘T-level’ vocational qualifications, while other upskilling and reskilling routes for older participants, whether currently working or not, should become available when the ‘National Retraining Scheme’ is in operation. For now both developments are at a v</w:t>
            </w:r>
            <w:r>
              <w:rPr>
                <w:noProof/>
              </w:rPr>
              <w:t>ery early stage.</w:t>
            </w:r>
          </w:p>
        </w:tc>
      </w:tr>
      <w:tr w:rsidR="00D329F2">
        <w:tc>
          <w:tcPr>
            <w:tcW w:w="8505" w:type="dxa"/>
            <w:gridSpan w:val="2"/>
            <w:tcBorders>
              <w:top w:val="dashSmallGap" w:sz="4" w:space="0" w:color="auto"/>
              <w:left w:val="single" w:sz="4" w:space="0" w:color="auto"/>
              <w:bottom w:val="dashSmallGap" w:sz="4" w:space="0" w:color="auto"/>
            </w:tcBorders>
            <w:shd w:val="clear" w:color="auto" w:fill="auto"/>
          </w:tcPr>
          <w:p w:rsidR="00D329F2" w:rsidRDefault="008D7727">
            <w:pPr>
              <w:rPr>
                <w:b/>
                <w:noProof/>
              </w:rPr>
            </w:pPr>
            <w:r>
              <w:rPr>
                <w:b/>
                <w:noProof/>
              </w:rPr>
              <w:t>Europe 2020 (national targets and progress)</w:t>
            </w:r>
          </w:p>
        </w:tc>
      </w:tr>
      <w:tr w:rsidR="00D329F2">
        <w:tc>
          <w:tcPr>
            <w:tcW w:w="4536" w:type="dxa"/>
            <w:tcBorders>
              <w:top w:val="dashSmallGap" w:sz="4" w:space="0" w:color="auto"/>
              <w:left w:val="single" w:sz="4" w:space="0" w:color="auto"/>
              <w:bottom w:val="dashSmallGap" w:sz="4" w:space="0" w:color="auto"/>
            </w:tcBorders>
            <w:shd w:val="clear" w:color="auto" w:fill="auto"/>
          </w:tcPr>
          <w:p w:rsidR="00D329F2" w:rsidRDefault="008D7727">
            <w:pPr>
              <w:rPr>
                <w:noProof/>
              </w:rPr>
            </w:pPr>
            <w:r>
              <w:rPr>
                <w:noProof/>
              </w:rPr>
              <w:t>Employment rate target: None</w:t>
            </w:r>
          </w:p>
        </w:tc>
        <w:tc>
          <w:tcPr>
            <w:tcW w:w="3969" w:type="dxa"/>
            <w:tcBorders>
              <w:top w:val="dashSmallGap" w:sz="4" w:space="0" w:color="auto"/>
              <w:bottom w:val="dashSmallGap" w:sz="4" w:space="0" w:color="auto"/>
            </w:tcBorders>
            <w:shd w:val="clear" w:color="auto" w:fill="auto"/>
          </w:tcPr>
          <w:p w:rsidR="00D329F2" w:rsidRDefault="008D7727">
            <w:pPr>
              <w:rPr>
                <w:noProof/>
              </w:rPr>
            </w:pPr>
            <w:r>
              <w:rPr>
                <w:noProof/>
              </w:rPr>
              <w:t>77.5 % of the population aged 20-64 was employed in 2016.</w:t>
            </w:r>
          </w:p>
        </w:tc>
      </w:tr>
      <w:tr w:rsidR="00D329F2">
        <w:tc>
          <w:tcPr>
            <w:tcW w:w="4536" w:type="dxa"/>
            <w:tcBorders>
              <w:top w:val="dashSmallGap" w:sz="4" w:space="0" w:color="auto"/>
              <w:left w:val="single" w:sz="4" w:space="0" w:color="auto"/>
              <w:bottom w:val="dashSmallGap" w:sz="4" w:space="0" w:color="auto"/>
            </w:tcBorders>
            <w:shd w:val="clear" w:color="auto" w:fill="auto"/>
          </w:tcPr>
          <w:p w:rsidR="00D329F2" w:rsidRDefault="008D7727">
            <w:pPr>
              <w:rPr>
                <w:noProof/>
              </w:rPr>
            </w:pPr>
            <w:r>
              <w:rPr>
                <w:noProof/>
              </w:rPr>
              <w:t>R&amp;D target: None</w:t>
            </w:r>
          </w:p>
        </w:tc>
        <w:tc>
          <w:tcPr>
            <w:tcW w:w="3969" w:type="dxa"/>
            <w:tcBorders>
              <w:top w:val="dashSmallGap" w:sz="4" w:space="0" w:color="auto"/>
              <w:bottom w:val="dashSmallGap" w:sz="4" w:space="0" w:color="auto"/>
            </w:tcBorders>
            <w:shd w:val="clear" w:color="auto" w:fill="auto"/>
          </w:tcPr>
          <w:p w:rsidR="00D329F2" w:rsidRDefault="008D7727">
            <w:pPr>
              <w:rPr>
                <w:noProof/>
              </w:rPr>
            </w:pPr>
            <w:r>
              <w:rPr>
                <w:noProof/>
              </w:rPr>
              <w:t xml:space="preserve">R&amp;D intensity fell marginally to 1.69 % in 2016. Public R&amp;D intensity was 0.52 % and </w:t>
            </w:r>
            <w:r>
              <w:rPr>
                <w:noProof/>
              </w:rPr>
              <w:t>business R&amp;D intensity 1.12 %.</w:t>
            </w:r>
          </w:p>
          <w:p w:rsidR="00D329F2" w:rsidRDefault="008D7727">
            <w:pPr>
              <w:rPr>
                <w:noProof/>
                <w:highlight w:val="yellow"/>
              </w:rPr>
            </w:pPr>
            <w:r>
              <w:rPr>
                <w:noProof/>
              </w:rPr>
              <w:t>The UK is below the EU average of 2.03 % for R&amp;D intensity. EU average public R&amp;D intensity was 0.69 % and business R&amp;D intensity 1.32 %.</w:t>
            </w:r>
          </w:p>
        </w:tc>
      </w:tr>
      <w:tr w:rsidR="00D329F2">
        <w:tc>
          <w:tcPr>
            <w:tcW w:w="4536" w:type="dxa"/>
            <w:tcBorders>
              <w:top w:val="dashSmallGap" w:sz="4" w:space="0" w:color="auto"/>
              <w:left w:val="single" w:sz="4" w:space="0" w:color="auto"/>
              <w:bottom w:val="dashSmallGap" w:sz="4" w:space="0" w:color="auto"/>
            </w:tcBorders>
            <w:shd w:val="clear" w:color="auto" w:fill="auto"/>
          </w:tcPr>
          <w:p w:rsidR="00D329F2" w:rsidRDefault="008D7727">
            <w:pPr>
              <w:keepNext/>
              <w:rPr>
                <w:noProof/>
              </w:rPr>
            </w:pPr>
            <w:r>
              <w:rPr>
                <w:noProof/>
              </w:rPr>
              <w:t>National greenhouse gas (GHG) emissions target:</w:t>
            </w:r>
          </w:p>
          <w:p w:rsidR="00D329F2" w:rsidRDefault="008D7727">
            <w:pPr>
              <w:keepNext/>
              <w:rPr>
                <w:noProof/>
              </w:rPr>
            </w:pPr>
            <w:r>
              <w:rPr>
                <w:noProof/>
              </w:rPr>
              <w:t>-16 % in 2020 compared to 2005 (in sec</w:t>
            </w:r>
            <w:r>
              <w:rPr>
                <w:noProof/>
              </w:rPr>
              <w:t>tors not included in the EU emissions trading scheme)</w:t>
            </w:r>
          </w:p>
          <w:p w:rsidR="00D329F2" w:rsidRDefault="00D329F2">
            <w:pPr>
              <w:rPr>
                <w:noProof/>
              </w:rPr>
            </w:pPr>
          </w:p>
        </w:tc>
        <w:tc>
          <w:tcPr>
            <w:tcW w:w="3969" w:type="dxa"/>
            <w:tcBorders>
              <w:top w:val="dashSmallGap" w:sz="4" w:space="0" w:color="auto"/>
              <w:bottom w:val="dashSmallGap" w:sz="4" w:space="0" w:color="auto"/>
            </w:tcBorders>
            <w:shd w:val="clear" w:color="auto" w:fill="auto"/>
          </w:tcPr>
          <w:p w:rsidR="00D329F2" w:rsidRDefault="008D7727">
            <w:pPr>
              <w:rPr>
                <w:noProof/>
              </w:rPr>
            </w:pPr>
            <w:r>
              <w:rPr>
                <w:b/>
                <w:noProof/>
              </w:rPr>
              <w:t>2020 target</w:t>
            </w:r>
            <w:r>
              <w:rPr>
                <w:noProof/>
              </w:rPr>
              <w:t>: -16 %</w:t>
            </w:r>
          </w:p>
          <w:p w:rsidR="00D329F2" w:rsidRDefault="008D7727">
            <w:pPr>
              <w:rPr>
                <w:noProof/>
              </w:rPr>
            </w:pPr>
            <w:r>
              <w:rPr>
                <w:noProof/>
              </w:rPr>
              <w:t>According to the latest national projections and taking into account existing measures, the target is expected to be achieved: -26 % in 2020 compared to 2005 (with a margin of 10 per</w:t>
            </w:r>
            <w:r>
              <w:rPr>
                <w:noProof/>
              </w:rPr>
              <w:t>centage points).</w:t>
            </w:r>
          </w:p>
          <w:p w:rsidR="00D329F2" w:rsidRDefault="008D7727">
            <w:pPr>
              <w:rPr>
                <w:noProof/>
              </w:rPr>
            </w:pPr>
            <w:r>
              <w:rPr>
                <w:b/>
                <w:noProof/>
              </w:rPr>
              <w:t>Non-ETS 2016 target</w:t>
            </w:r>
            <w:r>
              <w:rPr>
                <w:noProof/>
              </w:rPr>
              <w:t>: -17 %</w:t>
            </w:r>
          </w:p>
          <w:p w:rsidR="00D329F2" w:rsidRDefault="008D7727">
            <w:pPr>
              <w:rPr>
                <w:noProof/>
              </w:rPr>
            </w:pPr>
            <w:r>
              <w:rPr>
                <w:noProof/>
              </w:rPr>
              <w:t>According to preliminary estimates, the change in non-ETS greenhouse gas emissions between 2005 and 2016 was -22 %, therefore the target is expected to be achieved.</w:t>
            </w:r>
          </w:p>
        </w:tc>
      </w:tr>
      <w:tr w:rsidR="00D329F2">
        <w:tc>
          <w:tcPr>
            <w:tcW w:w="4536" w:type="dxa"/>
            <w:tcBorders>
              <w:top w:val="dashSmallGap" w:sz="4" w:space="0" w:color="auto"/>
              <w:left w:val="single" w:sz="4" w:space="0" w:color="auto"/>
              <w:bottom w:val="dashSmallGap" w:sz="4" w:space="0" w:color="auto"/>
            </w:tcBorders>
            <w:shd w:val="clear" w:color="auto" w:fill="auto"/>
          </w:tcPr>
          <w:p w:rsidR="00D329F2" w:rsidRDefault="008D7727">
            <w:pPr>
              <w:rPr>
                <w:noProof/>
              </w:rPr>
            </w:pPr>
            <w:r>
              <w:rPr>
                <w:noProof/>
              </w:rPr>
              <w:t>2020 renewable energy target: 15 %</w:t>
            </w:r>
          </w:p>
          <w:p w:rsidR="00D329F2" w:rsidRDefault="00D329F2">
            <w:pPr>
              <w:rPr>
                <w:noProof/>
              </w:rPr>
            </w:pPr>
          </w:p>
          <w:p w:rsidR="00D329F2" w:rsidRDefault="008D7727">
            <w:pPr>
              <w:rPr>
                <w:noProof/>
              </w:rPr>
            </w:pPr>
            <w:r>
              <w:rPr>
                <w:noProof/>
              </w:rPr>
              <w:t>2020 Share</w:t>
            </w:r>
            <w:r>
              <w:rPr>
                <w:noProof/>
              </w:rPr>
              <w:t xml:space="preserve"> of renewables in transport:</w:t>
            </w:r>
          </w:p>
        </w:tc>
        <w:tc>
          <w:tcPr>
            <w:tcW w:w="3969" w:type="dxa"/>
            <w:tcBorders>
              <w:top w:val="dashSmallGap" w:sz="4" w:space="0" w:color="auto"/>
              <w:bottom w:val="dashSmallGap" w:sz="4" w:space="0" w:color="auto"/>
            </w:tcBorders>
            <w:shd w:val="clear" w:color="auto" w:fill="auto"/>
          </w:tcPr>
          <w:p w:rsidR="00D329F2" w:rsidRDefault="008D7727">
            <w:pPr>
              <w:rPr>
                <w:noProof/>
              </w:rPr>
            </w:pPr>
            <w:r>
              <w:rPr>
                <w:noProof/>
              </w:rPr>
              <w:t xml:space="preserve">At an estimated level of 9.3 % in 2016, the UK is still some distance away from its 2020 target of 15 %, even though it is above its indicative national trajectory. </w:t>
            </w:r>
          </w:p>
          <w:p w:rsidR="00D329F2" w:rsidRDefault="008D7727">
            <w:pPr>
              <w:keepNext/>
              <w:rPr>
                <w:noProof/>
              </w:rPr>
            </w:pPr>
            <w:r>
              <w:rPr>
                <w:noProof/>
              </w:rPr>
              <w:t xml:space="preserve">With an estimated 4.9 % share of renewable energy sources in </w:t>
            </w:r>
            <w:r>
              <w:rPr>
                <w:noProof/>
              </w:rPr>
              <w:t>transport in 2016, the UK is almost halfway towards the binding 10 % target in transport to be achieved by 2020. The UK's slow uptake of renewables in the transport sector has been driven by the restriction in the use of biofuels with high indirect land-us</w:t>
            </w:r>
            <w:r>
              <w:rPr>
                <w:noProof/>
              </w:rPr>
              <w:t>e change implications.</w:t>
            </w:r>
          </w:p>
        </w:tc>
      </w:tr>
      <w:tr w:rsidR="00D329F2">
        <w:tc>
          <w:tcPr>
            <w:tcW w:w="4536" w:type="dxa"/>
            <w:tcBorders>
              <w:top w:val="dashSmallGap" w:sz="4" w:space="0" w:color="auto"/>
              <w:left w:val="single" w:sz="4" w:space="0" w:color="auto"/>
              <w:bottom w:val="dashSmallGap" w:sz="4" w:space="0" w:color="auto"/>
            </w:tcBorders>
            <w:shd w:val="clear" w:color="auto" w:fill="auto"/>
          </w:tcPr>
          <w:p w:rsidR="00D329F2" w:rsidRDefault="008D7727">
            <w:pPr>
              <w:rPr>
                <w:noProof/>
              </w:rPr>
            </w:pPr>
            <w:r>
              <w:rPr>
                <w:noProof/>
              </w:rPr>
              <w:t>2020 Energy Efficiency Target:</w:t>
            </w:r>
          </w:p>
          <w:p w:rsidR="00D329F2" w:rsidRDefault="008D7727">
            <w:pPr>
              <w:rPr>
                <w:noProof/>
              </w:rPr>
            </w:pPr>
            <w:r>
              <w:rPr>
                <w:noProof/>
              </w:rPr>
              <w:t>129.2 million tonnes of oil equivalent (Mtoe) for final energy consumption corresponding to 177.6 Mtoe for primary energy consumption.</w:t>
            </w:r>
          </w:p>
        </w:tc>
        <w:tc>
          <w:tcPr>
            <w:tcW w:w="3969" w:type="dxa"/>
            <w:tcBorders>
              <w:top w:val="dashSmallGap" w:sz="4" w:space="0" w:color="auto"/>
              <w:bottom w:val="dashSmallGap" w:sz="4" w:space="0" w:color="auto"/>
            </w:tcBorders>
            <w:shd w:val="clear" w:color="auto" w:fill="auto"/>
          </w:tcPr>
          <w:p w:rsidR="00D329F2" w:rsidRDefault="008D7727">
            <w:pPr>
              <w:rPr>
                <w:noProof/>
              </w:rPr>
            </w:pPr>
            <w:r>
              <w:rPr>
                <w:noProof/>
              </w:rPr>
              <w:t>The UK is now 2.3 % above its 2020 primary energy consumption targ</w:t>
            </w:r>
            <w:r>
              <w:rPr>
                <w:noProof/>
              </w:rPr>
              <w:t>et and 3.5 % above its 2020 final energy consumption target. The UK has to increase its effort to cut primary and final energy consumption by the required levels.</w:t>
            </w:r>
          </w:p>
        </w:tc>
      </w:tr>
      <w:tr w:rsidR="00D329F2">
        <w:tc>
          <w:tcPr>
            <w:tcW w:w="4536" w:type="dxa"/>
            <w:tcBorders>
              <w:top w:val="dashSmallGap" w:sz="4" w:space="0" w:color="auto"/>
              <w:left w:val="single" w:sz="4" w:space="0" w:color="auto"/>
              <w:bottom w:val="dashSmallGap" w:sz="4" w:space="0" w:color="auto"/>
            </w:tcBorders>
            <w:shd w:val="clear" w:color="auto" w:fill="auto"/>
          </w:tcPr>
          <w:p w:rsidR="00D329F2" w:rsidRDefault="008D7727">
            <w:pPr>
              <w:rPr>
                <w:noProof/>
              </w:rPr>
            </w:pPr>
            <w:r>
              <w:rPr>
                <w:noProof/>
              </w:rPr>
              <w:t>Early school leaving target: None</w:t>
            </w:r>
          </w:p>
        </w:tc>
        <w:tc>
          <w:tcPr>
            <w:tcW w:w="3969" w:type="dxa"/>
            <w:tcBorders>
              <w:top w:val="dashSmallGap" w:sz="4" w:space="0" w:color="auto"/>
              <w:bottom w:val="dashSmallGap" w:sz="4" w:space="0" w:color="auto"/>
            </w:tcBorders>
            <w:shd w:val="clear" w:color="auto" w:fill="auto"/>
          </w:tcPr>
          <w:p w:rsidR="00D329F2" w:rsidRDefault="008D7727">
            <w:pPr>
              <w:rPr>
                <w:noProof/>
              </w:rPr>
            </w:pPr>
            <w:r>
              <w:rPr>
                <w:noProof/>
              </w:rPr>
              <w:t>The indicator on early school leavers recorded a 2.2 pps r</w:t>
            </w:r>
            <w:r>
              <w:rPr>
                <w:noProof/>
              </w:rPr>
              <w:t>eduction over a five-year period, from 13.4 % in 2012 to 11.2 % in 2016, which is below the EU average of 10.7 %.</w:t>
            </w:r>
          </w:p>
        </w:tc>
      </w:tr>
      <w:tr w:rsidR="00D329F2">
        <w:tc>
          <w:tcPr>
            <w:tcW w:w="4536" w:type="dxa"/>
            <w:tcBorders>
              <w:top w:val="dashSmallGap" w:sz="4" w:space="0" w:color="auto"/>
              <w:left w:val="single" w:sz="4" w:space="0" w:color="auto"/>
              <w:bottom w:val="dashSmallGap" w:sz="4" w:space="0" w:color="auto"/>
            </w:tcBorders>
            <w:shd w:val="clear" w:color="auto" w:fill="auto"/>
          </w:tcPr>
          <w:p w:rsidR="00D329F2" w:rsidRDefault="008D7727">
            <w:pPr>
              <w:rPr>
                <w:noProof/>
              </w:rPr>
            </w:pPr>
            <w:r>
              <w:rPr>
                <w:noProof/>
              </w:rPr>
              <w:t>Tertiary education target: None</w:t>
            </w:r>
          </w:p>
        </w:tc>
        <w:tc>
          <w:tcPr>
            <w:tcW w:w="3969" w:type="dxa"/>
            <w:tcBorders>
              <w:top w:val="dashSmallGap" w:sz="4" w:space="0" w:color="auto"/>
              <w:bottom w:val="dashSmallGap" w:sz="4" w:space="0" w:color="auto"/>
            </w:tcBorders>
            <w:shd w:val="clear" w:color="auto" w:fill="auto"/>
          </w:tcPr>
          <w:p w:rsidR="00D329F2" w:rsidRDefault="008D7727">
            <w:pPr>
              <w:rPr>
                <w:noProof/>
              </w:rPr>
            </w:pPr>
            <w:r>
              <w:rPr>
                <w:noProof/>
              </w:rPr>
              <w:t xml:space="preserve">The tertiary attainment rate of 30-34 year olds reached 48.2 % in 2016, a small increase on the 2015 rate of </w:t>
            </w:r>
            <w:r>
              <w:rPr>
                <w:noProof/>
              </w:rPr>
              <w:t>47.9 %. This is significantly above the EU average of 39.1 %.</w:t>
            </w:r>
          </w:p>
        </w:tc>
      </w:tr>
      <w:tr w:rsidR="00D329F2">
        <w:tc>
          <w:tcPr>
            <w:tcW w:w="4536" w:type="dxa"/>
            <w:tcBorders>
              <w:top w:val="dashSmallGap" w:sz="4" w:space="0" w:color="auto"/>
              <w:left w:val="single" w:sz="4" w:space="0" w:color="auto"/>
              <w:bottom w:val="single" w:sz="4" w:space="0" w:color="auto"/>
            </w:tcBorders>
            <w:shd w:val="clear" w:color="auto" w:fill="auto"/>
          </w:tcPr>
          <w:p w:rsidR="00D329F2" w:rsidRDefault="008D7727">
            <w:pPr>
              <w:rPr>
                <w:noProof/>
              </w:rPr>
            </w:pPr>
            <w:r>
              <w:rPr>
                <w:noProof/>
              </w:rPr>
              <w:t>Target for reducing the number of people at risk of poverty or social exclusion: None</w:t>
            </w:r>
          </w:p>
        </w:tc>
        <w:tc>
          <w:tcPr>
            <w:tcW w:w="3969" w:type="dxa"/>
            <w:tcBorders>
              <w:top w:val="dashSmallGap" w:sz="4" w:space="0" w:color="auto"/>
              <w:bottom w:val="single" w:sz="4" w:space="0" w:color="auto"/>
            </w:tcBorders>
            <w:shd w:val="clear" w:color="auto" w:fill="auto"/>
          </w:tcPr>
          <w:p w:rsidR="00D329F2" w:rsidRDefault="008D7727">
            <w:pPr>
              <w:rPr>
                <w:noProof/>
              </w:rPr>
            </w:pPr>
            <w:r>
              <w:rPr>
                <w:noProof/>
              </w:rPr>
              <w:t xml:space="preserve">The ‘at-risk-of-poverty-or-social-exclusion rate’ stood at 22.2 % in 2016, a decrease from the 2015 figure </w:t>
            </w:r>
            <w:r>
              <w:rPr>
                <w:noProof/>
              </w:rPr>
              <w:t>of 23.5 %.</w:t>
            </w:r>
          </w:p>
        </w:tc>
      </w:tr>
    </w:tbl>
    <w:p w:rsidR="00D329F2" w:rsidRDefault="00D329F2">
      <w:pPr>
        <w:rPr>
          <w:noProof/>
        </w:rPr>
        <w:sectPr w:rsidR="00D329F2">
          <w:headerReference w:type="even" r:id="rId151"/>
          <w:headerReference w:type="default" r:id="rId152"/>
          <w:footerReference w:type="even" r:id="rId153"/>
          <w:footerReference w:type="default" r:id="rId154"/>
          <w:headerReference w:type="first" r:id="rId155"/>
          <w:footerReference w:type="first" r:id="rId15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329F2" w:rsidRDefault="008D7727">
      <w:pPr>
        <w:pStyle w:val="SectionTitleFramedtwolines1"/>
        <w:framePr w:wrap="notBeside"/>
        <w:rPr>
          <w:noProof/>
        </w:rPr>
      </w:pPr>
      <w:bookmarkStart w:id="48" w:name="_Toc505334104"/>
      <w:r>
        <w:rPr>
          <w:noProof/>
        </w:rPr>
        <w:t>Annex B</w:t>
      </w:r>
    </w:p>
    <w:p w:rsidR="00D329F2" w:rsidRDefault="008D7727">
      <w:pPr>
        <w:pStyle w:val="SectionTitleFramedtwolines1"/>
        <w:framePr w:wrap="notBeside"/>
        <w:rPr>
          <w:noProof/>
        </w:rPr>
      </w:pPr>
      <w:r>
        <w:rPr>
          <w:noProof/>
        </w:rPr>
        <w:t>Macroeconomic Imbalance Procedure Scoreboard</w:t>
      </w:r>
      <w:bookmarkEnd w:id="48"/>
    </w:p>
    <w:p w:rsidR="00D329F2" w:rsidRDefault="00D329F2">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49" w:name="_Toc505333963"/>
            <w:r>
              <w:rPr>
                <w:noProof/>
              </w:rPr>
              <w:t>Table B.1:</w:t>
            </w:r>
            <w:r>
              <w:rPr>
                <w:b/>
                <w:noProof/>
              </w:rPr>
              <w:tab/>
              <w:t xml:space="preserve">The MIP scoreboard for United Kingdom (AMR </w:t>
            </w:r>
            <w:r>
              <w:rPr>
                <w:b/>
                <w:noProof/>
              </w:rPr>
              <w:t>2018)</w:t>
            </w:r>
            <w:bookmarkEnd w:id="49"/>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7E5F4CE9" wp14:editId="29167324">
                  <wp:extent cx="5400929" cy="5281332"/>
                  <wp:effectExtent l="0" t="0" r="9525" b="0"/>
                  <wp:docPr id="54" name="Picture 54" descr="&lt;nbr&gt;&lt;GETTEXTFROMWORD&gt;&lt;/nbr&gt;&#10;&lt;title&gt;&lt;GETTEXTFROMWORD&gt;&lt;/title&gt;&#10;&lt;id&gt;74e4b241-672e-4ada-a8f3-1917386d1d2d&lt;/id&gt;&#10;&lt;srcType&gt;EXCEL&lt;/srcType&gt;&#10;&lt;srcPath&gt;\\net1\Ci\Public\2017 CRs\2018 European semester\28 UK\Revised Second Draft\Tables&lt;/srcPath&gt;&#10;&lt;srcName&gt;UK_Scoreboard_table.xlsx&lt;/srcName&gt;&#10;&lt;type&gt;table&lt;/type&gt;&#10; &lt;srcSheet&gt;UK&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49:20&lt;/scrFileTime&gt;&#10;&lt;imageInformation&gt;&#10; &lt;dontScaleUp&gt;no&lt;/dontScaleUp&gt;&#10;&lt;/imageInformation&gt;&#10;&lt;url&gt;&lt;/url&gt;&#10;&lt;basedocguid&gt;{E6D3E422-3E2D-4FA7-ACE0-2980F22E905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5400929" cy="5281332"/>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(1) This table provides data as published under the Alert Mechanism Report 2018, which reports data as of 24 Oct 2017. Please note that figures reported in this table may therefore differ from more recent data elsewhere in this document.</w:t>
            </w:r>
            <w:r>
              <w:rPr>
                <w:noProof/>
              </w:rPr>
              <w:br/>
              <w:t xml:space="preserve">(2) </w:t>
            </w:r>
            <w:r>
              <w:rPr>
                <w:noProof/>
              </w:rPr>
              <w:t>Figures highlighted are those falling outside the threshold established in the European Commission's Alert Mechanism Report.</w:t>
            </w:r>
          </w:p>
          <w:p w:rsidR="00D329F2" w:rsidRDefault="008D7727">
            <w:pPr>
              <w:pStyle w:val="TableSource"/>
              <w:rPr>
                <w:noProof/>
              </w:rPr>
            </w:pPr>
            <w:r>
              <w:rPr>
                <w:b/>
                <w:i/>
                <w:noProof/>
              </w:rPr>
              <w:t>Source:</w:t>
            </w:r>
            <w:r>
              <w:rPr>
                <w:noProof/>
              </w:rPr>
              <w:t xml:space="preserve"> European Commission 2017, Statistical Annex to the Alert Mechanism Report 2018, SWD(2017) 661.</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rPr>
          <w:noProof/>
        </w:rPr>
        <w:sectPr w:rsidR="00D329F2">
          <w:headerReference w:type="even" r:id="rId158"/>
          <w:headerReference w:type="default" r:id="rId159"/>
          <w:footerReference w:type="even" r:id="rId160"/>
          <w:footerReference w:type="default" r:id="rId161"/>
          <w:headerReference w:type="first" r:id="rId162"/>
          <w:footerReference w:type="first" r:id="rId16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329F2" w:rsidRDefault="008D7727">
      <w:pPr>
        <w:pStyle w:val="SectionTitleFramedtwolines2"/>
        <w:framePr w:wrap="notBeside"/>
        <w:rPr>
          <w:noProof/>
        </w:rPr>
      </w:pPr>
      <w:bookmarkStart w:id="50" w:name="_Toc505334105"/>
      <w:r>
        <w:rPr>
          <w:noProof/>
        </w:rPr>
        <w:t xml:space="preserve">Annex C </w:t>
      </w:r>
    </w:p>
    <w:p w:rsidR="00D329F2" w:rsidRDefault="008D7727">
      <w:pPr>
        <w:pStyle w:val="SectionTitleFramedtwolines2"/>
        <w:framePr w:wrap="notBeside"/>
        <w:rPr>
          <w:noProof/>
        </w:rPr>
      </w:pPr>
      <w:r>
        <w:rPr>
          <w:noProof/>
        </w:rPr>
        <w:t>Standard Tables</w:t>
      </w:r>
      <w:bookmarkEnd w:id="50"/>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51" w:name="_Toc505333964"/>
            <w:r>
              <w:rPr>
                <w:noProof/>
              </w:rPr>
              <w:t>Table C.1:</w:t>
            </w:r>
            <w:r>
              <w:rPr>
                <w:b/>
                <w:noProof/>
              </w:rPr>
              <w:tab/>
              <w:t>Financial market indicators</w:t>
            </w:r>
            <w:bookmarkEnd w:id="51"/>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5D4C0684" wp14:editId="48A2D902">
                  <wp:extent cx="5400929" cy="2165074"/>
                  <wp:effectExtent l="0" t="0" r="0" b="6985"/>
                  <wp:docPr id="13" name="Picture 13" descr="&lt;nbr&gt;&lt;GETTEXTFROMWORD&gt;&lt;/nbr&gt;&#10;&lt;title&gt;&lt;GETTEXTFROMWORD&gt;&lt;/title&gt;&#10;&lt;id&gt;34a972eb-6c1e-463b-ace8-a62653ce870a&lt;/id&gt;&#10;&lt;srcType&gt;EXCEL&lt;/srcType&gt;&#10;&lt;srcPath&gt;\\net1\Ci\Public\2017 CRs\2018 European semester\28 UK\Revised Second Draft\Tables&lt;/srcPath&gt;&#10;&lt;srcName&gt;28 UK Standard tables.xls&lt;/srcName&gt;&#10;&lt;type&gt;table&lt;/type&gt;&#10; &lt;srcSheet&gt;UK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55:47&lt;/scrFileTime&gt;&#10;&lt;imageInformation&gt;&#10; &lt;dontScaleUp&gt;no&lt;/dontScaleUp&gt;&#10;&lt;/imageInformation&gt;&#10;&lt;url&gt;&lt;/url&gt;&#10;&lt;basedocguid&gt;{4A626182-7BAD-4380-A256-7EA4A79EB66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400929" cy="2165074"/>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 xml:space="preserve">(1) Latest data Q3 2017. Includes not only banks but all monetary </w:t>
            </w:r>
            <w:r>
              <w:rPr>
                <w:noProof/>
              </w:rPr>
              <w:t>financial institutions excluding central banks</w:t>
            </w:r>
            <w:r>
              <w:rPr>
                <w:noProof/>
              </w:rPr>
              <w:br/>
              <w:t>(2) Latest data Q2 2017.</w:t>
            </w:r>
            <w:r>
              <w:rPr>
                <w:noProof/>
              </w:rPr>
              <w:br/>
              <w:t>(3) As per ECB definition of gross non-performing debt instruments</w:t>
            </w:r>
            <w:r>
              <w:rPr>
                <w:noProof/>
              </w:rPr>
              <w:br/>
              <w:t>(4) Quarterly values are not annualised</w:t>
            </w:r>
            <w:r>
              <w:rPr>
                <w:noProof/>
              </w:rPr>
              <w:br/>
              <w:t>* Measured in basis points.</w:t>
            </w:r>
            <w:r>
              <w:rPr>
                <w:noProof/>
              </w:rPr>
              <w:br/>
            </w:r>
            <w:r>
              <w:rPr>
                <w:b/>
                <w:i/>
                <w:noProof/>
              </w:rPr>
              <w:t>Sources:</w:t>
            </w:r>
            <w:r>
              <w:rPr>
                <w:noProof/>
              </w:rPr>
              <w:t xml:space="preserve"> European Commission, World Bank, Eurosta</w:t>
            </w:r>
            <w:r>
              <w:rPr>
                <w:noProof/>
              </w:rPr>
              <w:t>t, ECB</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52" w:name="_Toc505333965"/>
            <w:r>
              <w:rPr>
                <w:noProof/>
              </w:rPr>
              <w:t>Table C.2:</w:t>
            </w:r>
            <w:r>
              <w:rPr>
                <w:b/>
                <w:noProof/>
              </w:rPr>
              <w:tab/>
              <w:t>Headline Social Scoreboard indicators</w:t>
            </w:r>
            <w:bookmarkEnd w:id="52"/>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2A6C0083" wp14:editId="0C5C72D1">
                  <wp:extent cx="5389245" cy="400558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5389245" cy="4005580"/>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 xml:space="preserve">† The Social Scoreboard includes 14 headline indicators, of which 12 are currently used to compare Member States performance. The indicators "participants in active labour market policies </w:t>
            </w:r>
            <w:r>
              <w:rPr>
                <w:noProof/>
              </w:rPr>
              <w:t>per 100 persons wanting to work" and "compensation of employees per hour worked (in EUR)" are not used due to technical concerns by Member States. Possible alternatives will be discussed in the relevant Committees.</w:t>
            </w:r>
          </w:p>
          <w:p w:rsidR="00D329F2" w:rsidRDefault="008D7727">
            <w:pPr>
              <w:pStyle w:val="TableFootnote"/>
              <w:rPr>
                <w:noProof/>
              </w:rPr>
            </w:pPr>
            <w:r>
              <w:rPr>
                <w:noProof/>
              </w:rPr>
              <w:t>(1) People at risk of poverty or social e</w:t>
            </w:r>
            <w:r>
              <w:rPr>
                <w:noProof/>
              </w:rPr>
              <w:t xml:space="preserve">xclusion (AROPE): individuals who are at risk of poverty (AROP) and/or suffering from severe material deprivation (SMD) and/or living in households with zero or very low work intensity (LWI).      </w:t>
            </w:r>
          </w:p>
          <w:p w:rsidR="00D329F2" w:rsidRDefault="008D7727">
            <w:pPr>
              <w:pStyle w:val="TableFootnote"/>
              <w:rPr>
                <w:noProof/>
              </w:rPr>
            </w:pPr>
            <w:r>
              <w:rPr>
                <w:noProof/>
              </w:rPr>
              <w:t>(2) Unemployed persons are all those who were not employed</w:t>
            </w:r>
            <w:r>
              <w:rPr>
                <w:noProof/>
              </w:rPr>
              <w:t xml:space="preserve"> but had actively sought work and were ready to begin working immediately or within two weeks.      </w:t>
            </w:r>
          </w:p>
          <w:p w:rsidR="00D329F2" w:rsidRDefault="008D7727">
            <w:pPr>
              <w:pStyle w:val="TableFootnote"/>
              <w:rPr>
                <w:noProof/>
              </w:rPr>
            </w:pPr>
            <w:r>
              <w:rPr>
                <w:noProof/>
              </w:rPr>
              <w:t xml:space="preserve">(3) Gross disposable household income is defined in unadjusted terms, according to the draft Joint Employment Report 2018.      </w:t>
            </w:r>
          </w:p>
          <w:p w:rsidR="00D329F2" w:rsidRDefault="008D7727">
            <w:pPr>
              <w:pStyle w:val="TableFootnote"/>
              <w:rPr>
                <w:noProof/>
              </w:rPr>
            </w:pPr>
            <w:r>
              <w:rPr>
                <w:noProof/>
              </w:rPr>
              <w:t>(4) Reduction in percentag</w:t>
            </w:r>
            <w:r>
              <w:rPr>
                <w:noProof/>
              </w:rPr>
              <w:t xml:space="preserve">e of the risk of poverty rate, due to social transfers (calculated comparing at-risk-of poverty rates before social transfers with those after transfers; pensions are not considered as social transfers in the calculation).      </w:t>
            </w:r>
          </w:p>
          <w:p w:rsidR="00D329F2" w:rsidRDefault="008D7727">
            <w:pPr>
              <w:pStyle w:val="TableSource"/>
              <w:rPr>
                <w:noProof/>
              </w:rPr>
            </w:pPr>
            <w:r>
              <w:rPr>
                <w:noProof/>
              </w:rPr>
              <w:t>(5)  Average of first three</w:t>
            </w:r>
            <w:r>
              <w:rPr>
                <w:noProof/>
              </w:rPr>
              <w:t xml:space="preserve"> quarters of 2017, except for the indicator "individual who have basic or above basic digital skills" (annual data). Data for unemployment rate is seasonally adjusted </w:t>
            </w:r>
          </w:p>
          <w:p w:rsidR="00D329F2" w:rsidRDefault="008D7727">
            <w:pPr>
              <w:pStyle w:val="TableSource"/>
              <w:rPr>
                <w:noProof/>
              </w:rPr>
            </w:pPr>
            <w:r>
              <w:rPr>
                <w:b/>
                <w:i/>
                <w:noProof/>
              </w:rPr>
              <w:t>Source:</w:t>
            </w:r>
            <w:r>
              <w:rPr>
                <w:noProof/>
              </w:rPr>
              <w:t xml:space="preserve"> Eurostat</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53" w:name="_Toc505333966"/>
            <w:r>
              <w:rPr>
                <w:noProof/>
              </w:rPr>
              <w:t>Table C.3:</w:t>
            </w:r>
            <w:r>
              <w:rPr>
                <w:b/>
                <w:noProof/>
              </w:rPr>
              <w:tab/>
              <w:t>Labour market, education and social indicators</w:t>
            </w:r>
            <w:bookmarkEnd w:id="53"/>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51AD6B81" wp14:editId="05021AD2">
                  <wp:extent cx="5397500" cy="417576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397500" cy="4175760"/>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 xml:space="preserve">* Non-scoreboard indicator      </w:t>
            </w:r>
          </w:p>
          <w:p w:rsidR="00D329F2" w:rsidRDefault="008D7727">
            <w:pPr>
              <w:pStyle w:val="TableFootnote"/>
              <w:rPr>
                <w:noProof/>
              </w:rPr>
            </w:pPr>
            <w:r>
              <w:rPr>
                <w:noProof/>
              </w:rPr>
              <w:t xml:space="preserve">(1) Long-term unemployed are people who have been unemployed for at least 12 months.      </w:t>
            </w:r>
          </w:p>
          <w:p w:rsidR="00D329F2" w:rsidRDefault="008D7727">
            <w:pPr>
              <w:pStyle w:val="TableFootnote"/>
              <w:rPr>
                <w:noProof/>
              </w:rPr>
            </w:pPr>
            <w:r>
              <w:rPr>
                <w:noProof/>
              </w:rPr>
              <w:t>(2) Difference between the average gross hourly earnings of male paid employees and of female paid employees as a percentage of aver</w:t>
            </w:r>
            <w:r>
              <w:rPr>
                <w:noProof/>
              </w:rPr>
              <w:t xml:space="preserve">age gross hourly earnings of male paid employees. It is defined as "unadjusted", as it does not correct for the distribution of individual characteristics (and thus gives an overall picture of gender inequalities in terms of pay). All employees working in </w:t>
            </w:r>
            <w:r>
              <w:rPr>
                <w:noProof/>
              </w:rPr>
              <w:t xml:space="preserve">firms with ten or more employees, without restrictions for age and hours worked, are included.      </w:t>
            </w:r>
          </w:p>
          <w:p w:rsidR="00D329F2" w:rsidRDefault="008D7727">
            <w:pPr>
              <w:pStyle w:val="TableFootnote"/>
              <w:rPr>
                <w:noProof/>
              </w:rPr>
            </w:pPr>
            <w:r>
              <w:rPr>
                <w:noProof/>
              </w:rPr>
              <w:t xml:space="preserve">(3) PISA (OECD) results for low achievement in mathematics for 15 year-olds.      </w:t>
            </w:r>
          </w:p>
          <w:p w:rsidR="00D329F2" w:rsidRDefault="008D7727">
            <w:pPr>
              <w:pStyle w:val="TableFootnote"/>
              <w:rPr>
                <w:noProof/>
              </w:rPr>
            </w:pPr>
            <w:r>
              <w:rPr>
                <w:noProof/>
              </w:rPr>
              <w:t xml:space="preserve">(4) Impact of socio-economic and cultural status on PISA (OECD) scores. </w:t>
            </w:r>
            <w:r>
              <w:rPr>
                <w:noProof/>
              </w:rPr>
              <w:t>Values for 2012 and 2015 refer respectively to mathematics and science..</w:t>
            </w:r>
          </w:p>
          <w:p w:rsidR="00D329F2" w:rsidRDefault="008D7727">
            <w:pPr>
              <w:pStyle w:val="TableSource"/>
              <w:rPr>
                <w:noProof/>
              </w:rPr>
            </w:pPr>
            <w:r>
              <w:rPr>
                <w:noProof/>
              </w:rPr>
              <w:t xml:space="preserve">(5) Average of first three quarters of 2017. Data for youth unemployment rate is seasonally adjusted. </w:t>
            </w:r>
          </w:p>
          <w:p w:rsidR="00D329F2" w:rsidRDefault="008D7727">
            <w:pPr>
              <w:pStyle w:val="TableSource"/>
              <w:rPr>
                <w:noProof/>
              </w:rPr>
            </w:pPr>
            <w:r>
              <w:rPr>
                <w:b/>
                <w:i/>
                <w:noProof/>
              </w:rPr>
              <w:t>Source:</w:t>
            </w:r>
            <w:r>
              <w:rPr>
                <w:noProof/>
              </w:rPr>
              <w:t xml:space="preserve"> Eurostat, OECD</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54" w:name="_Toc505333967"/>
            <w:r>
              <w:rPr>
                <w:noProof/>
              </w:rPr>
              <w:t>Table C.4:</w:t>
            </w:r>
            <w:r>
              <w:rPr>
                <w:b/>
                <w:noProof/>
              </w:rPr>
              <w:tab/>
              <w:t>Social inclusion and health indicators</w:t>
            </w:r>
            <w:bookmarkEnd w:id="54"/>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3CCB8D6E" wp14:editId="67FD9611">
                  <wp:extent cx="5397500" cy="4474845"/>
                  <wp:effectExtent l="0" t="0" r="0" b="190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5397500" cy="4474845"/>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  Non-scoreboard indicator</w:t>
            </w:r>
          </w:p>
          <w:p w:rsidR="00D329F2" w:rsidRDefault="008D7727">
            <w:pPr>
              <w:pStyle w:val="TableFootnote"/>
              <w:rPr>
                <w:noProof/>
              </w:rPr>
            </w:pPr>
            <w:r>
              <w:rPr>
                <w:noProof/>
              </w:rPr>
              <w:t>(1) At-risk-of-poverty rate (AROP): proportion of people with an equivalised disposable income below 60</w:t>
            </w:r>
            <w:r>
              <w:rPr>
                <w:rFonts w:ascii="Arial" w:hAnsi="Arial" w:cs="Arial"/>
                <w:noProof/>
              </w:rPr>
              <w:t> </w:t>
            </w:r>
            <w:r>
              <w:rPr>
                <w:noProof/>
              </w:rPr>
              <w:t xml:space="preserve">% of the national equivalised median income. </w:t>
            </w:r>
          </w:p>
          <w:p w:rsidR="00D329F2" w:rsidRDefault="008D7727">
            <w:pPr>
              <w:pStyle w:val="TableFootnote"/>
              <w:rPr>
                <w:noProof/>
              </w:rPr>
            </w:pPr>
            <w:r>
              <w:rPr>
                <w:noProof/>
              </w:rPr>
              <w:t>(2) Proportion of people who experience at least four of the following form</w:t>
            </w:r>
            <w:r>
              <w:rPr>
                <w:noProof/>
              </w:rPr>
              <w:t>s of deprivation: not being able to afford to i) pay their rent or utility bills, ii) keep their home adequately warm, iii) face unexpected expenses, iv) eat meat, fish or a protein equivalent every second day, v) enjoy a week of holiday away from home onc</w:t>
            </w:r>
            <w:r>
              <w:rPr>
                <w:noProof/>
              </w:rPr>
              <w:t>e a year, vi) have a car, vii) have a washing machine, viii) have a colour TV, or ix) have a telephone.</w:t>
            </w:r>
          </w:p>
          <w:p w:rsidR="00D329F2" w:rsidRDefault="008D7727">
            <w:pPr>
              <w:pStyle w:val="TableFootnote"/>
              <w:rPr>
                <w:noProof/>
              </w:rPr>
            </w:pPr>
            <w:r>
              <w:rPr>
                <w:noProof/>
              </w:rPr>
              <w:t>(3) Percentage of total population living in overcrowded dwellings and exhibiting housing deprivation.</w:t>
            </w:r>
            <w:r>
              <w:rPr>
                <w:noProof/>
              </w:rPr>
              <w:tab/>
            </w:r>
          </w:p>
          <w:p w:rsidR="00D329F2" w:rsidRDefault="008D7727">
            <w:pPr>
              <w:pStyle w:val="TableFootnote"/>
              <w:rPr>
                <w:noProof/>
              </w:rPr>
            </w:pPr>
            <w:r>
              <w:rPr>
                <w:noProof/>
              </w:rPr>
              <w:t xml:space="preserve">(4) People living in households with very low </w:t>
            </w:r>
            <w:r>
              <w:rPr>
                <w:noProof/>
              </w:rPr>
              <w:t>work intensity: proportion of people aged 0-59 living in households where the adults (excluding dependent children) worked less than 20</w:t>
            </w:r>
            <w:r>
              <w:rPr>
                <w:rFonts w:ascii="Arial" w:hAnsi="Arial" w:cs="Arial"/>
                <w:noProof/>
              </w:rPr>
              <w:t> </w:t>
            </w:r>
            <w:r>
              <w:rPr>
                <w:noProof/>
              </w:rPr>
              <w:t>% of their total work-time potential in the previous 12 months.</w:t>
            </w:r>
          </w:p>
          <w:p w:rsidR="00D329F2" w:rsidRDefault="008D7727">
            <w:pPr>
              <w:pStyle w:val="TableFootnote"/>
              <w:rPr>
                <w:noProof/>
              </w:rPr>
            </w:pPr>
            <w:r>
              <w:rPr>
                <w:noProof/>
              </w:rPr>
              <w:t>(5) Ratio of the median individual gross pensions of peo</w:t>
            </w:r>
            <w:r>
              <w:rPr>
                <w:noProof/>
              </w:rPr>
              <w:t>ple aged 65-74 relative to the median individual gross earnings of people aged 50-59.</w:t>
            </w:r>
          </w:p>
          <w:p w:rsidR="00D329F2" w:rsidRDefault="008D7727">
            <w:pPr>
              <w:pStyle w:val="TableSource"/>
              <w:rPr>
                <w:noProof/>
              </w:rPr>
            </w:pPr>
            <w:r>
              <w:rPr>
                <w:noProof/>
              </w:rPr>
              <w:t>(6) Fixed broadband take up (33%), mobile broadband take up (22%), speed (33%) and affordability (11%), from the Digital Scoreboard.</w:t>
            </w:r>
            <w:r>
              <w:rPr>
                <w:b/>
                <w:i/>
                <w:noProof/>
              </w:rPr>
              <w:t>Source:</w:t>
            </w:r>
            <w:r>
              <w:rPr>
                <w:noProof/>
              </w:rPr>
              <w:t xml:space="preserve"> Eurostat, OECD</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55" w:name="_Toc505333968"/>
            <w:r>
              <w:rPr>
                <w:noProof/>
              </w:rPr>
              <w:t>Table C.5</w:t>
            </w:r>
            <w:r>
              <w:rPr>
                <w:noProof/>
              </w:rPr>
              <w:t>:</w:t>
            </w:r>
            <w:r>
              <w:rPr>
                <w:b/>
                <w:noProof/>
              </w:rPr>
              <w:tab/>
              <w:t>Product market performance and policy indicators</w:t>
            </w:r>
            <w:bookmarkEnd w:id="55"/>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0672F39B" wp14:editId="02F8243B">
                  <wp:extent cx="5400929" cy="3145617"/>
                  <wp:effectExtent l="0" t="0" r="0" b="0"/>
                  <wp:docPr id="16" name="Picture 16" descr="&lt;nbr&gt;&lt;GETTEXTFROMWORD&gt;&lt;/nbr&gt;&#10;&lt;title&gt;&lt;GETTEXTFROMWORD&gt;&lt;/title&gt;&#10;&lt;id&gt;5878ce28-2ffe-4bce-8c4f-f591e81c5d82&lt;/id&gt;&#10;&lt;srcType&gt;EXCEL&lt;/srcType&gt;&#10;&lt;srcPath&gt;\\net1\Ci\Public\2017 CRs\2018 European semester\28 UK\Revised Second Draft\Tables\&lt;/srcPath&gt;&#10;&lt;srcName&gt;28 UK Standard tables.xls&lt;/srcName&gt;&#10;&lt;type&gt;table&lt;/type&gt;&#10; &lt;srcSheet&gt;UK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4:55:47&lt;/scrFileTime&gt;&#10;&lt;imageInformation&gt;&#10; &lt;dontScaleUp&gt;no&lt;/dontScaleUp&gt;&#10;&lt;/imageInformation&gt;&#10;&lt;url&gt;&lt;/url&gt;&#10;&lt;basedocguid&gt;{4A626182-7BAD-4380-A256-7EA4A79EB66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5400929" cy="3145617"/>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 xml:space="preserve">(1) The methodologies, including the assumptions, for this indicator are shown in detail here: http://www.doingbusiness.org/methodology.       </w:t>
            </w:r>
            <w:r>
              <w:rPr>
                <w:noProof/>
              </w:rPr>
              <w:br/>
            </w:r>
            <w:r>
              <w:rPr>
                <w:noProof/>
              </w:rPr>
              <w:t>(2) Average of the answer to question Q7B_a. "[Bank loan]: If you applied and tried to negotiate for this type of financing over the past six months, what was the outcome?". Answers were codified as follows: zero if received everything, one if received mos</w:t>
            </w:r>
            <w:r>
              <w:rPr>
                <w:noProof/>
              </w:rPr>
              <w:t xml:space="preserve">t of it, two if only received a limited part of it, three if refused or rejected and treated as missing values if the application is still pending or don't know.      </w:t>
            </w:r>
            <w:r>
              <w:rPr>
                <w:noProof/>
              </w:rPr>
              <w:br/>
              <w:t xml:space="preserve">(3) Percentage population aged 15-64 having completed tertiary education.      </w:t>
            </w:r>
            <w:r>
              <w:rPr>
                <w:noProof/>
              </w:rPr>
              <w:br/>
              <w:t>(4) Perc</w:t>
            </w:r>
            <w:r>
              <w:rPr>
                <w:noProof/>
              </w:rPr>
              <w:t xml:space="preserve">entage population aged 20-24 having attained at least upper secondary education.      </w:t>
            </w:r>
            <w:r>
              <w:rPr>
                <w:noProof/>
              </w:rPr>
              <w:br/>
              <w:t>(5) Index: 0 = not regulated; 6 = most regulated. The methodologies of the OECD product market regulation indicators are shown in detail here: http://www.oecd.org/compet</w:t>
            </w:r>
            <w:r>
              <w:rPr>
                <w:noProof/>
              </w:rPr>
              <w:t xml:space="preserve">ition/reform/indicatorsofproductmarketregulationhomepage.htm      </w:t>
            </w:r>
            <w:r>
              <w:rPr>
                <w:noProof/>
              </w:rPr>
              <w:br/>
              <w:t xml:space="preserve">(6) Aggregate OECD indicators of regulation in energy, transport and communications (ETCR).      </w:t>
            </w:r>
          </w:p>
          <w:p w:rsidR="00D329F2" w:rsidRDefault="008D7727">
            <w:pPr>
              <w:pStyle w:val="TableSource"/>
              <w:rPr>
                <w:noProof/>
              </w:rPr>
            </w:pPr>
            <w:r>
              <w:rPr>
                <w:b/>
                <w:i/>
                <w:noProof/>
              </w:rPr>
              <w:t>Source:</w:t>
            </w:r>
            <w:r>
              <w:rPr>
                <w:noProof/>
              </w:rPr>
              <w:t xml:space="preserve"> European Commission, World Bank, OECD, SAFE</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D329F2">
        <w:trPr>
          <w:cantSplit/>
          <w:trHeight w:val="20"/>
        </w:trPr>
        <w:tc>
          <w:tcPr>
            <w:tcW w:w="8505" w:type="dxa"/>
            <w:shd w:val="clear" w:color="auto" w:fill="auto"/>
          </w:tcPr>
          <w:p w:rsidR="00D329F2" w:rsidRDefault="00D329F2">
            <w:pPr>
              <w:pStyle w:val="SlimCell"/>
              <w:keepNext/>
              <w:rPr>
                <w:noProof/>
              </w:rPr>
            </w:pPr>
          </w:p>
        </w:tc>
      </w:tr>
      <w:tr w:rsidR="00D329F2">
        <w:trPr>
          <w:cantSplit/>
        </w:trPr>
        <w:tc>
          <w:tcPr>
            <w:tcW w:w="8505" w:type="dxa"/>
            <w:shd w:val="clear" w:color="auto" w:fill="auto"/>
          </w:tcPr>
          <w:p w:rsidR="00D329F2" w:rsidRDefault="008D7727">
            <w:pPr>
              <w:pStyle w:val="TableTitle"/>
              <w:rPr>
                <w:b/>
                <w:noProof/>
              </w:rPr>
            </w:pPr>
            <w:bookmarkStart w:id="56" w:name="_Toc505333969"/>
            <w:r>
              <w:rPr>
                <w:noProof/>
              </w:rPr>
              <w:t>Table C.6:</w:t>
            </w:r>
            <w:r>
              <w:rPr>
                <w:b/>
                <w:noProof/>
              </w:rPr>
              <w:tab/>
              <w:t>Green growth</w:t>
            </w:r>
            <w:bookmarkEnd w:id="56"/>
          </w:p>
        </w:tc>
      </w:tr>
      <w:tr w:rsidR="00D329F2">
        <w:trPr>
          <w:cantSplit/>
        </w:trPr>
        <w:tc>
          <w:tcPr>
            <w:tcW w:w="8505" w:type="dxa"/>
            <w:shd w:val="clear" w:color="auto" w:fill="auto"/>
          </w:tcPr>
          <w:p w:rsidR="00D329F2" w:rsidRDefault="008D7727">
            <w:pPr>
              <w:pStyle w:val="TableShape"/>
              <w:rPr>
                <w:noProof/>
                <w:sz w:val="2"/>
              </w:rPr>
            </w:pPr>
            <w:r>
              <w:rPr>
                <w:noProof/>
                <w:sz w:val="2"/>
                <w:lang w:eastAsia="en-GB"/>
              </w:rPr>
              <w:drawing>
                <wp:inline distT="0" distB="0" distL="0" distR="0" wp14:anchorId="04929147" wp14:editId="05DBF9DC">
                  <wp:extent cx="5390515" cy="400875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5390515" cy="4008755"/>
                          </a:xfrm>
                          <a:prstGeom prst="rect">
                            <a:avLst/>
                          </a:prstGeom>
                          <a:noFill/>
                          <a:ln>
                            <a:noFill/>
                          </a:ln>
                        </pic:spPr>
                      </pic:pic>
                    </a:graphicData>
                  </a:graphic>
                </wp:inline>
              </w:drawing>
            </w:r>
          </w:p>
        </w:tc>
      </w:tr>
      <w:tr w:rsidR="00D329F2">
        <w:trPr>
          <w:cantSplit/>
        </w:trPr>
        <w:tc>
          <w:tcPr>
            <w:tcW w:w="8505" w:type="dxa"/>
            <w:shd w:val="clear" w:color="auto" w:fill="auto"/>
          </w:tcPr>
          <w:p w:rsidR="00D329F2" w:rsidRDefault="008D7727">
            <w:pPr>
              <w:pStyle w:val="TableFootnote"/>
              <w:rPr>
                <w:noProof/>
              </w:rPr>
            </w:pPr>
            <w:r>
              <w:rPr>
                <w:noProof/>
              </w:rPr>
              <w:t xml:space="preserve">All </w:t>
            </w:r>
            <w:r>
              <w:rPr>
                <w:noProof/>
              </w:rPr>
              <w:t>macro intensity indicators are expressed as a ratio of a physical quantity to GDP (in 2010 prices)</w:t>
            </w:r>
          </w:p>
          <w:p w:rsidR="00D329F2" w:rsidRDefault="008D7727">
            <w:pPr>
              <w:pStyle w:val="TableFootnote"/>
              <w:rPr>
                <w:noProof/>
              </w:rPr>
            </w:pPr>
            <w:r>
              <w:rPr>
                <w:noProof/>
              </w:rPr>
              <w:t xml:space="preserve">          Energy intensity: gross inland energy consumption (in kgoe) divided by GDP (in EUR)</w:t>
            </w:r>
          </w:p>
          <w:p w:rsidR="00D329F2" w:rsidRDefault="008D7727">
            <w:pPr>
              <w:pStyle w:val="TableFootnote"/>
              <w:rPr>
                <w:noProof/>
              </w:rPr>
            </w:pPr>
            <w:r>
              <w:rPr>
                <w:noProof/>
              </w:rPr>
              <w:t xml:space="preserve">          Carbon intensity: greenhouse gas emissions (in kg CO2</w:t>
            </w:r>
            <w:r>
              <w:rPr>
                <w:noProof/>
              </w:rPr>
              <w:t xml:space="preserve"> equivalents) divided by GDP (in EUR)</w:t>
            </w:r>
          </w:p>
          <w:p w:rsidR="00D329F2" w:rsidRDefault="008D7727">
            <w:pPr>
              <w:pStyle w:val="TableFootnote"/>
              <w:rPr>
                <w:noProof/>
              </w:rPr>
            </w:pPr>
            <w:r>
              <w:rPr>
                <w:noProof/>
              </w:rPr>
              <w:t xml:space="preserve">          Resource intensity: domestic material consumption (in kg) divided by GDP (in EUR)</w:t>
            </w:r>
          </w:p>
          <w:p w:rsidR="00D329F2" w:rsidRDefault="008D7727">
            <w:pPr>
              <w:pStyle w:val="TableFootnote"/>
              <w:rPr>
                <w:noProof/>
              </w:rPr>
            </w:pPr>
            <w:r>
              <w:rPr>
                <w:noProof/>
              </w:rPr>
              <w:t xml:space="preserve">          Waste intensity: waste (in kg) divided by GDP (in EUR)</w:t>
            </w:r>
          </w:p>
          <w:p w:rsidR="00D329F2" w:rsidRDefault="008D7727">
            <w:pPr>
              <w:pStyle w:val="TableFootnote"/>
              <w:rPr>
                <w:noProof/>
              </w:rPr>
            </w:pPr>
            <w:r>
              <w:rPr>
                <w:noProof/>
              </w:rPr>
              <w:t>Energy balance of trade: the balance of energy exports and im</w:t>
            </w:r>
            <w:r>
              <w:rPr>
                <w:noProof/>
              </w:rPr>
              <w:t xml:space="preserve">ports, expressed as % of GDP  </w:t>
            </w:r>
          </w:p>
          <w:p w:rsidR="00D329F2" w:rsidRDefault="008D7727">
            <w:pPr>
              <w:pStyle w:val="TableFootnote"/>
              <w:rPr>
                <w:noProof/>
              </w:rPr>
            </w:pPr>
            <w:r>
              <w:rPr>
                <w:noProof/>
              </w:rPr>
              <w:t>Weighting of energy in HICP: the proportion of 'energy' items in the consumption basket used for the construction of the HICP</w:t>
            </w:r>
          </w:p>
          <w:p w:rsidR="00D329F2" w:rsidRDefault="008D7727">
            <w:pPr>
              <w:pStyle w:val="TableFootnote"/>
              <w:rPr>
                <w:noProof/>
              </w:rPr>
            </w:pPr>
            <w:r>
              <w:rPr>
                <w:noProof/>
              </w:rPr>
              <w:t>Difference between energy price change and inflation: energy component of HICP, and total HICP infl</w:t>
            </w:r>
            <w:r>
              <w:rPr>
                <w:noProof/>
              </w:rPr>
              <w:t>ation (annual % change)</w:t>
            </w:r>
          </w:p>
          <w:p w:rsidR="00D329F2" w:rsidRDefault="008D7727">
            <w:pPr>
              <w:pStyle w:val="TableFootnote"/>
              <w:rPr>
                <w:noProof/>
              </w:rPr>
            </w:pPr>
            <w:r>
              <w:rPr>
                <w:noProof/>
              </w:rPr>
              <w:t>Real unit energy cost: real energy costs as % of total value added for the economy</w:t>
            </w:r>
          </w:p>
          <w:p w:rsidR="00D329F2" w:rsidRDefault="008D7727">
            <w:pPr>
              <w:pStyle w:val="TableFootnote"/>
              <w:rPr>
                <w:noProof/>
              </w:rPr>
            </w:pPr>
            <w:r>
              <w:rPr>
                <w:noProof/>
              </w:rPr>
              <w:t xml:space="preserve">Industry energy intensity: final energy consumption of industry (in kgoe) divided by gross value added of industry (in 2010 EUR) </w:t>
            </w:r>
          </w:p>
          <w:p w:rsidR="00D329F2" w:rsidRDefault="008D7727">
            <w:pPr>
              <w:pStyle w:val="TableFootnote"/>
              <w:rPr>
                <w:noProof/>
              </w:rPr>
            </w:pPr>
            <w:r>
              <w:rPr>
                <w:noProof/>
              </w:rPr>
              <w:t>Real unit energy co</w:t>
            </w:r>
            <w:r>
              <w:rPr>
                <w:noProof/>
              </w:rPr>
              <w:t>sts for manufacturing industry excluding refining : real costs as % of value added for  manufacturing sectors</w:t>
            </w:r>
          </w:p>
          <w:p w:rsidR="00D329F2" w:rsidRDefault="008D7727">
            <w:pPr>
              <w:pStyle w:val="TableFootnote"/>
              <w:rPr>
                <w:noProof/>
              </w:rPr>
            </w:pPr>
            <w:r>
              <w:rPr>
                <w:noProof/>
              </w:rPr>
              <w:t>Share of energy-intensive industries in the economy: share of gross value added of the energy-intensive industries in GDP</w:t>
            </w:r>
          </w:p>
          <w:p w:rsidR="00D329F2" w:rsidRDefault="008D7727">
            <w:pPr>
              <w:pStyle w:val="TableFootnote"/>
              <w:rPr>
                <w:noProof/>
              </w:rPr>
            </w:pPr>
            <w:r>
              <w:rPr>
                <w:noProof/>
              </w:rPr>
              <w:t>Electricity and gas pric</w:t>
            </w:r>
            <w:r>
              <w:rPr>
                <w:noProof/>
              </w:rPr>
              <w:t>es for medium-sized industrial users: consumption band 500–20 00MWh and 10 000–100 000 GJ; figures excl. VAT.</w:t>
            </w:r>
          </w:p>
          <w:p w:rsidR="00D329F2" w:rsidRDefault="008D7727">
            <w:pPr>
              <w:pStyle w:val="TableFootnote"/>
              <w:rPr>
                <w:noProof/>
              </w:rPr>
            </w:pPr>
            <w:r>
              <w:rPr>
                <w:noProof/>
              </w:rPr>
              <w:t>Recycling rate of municipal waste: ratio of recycled and composted municipal waste to total municipal waste</w:t>
            </w:r>
          </w:p>
          <w:p w:rsidR="00D329F2" w:rsidRDefault="008D7727">
            <w:pPr>
              <w:pStyle w:val="TableFootnote"/>
              <w:rPr>
                <w:noProof/>
              </w:rPr>
            </w:pPr>
            <w:r>
              <w:rPr>
                <w:noProof/>
              </w:rPr>
              <w:t>Public R&amp;D for energy or for the envir</w:t>
            </w:r>
            <w:r>
              <w:rPr>
                <w:noProof/>
              </w:rPr>
              <w:t>onment: government spending on R&amp;D for these categories as % of GDP</w:t>
            </w:r>
          </w:p>
          <w:p w:rsidR="00D329F2" w:rsidRDefault="008D7727">
            <w:pPr>
              <w:pStyle w:val="TableFootnote"/>
              <w:rPr>
                <w:noProof/>
              </w:rPr>
            </w:pPr>
            <w:r>
              <w:rPr>
                <w:noProof/>
              </w:rPr>
              <w:t>Proportion of GHG emissions covered by EU emissions trading system (ETS) (excluding aviation): based on GHG emissions</w:t>
            </w:r>
          </w:p>
          <w:p w:rsidR="00D329F2" w:rsidRDefault="008D7727">
            <w:pPr>
              <w:pStyle w:val="TableFootnote"/>
              <w:rPr>
                <w:noProof/>
              </w:rPr>
            </w:pPr>
            <w:r>
              <w:rPr>
                <w:noProof/>
              </w:rPr>
              <w:t>(excl land use, land use change and forestry) as reported by Member St</w:t>
            </w:r>
            <w:r>
              <w:rPr>
                <w:noProof/>
              </w:rPr>
              <w:t>ates to the European Environment Agency.</w:t>
            </w:r>
          </w:p>
          <w:p w:rsidR="00D329F2" w:rsidRDefault="008D7727">
            <w:pPr>
              <w:pStyle w:val="TableFootnote"/>
              <w:rPr>
                <w:noProof/>
              </w:rPr>
            </w:pPr>
            <w:r>
              <w:rPr>
                <w:noProof/>
              </w:rPr>
              <w:t>Transport energy intensity: final energy consumption of transport activity (kgoe) divided by transport industry gross value added (in 2010 EUR)</w:t>
            </w:r>
          </w:p>
          <w:p w:rsidR="00D329F2" w:rsidRDefault="008D7727">
            <w:pPr>
              <w:pStyle w:val="TableFootnote"/>
              <w:rPr>
                <w:noProof/>
              </w:rPr>
            </w:pPr>
            <w:r>
              <w:rPr>
                <w:noProof/>
              </w:rPr>
              <w:t>Transport carbon intensity: GHG emissions in transport activity divided</w:t>
            </w:r>
            <w:r>
              <w:rPr>
                <w:noProof/>
              </w:rPr>
              <w:t xml:space="preserve"> by gross value added of the transport sector</w:t>
            </w:r>
          </w:p>
          <w:p w:rsidR="00D329F2" w:rsidRDefault="008D7727">
            <w:pPr>
              <w:pStyle w:val="TableFootnote"/>
              <w:rPr>
                <w:noProof/>
              </w:rPr>
            </w:pPr>
            <w:r>
              <w:rPr>
                <w:noProof/>
              </w:rPr>
              <w:t>Energy import dependency: net energy imports divided by gross inland energy consumption incl. consumption of international bunker fuels</w:t>
            </w:r>
          </w:p>
          <w:p w:rsidR="00D329F2" w:rsidRDefault="008D7727">
            <w:pPr>
              <w:pStyle w:val="TableFootnote"/>
              <w:rPr>
                <w:noProof/>
              </w:rPr>
            </w:pPr>
            <w:r>
              <w:rPr>
                <w:noProof/>
              </w:rPr>
              <w:t xml:space="preserve">Aggregated supplier concentration index:  covers oil, gas and coal. </w:t>
            </w:r>
            <w:r>
              <w:rPr>
                <w:noProof/>
              </w:rPr>
              <w:t>Smaller values indicate larger diversification and hence lower risk.</w:t>
            </w:r>
          </w:p>
          <w:p w:rsidR="00D329F2" w:rsidRDefault="008D7727">
            <w:pPr>
              <w:pStyle w:val="TableFootnote"/>
              <w:rPr>
                <w:noProof/>
              </w:rPr>
            </w:pPr>
            <w:r>
              <w:rPr>
                <w:noProof/>
              </w:rPr>
              <w:t>Diversification of the energy mix: Herfindahl index covering natural gas, total petrol products, nuclear heat, renewable energies and solid fuels</w:t>
            </w:r>
          </w:p>
          <w:p w:rsidR="00D329F2" w:rsidRDefault="008D7727">
            <w:pPr>
              <w:pStyle w:val="TableFootnote"/>
              <w:rPr>
                <w:noProof/>
              </w:rPr>
            </w:pPr>
            <w:r>
              <w:rPr>
                <w:noProof/>
              </w:rPr>
              <w:t>* European Commission and European Enviro</w:t>
            </w:r>
            <w:r>
              <w:rPr>
                <w:noProof/>
              </w:rPr>
              <w:t>nment Agency</w:t>
            </w:r>
          </w:p>
          <w:p w:rsidR="00D329F2" w:rsidRDefault="008D7727">
            <w:pPr>
              <w:pStyle w:val="TableSource"/>
              <w:rPr>
                <w:noProof/>
              </w:rPr>
            </w:pPr>
            <w:r>
              <w:rPr>
                <w:b/>
                <w:i/>
                <w:noProof/>
              </w:rPr>
              <w:t>Source:</w:t>
            </w:r>
            <w:r>
              <w:rPr>
                <w:noProof/>
              </w:rPr>
              <w:t xml:space="preserve"> European Commission, European Environment Agency</w:t>
            </w:r>
          </w:p>
        </w:tc>
      </w:tr>
      <w:tr w:rsidR="00D329F2">
        <w:trPr>
          <w:cantSplit/>
          <w:trHeight w:val="20"/>
        </w:trPr>
        <w:tc>
          <w:tcPr>
            <w:tcW w:w="8505" w:type="dxa"/>
            <w:shd w:val="clear" w:color="auto" w:fill="auto"/>
          </w:tcPr>
          <w:p w:rsidR="00D329F2" w:rsidRDefault="00D329F2">
            <w:pPr>
              <w:pStyle w:val="SlimCell"/>
              <w:rPr>
                <w:noProof/>
              </w:rPr>
            </w:pPr>
          </w:p>
        </w:tc>
      </w:tr>
    </w:tbl>
    <w:p w:rsidR="00D329F2" w:rsidRDefault="00D329F2">
      <w:pPr>
        <w:rPr>
          <w:noProof/>
        </w:rPr>
        <w:sectPr w:rsidR="00D329F2">
          <w:headerReference w:type="even" r:id="rId170"/>
          <w:headerReference w:type="default" r:id="rId171"/>
          <w:footerReference w:type="even" r:id="rId172"/>
          <w:footerReference w:type="default" r:id="rId173"/>
          <w:headerReference w:type="first" r:id="rId174"/>
          <w:footerReference w:type="first" r:id="rId17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D329F2" w:rsidRDefault="008D7727">
      <w:pPr>
        <w:pStyle w:val="SectionTitleFramed10"/>
        <w:framePr w:wrap="notBeside"/>
        <w:rPr>
          <w:noProof/>
        </w:rPr>
      </w:pPr>
      <w:bookmarkStart w:id="57" w:name="_Toc505334106"/>
      <w:r>
        <w:rPr>
          <w:noProof/>
        </w:rPr>
        <w:t>References</w:t>
      </w:r>
      <w:bookmarkEnd w:id="57"/>
    </w:p>
    <w:p w:rsidR="00D329F2" w:rsidRDefault="008D7727">
      <w:pPr>
        <w:rPr>
          <w:noProof/>
        </w:rPr>
      </w:pPr>
      <w:r>
        <w:rPr>
          <w:noProof/>
        </w:rPr>
        <w:t xml:space="preserve">Adalet McGowan, M., D. Andrews and V. Millot (2017), </w:t>
      </w:r>
      <w:r>
        <w:rPr>
          <w:i/>
          <w:noProof/>
        </w:rPr>
        <w:t>The Walking Dead? Zombie Firms and Productivity Performance in OECD Countries</w:t>
      </w:r>
      <w:r>
        <w:rPr>
          <w:noProof/>
        </w:rPr>
        <w:t>, OECD Economics Department Working Paper, No 1372, using the Orbis firm level data by Bureau van Dijk.</w:t>
      </w:r>
    </w:p>
    <w:p w:rsidR="00D329F2" w:rsidRDefault="008D7727">
      <w:pPr>
        <w:rPr>
          <w:noProof/>
        </w:rPr>
      </w:pPr>
      <w:r>
        <w:rPr>
          <w:noProof/>
        </w:rPr>
        <w:t>Bank of England (2017)</w:t>
      </w:r>
      <w:r>
        <w:rPr>
          <w:noProof/>
        </w:rPr>
        <w:t xml:space="preserve">, </w:t>
      </w:r>
      <w:r>
        <w:rPr>
          <w:i/>
          <w:noProof/>
        </w:rPr>
        <w:t>Inflation Report November 2017</w:t>
      </w:r>
      <w:r>
        <w:rPr>
          <w:noProof/>
        </w:rPr>
        <w:t>.</w:t>
      </w:r>
    </w:p>
    <w:p w:rsidR="00D329F2" w:rsidRDefault="008D7727">
      <w:pPr>
        <w:rPr>
          <w:noProof/>
        </w:rPr>
      </w:pPr>
      <w:r>
        <w:rPr>
          <w:noProof/>
        </w:rPr>
        <w:t xml:space="preserve">BEIS — Department for Business, Energy &amp; Industrial Strategy (2017a), </w:t>
      </w:r>
      <w:r>
        <w:rPr>
          <w:i/>
          <w:noProof/>
        </w:rPr>
        <w:t>Industrial Strategy: Building a Britain fit for the future</w:t>
      </w:r>
      <w:r>
        <w:rPr>
          <w:noProof/>
        </w:rPr>
        <w:t>, Crown.</w:t>
      </w:r>
    </w:p>
    <w:p w:rsidR="00D329F2" w:rsidRDefault="008D7727">
      <w:pPr>
        <w:rPr>
          <w:noProof/>
        </w:rPr>
      </w:pPr>
      <w:r>
        <w:rPr>
          <w:noProof/>
        </w:rPr>
        <w:t xml:space="preserve">BEIS — Department for Business, Energy and Industrial Strategy (2017b), </w:t>
      </w:r>
      <w:r>
        <w:rPr>
          <w:i/>
          <w:noProof/>
        </w:rPr>
        <w:t xml:space="preserve">Digest of UK </w:t>
      </w:r>
      <w:r>
        <w:rPr>
          <w:i/>
          <w:noProof/>
        </w:rPr>
        <w:t>energy statistics</w:t>
      </w:r>
      <w:r>
        <w:rPr>
          <w:noProof/>
        </w:rPr>
        <w:t>.</w:t>
      </w:r>
    </w:p>
    <w:p w:rsidR="00D329F2" w:rsidRDefault="008D7727">
      <w:pPr>
        <w:rPr>
          <w:i/>
          <w:noProof/>
        </w:rPr>
      </w:pPr>
      <w:r>
        <w:rPr>
          <w:noProof/>
        </w:rPr>
        <w:t xml:space="preserve">BEIS — Department for Business, Energy and Industrial Strategy (2017c), </w:t>
      </w:r>
      <w:r>
        <w:rPr>
          <w:i/>
          <w:noProof/>
        </w:rPr>
        <w:t>Contracts for Difference Second Allocation Round Results.</w:t>
      </w:r>
    </w:p>
    <w:p w:rsidR="00D329F2" w:rsidRDefault="008D7727">
      <w:pPr>
        <w:rPr>
          <w:noProof/>
        </w:rPr>
      </w:pPr>
      <w:r>
        <w:rPr>
          <w:noProof/>
        </w:rPr>
        <w:t xml:space="preserve">Cabinet Office (2017), </w:t>
      </w:r>
      <w:r>
        <w:rPr>
          <w:i/>
          <w:noProof/>
        </w:rPr>
        <w:t>Government Transformation Strategy</w:t>
      </w:r>
      <w:r>
        <w:rPr>
          <w:noProof/>
        </w:rPr>
        <w:t>.</w:t>
      </w:r>
    </w:p>
    <w:p w:rsidR="00D329F2" w:rsidRDefault="008D7727">
      <w:pPr>
        <w:rPr>
          <w:i/>
          <w:noProof/>
        </w:rPr>
      </w:pPr>
      <w:r>
        <w:rPr>
          <w:noProof/>
        </w:rPr>
        <w:t>CASE — Center for Social and Economic Research (</w:t>
      </w:r>
      <w:r>
        <w:rPr>
          <w:noProof/>
        </w:rPr>
        <w:t xml:space="preserve">2017), </w:t>
      </w:r>
      <w:r>
        <w:rPr>
          <w:i/>
          <w:noProof/>
        </w:rPr>
        <w:t>Study and Reports on the VAT Gap in the EU-28 Member States: 2017 Final Report.</w:t>
      </w:r>
    </w:p>
    <w:p w:rsidR="00D329F2" w:rsidRDefault="008D7727">
      <w:pPr>
        <w:rPr>
          <w:i/>
          <w:noProof/>
        </w:rPr>
      </w:pPr>
      <w:r>
        <w:rPr>
          <w:noProof/>
        </w:rPr>
        <w:t xml:space="preserve">CBI — Confederation of British Industry (2017), </w:t>
      </w:r>
      <w:r>
        <w:rPr>
          <w:i/>
          <w:noProof/>
        </w:rPr>
        <w:t>From ostrich to magpie: increasing business take-up of proven ideas and technologies.</w:t>
      </w:r>
    </w:p>
    <w:p w:rsidR="00D329F2" w:rsidRDefault="008D7727">
      <w:pPr>
        <w:rPr>
          <w:noProof/>
          <w:lang w:val="fr-BE"/>
        </w:rPr>
      </w:pPr>
      <w:r>
        <w:rPr>
          <w:noProof/>
          <w:lang w:val="fr-BE"/>
        </w:rPr>
        <w:t xml:space="preserve">CBI/AECOM (2017), </w:t>
      </w:r>
      <w:r>
        <w:rPr>
          <w:i/>
          <w:noProof/>
          <w:lang w:val="fr-BE"/>
        </w:rPr>
        <w:t>CBI/AECOM Infrast</w:t>
      </w:r>
      <w:r>
        <w:rPr>
          <w:i/>
          <w:noProof/>
          <w:lang w:val="fr-BE"/>
        </w:rPr>
        <w:t>ructure Survey 2017</w:t>
      </w:r>
      <w:r>
        <w:rPr>
          <w:noProof/>
          <w:lang w:val="fr-BE"/>
        </w:rPr>
        <w:t>.</w:t>
      </w:r>
    </w:p>
    <w:p w:rsidR="00D329F2" w:rsidRDefault="008D7727">
      <w:pPr>
        <w:rPr>
          <w:noProof/>
        </w:rPr>
      </w:pPr>
      <w:r>
        <w:rPr>
          <w:noProof/>
        </w:rPr>
        <w:t xml:space="preserve">CPB Netherlands Bureau for Economic Policy Analysis (2014), </w:t>
      </w:r>
      <w:r>
        <w:rPr>
          <w:i/>
          <w:noProof/>
        </w:rPr>
        <w:t>Ranking the Stars Network Analysis of Bilateral Tax Treaties</w:t>
      </w:r>
      <w:r>
        <w:rPr>
          <w:noProof/>
        </w:rPr>
        <w:t>, CPB Discussion paper 290.</w:t>
      </w:r>
    </w:p>
    <w:p w:rsidR="00D329F2" w:rsidRDefault="008D7727">
      <w:pPr>
        <w:rPr>
          <w:noProof/>
        </w:rPr>
      </w:pPr>
      <w:r>
        <w:rPr>
          <w:noProof/>
        </w:rPr>
        <w:t xml:space="preserve">DCLG — Department for Communities and Local Government (2016), </w:t>
      </w:r>
      <w:r>
        <w:rPr>
          <w:i/>
          <w:noProof/>
        </w:rPr>
        <w:t>Single departmental plan</w:t>
      </w:r>
      <w:r>
        <w:rPr>
          <w:i/>
          <w:noProof/>
        </w:rPr>
        <w:t>s for 2015 to 2020</w:t>
      </w:r>
      <w:r>
        <w:rPr>
          <w:noProof/>
        </w:rPr>
        <w:t>, Crown.</w:t>
      </w:r>
    </w:p>
    <w:p w:rsidR="00D329F2" w:rsidRDefault="008D7727">
      <w:pPr>
        <w:rPr>
          <w:noProof/>
        </w:rPr>
      </w:pPr>
      <w:r>
        <w:rPr>
          <w:noProof/>
        </w:rPr>
        <w:t xml:space="preserve">DCLG — Department for Communities and Local Government (2017), </w:t>
      </w:r>
      <w:r>
        <w:rPr>
          <w:i/>
          <w:noProof/>
        </w:rPr>
        <w:t>Fixing our broken housing market</w:t>
      </w:r>
      <w:r>
        <w:rPr>
          <w:noProof/>
        </w:rPr>
        <w:t>, Crown.</w:t>
      </w:r>
    </w:p>
    <w:p w:rsidR="00D329F2" w:rsidRDefault="008D7727">
      <w:pPr>
        <w:rPr>
          <w:noProof/>
        </w:rPr>
      </w:pPr>
      <w:r>
        <w:rPr>
          <w:noProof/>
        </w:rPr>
        <w:t xml:space="preserve">DCMS — Department for Digital, Culture, Media &amp; Sport (2017), </w:t>
      </w:r>
      <w:r>
        <w:rPr>
          <w:i/>
          <w:noProof/>
        </w:rPr>
        <w:t>UK Digital Strategy</w:t>
      </w:r>
      <w:r>
        <w:rPr>
          <w:noProof/>
        </w:rPr>
        <w:t>, Crown.</w:t>
      </w:r>
    </w:p>
    <w:p w:rsidR="00D329F2" w:rsidRDefault="008D7727">
      <w:pPr>
        <w:rPr>
          <w:noProof/>
        </w:rPr>
      </w:pPr>
      <w:r>
        <w:rPr>
          <w:noProof/>
        </w:rPr>
        <w:t>Defra — Department for Environment,</w:t>
      </w:r>
      <w:r>
        <w:rPr>
          <w:noProof/>
        </w:rPr>
        <w:t xml:space="preserve"> Food and Rural Affairs (2017), </w:t>
      </w:r>
      <w:r>
        <w:rPr>
          <w:i/>
          <w:noProof/>
        </w:rPr>
        <w:t>Air Quality Plan for nitrogen dioxide (NO2) in UK (2017): Zone Plans</w:t>
      </w:r>
      <w:r>
        <w:rPr>
          <w:noProof/>
        </w:rPr>
        <w:t>.</w:t>
      </w:r>
    </w:p>
    <w:p w:rsidR="00D329F2" w:rsidRDefault="008D7727">
      <w:pPr>
        <w:rPr>
          <w:i/>
          <w:noProof/>
        </w:rPr>
      </w:pPr>
      <w:r>
        <w:rPr>
          <w:noProof/>
        </w:rPr>
        <w:t xml:space="preserve">DfE — Department for Education (2013), </w:t>
      </w:r>
      <w:r>
        <w:rPr>
          <w:i/>
          <w:noProof/>
        </w:rPr>
        <w:t>Teacher supply model: a technical description.</w:t>
      </w:r>
    </w:p>
    <w:p w:rsidR="00D329F2" w:rsidRDefault="008D7727">
      <w:pPr>
        <w:rPr>
          <w:i/>
          <w:noProof/>
        </w:rPr>
      </w:pPr>
      <w:r>
        <w:rPr>
          <w:noProof/>
        </w:rPr>
        <w:t xml:space="preserve">DfE — Department for Education (2017), </w:t>
      </w:r>
      <w:r>
        <w:rPr>
          <w:i/>
          <w:noProof/>
        </w:rPr>
        <w:t xml:space="preserve">The national funding formula </w:t>
      </w:r>
      <w:r>
        <w:rPr>
          <w:i/>
          <w:noProof/>
        </w:rPr>
        <w:t>for schools and high needs.</w:t>
      </w:r>
    </w:p>
    <w:p w:rsidR="00D329F2" w:rsidRDefault="008D7727">
      <w:pPr>
        <w:rPr>
          <w:noProof/>
        </w:rPr>
      </w:pPr>
      <w:r>
        <w:rPr>
          <w:noProof/>
        </w:rPr>
        <w:t xml:space="preserve">DfT — Department for Transport (2014a), </w:t>
      </w:r>
      <w:r>
        <w:rPr>
          <w:i/>
          <w:noProof/>
        </w:rPr>
        <w:t>National Policy Statement for National Networks</w:t>
      </w:r>
      <w:r>
        <w:rPr>
          <w:noProof/>
        </w:rPr>
        <w:t>, Crown.</w:t>
      </w:r>
    </w:p>
    <w:p w:rsidR="00D329F2" w:rsidRDefault="008D7727">
      <w:pPr>
        <w:rPr>
          <w:noProof/>
        </w:rPr>
      </w:pPr>
      <w:r>
        <w:rPr>
          <w:noProof/>
        </w:rPr>
        <w:t xml:space="preserve">DfT — Department for Transport (2015), </w:t>
      </w:r>
      <w:r>
        <w:rPr>
          <w:i/>
          <w:noProof/>
        </w:rPr>
        <w:t>Road investment strategy: economic analysis</w:t>
      </w:r>
      <w:r>
        <w:rPr>
          <w:noProof/>
        </w:rPr>
        <w:t>, Crown.</w:t>
      </w:r>
    </w:p>
    <w:p w:rsidR="00D329F2" w:rsidRDefault="008D7727">
      <w:pPr>
        <w:rPr>
          <w:i/>
          <w:noProof/>
        </w:rPr>
      </w:pPr>
      <w:r>
        <w:rPr>
          <w:noProof/>
        </w:rPr>
        <w:t xml:space="preserve">DfT — Department for Transport (2016), </w:t>
      </w:r>
      <w:r>
        <w:rPr>
          <w:i/>
          <w:noProof/>
        </w:rPr>
        <w:t>Df</w:t>
      </w:r>
      <w:r>
        <w:rPr>
          <w:i/>
          <w:noProof/>
        </w:rPr>
        <w:t>T Table RDL0103 (2016), Road lengths (miles) by road type in Great Britain.</w:t>
      </w:r>
    </w:p>
    <w:p w:rsidR="00D329F2" w:rsidRDefault="008D7727">
      <w:pPr>
        <w:rPr>
          <w:noProof/>
        </w:rPr>
      </w:pPr>
      <w:r>
        <w:rPr>
          <w:noProof/>
        </w:rPr>
        <w:t xml:space="preserve">DfT — Department for Transport (2017a), </w:t>
      </w:r>
      <w:r>
        <w:rPr>
          <w:i/>
          <w:noProof/>
        </w:rPr>
        <w:t>Transport Investment Strategy: Moving Britain Ahead</w:t>
      </w:r>
      <w:r>
        <w:rPr>
          <w:noProof/>
        </w:rPr>
        <w:t>, Crown.</w:t>
      </w:r>
    </w:p>
    <w:p w:rsidR="00D329F2" w:rsidRDefault="008D7727">
      <w:pPr>
        <w:rPr>
          <w:i/>
          <w:noProof/>
        </w:rPr>
      </w:pPr>
      <w:r>
        <w:rPr>
          <w:noProof/>
        </w:rPr>
        <w:t xml:space="preserve">DfT — Department for Transport (2017b), </w:t>
      </w:r>
      <w:r>
        <w:rPr>
          <w:i/>
          <w:noProof/>
        </w:rPr>
        <w:t>Rail passenger numbers and crowding on w</w:t>
      </w:r>
      <w:r>
        <w:rPr>
          <w:i/>
          <w:noProof/>
        </w:rPr>
        <w:t>eekdays (RAI0213).</w:t>
      </w:r>
    </w:p>
    <w:p w:rsidR="00D329F2" w:rsidRDefault="008D7727">
      <w:pPr>
        <w:rPr>
          <w:noProof/>
        </w:rPr>
      </w:pPr>
      <w:r>
        <w:rPr>
          <w:noProof/>
        </w:rPr>
        <w:t xml:space="preserve">DfT — Department for Transport (2017c), </w:t>
      </w:r>
      <w:r>
        <w:rPr>
          <w:i/>
          <w:noProof/>
        </w:rPr>
        <w:t>Rail factsheet: 2017</w:t>
      </w:r>
      <w:r>
        <w:rPr>
          <w:noProof/>
        </w:rPr>
        <w:t xml:space="preserve">, Crown. </w:t>
      </w:r>
    </w:p>
    <w:p w:rsidR="00D329F2" w:rsidRDefault="008D7727">
      <w:pPr>
        <w:rPr>
          <w:noProof/>
        </w:rPr>
      </w:pPr>
      <w:r>
        <w:rPr>
          <w:noProof/>
        </w:rPr>
        <w:t xml:space="preserve">DfT — Department for Transport (2017d), </w:t>
      </w:r>
      <w:r>
        <w:rPr>
          <w:i/>
          <w:noProof/>
        </w:rPr>
        <w:t>Southern Rail network: Gibb report</w:t>
      </w:r>
      <w:r>
        <w:rPr>
          <w:noProof/>
        </w:rPr>
        <w:t>, Crown.</w:t>
      </w:r>
    </w:p>
    <w:p w:rsidR="00D329F2" w:rsidRDefault="008D7727">
      <w:pPr>
        <w:rPr>
          <w:noProof/>
        </w:rPr>
      </w:pPr>
      <w:r>
        <w:rPr>
          <w:noProof/>
        </w:rPr>
        <w:t xml:space="preserve">DfT — Department for Transport (2017e), </w:t>
      </w:r>
      <w:r>
        <w:rPr>
          <w:i/>
          <w:noProof/>
        </w:rPr>
        <w:t xml:space="preserve">Connecting people: a strategic vision for </w:t>
      </w:r>
      <w:r>
        <w:rPr>
          <w:i/>
          <w:noProof/>
        </w:rPr>
        <w:t>rail</w:t>
      </w:r>
      <w:r>
        <w:rPr>
          <w:noProof/>
        </w:rPr>
        <w:t xml:space="preserve">, Crown. </w:t>
      </w:r>
    </w:p>
    <w:p w:rsidR="00D329F2" w:rsidRDefault="008D7727">
      <w:pPr>
        <w:rPr>
          <w:i/>
          <w:noProof/>
        </w:rPr>
      </w:pPr>
      <w:r>
        <w:rPr>
          <w:noProof/>
        </w:rPr>
        <w:t xml:space="preserve">EEA — European Environment Agency (2017), </w:t>
      </w:r>
      <w:r>
        <w:rPr>
          <w:i/>
          <w:noProof/>
        </w:rPr>
        <w:t>Air quality in Europe — 2017 report.</w:t>
      </w:r>
    </w:p>
    <w:p w:rsidR="00D329F2" w:rsidRDefault="008D7727">
      <w:pPr>
        <w:rPr>
          <w:noProof/>
        </w:rPr>
      </w:pPr>
      <w:r>
        <w:rPr>
          <w:noProof/>
        </w:rPr>
        <w:t xml:space="preserve">EMTA — European Metropolitan Transport Authorities (2017), </w:t>
      </w:r>
      <w:r>
        <w:rPr>
          <w:i/>
          <w:noProof/>
        </w:rPr>
        <w:t>EMTA 2015 Barometer</w:t>
      </w:r>
      <w:r>
        <w:rPr>
          <w:noProof/>
        </w:rPr>
        <w:t>.</w:t>
      </w:r>
    </w:p>
    <w:p w:rsidR="00D329F2" w:rsidRDefault="008D7727">
      <w:pPr>
        <w:rPr>
          <w:noProof/>
        </w:rPr>
      </w:pPr>
      <w:r>
        <w:rPr>
          <w:noProof/>
        </w:rPr>
        <w:t xml:space="preserve">European Commission (2017a), </w:t>
      </w:r>
      <w:r>
        <w:rPr>
          <w:i/>
          <w:noProof/>
        </w:rPr>
        <w:t>Employment and Social Developments in Europe, Annual R</w:t>
      </w:r>
      <w:r>
        <w:rPr>
          <w:i/>
          <w:noProof/>
        </w:rPr>
        <w:t xml:space="preserve">eview 2017, </w:t>
      </w:r>
      <w:r>
        <w:rPr>
          <w:noProof/>
        </w:rPr>
        <w:t>Publications Office of the European Union, 2017.</w:t>
      </w:r>
    </w:p>
    <w:p w:rsidR="00D329F2" w:rsidRDefault="008D7727">
      <w:pPr>
        <w:rPr>
          <w:noProof/>
        </w:rPr>
      </w:pPr>
      <w:r>
        <w:rPr>
          <w:noProof/>
        </w:rPr>
        <w:t>.European Commission (2017b)</w:t>
      </w:r>
      <w:r>
        <w:rPr>
          <w:i/>
          <w:noProof/>
        </w:rPr>
        <w:t xml:space="preserve"> State aid: Commission opens in-depth investigation into UK tax scheme for multinationals</w:t>
      </w:r>
      <w:r>
        <w:rPr>
          <w:noProof/>
        </w:rPr>
        <w:t>, Press Release</w:t>
      </w:r>
    </w:p>
    <w:p w:rsidR="00D329F2" w:rsidRDefault="008D7727">
      <w:pPr>
        <w:rPr>
          <w:noProof/>
        </w:rPr>
      </w:pPr>
      <w:r>
        <w:rPr>
          <w:noProof/>
        </w:rPr>
        <w:t xml:space="preserve">European Commission (2017c), </w:t>
      </w:r>
      <w:r>
        <w:rPr>
          <w:i/>
          <w:noProof/>
        </w:rPr>
        <w:t>Investment in the EU Member State</w:t>
      </w:r>
      <w:r>
        <w:rPr>
          <w:i/>
          <w:noProof/>
        </w:rPr>
        <w:t>s: An analysis of drivers and barriers</w:t>
      </w:r>
      <w:r>
        <w:rPr>
          <w:noProof/>
        </w:rPr>
        <w:t xml:space="preserve">, </w:t>
      </w:r>
      <w:r>
        <w:rPr>
          <w:i/>
          <w:noProof/>
        </w:rPr>
        <w:t>Institutional Paper 062, November 2017</w:t>
      </w:r>
      <w:r>
        <w:rPr>
          <w:noProof/>
        </w:rPr>
        <w:t>.</w:t>
      </w:r>
    </w:p>
    <w:p w:rsidR="00D329F2" w:rsidRDefault="008D7727">
      <w:pPr>
        <w:rPr>
          <w:noProof/>
        </w:rPr>
      </w:pPr>
      <w:r>
        <w:rPr>
          <w:noProof/>
        </w:rPr>
        <w:t xml:space="preserve">European Commission (2017d), </w:t>
      </w:r>
      <w:r>
        <w:rPr>
          <w:i/>
          <w:noProof/>
        </w:rPr>
        <w:t>Digital Economy and Society Index 2017</w:t>
      </w:r>
      <w:r>
        <w:rPr>
          <w:noProof/>
        </w:rPr>
        <w:t>.</w:t>
      </w:r>
    </w:p>
    <w:p w:rsidR="00D329F2" w:rsidRDefault="008D7727">
      <w:pPr>
        <w:rPr>
          <w:i/>
          <w:noProof/>
        </w:rPr>
      </w:pPr>
      <w:r>
        <w:rPr>
          <w:noProof/>
        </w:rPr>
        <w:t>European Commission (2017e), Updated data of European Commission (2014</w:t>
      </w:r>
      <w:r>
        <w:rPr>
          <w:i/>
          <w:noProof/>
        </w:rPr>
        <w:t>), Infrastructure in the EU: Developm</w:t>
      </w:r>
      <w:r>
        <w:rPr>
          <w:i/>
          <w:noProof/>
        </w:rPr>
        <w:t>ents and impacts on Growth, European Economy, Occasional Papers, No 203.</w:t>
      </w:r>
    </w:p>
    <w:p w:rsidR="00D329F2" w:rsidRDefault="008D7727">
      <w:pPr>
        <w:rPr>
          <w:i/>
          <w:noProof/>
        </w:rPr>
      </w:pPr>
      <w:r>
        <w:rPr>
          <w:noProof/>
        </w:rPr>
        <w:t xml:space="preserve">Feantsa (2017), </w:t>
      </w:r>
      <w:r>
        <w:rPr>
          <w:i/>
          <w:noProof/>
        </w:rPr>
        <w:t>Second Overview of Housing Exclusion in Europe.</w:t>
      </w:r>
    </w:p>
    <w:p w:rsidR="00D329F2" w:rsidRDefault="008D7727">
      <w:pPr>
        <w:rPr>
          <w:noProof/>
        </w:rPr>
      </w:pPr>
      <w:r>
        <w:rPr>
          <w:noProof/>
        </w:rPr>
        <w:t xml:space="preserve">Haldane (2017), </w:t>
      </w:r>
      <w:r>
        <w:rPr>
          <w:i/>
          <w:noProof/>
        </w:rPr>
        <w:t>Productivity puzzles</w:t>
      </w:r>
      <w:r>
        <w:rPr>
          <w:noProof/>
        </w:rPr>
        <w:t>, Speech to the London School of Economics by the Bank of England’s Chief Economist</w:t>
      </w:r>
      <w:r>
        <w:rPr>
          <w:noProof/>
        </w:rPr>
        <w:t>, March 2017.</w:t>
      </w:r>
    </w:p>
    <w:p w:rsidR="00D329F2" w:rsidRDefault="008D7727">
      <w:pPr>
        <w:rPr>
          <w:noProof/>
        </w:rPr>
      </w:pPr>
      <w:r>
        <w:rPr>
          <w:noProof/>
        </w:rPr>
        <w:t xml:space="preserve">HM Government (2017), </w:t>
      </w:r>
      <w:r>
        <w:rPr>
          <w:i/>
          <w:noProof/>
        </w:rPr>
        <w:t>The Clean Growth Strategy: Leading the way to a low carbon future</w:t>
      </w:r>
      <w:r>
        <w:rPr>
          <w:noProof/>
        </w:rPr>
        <w:t>, Crown.</w:t>
      </w:r>
    </w:p>
    <w:p w:rsidR="00D329F2" w:rsidRDefault="008D7727">
      <w:pPr>
        <w:rPr>
          <w:noProof/>
        </w:rPr>
      </w:pPr>
      <w:r>
        <w:rPr>
          <w:noProof/>
        </w:rPr>
        <w:t xml:space="preserve">HM Revenue &amp; Customs (2015), </w:t>
      </w:r>
      <w:r>
        <w:rPr>
          <w:i/>
          <w:noProof/>
        </w:rPr>
        <w:t>Corporation Tax: Patent Box — compliance with new international rules</w:t>
      </w:r>
      <w:r>
        <w:rPr>
          <w:noProof/>
        </w:rPr>
        <w:t>, Crown.</w:t>
      </w:r>
    </w:p>
    <w:p w:rsidR="00D329F2" w:rsidRDefault="008D7727">
      <w:pPr>
        <w:rPr>
          <w:noProof/>
        </w:rPr>
      </w:pPr>
      <w:r>
        <w:rPr>
          <w:noProof/>
        </w:rPr>
        <w:t xml:space="preserve">HM Revenue &amp; Customs (2018), </w:t>
      </w:r>
      <w:r>
        <w:rPr>
          <w:i/>
          <w:noProof/>
        </w:rPr>
        <w:t xml:space="preserve">Estimated </w:t>
      </w:r>
      <w:r>
        <w:rPr>
          <w:i/>
          <w:noProof/>
        </w:rPr>
        <w:t>Costs of Tax Reliefs</w:t>
      </w:r>
      <w:r>
        <w:rPr>
          <w:noProof/>
        </w:rPr>
        <w:t>, Crown.</w:t>
      </w:r>
    </w:p>
    <w:p w:rsidR="00D329F2" w:rsidRDefault="008D7727">
      <w:pPr>
        <w:rPr>
          <w:noProof/>
        </w:rPr>
      </w:pPr>
      <w:r>
        <w:rPr>
          <w:noProof/>
        </w:rPr>
        <w:t xml:space="preserve">HM Treasury (2016a), </w:t>
      </w:r>
      <w:r>
        <w:rPr>
          <w:i/>
          <w:noProof/>
        </w:rPr>
        <w:t>Business tax road map</w:t>
      </w:r>
      <w:r>
        <w:rPr>
          <w:noProof/>
        </w:rPr>
        <w:t>, Crown.</w:t>
      </w:r>
    </w:p>
    <w:p w:rsidR="00D329F2" w:rsidRDefault="008D7727">
      <w:pPr>
        <w:rPr>
          <w:noProof/>
        </w:rPr>
      </w:pPr>
      <w:r>
        <w:rPr>
          <w:noProof/>
        </w:rPr>
        <w:t xml:space="preserve">HM Treasury (2016b), </w:t>
      </w:r>
      <w:r>
        <w:rPr>
          <w:i/>
          <w:noProof/>
        </w:rPr>
        <w:t>Northern Powerhouse strategy</w:t>
      </w:r>
      <w:r>
        <w:rPr>
          <w:noProof/>
        </w:rPr>
        <w:t>, Crown.</w:t>
      </w:r>
    </w:p>
    <w:p w:rsidR="00D329F2" w:rsidRDefault="008D7727">
      <w:pPr>
        <w:rPr>
          <w:noProof/>
        </w:rPr>
      </w:pPr>
      <w:r>
        <w:rPr>
          <w:noProof/>
        </w:rPr>
        <w:t xml:space="preserve">HM Treasury (2017a), </w:t>
      </w:r>
      <w:r>
        <w:rPr>
          <w:i/>
          <w:noProof/>
        </w:rPr>
        <w:t>Autumn Budget</w:t>
      </w:r>
      <w:r>
        <w:rPr>
          <w:noProof/>
        </w:rPr>
        <w:t>, Crown.</w:t>
      </w:r>
    </w:p>
    <w:p w:rsidR="00D329F2" w:rsidRDefault="008D7727">
      <w:pPr>
        <w:rPr>
          <w:noProof/>
        </w:rPr>
      </w:pPr>
      <w:r>
        <w:rPr>
          <w:noProof/>
        </w:rPr>
        <w:t xml:space="preserve">HM Treasury (2017b), </w:t>
      </w:r>
      <w:r>
        <w:rPr>
          <w:i/>
          <w:noProof/>
        </w:rPr>
        <w:t>Country and regional analysis, November 2017,</w:t>
      </w:r>
      <w:r>
        <w:rPr>
          <w:noProof/>
        </w:rPr>
        <w:t xml:space="preserve"> Crown</w:t>
      </w:r>
    </w:p>
    <w:p w:rsidR="00D329F2" w:rsidRDefault="008D7727">
      <w:pPr>
        <w:rPr>
          <w:noProof/>
        </w:rPr>
      </w:pPr>
      <w:r>
        <w:rPr>
          <w:noProof/>
        </w:rPr>
        <w:t>Ho</w:t>
      </w:r>
      <w:r>
        <w:rPr>
          <w:noProof/>
        </w:rPr>
        <w:t xml:space="preserve">use of Commons (2017a), </w:t>
      </w:r>
      <w:r>
        <w:rPr>
          <w:i/>
          <w:noProof/>
        </w:rPr>
        <w:t>Apprenticeships</w:t>
      </w:r>
      <w:r>
        <w:rPr>
          <w:noProof/>
        </w:rPr>
        <w:t>, Second Joint Report of the Business, Energy and Industrial Strategy and Education Committees of Session 2016-17.</w:t>
      </w:r>
    </w:p>
    <w:p w:rsidR="00D329F2" w:rsidRDefault="008D7727">
      <w:pPr>
        <w:rPr>
          <w:noProof/>
        </w:rPr>
      </w:pPr>
      <w:r>
        <w:rPr>
          <w:noProof/>
        </w:rPr>
        <w:t xml:space="preserve">House of Commons (2017b), </w:t>
      </w:r>
      <w:r>
        <w:rPr>
          <w:i/>
          <w:noProof/>
        </w:rPr>
        <w:t>Fiscal Sustainability of Schools</w:t>
      </w:r>
      <w:r>
        <w:rPr>
          <w:noProof/>
        </w:rPr>
        <w:t>, Public Accounts Committee.</w:t>
      </w:r>
    </w:p>
    <w:p w:rsidR="00D329F2" w:rsidRDefault="008D7727">
      <w:pPr>
        <w:rPr>
          <w:i/>
          <w:noProof/>
        </w:rPr>
      </w:pPr>
      <w:r>
        <w:rPr>
          <w:noProof/>
        </w:rPr>
        <w:t xml:space="preserve">House of Lords </w:t>
      </w:r>
      <w:r>
        <w:rPr>
          <w:noProof/>
        </w:rPr>
        <w:t>(2016),</w:t>
      </w:r>
      <w:r>
        <w:rPr>
          <w:i/>
          <w:noProof/>
        </w:rPr>
        <w:t xml:space="preserve"> Select Committee on Economic Affairs (2016) Building more homes.</w:t>
      </w:r>
    </w:p>
    <w:p w:rsidR="00D329F2" w:rsidRDefault="008D7727">
      <w:pPr>
        <w:rPr>
          <w:noProof/>
        </w:rPr>
      </w:pPr>
      <w:r>
        <w:rPr>
          <w:noProof/>
        </w:rPr>
        <w:t xml:space="preserve">IFR — International Federation of Robotics (2016), </w:t>
      </w:r>
      <w:r>
        <w:rPr>
          <w:i/>
          <w:noProof/>
        </w:rPr>
        <w:t>World robotics report 2016</w:t>
      </w:r>
      <w:r>
        <w:rPr>
          <w:noProof/>
        </w:rPr>
        <w:t>.</w:t>
      </w:r>
    </w:p>
    <w:p w:rsidR="00D329F2" w:rsidRDefault="008D7727">
      <w:pPr>
        <w:rPr>
          <w:i/>
          <w:noProof/>
        </w:rPr>
      </w:pPr>
      <w:r>
        <w:rPr>
          <w:noProof/>
        </w:rPr>
        <w:t xml:space="preserve">IFS — Institute for Fiscal Studies (2014), </w:t>
      </w:r>
      <w:r>
        <w:rPr>
          <w:i/>
          <w:noProof/>
        </w:rPr>
        <w:t>The IFS Green Budget: February 2014.</w:t>
      </w:r>
    </w:p>
    <w:p w:rsidR="00D329F2" w:rsidRDefault="008D7727">
      <w:pPr>
        <w:rPr>
          <w:noProof/>
        </w:rPr>
      </w:pPr>
      <w:r>
        <w:rPr>
          <w:noProof/>
        </w:rPr>
        <w:t xml:space="preserve">Institute for Government (2017a), </w:t>
      </w:r>
      <w:r>
        <w:rPr>
          <w:i/>
          <w:noProof/>
        </w:rPr>
        <w:t>How to value infrastructure: Improving cost benefit analysis</w:t>
      </w:r>
      <w:r>
        <w:rPr>
          <w:noProof/>
        </w:rPr>
        <w:t>.</w:t>
      </w:r>
    </w:p>
    <w:p w:rsidR="00D329F2" w:rsidRDefault="008D7727">
      <w:pPr>
        <w:rPr>
          <w:i/>
          <w:noProof/>
        </w:rPr>
      </w:pPr>
      <w:r>
        <w:rPr>
          <w:noProof/>
        </w:rPr>
        <w:t xml:space="preserve">Institute for Government (2017b), </w:t>
      </w:r>
      <w:r>
        <w:rPr>
          <w:i/>
          <w:noProof/>
        </w:rPr>
        <w:t>What’s wrong with infrastructure decision making? Conclusions from six UK case studies.</w:t>
      </w:r>
    </w:p>
    <w:p w:rsidR="00D329F2" w:rsidRDefault="008D7727">
      <w:pPr>
        <w:rPr>
          <w:noProof/>
        </w:rPr>
      </w:pPr>
      <w:r>
        <w:rPr>
          <w:noProof/>
        </w:rPr>
        <w:t>IPA — Infrastructure and Projects Auth</w:t>
      </w:r>
      <w:r>
        <w:rPr>
          <w:noProof/>
        </w:rPr>
        <w:t xml:space="preserve">ority (2017a), </w:t>
      </w:r>
      <w:r>
        <w:rPr>
          <w:i/>
          <w:noProof/>
        </w:rPr>
        <w:t>Analysis of the National Infrastructure and Construction Pipeline</w:t>
      </w:r>
      <w:r>
        <w:rPr>
          <w:noProof/>
        </w:rPr>
        <w:t>.</w:t>
      </w:r>
    </w:p>
    <w:p w:rsidR="00D329F2" w:rsidRDefault="008D7727">
      <w:pPr>
        <w:rPr>
          <w:i/>
          <w:noProof/>
        </w:rPr>
      </w:pPr>
      <w:r>
        <w:rPr>
          <w:noProof/>
        </w:rPr>
        <w:t xml:space="preserve">IPA — Infrastructure and Projects Authority (2017b), </w:t>
      </w:r>
      <w:r>
        <w:rPr>
          <w:i/>
          <w:noProof/>
        </w:rPr>
        <w:t>Transforming Infrastructure performance.</w:t>
      </w:r>
    </w:p>
    <w:p w:rsidR="00D329F2" w:rsidRDefault="008D7727">
      <w:pPr>
        <w:rPr>
          <w:noProof/>
        </w:rPr>
      </w:pPr>
      <w:r>
        <w:rPr>
          <w:noProof/>
        </w:rPr>
        <w:t xml:space="preserve">INRIX (2018), </w:t>
      </w:r>
      <w:r>
        <w:rPr>
          <w:i/>
          <w:noProof/>
        </w:rPr>
        <w:t>INRIX 2017 Global Traffic Scorecard</w:t>
      </w:r>
      <w:r>
        <w:rPr>
          <w:noProof/>
        </w:rPr>
        <w:t>.</w:t>
      </w:r>
    </w:p>
    <w:p w:rsidR="00D329F2" w:rsidRDefault="008D7727">
      <w:pPr>
        <w:rPr>
          <w:noProof/>
        </w:rPr>
      </w:pPr>
      <w:r>
        <w:rPr>
          <w:noProof/>
        </w:rPr>
        <w:t>Kierzenkowski, R., G. Machlic</w:t>
      </w:r>
      <w:r>
        <w:rPr>
          <w:noProof/>
        </w:rPr>
        <w:t xml:space="preserve">a and G. Fulop (2017a), </w:t>
      </w:r>
      <w:r>
        <w:rPr>
          <w:i/>
          <w:noProof/>
        </w:rPr>
        <w:t>The UK productivity puzzle through the magnifying glass: A sectoral perspective</w:t>
      </w:r>
      <w:r>
        <w:rPr>
          <w:noProof/>
        </w:rPr>
        <w:t>, Technical Background Paper.</w:t>
      </w:r>
    </w:p>
    <w:p w:rsidR="00D329F2" w:rsidRDefault="008D7727">
      <w:pPr>
        <w:rPr>
          <w:noProof/>
        </w:rPr>
      </w:pPr>
      <w:r>
        <w:rPr>
          <w:noProof/>
        </w:rPr>
        <w:t xml:space="preserve">Kierzenkowski, R., P. Gal and G. Fulop (2017b), </w:t>
      </w:r>
      <w:r>
        <w:rPr>
          <w:i/>
          <w:noProof/>
        </w:rPr>
        <w:t>Where to get the best bang for the buck in the United Kingdom? Industrial s</w:t>
      </w:r>
      <w:r>
        <w:rPr>
          <w:i/>
          <w:noProof/>
        </w:rPr>
        <w:t>trategy, investment and lagging regions</w:t>
      </w:r>
      <w:r>
        <w:rPr>
          <w:noProof/>
        </w:rPr>
        <w:t>, Technical Background Paper.</w:t>
      </w:r>
    </w:p>
    <w:p w:rsidR="00D329F2" w:rsidRDefault="008D7727">
      <w:pPr>
        <w:rPr>
          <w:noProof/>
        </w:rPr>
      </w:pPr>
      <w:r>
        <w:rPr>
          <w:noProof/>
        </w:rPr>
        <w:t xml:space="preserve">NAO — National Audit Office (2017a), </w:t>
      </w:r>
      <w:r>
        <w:rPr>
          <w:i/>
          <w:noProof/>
        </w:rPr>
        <w:t>Homelessness</w:t>
      </w:r>
      <w:r>
        <w:rPr>
          <w:noProof/>
        </w:rPr>
        <w:t>.</w:t>
      </w:r>
    </w:p>
    <w:p w:rsidR="00D329F2" w:rsidRDefault="008D7727">
      <w:pPr>
        <w:rPr>
          <w:noProof/>
        </w:rPr>
      </w:pPr>
      <w:r>
        <w:rPr>
          <w:noProof/>
        </w:rPr>
        <w:t xml:space="preserve">NAO — National Audit Office (2017b), </w:t>
      </w:r>
      <w:r>
        <w:rPr>
          <w:i/>
          <w:noProof/>
        </w:rPr>
        <w:t>Housing in England</w:t>
      </w:r>
      <w:r>
        <w:rPr>
          <w:noProof/>
        </w:rPr>
        <w:t>.</w:t>
      </w:r>
    </w:p>
    <w:p w:rsidR="00D329F2" w:rsidRDefault="008D7727">
      <w:pPr>
        <w:rPr>
          <w:noProof/>
        </w:rPr>
      </w:pPr>
      <w:r>
        <w:rPr>
          <w:noProof/>
        </w:rPr>
        <w:t xml:space="preserve">NAO — National Audit Office (2017c), </w:t>
      </w:r>
      <w:r>
        <w:rPr>
          <w:i/>
          <w:noProof/>
        </w:rPr>
        <w:t xml:space="preserve">Retaining and developing the teaching </w:t>
      </w:r>
      <w:r>
        <w:rPr>
          <w:i/>
          <w:noProof/>
        </w:rPr>
        <w:t>workforce</w:t>
      </w:r>
      <w:r>
        <w:rPr>
          <w:noProof/>
        </w:rPr>
        <w:t>.</w:t>
      </w:r>
    </w:p>
    <w:p w:rsidR="00D329F2" w:rsidRDefault="008D7727">
      <w:pPr>
        <w:rPr>
          <w:noProof/>
        </w:rPr>
      </w:pPr>
      <w:r>
        <w:rPr>
          <w:noProof/>
        </w:rPr>
        <w:t xml:space="preserve">NAO — National Audit Office (2017d), </w:t>
      </w:r>
      <w:r>
        <w:rPr>
          <w:i/>
          <w:noProof/>
        </w:rPr>
        <w:t>PFI and PF2</w:t>
      </w:r>
      <w:r>
        <w:rPr>
          <w:noProof/>
        </w:rPr>
        <w:t>.</w:t>
      </w:r>
    </w:p>
    <w:p w:rsidR="00D329F2" w:rsidRDefault="008D7727">
      <w:pPr>
        <w:rPr>
          <w:noProof/>
        </w:rPr>
      </w:pPr>
      <w:r>
        <w:rPr>
          <w:noProof/>
        </w:rPr>
        <w:t xml:space="preserve">NAO — National Audit Office (2017e), </w:t>
      </w:r>
      <w:r>
        <w:rPr>
          <w:i/>
          <w:noProof/>
        </w:rPr>
        <w:t>Progress in setting up combined authorities</w:t>
      </w:r>
      <w:r>
        <w:rPr>
          <w:noProof/>
        </w:rPr>
        <w:t>.</w:t>
      </w:r>
    </w:p>
    <w:p w:rsidR="00D329F2" w:rsidRDefault="008D7727">
      <w:pPr>
        <w:rPr>
          <w:noProof/>
        </w:rPr>
      </w:pPr>
      <w:r>
        <w:rPr>
          <w:noProof/>
        </w:rPr>
        <w:t xml:space="preserve">NAO — National Audit Office (2017f), </w:t>
      </w:r>
      <w:r>
        <w:rPr>
          <w:i/>
          <w:noProof/>
        </w:rPr>
        <w:t>Hinkley Point C</w:t>
      </w:r>
      <w:r>
        <w:rPr>
          <w:noProof/>
        </w:rPr>
        <w:t>.</w:t>
      </w:r>
    </w:p>
    <w:p w:rsidR="00D329F2" w:rsidRDefault="008D7727">
      <w:pPr>
        <w:rPr>
          <w:noProof/>
        </w:rPr>
      </w:pPr>
      <w:r>
        <w:rPr>
          <w:noProof/>
        </w:rPr>
        <w:t xml:space="preserve">NAO — National Audit Office (2018), </w:t>
      </w:r>
      <w:r>
        <w:rPr>
          <w:i/>
          <w:noProof/>
        </w:rPr>
        <w:t>Sustainability and tran</w:t>
      </w:r>
      <w:r>
        <w:rPr>
          <w:i/>
          <w:noProof/>
        </w:rPr>
        <w:t>sformation in the NHS</w:t>
      </w:r>
      <w:r>
        <w:rPr>
          <w:noProof/>
        </w:rPr>
        <w:t>.</w:t>
      </w:r>
    </w:p>
    <w:p w:rsidR="00D329F2" w:rsidRDefault="008D7727">
      <w:pPr>
        <w:rPr>
          <w:i/>
          <w:noProof/>
        </w:rPr>
      </w:pPr>
      <w:r>
        <w:rPr>
          <w:noProof/>
        </w:rPr>
        <w:t xml:space="preserve">NFER — National Foundation for Educational Research (2016), </w:t>
      </w:r>
      <w:r>
        <w:rPr>
          <w:i/>
          <w:noProof/>
        </w:rPr>
        <w:t>Engaging Teachers: NFER analysis of teacher retention.</w:t>
      </w:r>
    </w:p>
    <w:p w:rsidR="00D329F2" w:rsidRDefault="008D7727">
      <w:pPr>
        <w:rPr>
          <w:noProof/>
        </w:rPr>
      </w:pPr>
      <w:r>
        <w:rPr>
          <w:noProof/>
        </w:rPr>
        <w:t xml:space="preserve">NHS — National Health Service (2018), </w:t>
      </w:r>
      <w:r>
        <w:rPr>
          <w:i/>
          <w:noProof/>
        </w:rPr>
        <w:t>NHS England – Board Paper</w:t>
      </w:r>
      <w:r>
        <w:rPr>
          <w:noProof/>
        </w:rPr>
        <w:t>.</w:t>
      </w:r>
    </w:p>
    <w:p w:rsidR="00D329F2" w:rsidRDefault="008D7727">
      <w:pPr>
        <w:rPr>
          <w:i/>
          <w:noProof/>
        </w:rPr>
      </w:pPr>
      <w:r>
        <w:rPr>
          <w:noProof/>
        </w:rPr>
        <w:t xml:space="preserve">NIC — National Infrastructure Commission (2017a), </w:t>
      </w:r>
      <w:r>
        <w:rPr>
          <w:i/>
          <w:noProof/>
        </w:rPr>
        <w:t>Con</w:t>
      </w:r>
      <w:r>
        <w:rPr>
          <w:i/>
          <w:noProof/>
        </w:rPr>
        <w:t>gestion, capacity, carbon: priorities for national infrastructure. Consultation on a National Infrastructure Assessment</w:t>
      </w:r>
      <w:r>
        <w:rPr>
          <w:noProof/>
        </w:rPr>
        <w:t>.</w:t>
      </w:r>
    </w:p>
    <w:p w:rsidR="00D329F2" w:rsidRDefault="008D7727">
      <w:pPr>
        <w:rPr>
          <w:i/>
          <w:noProof/>
        </w:rPr>
      </w:pPr>
      <w:r>
        <w:rPr>
          <w:noProof/>
        </w:rPr>
        <w:t xml:space="preserve">NIC — National Infrastructure Commission (2017b), </w:t>
      </w:r>
      <w:r>
        <w:rPr>
          <w:i/>
          <w:noProof/>
        </w:rPr>
        <w:t>Partnering for Prosperity: a new deal for the Cambridge-Milton Keynes-Oxford Arc.</w:t>
      </w:r>
    </w:p>
    <w:p w:rsidR="00D329F2" w:rsidRDefault="008D7727">
      <w:pPr>
        <w:rPr>
          <w:noProof/>
        </w:rPr>
      </w:pPr>
      <w:r>
        <w:rPr>
          <w:noProof/>
        </w:rPr>
        <w:t>OBR</w:t>
      </w:r>
      <w:r>
        <w:rPr>
          <w:noProof/>
        </w:rPr>
        <w:t xml:space="preserve"> — Office for Budget Responsibility (2017a), </w:t>
      </w:r>
      <w:r>
        <w:rPr>
          <w:i/>
          <w:noProof/>
        </w:rPr>
        <w:t xml:space="preserve">Economic and Fiscal Outlook — November 2017, </w:t>
      </w:r>
      <w:r>
        <w:rPr>
          <w:noProof/>
        </w:rPr>
        <w:t>Crown.</w:t>
      </w:r>
    </w:p>
    <w:p w:rsidR="00D329F2" w:rsidRDefault="008D7727">
      <w:pPr>
        <w:rPr>
          <w:noProof/>
        </w:rPr>
      </w:pPr>
      <w:r>
        <w:rPr>
          <w:noProof/>
        </w:rPr>
        <w:t xml:space="preserve">OBR — Office for Budget Responsibility (2017b), </w:t>
      </w:r>
      <w:r>
        <w:rPr>
          <w:i/>
          <w:noProof/>
        </w:rPr>
        <w:t>Fiscal risk report – July 2017,</w:t>
      </w:r>
      <w:r>
        <w:rPr>
          <w:noProof/>
        </w:rPr>
        <w:t xml:space="preserve"> Crown.</w:t>
      </w:r>
    </w:p>
    <w:p w:rsidR="00D329F2" w:rsidRDefault="008D7727">
      <w:pPr>
        <w:rPr>
          <w:noProof/>
        </w:rPr>
      </w:pPr>
      <w:r>
        <w:rPr>
          <w:noProof/>
        </w:rPr>
        <w:t xml:space="preserve">OBR — Office for Budget Responsibility (2017c), </w:t>
      </w:r>
      <w:r>
        <w:rPr>
          <w:i/>
          <w:noProof/>
        </w:rPr>
        <w:t>Economic and Fiscal Outl</w:t>
      </w:r>
      <w:r>
        <w:rPr>
          <w:i/>
          <w:noProof/>
        </w:rPr>
        <w:t>ook – November 2017,</w:t>
      </w:r>
      <w:r>
        <w:rPr>
          <w:noProof/>
        </w:rPr>
        <w:t xml:space="preserve"> Crown.</w:t>
      </w:r>
    </w:p>
    <w:p w:rsidR="00D329F2" w:rsidRDefault="008D7727">
      <w:pPr>
        <w:rPr>
          <w:i/>
          <w:noProof/>
        </w:rPr>
      </w:pPr>
      <w:r>
        <w:rPr>
          <w:noProof/>
        </w:rPr>
        <w:t xml:space="preserve">OECD (2013), </w:t>
      </w:r>
      <w:r>
        <w:rPr>
          <w:i/>
          <w:noProof/>
        </w:rPr>
        <w:t>Action Plan on Base Erosion and Profit Shifting.</w:t>
      </w:r>
    </w:p>
    <w:p w:rsidR="00D329F2" w:rsidRDefault="008D7727">
      <w:pPr>
        <w:rPr>
          <w:i/>
          <w:noProof/>
        </w:rPr>
      </w:pPr>
      <w:r>
        <w:rPr>
          <w:noProof/>
        </w:rPr>
        <w:t xml:space="preserve">OECD (2016), </w:t>
      </w:r>
      <w:r>
        <w:rPr>
          <w:i/>
          <w:noProof/>
        </w:rPr>
        <w:t>Programme for International Student Assessment (PISA): Results from PISA 2015.</w:t>
      </w:r>
    </w:p>
    <w:p w:rsidR="00D329F2" w:rsidRDefault="008D7727">
      <w:pPr>
        <w:rPr>
          <w:noProof/>
        </w:rPr>
      </w:pPr>
      <w:r>
        <w:rPr>
          <w:noProof/>
        </w:rPr>
        <w:t xml:space="preserve">OECD (2016), </w:t>
      </w:r>
      <w:r>
        <w:rPr>
          <w:i/>
          <w:noProof/>
        </w:rPr>
        <w:t>Can an increase in public investment sustainably lift economi</w:t>
      </w:r>
      <w:r>
        <w:rPr>
          <w:i/>
          <w:noProof/>
        </w:rPr>
        <w:t>c growth?</w:t>
      </w:r>
      <w:r>
        <w:rPr>
          <w:noProof/>
        </w:rPr>
        <w:t xml:space="preserve"> OECD Economics Department Working Papers No.1351.</w:t>
      </w:r>
    </w:p>
    <w:p w:rsidR="00D329F2" w:rsidRDefault="008D7727">
      <w:pPr>
        <w:rPr>
          <w:noProof/>
        </w:rPr>
      </w:pPr>
      <w:r>
        <w:rPr>
          <w:noProof/>
        </w:rPr>
        <w:t xml:space="preserve">OECD (2017), </w:t>
      </w:r>
      <w:r>
        <w:rPr>
          <w:i/>
          <w:noProof/>
        </w:rPr>
        <w:t>Economic Surveys United Kingdom</w:t>
      </w:r>
      <w:r>
        <w:rPr>
          <w:noProof/>
        </w:rPr>
        <w:t>.</w:t>
      </w:r>
    </w:p>
    <w:p w:rsidR="00D329F2" w:rsidRDefault="008D7727">
      <w:pPr>
        <w:rPr>
          <w:noProof/>
        </w:rPr>
      </w:pPr>
      <w:r>
        <w:rPr>
          <w:noProof/>
        </w:rPr>
        <w:t xml:space="preserve">OECD/European Observatory on Health Systems and Policies (2017), </w:t>
      </w:r>
      <w:r>
        <w:rPr>
          <w:i/>
          <w:noProof/>
        </w:rPr>
        <w:t>United Kingdom: Country Health Profile 2017, State of Health in the EU</w:t>
      </w:r>
      <w:r>
        <w:rPr>
          <w:noProof/>
        </w:rPr>
        <w:t xml:space="preserve">, OECD </w:t>
      </w:r>
      <w:r>
        <w:rPr>
          <w:noProof/>
        </w:rPr>
        <w:t>Publishing, Paris/European Observatory on Health Systems and Policies, Brussels.</w:t>
      </w:r>
    </w:p>
    <w:p w:rsidR="00D329F2" w:rsidRDefault="008D7727">
      <w:pPr>
        <w:rPr>
          <w:noProof/>
        </w:rPr>
      </w:pPr>
      <w:r>
        <w:rPr>
          <w:noProof/>
        </w:rPr>
        <w:t xml:space="preserve">Ofcom (2017a), </w:t>
      </w:r>
      <w:r>
        <w:rPr>
          <w:i/>
          <w:noProof/>
        </w:rPr>
        <w:t>UK Home Broadband Performance</w:t>
      </w:r>
      <w:r>
        <w:rPr>
          <w:noProof/>
        </w:rPr>
        <w:t>, Research report, 12 April 2017.</w:t>
      </w:r>
    </w:p>
    <w:p w:rsidR="00D329F2" w:rsidRDefault="008D7727">
      <w:pPr>
        <w:rPr>
          <w:noProof/>
        </w:rPr>
      </w:pPr>
      <w:r>
        <w:rPr>
          <w:noProof/>
        </w:rPr>
        <w:t xml:space="preserve">Ofcom (2017b), </w:t>
      </w:r>
      <w:r>
        <w:rPr>
          <w:i/>
          <w:noProof/>
        </w:rPr>
        <w:t>Connected Nations Report 2017</w:t>
      </w:r>
      <w:r>
        <w:rPr>
          <w:noProof/>
        </w:rPr>
        <w:t>.</w:t>
      </w:r>
    </w:p>
    <w:p w:rsidR="00D329F2" w:rsidRDefault="008D7727">
      <w:pPr>
        <w:rPr>
          <w:noProof/>
        </w:rPr>
      </w:pPr>
      <w:r>
        <w:rPr>
          <w:noProof/>
        </w:rPr>
        <w:t xml:space="preserve">OFFA — Office for Fair Access (2017), </w:t>
      </w:r>
      <w:r>
        <w:rPr>
          <w:i/>
          <w:noProof/>
        </w:rPr>
        <w:t>OFFA access a</w:t>
      </w:r>
      <w:r>
        <w:rPr>
          <w:i/>
          <w:noProof/>
        </w:rPr>
        <w:t>greement guidance – universities must play their part to raise school attainment,</w:t>
      </w:r>
      <w:r>
        <w:rPr>
          <w:noProof/>
        </w:rPr>
        <w:t xml:space="preserve"> Press release.</w:t>
      </w:r>
    </w:p>
    <w:p w:rsidR="00D329F2" w:rsidRDefault="008D7727">
      <w:pPr>
        <w:rPr>
          <w:noProof/>
        </w:rPr>
      </w:pPr>
      <w:r>
        <w:rPr>
          <w:noProof/>
        </w:rPr>
        <w:t xml:space="preserve">Ofgem (2017a), </w:t>
      </w:r>
      <w:r>
        <w:rPr>
          <w:i/>
          <w:noProof/>
        </w:rPr>
        <w:t>Statutory consultation for a vulnerable customer safeguard tariff</w:t>
      </w:r>
      <w:r>
        <w:rPr>
          <w:noProof/>
        </w:rPr>
        <w:t>.</w:t>
      </w:r>
    </w:p>
    <w:p w:rsidR="00D329F2" w:rsidRDefault="008D7727">
      <w:pPr>
        <w:rPr>
          <w:i/>
          <w:noProof/>
        </w:rPr>
      </w:pPr>
      <w:r>
        <w:rPr>
          <w:noProof/>
        </w:rPr>
        <w:t xml:space="preserve">Ofgem (2017b), </w:t>
      </w:r>
      <w:r>
        <w:rPr>
          <w:i/>
          <w:noProof/>
        </w:rPr>
        <w:t>Open letter: creating incentives for suppliers to improve swit</w:t>
      </w:r>
      <w:r>
        <w:rPr>
          <w:i/>
          <w:noProof/>
        </w:rPr>
        <w:t>ching performance.</w:t>
      </w:r>
    </w:p>
    <w:p w:rsidR="00D329F2" w:rsidRDefault="008D7727">
      <w:pPr>
        <w:rPr>
          <w:i/>
          <w:noProof/>
        </w:rPr>
      </w:pPr>
      <w:r>
        <w:rPr>
          <w:noProof/>
        </w:rPr>
        <w:t xml:space="preserve">ONS — Office for National Statistics (2017a), </w:t>
      </w:r>
      <w:r>
        <w:rPr>
          <w:i/>
          <w:noProof/>
        </w:rPr>
        <w:t>An international comparison of gross fixed capital formation: November 2017.</w:t>
      </w:r>
    </w:p>
    <w:p w:rsidR="00D329F2" w:rsidRDefault="008D7727">
      <w:pPr>
        <w:rPr>
          <w:i/>
          <w:noProof/>
        </w:rPr>
      </w:pPr>
      <w:r>
        <w:rPr>
          <w:noProof/>
        </w:rPr>
        <w:t xml:space="preserve">ONS — Office for National Statistics (2017b), </w:t>
      </w:r>
      <w:r>
        <w:rPr>
          <w:i/>
          <w:noProof/>
        </w:rPr>
        <w:t>Labour productivity: July to September 2017.</w:t>
      </w:r>
    </w:p>
    <w:p w:rsidR="00D329F2" w:rsidRDefault="008D7727">
      <w:pPr>
        <w:rPr>
          <w:i/>
          <w:noProof/>
        </w:rPr>
      </w:pPr>
      <w:r>
        <w:rPr>
          <w:noProof/>
        </w:rPr>
        <w:t>ONS — Office for Nation</w:t>
      </w:r>
      <w:r>
        <w:rPr>
          <w:noProof/>
        </w:rPr>
        <w:t xml:space="preserve">al Statistics (2017c), </w:t>
      </w:r>
      <w:r>
        <w:rPr>
          <w:i/>
          <w:noProof/>
        </w:rPr>
        <w:t>International comparisons of UK productivity (ICP), first estimates: 2016.</w:t>
      </w:r>
    </w:p>
    <w:p w:rsidR="00D329F2" w:rsidRDefault="008D7727">
      <w:pPr>
        <w:rPr>
          <w:i/>
          <w:noProof/>
        </w:rPr>
      </w:pPr>
      <w:r>
        <w:rPr>
          <w:noProof/>
        </w:rPr>
        <w:t xml:space="preserve">ONS – Office for National Statistics (2017d), </w:t>
      </w:r>
      <w:r>
        <w:rPr>
          <w:i/>
          <w:noProof/>
        </w:rPr>
        <w:t>Multi-factor productivity estimates: experimental estimates to 2015.</w:t>
      </w:r>
    </w:p>
    <w:p w:rsidR="00D329F2" w:rsidRDefault="008D7727">
      <w:pPr>
        <w:rPr>
          <w:i/>
          <w:noProof/>
        </w:rPr>
      </w:pPr>
      <w:r>
        <w:rPr>
          <w:noProof/>
        </w:rPr>
        <w:t>ONS — Office for National Statistics (2017e</w:t>
      </w:r>
      <w:r>
        <w:rPr>
          <w:noProof/>
        </w:rPr>
        <w:t xml:space="preserve">), </w:t>
      </w:r>
      <w:r>
        <w:rPr>
          <w:i/>
          <w:noProof/>
        </w:rPr>
        <w:t>Economic Review: Apr 2017.</w:t>
      </w:r>
    </w:p>
    <w:p w:rsidR="00D329F2" w:rsidRDefault="008D7727">
      <w:pPr>
        <w:rPr>
          <w:i/>
          <w:noProof/>
        </w:rPr>
      </w:pPr>
      <w:r>
        <w:rPr>
          <w:noProof/>
        </w:rPr>
        <w:t xml:space="preserve">ONS — Office for National Statistics (2017f), </w:t>
      </w:r>
      <w:r>
        <w:rPr>
          <w:i/>
          <w:noProof/>
        </w:rPr>
        <w:t>Foreign direct investment and labour productivity, a micro data perspective: 2012 to 2015.</w:t>
      </w:r>
    </w:p>
    <w:p w:rsidR="00D329F2" w:rsidRDefault="008D7727">
      <w:pPr>
        <w:rPr>
          <w:i/>
          <w:noProof/>
        </w:rPr>
      </w:pPr>
      <w:r>
        <w:rPr>
          <w:noProof/>
        </w:rPr>
        <w:t xml:space="preserve">ORR — Office for Road and Rail (2017) in Financial Times (2017), </w:t>
      </w:r>
      <w:r>
        <w:rPr>
          <w:i/>
          <w:noProof/>
        </w:rPr>
        <w:t xml:space="preserve">Britons grapple with </w:t>
      </w:r>
      <w:r>
        <w:rPr>
          <w:i/>
          <w:noProof/>
        </w:rPr>
        <w:t>late trains, holed roads and flight delays.</w:t>
      </w:r>
    </w:p>
    <w:p w:rsidR="00D329F2" w:rsidRDefault="008D7727">
      <w:pPr>
        <w:rPr>
          <w:i/>
          <w:noProof/>
        </w:rPr>
      </w:pPr>
      <w:r>
        <w:rPr>
          <w:noProof/>
        </w:rPr>
        <w:t xml:space="preserve">RAC Foundation (2017), </w:t>
      </w:r>
      <w:r>
        <w:rPr>
          <w:i/>
          <w:noProof/>
        </w:rPr>
        <w:t>Local government spending on roads.</w:t>
      </w:r>
    </w:p>
    <w:p w:rsidR="00D329F2" w:rsidRDefault="008D7727">
      <w:pPr>
        <w:rPr>
          <w:noProof/>
        </w:rPr>
      </w:pPr>
      <w:r>
        <w:rPr>
          <w:noProof/>
        </w:rPr>
        <w:t xml:space="preserve">Redfern (2016), </w:t>
      </w:r>
      <w:r>
        <w:rPr>
          <w:i/>
          <w:noProof/>
        </w:rPr>
        <w:t>The Redfern Review into the decline of home ownership,</w:t>
      </w:r>
      <w:r>
        <w:rPr>
          <w:noProof/>
        </w:rPr>
        <w:t xml:space="preserve"> November 2016.</w:t>
      </w:r>
    </w:p>
    <w:p w:rsidR="00D329F2" w:rsidRDefault="008D7727">
      <w:pPr>
        <w:rPr>
          <w:noProof/>
        </w:rPr>
      </w:pPr>
      <w:r>
        <w:rPr>
          <w:noProof/>
        </w:rPr>
        <w:t xml:space="preserve">Resolution Foundation (2017a), </w:t>
      </w:r>
      <w:r>
        <w:rPr>
          <w:i/>
          <w:noProof/>
        </w:rPr>
        <w:t>The Generation of Wealth: Asset Accu</w:t>
      </w:r>
      <w:r>
        <w:rPr>
          <w:i/>
          <w:noProof/>
        </w:rPr>
        <w:t>mulation across and within cohorts</w:t>
      </w:r>
      <w:r>
        <w:rPr>
          <w:noProof/>
        </w:rPr>
        <w:t>.</w:t>
      </w:r>
    </w:p>
    <w:p w:rsidR="00D329F2" w:rsidRDefault="008D7727">
      <w:pPr>
        <w:rPr>
          <w:i/>
          <w:noProof/>
        </w:rPr>
      </w:pPr>
      <w:r>
        <w:rPr>
          <w:noProof/>
        </w:rPr>
        <w:t>Resolution Foundation (2017b),</w:t>
      </w:r>
      <w:r>
        <w:rPr>
          <w:i/>
          <w:noProof/>
        </w:rPr>
        <w:t xml:space="preserve"> Home Affront: housing across the generations, 20 September 2017.</w:t>
      </w:r>
    </w:p>
    <w:p w:rsidR="00D329F2" w:rsidRDefault="008D7727">
      <w:pPr>
        <w:rPr>
          <w:i/>
          <w:noProof/>
        </w:rPr>
      </w:pPr>
      <w:r>
        <w:rPr>
          <w:noProof/>
        </w:rPr>
        <w:t xml:space="preserve">Resolution Foundation (2017c), </w:t>
      </w:r>
      <w:r>
        <w:rPr>
          <w:i/>
          <w:noProof/>
        </w:rPr>
        <w:t>Helping or hindering? The latest on Help to Buy, 3 November 2017.</w:t>
      </w:r>
    </w:p>
    <w:p w:rsidR="00D329F2" w:rsidRDefault="008D7727">
      <w:pPr>
        <w:rPr>
          <w:noProof/>
        </w:rPr>
      </w:pPr>
      <w:r>
        <w:rPr>
          <w:noProof/>
        </w:rPr>
        <w:t>Resolution Foundation (2017</w:t>
      </w:r>
      <w:r>
        <w:rPr>
          <w:noProof/>
        </w:rPr>
        <w:t xml:space="preserve">d), Living Standards 2017: </w:t>
      </w:r>
      <w:r>
        <w:rPr>
          <w:i/>
          <w:noProof/>
        </w:rPr>
        <w:t>The past, present and possible future of UK incomes</w:t>
      </w:r>
      <w:r>
        <w:rPr>
          <w:noProof/>
        </w:rPr>
        <w:t>.</w:t>
      </w:r>
    </w:p>
    <w:p w:rsidR="00D329F2" w:rsidRDefault="008D7727">
      <w:pPr>
        <w:rPr>
          <w:i/>
          <w:noProof/>
        </w:rPr>
      </w:pPr>
      <w:r>
        <w:rPr>
          <w:noProof/>
        </w:rPr>
        <w:t xml:space="preserve">RICS — Royal Institution of Chartered Surveyors (2018), </w:t>
      </w:r>
      <w:r>
        <w:rPr>
          <w:i/>
          <w:noProof/>
        </w:rPr>
        <w:t>RICS UK Residential Market Survey December 2017.</w:t>
      </w:r>
    </w:p>
    <w:p w:rsidR="00D329F2" w:rsidRDefault="008D7727">
      <w:pPr>
        <w:rPr>
          <w:i/>
          <w:noProof/>
        </w:rPr>
      </w:pPr>
      <w:r>
        <w:rPr>
          <w:noProof/>
        </w:rPr>
        <w:t xml:space="preserve">Social Mobility Commission (2017), </w:t>
      </w:r>
      <w:r>
        <w:rPr>
          <w:i/>
          <w:noProof/>
        </w:rPr>
        <w:t>The Great Escape? Low pay and progre</w:t>
      </w:r>
      <w:r>
        <w:rPr>
          <w:i/>
          <w:noProof/>
        </w:rPr>
        <w:t>ssion in the UK’s labour market.</w:t>
      </w:r>
    </w:p>
    <w:p w:rsidR="00D329F2" w:rsidRDefault="008D7727">
      <w:pPr>
        <w:rPr>
          <w:i/>
          <w:noProof/>
        </w:rPr>
      </w:pPr>
      <w:r>
        <w:rPr>
          <w:noProof/>
        </w:rPr>
        <w:t xml:space="preserve">Sutton Trust (2017), </w:t>
      </w:r>
      <w:r>
        <w:rPr>
          <w:i/>
          <w:noProof/>
        </w:rPr>
        <w:t>Global Gaps: Comparing socio-economic gaps in the performance of highly able UK pupils internationally.</w:t>
      </w:r>
    </w:p>
    <w:p w:rsidR="00D329F2" w:rsidRDefault="008D7727">
      <w:pPr>
        <w:rPr>
          <w:noProof/>
        </w:rPr>
      </w:pPr>
      <w:r>
        <w:rPr>
          <w:noProof/>
        </w:rPr>
        <w:t xml:space="preserve">Trade Union Congress (2017), </w:t>
      </w:r>
      <w:r>
        <w:rPr>
          <w:i/>
          <w:noProof/>
        </w:rPr>
        <w:t>Average worker now spends 27 working days a year commuting</w:t>
      </w:r>
      <w:r>
        <w:rPr>
          <w:noProof/>
        </w:rPr>
        <w:t>, 17 Novemb</w:t>
      </w:r>
      <w:r>
        <w:rPr>
          <w:noProof/>
        </w:rPr>
        <w:t>er 2017.</w:t>
      </w:r>
    </w:p>
    <w:p w:rsidR="00D329F2" w:rsidRDefault="008D7727">
      <w:pPr>
        <w:rPr>
          <w:noProof/>
        </w:rPr>
      </w:pPr>
      <w:r>
        <w:rPr>
          <w:noProof/>
        </w:rPr>
        <w:t xml:space="preserve">Transport Focus (2017), </w:t>
      </w:r>
      <w:r>
        <w:rPr>
          <w:i/>
          <w:noProof/>
        </w:rPr>
        <w:t>Rail passengers’ priorities for improvement</w:t>
      </w:r>
      <w:r>
        <w:rPr>
          <w:noProof/>
        </w:rPr>
        <w:t>.</w:t>
      </w:r>
    </w:p>
    <w:p w:rsidR="00D329F2" w:rsidRDefault="008D7727">
      <w:pPr>
        <w:rPr>
          <w:i/>
          <w:noProof/>
        </w:rPr>
      </w:pPr>
      <w:r>
        <w:rPr>
          <w:noProof/>
        </w:rPr>
        <w:t xml:space="preserve">Transport for the North (2018), </w:t>
      </w:r>
      <w:r>
        <w:rPr>
          <w:i/>
          <w:noProof/>
        </w:rPr>
        <w:t>Strategic Transport Plan: Draft for public consultation.</w:t>
      </w:r>
    </w:p>
    <w:p w:rsidR="00D329F2" w:rsidRDefault="008D7727">
      <w:pPr>
        <w:rPr>
          <w:noProof/>
        </w:rPr>
      </w:pPr>
      <w:r>
        <w:rPr>
          <w:noProof/>
        </w:rPr>
        <w:t xml:space="preserve">Ward, H. (2016), </w:t>
      </w:r>
      <w:r>
        <w:rPr>
          <w:i/>
          <w:noProof/>
        </w:rPr>
        <w:t>Study reveals huge variations in teacher training costs.</w:t>
      </w:r>
      <w:r>
        <w:rPr>
          <w:noProof/>
        </w:rPr>
        <w:t xml:space="preserve"> Times Educational Supplement.</w:t>
      </w:r>
    </w:p>
    <w:p w:rsidR="00D329F2" w:rsidRDefault="008D7727">
      <w:pPr>
        <w:rPr>
          <w:i/>
          <w:noProof/>
        </w:rPr>
      </w:pPr>
      <w:r>
        <w:rPr>
          <w:noProof/>
        </w:rPr>
        <w:t xml:space="preserve">ZEW (2016), </w:t>
      </w:r>
      <w:r>
        <w:rPr>
          <w:i/>
          <w:noProof/>
        </w:rPr>
        <w:t>Project for the EU Commission TAXUD/2013/CC/120, Final Report 2016, Effective tax levels using the Devereux/Griffith methodology.</w:t>
      </w:r>
    </w:p>
    <w:sectPr w:rsidR="00D329F2">
      <w:headerReference w:type="even" r:id="rId176"/>
      <w:headerReference w:type="default" r:id="rId177"/>
      <w:footerReference w:type="even" r:id="rId178"/>
      <w:footerReference w:type="default" r:id="rId179"/>
      <w:headerReference w:type="first" r:id="rId180"/>
      <w:footerReference w:type="first" r:id="rId181"/>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9F2" w:rsidRDefault="00D329F2">
      <w:pPr>
        <w:spacing w:after="0" w:line="20" w:lineRule="exact"/>
        <w:rPr>
          <w:sz w:val="2"/>
        </w:rPr>
      </w:pPr>
    </w:p>
  </w:endnote>
  <w:endnote w:type="continuationSeparator" w:id="0">
    <w:p w:rsidR="00D329F2" w:rsidRDefault="00D329F2">
      <w:pPr>
        <w:spacing w:after="0" w:line="20" w:lineRule="exact"/>
        <w:rPr>
          <w:sz w:val="2"/>
        </w:rPr>
      </w:pPr>
    </w:p>
  </w:endnote>
  <w:endnote w:id="1">
    <w:p w:rsidR="00D329F2" w:rsidRDefault="008D7727">
      <w:pPr>
        <w:pStyle w:val="EndnoteText"/>
      </w:pPr>
      <w:r>
        <w:t>(</w:t>
      </w:r>
      <w:r>
        <w:rPr>
          <w:rStyle w:val="EndnoteReference"/>
        </w:rPr>
        <w:endnoteRef/>
      </w:r>
      <w:r>
        <w:t>)</w:t>
      </w:r>
      <w:r>
        <w:tab/>
      </w:r>
      <w:r>
        <w:rPr>
          <w:szCs w:val="16"/>
        </w:rPr>
        <w:t xml:space="preserve">Public </w:t>
      </w:r>
      <w:r>
        <w:rPr>
          <w:szCs w:val="16"/>
        </w:rPr>
        <w:t>investment is defined as gross fixed capital formation + investment grants + national expenditure on agriculture and fisheries.</w:t>
      </w:r>
    </w:p>
  </w:endnote>
  <w:endnote w:id="2">
    <w:p w:rsidR="00D329F2" w:rsidRDefault="008D7727">
      <w:pPr>
        <w:pStyle w:val="EndnoteText"/>
      </w:pPr>
      <w:r>
        <w:rPr>
          <w:rStyle w:val="EndnoteReference"/>
        </w:rPr>
        <w:endnoteRef/>
      </w:r>
      <w:r>
        <w:t xml:space="preserve"> </w:t>
      </w:r>
      <w:r>
        <w:tab/>
        <w:t>The Social Scoreboard is composed of 14 headline indicators, of which 12 are currently used to compare Member States' perform</w:t>
      </w:r>
      <w:r>
        <w:t xml:space="preserve">ance. The indicators “participants in active labour market policies per 100 persons wanting to work” and “compensation of employees per hour worked (in EUR)” are not used due to reservations by Member States. Possible alternatives will be discussed in the </w:t>
      </w:r>
      <w:r>
        <w:t>relevant Committees. Abbreviation: GDHI – gross disposable household income.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27" w:rsidRPr="008D7727" w:rsidRDefault="008D7727" w:rsidP="008D772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27" w:rsidRPr="008D7727" w:rsidRDefault="008D7727" w:rsidP="008D7727">
    <w:pPr>
      <w:pStyle w:val="FooterCoverPage"/>
      <w:rPr>
        <w:rFonts w:ascii="Arial" w:hAnsi="Arial" w:cs="Arial"/>
        <w:b/>
        <w:sz w:val="48"/>
      </w:rPr>
    </w:pPr>
    <w:r w:rsidRPr="008D7727">
      <w:rPr>
        <w:rFonts w:ascii="Arial" w:hAnsi="Arial" w:cs="Arial"/>
        <w:b/>
        <w:sz w:val="48"/>
      </w:rPr>
      <w:t>EN</w:t>
    </w:r>
    <w:r w:rsidRPr="008D7727">
      <w:rPr>
        <w:rFonts w:ascii="Arial" w:hAnsi="Arial" w:cs="Arial"/>
        <w:b/>
        <w:sz w:val="48"/>
      </w:rPr>
      <w:tab/>
    </w:r>
    <w:r w:rsidRPr="008D7727">
      <w:rPr>
        <w:rFonts w:ascii="Arial" w:hAnsi="Arial" w:cs="Arial"/>
        <w:b/>
        <w:sz w:val="48"/>
      </w:rPr>
      <w:tab/>
    </w:r>
    <w:r w:rsidRPr="008D7727">
      <w:tab/>
    </w:r>
    <w:r w:rsidRPr="008D7727">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18</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24</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29</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27" w:rsidRPr="008D7727" w:rsidRDefault="008D7727" w:rsidP="008D7727">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26</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32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34</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D329F2">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34</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38</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39</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34</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45</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48</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46</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D329F2">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51</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53</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48</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60</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58</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w:instrText>
    </w:r>
    <w:r>
      <w:instrText xml:space="preserve">MERGEFORMAT </w:instrText>
    </w:r>
    <w:r>
      <w:fldChar w:fldCharType="separate"/>
    </w:r>
    <w:r>
      <w:rPr>
        <w:noProof/>
      </w:rPr>
      <w:t>54</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Footer"/>
    </w:pPr>
  </w:p>
  <w:p w:rsidR="00D329F2" w:rsidRDefault="008D7727">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9F2" w:rsidRDefault="008D7727">
      <w:pPr>
        <w:spacing w:after="0"/>
      </w:pPr>
      <w:r>
        <w:separator/>
      </w:r>
    </w:p>
  </w:footnote>
  <w:footnote w:type="continuationSeparator" w:id="0">
    <w:p w:rsidR="00D329F2" w:rsidRDefault="008D7727">
      <w:pPr>
        <w:spacing w:after="0" w:line="240" w:lineRule="auto"/>
      </w:pPr>
      <w:r>
        <w:continuationSeparator/>
      </w:r>
    </w:p>
  </w:footnote>
  <w:footnote w:id="1">
    <w:p w:rsidR="00D329F2" w:rsidRDefault="008D7727">
      <w:pPr>
        <w:pStyle w:val="FootnoteText"/>
      </w:pPr>
      <w:r>
        <w:t>(</w:t>
      </w:r>
      <w:r>
        <w:rPr>
          <w:rStyle w:val="FootnoteReference"/>
        </w:rPr>
        <w:footnoteRef/>
      </w:r>
      <w:r>
        <w:t>)</w:t>
      </w:r>
      <w:r>
        <w:tab/>
        <w:t xml:space="preserve">This report assesses the UK’s economy in the light of the European Commission’s Annual Growth Survey published on 22 November 2017. In the survey, the Commission calls on EU Member States to implement reforms to make the European </w:t>
      </w:r>
      <w:r>
        <w:t>economy more productive, resilient and inclusive. In so doing, Member States should focus their efforts on the three elements of the virtuous triangle of economic policy — boosting investment, pursuing structural reforms and ensuring responsible fiscal pol</w:t>
      </w:r>
      <w:r>
        <w:t>icies.</w:t>
      </w:r>
    </w:p>
  </w:footnote>
  <w:footnote w:id="2">
    <w:p w:rsidR="00D329F2" w:rsidRDefault="008D7727">
      <w:pPr>
        <w:pStyle w:val="FootnoteText"/>
      </w:pPr>
      <w:r>
        <w:t>(</w:t>
      </w:r>
      <w:r>
        <w:rPr>
          <w:vertAlign w:val="superscript"/>
        </w:rPr>
        <w:footnoteRef/>
      </w:r>
      <w:r>
        <w:t>)</w:t>
      </w:r>
      <w:r>
        <w:tab/>
        <w:t>Excluding non-profit institutions serving households.</w:t>
      </w:r>
    </w:p>
  </w:footnote>
  <w:footnote w:id="3">
    <w:p w:rsidR="00D329F2" w:rsidRDefault="008D7727">
      <w:pPr>
        <w:pStyle w:val="FootnoteText"/>
      </w:pPr>
      <w:r>
        <w:t>(</w:t>
      </w:r>
      <w:r>
        <w:rPr>
          <w:vertAlign w:val="superscript"/>
        </w:rPr>
        <w:footnoteRef/>
      </w:r>
      <w:r>
        <w:t>)</w:t>
      </w:r>
      <w:r>
        <w:tab/>
        <w:t>This removes imputed transactions resulting in a measure of gross saving that reflects households’ saving (excluding pension contributions) in the respective quarter or year.</w:t>
      </w:r>
    </w:p>
  </w:footnote>
  <w:footnote w:id="4">
    <w:p w:rsidR="00D329F2" w:rsidRDefault="008D7727">
      <w:pPr>
        <w:pStyle w:val="FootnoteText"/>
      </w:pPr>
      <w:r>
        <w:t>(</w:t>
      </w:r>
      <w:r>
        <w:rPr>
          <w:vertAlign w:val="superscript"/>
        </w:rPr>
        <w:footnoteRef/>
      </w:r>
      <w:r>
        <w:t>)</w:t>
      </w:r>
      <w:r>
        <w:tab/>
        <w:t>The curr</w:t>
      </w:r>
      <w:r>
        <w:t>ent account 'norm' benchmark is derived from regressions capturing the main fundamental determinants of the saving-investment balance (e.g. demographics, resources), as well as policy factors and global financial conditions. See also European Commission, 2</w:t>
      </w:r>
      <w:r>
        <w:t>017, 'Empirical current account benchmarks: modelling the impact of demographic variables', LIME Working Group, 24 April 2017.</w:t>
      </w:r>
    </w:p>
  </w:footnote>
  <w:footnote w:id="5">
    <w:p w:rsidR="00D329F2" w:rsidRDefault="008D7727">
      <w:pPr>
        <w:pStyle w:val="FootnoteText"/>
      </w:pPr>
      <w:r>
        <w:t>(</w:t>
      </w:r>
      <w:r>
        <w:rPr>
          <w:vertAlign w:val="superscript"/>
        </w:rPr>
        <w:footnoteRef/>
      </w:r>
      <w:r>
        <w:t>)</w:t>
      </w:r>
      <w:r>
        <w:tab/>
        <w:t>Fundamentals-based benchmarks are derived from regressions capturing the main determinants of credit growth and taking into a</w:t>
      </w:r>
      <w:r>
        <w:t>ccount a given initial stock of debt. Prudential thresholds represent the debt threshold beyond which the probability of a banking crisis is high, minimising the probability of missed crisis and that of false alerts. Debt sustainability indicators correspo</w:t>
      </w:r>
      <w:r>
        <w:t xml:space="preserve">nd to the permanent adjustment in the savings rate to (i) reach the fundamental benchmark for debt within 15 years (S1) and (ii) ensure that net financial liabilities are eventually reimbursed (S2). See also European Commission (2017), “Benchmarks for the </w:t>
      </w:r>
      <w:r>
        <w:t>assessment of private debt” Note for the Economic Policy Committee.</w:t>
      </w:r>
    </w:p>
  </w:footnote>
  <w:footnote w:id="6">
    <w:p w:rsidR="00D329F2" w:rsidRDefault="008D7727">
      <w:pPr>
        <w:pStyle w:val="FootnoteText"/>
      </w:pPr>
      <w:r>
        <w:t>(</w:t>
      </w:r>
      <w:r>
        <w:rPr>
          <w:vertAlign w:val="superscript"/>
        </w:rPr>
        <w:footnoteRef/>
      </w:r>
      <w:r>
        <w:t>)</w:t>
      </w:r>
      <w:r>
        <w:tab/>
        <w:t>For the assessment of other reforms implemented in the past, see in particular Section 3.</w:t>
      </w:r>
    </w:p>
  </w:footnote>
  <w:footnote w:id="7">
    <w:p w:rsidR="00D329F2" w:rsidRDefault="008D7727">
      <w:pPr>
        <w:pStyle w:val="FootnoteText"/>
      </w:pPr>
      <w:r>
        <w:t>(</w:t>
      </w:r>
      <w:r>
        <w:rPr>
          <w:vertAlign w:val="superscript"/>
        </w:rPr>
        <w:footnoteRef/>
      </w:r>
      <w:r>
        <w:t>)</w:t>
      </w:r>
      <w:r>
        <w:tab/>
        <w:t>For information on the level of progress and actions taken to address the policy advice in</w:t>
      </w:r>
      <w:r>
        <w:t xml:space="preserve"> each respective subpart of a CSR, see the overview table in the Annex. This overall assessment does not include an assessment of compliance with the Stability and Growth Pact.</w:t>
      </w:r>
    </w:p>
  </w:footnote>
  <w:footnote w:id="8">
    <w:p w:rsidR="00D329F2" w:rsidRDefault="008D7727">
      <w:pPr>
        <w:pStyle w:val="FootnoteText"/>
      </w:pPr>
      <w:r>
        <w:t>(</w:t>
      </w:r>
      <w:r>
        <w:rPr>
          <w:vertAlign w:val="superscript"/>
        </w:rPr>
        <w:footnoteRef/>
      </w:r>
      <w:r>
        <w:t>)</w:t>
      </w:r>
      <w:r>
        <w:tab/>
        <w:t>The tax wedge shows the proportional difference between the costs of a work</w:t>
      </w:r>
      <w:r>
        <w:t>er to their employer and the employee’s net earnings. Data are taken from the European Commission Tax and Benefit Indicator database.</w:t>
      </w:r>
    </w:p>
  </w:footnote>
  <w:footnote w:id="9">
    <w:p w:rsidR="00D329F2" w:rsidRDefault="008D7727">
      <w:pPr>
        <w:pStyle w:val="FootnoteText"/>
      </w:pPr>
      <w:r>
        <w:t>(</w:t>
      </w:r>
      <w:r>
        <w:footnoteRef/>
      </w:r>
      <w:r>
        <w:t>) Council Directive 2016/1164 of 12 July 2016</w:t>
      </w:r>
    </w:p>
  </w:footnote>
  <w:footnote w:id="10">
    <w:p w:rsidR="00D329F2" w:rsidRDefault="008D7727">
      <w:pPr>
        <w:pStyle w:val="FootnoteText"/>
      </w:pPr>
      <w:r>
        <w:t>(</w:t>
      </w:r>
      <w:r>
        <w:rPr>
          <w:vertAlign w:val="superscript"/>
        </w:rPr>
        <w:footnoteRef/>
      </w:r>
      <w:r>
        <w:t>)</w:t>
      </w:r>
      <w:r>
        <w:tab/>
        <w:t>Dividend income received by the UK in 2016 was EUR 67 billion (source:</w:t>
      </w:r>
      <w:r>
        <w:t xml:space="preserve"> Eurostat).</w:t>
      </w:r>
    </w:p>
  </w:footnote>
  <w:footnote w:id="11">
    <w:p w:rsidR="00D329F2" w:rsidRDefault="008D7727">
      <w:pPr>
        <w:pStyle w:val="FootnoteText"/>
      </w:pPr>
      <w:r>
        <w:t>(</w:t>
      </w:r>
      <w:r>
        <w:rPr>
          <w:vertAlign w:val="superscript"/>
        </w:rPr>
        <w:footnoteRef/>
      </w:r>
      <w:r>
        <w:t>)</w:t>
      </w:r>
      <w:r>
        <w:tab/>
        <w:t xml:space="preserve">The controlled foreign companies (CFC) regime in the UK is a set of anti-avoidance measures established to prevent UK group companies shifting income into low tax jurisdictions to avoid being subject to UK corporation tax. </w:t>
      </w:r>
    </w:p>
  </w:footnote>
  <w:footnote w:id="12">
    <w:p w:rsidR="00D329F2" w:rsidRDefault="008D7727">
      <w:pPr>
        <w:pStyle w:val="FootnoteText"/>
      </w:pPr>
      <w:r>
        <w:t>(</w:t>
      </w:r>
      <w:r>
        <w:rPr>
          <w:vertAlign w:val="superscript"/>
        </w:rPr>
        <w:footnoteRef/>
      </w:r>
      <w:r>
        <w:t>)</w:t>
      </w:r>
      <w:r>
        <w:tab/>
        <w:t xml:space="preserve">The VAT gap </w:t>
      </w:r>
      <w:r>
        <w:t xml:space="preserve">(as a % of the total VAT liability) was in line with the EU median (10.9 %) in 2015 (CASE, 2017). </w:t>
      </w:r>
    </w:p>
  </w:footnote>
  <w:footnote w:id="13">
    <w:p w:rsidR="00D329F2" w:rsidRDefault="008D7727">
      <w:pPr>
        <w:pStyle w:val="FootnoteText"/>
      </w:pPr>
      <w:r>
        <w:t>(</w:t>
      </w:r>
      <w:r>
        <w:rPr>
          <w:vertAlign w:val="superscript"/>
        </w:rPr>
        <w:footnoteRef/>
      </w:r>
      <w:r>
        <w:t>)</w:t>
      </w:r>
      <w:r>
        <w:tab/>
        <w:t xml:space="preserve">See CASE (2017). </w:t>
      </w:r>
    </w:p>
  </w:footnote>
  <w:footnote w:id="14">
    <w:p w:rsidR="00D329F2" w:rsidRDefault="008D7727">
      <w:pPr>
        <w:pStyle w:val="FootnoteText"/>
      </w:pPr>
      <w:r>
        <w:t>(</w:t>
      </w:r>
      <w:r>
        <w:rPr>
          <w:vertAlign w:val="superscript"/>
        </w:rPr>
        <w:footnoteRef/>
      </w:r>
      <w:r>
        <w:t>)</w:t>
      </w:r>
      <w:r>
        <w:tab/>
        <w:t>The UK Treasury estimates the VAT gap to have been 9.8 % of GDP in 2015-2016.</w:t>
      </w:r>
    </w:p>
  </w:footnote>
  <w:footnote w:id="15">
    <w:p w:rsidR="00D329F2" w:rsidRDefault="008D7727">
      <w:pPr>
        <w:pStyle w:val="FootnoteText"/>
      </w:pPr>
      <w:r>
        <w:t>(</w:t>
      </w:r>
      <w:r>
        <w:rPr>
          <w:vertAlign w:val="superscript"/>
        </w:rPr>
        <w:footnoteRef/>
      </w:r>
      <w:r>
        <w:t>)</w:t>
      </w:r>
      <w:r>
        <w:tab/>
        <w:t>The zero rate applies to a broad range of goods a</w:t>
      </w:r>
      <w:r>
        <w:t xml:space="preserve">nd services including many foodstuffs, books, pharmaceutical products, water supply, passenger transport and the construction of new dwellings. The 5 % rate applies, among others, to domestic fuel and power, energy-saving materials and certain residential </w:t>
      </w:r>
      <w:r>
        <w:t xml:space="preserve">renovations. </w:t>
      </w:r>
    </w:p>
  </w:footnote>
  <w:footnote w:id="16">
    <w:p w:rsidR="00D329F2" w:rsidRDefault="008D7727">
      <w:pPr>
        <w:pStyle w:val="FootnoteText"/>
      </w:pPr>
      <w:r>
        <w:t>(</w:t>
      </w:r>
      <w:r>
        <w:rPr>
          <w:vertAlign w:val="superscript"/>
        </w:rPr>
        <w:footnoteRef/>
      </w:r>
      <w:r>
        <w:t>)</w:t>
      </w:r>
      <w:r>
        <w:tab/>
      </w:r>
      <w:r>
        <w:t xml:space="preserve">This is based on the S1 indicator, a medium-term sustainability risk indicator that measures the required fiscal adjustment needed over a five-year period (directly following the last forecast year) to bring the debt-to-GDP ratio to 60 % of GDP in 2032. </w:t>
      </w:r>
    </w:p>
  </w:footnote>
  <w:footnote w:id="17">
    <w:p w:rsidR="00D329F2" w:rsidRDefault="008D7727">
      <w:pPr>
        <w:pStyle w:val="FootnoteText"/>
      </w:pPr>
      <w:r>
        <w:t>(</w:t>
      </w:r>
      <w:r>
        <w:rPr>
          <w:vertAlign w:val="superscript"/>
        </w:rPr>
        <w:footnoteRef/>
      </w:r>
      <w:r>
        <w:t>)</w:t>
      </w:r>
      <w:r>
        <w:tab/>
        <w:t>The S2 indicator measures the required upfront fiscal adjustment needed to stabilise public debt over the infinite horizon, taking full account of future increased liabilities linked to population ageing. In other words, it is a long-term fiscal sustain</w:t>
      </w:r>
      <w:r>
        <w:t xml:space="preserve">ability risk indicator. It is calculated under the assumption that there is no change in fiscal policy. </w:t>
      </w:r>
    </w:p>
  </w:footnote>
  <w:footnote w:id="18">
    <w:p w:rsidR="00D329F2" w:rsidRDefault="008D7727">
      <w:pPr>
        <w:pStyle w:val="FootnoteText"/>
      </w:pPr>
      <w:r>
        <w:t>(</w:t>
      </w:r>
      <w:r>
        <w:rPr>
          <w:vertAlign w:val="superscript"/>
        </w:rPr>
        <w:footnoteRef/>
      </w:r>
      <w:r>
        <w:t>)</w:t>
      </w:r>
      <w:r>
        <w:tab/>
        <w:t>Significant misconduct costs (GBP 67 billion, EUR 76.4 billion) were provisioned for or paid by UK banks during the period 2011 to 2016. Misconduct</w:t>
      </w:r>
      <w:r>
        <w:t xml:space="preserve"> related to the mis-selling of various financial products, such as payment protection insurance, interest-rate hedging and endowment mortgages.</w:t>
      </w:r>
    </w:p>
  </w:footnote>
  <w:footnote w:id="19">
    <w:p w:rsidR="00D329F2" w:rsidRDefault="008D7727">
      <w:pPr>
        <w:pStyle w:val="FootnoteText"/>
      </w:pPr>
      <w:r>
        <w:t>(</w:t>
      </w:r>
      <w:r>
        <w:rPr>
          <w:vertAlign w:val="superscript"/>
        </w:rPr>
        <w:footnoteRef/>
      </w:r>
      <w:r>
        <w:t>)</w:t>
      </w:r>
      <w:r>
        <w:tab/>
      </w:r>
      <w:hyperlink r:id="rId1" w:history="1">
        <w:r>
          <w:rPr>
            <w:rStyle w:val="Hyperlink"/>
          </w:rPr>
          <w:t>https://www.gov.uk/guida</w:t>
        </w:r>
        <w:r>
          <w:rPr>
            <w:rStyle w:val="Hyperlink"/>
          </w:rPr>
          <w:t>nce/teaching-and-leadership-innovation-fund</w:t>
        </w:r>
      </w:hyperlink>
      <w:r>
        <w:t xml:space="preserve"> </w:t>
      </w:r>
    </w:p>
  </w:footnote>
  <w:footnote w:id="20">
    <w:p w:rsidR="00D329F2" w:rsidRDefault="008D7727">
      <w:pPr>
        <w:pStyle w:val="FootnoteText"/>
      </w:pPr>
      <w:r>
        <w:t>(</w:t>
      </w:r>
      <w:r>
        <w:rPr>
          <w:vertAlign w:val="superscript"/>
        </w:rPr>
        <w:footnoteRef/>
      </w:r>
      <w:r>
        <w:t>)</w:t>
      </w:r>
      <w:r>
        <w:tab/>
        <w:t>http://www.hefce.ac.uk/lt/tef/</w:t>
      </w:r>
    </w:p>
  </w:footnote>
  <w:footnote w:id="21">
    <w:p w:rsidR="00D329F2" w:rsidRDefault="008D7727">
      <w:pPr>
        <w:pStyle w:val="FootnoteText"/>
      </w:pPr>
      <w:r>
        <w:t>(</w:t>
      </w:r>
      <w:r>
        <w:rPr>
          <w:vertAlign w:val="superscript"/>
        </w:rPr>
        <w:footnoteRef/>
      </w:r>
      <w:r>
        <w:t>)</w:t>
      </w:r>
      <w:r>
        <w:tab/>
        <w:t>According to the benchmarking exercise in the area of unemployment benefits and active labour market policies conducted within the EMCO Committee. See the draft Joint Emplo</w:t>
      </w:r>
      <w:r>
        <w:t>yment Report 2018 for details.</w:t>
      </w:r>
    </w:p>
  </w:footnote>
  <w:footnote w:id="22">
    <w:p w:rsidR="00D329F2" w:rsidRDefault="008D7727">
      <w:pPr>
        <w:pStyle w:val="FootnoteText"/>
        <w:ind w:firstLine="0"/>
      </w:pPr>
      <w:r>
        <w:rPr>
          <w:rStyle w:val="FootnoteReference"/>
        </w:rPr>
        <w:footnoteRef/>
      </w:r>
      <w:r>
        <w:t>According to http://researchbriefings.parliament.uk/ResearchBriefing/Summary/CBP-7783</w:t>
      </w:r>
    </w:p>
  </w:footnote>
  <w:footnote w:id="23">
    <w:p w:rsidR="00D329F2" w:rsidRDefault="008D7727">
      <w:pPr>
        <w:pStyle w:val="FootnoteText"/>
      </w:pPr>
      <w:r>
        <w:t>(</w:t>
      </w:r>
      <w:r>
        <w:rPr>
          <w:vertAlign w:val="superscript"/>
        </w:rPr>
        <w:footnoteRef/>
      </w:r>
      <w:r>
        <w:t>)</w:t>
      </w:r>
      <w:r>
        <w:tab/>
        <w:t>The low R&amp;D intensity in London is the result of the importance of high-productivity services in its economy.</w:t>
      </w:r>
    </w:p>
  </w:footnote>
  <w:footnote w:id="24">
    <w:p w:rsidR="00D329F2" w:rsidRDefault="008D7727">
      <w:pPr>
        <w:pStyle w:val="FootnoteText"/>
      </w:pPr>
      <w:r>
        <w:t>(</w:t>
      </w:r>
      <w:r>
        <w:rPr>
          <w:vertAlign w:val="superscript"/>
        </w:rPr>
        <w:footnoteRef/>
      </w:r>
      <w:r>
        <w:t>)</w:t>
      </w:r>
      <w:r>
        <w:tab/>
        <w:t>11 January 2017, 19:</w:t>
      </w:r>
      <w:r>
        <w:t>00 pm from ENTSO-E Winter Outlook 2016/2017.</w:t>
      </w:r>
    </w:p>
  </w:footnote>
  <w:footnote w:id="25">
    <w:p w:rsidR="00D329F2" w:rsidRDefault="008D7727">
      <w:pPr>
        <w:pStyle w:val="FootnoteText"/>
      </w:pPr>
      <w:r>
        <w:t>(</w:t>
      </w:r>
      <w:r>
        <w:rPr>
          <w:vertAlign w:val="superscript"/>
        </w:rPr>
        <w:footnoteRef/>
      </w:r>
      <w:r>
        <w:t>)</w:t>
      </w:r>
      <w:r>
        <w:tab/>
        <w:t>These are Eleclink (1GW to France); Nemo Link (1GW to Belgium); North Sea Link (1.4GW to Norway) and IFA2 (1GW to France).</w:t>
      </w:r>
    </w:p>
  </w:footnote>
  <w:footnote w:id="26">
    <w:p w:rsidR="00D329F2" w:rsidRDefault="008D7727">
      <w:pPr>
        <w:pStyle w:val="FootnoteText"/>
        <w:rPr>
          <w:rFonts w:eastAsia="Times New Roman"/>
          <w:b/>
          <w:u w:val="single"/>
        </w:rPr>
      </w:pPr>
      <w:r>
        <w:t>(</w:t>
      </w:r>
      <w:r>
        <w:rPr>
          <w:vertAlign w:val="superscript"/>
        </w:rPr>
        <w:footnoteRef/>
      </w:r>
      <w:r>
        <w:t>)</w:t>
      </w:r>
      <w:r>
        <w:tab/>
      </w:r>
      <w:r>
        <w:rPr>
          <w:rFonts w:eastAsia="Times New Roman"/>
        </w:rPr>
        <w:t>The following categories are used to assess progress in implementing the 2017 co</w:t>
      </w:r>
      <w:r>
        <w:rPr>
          <w:rFonts w:eastAsia="Times New Roman"/>
        </w:rPr>
        <w:t>untry-specific recommendations (CSRs):</w:t>
      </w:r>
    </w:p>
    <w:p w:rsidR="00D329F2" w:rsidRDefault="008D7727">
      <w:pPr>
        <w:spacing w:after="0" w:line="240" w:lineRule="auto"/>
        <w:ind w:left="283" w:hanging="283"/>
        <w:rPr>
          <w:rFonts w:eastAsia="Times New Roman"/>
          <w:sz w:val="16"/>
          <w:szCs w:val="20"/>
        </w:rPr>
      </w:pPr>
      <w:r>
        <w:rPr>
          <w:rFonts w:eastAsia="Times New Roman"/>
          <w:b/>
          <w:sz w:val="16"/>
          <w:szCs w:val="20"/>
          <w:u w:val="single"/>
        </w:rPr>
        <w:t>No progress:</w:t>
      </w:r>
      <w:r>
        <w:rPr>
          <w:rFonts w:eastAsia="Times New Roman"/>
          <w:sz w:val="16"/>
          <w:szCs w:val="20"/>
        </w:rPr>
        <w:t xml:space="preserve"> The Member State has not credibly announced nor adopted any measures to address the CSR. This category covers a number of typical situations, to be interpreted on a case-by-case basis taking into account country-specific conditions. They include the follo</w:t>
      </w:r>
      <w:r>
        <w:rPr>
          <w:rFonts w:eastAsia="Times New Roman"/>
          <w:sz w:val="16"/>
          <w:szCs w:val="20"/>
        </w:rPr>
        <w:t>wing:</w:t>
      </w:r>
    </w:p>
    <w:p w:rsidR="00D329F2" w:rsidRDefault="008D7727">
      <w:pPr>
        <w:numPr>
          <w:ilvl w:val="0"/>
          <w:numId w:val="11"/>
        </w:numPr>
        <w:spacing w:after="0" w:line="240" w:lineRule="auto"/>
        <w:rPr>
          <w:rFonts w:eastAsia="Times New Roman"/>
          <w:sz w:val="16"/>
          <w:szCs w:val="20"/>
        </w:rPr>
      </w:pPr>
      <w:r>
        <w:rPr>
          <w:rFonts w:eastAsia="Times New Roman"/>
          <w:sz w:val="16"/>
          <w:szCs w:val="20"/>
        </w:rPr>
        <w:t>no legal, administrative, or budgetary measures have been announced in the national reform programme, in any other official communication to the national Parliament/relevant parliamentary committees or the European Commission,  publicly (e.g. in a pr</w:t>
      </w:r>
      <w:r>
        <w:rPr>
          <w:rFonts w:eastAsia="Times New Roman"/>
          <w:sz w:val="16"/>
          <w:szCs w:val="20"/>
        </w:rPr>
        <w:t xml:space="preserve">ess statement or on the government's website); </w:t>
      </w:r>
    </w:p>
    <w:p w:rsidR="00D329F2" w:rsidRDefault="008D7727">
      <w:pPr>
        <w:numPr>
          <w:ilvl w:val="0"/>
          <w:numId w:val="10"/>
        </w:numPr>
        <w:spacing w:after="0" w:line="240" w:lineRule="auto"/>
        <w:rPr>
          <w:rFonts w:eastAsia="Times New Roman"/>
          <w:sz w:val="16"/>
          <w:szCs w:val="20"/>
        </w:rPr>
      </w:pPr>
      <w:r>
        <w:rPr>
          <w:rFonts w:eastAsia="Times New Roman"/>
          <w:sz w:val="16"/>
          <w:szCs w:val="20"/>
        </w:rPr>
        <w:t xml:space="preserve">no non-legislative acts have been presented by the governing or legislative body;  </w:t>
      </w:r>
    </w:p>
    <w:p w:rsidR="00D329F2" w:rsidRDefault="008D7727">
      <w:pPr>
        <w:numPr>
          <w:ilvl w:val="0"/>
          <w:numId w:val="10"/>
        </w:numPr>
        <w:spacing w:after="0" w:line="240" w:lineRule="auto"/>
        <w:rPr>
          <w:rFonts w:eastAsia="Times New Roman"/>
          <w:sz w:val="16"/>
          <w:szCs w:val="20"/>
        </w:rPr>
      </w:pPr>
      <w:r>
        <w:rPr>
          <w:rFonts w:eastAsia="Times New Roman"/>
          <w:sz w:val="16"/>
          <w:szCs w:val="20"/>
        </w:rPr>
        <w:t>the Member State has taken initial steps in addressing the CSR, such as commissioning a study or setting up a study group to</w:t>
      </w:r>
      <w:r>
        <w:rPr>
          <w:rFonts w:eastAsia="Times New Roman"/>
          <w:sz w:val="16"/>
          <w:szCs w:val="20"/>
        </w:rPr>
        <w:t xml:space="preserve"> analyse possible measures to be taken (unless the CSR explicitly asks for orientations or exploratory actions). However, it has not proposed any clearly-specified measure(s) to address the CSR.</w:t>
      </w:r>
    </w:p>
    <w:p w:rsidR="00D329F2" w:rsidRDefault="008D7727">
      <w:pPr>
        <w:spacing w:after="0" w:line="240" w:lineRule="auto"/>
        <w:ind w:left="283" w:hanging="283"/>
        <w:rPr>
          <w:rFonts w:eastAsia="Times New Roman"/>
          <w:sz w:val="16"/>
          <w:szCs w:val="20"/>
        </w:rPr>
      </w:pPr>
      <w:r>
        <w:rPr>
          <w:rFonts w:eastAsia="Times New Roman"/>
          <w:b/>
          <w:sz w:val="16"/>
          <w:szCs w:val="20"/>
          <w:u w:val="single"/>
        </w:rPr>
        <w:t>Limited progress:</w:t>
      </w:r>
      <w:r>
        <w:rPr>
          <w:rFonts w:eastAsia="Times New Roman"/>
          <w:sz w:val="16"/>
          <w:szCs w:val="20"/>
        </w:rPr>
        <w:t xml:space="preserve"> The Member State has:</w:t>
      </w:r>
    </w:p>
    <w:p w:rsidR="00D329F2" w:rsidRDefault="008D7727">
      <w:pPr>
        <w:numPr>
          <w:ilvl w:val="0"/>
          <w:numId w:val="12"/>
        </w:numPr>
        <w:spacing w:after="0" w:line="240" w:lineRule="auto"/>
        <w:rPr>
          <w:rFonts w:eastAsia="Times New Roman"/>
          <w:sz w:val="16"/>
          <w:szCs w:val="20"/>
        </w:rPr>
      </w:pPr>
      <w:r>
        <w:rPr>
          <w:rFonts w:eastAsia="Times New Roman"/>
          <w:sz w:val="16"/>
          <w:szCs w:val="20"/>
        </w:rPr>
        <w:t>announced certain mea</w:t>
      </w:r>
      <w:r>
        <w:rPr>
          <w:rFonts w:eastAsia="Times New Roman"/>
          <w:sz w:val="16"/>
          <w:szCs w:val="20"/>
        </w:rPr>
        <w:t>sures but these address the CSR only to a limited extent; and/or</w:t>
      </w:r>
    </w:p>
    <w:p w:rsidR="00D329F2" w:rsidRDefault="008D7727">
      <w:pPr>
        <w:numPr>
          <w:ilvl w:val="0"/>
          <w:numId w:val="12"/>
        </w:numPr>
        <w:spacing w:after="0" w:line="240" w:lineRule="auto"/>
        <w:rPr>
          <w:rFonts w:eastAsia="Times New Roman"/>
          <w:sz w:val="16"/>
          <w:szCs w:val="20"/>
        </w:rPr>
      </w:pPr>
      <w:r>
        <w:rPr>
          <w:rFonts w:eastAsia="Times New Roman"/>
          <w:sz w:val="16"/>
          <w:szCs w:val="20"/>
        </w:rPr>
        <w:t xml:space="preserve">presented legislative acts in the governing or legislative body but these have not been adopted yet and substantial further, non-legislative work is needed before the CSR is implemented; </w:t>
      </w:r>
    </w:p>
    <w:p w:rsidR="00D329F2" w:rsidRDefault="008D7727">
      <w:pPr>
        <w:numPr>
          <w:ilvl w:val="0"/>
          <w:numId w:val="12"/>
        </w:numPr>
        <w:spacing w:after="0" w:line="240" w:lineRule="auto"/>
        <w:rPr>
          <w:rFonts w:eastAsia="Times New Roman"/>
          <w:sz w:val="16"/>
          <w:szCs w:val="20"/>
        </w:rPr>
      </w:pPr>
      <w:r>
        <w:rPr>
          <w:rFonts w:eastAsia="Times New Roman"/>
          <w:sz w:val="16"/>
          <w:szCs w:val="20"/>
        </w:rPr>
        <w:t>pre</w:t>
      </w:r>
      <w:r>
        <w:rPr>
          <w:rFonts w:eastAsia="Times New Roman"/>
          <w:sz w:val="16"/>
          <w:szCs w:val="20"/>
        </w:rPr>
        <w:t>sented non-legislative acts, but has not followed these up with the implementation needed to address the CSR.</w:t>
      </w:r>
    </w:p>
    <w:p w:rsidR="00D329F2" w:rsidRDefault="008D7727">
      <w:pPr>
        <w:spacing w:after="0" w:line="240" w:lineRule="auto"/>
        <w:ind w:left="283" w:hanging="283"/>
        <w:rPr>
          <w:rFonts w:eastAsia="Times New Roman"/>
          <w:sz w:val="16"/>
          <w:szCs w:val="20"/>
        </w:rPr>
      </w:pPr>
      <w:r>
        <w:rPr>
          <w:rFonts w:eastAsia="Times New Roman"/>
          <w:b/>
          <w:sz w:val="16"/>
          <w:szCs w:val="20"/>
          <w:u w:val="single"/>
        </w:rPr>
        <w:t>Some progress:</w:t>
      </w:r>
      <w:r>
        <w:rPr>
          <w:rFonts w:eastAsia="Times New Roman"/>
          <w:sz w:val="16"/>
          <w:szCs w:val="20"/>
        </w:rPr>
        <w:t xml:space="preserve"> The Member State has adopted measures: </w:t>
      </w:r>
    </w:p>
    <w:p w:rsidR="00D329F2" w:rsidRDefault="008D7727">
      <w:pPr>
        <w:numPr>
          <w:ilvl w:val="0"/>
          <w:numId w:val="14"/>
        </w:numPr>
        <w:spacing w:after="0" w:line="240" w:lineRule="auto"/>
        <w:rPr>
          <w:rFonts w:eastAsia="Times New Roman"/>
          <w:sz w:val="16"/>
          <w:szCs w:val="20"/>
        </w:rPr>
      </w:pPr>
      <w:r>
        <w:rPr>
          <w:rFonts w:eastAsia="Times New Roman"/>
          <w:sz w:val="16"/>
          <w:szCs w:val="20"/>
        </w:rPr>
        <w:t xml:space="preserve">that partly address the CSR; and/or </w:t>
      </w:r>
    </w:p>
    <w:p w:rsidR="00D329F2" w:rsidRDefault="008D7727">
      <w:pPr>
        <w:numPr>
          <w:ilvl w:val="0"/>
          <w:numId w:val="13"/>
        </w:numPr>
        <w:spacing w:after="0" w:line="240" w:lineRule="auto"/>
        <w:rPr>
          <w:rFonts w:eastAsia="Times New Roman"/>
          <w:sz w:val="16"/>
          <w:szCs w:val="20"/>
        </w:rPr>
      </w:pPr>
      <w:r>
        <w:rPr>
          <w:rFonts w:eastAsia="Times New Roman"/>
          <w:sz w:val="16"/>
          <w:szCs w:val="20"/>
        </w:rPr>
        <w:t>that address the CSR, but a fair amount of work is sti</w:t>
      </w:r>
      <w:r>
        <w:rPr>
          <w:rFonts w:eastAsia="Times New Roman"/>
          <w:sz w:val="16"/>
          <w:szCs w:val="20"/>
        </w:rPr>
        <w:t>ll needed to address the CSR fully as only a few of the measures have been implemented. For instance, a measure or measures have been adopted by the national Parliament or by ministerial decision, but no implementing decisions are in place.</w:t>
      </w:r>
    </w:p>
    <w:p w:rsidR="00D329F2" w:rsidRDefault="008D7727">
      <w:pPr>
        <w:spacing w:after="0" w:line="240" w:lineRule="auto"/>
        <w:ind w:left="283" w:hanging="283"/>
        <w:rPr>
          <w:rFonts w:eastAsia="Times New Roman"/>
          <w:sz w:val="16"/>
          <w:szCs w:val="16"/>
        </w:rPr>
      </w:pPr>
      <w:r>
        <w:rPr>
          <w:rFonts w:eastAsia="Times New Roman"/>
          <w:b/>
          <w:sz w:val="16"/>
          <w:szCs w:val="16"/>
          <w:u w:val="single"/>
        </w:rPr>
        <w:t>Substantial pro</w:t>
      </w:r>
      <w:r>
        <w:rPr>
          <w:rFonts w:eastAsia="Times New Roman"/>
          <w:b/>
          <w:sz w:val="16"/>
          <w:szCs w:val="16"/>
          <w:u w:val="single"/>
        </w:rPr>
        <w:t>gress:</w:t>
      </w:r>
      <w:r>
        <w:rPr>
          <w:rFonts w:eastAsia="Times New Roman"/>
          <w:sz w:val="16"/>
          <w:szCs w:val="16"/>
        </w:rPr>
        <w:t xml:space="preserve"> The Member State has adopted measures that go a long way towards addressing the CSR and most of them have been implemented.</w:t>
      </w:r>
    </w:p>
    <w:p w:rsidR="00D329F2" w:rsidRDefault="008D7727">
      <w:pPr>
        <w:pStyle w:val="FootnoteText"/>
        <w:rPr>
          <w:szCs w:val="16"/>
        </w:rPr>
      </w:pPr>
      <w:r>
        <w:rPr>
          <w:rFonts w:eastAsia="Times New Roman"/>
          <w:b/>
          <w:szCs w:val="16"/>
          <w:u w:val="single"/>
        </w:rPr>
        <w:t>Full implementation:</w:t>
      </w:r>
      <w:r>
        <w:rPr>
          <w:rFonts w:eastAsia="Times New Roman"/>
          <w:szCs w:val="16"/>
        </w:rPr>
        <w:t xml:space="preserve"> The Member State has implemented all measures needed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27" w:rsidRPr="008D7727" w:rsidRDefault="008D7727" w:rsidP="008D772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27" w:rsidRPr="008D7727" w:rsidRDefault="008D7727" w:rsidP="008D7727">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3.2. Financial sector and housing</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3.3. Labour market, education and social policies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727" w:rsidRPr="008D7727" w:rsidRDefault="008D7727" w:rsidP="008D7727">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3.3. Labour market, education and social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3.4. Investment</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3.4. Investment</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3.4. Investment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3.4. Investment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3.5. Sectoral policies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A. Overview Table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B. MIP Scoreboard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C. Standard Tables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References</w:t>
    </w:r>
  </w:p>
  <w:p w:rsidR="00D329F2" w:rsidRDefault="00D329F2">
    <w:pPr>
      <w:pStyle w:val="HeaderSubtitleRight3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8D7727">
    <w:pPr>
      <w:pStyle w:val="HeaderTitleRight"/>
    </w:pPr>
    <w:r>
      <w:t>Executive summary</w:t>
    </w:r>
  </w:p>
  <w:p w:rsidR="00D329F2" w:rsidRDefault="00D329F2">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9F2" w:rsidRDefault="00D329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E25EFA"/>
    <w:lvl w:ilvl="0">
      <w:start w:val="1"/>
      <w:numFmt w:val="bullet"/>
      <w:lvlText w:val=""/>
      <w:lvlJc w:val="left"/>
      <w:pPr>
        <w:tabs>
          <w:tab w:val="num" w:pos="360"/>
        </w:tabs>
        <w:ind w:left="360" w:hanging="360"/>
      </w:pPr>
      <w:rPr>
        <w:rFonts w:ascii="Symbol" w:hAnsi="Symbol" w:hint="default"/>
      </w:rPr>
    </w:lvl>
  </w:abstractNum>
  <w:abstractNum w:abstractNumId="1">
    <w:nsid w:val="04A2589B"/>
    <w:multiLevelType w:val="multilevel"/>
    <w:tmpl w:val="AD4A79D8"/>
    <w:lvl w:ilvl="0">
      <w:start w:val="1"/>
      <w:numFmt w:val="decimal"/>
      <w:lvlText w:val="3.2.%1."/>
      <w:lvlJc w:val="left"/>
      <w:pPr>
        <w:tabs>
          <w:tab w:val="num" w:pos="567"/>
        </w:tabs>
        <w:ind w:left="567" w:hanging="567"/>
      </w:pPr>
    </w:lvl>
    <w:lvl w:ilvl="1">
      <w:start w:val="1"/>
      <w:numFmt w:val="decimal"/>
      <w:lvlText w:val="3.2.%1.%2."/>
      <w:lvlJc w:val="left"/>
      <w:pPr>
        <w:tabs>
          <w:tab w:val="num" w:pos="567"/>
        </w:tabs>
        <w:ind w:left="567" w:hanging="567"/>
      </w:pPr>
    </w:lvl>
    <w:lvl w:ilvl="2">
      <w:start w:val="1"/>
      <w:numFmt w:val="decimal"/>
      <w:lvlText w:val="3.2.%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A70EC0"/>
    <w:multiLevelType w:val="singleLevel"/>
    <w:tmpl w:val="2506DF26"/>
    <w:name w:val="Normal Numbered"/>
    <w:lvl w:ilvl="0">
      <w:start w:val="1"/>
      <w:numFmt w:val="decimal"/>
      <w:lvlRestart w:val="0"/>
      <w:pStyle w:val="NormalNumbered"/>
      <w:lvlText w:val="%1."/>
      <w:lvlJc w:val="left"/>
      <w:pPr>
        <w:tabs>
          <w:tab w:val="num" w:pos="369"/>
        </w:tabs>
        <w:ind w:left="0" w:firstLine="0"/>
      </w:pPr>
      <w:rPr>
        <w:b/>
      </w:rPr>
    </w:lvl>
  </w:abstractNum>
  <w:abstractNum w:abstractNumId="3">
    <w:nsid w:val="130C67CC"/>
    <w:multiLevelType w:val="hybridMultilevel"/>
    <w:tmpl w:val="A2DE9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EB36AF"/>
    <w:multiLevelType w:val="singleLevel"/>
    <w:tmpl w:val="00000000"/>
    <w:lvl w:ilvl="0">
      <w:start w:val="1"/>
      <w:numFmt w:val="bullet"/>
      <w:lvlRestart w:val="0"/>
      <w:lvlText w:val=""/>
      <w:lvlJc w:val="left"/>
      <w:pPr>
        <w:tabs>
          <w:tab w:val="num" w:pos="283"/>
        </w:tabs>
        <w:ind w:left="283" w:hanging="283"/>
      </w:pPr>
      <w:rPr>
        <w:rFonts w:ascii="Symbol" w:hAnsi="Symbol" w:hint="default"/>
      </w:rPr>
    </w:lvl>
  </w:abstractNum>
  <w:abstractNum w:abstractNumId="5">
    <w:nsid w:val="1CF87CCB"/>
    <w:multiLevelType w:val="singleLevel"/>
    <w:tmpl w:val="1F72CADE"/>
    <w:name w:val="Numbered List"/>
    <w:lvl w:ilvl="0">
      <w:start w:val="1"/>
      <w:numFmt w:val="decimal"/>
      <w:lvlRestart w:val="0"/>
      <w:pStyle w:val="NumberedList"/>
      <w:lvlText w:val="%1."/>
      <w:lvlJc w:val="left"/>
      <w:pPr>
        <w:tabs>
          <w:tab w:val="num" w:pos="340"/>
        </w:tabs>
        <w:ind w:left="340" w:hanging="340"/>
      </w:pPr>
    </w:lvl>
  </w:abstractNum>
  <w:abstractNum w:abstractNumId="6">
    <w:nsid w:val="273C53E3"/>
    <w:multiLevelType w:val="singleLevel"/>
    <w:tmpl w:val="2A6E1C1A"/>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7">
    <w:nsid w:val="371439DF"/>
    <w:multiLevelType w:val="hybridMultilevel"/>
    <w:tmpl w:val="BAB0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A010F9"/>
    <w:multiLevelType w:val="hybridMultilevel"/>
    <w:tmpl w:val="B948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2522A1"/>
    <w:multiLevelType w:val="singleLevel"/>
    <w:tmpl w:val="26F27912"/>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10">
    <w:nsid w:val="4F9666CC"/>
    <w:multiLevelType w:val="hybridMultilevel"/>
    <w:tmpl w:val="DBD64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2F764EC"/>
    <w:multiLevelType w:val="multilevel"/>
    <w:tmpl w:val="01BCD04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395137C"/>
    <w:multiLevelType w:val="multilevel"/>
    <w:tmpl w:val="71ECC9BC"/>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BFE2B76"/>
    <w:multiLevelType w:val="hybridMultilevel"/>
    <w:tmpl w:val="2CFC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9B6459"/>
    <w:multiLevelType w:val="hybridMultilevel"/>
    <w:tmpl w:val="D054B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E4D2A11"/>
    <w:multiLevelType w:val="singleLevel"/>
    <w:tmpl w:val="00000000"/>
    <w:lvl w:ilvl="0">
      <w:start w:val="1"/>
      <w:numFmt w:val="decimal"/>
      <w:lvlRestart w:val="0"/>
      <w:lvlText w:val="%1."/>
      <w:lvlJc w:val="left"/>
      <w:pPr>
        <w:tabs>
          <w:tab w:val="num" w:pos="340"/>
        </w:tabs>
        <w:ind w:left="340" w:hanging="340"/>
      </w:pPr>
    </w:lvl>
  </w:abstractNum>
  <w:num w:numId="1">
    <w:abstractNumId w:val="0"/>
  </w:num>
  <w:num w:numId="2">
    <w:abstractNumId w:val="5"/>
  </w:num>
  <w:num w:numId="3">
    <w:abstractNumId w:val="2"/>
  </w:num>
  <w:num w:numId="4">
    <w:abstractNumId w:val="6"/>
  </w:num>
  <w:num w:numId="5">
    <w:abstractNumId w:val="9"/>
  </w:num>
  <w:num w:numId="6">
    <w:abstractNumId w:val="15"/>
  </w:num>
  <w:num w:numId="7">
    <w:abstractNumId w:val="1"/>
  </w:num>
  <w:num w:numId="8">
    <w:abstractNumId w:val="4"/>
  </w:num>
  <w:num w:numId="9">
    <w:abstractNumId w:val="7"/>
  </w:num>
  <w:num w:numId="10">
    <w:abstractNumId w:val="10"/>
  </w:num>
  <w:num w:numId="11">
    <w:abstractNumId w:val="14"/>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cumentProtection w:edit="comments" w:enforcement="0"/>
  <w:defaultTabStop w:val="720"/>
  <w:characterSpacingControl w:val="doNotCompress"/>
  <w:hdrShapeDefaults>
    <o:shapedefaults v:ext="edit" spidmax="126977"/>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9FFA8340-E992-4AA7-9C18-0BBA61D7282D"/>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United Kingdom 2018"/>
    <w:docVar w:name="LW_TYPE.DOC.CP" w:val="COMMISSION STAFF WORKING DOCUMENT"/>
    <w:docVar w:name="LW_TYPEACTEPRINCIPAL.CP" w:val="COMMUNICATION FROM THE COMMISSION TO THE EUROPEAN PARLIAMENT, THE COUNCIL, THE EUROPEAN CENTRAL BANK AND THE EUROGROUP"/>
  </w:docVars>
  <w:rsids>
    <w:rsidRoot w:val="00D329F2"/>
    <w:rsid w:val="008D7727"/>
    <w:rsid w:val="00D3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hAnsi="Times New Roman"/>
      <w:color w:val="000000"/>
      <w:sz w:val="16"/>
      <w:lang w:eastAsia="en-US"/>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lang w:eastAsia="en-US"/>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Char1,Ref,E..."/>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hAnsi="Times New Roman"/>
      <w:color w:val="00000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color w:val="000000"/>
      <w:lang w:eastAsia="en-US"/>
    </w:rPr>
  </w:style>
  <w:style w:type="paragraph" w:styleId="Revision">
    <w:name w:val="Revision"/>
    <w:hidden/>
    <w:uiPriority w:val="99"/>
    <w:semiHidden/>
    <w:rPr>
      <w:rFonts w:ascii="Times New Roman" w:hAnsi="Times New Roman"/>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uiPriority w:val="99"/>
    <w:rPr>
      <w:rFonts w:ascii="Times New Roman" w:hAnsi="Times New Roman"/>
      <w:color w:val="000000"/>
      <w:sz w:val="16"/>
      <w:lang w:eastAsia="en-US"/>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lang w:eastAsia="en-US"/>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shd w:val="clear" w:color="auto" w:fill="auto"/>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Title">
    <w:name w:val="Box Title"/>
    <w:basedOn w:val="Normal"/>
    <w:pPr>
      <w:spacing w:after="220"/>
      <w:ind w:right="85"/>
      <w:jc w:val="center"/>
      <w:outlineLvl w:val="6"/>
    </w:pPr>
    <w:rPr>
      <w:rFonts w:ascii="Century Gothic" w:eastAsia="Times New Roman" w:hAnsi="Century Gothic"/>
      <w:color w:val="333399"/>
      <w:sz w:val="18"/>
      <w:szCs w:val="24"/>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FootnoteReference">
    <w:name w:val="footnote reference"/>
    <w:aliases w:val="Footnote,Footnote symbol,Char1 Char Char Char Char,Footnote Reference/,EN Footnote Reference,Times 10 Point,Exposant 3 Point,Footnote reference number,note TESI,stylish,SUPERS,number,no...,Footnote Reference Superscript,Char1,Ref,E..."/>
    <w:link w:val="FootnotesymbolCarZchn"/>
    <w:uiPriority w:val="99"/>
    <w:unhideWhenUsed/>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customStyle="1" w:styleId="Default">
    <w:name w:val="Default"/>
    <w:pPr>
      <w:autoSpaceDE w:val="0"/>
      <w:autoSpaceDN w:val="0"/>
      <w:adjustRightInd w:val="0"/>
    </w:pPr>
    <w:rPr>
      <w:rFonts w:ascii="Times New Roman" w:eastAsiaTheme="minorHAnsi" w:hAnsi="Times New Roman"/>
      <w:color w:val="000000"/>
      <w:sz w:val="24"/>
      <w:szCs w:val="24"/>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Times New Roman" w:hAnsi="Times New Roman"/>
      <w:color w:val="000000"/>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color w:val="000000"/>
      <w:lang w:eastAsia="en-US"/>
    </w:rPr>
  </w:style>
  <w:style w:type="paragraph" w:styleId="Revision">
    <w:name w:val="Revision"/>
    <w:hidden/>
    <w:uiPriority w:val="99"/>
    <w:semiHidden/>
    <w:rPr>
      <w:rFonts w:ascii="Times New Roman" w:hAnsi="Times New Roman"/>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40.xml"/><Relationship Id="rId21" Type="http://schemas.openxmlformats.org/officeDocument/2006/relationships/footer" Target="footer6.xml"/><Relationship Id="rId42" Type="http://schemas.openxmlformats.org/officeDocument/2006/relationships/footer" Target="footer10.xml"/><Relationship Id="rId47" Type="http://schemas.openxmlformats.org/officeDocument/2006/relationships/image" Target="media/image15.emf"/><Relationship Id="rId63" Type="http://schemas.openxmlformats.org/officeDocument/2006/relationships/footer" Target="footer20.xml"/><Relationship Id="rId68" Type="http://schemas.openxmlformats.org/officeDocument/2006/relationships/image" Target="media/image18.emf"/><Relationship Id="rId84" Type="http://schemas.openxmlformats.org/officeDocument/2006/relationships/footer" Target="footer26.xml"/><Relationship Id="rId89" Type="http://schemas.openxmlformats.org/officeDocument/2006/relationships/footer" Target="footer28.xml"/><Relationship Id="rId112" Type="http://schemas.openxmlformats.org/officeDocument/2006/relationships/header" Target="header38.xml"/><Relationship Id="rId133" Type="http://schemas.openxmlformats.org/officeDocument/2006/relationships/header" Target="header47.xml"/><Relationship Id="rId138" Type="http://schemas.openxmlformats.org/officeDocument/2006/relationships/header" Target="header49.xml"/><Relationship Id="rId154" Type="http://schemas.openxmlformats.org/officeDocument/2006/relationships/footer" Target="footer56.xml"/><Relationship Id="rId159" Type="http://schemas.openxmlformats.org/officeDocument/2006/relationships/header" Target="header59.xml"/><Relationship Id="rId175" Type="http://schemas.openxmlformats.org/officeDocument/2006/relationships/footer" Target="footer63.xml"/><Relationship Id="rId170" Type="http://schemas.openxmlformats.org/officeDocument/2006/relationships/header" Target="header61.xml"/><Relationship Id="rId16" Type="http://schemas.openxmlformats.org/officeDocument/2006/relationships/header" Target="header4.xml"/><Relationship Id="rId107" Type="http://schemas.openxmlformats.org/officeDocument/2006/relationships/header" Target="header36.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image" Target="media/image11.emf"/><Relationship Id="rId53" Type="http://schemas.openxmlformats.org/officeDocument/2006/relationships/footer" Target="footer15.xml"/><Relationship Id="rId58" Type="http://schemas.openxmlformats.org/officeDocument/2006/relationships/header" Target="header18.xml"/><Relationship Id="rId74" Type="http://schemas.openxmlformats.org/officeDocument/2006/relationships/footer" Target="footer24.xml"/><Relationship Id="rId79" Type="http://schemas.openxmlformats.org/officeDocument/2006/relationships/image" Target="media/image23.emf"/><Relationship Id="rId102" Type="http://schemas.openxmlformats.org/officeDocument/2006/relationships/image" Target="media/image28.emf"/><Relationship Id="rId123" Type="http://schemas.openxmlformats.org/officeDocument/2006/relationships/image" Target="media/image31.emf"/><Relationship Id="rId128" Type="http://schemas.openxmlformats.org/officeDocument/2006/relationships/footer" Target="footer44.xml"/><Relationship Id="rId144" Type="http://schemas.openxmlformats.org/officeDocument/2006/relationships/image" Target="media/image34.emf"/><Relationship Id="rId149" Type="http://schemas.openxmlformats.org/officeDocument/2006/relationships/header" Target="header54.xml"/><Relationship Id="rId5" Type="http://schemas.openxmlformats.org/officeDocument/2006/relationships/settings" Target="settings.xml"/><Relationship Id="rId90" Type="http://schemas.openxmlformats.org/officeDocument/2006/relationships/footer" Target="footer29.xml"/><Relationship Id="rId95" Type="http://schemas.openxmlformats.org/officeDocument/2006/relationships/header" Target="header32.xml"/><Relationship Id="rId160" Type="http://schemas.openxmlformats.org/officeDocument/2006/relationships/footer" Target="footer58.xml"/><Relationship Id="rId165" Type="http://schemas.openxmlformats.org/officeDocument/2006/relationships/image" Target="media/image37.emf"/><Relationship Id="rId181" Type="http://schemas.openxmlformats.org/officeDocument/2006/relationships/footer" Target="footer66.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1.xml"/><Relationship Id="rId48" Type="http://schemas.openxmlformats.org/officeDocument/2006/relationships/header" Target="header13.xml"/><Relationship Id="rId64" Type="http://schemas.openxmlformats.org/officeDocument/2006/relationships/header" Target="header21.xml"/><Relationship Id="rId69" Type="http://schemas.openxmlformats.org/officeDocument/2006/relationships/header" Target="header22.xml"/><Relationship Id="rId113" Type="http://schemas.openxmlformats.org/officeDocument/2006/relationships/footer" Target="footer37.xml"/><Relationship Id="rId118" Type="http://schemas.openxmlformats.org/officeDocument/2006/relationships/header" Target="header41.xml"/><Relationship Id="rId134" Type="http://schemas.openxmlformats.org/officeDocument/2006/relationships/footer" Target="footer46.xml"/><Relationship Id="rId139" Type="http://schemas.openxmlformats.org/officeDocument/2006/relationships/header" Target="header50.xml"/><Relationship Id="rId80" Type="http://schemas.openxmlformats.org/officeDocument/2006/relationships/image" Target="media/image24.emf"/><Relationship Id="rId85" Type="http://schemas.openxmlformats.org/officeDocument/2006/relationships/header" Target="header27.xml"/><Relationship Id="rId150" Type="http://schemas.openxmlformats.org/officeDocument/2006/relationships/footer" Target="footer54.xml"/><Relationship Id="rId155" Type="http://schemas.openxmlformats.org/officeDocument/2006/relationships/header" Target="header57.xml"/><Relationship Id="rId171" Type="http://schemas.openxmlformats.org/officeDocument/2006/relationships/header" Target="header62.xml"/><Relationship Id="rId176" Type="http://schemas.openxmlformats.org/officeDocument/2006/relationships/header" Target="header64.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image" Target="media/image12.emf"/><Relationship Id="rId59" Type="http://schemas.openxmlformats.org/officeDocument/2006/relationships/footer" Target="footer18.xml"/><Relationship Id="rId103" Type="http://schemas.openxmlformats.org/officeDocument/2006/relationships/header" Target="header34.xml"/><Relationship Id="rId108" Type="http://schemas.openxmlformats.org/officeDocument/2006/relationships/footer" Target="footer36.xml"/><Relationship Id="rId124" Type="http://schemas.openxmlformats.org/officeDocument/2006/relationships/image" Target="media/image32.emf"/><Relationship Id="rId129" Type="http://schemas.openxmlformats.org/officeDocument/2006/relationships/header" Target="header45.xml"/><Relationship Id="rId54" Type="http://schemas.openxmlformats.org/officeDocument/2006/relationships/header" Target="header16.xml"/><Relationship Id="rId70" Type="http://schemas.openxmlformats.org/officeDocument/2006/relationships/header" Target="header23.xml"/><Relationship Id="rId75" Type="http://schemas.openxmlformats.org/officeDocument/2006/relationships/image" Target="media/image19.emf"/><Relationship Id="rId91" Type="http://schemas.openxmlformats.org/officeDocument/2006/relationships/header" Target="header30.xml"/><Relationship Id="rId96" Type="http://schemas.openxmlformats.org/officeDocument/2006/relationships/footer" Target="footer31.xml"/><Relationship Id="rId140" Type="http://schemas.openxmlformats.org/officeDocument/2006/relationships/footer" Target="footer49.xml"/><Relationship Id="rId145" Type="http://schemas.openxmlformats.org/officeDocument/2006/relationships/header" Target="header52.xml"/><Relationship Id="rId161" Type="http://schemas.openxmlformats.org/officeDocument/2006/relationships/footer" Target="footer59.xml"/><Relationship Id="rId166" Type="http://schemas.openxmlformats.org/officeDocument/2006/relationships/image" Target="media/image38.emf"/><Relationship Id="rId18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header" Target="header14.xml"/><Relationship Id="rId114" Type="http://schemas.openxmlformats.org/officeDocument/2006/relationships/footer" Target="footer38.xml"/><Relationship Id="rId119" Type="http://schemas.openxmlformats.org/officeDocument/2006/relationships/footer" Target="footer40.xml"/><Relationship Id="rId44" Type="http://schemas.openxmlformats.org/officeDocument/2006/relationships/header" Target="header12.xml"/><Relationship Id="rId60" Type="http://schemas.openxmlformats.org/officeDocument/2006/relationships/header" Target="header19.xml"/><Relationship Id="rId65" Type="http://schemas.openxmlformats.org/officeDocument/2006/relationships/footer" Target="footer21.xml"/><Relationship Id="rId81" Type="http://schemas.openxmlformats.org/officeDocument/2006/relationships/header" Target="header25.xml"/><Relationship Id="rId86" Type="http://schemas.openxmlformats.org/officeDocument/2006/relationships/footer" Target="footer27.xml"/><Relationship Id="rId130" Type="http://schemas.openxmlformats.org/officeDocument/2006/relationships/footer" Target="footer45.xml"/><Relationship Id="rId135" Type="http://schemas.openxmlformats.org/officeDocument/2006/relationships/footer" Target="footer47.xml"/><Relationship Id="rId151" Type="http://schemas.openxmlformats.org/officeDocument/2006/relationships/header" Target="header55.xml"/><Relationship Id="rId156" Type="http://schemas.openxmlformats.org/officeDocument/2006/relationships/footer" Target="footer57.xml"/><Relationship Id="rId177" Type="http://schemas.openxmlformats.org/officeDocument/2006/relationships/header" Target="header65.xml"/><Relationship Id="rId4" Type="http://schemas.microsoft.com/office/2007/relationships/stylesWithEffects" Target="stylesWithEffects.xml"/><Relationship Id="rId9" Type="http://schemas.openxmlformats.org/officeDocument/2006/relationships/image" Target="media/image1.emf"/><Relationship Id="rId172" Type="http://schemas.openxmlformats.org/officeDocument/2006/relationships/footer" Target="footer61.xml"/><Relationship Id="rId180" Type="http://schemas.openxmlformats.org/officeDocument/2006/relationships/header" Target="header66.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3.emf"/><Relationship Id="rId109" Type="http://schemas.openxmlformats.org/officeDocument/2006/relationships/image" Target="media/image29.emf"/><Relationship Id="rId34" Type="http://schemas.openxmlformats.org/officeDocument/2006/relationships/image" Target="media/image8.emf"/><Relationship Id="rId50" Type="http://schemas.openxmlformats.org/officeDocument/2006/relationships/footer" Target="footer13.xml"/><Relationship Id="rId55" Type="http://schemas.openxmlformats.org/officeDocument/2006/relationships/header" Target="header17.xml"/><Relationship Id="rId76" Type="http://schemas.openxmlformats.org/officeDocument/2006/relationships/image" Target="media/image20.emf"/><Relationship Id="rId97" Type="http://schemas.openxmlformats.org/officeDocument/2006/relationships/footer" Target="footer32.xml"/><Relationship Id="rId104" Type="http://schemas.openxmlformats.org/officeDocument/2006/relationships/header" Target="header35.xml"/><Relationship Id="rId120" Type="http://schemas.openxmlformats.org/officeDocument/2006/relationships/footer" Target="footer41.xml"/><Relationship Id="rId125" Type="http://schemas.openxmlformats.org/officeDocument/2006/relationships/header" Target="header43.xml"/><Relationship Id="rId141" Type="http://schemas.openxmlformats.org/officeDocument/2006/relationships/footer" Target="footer50.xml"/><Relationship Id="rId146" Type="http://schemas.openxmlformats.org/officeDocument/2006/relationships/header" Target="header53.xml"/><Relationship Id="rId167" Type="http://schemas.openxmlformats.org/officeDocument/2006/relationships/image" Target="media/image39.emf"/><Relationship Id="rId7" Type="http://schemas.openxmlformats.org/officeDocument/2006/relationships/footnotes" Target="footnotes.xml"/><Relationship Id="rId71" Type="http://schemas.openxmlformats.org/officeDocument/2006/relationships/footer" Target="footer22.xml"/><Relationship Id="rId92" Type="http://schemas.openxmlformats.org/officeDocument/2006/relationships/footer" Target="footer30.xml"/><Relationship Id="rId162" Type="http://schemas.openxmlformats.org/officeDocument/2006/relationships/header" Target="header60.xml"/><Relationship Id="rId183"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header" Target="header10.xml"/><Relationship Id="rId45" Type="http://schemas.openxmlformats.org/officeDocument/2006/relationships/footer" Target="footer12.xml"/><Relationship Id="rId66" Type="http://schemas.openxmlformats.org/officeDocument/2006/relationships/image" Target="media/image16.emf"/><Relationship Id="rId87" Type="http://schemas.openxmlformats.org/officeDocument/2006/relationships/header" Target="header28.xml"/><Relationship Id="rId110" Type="http://schemas.openxmlformats.org/officeDocument/2006/relationships/image" Target="media/image30.emf"/><Relationship Id="rId115" Type="http://schemas.openxmlformats.org/officeDocument/2006/relationships/header" Target="header39.xml"/><Relationship Id="rId131" Type="http://schemas.openxmlformats.org/officeDocument/2006/relationships/image" Target="media/image33.emf"/><Relationship Id="rId136" Type="http://schemas.openxmlformats.org/officeDocument/2006/relationships/header" Target="header48.xml"/><Relationship Id="rId157" Type="http://schemas.openxmlformats.org/officeDocument/2006/relationships/image" Target="media/image35.emf"/><Relationship Id="rId178" Type="http://schemas.openxmlformats.org/officeDocument/2006/relationships/footer" Target="footer64.xml"/><Relationship Id="rId61" Type="http://schemas.openxmlformats.org/officeDocument/2006/relationships/header" Target="header20.xml"/><Relationship Id="rId82" Type="http://schemas.openxmlformats.org/officeDocument/2006/relationships/header" Target="header26.xml"/><Relationship Id="rId152" Type="http://schemas.openxmlformats.org/officeDocument/2006/relationships/header" Target="header56.xml"/><Relationship Id="rId173" Type="http://schemas.openxmlformats.org/officeDocument/2006/relationships/footer" Target="footer62.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6.xml"/><Relationship Id="rId77" Type="http://schemas.openxmlformats.org/officeDocument/2006/relationships/image" Target="media/image21.emf"/><Relationship Id="rId100" Type="http://schemas.openxmlformats.org/officeDocument/2006/relationships/image" Target="media/image26.emf"/><Relationship Id="rId105" Type="http://schemas.openxmlformats.org/officeDocument/2006/relationships/footer" Target="footer34.xml"/><Relationship Id="rId126" Type="http://schemas.openxmlformats.org/officeDocument/2006/relationships/header" Target="header44.xml"/><Relationship Id="rId147" Type="http://schemas.openxmlformats.org/officeDocument/2006/relationships/footer" Target="footer52.xml"/><Relationship Id="rId168" Type="http://schemas.openxmlformats.org/officeDocument/2006/relationships/image" Target="media/image40.emf"/><Relationship Id="rId8" Type="http://schemas.openxmlformats.org/officeDocument/2006/relationships/endnotes" Target="endnotes.xml"/><Relationship Id="rId51" Type="http://schemas.openxmlformats.org/officeDocument/2006/relationships/footer" Target="footer14.xml"/><Relationship Id="rId72" Type="http://schemas.openxmlformats.org/officeDocument/2006/relationships/footer" Target="footer23.xml"/><Relationship Id="rId93" Type="http://schemas.openxmlformats.org/officeDocument/2006/relationships/image" Target="media/image25.emf"/><Relationship Id="rId98" Type="http://schemas.openxmlformats.org/officeDocument/2006/relationships/header" Target="header33.xml"/><Relationship Id="rId121" Type="http://schemas.openxmlformats.org/officeDocument/2006/relationships/header" Target="header42.xml"/><Relationship Id="rId142" Type="http://schemas.openxmlformats.org/officeDocument/2006/relationships/header" Target="header51.xml"/><Relationship Id="rId163" Type="http://schemas.openxmlformats.org/officeDocument/2006/relationships/footer" Target="footer60.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image" Target="media/image14.emf"/><Relationship Id="rId67" Type="http://schemas.openxmlformats.org/officeDocument/2006/relationships/image" Target="media/image17.emf"/><Relationship Id="rId116" Type="http://schemas.openxmlformats.org/officeDocument/2006/relationships/footer" Target="footer39.xml"/><Relationship Id="rId137" Type="http://schemas.openxmlformats.org/officeDocument/2006/relationships/footer" Target="footer48.xml"/><Relationship Id="rId158" Type="http://schemas.openxmlformats.org/officeDocument/2006/relationships/header" Target="header58.xml"/><Relationship Id="rId20" Type="http://schemas.openxmlformats.org/officeDocument/2006/relationships/header" Target="header6.xml"/><Relationship Id="rId41" Type="http://schemas.openxmlformats.org/officeDocument/2006/relationships/header" Target="header11.xml"/><Relationship Id="rId62" Type="http://schemas.openxmlformats.org/officeDocument/2006/relationships/footer" Target="footer19.xml"/><Relationship Id="rId83" Type="http://schemas.openxmlformats.org/officeDocument/2006/relationships/footer" Target="footer25.xml"/><Relationship Id="rId88" Type="http://schemas.openxmlformats.org/officeDocument/2006/relationships/header" Target="header29.xml"/><Relationship Id="rId111" Type="http://schemas.openxmlformats.org/officeDocument/2006/relationships/header" Target="header37.xml"/><Relationship Id="rId132" Type="http://schemas.openxmlformats.org/officeDocument/2006/relationships/header" Target="header46.xml"/><Relationship Id="rId153" Type="http://schemas.openxmlformats.org/officeDocument/2006/relationships/footer" Target="footer55.xml"/><Relationship Id="rId174" Type="http://schemas.openxmlformats.org/officeDocument/2006/relationships/header" Target="header63.xml"/><Relationship Id="rId179" Type="http://schemas.openxmlformats.org/officeDocument/2006/relationships/footer" Target="footer65.xm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7.xml"/><Relationship Id="rId106" Type="http://schemas.openxmlformats.org/officeDocument/2006/relationships/footer" Target="footer35.xml"/><Relationship Id="rId127" Type="http://schemas.openxmlformats.org/officeDocument/2006/relationships/footer" Target="footer43.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5.xml"/><Relationship Id="rId73" Type="http://schemas.openxmlformats.org/officeDocument/2006/relationships/header" Target="header24.xml"/><Relationship Id="rId78" Type="http://schemas.openxmlformats.org/officeDocument/2006/relationships/image" Target="media/image22.emf"/><Relationship Id="rId94" Type="http://schemas.openxmlformats.org/officeDocument/2006/relationships/header" Target="header31.xml"/><Relationship Id="rId99" Type="http://schemas.openxmlformats.org/officeDocument/2006/relationships/footer" Target="footer33.xml"/><Relationship Id="rId101" Type="http://schemas.openxmlformats.org/officeDocument/2006/relationships/image" Target="media/image27.emf"/><Relationship Id="rId122" Type="http://schemas.openxmlformats.org/officeDocument/2006/relationships/footer" Target="footer42.xml"/><Relationship Id="rId143" Type="http://schemas.openxmlformats.org/officeDocument/2006/relationships/footer" Target="footer51.xml"/><Relationship Id="rId148" Type="http://schemas.openxmlformats.org/officeDocument/2006/relationships/footer" Target="footer53.xml"/><Relationship Id="rId164" Type="http://schemas.openxmlformats.org/officeDocument/2006/relationships/image" Target="media/image36.emf"/><Relationship Id="rId169" Type="http://schemas.openxmlformats.org/officeDocument/2006/relationships/image" Target="media/image41.emf"/></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teaching-and-leadership-innovation-f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3346F-A2C0-455E-86E7-C3F35E703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25919</Words>
  <Characters>140485</Characters>
  <Application>Microsoft Office Word</Application>
  <DocSecurity>0</DocSecurity>
  <Lines>3512</Lines>
  <Paragraphs>684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17</cp:revision>
  <cp:lastPrinted>2018-02-26T13:30:00Z</cp:lastPrinted>
  <dcterms:created xsi:type="dcterms:W3CDTF">2018-03-05T15:04:00Z</dcterms:created>
  <dcterms:modified xsi:type="dcterms:W3CDTF">2018-03-06T18:13:00Z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