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807" w:rsidRDefault="0005641F" w:rsidP="0005641F">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04029637-B36E-417E-847D-8D1C3469007B" style="width:450.85pt;height:485.15pt">
            <v:imagedata r:id="rId9" o:title=""/>
          </v:shape>
        </w:pict>
      </w:r>
    </w:p>
    <w:bookmarkEnd w:id="0"/>
    <w:p w:rsidR="00DC4807" w:rsidRDefault="00DC4807">
      <w:pPr>
        <w:rPr>
          <w:noProof/>
        </w:rPr>
        <w:sectPr w:rsidR="00DC4807" w:rsidSect="0005641F">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DC4807" w:rsidRDefault="0005641F">
      <w:pPr>
        <w:pStyle w:val="SectionTitleFramed1"/>
        <w:framePr w:wrap="notBeside"/>
        <w:rPr>
          <w:noProof/>
        </w:rPr>
      </w:pPr>
      <w:bookmarkStart w:id="1" w:name="_GoBack"/>
      <w:bookmarkEnd w:id="1"/>
      <w:r>
        <w:rPr>
          <w:noProof/>
        </w:rPr>
        <w:lastRenderedPageBreak/>
        <w:t>Contents</w:t>
      </w:r>
    </w:p>
    <w:p w:rsidR="00DC4807" w:rsidRDefault="0005641F">
      <w:pPr>
        <w:pStyle w:val="TOC2"/>
        <w:rPr>
          <w:rFonts w:eastAsiaTheme="minorEastAsia"/>
          <w:noProof/>
        </w:rPr>
      </w:pPr>
      <w:r>
        <w:rPr>
          <w:noProof/>
        </w:rPr>
        <w:fldChar w:fldCharType="begin"/>
      </w:r>
      <w:r>
        <w:rPr>
          <w:noProof/>
        </w:rPr>
        <w:instrText xml:space="preserve"> TOC \o "1-4" \h \z </w:instrText>
      </w:r>
      <w:r>
        <w:rPr>
          <w:noProof/>
        </w:rPr>
        <w:fldChar w:fldCharType="separate"/>
      </w:r>
      <w:hyperlink w:anchor="_Toc507233684" w:history="1">
        <w:r>
          <w:rPr>
            <w:noProof/>
          </w:rPr>
          <w:t>Executive summary</w:t>
        </w:r>
        <w:r>
          <w:rPr>
            <w:noProof/>
            <w:webHidden/>
          </w:rPr>
          <w:tab/>
        </w:r>
        <w:r>
          <w:rPr>
            <w:noProof/>
            <w:webHidden/>
          </w:rPr>
          <w:fldChar w:fldCharType="begin"/>
        </w:r>
        <w:r>
          <w:rPr>
            <w:noProof/>
            <w:webHidden/>
          </w:rPr>
          <w:instrText xml:space="preserve"> PAGEREF _Toc507233684 \h </w:instrText>
        </w:r>
        <w:r>
          <w:rPr>
            <w:noProof/>
            <w:webHidden/>
          </w:rPr>
        </w:r>
        <w:r>
          <w:rPr>
            <w:noProof/>
            <w:webHidden/>
          </w:rPr>
          <w:fldChar w:fldCharType="separate"/>
        </w:r>
        <w:r>
          <w:rPr>
            <w:noProof/>
            <w:webHidden/>
          </w:rPr>
          <w:t>1</w:t>
        </w:r>
        <w:r>
          <w:rPr>
            <w:noProof/>
            <w:webHidden/>
          </w:rPr>
          <w:fldChar w:fldCharType="end"/>
        </w:r>
      </w:hyperlink>
    </w:p>
    <w:p w:rsidR="00DC4807" w:rsidRDefault="0005641F">
      <w:pPr>
        <w:pStyle w:val="TOC2"/>
        <w:rPr>
          <w:rFonts w:eastAsiaTheme="minorEastAsia"/>
          <w:noProof/>
        </w:rPr>
      </w:pPr>
      <w:hyperlink w:anchor="_Toc507233685" w:history="1">
        <w:r>
          <w:rPr>
            <w:noProof/>
          </w:rPr>
          <w:t>1.</w:t>
        </w:r>
        <w:r>
          <w:rPr>
            <w:rFonts w:eastAsiaTheme="minorEastAsia"/>
            <w:noProof/>
          </w:rPr>
          <w:tab/>
        </w:r>
        <w:r>
          <w:rPr>
            <w:noProof/>
          </w:rPr>
          <w:t>Economic situation and outlook</w:t>
        </w:r>
        <w:r>
          <w:rPr>
            <w:noProof/>
            <w:webHidden/>
          </w:rPr>
          <w:tab/>
        </w:r>
        <w:r>
          <w:rPr>
            <w:noProof/>
            <w:webHidden/>
          </w:rPr>
          <w:fldChar w:fldCharType="begin"/>
        </w:r>
        <w:r>
          <w:rPr>
            <w:noProof/>
            <w:webHidden/>
          </w:rPr>
          <w:instrText xml:space="preserve"> PAGEREF _Toc507233685 \h </w:instrText>
        </w:r>
        <w:r>
          <w:rPr>
            <w:noProof/>
            <w:webHidden/>
          </w:rPr>
        </w:r>
        <w:r>
          <w:rPr>
            <w:noProof/>
            <w:webHidden/>
          </w:rPr>
          <w:fldChar w:fldCharType="separate"/>
        </w:r>
        <w:r>
          <w:rPr>
            <w:noProof/>
            <w:webHidden/>
          </w:rPr>
          <w:t>5</w:t>
        </w:r>
        <w:r>
          <w:rPr>
            <w:noProof/>
            <w:webHidden/>
          </w:rPr>
          <w:fldChar w:fldCharType="end"/>
        </w:r>
      </w:hyperlink>
    </w:p>
    <w:p w:rsidR="00DC4807" w:rsidRDefault="0005641F">
      <w:pPr>
        <w:pStyle w:val="TOC2"/>
        <w:rPr>
          <w:rFonts w:eastAsiaTheme="minorEastAsia"/>
          <w:noProof/>
        </w:rPr>
      </w:pPr>
      <w:hyperlink w:anchor="_Toc507233686" w:history="1">
        <w:r>
          <w:rPr>
            <w:noProof/>
          </w:rPr>
          <w:t>2.</w:t>
        </w:r>
        <w:r>
          <w:rPr>
            <w:rFonts w:eastAsiaTheme="minorEastAsia"/>
            <w:noProof/>
          </w:rPr>
          <w:tab/>
        </w:r>
        <w:r>
          <w:rPr>
            <w:noProof/>
          </w:rPr>
          <w:t>Progress with country-specific recommendations</w:t>
        </w:r>
        <w:r>
          <w:rPr>
            <w:noProof/>
            <w:webHidden/>
          </w:rPr>
          <w:tab/>
        </w:r>
        <w:r>
          <w:rPr>
            <w:noProof/>
            <w:webHidden/>
          </w:rPr>
          <w:fldChar w:fldCharType="begin"/>
        </w:r>
        <w:r>
          <w:rPr>
            <w:noProof/>
            <w:webHidden/>
          </w:rPr>
          <w:instrText xml:space="preserve"> PAGEREF _Toc507233686 \h </w:instrText>
        </w:r>
        <w:r>
          <w:rPr>
            <w:noProof/>
            <w:webHidden/>
          </w:rPr>
        </w:r>
        <w:r>
          <w:rPr>
            <w:noProof/>
            <w:webHidden/>
          </w:rPr>
          <w:fldChar w:fldCharType="separate"/>
        </w:r>
        <w:r>
          <w:rPr>
            <w:noProof/>
            <w:webHidden/>
          </w:rPr>
          <w:t>10</w:t>
        </w:r>
        <w:r>
          <w:rPr>
            <w:noProof/>
            <w:webHidden/>
          </w:rPr>
          <w:fldChar w:fldCharType="end"/>
        </w:r>
      </w:hyperlink>
    </w:p>
    <w:p w:rsidR="00DC4807" w:rsidRDefault="0005641F">
      <w:pPr>
        <w:pStyle w:val="TOC2"/>
        <w:rPr>
          <w:rFonts w:eastAsiaTheme="minorEastAsia"/>
          <w:noProof/>
        </w:rPr>
      </w:pPr>
      <w:hyperlink w:anchor="_Toc507233687" w:history="1">
        <w:r>
          <w:rPr>
            <w:noProof/>
          </w:rPr>
          <w:t>3.</w:t>
        </w:r>
        <w:r>
          <w:rPr>
            <w:rFonts w:eastAsiaTheme="minorEastAsia"/>
            <w:noProof/>
          </w:rPr>
          <w:tab/>
        </w:r>
        <w:r>
          <w:rPr>
            <w:noProof/>
          </w:rPr>
          <w:t>Summary of the main findings from the Macroeconomic Imbalance Procedu</w:t>
        </w:r>
        <w:r>
          <w:rPr>
            <w:noProof/>
          </w:rPr>
          <w:t>re in-depth review</w:t>
        </w:r>
        <w:r>
          <w:rPr>
            <w:noProof/>
            <w:webHidden/>
          </w:rPr>
          <w:tab/>
        </w:r>
        <w:r>
          <w:rPr>
            <w:noProof/>
            <w:webHidden/>
          </w:rPr>
          <w:fldChar w:fldCharType="begin"/>
        </w:r>
        <w:r>
          <w:rPr>
            <w:noProof/>
            <w:webHidden/>
          </w:rPr>
          <w:instrText xml:space="preserve"> PAGEREF _Toc507233687 \h </w:instrText>
        </w:r>
        <w:r>
          <w:rPr>
            <w:noProof/>
            <w:webHidden/>
          </w:rPr>
        </w:r>
        <w:r>
          <w:rPr>
            <w:noProof/>
            <w:webHidden/>
          </w:rPr>
          <w:fldChar w:fldCharType="separate"/>
        </w:r>
        <w:r>
          <w:rPr>
            <w:noProof/>
            <w:webHidden/>
          </w:rPr>
          <w:t>14</w:t>
        </w:r>
        <w:r>
          <w:rPr>
            <w:noProof/>
            <w:webHidden/>
          </w:rPr>
          <w:fldChar w:fldCharType="end"/>
        </w:r>
      </w:hyperlink>
    </w:p>
    <w:p w:rsidR="00DC4807" w:rsidRDefault="0005641F">
      <w:pPr>
        <w:pStyle w:val="TOC3"/>
        <w:rPr>
          <w:rFonts w:eastAsiaTheme="minorEastAsia"/>
          <w:noProof/>
        </w:rPr>
      </w:pPr>
      <w:hyperlink w:anchor="_Toc507233688" w:history="1">
        <w:r>
          <w:rPr>
            <w:noProof/>
          </w:rPr>
          <w:t>3.1.</w:t>
        </w:r>
        <w:r>
          <w:rPr>
            <w:rFonts w:eastAsiaTheme="minorEastAsia"/>
            <w:noProof/>
          </w:rPr>
          <w:tab/>
        </w:r>
        <w:r>
          <w:rPr>
            <w:noProof/>
          </w:rPr>
          <w:t>Imbalances and their gravity</w:t>
        </w:r>
        <w:r>
          <w:rPr>
            <w:noProof/>
            <w:webHidden/>
          </w:rPr>
          <w:tab/>
        </w:r>
        <w:r>
          <w:rPr>
            <w:noProof/>
            <w:webHidden/>
          </w:rPr>
          <w:fldChar w:fldCharType="begin"/>
        </w:r>
        <w:r>
          <w:rPr>
            <w:noProof/>
            <w:webHidden/>
          </w:rPr>
          <w:instrText xml:space="preserve"> PAGEREF _Toc507233688 \h </w:instrText>
        </w:r>
        <w:r>
          <w:rPr>
            <w:noProof/>
            <w:webHidden/>
          </w:rPr>
        </w:r>
        <w:r>
          <w:rPr>
            <w:noProof/>
            <w:webHidden/>
          </w:rPr>
          <w:fldChar w:fldCharType="separate"/>
        </w:r>
        <w:r>
          <w:rPr>
            <w:noProof/>
            <w:webHidden/>
          </w:rPr>
          <w:t>14</w:t>
        </w:r>
        <w:r>
          <w:rPr>
            <w:noProof/>
            <w:webHidden/>
          </w:rPr>
          <w:fldChar w:fldCharType="end"/>
        </w:r>
      </w:hyperlink>
    </w:p>
    <w:p w:rsidR="00DC4807" w:rsidRDefault="0005641F">
      <w:pPr>
        <w:pStyle w:val="TOC3"/>
        <w:rPr>
          <w:rFonts w:eastAsiaTheme="minorEastAsia"/>
          <w:noProof/>
        </w:rPr>
      </w:pPr>
      <w:hyperlink w:anchor="_Toc507233689" w:history="1">
        <w:r>
          <w:rPr>
            <w:noProof/>
          </w:rPr>
          <w:t>3.2.</w:t>
        </w:r>
        <w:r>
          <w:rPr>
            <w:rFonts w:eastAsiaTheme="minorEastAsia"/>
            <w:noProof/>
          </w:rPr>
          <w:tab/>
        </w:r>
        <w:r>
          <w:rPr>
            <w:noProof/>
          </w:rPr>
          <w:t>Evolution, prospects and policy responses</w:t>
        </w:r>
        <w:r>
          <w:rPr>
            <w:noProof/>
            <w:webHidden/>
          </w:rPr>
          <w:tab/>
        </w:r>
        <w:r>
          <w:rPr>
            <w:noProof/>
            <w:webHidden/>
          </w:rPr>
          <w:fldChar w:fldCharType="begin"/>
        </w:r>
        <w:r>
          <w:rPr>
            <w:noProof/>
            <w:webHidden/>
          </w:rPr>
          <w:instrText xml:space="preserve"> PAGEREF _Toc507233689 \h </w:instrText>
        </w:r>
        <w:r>
          <w:rPr>
            <w:noProof/>
            <w:webHidden/>
          </w:rPr>
        </w:r>
        <w:r>
          <w:rPr>
            <w:noProof/>
            <w:webHidden/>
          </w:rPr>
          <w:fldChar w:fldCharType="separate"/>
        </w:r>
        <w:r>
          <w:rPr>
            <w:noProof/>
            <w:webHidden/>
          </w:rPr>
          <w:t>15</w:t>
        </w:r>
        <w:r>
          <w:rPr>
            <w:noProof/>
            <w:webHidden/>
          </w:rPr>
          <w:fldChar w:fldCharType="end"/>
        </w:r>
      </w:hyperlink>
    </w:p>
    <w:p w:rsidR="00DC4807" w:rsidRDefault="0005641F">
      <w:pPr>
        <w:pStyle w:val="TOC3"/>
        <w:rPr>
          <w:rFonts w:eastAsiaTheme="minorEastAsia"/>
          <w:noProof/>
        </w:rPr>
      </w:pPr>
      <w:hyperlink w:anchor="_Toc507233690" w:history="1">
        <w:r>
          <w:rPr>
            <w:noProof/>
          </w:rPr>
          <w:t>3.3.</w:t>
        </w:r>
        <w:r>
          <w:rPr>
            <w:rFonts w:eastAsiaTheme="minorEastAsia"/>
            <w:noProof/>
          </w:rPr>
          <w:tab/>
        </w:r>
        <w:r>
          <w:rPr>
            <w:noProof/>
          </w:rPr>
          <w:t>Overall assessment</w:t>
        </w:r>
        <w:r>
          <w:rPr>
            <w:noProof/>
            <w:webHidden/>
          </w:rPr>
          <w:tab/>
        </w:r>
        <w:r>
          <w:rPr>
            <w:noProof/>
            <w:webHidden/>
          </w:rPr>
          <w:fldChar w:fldCharType="begin"/>
        </w:r>
        <w:r>
          <w:rPr>
            <w:noProof/>
            <w:webHidden/>
          </w:rPr>
          <w:instrText xml:space="preserve"> PAGEREF _Toc507233690 \h </w:instrText>
        </w:r>
        <w:r>
          <w:rPr>
            <w:noProof/>
            <w:webHidden/>
          </w:rPr>
        </w:r>
        <w:r>
          <w:rPr>
            <w:noProof/>
            <w:webHidden/>
          </w:rPr>
          <w:fldChar w:fldCharType="separate"/>
        </w:r>
        <w:r>
          <w:rPr>
            <w:noProof/>
            <w:webHidden/>
          </w:rPr>
          <w:t>15</w:t>
        </w:r>
        <w:r>
          <w:rPr>
            <w:noProof/>
            <w:webHidden/>
          </w:rPr>
          <w:fldChar w:fldCharType="end"/>
        </w:r>
      </w:hyperlink>
    </w:p>
    <w:p w:rsidR="00DC4807" w:rsidRDefault="0005641F">
      <w:pPr>
        <w:pStyle w:val="TOC2"/>
        <w:rPr>
          <w:rFonts w:eastAsiaTheme="minorEastAsia"/>
          <w:noProof/>
        </w:rPr>
      </w:pPr>
      <w:hyperlink w:anchor="_Toc507233691" w:history="1">
        <w:r>
          <w:rPr>
            <w:noProof/>
          </w:rPr>
          <w:t>4.</w:t>
        </w:r>
        <w:r>
          <w:rPr>
            <w:rFonts w:eastAsiaTheme="minorEastAsia"/>
            <w:noProof/>
          </w:rPr>
          <w:tab/>
        </w:r>
        <w:r>
          <w:rPr>
            <w:noProof/>
          </w:rPr>
          <w:t>Reform priorities</w:t>
        </w:r>
        <w:r>
          <w:rPr>
            <w:noProof/>
            <w:webHidden/>
          </w:rPr>
          <w:tab/>
        </w:r>
        <w:r>
          <w:rPr>
            <w:noProof/>
            <w:webHidden/>
          </w:rPr>
          <w:fldChar w:fldCharType="begin"/>
        </w:r>
        <w:r>
          <w:rPr>
            <w:noProof/>
            <w:webHidden/>
          </w:rPr>
          <w:instrText xml:space="preserve"> PAGEREF _Toc507233691 \h </w:instrText>
        </w:r>
        <w:r>
          <w:rPr>
            <w:noProof/>
            <w:webHidden/>
          </w:rPr>
        </w:r>
        <w:r>
          <w:rPr>
            <w:noProof/>
            <w:webHidden/>
          </w:rPr>
          <w:fldChar w:fldCharType="separate"/>
        </w:r>
        <w:r>
          <w:rPr>
            <w:noProof/>
            <w:webHidden/>
          </w:rPr>
          <w:t>19</w:t>
        </w:r>
        <w:r>
          <w:rPr>
            <w:noProof/>
            <w:webHidden/>
          </w:rPr>
          <w:fldChar w:fldCharType="end"/>
        </w:r>
      </w:hyperlink>
    </w:p>
    <w:p w:rsidR="00DC4807" w:rsidRDefault="0005641F">
      <w:pPr>
        <w:pStyle w:val="TOC3"/>
        <w:rPr>
          <w:rFonts w:eastAsiaTheme="minorEastAsia"/>
          <w:noProof/>
        </w:rPr>
      </w:pPr>
      <w:hyperlink w:anchor="_Toc507233692" w:history="1">
        <w:r>
          <w:rPr>
            <w:noProof/>
          </w:rPr>
          <w:t>4.1.</w:t>
        </w:r>
        <w:r>
          <w:rPr>
            <w:rFonts w:eastAsiaTheme="minorEastAsia"/>
            <w:noProof/>
          </w:rPr>
          <w:tab/>
        </w:r>
        <w:r>
          <w:rPr>
            <w:noProof/>
          </w:rPr>
          <w:t>Public finances and t</w:t>
        </w:r>
        <w:r>
          <w:rPr>
            <w:noProof/>
          </w:rPr>
          <w:t>axation</w:t>
        </w:r>
        <w:r>
          <w:rPr>
            <w:noProof/>
            <w:webHidden/>
          </w:rPr>
          <w:tab/>
        </w:r>
        <w:r>
          <w:rPr>
            <w:noProof/>
            <w:webHidden/>
          </w:rPr>
          <w:fldChar w:fldCharType="begin"/>
        </w:r>
        <w:r>
          <w:rPr>
            <w:noProof/>
            <w:webHidden/>
          </w:rPr>
          <w:instrText xml:space="preserve"> PAGEREF _Toc507233692 \h </w:instrText>
        </w:r>
        <w:r>
          <w:rPr>
            <w:noProof/>
            <w:webHidden/>
          </w:rPr>
        </w:r>
        <w:r>
          <w:rPr>
            <w:noProof/>
            <w:webHidden/>
          </w:rPr>
          <w:fldChar w:fldCharType="separate"/>
        </w:r>
        <w:r>
          <w:rPr>
            <w:noProof/>
            <w:webHidden/>
          </w:rPr>
          <w:t>19</w:t>
        </w:r>
        <w:r>
          <w:rPr>
            <w:noProof/>
            <w:webHidden/>
          </w:rPr>
          <w:fldChar w:fldCharType="end"/>
        </w:r>
      </w:hyperlink>
    </w:p>
    <w:p w:rsidR="00DC4807" w:rsidRDefault="0005641F">
      <w:pPr>
        <w:pStyle w:val="TOC3"/>
        <w:rPr>
          <w:rFonts w:eastAsiaTheme="minorEastAsia"/>
          <w:noProof/>
        </w:rPr>
      </w:pPr>
      <w:hyperlink w:anchor="_Toc507233693" w:history="1">
        <w:r>
          <w:rPr>
            <w:noProof/>
          </w:rPr>
          <w:t>4.2.</w:t>
        </w:r>
        <w:r>
          <w:rPr>
            <w:rFonts w:eastAsiaTheme="minorEastAsia"/>
            <w:noProof/>
          </w:rPr>
          <w:tab/>
        </w:r>
        <w:r>
          <w:rPr>
            <w:noProof/>
          </w:rPr>
          <w:t>Financial sector</w:t>
        </w:r>
        <w:r>
          <w:rPr>
            <w:noProof/>
            <w:webHidden/>
          </w:rPr>
          <w:tab/>
        </w:r>
        <w:r>
          <w:rPr>
            <w:noProof/>
            <w:webHidden/>
          </w:rPr>
          <w:fldChar w:fldCharType="begin"/>
        </w:r>
        <w:r>
          <w:rPr>
            <w:noProof/>
            <w:webHidden/>
          </w:rPr>
          <w:instrText xml:space="preserve"> PAGEREF _Toc507233693 \h </w:instrText>
        </w:r>
        <w:r>
          <w:rPr>
            <w:noProof/>
            <w:webHidden/>
          </w:rPr>
        </w:r>
        <w:r>
          <w:rPr>
            <w:noProof/>
            <w:webHidden/>
          </w:rPr>
          <w:fldChar w:fldCharType="separate"/>
        </w:r>
        <w:r>
          <w:rPr>
            <w:noProof/>
            <w:webHidden/>
          </w:rPr>
          <w:t>22</w:t>
        </w:r>
        <w:r>
          <w:rPr>
            <w:noProof/>
            <w:webHidden/>
          </w:rPr>
          <w:fldChar w:fldCharType="end"/>
        </w:r>
      </w:hyperlink>
    </w:p>
    <w:p w:rsidR="00DC4807" w:rsidRDefault="0005641F">
      <w:pPr>
        <w:pStyle w:val="TOC3"/>
        <w:rPr>
          <w:rFonts w:eastAsiaTheme="minorEastAsia"/>
          <w:noProof/>
        </w:rPr>
      </w:pPr>
      <w:hyperlink w:anchor="_Toc507233694" w:history="1">
        <w:r>
          <w:rPr>
            <w:noProof/>
          </w:rPr>
          <w:t>4.3.</w:t>
        </w:r>
        <w:r>
          <w:rPr>
            <w:rFonts w:eastAsiaTheme="minorEastAsia"/>
            <w:noProof/>
          </w:rPr>
          <w:tab/>
        </w:r>
        <w:r>
          <w:rPr>
            <w:noProof/>
          </w:rPr>
          <w:t>Labour market, education and social policies</w:t>
        </w:r>
        <w:r>
          <w:rPr>
            <w:noProof/>
            <w:webHidden/>
          </w:rPr>
          <w:tab/>
        </w:r>
        <w:r>
          <w:rPr>
            <w:noProof/>
            <w:webHidden/>
          </w:rPr>
          <w:fldChar w:fldCharType="begin"/>
        </w:r>
        <w:r>
          <w:rPr>
            <w:noProof/>
            <w:webHidden/>
          </w:rPr>
          <w:instrText xml:space="preserve"> PAGEREF _Toc507233694 \h </w:instrText>
        </w:r>
        <w:r>
          <w:rPr>
            <w:noProof/>
            <w:webHidden/>
          </w:rPr>
        </w:r>
        <w:r>
          <w:rPr>
            <w:noProof/>
            <w:webHidden/>
          </w:rPr>
          <w:fldChar w:fldCharType="separate"/>
        </w:r>
        <w:r>
          <w:rPr>
            <w:noProof/>
            <w:webHidden/>
          </w:rPr>
          <w:t>31</w:t>
        </w:r>
        <w:r>
          <w:rPr>
            <w:noProof/>
            <w:webHidden/>
          </w:rPr>
          <w:fldChar w:fldCharType="end"/>
        </w:r>
      </w:hyperlink>
    </w:p>
    <w:p w:rsidR="00DC4807" w:rsidRDefault="0005641F">
      <w:pPr>
        <w:pStyle w:val="TOC3"/>
        <w:rPr>
          <w:rFonts w:eastAsiaTheme="minorEastAsia"/>
          <w:noProof/>
        </w:rPr>
      </w:pPr>
      <w:hyperlink w:anchor="_Toc507233695" w:history="1">
        <w:r>
          <w:rPr>
            <w:noProof/>
          </w:rPr>
          <w:t>4.4.</w:t>
        </w:r>
        <w:r>
          <w:rPr>
            <w:noProof/>
          </w:rPr>
          <w:tab/>
          <w:t>Investment*</w:t>
        </w:r>
        <w:r>
          <w:rPr>
            <w:noProof/>
            <w:webHidden/>
          </w:rPr>
          <w:tab/>
        </w:r>
        <w:r>
          <w:rPr>
            <w:noProof/>
            <w:webHidden/>
          </w:rPr>
          <w:fldChar w:fldCharType="begin"/>
        </w:r>
        <w:r>
          <w:rPr>
            <w:noProof/>
            <w:webHidden/>
          </w:rPr>
          <w:instrText xml:space="preserve"> PAGEREF _Toc507233695 \h </w:instrText>
        </w:r>
        <w:r>
          <w:rPr>
            <w:noProof/>
            <w:webHidden/>
          </w:rPr>
        </w:r>
        <w:r>
          <w:rPr>
            <w:noProof/>
            <w:webHidden/>
          </w:rPr>
          <w:fldChar w:fldCharType="separate"/>
        </w:r>
        <w:r>
          <w:rPr>
            <w:noProof/>
            <w:webHidden/>
          </w:rPr>
          <w:t>40</w:t>
        </w:r>
        <w:r>
          <w:rPr>
            <w:noProof/>
            <w:webHidden/>
          </w:rPr>
          <w:fldChar w:fldCharType="end"/>
        </w:r>
      </w:hyperlink>
    </w:p>
    <w:p w:rsidR="00DC4807" w:rsidRDefault="0005641F">
      <w:pPr>
        <w:pStyle w:val="TOC3"/>
        <w:rPr>
          <w:rFonts w:eastAsiaTheme="minorEastAsia"/>
          <w:noProof/>
        </w:rPr>
      </w:pPr>
      <w:hyperlink w:anchor="_Toc507233696" w:history="1">
        <w:r>
          <w:rPr>
            <w:noProof/>
          </w:rPr>
          <w:t xml:space="preserve">4.5. </w:t>
        </w:r>
        <w:r>
          <w:rPr>
            <w:noProof/>
          </w:rPr>
          <w:tab/>
          <w:t>Sectoral policies</w:t>
        </w:r>
        <w:r>
          <w:rPr>
            <w:noProof/>
            <w:webHidden/>
          </w:rPr>
          <w:tab/>
        </w:r>
        <w:r>
          <w:rPr>
            <w:noProof/>
            <w:webHidden/>
          </w:rPr>
          <w:fldChar w:fldCharType="begin"/>
        </w:r>
        <w:r>
          <w:rPr>
            <w:noProof/>
            <w:webHidden/>
          </w:rPr>
          <w:instrText xml:space="preserve"> PAGEREF _Toc507233696 \h </w:instrText>
        </w:r>
        <w:r>
          <w:rPr>
            <w:noProof/>
            <w:webHidden/>
          </w:rPr>
        </w:r>
        <w:r>
          <w:rPr>
            <w:noProof/>
            <w:webHidden/>
          </w:rPr>
          <w:fldChar w:fldCharType="separate"/>
        </w:r>
        <w:r>
          <w:rPr>
            <w:noProof/>
            <w:webHidden/>
          </w:rPr>
          <w:t>47</w:t>
        </w:r>
        <w:r>
          <w:rPr>
            <w:noProof/>
            <w:webHidden/>
          </w:rPr>
          <w:fldChar w:fldCharType="end"/>
        </w:r>
      </w:hyperlink>
    </w:p>
    <w:p w:rsidR="00DC4807" w:rsidRDefault="0005641F">
      <w:pPr>
        <w:pStyle w:val="TOC2"/>
        <w:rPr>
          <w:rFonts w:eastAsiaTheme="minorEastAsia"/>
          <w:noProof/>
        </w:rPr>
      </w:pPr>
      <w:hyperlink w:anchor="_Toc507233697" w:history="1">
        <w:r>
          <w:rPr>
            <w:noProof/>
          </w:rPr>
          <w:t>Annex A: Overview table</w:t>
        </w:r>
        <w:r>
          <w:rPr>
            <w:noProof/>
            <w:webHidden/>
          </w:rPr>
          <w:tab/>
        </w:r>
        <w:r>
          <w:rPr>
            <w:noProof/>
            <w:webHidden/>
          </w:rPr>
          <w:fldChar w:fldCharType="begin"/>
        </w:r>
        <w:r>
          <w:rPr>
            <w:noProof/>
            <w:webHidden/>
          </w:rPr>
          <w:instrText xml:space="preserve"> PAGEREF _Toc507233697 \h </w:instrText>
        </w:r>
        <w:r>
          <w:rPr>
            <w:noProof/>
            <w:webHidden/>
          </w:rPr>
        </w:r>
        <w:r>
          <w:rPr>
            <w:noProof/>
            <w:webHidden/>
          </w:rPr>
          <w:fldChar w:fldCharType="separate"/>
        </w:r>
        <w:r>
          <w:rPr>
            <w:noProof/>
            <w:webHidden/>
          </w:rPr>
          <w:t>53</w:t>
        </w:r>
        <w:r>
          <w:rPr>
            <w:noProof/>
            <w:webHidden/>
          </w:rPr>
          <w:fldChar w:fldCharType="end"/>
        </w:r>
      </w:hyperlink>
    </w:p>
    <w:p w:rsidR="00DC4807" w:rsidRDefault="0005641F">
      <w:pPr>
        <w:pStyle w:val="TOC2"/>
        <w:rPr>
          <w:rFonts w:eastAsiaTheme="minorEastAsia"/>
          <w:noProof/>
        </w:rPr>
      </w:pPr>
      <w:hyperlink w:anchor="_Toc507233698" w:history="1">
        <w:r>
          <w:rPr>
            <w:noProof/>
          </w:rPr>
          <w:t>Annex B: Macroeconomic Imbalance Pro</w:t>
        </w:r>
        <w:r>
          <w:rPr>
            <w:noProof/>
          </w:rPr>
          <w:t>cedure Scoreboard</w:t>
        </w:r>
        <w:r>
          <w:rPr>
            <w:noProof/>
            <w:webHidden/>
          </w:rPr>
          <w:tab/>
        </w:r>
        <w:r>
          <w:rPr>
            <w:noProof/>
            <w:webHidden/>
          </w:rPr>
          <w:fldChar w:fldCharType="begin"/>
        </w:r>
        <w:r>
          <w:rPr>
            <w:noProof/>
            <w:webHidden/>
          </w:rPr>
          <w:instrText xml:space="preserve"> PAGEREF _Toc507233698 \h </w:instrText>
        </w:r>
        <w:r>
          <w:rPr>
            <w:noProof/>
            <w:webHidden/>
          </w:rPr>
        </w:r>
        <w:r>
          <w:rPr>
            <w:noProof/>
            <w:webHidden/>
          </w:rPr>
          <w:fldChar w:fldCharType="separate"/>
        </w:r>
        <w:r>
          <w:rPr>
            <w:noProof/>
            <w:webHidden/>
          </w:rPr>
          <w:t>56</w:t>
        </w:r>
        <w:r>
          <w:rPr>
            <w:noProof/>
            <w:webHidden/>
          </w:rPr>
          <w:fldChar w:fldCharType="end"/>
        </w:r>
      </w:hyperlink>
    </w:p>
    <w:p w:rsidR="00DC4807" w:rsidRDefault="0005641F">
      <w:pPr>
        <w:pStyle w:val="TOC2"/>
        <w:rPr>
          <w:rFonts w:eastAsiaTheme="minorEastAsia"/>
          <w:noProof/>
        </w:rPr>
      </w:pPr>
      <w:hyperlink w:anchor="_Toc507233699" w:history="1">
        <w:r>
          <w:rPr>
            <w:noProof/>
          </w:rPr>
          <w:t>Annex C: Standard tables</w:t>
        </w:r>
        <w:r>
          <w:rPr>
            <w:noProof/>
            <w:webHidden/>
          </w:rPr>
          <w:tab/>
        </w:r>
        <w:r>
          <w:rPr>
            <w:noProof/>
            <w:webHidden/>
          </w:rPr>
          <w:fldChar w:fldCharType="begin"/>
        </w:r>
        <w:r>
          <w:rPr>
            <w:noProof/>
            <w:webHidden/>
          </w:rPr>
          <w:instrText xml:space="preserve"> PAGEREF _Toc507233699 \h </w:instrText>
        </w:r>
        <w:r>
          <w:rPr>
            <w:noProof/>
            <w:webHidden/>
          </w:rPr>
        </w:r>
        <w:r>
          <w:rPr>
            <w:noProof/>
            <w:webHidden/>
          </w:rPr>
          <w:fldChar w:fldCharType="separate"/>
        </w:r>
        <w:r>
          <w:rPr>
            <w:noProof/>
            <w:webHidden/>
          </w:rPr>
          <w:t>57</w:t>
        </w:r>
        <w:r>
          <w:rPr>
            <w:noProof/>
            <w:webHidden/>
          </w:rPr>
          <w:fldChar w:fldCharType="end"/>
        </w:r>
      </w:hyperlink>
    </w:p>
    <w:p w:rsidR="00DC4807" w:rsidRDefault="0005641F">
      <w:pPr>
        <w:pStyle w:val="TOC2"/>
        <w:rPr>
          <w:rFonts w:eastAsiaTheme="minorEastAsia"/>
          <w:noProof/>
        </w:rPr>
      </w:pPr>
      <w:hyperlink w:anchor="_Toc507233700" w:history="1">
        <w:r>
          <w:rPr>
            <w:noProof/>
          </w:rPr>
          <w:t>Refe</w:t>
        </w:r>
        <w:r>
          <w:rPr>
            <w:noProof/>
          </w:rPr>
          <w:t>rences</w:t>
        </w:r>
        <w:r>
          <w:rPr>
            <w:noProof/>
            <w:webHidden/>
          </w:rPr>
          <w:tab/>
        </w:r>
        <w:r>
          <w:rPr>
            <w:noProof/>
            <w:webHidden/>
          </w:rPr>
          <w:fldChar w:fldCharType="begin"/>
        </w:r>
        <w:r>
          <w:rPr>
            <w:noProof/>
            <w:webHidden/>
          </w:rPr>
          <w:instrText xml:space="preserve"> PAGEREF _Toc507233700 \h </w:instrText>
        </w:r>
        <w:r>
          <w:rPr>
            <w:noProof/>
            <w:webHidden/>
          </w:rPr>
        </w:r>
        <w:r>
          <w:rPr>
            <w:noProof/>
            <w:webHidden/>
          </w:rPr>
          <w:fldChar w:fldCharType="separate"/>
        </w:r>
        <w:r>
          <w:rPr>
            <w:noProof/>
            <w:webHidden/>
          </w:rPr>
          <w:t>63</w:t>
        </w:r>
        <w:r>
          <w:rPr>
            <w:noProof/>
            <w:webHidden/>
          </w:rPr>
          <w:fldChar w:fldCharType="end"/>
        </w:r>
      </w:hyperlink>
    </w:p>
    <w:p w:rsidR="00DC4807" w:rsidRDefault="0005641F">
      <w:pPr>
        <w:rPr>
          <w:noProof/>
        </w:rPr>
      </w:pPr>
      <w:r>
        <w:rPr>
          <w:noProof/>
        </w:rPr>
        <w:fldChar w:fldCharType="end"/>
      </w:r>
    </w:p>
    <w:p w:rsidR="00DC4807" w:rsidRDefault="0005641F">
      <w:pPr>
        <w:pStyle w:val="HEADINGTOC"/>
        <w:divId w:val="2003657586"/>
        <w:rPr>
          <w:noProof/>
        </w:rPr>
      </w:pPr>
      <w:r>
        <w:rPr>
          <w:noProof/>
        </w:rPr>
        <w:t>LIST OF Tables</w:t>
      </w:r>
    </w:p>
    <w:p w:rsidR="00DC4807" w:rsidRDefault="0005641F">
      <w:pPr>
        <w:pStyle w:val="TOC5"/>
        <w:rPr>
          <w:rFonts w:eastAsiaTheme="minorEastAsia"/>
          <w:noProof/>
        </w:rPr>
      </w:pPr>
      <w:r>
        <w:rPr>
          <w:noProof/>
        </w:rPr>
        <w:fldChar w:fldCharType="begin"/>
      </w:r>
      <w:r>
        <w:rPr>
          <w:noProof/>
        </w:rPr>
        <w:instrText xml:space="preserve"> TOC \o "5-5" \h \z \u </w:instrText>
      </w:r>
      <w:r>
        <w:rPr>
          <w:noProof/>
        </w:rPr>
        <w:fldChar w:fldCharType="separate"/>
      </w:r>
      <w:hyperlink w:anchor="_Toc507233669" w:history="1">
        <w:r>
          <w:rPr>
            <w:noProof/>
          </w:rPr>
          <w:t>Table 1.1:</w:t>
        </w:r>
        <w:r>
          <w:rPr>
            <w:rFonts w:eastAsiaTheme="minorEastAsia"/>
            <w:noProof/>
          </w:rPr>
          <w:tab/>
        </w:r>
        <w:r>
          <w:rPr>
            <w:noProof/>
          </w:rPr>
          <w:t>Key economic and financial indicators</w:t>
        </w:r>
        <w:r>
          <w:rPr>
            <w:noProof/>
            <w:webHidden/>
          </w:rPr>
          <w:tab/>
        </w:r>
        <w:r>
          <w:rPr>
            <w:noProof/>
            <w:webHidden/>
          </w:rPr>
          <w:fldChar w:fldCharType="begin"/>
        </w:r>
        <w:r>
          <w:rPr>
            <w:noProof/>
            <w:webHidden/>
          </w:rPr>
          <w:instrText xml:space="preserve"> PAGEREF _Toc507233669 \h </w:instrText>
        </w:r>
        <w:r>
          <w:rPr>
            <w:noProof/>
            <w:webHidden/>
          </w:rPr>
        </w:r>
        <w:r>
          <w:rPr>
            <w:noProof/>
            <w:webHidden/>
          </w:rPr>
          <w:fldChar w:fldCharType="separate"/>
        </w:r>
        <w:r>
          <w:rPr>
            <w:noProof/>
            <w:webHidden/>
          </w:rPr>
          <w:t>9</w:t>
        </w:r>
        <w:r>
          <w:rPr>
            <w:noProof/>
            <w:webHidden/>
          </w:rPr>
          <w:fldChar w:fldCharType="end"/>
        </w:r>
      </w:hyperlink>
    </w:p>
    <w:p w:rsidR="00DC4807" w:rsidRDefault="0005641F">
      <w:pPr>
        <w:pStyle w:val="TOC5"/>
        <w:rPr>
          <w:rFonts w:eastAsiaTheme="minorEastAsia"/>
          <w:noProof/>
        </w:rPr>
      </w:pPr>
      <w:hyperlink w:anchor="_Toc507233670" w:history="1">
        <w:r>
          <w:rPr>
            <w:noProof/>
          </w:rPr>
          <w:t>Table 2.1:</w:t>
        </w:r>
        <w:r>
          <w:rPr>
            <w:rFonts w:eastAsiaTheme="minorEastAsia"/>
            <w:noProof/>
          </w:rPr>
          <w:tab/>
        </w:r>
        <w:r>
          <w:rPr>
            <w:noProof/>
          </w:rPr>
          <w:t>CSR progress</w:t>
        </w:r>
        <w:r>
          <w:rPr>
            <w:noProof/>
            <w:webHidden/>
          </w:rPr>
          <w:tab/>
        </w:r>
        <w:r>
          <w:rPr>
            <w:noProof/>
            <w:webHidden/>
          </w:rPr>
          <w:fldChar w:fldCharType="begin"/>
        </w:r>
        <w:r>
          <w:rPr>
            <w:noProof/>
            <w:webHidden/>
          </w:rPr>
          <w:instrText xml:space="preserve"> PAGEREF _Toc507233670 \h </w:instrText>
        </w:r>
        <w:r>
          <w:rPr>
            <w:noProof/>
            <w:webHidden/>
          </w:rPr>
        </w:r>
        <w:r>
          <w:rPr>
            <w:noProof/>
            <w:webHidden/>
          </w:rPr>
          <w:fldChar w:fldCharType="separate"/>
        </w:r>
        <w:r>
          <w:rPr>
            <w:noProof/>
            <w:webHidden/>
          </w:rPr>
          <w:t>12</w:t>
        </w:r>
        <w:r>
          <w:rPr>
            <w:noProof/>
            <w:webHidden/>
          </w:rPr>
          <w:fldChar w:fldCharType="end"/>
        </w:r>
      </w:hyperlink>
    </w:p>
    <w:p w:rsidR="00DC4807" w:rsidRDefault="0005641F">
      <w:pPr>
        <w:pStyle w:val="TOC5"/>
        <w:rPr>
          <w:rFonts w:eastAsiaTheme="minorEastAsia"/>
          <w:noProof/>
        </w:rPr>
      </w:pPr>
      <w:hyperlink w:anchor="_Toc507233671" w:history="1">
        <w:r>
          <w:rPr>
            <w:noProof/>
          </w:rPr>
          <w:t>Table 3.1:</w:t>
        </w:r>
        <w:r>
          <w:rPr>
            <w:rFonts w:eastAsiaTheme="minorEastAsia"/>
            <w:noProof/>
          </w:rPr>
          <w:tab/>
        </w:r>
        <w:r>
          <w:rPr>
            <w:noProof/>
          </w:rPr>
          <w:t>MIP assessment matrix (*) – the Netherlands</w:t>
        </w:r>
        <w:r>
          <w:rPr>
            <w:noProof/>
            <w:webHidden/>
          </w:rPr>
          <w:tab/>
        </w:r>
        <w:r>
          <w:rPr>
            <w:noProof/>
            <w:webHidden/>
          </w:rPr>
          <w:fldChar w:fldCharType="begin"/>
        </w:r>
        <w:r>
          <w:rPr>
            <w:noProof/>
            <w:webHidden/>
          </w:rPr>
          <w:instrText xml:space="preserve"> PAGEREF _Toc507233671 \h </w:instrText>
        </w:r>
        <w:r>
          <w:rPr>
            <w:noProof/>
            <w:webHidden/>
          </w:rPr>
        </w:r>
        <w:r>
          <w:rPr>
            <w:noProof/>
            <w:webHidden/>
          </w:rPr>
          <w:fldChar w:fldCharType="separate"/>
        </w:r>
        <w:r>
          <w:rPr>
            <w:noProof/>
            <w:webHidden/>
          </w:rPr>
          <w:t>16</w:t>
        </w:r>
        <w:r>
          <w:rPr>
            <w:noProof/>
            <w:webHidden/>
          </w:rPr>
          <w:fldChar w:fldCharType="end"/>
        </w:r>
      </w:hyperlink>
    </w:p>
    <w:p w:rsidR="00DC4807" w:rsidRDefault="0005641F">
      <w:pPr>
        <w:pStyle w:val="TOC5"/>
        <w:rPr>
          <w:rFonts w:eastAsiaTheme="minorEastAsia"/>
          <w:noProof/>
        </w:rPr>
      </w:pPr>
      <w:hyperlink w:anchor="_Toc507233672" w:history="1">
        <w:r>
          <w:rPr>
            <w:noProof/>
          </w:rPr>
          <w:t>Table 4.1.1:</w:t>
        </w:r>
        <w:r>
          <w:rPr>
            <w:rFonts w:eastAsiaTheme="minorEastAsia"/>
            <w:noProof/>
          </w:rPr>
          <w:tab/>
        </w:r>
        <w:r>
          <w:rPr>
            <w:noProof/>
          </w:rPr>
          <w:t>Total public funding for R&amp;D and innovation, 2015-2017</w:t>
        </w:r>
        <w:r>
          <w:rPr>
            <w:noProof/>
            <w:webHidden/>
          </w:rPr>
          <w:tab/>
        </w:r>
        <w:r>
          <w:rPr>
            <w:noProof/>
            <w:webHidden/>
          </w:rPr>
          <w:fldChar w:fldCharType="begin"/>
        </w:r>
        <w:r>
          <w:rPr>
            <w:noProof/>
            <w:webHidden/>
          </w:rPr>
          <w:instrText xml:space="preserve"> PAG</w:instrText>
        </w:r>
        <w:r>
          <w:rPr>
            <w:noProof/>
            <w:webHidden/>
          </w:rPr>
          <w:instrText xml:space="preserve">EREF _Toc507233672 \h </w:instrText>
        </w:r>
        <w:r>
          <w:rPr>
            <w:noProof/>
            <w:webHidden/>
          </w:rPr>
        </w:r>
        <w:r>
          <w:rPr>
            <w:noProof/>
            <w:webHidden/>
          </w:rPr>
          <w:fldChar w:fldCharType="separate"/>
        </w:r>
        <w:r>
          <w:rPr>
            <w:noProof/>
            <w:webHidden/>
          </w:rPr>
          <w:t>22</w:t>
        </w:r>
        <w:r>
          <w:rPr>
            <w:noProof/>
            <w:webHidden/>
          </w:rPr>
          <w:fldChar w:fldCharType="end"/>
        </w:r>
      </w:hyperlink>
    </w:p>
    <w:p w:rsidR="00DC4807" w:rsidRDefault="0005641F">
      <w:pPr>
        <w:pStyle w:val="TOC5"/>
        <w:rPr>
          <w:rFonts w:eastAsiaTheme="minorEastAsia"/>
          <w:noProof/>
        </w:rPr>
      </w:pPr>
      <w:hyperlink w:anchor="_Toc507233673" w:history="1">
        <w:r>
          <w:rPr>
            <w:noProof/>
          </w:rPr>
          <w:t>Table 4.2.1:</w:t>
        </w:r>
        <w:r>
          <w:rPr>
            <w:rFonts w:eastAsiaTheme="minorEastAsia"/>
            <w:noProof/>
          </w:rPr>
          <w:tab/>
        </w:r>
        <w:r>
          <w:rPr>
            <w:noProof/>
          </w:rPr>
          <w:t>Financial soundness indicators</w:t>
        </w:r>
        <w:r>
          <w:rPr>
            <w:noProof/>
            <w:webHidden/>
          </w:rPr>
          <w:tab/>
        </w:r>
        <w:r>
          <w:rPr>
            <w:noProof/>
            <w:webHidden/>
          </w:rPr>
          <w:fldChar w:fldCharType="begin"/>
        </w:r>
        <w:r>
          <w:rPr>
            <w:noProof/>
            <w:webHidden/>
          </w:rPr>
          <w:instrText xml:space="preserve"> PAGEREF _Toc507233673 \h </w:instrText>
        </w:r>
        <w:r>
          <w:rPr>
            <w:noProof/>
            <w:webHidden/>
          </w:rPr>
        </w:r>
        <w:r>
          <w:rPr>
            <w:noProof/>
            <w:webHidden/>
          </w:rPr>
          <w:fldChar w:fldCharType="separate"/>
        </w:r>
        <w:r>
          <w:rPr>
            <w:noProof/>
            <w:webHidden/>
          </w:rPr>
          <w:t>23</w:t>
        </w:r>
        <w:r>
          <w:rPr>
            <w:noProof/>
            <w:webHidden/>
          </w:rPr>
          <w:fldChar w:fldCharType="end"/>
        </w:r>
      </w:hyperlink>
    </w:p>
    <w:p w:rsidR="00DC4807" w:rsidRDefault="0005641F">
      <w:pPr>
        <w:pStyle w:val="TOC5"/>
        <w:rPr>
          <w:rFonts w:eastAsiaTheme="minorEastAsia"/>
          <w:noProof/>
        </w:rPr>
      </w:pPr>
      <w:hyperlink w:anchor="_Toc507233674" w:history="1">
        <w:r>
          <w:rPr>
            <w:noProof/>
          </w:rPr>
          <w:t>Table 4.4.1:</w:t>
        </w:r>
        <w:r>
          <w:rPr>
            <w:rFonts w:eastAsiaTheme="minorEastAsia"/>
            <w:noProof/>
          </w:rPr>
          <w:tab/>
        </w:r>
        <w:r>
          <w:rPr>
            <w:noProof/>
          </w:rPr>
          <w:t>Investment by sector NL and euro area (% of GDP)</w:t>
        </w:r>
        <w:r>
          <w:rPr>
            <w:noProof/>
            <w:webHidden/>
          </w:rPr>
          <w:tab/>
        </w:r>
        <w:r>
          <w:rPr>
            <w:noProof/>
            <w:webHidden/>
          </w:rPr>
          <w:fldChar w:fldCharType="begin"/>
        </w:r>
        <w:r>
          <w:rPr>
            <w:noProof/>
            <w:webHidden/>
          </w:rPr>
          <w:instrText xml:space="preserve"> PAGEREF _Toc507233674 \h </w:instrText>
        </w:r>
        <w:r>
          <w:rPr>
            <w:noProof/>
            <w:webHidden/>
          </w:rPr>
        </w:r>
        <w:r>
          <w:rPr>
            <w:noProof/>
            <w:webHidden/>
          </w:rPr>
          <w:fldChar w:fldCharType="separate"/>
        </w:r>
        <w:r>
          <w:rPr>
            <w:noProof/>
            <w:webHidden/>
          </w:rPr>
          <w:t>40</w:t>
        </w:r>
        <w:r>
          <w:rPr>
            <w:noProof/>
            <w:webHidden/>
          </w:rPr>
          <w:fldChar w:fldCharType="end"/>
        </w:r>
      </w:hyperlink>
    </w:p>
    <w:p w:rsidR="00DC4807" w:rsidRDefault="0005641F">
      <w:pPr>
        <w:pStyle w:val="TOC5"/>
        <w:rPr>
          <w:rFonts w:eastAsiaTheme="minorEastAsia"/>
          <w:noProof/>
        </w:rPr>
      </w:pPr>
      <w:hyperlink w:anchor="_Toc507233675" w:history="1">
        <w:r>
          <w:rPr>
            <w:noProof/>
          </w:rPr>
          <w:t>Table 4.4.2:</w:t>
        </w:r>
        <w:r>
          <w:rPr>
            <w:rFonts w:eastAsiaTheme="minorEastAsia"/>
            <w:noProof/>
          </w:rPr>
          <w:tab/>
        </w:r>
        <w:r>
          <w:rPr>
            <w:noProof/>
          </w:rPr>
          <w:t>Non-fin</w:t>
        </w:r>
        <w:r>
          <w:rPr>
            <w:noProof/>
          </w:rPr>
          <w:t>ancial corporate sector income sheet</w:t>
        </w:r>
        <w:r>
          <w:rPr>
            <w:noProof/>
            <w:webHidden/>
          </w:rPr>
          <w:tab/>
        </w:r>
        <w:r>
          <w:rPr>
            <w:noProof/>
            <w:webHidden/>
          </w:rPr>
          <w:fldChar w:fldCharType="begin"/>
        </w:r>
        <w:r>
          <w:rPr>
            <w:noProof/>
            <w:webHidden/>
          </w:rPr>
          <w:instrText xml:space="preserve"> PAGEREF _Toc507233675 \h </w:instrText>
        </w:r>
        <w:r>
          <w:rPr>
            <w:noProof/>
            <w:webHidden/>
          </w:rPr>
        </w:r>
        <w:r>
          <w:rPr>
            <w:noProof/>
            <w:webHidden/>
          </w:rPr>
          <w:fldChar w:fldCharType="separate"/>
        </w:r>
        <w:r>
          <w:rPr>
            <w:noProof/>
            <w:webHidden/>
          </w:rPr>
          <w:t>42</w:t>
        </w:r>
        <w:r>
          <w:rPr>
            <w:noProof/>
            <w:webHidden/>
          </w:rPr>
          <w:fldChar w:fldCharType="end"/>
        </w:r>
      </w:hyperlink>
    </w:p>
    <w:p w:rsidR="00DC4807" w:rsidRDefault="0005641F">
      <w:pPr>
        <w:pStyle w:val="TOC5"/>
        <w:rPr>
          <w:rFonts w:eastAsiaTheme="minorEastAsia"/>
          <w:noProof/>
        </w:rPr>
      </w:pPr>
      <w:hyperlink w:anchor="_Toc507233676" w:history="1">
        <w:r>
          <w:rPr>
            <w:noProof/>
          </w:rPr>
          <w:t>Table 4.5.1:</w:t>
        </w:r>
        <w:r>
          <w:rPr>
            <w:rFonts w:eastAsiaTheme="minorEastAsia"/>
            <w:noProof/>
          </w:rPr>
          <w:tab/>
        </w:r>
        <w:r>
          <w:rPr>
            <w:noProof/>
          </w:rPr>
          <w:t>Total productivity growth, 1995-2015 (%)</w:t>
        </w:r>
        <w:r>
          <w:rPr>
            <w:noProof/>
            <w:webHidden/>
          </w:rPr>
          <w:tab/>
        </w:r>
        <w:r>
          <w:rPr>
            <w:noProof/>
            <w:webHidden/>
          </w:rPr>
          <w:fldChar w:fldCharType="begin"/>
        </w:r>
        <w:r>
          <w:rPr>
            <w:noProof/>
            <w:webHidden/>
          </w:rPr>
          <w:instrText xml:space="preserve"> PAGEREF _Toc507233676 \h </w:instrText>
        </w:r>
        <w:r>
          <w:rPr>
            <w:noProof/>
            <w:webHidden/>
          </w:rPr>
        </w:r>
        <w:r>
          <w:rPr>
            <w:noProof/>
            <w:webHidden/>
          </w:rPr>
          <w:fldChar w:fldCharType="separate"/>
        </w:r>
        <w:r>
          <w:rPr>
            <w:noProof/>
            <w:webHidden/>
          </w:rPr>
          <w:t>47</w:t>
        </w:r>
        <w:r>
          <w:rPr>
            <w:noProof/>
            <w:webHidden/>
          </w:rPr>
          <w:fldChar w:fldCharType="end"/>
        </w:r>
      </w:hyperlink>
    </w:p>
    <w:p w:rsidR="00DC4807" w:rsidRDefault="0005641F">
      <w:pPr>
        <w:pStyle w:val="TOC5"/>
        <w:rPr>
          <w:rFonts w:eastAsiaTheme="minorEastAsia"/>
          <w:noProof/>
        </w:rPr>
      </w:pPr>
      <w:hyperlink w:anchor="_Toc507233677" w:history="1">
        <w:r>
          <w:rPr>
            <w:noProof/>
          </w:rPr>
          <w:t>Table B.1:</w:t>
        </w:r>
        <w:r>
          <w:rPr>
            <w:rFonts w:eastAsiaTheme="minorEastAsia"/>
            <w:noProof/>
          </w:rPr>
          <w:tab/>
        </w:r>
        <w:r>
          <w:rPr>
            <w:noProof/>
          </w:rPr>
          <w:t>The MIP scoreboard for the Netherlands (AMR 2018)</w:t>
        </w:r>
        <w:r>
          <w:rPr>
            <w:noProof/>
            <w:webHidden/>
          </w:rPr>
          <w:tab/>
        </w:r>
        <w:r>
          <w:rPr>
            <w:noProof/>
            <w:webHidden/>
          </w:rPr>
          <w:fldChar w:fldCharType="begin"/>
        </w:r>
        <w:r>
          <w:rPr>
            <w:noProof/>
            <w:webHidden/>
          </w:rPr>
          <w:instrText xml:space="preserve"> PAGEREF _Toc507233677 \h </w:instrText>
        </w:r>
        <w:r>
          <w:rPr>
            <w:noProof/>
            <w:webHidden/>
          </w:rPr>
        </w:r>
        <w:r>
          <w:rPr>
            <w:noProof/>
            <w:webHidden/>
          </w:rPr>
          <w:fldChar w:fldCharType="separate"/>
        </w:r>
        <w:r>
          <w:rPr>
            <w:noProof/>
            <w:webHidden/>
          </w:rPr>
          <w:t>56</w:t>
        </w:r>
        <w:r>
          <w:rPr>
            <w:noProof/>
            <w:webHidden/>
          </w:rPr>
          <w:fldChar w:fldCharType="end"/>
        </w:r>
      </w:hyperlink>
    </w:p>
    <w:p w:rsidR="00DC4807" w:rsidRDefault="0005641F">
      <w:pPr>
        <w:pStyle w:val="TOC5"/>
        <w:rPr>
          <w:rFonts w:eastAsiaTheme="minorEastAsia"/>
          <w:noProof/>
        </w:rPr>
      </w:pPr>
      <w:hyperlink w:anchor="_Toc507233678" w:history="1">
        <w:r>
          <w:rPr>
            <w:noProof/>
          </w:rPr>
          <w:t>Table C.1:</w:t>
        </w:r>
        <w:r>
          <w:rPr>
            <w:rFonts w:eastAsiaTheme="minorEastAsia"/>
            <w:noProof/>
          </w:rPr>
          <w:tab/>
        </w:r>
        <w:r>
          <w:rPr>
            <w:noProof/>
          </w:rPr>
          <w:t>Financial market indicators</w:t>
        </w:r>
        <w:r>
          <w:rPr>
            <w:noProof/>
            <w:webHidden/>
          </w:rPr>
          <w:tab/>
        </w:r>
        <w:r>
          <w:rPr>
            <w:noProof/>
            <w:webHidden/>
          </w:rPr>
          <w:fldChar w:fldCharType="begin"/>
        </w:r>
        <w:r>
          <w:rPr>
            <w:noProof/>
            <w:webHidden/>
          </w:rPr>
          <w:instrText xml:space="preserve"> PAGEREF _Toc507233678 \h </w:instrText>
        </w:r>
        <w:r>
          <w:rPr>
            <w:noProof/>
            <w:webHidden/>
          </w:rPr>
        </w:r>
        <w:r>
          <w:rPr>
            <w:noProof/>
            <w:webHidden/>
          </w:rPr>
          <w:fldChar w:fldCharType="separate"/>
        </w:r>
        <w:r>
          <w:rPr>
            <w:noProof/>
            <w:webHidden/>
          </w:rPr>
          <w:t>57</w:t>
        </w:r>
        <w:r>
          <w:rPr>
            <w:noProof/>
            <w:webHidden/>
          </w:rPr>
          <w:fldChar w:fldCharType="end"/>
        </w:r>
      </w:hyperlink>
    </w:p>
    <w:p w:rsidR="00DC4807" w:rsidRDefault="0005641F">
      <w:pPr>
        <w:pStyle w:val="TOC5"/>
        <w:rPr>
          <w:rFonts w:eastAsiaTheme="minorEastAsia"/>
          <w:noProof/>
        </w:rPr>
      </w:pPr>
      <w:hyperlink w:anchor="_Toc507233679" w:history="1">
        <w:r>
          <w:rPr>
            <w:noProof/>
          </w:rPr>
          <w:t>Table C.2:</w:t>
        </w:r>
        <w:r>
          <w:rPr>
            <w:rFonts w:eastAsiaTheme="minorEastAsia"/>
            <w:noProof/>
          </w:rPr>
          <w:tab/>
        </w:r>
        <w:r>
          <w:rPr>
            <w:noProof/>
          </w:rPr>
          <w:t>Headline Social Scoreboard indicators</w:t>
        </w:r>
        <w:r>
          <w:rPr>
            <w:noProof/>
            <w:webHidden/>
          </w:rPr>
          <w:tab/>
        </w:r>
        <w:r>
          <w:rPr>
            <w:noProof/>
            <w:webHidden/>
          </w:rPr>
          <w:fldChar w:fldCharType="begin"/>
        </w:r>
        <w:r>
          <w:rPr>
            <w:noProof/>
            <w:webHidden/>
          </w:rPr>
          <w:instrText xml:space="preserve"> PAGERE</w:instrText>
        </w:r>
        <w:r>
          <w:rPr>
            <w:noProof/>
            <w:webHidden/>
          </w:rPr>
          <w:instrText xml:space="preserve">F _Toc507233679 \h </w:instrText>
        </w:r>
        <w:r>
          <w:rPr>
            <w:noProof/>
            <w:webHidden/>
          </w:rPr>
        </w:r>
        <w:r>
          <w:rPr>
            <w:noProof/>
            <w:webHidden/>
          </w:rPr>
          <w:fldChar w:fldCharType="separate"/>
        </w:r>
        <w:r>
          <w:rPr>
            <w:noProof/>
            <w:webHidden/>
          </w:rPr>
          <w:t>58</w:t>
        </w:r>
        <w:r>
          <w:rPr>
            <w:noProof/>
            <w:webHidden/>
          </w:rPr>
          <w:fldChar w:fldCharType="end"/>
        </w:r>
      </w:hyperlink>
    </w:p>
    <w:p w:rsidR="00DC4807" w:rsidRDefault="0005641F">
      <w:pPr>
        <w:pStyle w:val="TOC5"/>
        <w:rPr>
          <w:rFonts w:eastAsiaTheme="minorEastAsia"/>
          <w:noProof/>
        </w:rPr>
      </w:pPr>
      <w:hyperlink w:anchor="_Toc507233680" w:history="1">
        <w:r>
          <w:rPr>
            <w:noProof/>
          </w:rPr>
          <w:t>Table C.3:</w:t>
        </w:r>
        <w:r>
          <w:rPr>
            <w:rFonts w:eastAsiaTheme="minorEastAsia"/>
            <w:noProof/>
          </w:rPr>
          <w:tab/>
        </w:r>
        <w:r>
          <w:rPr>
            <w:noProof/>
          </w:rPr>
          <w:t>Labour market and education indicators</w:t>
        </w:r>
        <w:r>
          <w:rPr>
            <w:noProof/>
            <w:webHidden/>
          </w:rPr>
          <w:tab/>
        </w:r>
        <w:r>
          <w:rPr>
            <w:noProof/>
            <w:webHidden/>
          </w:rPr>
          <w:fldChar w:fldCharType="begin"/>
        </w:r>
        <w:r>
          <w:rPr>
            <w:noProof/>
            <w:webHidden/>
          </w:rPr>
          <w:instrText xml:space="preserve"> PAGEREF _Toc507233680 \h </w:instrText>
        </w:r>
        <w:r>
          <w:rPr>
            <w:noProof/>
            <w:webHidden/>
          </w:rPr>
        </w:r>
        <w:r>
          <w:rPr>
            <w:noProof/>
            <w:webHidden/>
          </w:rPr>
          <w:fldChar w:fldCharType="separate"/>
        </w:r>
        <w:r>
          <w:rPr>
            <w:noProof/>
            <w:webHidden/>
          </w:rPr>
          <w:t>59</w:t>
        </w:r>
        <w:r>
          <w:rPr>
            <w:noProof/>
            <w:webHidden/>
          </w:rPr>
          <w:fldChar w:fldCharType="end"/>
        </w:r>
      </w:hyperlink>
    </w:p>
    <w:p w:rsidR="00DC4807" w:rsidRDefault="0005641F">
      <w:pPr>
        <w:pStyle w:val="TOC5"/>
        <w:rPr>
          <w:rFonts w:eastAsiaTheme="minorEastAsia"/>
          <w:noProof/>
        </w:rPr>
      </w:pPr>
      <w:hyperlink w:anchor="_Toc507233681" w:history="1">
        <w:r>
          <w:rPr>
            <w:noProof/>
          </w:rPr>
          <w:t>Table C.4:</w:t>
        </w:r>
        <w:r>
          <w:rPr>
            <w:rFonts w:eastAsiaTheme="minorEastAsia"/>
            <w:noProof/>
          </w:rPr>
          <w:tab/>
        </w:r>
        <w:r>
          <w:rPr>
            <w:noProof/>
          </w:rPr>
          <w:t>Social inclusion and health indicators</w:t>
        </w:r>
        <w:r>
          <w:rPr>
            <w:noProof/>
            <w:webHidden/>
          </w:rPr>
          <w:tab/>
        </w:r>
        <w:r>
          <w:rPr>
            <w:noProof/>
            <w:webHidden/>
          </w:rPr>
          <w:fldChar w:fldCharType="begin"/>
        </w:r>
        <w:r>
          <w:rPr>
            <w:noProof/>
            <w:webHidden/>
          </w:rPr>
          <w:instrText xml:space="preserve"> PAGEREF _Toc507233681 \h </w:instrText>
        </w:r>
        <w:r>
          <w:rPr>
            <w:noProof/>
            <w:webHidden/>
          </w:rPr>
        </w:r>
        <w:r>
          <w:rPr>
            <w:noProof/>
            <w:webHidden/>
          </w:rPr>
          <w:fldChar w:fldCharType="separate"/>
        </w:r>
        <w:r>
          <w:rPr>
            <w:noProof/>
            <w:webHidden/>
          </w:rPr>
          <w:t>60</w:t>
        </w:r>
        <w:r>
          <w:rPr>
            <w:noProof/>
            <w:webHidden/>
          </w:rPr>
          <w:fldChar w:fldCharType="end"/>
        </w:r>
      </w:hyperlink>
    </w:p>
    <w:p w:rsidR="00DC4807" w:rsidRDefault="0005641F">
      <w:pPr>
        <w:pStyle w:val="TOC5"/>
        <w:rPr>
          <w:rFonts w:eastAsiaTheme="minorEastAsia"/>
          <w:noProof/>
        </w:rPr>
      </w:pPr>
      <w:hyperlink w:anchor="_Toc507233682" w:history="1">
        <w:r>
          <w:rPr>
            <w:noProof/>
          </w:rPr>
          <w:t>Table C.5:</w:t>
        </w:r>
        <w:r>
          <w:rPr>
            <w:rFonts w:eastAsiaTheme="minorEastAsia"/>
            <w:noProof/>
          </w:rPr>
          <w:tab/>
        </w:r>
        <w:r>
          <w:rPr>
            <w:noProof/>
          </w:rPr>
          <w:t>Product market performance and policy indicators</w:t>
        </w:r>
        <w:r>
          <w:rPr>
            <w:noProof/>
            <w:webHidden/>
          </w:rPr>
          <w:tab/>
        </w:r>
        <w:r>
          <w:rPr>
            <w:noProof/>
            <w:webHidden/>
          </w:rPr>
          <w:fldChar w:fldCharType="begin"/>
        </w:r>
        <w:r>
          <w:rPr>
            <w:noProof/>
            <w:webHidden/>
          </w:rPr>
          <w:instrText xml:space="preserve"> PAGEREF _Toc507233682 \h </w:instrText>
        </w:r>
        <w:r>
          <w:rPr>
            <w:noProof/>
            <w:webHidden/>
          </w:rPr>
        </w:r>
        <w:r>
          <w:rPr>
            <w:noProof/>
            <w:webHidden/>
          </w:rPr>
          <w:fldChar w:fldCharType="separate"/>
        </w:r>
        <w:r>
          <w:rPr>
            <w:noProof/>
            <w:webHidden/>
          </w:rPr>
          <w:t>61</w:t>
        </w:r>
        <w:r>
          <w:rPr>
            <w:noProof/>
            <w:webHidden/>
          </w:rPr>
          <w:fldChar w:fldCharType="end"/>
        </w:r>
      </w:hyperlink>
    </w:p>
    <w:p w:rsidR="00DC4807" w:rsidRDefault="0005641F">
      <w:pPr>
        <w:pStyle w:val="TOC5"/>
        <w:rPr>
          <w:rFonts w:eastAsiaTheme="minorEastAsia"/>
          <w:noProof/>
        </w:rPr>
      </w:pPr>
      <w:hyperlink w:anchor="_Toc507233683" w:history="1">
        <w:r>
          <w:rPr>
            <w:noProof/>
          </w:rPr>
          <w:t>Table C.6:</w:t>
        </w:r>
        <w:r>
          <w:rPr>
            <w:rFonts w:eastAsiaTheme="minorEastAsia"/>
            <w:noProof/>
          </w:rPr>
          <w:tab/>
        </w:r>
        <w:r>
          <w:rPr>
            <w:noProof/>
          </w:rPr>
          <w:t>Green growth</w:t>
        </w:r>
        <w:r>
          <w:rPr>
            <w:noProof/>
            <w:webHidden/>
          </w:rPr>
          <w:tab/>
        </w:r>
        <w:r>
          <w:rPr>
            <w:noProof/>
            <w:webHidden/>
          </w:rPr>
          <w:fldChar w:fldCharType="begin"/>
        </w:r>
        <w:r>
          <w:rPr>
            <w:noProof/>
            <w:webHidden/>
          </w:rPr>
          <w:instrText xml:space="preserve"> PAGEREF _Toc507233683 \h </w:instrText>
        </w:r>
        <w:r>
          <w:rPr>
            <w:noProof/>
            <w:webHidden/>
          </w:rPr>
        </w:r>
        <w:r>
          <w:rPr>
            <w:noProof/>
            <w:webHidden/>
          </w:rPr>
          <w:fldChar w:fldCharType="separate"/>
        </w:r>
        <w:r>
          <w:rPr>
            <w:noProof/>
            <w:webHidden/>
          </w:rPr>
          <w:t>62</w:t>
        </w:r>
        <w:r>
          <w:rPr>
            <w:noProof/>
            <w:webHidden/>
          </w:rPr>
          <w:fldChar w:fldCharType="end"/>
        </w:r>
      </w:hyperlink>
    </w:p>
    <w:p w:rsidR="00DC4807" w:rsidRDefault="0005641F">
      <w:pPr>
        <w:rPr>
          <w:noProof/>
        </w:rPr>
      </w:pPr>
      <w:r>
        <w:rPr>
          <w:noProof/>
        </w:rPr>
        <w:fldChar w:fldCharType="end"/>
      </w:r>
    </w:p>
    <w:p w:rsidR="00DC4807" w:rsidRDefault="0005641F">
      <w:pPr>
        <w:pStyle w:val="HEADINGTOC"/>
        <w:divId w:val="2003657586"/>
        <w:rPr>
          <w:noProof/>
        </w:rPr>
      </w:pPr>
      <w:r>
        <w:rPr>
          <w:noProof/>
        </w:rPr>
        <w:t>LIST OF Graphs</w:t>
      </w:r>
    </w:p>
    <w:p w:rsidR="00DC4807" w:rsidRDefault="0005641F">
      <w:pPr>
        <w:pStyle w:val="TOC6"/>
        <w:rPr>
          <w:rFonts w:eastAsiaTheme="minorEastAsia"/>
          <w:noProof/>
        </w:rPr>
      </w:pPr>
      <w:r>
        <w:rPr>
          <w:noProof/>
        </w:rPr>
        <w:fldChar w:fldCharType="begin"/>
      </w:r>
      <w:r>
        <w:rPr>
          <w:noProof/>
        </w:rPr>
        <w:instrText xml:space="preserve"> TOC \o "6-6" \h \z \u </w:instrText>
      </w:r>
      <w:r>
        <w:rPr>
          <w:noProof/>
        </w:rPr>
        <w:fldChar w:fldCharType="separate"/>
      </w:r>
      <w:hyperlink w:anchor="_Toc507233625" w:history="1">
        <w:r>
          <w:rPr>
            <w:noProof/>
          </w:rPr>
          <w:t>Graph 1.1:</w:t>
        </w:r>
        <w:r>
          <w:rPr>
            <w:rFonts w:eastAsiaTheme="minorEastAsia"/>
            <w:noProof/>
          </w:rPr>
          <w:tab/>
        </w:r>
        <w:r>
          <w:rPr>
            <w:noProof/>
          </w:rPr>
          <w:t>GDP per capita (v</w:t>
        </w:r>
        <w:r>
          <w:rPr>
            <w:noProof/>
          </w:rPr>
          <w:t>olume, index 2010=100)</w:t>
        </w:r>
        <w:r>
          <w:rPr>
            <w:noProof/>
            <w:webHidden/>
          </w:rPr>
          <w:tab/>
        </w:r>
        <w:r>
          <w:rPr>
            <w:noProof/>
            <w:webHidden/>
          </w:rPr>
          <w:fldChar w:fldCharType="begin"/>
        </w:r>
        <w:r>
          <w:rPr>
            <w:noProof/>
            <w:webHidden/>
          </w:rPr>
          <w:instrText xml:space="preserve"> PAGEREF _Toc507233625 \h </w:instrText>
        </w:r>
        <w:r>
          <w:rPr>
            <w:noProof/>
            <w:webHidden/>
          </w:rPr>
        </w:r>
        <w:r>
          <w:rPr>
            <w:noProof/>
            <w:webHidden/>
          </w:rPr>
          <w:fldChar w:fldCharType="separate"/>
        </w:r>
        <w:r>
          <w:rPr>
            <w:noProof/>
            <w:webHidden/>
          </w:rPr>
          <w:t>5</w:t>
        </w:r>
        <w:r>
          <w:rPr>
            <w:noProof/>
            <w:webHidden/>
          </w:rPr>
          <w:fldChar w:fldCharType="end"/>
        </w:r>
      </w:hyperlink>
    </w:p>
    <w:p w:rsidR="00DC4807" w:rsidRDefault="0005641F">
      <w:pPr>
        <w:pStyle w:val="TOC6"/>
        <w:rPr>
          <w:rFonts w:eastAsiaTheme="minorEastAsia"/>
          <w:noProof/>
        </w:rPr>
      </w:pPr>
      <w:hyperlink w:anchor="_Toc507233626" w:history="1">
        <w:r>
          <w:rPr>
            <w:noProof/>
          </w:rPr>
          <w:t>Graph 1.2:</w:t>
        </w:r>
        <w:r>
          <w:rPr>
            <w:rFonts w:eastAsiaTheme="minorEastAsia"/>
            <w:noProof/>
          </w:rPr>
          <w:tab/>
        </w:r>
        <w:r>
          <w:rPr>
            <w:noProof/>
          </w:rPr>
          <w:t>GDP volume and pre-crisis trend</w:t>
        </w:r>
        <w:r>
          <w:rPr>
            <w:noProof/>
            <w:webHidden/>
          </w:rPr>
          <w:tab/>
        </w:r>
        <w:r>
          <w:rPr>
            <w:noProof/>
            <w:webHidden/>
          </w:rPr>
          <w:fldChar w:fldCharType="begin"/>
        </w:r>
        <w:r>
          <w:rPr>
            <w:noProof/>
            <w:webHidden/>
          </w:rPr>
          <w:instrText xml:space="preserve"> PAGEREF _Toc507233626 \h </w:instrText>
        </w:r>
        <w:r>
          <w:rPr>
            <w:noProof/>
            <w:webHidden/>
          </w:rPr>
        </w:r>
        <w:r>
          <w:rPr>
            <w:noProof/>
            <w:webHidden/>
          </w:rPr>
          <w:fldChar w:fldCharType="separate"/>
        </w:r>
        <w:r>
          <w:rPr>
            <w:noProof/>
            <w:webHidden/>
          </w:rPr>
          <w:t>5</w:t>
        </w:r>
        <w:r>
          <w:rPr>
            <w:noProof/>
            <w:webHidden/>
          </w:rPr>
          <w:fldChar w:fldCharType="end"/>
        </w:r>
      </w:hyperlink>
    </w:p>
    <w:p w:rsidR="00DC4807" w:rsidRDefault="0005641F">
      <w:pPr>
        <w:pStyle w:val="TOC6"/>
        <w:rPr>
          <w:rFonts w:eastAsiaTheme="minorEastAsia"/>
          <w:noProof/>
        </w:rPr>
      </w:pPr>
      <w:hyperlink w:anchor="_Toc507233627" w:history="1">
        <w:r>
          <w:rPr>
            <w:noProof/>
          </w:rPr>
          <w:t>Graph 1.3:</w:t>
        </w:r>
        <w:r>
          <w:rPr>
            <w:rFonts w:eastAsiaTheme="minorEastAsia"/>
            <w:noProof/>
          </w:rPr>
          <w:tab/>
        </w:r>
        <w:r>
          <w:rPr>
            <w:noProof/>
          </w:rPr>
          <w:t>GDP Growth and contributions</w:t>
        </w:r>
        <w:r>
          <w:rPr>
            <w:noProof/>
            <w:webHidden/>
          </w:rPr>
          <w:tab/>
        </w:r>
        <w:r>
          <w:rPr>
            <w:noProof/>
            <w:webHidden/>
          </w:rPr>
          <w:fldChar w:fldCharType="begin"/>
        </w:r>
        <w:r>
          <w:rPr>
            <w:noProof/>
            <w:webHidden/>
          </w:rPr>
          <w:instrText xml:space="preserve"> PAGEREF _Toc507233627 \h </w:instrText>
        </w:r>
        <w:r>
          <w:rPr>
            <w:noProof/>
            <w:webHidden/>
          </w:rPr>
        </w:r>
        <w:r>
          <w:rPr>
            <w:noProof/>
            <w:webHidden/>
          </w:rPr>
          <w:fldChar w:fldCharType="separate"/>
        </w:r>
        <w:r>
          <w:rPr>
            <w:noProof/>
            <w:webHidden/>
          </w:rPr>
          <w:t>6</w:t>
        </w:r>
        <w:r>
          <w:rPr>
            <w:noProof/>
            <w:webHidden/>
          </w:rPr>
          <w:fldChar w:fldCharType="end"/>
        </w:r>
      </w:hyperlink>
    </w:p>
    <w:p w:rsidR="00DC4807" w:rsidRDefault="0005641F">
      <w:pPr>
        <w:pStyle w:val="TOC6"/>
        <w:rPr>
          <w:rFonts w:eastAsiaTheme="minorEastAsia"/>
          <w:noProof/>
        </w:rPr>
      </w:pPr>
      <w:hyperlink w:anchor="_Toc507233628" w:history="1">
        <w:r>
          <w:rPr>
            <w:noProof/>
          </w:rPr>
          <w:t>Graph 1.4:</w:t>
        </w:r>
        <w:r>
          <w:rPr>
            <w:rFonts w:eastAsiaTheme="minorEastAsia"/>
            <w:noProof/>
          </w:rPr>
          <w:tab/>
        </w:r>
        <w:r>
          <w:rPr>
            <w:noProof/>
          </w:rPr>
          <w:t>Labour market developments</w:t>
        </w:r>
        <w:r>
          <w:rPr>
            <w:noProof/>
            <w:webHidden/>
          </w:rPr>
          <w:tab/>
        </w:r>
        <w:r>
          <w:rPr>
            <w:noProof/>
            <w:webHidden/>
          </w:rPr>
          <w:fldChar w:fldCharType="begin"/>
        </w:r>
        <w:r>
          <w:rPr>
            <w:noProof/>
            <w:webHidden/>
          </w:rPr>
          <w:instrText xml:space="preserve"> PAGEREF _Toc507233628 \h </w:instrText>
        </w:r>
        <w:r>
          <w:rPr>
            <w:noProof/>
            <w:webHidden/>
          </w:rPr>
        </w:r>
        <w:r>
          <w:rPr>
            <w:noProof/>
            <w:webHidden/>
          </w:rPr>
          <w:fldChar w:fldCharType="separate"/>
        </w:r>
        <w:r>
          <w:rPr>
            <w:noProof/>
            <w:webHidden/>
          </w:rPr>
          <w:t>6</w:t>
        </w:r>
        <w:r>
          <w:rPr>
            <w:noProof/>
            <w:webHidden/>
          </w:rPr>
          <w:fldChar w:fldCharType="end"/>
        </w:r>
      </w:hyperlink>
    </w:p>
    <w:p w:rsidR="00DC4807" w:rsidRDefault="0005641F">
      <w:pPr>
        <w:pStyle w:val="TOC6"/>
        <w:rPr>
          <w:rFonts w:eastAsiaTheme="minorEastAsia"/>
          <w:noProof/>
        </w:rPr>
      </w:pPr>
      <w:hyperlink w:anchor="_Toc507233629" w:history="1">
        <w:r>
          <w:rPr>
            <w:noProof/>
          </w:rPr>
          <w:t>Graph 1.5:</w:t>
        </w:r>
        <w:r>
          <w:rPr>
            <w:rFonts w:eastAsiaTheme="minorEastAsia"/>
            <w:noProof/>
          </w:rPr>
          <w:tab/>
        </w:r>
        <w:r>
          <w:rPr>
            <w:noProof/>
          </w:rPr>
          <w:t>Wage growth: actual and predicted based on economic fundamentals</w:t>
        </w:r>
        <w:r>
          <w:rPr>
            <w:noProof/>
            <w:webHidden/>
          </w:rPr>
          <w:tab/>
        </w:r>
        <w:r>
          <w:rPr>
            <w:noProof/>
            <w:webHidden/>
          </w:rPr>
          <w:fldChar w:fldCharType="begin"/>
        </w:r>
        <w:r>
          <w:rPr>
            <w:noProof/>
            <w:webHidden/>
          </w:rPr>
          <w:instrText xml:space="preserve"> PAG</w:instrText>
        </w:r>
        <w:r>
          <w:rPr>
            <w:noProof/>
            <w:webHidden/>
          </w:rPr>
          <w:instrText xml:space="preserve">EREF _Toc507233629 \h </w:instrText>
        </w:r>
        <w:r>
          <w:rPr>
            <w:noProof/>
            <w:webHidden/>
          </w:rPr>
        </w:r>
        <w:r>
          <w:rPr>
            <w:noProof/>
            <w:webHidden/>
          </w:rPr>
          <w:fldChar w:fldCharType="separate"/>
        </w:r>
        <w:r>
          <w:rPr>
            <w:noProof/>
            <w:webHidden/>
          </w:rPr>
          <w:t>6</w:t>
        </w:r>
        <w:r>
          <w:rPr>
            <w:noProof/>
            <w:webHidden/>
          </w:rPr>
          <w:fldChar w:fldCharType="end"/>
        </w:r>
      </w:hyperlink>
    </w:p>
    <w:p w:rsidR="00DC4807" w:rsidRDefault="0005641F">
      <w:pPr>
        <w:pStyle w:val="TOC6"/>
        <w:rPr>
          <w:rFonts w:eastAsiaTheme="minorEastAsia"/>
          <w:noProof/>
        </w:rPr>
      </w:pPr>
      <w:hyperlink w:anchor="_Toc507233630" w:history="1">
        <w:r>
          <w:rPr>
            <w:noProof/>
          </w:rPr>
          <w:t>Source: European Commission (see Kiss and Arpaia, 2011)</w:t>
        </w:r>
        <w:r>
          <w:rPr>
            <w:noProof/>
            <w:webHidden/>
          </w:rPr>
          <w:tab/>
        </w:r>
        <w:r>
          <w:rPr>
            <w:noProof/>
            <w:webHidden/>
          </w:rPr>
          <w:fldChar w:fldCharType="begin"/>
        </w:r>
        <w:r>
          <w:rPr>
            <w:noProof/>
            <w:webHidden/>
          </w:rPr>
          <w:instrText xml:space="preserve"> PAGEREF _Toc507233630 \h </w:instrText>
        </w:r>
        <w:r>
          <w:rPr>
            <w:noProof/>
            <w:webHidden/>
          </w:rPr>
        </w:r>
        <w:r>
          <w:rPr>
            <w:noProof/>
            <w:webHidden/>
          </w:rPr>
          <w:fldChar w:fldCharType="separate"/>
        </w:r>
        <w:r>
          <w:rPr>
            <w:noProof/>
            <w:webHidden/>
          </w:rPr>
          <w:t>6</w:t>
        </w:r>
        <w:r>
          <w:rPr>
            <w:noProof/>
            <w:webHidden/>
          </w:rPr>
          <w:fldChar w:fldCharType="end"/>
        </w:r>
      </w:hyperlink>
    </w:p>
    <w:p w:rsidR="00DC4807" w:rsidRDefault="0005641F">
      <w:pPr>
        <w:pStyle w:val="TOC6"/>
        <w:rPr>
          <w:rFonts w:eastAsiaTheme="minorEastAsia"/>
          <w:noProof/>
        </w:rPr>
      </w:pPr>
      <w:hyperlink w:anchor="_Toc507233631" w:history="1">
        <w:r>
          <w:rPr>
            <w:noProof/>
          </w:rPr>
          <w:t>Graph 1.6:</w:t>
        </w:r>
        <w:r>
          <w:rPr>
            <w:rFonts w:eastAsiaTheme="minorEastAsia"/>
            <w:noProof/>
          </w:rPr>
          <w:tab/>
        </w:r>
        <w:r>
          <w:rPr>
            <w:noProof/>
          </w:rPr>
          <w:t>Trends in labour costs and its components</w:t>
        </w:r>
        <w:r>
          <w:rPr>
            <w:noProof/>
            <w:webHidden/>
          </w:rPr>
          <w:tab/>
        </w:r>
        <w:r>
          <w:rPr>
            <w:noProof/>
            <w:webHidden/>
          </w:rPr>
          <w:fldChar w:fldCharType="begin"/>
        </w:r>
        <w:r>
          <w:rPr>
            <w:noProof/>
            <w:webHidden/>
          </w:rPr>
          <w:instrText xml:space="preserve"> PAGEREF _Toc507233631 \h </w:instrText>
        </w:r>
        <w:r>
          <w:rPr>
            <w:noProof/>
            <w:webHidden/>
          </w:rPr>
        </w:r>
        <w:r>
          <w:rPr>
            <w:noProof/>
            <w:webHidden/>
          </w:rPr>
          <w:fldChar w:fldCharType="separate"/>
        </w:r>
        <w:r>
          <w:rPr>
            <w:noProof/>
            <w:webHidden/>
          </w:rPr>
          <w:t>7</w:t>
        </w:r>
        <w:r>
          <w:rPr>
            <w:noProof/>
            <w:webHidden/>
          </w:rPr>
          <w:fldChar w:fldCharType="end"/>
        </w:r>
      </w:hyperlink>
    </w:p>
    <w:p w:rsidR="00DC4807" w:rsidRDefault="0005641F">
      <w:pPr>
        <w:pStyle w:val="TOC6"/>
        <w:rPr>
          <w:rFonts w:eastAsiaTheme="minorEastAsia"/>
          <w:noProof/>
        </w:rPr>
      </w:pPr>
      <w:hyperlink w:anchor="_Toc507233632" w:history="1">
        <w:r>
          <w:rPr>
            <w:noProof/>
          </w:rPr>
          <w:t>Graph 1.7:</w:t>
        </w:r>
        <w:r>
          <w:rPr>
            <w:rFonts w:eastAsiaTheme="minorEastAsia"/>
            <w:noProof/>
          </w:rPr>
          <w:tab/>
        </w:r>
        <w:r>
          <w:rPr>
            <w:noProof/>
          </w:rPr>
          <w:t>Average annual real income gain/loss compared to previous generation*</w:t>
        </w:r>
        <w:r>
          <w:rPr>
            <w:noProof/>
            <w:webHidden/>
          </w:rPr>
          <w:tab/>
        </w:r>
        <w:r>
          <w:rPr>
            <w:noProof/>
            <w:webHidden/>
          </w:rPr>
          <w:fldChar w:fldCharType="begin"/>
        </w:r>
        <w:r>
          <w:rPr>
            <w:noProof/>
            <w:webHidden/>
          </w:rPr>
          <w:instrText xml:space="preserve"> PAGEREF _Toc507233632 \h </w:instrText>
        </w:r>
        <w:r>
          <w:rPr>
            <w:noProof/>
            <w:webHidden/>
          </w:rPr>
        </w:r>
        <w:r>
          <w:rPr>
            <w:noProof/>
            <w:webHidden/>
          </w:rPr>
          <w:fldChar w:fldCharType="separate"/>
        </w:r>
        <w:r>
          <w:rPr>
            <w:noProof/>
            <w:webHidden/>
          </w:rPr>
          <w:t>7</w:t>
        </w:r>
        <w:r>
          <w:rPr>
            <w:noProof/>
            <w:webHidden/>
          </w:rPr>
          <w:fldChar w:fldCharType="end"/>
        </w:r>
      </w:hyperlink>
    </w:p>
    <w:p w:rsidR="00DC4807" w:rsidRDefault="0005641F">
      <w:pPr>
        <w:pStyle w:val="TOC6"/>
        <w:rPr>
          <w:rFonts w:eastAsiaTheme="minorEastAsia"/>
          <w:noProof/>
        </w:rPr>
      </w:pPr>
      <w:hyperlink w:anchor="_Toc507233633" w:history="1">
        <w:r>
          <w:rPr>
            <w:noProof/>
          </w:rPr>
          <w:t>Graph 1.8:</w:t>
        </w:r>
        <w:r>
          <w:rPr>
            <w:rFonts w:eastAsiaTheme="minorEastAsia"/>
            <w:noProof/>
          </w:rPr>
          <w:tab/>
        </w:r>
        <w:r>
          <w:rPr>
            <w:noProof/>
          </w:rPr>
          <w:t>Net wealth by age</w:t>
        </w:r>
        <w:r>
          <w:rPr>
            <w:noProof/>
            <w:webHidden/>
          </w:rPr>
          <w:tab/>
        </w:r>
        <w:r>
          <w:rPr>
            <w:noProof/>
            <w:webHidden/>
          </w:rPr>
          <w:fldChar w:fldCharType="begin"/>
        </w:r>
        <w:r>
          <w:rPr>
            <w:noProof/>
            <w:webHidden/>
          </w:rPr>
          <w:instrText xml:space="preserve"> PAGEREF _Toc507233633 \h </w:instrText>
        </w:r>
        <w:r>
          <w:rPr>
            <w:noProof/>
            <w:webHidden/>
          </w:rPr>
        </w:r>
        <w:r>
          <w:rPr>
            <w:noProof/>
            <w:webHidden/>
          </w:rPr>
          <w:fldChar w:fldCharType="separate"/>
        </w:r>
        <w:r>
          <w:rPr>
            <w:noProof/>
            <w:webHidden/>
          </w:rPr>
          <w:t>8</w:t>
        </w:r>
        <w:r>
          <w:rPr>
            <w:noProof/>
            <w:webHidden/>
          </w:rPr>
          <w:fldChar w:fldCharType="end"/>
        </w:r>
      </w:hyperlink>
    </w:p>
    <w:p w:rsidR="00DC4807" w:rsidRDefault="0005641F">
      <w:pPr>
        <w:pStyle w:val="TOC6"/>
        <w:rPr>
          <w:rFonts w:eastAsiaTheme="minorEastAsia"/>
          <w:noProof/>
        </w:rPr>
      </w:pPr>
      <w:hyperlink w:anchor="_Toc507233634" w:history="1">
        <w:r>
          <w:rPr>
            <w:noProof/>
          </w:rPr>
          <w:t>Graph 2.1:</w:t>
        </w:r>
        <w:r>
          <w:rPr>
            <w:rFonts w:eastAsiaTheme="minorEastAsia"/>
            <w:noProof/>
          </w:rPr>
          <w:tab/>
        </w:r>
        <w:r>
          <w:rPr>
            <w:noProof/>
          </w:rPr>
          <w:t xml:space="preserve">Overall multiannual implementation </w:t>
        </w:r>
        <w:r>
          <w:rPr>
            <w:noProof/>
          </w:rPr>
          <w:t>of 2011-2017 CSRs to date</w:t>
        </w:r>
        <w:r>
          <w:rPr>
            <w:noProof/>
            <w:webHidden/>
          </w:rPr>
          <w:tab/>
        </w:r>
        <w:r>
          <w:rPr>
            <w:noProof/>
            <w:webHidden/>
          </w:rPr>
          <w:fldChar w:fldCharType="begin"/>
        </w:r>
        <w:r>
          <w:rPr>
            <w:noProof/>
            <w:webHidden/>
          </w:rPr>
          <w:instrText xml:space="preserve"> PAGEREF _Toc507233634 \h </w:instrText>
        </w:r>
        <w:r>
          <w:rPr>
            <w:noProof/>
            <w:webHidden/>
          </w:rPr>
        </w:r>
        <w:r>
          <w:rPr>
            <w:noProof/>
            <w:webHidden/>
          </w:rPr>
          <w:fldChar w:fldCharType="separate"/>
        </w:r>
        <w:r>
          <w:rPr>
            <w:noProof/>
            <w:webHidden/>
          </w:rPr>
          <w:t>10</w:t>
        </w:r>
        <w:r>
          <w:rPr>
            <w:noProof/>
            <w:webHidden/>
          </w:rPr>
          <w:fldChar w:fldCharType="end"/>
        </w:r>
      </w:hyperlink>
    </w:p>
    <w:p w:rsidR="00DC4807" w:rsidRDefault="0005641F">
      <w:pPr>
        <w:pStyle w:val="TOC6"/>
        <w:rPr>
          <w:rFonts w:eastAsiaTheme="minorEastAsia"/>
          <w:noProof/>
        </w:rPr>
      </w:pPr>
      <w:hyperlink w:anchor="_Toc507233635" w:history="1">
        <w:r>
          <w:rPr>
            <w:noProof/>
          </w:rPr>
          <w:t>Graph 4.1.1:</w:t>
        </w:r>
        <w:r>
          <w:rPr>
            <w:rFonts w:eastAsiaTheme="minorEastAsia"/>
            <w:noProof/>
          </w:rPr>
          <w:tab/>
        </w:r>
        <w:r>
          <w:rPr>
            <w:noProof/>
          </w:rPr>
          <w:t>Average headline budget balance in different states of the economy</w:t>
        </w:r>
        <w:r>
          <w:rPr>
            <w:noProof/>
            <w:webHidden/>
          </w:rPr>
          <w:tab/>
        </w:r>
        <w:r>
          <w:rPr>
            <w:noProof/>
            <w:webHidden/>
          </w:rPr>
          <w:fldChar w:fldCharType="begin"/>
        </w:r>
        <w:r>
          <w:rPr>
            <w:noProof/>
            <w:webHidden/>
          </w:rPr>
          <w:instrText xml:space="preserve"> PAGEREF _Toc5072336</w:instrText>
        </w:r>
        <w:r>
          <w:rPr>
            <w:noProof/>
            <w:webHidden/>
          </w:rPr>
          <w:instrText xml:space="preserve">35 \h </w:instrText>
        </w:r>
        <w:r>
          <w:rPr>
            <w:noProof/>
            <w:webHidden/>
          </w:rPr>
        </w:r>
        <w:r>
          <w:rPr>
            <w:noProof/>
            <w:webHidden/>
          </w:rPr>
          <w:fldChar w:fldCharType="separate"/>
        </w:r>
        <w:r>
          <w:rPr>
            <w:noProof/>
            <w:webHidden/>
          </w:rPr>
          <w:t>21</w:t>
        </w:r>
        <w:r>
          <w:rPr>
            <w:noProof/>
            <w:webHidden/>
          </w:rPr>
          <w:fldChar w:fldCharType="end"/>
        </w:r>
      </w:hyperlink>
    </w:p>
    <w:p w:rsidR="00DC4807" w:rsidRDefault="0005641F">
      <w:pPr>
        <w:pStyle w:val="TOC6"/>
        <w:rPr>
          <w:rFonts w:eastAsiaTheme="minorEastAsia"/>
          <w:noProof/>
        </w:rPr>
      </w:pPr>
      <w:hyperlink w:anchor="_Toc507233636" w:history="1">
        <w:r>
          <w:rPr>
            <w:noProof/>
          </w:rPr>
          <w:t>Graph 4.2.1:</w:t>
        </w:r>
        <w:r>
          <w:rPr>
            <w:rFonts w:eastAsiaTheme="minorEastAsia"/>
            <w:noProof/>
          </w:rPr>
          <w:tab/>
        </w:r>
        <w:r>
          <w:rPr>
            <w:noProof/>
          </w:rPr>
          <w:t>Size of the financial intermediaries and of the debt securities market</w:t>
        </w:r>
        <w:r>
          <w:rPr>
            <w:noProof/>
            <w:webHidden/>
          </w:rPr>
          <w:tab/>
        </w:r>
        <w:r>
          <w:rPr>
            <w:noProof/>
            <w:webHidden/>
          </w:rPr>
          <w:fldChar w:fldCharType="begin"/>
        </w:r>
        <w:r>
          <w:rPr>
            <w:noProof/>
            <w:webHidden/>
          </w:rPr>
          <w:instrText xml:space="preserve"> PAGEREF _Toc507233636 \h </w:instrText>
        </w:r>
        <w:r>
          <w:rPr>
            <w:noProof/>
            <w:webHidden/>
          </w:rPr>
        </w:r>
        <w:r>
          <w:rPr>
            <w:noProof/>
            <w:webHidden/>
          </w:rPr>
          <w:fldChar w:fldCharType="separate"/>
        </w:r>
        <w:r>
          <w:rPr>
            <w:noProof/>
            <w:webHidden/>
          </w:rPr>
          <w:t>23</w:t>
        </w:r>
        <w:r>
          <w:rPr>
            <w:noProof/>
            <w:webHidden/>
          </w:rPr>
          <w:fldChar w:fldCharType="end"/>
        </w:r>
      </w:hyperlink>
    </w:p>
    <w:p w:rsidR="00DC4807" w:rsidRDefault="0005641F">
      <w:pPr>
        <w:pStyle w:val="TOC6"/>
        <w:rPr>
          <w:rFonts w:eastAsiaTheme="minorEastAsia"/>
          <w:noProof/>
        </w:rPr>
      </w:pPr>
      <w:hyperlink w:anchor="_Toc507233637" w:history="1">
        <w:r>
          <w:rPr>
            <w:noProof/>
          </w:rPr>
          <w:t>Graph 4.2.2:</w:t>
        </w:r>
        <w:r>
          <w:rPr>
            <w:rFonts w:eastAsiaTheme="minorEastAsia"/>
            <w:noProof/>
          </w:rPr>
          <w:tab/>
        </w:r>
        <w:r>
          <w:rPr>
            <w:noProof/>
          </w:rPr>
          <w:t>House price developments</w:t>
        </w:r>
        <w:r>
          <w:rPr>
            <w:noProof/>
            <w:webHidden/>
          </w:rPr>
          <w:tab/>
        </w:r>
        <w:r>
          <w:rPr>
            <w:noProof/>
            <w:webHidden/>
          </w:rPr>
          <w:fldChar w:fldCharType="begin"/>
        </w:r>
        <w:r>
          <w:rPr>
            <w:noProof/>
            <w:webHidden/>
          </w:rPr>
          <w:instrText xml:space="preserve"> PAGEREF _Toc507233637 \h </w:instrText>
        </w:r>
        <w:r>
          <w:rPr>
            <w:noProof/>
            <w:webHidden/>
          </w:rPr>
        </w:r>
        <w:r>
          <w:rPr>
            <w:noProof/>
            <w:webHidden/>
          </w:rPr>
          <w:fldChar w:fldCharType="separate"/>
        </w:r>
        <w:r>
          <w:rPr>
            <w:noProof/>
            <w:webHidden/>
          </w:rPr>
          <w:t>24</w:t>
        </w:r>
        <w:r>
          <w:rPr>
            <w:noProof/>
            <w:webHidden/>
          </w:rPr>
          <w:fldChar w:fldCharType="end"/>
        </w:r>
      </w:hyperlink>
    </w:p>
    <w:p w:rsidR="00DC4807" w:rsidRDefault="0005641F">
      <w:pPr>
        <w:pStyle w:val="TOC6"/>
        <w:rPr>
          <w:rFonts w:eastAsiaTheme="minorEastAsia"/>
          <w:noProof/>
        </w:rPr>
      </w:pPr>
      <w:hyperlink w:anchor="_Toc507233638" w:history="1">
        <w:r>
          <w:rPr>
            <w:noProof/>
          </w:rPr>
          <w:t>Graph 4.2.3:</w:t>
        </w:r>
        <w:r>
          <w:rPr>
            <w:rFonts w:eastAsiaTheme="minorEastAsia"/>
            <w:noProof/>
          </w:rPr>
          <w:tab/>
        </w:r>
        <w:r>
          <w:rPr>
            <w:noProof/>
          </w:rPr>
          <w:t>House price valuation</w:t>
        </w:r>
        <w:r>
          <w:rPr>
            <w:noProof/>
            <w:webHidden/>
          </w:rPr>
          <w:tab/>
        </w:r>
        <w:r>
          <w:rPr>
            <w:noProof/>
            <w:webHidden/>
          </w:rPr>
          <w:fldChar w:fldCharType="begin"/>
        </w:r>
        <w:r>
          <w:rPr>
            <w:noProof/>
            <w:webHidden/>
          </w:rPr>
          <w:instrText xml:space="preserve"> PAGEREF _Toc507233638 \h </w:instrText>
        </w:r>
        <w:r>
          <w:rPr>
            <w:noProof/>
            <w:webHidden/>
          </w:rPr>
        </w:r>
        <w:r>
          <w:rPr>
            <w:noProof/>
            <w:webHidden/>
          </w:rPr>
          <w:fldChar w:fldCharType="separate"/>
        </w:r>
        <w:r>
          <w:rPr>
            <w:noProof/>
            <w:webHidden/>
          </w:rPr>
          <w:t>25</w:t>
        </w:r>
        <w:r>
          <w:rPr>
            <w:noProof/>
            <w:webHidden/>
          </w:rPr>
          <w:fldChar w:fldCharType="end"/>
        </w:r>
      </w:hyperlink>
    </w:p>
    <w:p w:rsidR="00DC4807" w:rsidRDefault="0005641F">
      <w:pPr>
        <w:pStyle w:val="TOC6"/>
        <w:rPr>
          <w:rFonts w:eastAsiaTheme="minorEastAsia"/>
          <w:noProof/>
        </w:rPr>
      </w:pPr>
      <w:hyperlink w:anchor="_Toc507233639" w:history="1">
        <w:r>
          <w:rPr>
            <w:noProof/>
          </w:rPr>
          <w:t>Graph 4.2.4:</w:t>
        </w:r>
        <w:r>
          <w:rPr>
            <w:rFonts w:eastAsiaTheme="minorEastAsia"/>
            <w:noProof/>
          </w:rPr>
          <w:tab/>
        </w:r>
        <w:r>
          <w:rPr>
            <w:noProof/>
          </w:rPr>
          <w:t>Private debt</w:t>
        </w:r>
        <w:r>
          <w:rPr>
            <w:noProof/>
            <w:webHidden/>
          </w:rPr>
          <w:tab/>
        </w:r>
        <w:r>
          <w:rPr>
            <w:noProof/>
            <w:webHidden/>
          </w:rPr>
          <w:fldChar w:fldCharType="begin"/>
        </w:r>
        <w:r>
          <w:rPr>
            <w:noProof/>
            <w:webHidden/>
          </w:rPr>
          <w:instrText xml:space="preserve"> PAGEREF _Toc507233639 \h </w:instrText>
        </w:r>
        <w:r>
          <w:rPr>
            <w:noProof/>
            <w:webHidden/>
          </w:rPr>
        </w:r>
        <w:r>
          <w:rPr>
            <w:noProof/>
            <w:webHidden/>
          </w:rPr>
          <w:fldChar w:fldCharType="separate"/>
        </w:r>
        <w:r>
          <w:rPr>
            <w:noProof/>
            <w:webHidden/>
          </w:rPr>
          <w:t>27</w:t>
        </w:r>
        <w:r>
          <w:rPr>
            <w:noProof/>
            <w:webHidden/>
          </w:rPr>
          <w:fldChar w:fldCharType="end"/>
        </w:r>
      </w:hyperlink>
    </w:p>
    <w:p w:rsidR="00DC4807" w:rsidRDefault="0005641F">
      <w:pPr>
        <w:pStyle w:val="TOC6"/>
        <w:rPr>
          <w:rFonts w:eastAsiaTheme="minorEastAsia"/>
          <w:noProof/>
        </w:rPr>
      </w:pPr>
      <w:hyperlink w:anchor="_Toc507233640" w:history="1">
        <w:r>
          <w:rPr>
            <w:noProof/>
          </w:rPr>
          <w:t>Graph 4.2.5:</w:t>
        </w:r>
        <w:r>
          <w:rPr>
            <w:rFonts w:eastAsiaTheme="minorEastAsia"/>
            <w:noProof/>
          </w:rPr>
          <w:tab/>
        </w:r>
        <w:r>
          <w:rPr>
            <w:noProof/>
          </w:rPr>
          <w:t>Debt of large non-financial corporations</w:t>
        </w:r>
        <w:r>
          <w:rPr>
            <w:noProof/>
            <w:webHidden/>
          </w:rPr>
          <w:tab/>
        </w:r>
        <w:r>
          <w:rPr>
            <w:noProof/>
            <w:webHidden/>
          </w:rPr>
          <w:fldChar w:fldCharType="begin"/>
        </w:r>
        <w:r>
          <w:rPr>
            <w:noProof/>
            <w:webHidden/>
          </w:rPr>
          <w:instrText xml:space="preserve"> PAGEREF _Toc507233640 \h </w:instrText>
        </w:r>
        <w:r>
          <w:rPr>
            <w:noProof/>
            <w:webHidden/>
          </w:rPr>
        </w:r>
        <w:r>
          <w:rPr>
            <w:noProof/>
            <w:webHidden/>
          </w:rPr>
          <w:fldChar w:fldCharType="separate"/>
        </w:r>
        <w:r>
          <w:rPr>
            <w:noProof/>
            <w:webHidden/>
          </w:rPr>
          <w:t>27</w:t>
        </w:r>
        <w:r>
          <w:rPr>
            <w:noProof/>
            <w:webHidden/>
          </w:rPr>
          <w:fldChar w:fldCharType="end"/>
        </w:r>
      </w:hyperlink>
    </w:p>
    <w:p w:rsidR="00DC4807" w:rsidRDefault="0005641F">
      <w:pPr>
        <w:pStyle w:val="TOC6"/>
        <w:rPr>
          <w:rFonts w:eastAsiaTheme="minorEastAsia"/>
          <w:noProof/>
        </w:rPr>
      </w:pPr>
      <w:hyperlink w:anchor="_Toc507233641" w:history="1">
        <w:r>
          <w:rPr>
            <w:noProof/>
          </w:rPr>
          <w:t>Graph 4.2.6:</w:t>
        </w:r>
        <w:r>
          <w:rPr>
            <w:rFonts w:eastAsiaTheme="minorEastAsia"/>
            <w:noProof/>
          </w:rPr>
          <w:tab/>
        </w:r>
        <w:r>
          <w:rPr>
            <w:noProof/>
          </w:rPr>
          <w:t>Intra-group-to-total debt</w:t>
        </w:r>
        <w:r>
          <w:rPr>
            <w:noProof/>
            <w:webHidden/>
          </w:rPr>
          <w:tab/>
        </w:r>
        <w:r>
          <w:rPr>
            <w:noProof/>
            <w:webHidden/>
          </w:rPr>
          <w:fldChar w:fldCharType="begin"/>
        </w:r>
        <w:r>
          <w:rPr>
            <w:noProof/>
            <w:webHidden/>
          </w:rPr>
          <w:instrText xml:space="preserve"> PAGEREF _Toc507233641 \h </w:instrText>
        </w:r>
        <w:r>
          <w:rPr>
            <w:noProof/>
            <w:webHidden/>
          </w:rPr>
        </w:r>
        <w:r>
          <w:rPr>
            <w:noProof/>
            <w:webHidden/>
          </w:rPr>
          <w:fldChar w:fldCharType="separate"/>
        </w:r>
        <w:r>
          <w:rPr>
            <w:noProof/>
            <w:webHidden/>
          </w:rPr>
          <w:t>28</w:t>
        </w:r>
        <w:r>
          <w:rPr>
            <w:noProof/>
            <w:webHidden/>
          </w:rPr>
          <w:fldChar w:fldCharType="end"/>
        </w:r>
      </w:hyperlink>
    </w:p>
    <w:p w:rsidR="00DC4807" w:rsidRDefault="0005641F">
      <w:pPr>
        <w:pStyle w:val="TOC6"/>
        <w:rPr>
          <w:rFonts w:eastAsiaTheme="minorEastAsia"/>
          <w:noProof/>
        </w:rPr>
      </w:pPr>
      <w:hyperlink w:anchor="_Toc507233642" w:history="1">
        <w:r>
          <w:rPr>
            <w:noProof/>
          </w:rPr>
          <w:t>Graph 4.2.7:</w:t>
        </w:r>
        <w:r>
          <w:rPr>
            <w:rFonts w:eastAsiaTheme="minorEastAsia"/>
            <w:noProof/>
          </w:rPr>
          <w:tab/>
        </w:r>
        <w:r>
          <w:rPr>
            <w:noProof/>
          </w:rPr>
          <w:t>Interest paid and received by multinationals</w:t>
        </w:r>
        <w:r>
          <w:rPr>
            <w:noProof/>
            <w:webHidden/>
          </w:rPr>
          <w:tab/>
        </w:r>
        <w:r>
          <w:rPr>
            <w:noProof/>
            <w:webHidden/>
          </w:rPr>
          <w:fldChar w:fldCharType="begin"/>
        </w:r>
        <w:r>
          <w:rPr>
            <w:noProof/>
            <w:webHidden/>
          </w:rPr>
          <w:instrText xml:space="preserve"> PAGEREF _Toc507233642 \h </w:instrText>
        </w:r>
        <w:r>
          <w:rPr>
            <w:noProof/>
            <w:webHidden/>
          </w:rPr>
        </w:r>
        <w:r>
          <w:rPr>
            <w:noProof/>
            <w:webHidden/>
          </w:rPr>
          <w:fldChar w:fldCharType="separate"/>
        </w:r>
        <w:r>
          <w:rPr>
            <w:noProof/>
            <w:webHidden/>
          </w:rPr>
          <w:t>28</w:t>
        </w:r>
        <w:r>
          <w:rPr>
            <w:noProof/>
            <w:webHidden/>
          </w:rPr>
          <w:fldChar w:fldCharType="end"/>
        </w:r>
      </w:hyperlink>
    </w:p>
    <w:p w:rsidR="00DC4807" w:rsidRDefault="0005641F">
      <w:pPr>
        <w:pStyle w:val="TOC6"/>
        <w:rPr>
          <w:rFonts w:eastAsiaTheme="minorEastAsia"/>
          <w:noProof/>
        </w:rPr>
      </w:pPr>
      <w:hyperlink w:anchor="_Toc507233643" w:history="1">
        <w:r>
          <w:rPr>
            <w:noProof/>
          </w:rPr>
          <w:t>Graph 4.2.8:</w:t>
        </w:r>
        <w:r>
          <w:rPr>
            <w:rFonts w:eastAsiaTheme="minorEastAsia"/>
            <w:noProof/>
          </w:rPr>
          <w:tab/>
        </w:r>
        <w:r>
          <w:rPr>
            <w:noProof/>
          </w:rPr>
          <w:t>Compulsory payment wedge (2016)</w:t>
        </w:r>
        <w:r>
          <w:rPr>
            <w:noProof/>
            <w:webHidden/>
          </w:rPr>
          <w:tab/>
        </w:r>
        <w:r>
          <w:rPr>
            <w:noProof/>
            <w:webHidden/>
          </w:rPr>
          <w:fldChar w:fldCharType="begin"/>
        </w:r>
        <w:r>
          <w:rPr>
            <w:noProof/>
            <w:webHidden/>
          </w:rPr>
          <w:instrText xml:space="preserve"> PAGEREF _Toc507233643 \h </w:instrText>
        </w:r>
        <w:r>
          <w:rPr>
            <w:noProof/>
            <w:webHidden/>
          </w:rPr>
        </w:r>
        <w:r>
          <w:rPr>
            <w:noProof/>
            <w:webHidden/>
          </w:rPr>
          <w:fldChar w:fldCharType="separate"/>
        </w:r>
        <w:r>
          <w:rPr>
            <w:noProof/>
            <w:webHidden/>
          </w:rPr>
          <w:t>29</w:t>
        </w:r>
        <w:r>
          <w:rPr>
            <w:noProof/>
            <w:webHidden/>
          </w:rPr>
          <w:fldChar w:fldCharType="end"/>
        </w:r>
      </w:hyperlink>
    </w:p>
    <w:p w:rsidR="00DC4807" w:rsidRDefault="0005641F">
      <w:pPr>
        <w:pStyle w:val="TOC6"/>
        <w:rPr>
          <w:rFonts w:eastAsiaTheme="minorEastAsia"/>
          <w:noProof/>
        </w:rPr>
      </w:pPr>
      <w:hyperlink w:anchor="_Toc507233644" w:history="1">
        <w:r>
          <w:rPr>
            <w:noProof/>
          </w:rPr>
          <w:t>Graph 4.3.1:</w:t>
        </w:r>
        <w:r>
          <w:rPr>
            <w:rFonts w:eastAsiaTheme="minorEastAsia"/>
            <w:noProof/>
          </w:rPr>
          <w:tab/>
        </w:r>
        <w:r>
          <w:rPr>
            <w:noProof/>
          </w:rPr>
          <w:t>Main labour market developments</w:t>
        </w:r>
        <w:r>
          <w:rPr>
            <w:noProof/>
            <w:webHidden/>
          </w:rPr>
          <w:tab/>
        </w:r>
        <w:r>
          <w:rPr>
            <w:noProof/>
            <w:webHidden/>
          </w:rPr>
          <w:fldChar w:fldCharType="begin"/>
        </w:r>
        <w:r>
          <w:rPr>
            <w:noProof/>
            <w:webHidden/>
          </w:rPr>
          <w:instrText xml:space="preserve"> PAGEREF _Toc507233644 \h </w:instrText>
        </w:r>
        <w:r>
          <w:rPr>
            <w:noProof/>
            <w:webHidden/>
          </w:rPr>
        </w:r>
        <w:r>
          <w:rPr>
            <w:noProof/>
            <w:webHidden/>
          </w:rPr>
          <w:fldChar w:fldCharType="separate"/>
        </w:r>
        <w:r>
          <w:rPr>
            <w:noProof/>
            <w:webHidden/>
          </w:rPr>
          <w:t>31</w:t>
        </w:r>
        <w:r>
          <w:rPr>
            <w:noProof/>
            <w:webHidden/>
          </w:rPr>
          <w:fldChar w:fldCharType="end"/>
        </w:r>
      </w:hyperlink>
    </w:p>
    <w:p w:rsidR="00DC4807" w:rsidRDefault="0005641F">
      <w:pPr>
        <w:pStyle w:val="TOC6"/>
        <w:rPr>
          <w:rFonts w:eastAsiaTheme="minorEastAsia"/>
          <w:noProof/>
        </w:rPr>
      </w:pPr>
      <w:hyperlink w:anchor="_Toc507233645" w:history="1">
        <w:r>
          <w:rPr>
            <w:noProof/>
          </w:rPr>
          <w:t>Graph 4.3.2:</w:t>
        </w:r>
        <w:r>
          <w:rPr>
            <w:rFonts w:eastAsiaTheme="minorEastAsia"/>
            <w:noProof/>
          </w:rPr>
          <w:tab/>
        </w:r>
        <w:r>
          <w:rPr>
            <w:noProof/>
          </w:rPr>
          <w:t>Relationship between unemployment and nominal wag</w:t>
        </w:r>
        <w:r>
          <w:rPr>
            <w:noProof/>
          </w:rPr>
          <w:t>e growth (2001-2016)</w:t>
        </w:r>
        <w:r>
          <w:rPr>
            <w:noProof/>
            <w:webHidden/>
          </w:rPr>
          <w:tab/>
        </w:r>
        <w:r>
          <w:rPr>
            <w:noProof/>
            <w:webHidden/>
          </w:rPr>
          <w:fldChar w:fldCharType="begin"/>
        </w:r>
        <w:r>
          <w:rPr>
            <w:noProof/>
            <w:webHidden/>
          </w:rPr>
          <w:instrText xml:space="preserve"> PAGEREF _Toc507233645 \h </w:instrText>
        </w:r>
        <w:r>
          <w:rPr>
            <w:noProof/>
            <w:webHidden/>
          </w:rPr>
        </w:r>
        <w:r>
          <w:rPr>
            <w:noProof/>
            <w:webHidden/>
          </w:rPr>
          <w:fldChar w:fldCharType="separate"/>
        </w:r>
        <w:r>
          <w:rPr>
            <w:noProof/>
            <w:webHidden/>
          </w:rPr>
          <w:t>31</w:t>
        </w:r>
        <w:r>
          <w:rPr>
            <w:noProof/>
            <w:webHidden/>
          </w:rPr>
          <w:fldChar w:fldCharType="end"/>
        </w:r>
      </w:hyperlink>
    </w:p>
    <w:p w:rsidR="00DC4807" w:rsidRDefault="0005641F">
      <w:pPr>
        <w:pStyle w:val="TOC6"/>
        <w:rPr>
          <w:rFonts w:eastAsiaTheme="minorEastAsia"/>
          <w:noProof/>
        </w:rPr>
      </w:pPr>
      <w:hyperlink w:anchor="_Toc507233646" w:history="1">
        <w:r>
          <w:rPr>
            <w:noProof/>
          </w:rPr>
          <w:t>Graph 4.3.3:</w:t>
        </w:r>
        <w:r>
          <w:rPr>
            <w:rFonts w:eastAsiaTheme="minorEastAsia"/>
            <w:noProof/>
          </w:rPr>
          <w:tab/>
        </w:r>
        <w:r>
          <w:rPr>
            <w:noProof/>
          </w:rPr>
          <w:t>Share of part-time work with and without children (2016)</w:t>
        </w:r>
        <w:r>
          <w:rPr>
            <w:noProof/>
            <w:webHidden/>
          </w:rPr>
          <w:tab/>
        </w:r>
        <w:r>
          <w:rPr>
            <w:noProof/>
            <w:webHidden/>
          </w:rPr>
          <w:fldChar w:fldCharType="begin"/>
        </w:r>
        <w:r>
          <w:rPr>
            <w:noProof/>
            <w:webHidden/>
          </w:rPr>
          <w:instrText xml:space="preserve"> PAGEREF _Toc507233646 \h </w:instrText>
        </w:r>
        <w:r>
          <w:rPr>
            <w:noProof/>
            <w:webHidden/>
          </w:rPr>
        </w:r>
        <w:r>
          <w:rPr>
            <w:noProof/>
            <w:webHidden/>
          </w:rPr>
          <w:fldChar w:fldCharType="separate"/>
        </w:r>
        <w:r>
          <w:rPr>
            <w:noProof/>
            <w:webHidden/>
          </w:rPr>
          <w:t>33</w:t>
        </w:r>
        <w:r>
          <w:rPr>
            <w:noProof/>
            <w:webHidden/>
          </w:rPr>
          <w:fldChar w:fldCharType="end"/>
        </w:r>
      </w:hyperlink>
    </w:p>
    <w:p w:rsidR="00DC4807" w:rsidRDefault="0005641F">
      <w:pPr>
        <w:pStyle w:val="TOC6"/>
        <w:rPr>
          <w:rFonts w:eastAsiaTheme="minorEastAsia"/>
          <w:noProof/>
        </w:rPr>
      </w:pPr>
      <w:hyperlink w:anchor="_Toc507233647" w:history="1">
        <w:r>
          <w:rPr>
            <w:noProof/>
          </w:rPr>
          <w:t>Graph 4.3.4:</w:t>
        </w:r>
        <w:r>
          <w:rPr>
            <w:rFonts w:eastAsiaTheme="minorEastAsia"/>
            <w:noProof/>
          </w:rPr>
          <w:tab/>
        </w:r>
        <w:r>
          <w:rPr>
            <w:noProof/>
          </w:rPr>
          <w:t>Female labour market participation (with child)</w:t>
        </w:r>
        <w:r>
          <w:rPr>
            <w:noProof/>
            <w:webHidden/>
          </w:rPr>
          <w:tab/>
        </w:r>
        <w:r>
          <w:rPr>
            <w:noProof/>
            <w:webHidden/>
          </w:rPr>
          <w:fldChar w:fldCharType="begin"/>
        </w:r>
        <w:r>
          <w:rPr>
            <w:noProof/>
            <w:webHidden/>
          </w:rPr>
          <w:instrText xml:space="preserve"> PAGEREF _Toc507233647 \h </w:instrText>
        </w:r>
        <w:r>
          <w:rPr>
            <w:noProof/>
            <w:webHidden/>
          </w:rPr>
        </w:r>
        <w:r>
          <w:rPr>
            <w:noProof/>
            <w:webHidden/>
          </w:rPr>
          <w:fldChar w:fldCharType="separate"/>
        </w:r>
        <w:r>
          <w:rPr>
            <w:noProof/>
            <w:webHidden/>
          </w:rPr>
          <w:t>33</w:t>
        </w:r>
        <w:r>
          <w:rPr>
            <w:noProof/>
            <w:webHidden/>
          </w:rPr>
          <w:fldChar w:fldCharType="end"/>
        </w:r>
      </w:hyperlink>
    </w:p>
    <w:p w:rsidR="00DC4807" w:rsidRDefault="0005641F">
      <w:pPr>
        <w:pStyle w:val="TOC6"/>
        <w:rPr>
          <w:rFonts w:eastAsiaTheme="minorEastAsia"/>
          <w:noProof/>
        </w:rPr>
      </w:pPr>
      <w:hyperlink w:anchor="_Toc507233648" w:history="1">
        <w:r>
          <w:rPr>
            <w:noProof/>
          </w:rPr>
          <w:t>Graph 4.3.5:</w:t>
        </w:r>
        <w:r>
          <w:rPr>
            <w:rFonts w:eastAsiaTheme="minorEastAsia"/>
            <w:noProof/>
          </w:rPr>
          <w:tab/>
        </w:r>
        <w:r>
          <w:rPr>
            <w:noProof/>
          </w:rPr>
          <w:t>Employment (20-64 year) by type (y-o-y changes)</w:t>
        </w:r>
        <w:r>
          <w:rPr>
            <w:noProof/>
            <w:webHidden/>
          </w:rPr>
          <w:tab/>
        </w:r>
        <w:r>
          <w:rPr>
            <w:noProof/>
            <w:webHidden/>
          </w:rPr>
          <w:fldChar w:fldCharType="begin"/>
        </w:r>
        <w:r>
          <w:rPr>
            <w:noProof/>
            <w:webHidden/>
          </w:rPr>
          <w:instrText xml:space="preserve"> PAGEREF _Toc507233648 \h </w:instrText>
        </w:r>
        <w:r>
          <w:rPr>
            <w:noProof/>
            <w:webHidden/>
          </w:rPr>
        </w:r>
        <w:r>
          <w:rPr>
            <w:noProof/>
            <w:webHidden/>
          </w:rPr>
          <w:fldChar w:fldCharType="separate"/>
        </w:r>
        <w:r>
          <w:rPr>
            <w:noProof/>
            <w:webHidden/>
          </w:rPr>
          <w:t>35</w:t>
        </w:r>
        <w:r>
          <w:rPr>
            <w:noProof/>
            <w:webHidden/>
          </w:rPr>
          <w:fldChar w:fldCharType="end"/>
        </w:r>
      </w:hyperlink>
    </w:p>
    <w:p w:rsidR="00DC4807" w:rsidRDefault="0005641F">
      <w:pPr>
        <w:pStyle w:val="TOC6"/>
        <w:rPr>
          <w:rFonts w:eastAsiaTheme="minorEastAsia"/>
          <w:noProof/>
        </w:rPr>
      </w:pPr>
      <w:hyperlink w:anchor="_Toc507233649" w:history="1">
        <w:r>
          <w:rPr>
            <w:noProof/>
          </w:rPr>
          <w:t>Graph 4.3.6:</w:t>
        </w:r>
        <w:r>
          <w:rPr>
            <w:rFonts w:eastAsiaTheme="minorEastAsia"/>
            <w:noProof/>
          </w:rPr>
          <w:tab/>
        </w:r>
        <w:r>
          <w:rPr>
            <w:noProof/>
          </w:rPr>
          <w:t>Self-employed by sector ( % of total employment in the sector)</w:t>
        </w:r>
        <w:r>
          <w:rPr>
            <w:noProof/>
            <w:webHidden/>
          </w:rPr>
          <w:tab/>
        </w:r>
        <w:r>
          <w:rPr>
            <w:noProof/>
            <w:webHidden/>
          </w:rPr>
          <w:fldChar w:fldCharType="begin"/>
        </w:r>
        <w:r>
          <w:rPr>
            <w:noProof/>
            <w:webHidden/>
          </w:rPr>
          <w:instrText xml:space="preserve"> PAGEREF _Toc507233649 \h </w:instrText>
        </w:r>
        <w:r>
          <w:rPr>
            <w:noProof/>
            <w:webHidden/>
          </w:rPr>
        </w:r>
        <w:r>
          <w:rPr>
            <w:noProof/>
            <w:webHidden/>
          </w:rPr>
          <w:fldChar w:fldCharType="separate"/>
        </w:r>
        <w:r>
          <w:rPr>
            <w:noProof/>
            <w:webHidden/>
          </w:rPr>
          <w:t>35</w:t>
        </w:r>
        <w:r>
          <w:rPr>
            <w:noProof/>
            <w:webHidden/>
          </w:rPr>
          <w:fldChar w:fldCharType="end"/>
        </w:r>
      </w:hyperlink>
    </w:p>
    <w:p w:rsidR="00DC4807" w:rsidRDefault="0005641F">
      <w:pPr>
        <w:pStyle w:val="TOC6"/>
        <w:rPr>
          <w:rFonts w:eastAsiaTheme="minorEastAsia"/>
          <w:noProof/>
        </w:rPr>
      </w:pPr>
      <w:hyperlink w:anchor="_Toc507233650" w:history="1">
        <w:r>
          <w:rPr>
            <w:noProof/>
          </w:rPr>
          <w:t>Graph 4.3.7:</w:t>
        </w:r>
        <w:r>
          <w:rPr>
            <w:rFonts w:eastAsiaTheme="minorEastAsia"/>
            <w:noProof/>
          </w:rPr>
          <w:tab/>
        </w:r>
        <w:r>
          <w:rPr>
            <w:noProof/>
          </w:rPr>
          <w:t>Trans</w:t>
        </w:r>
        <w:r>
          <w:rPr>
            <w:noProof/>
          </w:rPr>
          <w:t>ition rate from temporary to permanent employment by quarter</w:t>
        </w:r>
        <w:r>
          <w:rPr>
            <w:noProof/>
            <w:webHidden/>
          </w:rPr>
          <w:tab/>
        </w:r>
        <w:r>
          <w:rPr>
            <w:noProof/>
            <w:webHidden/>
          </w:rPr>
          <w:fldChar w:fldCharType="begin"/>
        </w:r>
        <w:r>
          <w:rPr>
            <w:noProof/>
            <w:webHidden/>
          </w:rPr>
          <w:instrText xml:space="preserve"> PAGEREF _Toc507233650 \h </w:instrText>
        </w:r>
        <w:r>
          <w:rPr>
            <w:noProof/>
            <w:webHidden/>
          </w:rPr>
        </w:r>
        <w:r>
          <w:rPr>
            <w:noProof/>
            <w:webHidden/>
          </w:rPr>
          <w:fldChar w:fldCharType="separate"/>
        </w:r>
        <w:r>
          <w:rPr>
            <w:noProof/>
            <w:webHidden/>
          </w:rPr>
          <w:t>36</w:t>
        </w:r>
        <w:r>
          <w:rPr>
            <w:noProof/>
            <w:webHidden/>
          </w:rPr>
          <w:fldChar w:fldCharType="end"/>
        </w:r>
      </w:hyperlink>
    </w:p>
    <w:p w:rsidR="00DC4807" w:rsidRDefault="0005641F">
      <w:pPr>
        <w:pStyle w:val="TOC6"/>
        <w:rPr>
          <w:rFonts w:eastAsiaTheme="minorEastAsia"/>
          <w:noProof/>
        </w:rPr>
      </w:pPr>
      <w:hyperlink w:anchor="_Toc507233651" w:history="1">
        <w:r>
          <w:rPr>
            <w:noProof/>
          </w:rPr>
          <w:t>Graph 4.4.1:</w:t>
        </w:r>
        <w:r>
          <w:rPr>
            <w:rFonts w:eastAsiaTheme="minorEastAsia"/>
            <w:noProof/>
          </w:rPr>
          <w:tab/>
        </w:r>
        <w:r>
          <w:rPr>
            <w:noProof/>
          </w:rPr>
          <w:t>Investment by asset</w:t>
        </w:r>
        <w:r>
          <w:rPr>
            <w:noProof/>
            <w:webHidden/>
          </w:rPr>
          <w:tab/>
        </w:r>
        <w:r>
          <w:rPr>
            <w:noProof/>
            <w:webHidden/>
          </w:rPr>
          <w:fldChar w:fldCharType="begin"/>
        </w:r>
        <w:r>
          <w:rPr>
            <w:noProof/>
            <w:webHidden/>
          </w:rPr>
          <w:instrText xml:space="preserve"> PAGEREF _Toc507233651 \h </w:instrText>
        </w:r>
        <w:r>
          <w:rPr>
            <w:noProof/>
            <w:webHidden/>
          </w:rPr>
        </w:r>
        <w:r>
          <w:rPr>
            <w:noProof/>
            <w:webHidden/>
          </w:rPr>
          <w:fldChar w:fldCharType="separate"/>
        </w:r>
        <w:r>
          <w:rPr>
            <w:noProof/>
            <w:webHidden/>
          </w:rPr>
          <w:t>40</w:t>
        </w:r>
        <w:r>
          <w:rPr>
            <w:noProof/>
            <w:webHidden/>
          </w:rPr>
          <w:fldChar w:fldCharType="end"/>
        </w:r>
      </w:hyperlink>
    </w:p>
    <w:p w:rsidR="00DC4807" w:rsidRDefault="0005641F">
      <w:pPr>
        <w:pStyle w:val="TOC6"/>
        <w:rPr>
          <w:rFonts w:eastAsiaTheme="minorEastAsia"/>
          <w:noProof/>
        </w:rPr>
      </w:pPr>
      <w:hyperlink w:anchor="_Toc507233652" w:history="1">
        <w:r>
          <w:rPr>
            <w:noProof/>
          </w:rPr>
          <w:t>Graph 4.4.2:</w:t>
        </w:r>
        <w:r>
          <w:rPr>
            <w:rFonts w:eastAsiaTheme="minorEastAsia"/>
            <w:noProof/>
          </w:rPr>
          <w:tab/>
        </w:r>
        <w:r>
          <w:rPr>
            <w:noProof/>
          </w:rPr>
          <w:t>Domestic and foreign investment</w:t>
        </w:r>
        <w:r>
          <w:rPr>
            <w:noProof/>
            <w:webHidden/>
          </w:rPr>
          <w:tab/>
        </w:r>
        <w:r>
          <w:rPr>
            <w:noProof/>
            <w:webHidden/>
          </w:rPr>
          <w:fldChar w:fldCharType="begin"/>
        </w:r>
        <w:r>
          <w:rPr>
            <w:noProof/>
            <w:webHidden/>
          </w:rPr>
          <w:instrText xml:space="preserve"> PAGEREF _Toc507233652 \h </w:instrText>
        </w:r>
        <w:r>
          <w:rPr>
            <w:noProof/>
            <w:webHidden/>
          </w:rPr>
        </w:r>
        <w:r>
          <w:rPr>
            <w:noProof/>
            <w:webHidden/>
          </w:rPr>
          <w:fldChar w:fldCharType="separate"/>
        </w:r>
        <w:r>
          <w:rPr>
            <w:noProof/>
            <w:webHidden/>
          </w:rPr>
          <w:t>40</w:t>
        </w:r>
        <w:r>
          <w:rPr>
            <w:noProof/>
            <w:webHidden/>
          </w:rPr>
          <w:fldChar w:fldCharType="end"/>
        </w:r>
      </w:hyperlink>
    </w:p>
    <w:p w:rsidR="00DC4807" w:rsidRDefault="0005641F">
      <w:pPr>
        <w:pStyle w:val="TOC6"/>
        <w:rPr>
          <w:rFonts w:eastAsiaTheme="minorEastAsia"/>
          <w:noProof/>
        </w:rPr>
      </w:pPr>
      <w:hyperlink w:anchor="_Toc507233653" w:history="1">
        <w:r>
          <w:rPr>
            <w:noProof/>
          </w:rPr>
          <w:t>Graph 4.4.3:</w:t>
        </w:r>
        <w:r>
          <w:rPr>
            <w:rFonts w:eastAsiaTheme="minorEastAsia"/>
            <w:noProof/>
          </w:rPr>
          <w:tab/>
        </w:r>
        <w:r>
          <w:rPr>
            <w:noProof/>
          </w:rPr>
          <w:t>Net lending/borrowing by sector</w:t>
        </w:r>
        <w:r>
          <w:rPr>
            <w:noProof/>
            <w:webHidden/>
          </w:rPr>
          <w:tab/>
        </w:r>
        <w:r>
          <w:rPr>
            <w:noProof/>
            <w:webHidden/>
          </w:rPr>
          <w:fldChar w:fldCharType="begin"/>
        </w:r>
        <w:r>
          <w:rPr>
            <w:noProof/>
            <w:webHidden/>
          </w:rPr>
          <w:instrText xml:space="preserve"> PAGEREF _Toc507233653 \h </w:instrText>
        </w:r>
        <w:r>
          <w:rPr>
            <w:noProof/>
            <w:webHidden/>
          </w:rPr>
        </w:r>
        <w:r>
          <w:rPr>
            <w:noProof/>
            <w:webHidden/>
          </w:rPr>
          <w:fldChar w:fldCharType="separate"/>
        </w:r>
        <w:r>
          <w:rPr>
            <w:noProof/>
            <w:webHidden/>
          </w:rPr>
          <w:t>41</w:t>
        </w:r>
        <w:r>
          <w:rPr>
            <w:noProof/>
            <w:webHidden/>
          </w:rPr>
          <w:fldChar w:fldCharType="end"/>
        </w:r>
      </w:hyperlink>
    </w:p>
    <w:p w:rsidR="00DC4807" w:rsidRDefault="0005641F">
      <w:pPr>
        <w:pStyle w:val="TOC6"/>
        <w:rPr>
          <w:rFonts w:eastAsiaTheme="minorEastAsia"/>
          <w:noProof/>
        </w:rPr>
      </w:pPr>
      <w:hyperlink w:anchor="_Toc507233654" w:history="1">
        <w:r>
          <w:rPr>
            <w:noProof/>
          </w:rPr>
          <w:t>Graph 4.4.4:</w:t>
        </w:r>
        <w:r>
          <w:rPr>
            <w:rFonts w:eastAsiaTheme="minorEastAsia"/>
            <w:noProof/>
          </w:rPr>
          <w:tab/>
        </w:r>
        <w:r>
          <w:rPr>
            <w:noProof/>
          </w:rPr>
          <w:t>Non-financial corporate sector saving and investment</w:t>
        </w:r>
        <w:r>
          <w:rPr>
            <w:noProof/>
            <w:webHidden/>
          </w:rPr>
          <w:tab/>
        </w:r>
        <w:r>
          <w:rPr>
            <w:noProof/>
            <w:webHidden/>
          </w:rPr>
          <w:fldChar w:fldCharType="begin"/>
        </w:r>
        <w:r>
          <w:rPr>
            <w:noProof/>
            <w:webHidden/>
          </w:rPr>
          <w:instrText xml:space="preserve"> PAGEREF _Toc507233654 \h </w:instrText>
        </w:r>
        <w:r>
          <w:rPr>
            <w:noProof/>
            <w:webHidden/>
          </w:rPr>
        </w:r>
        <w:r>
          <w:rPr>
            <w:noProof/>
            <w:webHidden/>
          </w:rPr>
          <w:fldChar w:fldCharType="separate"/>
        </w:r>
        <w:r>
          <w:rPr>
            <w:noProof/>
            <w:webHidden/>
          </w:rPr>
          <w:t>41</w:t>
        </w:r>
        <w:r>
          <w:rPr>
            <w:noProof/>
            <w:webHidden/>
          </w:rPr>
          <w:fldChar w:fldCharType="end"/>
        </w:r>
      </w:hyperlink>
    </w:p>
    <w:p w:rsidR="00DC4807" w:rsidRDefault="0005641F">
      <w:pPr>
        <w:pStyle w:val="TOC6"/>
        <w:rPr>
          <w:rFonts w:eastAsiaTheme="minorEastAsia"/>
          <w:noProof/>
        </w:rPr>
      </w:pPr>
      <w:hyperlink w:anchor="_Toc507233655" w:history="1">
        <w:r>
          <w:rPr>
            <w:noProof/>
          </w:rPr>
          <w:t>Graph 4.4.5:</w:t>
        </w:r>
        <w:r>
          <w:rPr>
            <w:rFonts w:eastAsiaTheme="minorEastAsia"/>
            <w:noProof/>
          </w:rPr>
          <w:tab/>
        </w:r>
        <w:r>
          <w:rPr>
            <w:noProof/>
          </w:rPr>
          <w:t xml:space="preserve">Gross savings by non-financial </w:t>
        </w:r>
        <w:r>
          <w:rPr>
            <w:noProof/>
          </w:rPr>
          <w:t>corporations</w:t>
        </w:r>
        <w:r>
          <w:rPr>
            <w:noProof/>
            <w:webHidden/>
          </w:rPr>
          <w:tab/>
        </w:r>
        <w:r>
          <w:rPr>
            <w:noProof/>
            <w:webHidden/>
          </w:rPr>
          <w:fldChar w:fldCharType="begin"/>
        </w:r>
        <w:r>
          <w:rPr>
            <w:noProof/>
            <w:webHidden/>
          </w:rPr>
          <w:instrText xml:space="preserve"> PAGEREF _Toc507233655 \h </w:instrText>
        </w:r>
        <w:r>
          <w:rPr>
            <w:noProof/>
            <w:webHidden/>
          </w:rPr>
        </w:r>
        <w:r>
          <w:rPr>
            <w:noProof/>
            <w:webHidden/>
          </w:rPr>
          <w:fldChar w:fldCharType="separate"/>
        </w:r>
        <w:r>
          <w:rPr>
            <w:noProof/>
            <w:webHidden/>
          </w:rPr>
          <w:t>41</w:t>
        </w:r>
        <w:r>
          <w:rPr>
            <w:noProof/>
            <w:webHidden/>
          </w:rPr>
          <w:fldChar w:fldCharType="end"/>
        </w:r>
      </w:hyperlink>
    </w:p>
    <w:p w:rsidR="00DC4807" w:rsidRDefault="0005641F">
      <w:pPr>
        <w:pStyle w:val="TOC6"/>
        <w:rPr>
          <w:rFonts w:eastAsiaTheme="minorEastAsia"/>
          <w:noProof/>
        </w:rPr>
      </w:pPr>
      <w:hyperlink w:anchor="_Toc507233656" w:history="1">
        <w:r>
          <w:rPr>
            <w:noProof/>
          </w:rPr>
          <w:t>Graph 4.4.6:</w:t>
        </w:r>
        <w:r>
          <w:rPr>
            <w:rFonts w:eastAsiaTheme="minorEastAsia"/>
            <w:noProof/>
          </w:rPr>
          <w:tab/>
        </w:r>
        <w:r>
          <w:rPr>
            <w:noProof/>
          </w:rPr>
          <w:t>Gross operating surplus and components</w:t>
        </w:r>
        <w:r>
          <w:rPr>
            <w:noProof/>
            <w:webHidden/>
          </w:rPr>
          <w:tab/>
        </w:r>
        <w:r>
          <w:rPr>
            <w:noProof/>
            <w:webHidden/>
          </w:rPr>
          <w:fldChar w:fldCharType="begin"/>
        </w:r>
        <w:r>
          <w:rPr>
            <w:noProof/>
            <w:webHidden/>
          </w:rPr>
          <w:instrText xml:space="preserve"> PAGEREF _Toc507233656 \h </w:instrText>
        </w:r>
        <w:r>
          <w:rPr>
            <w:noProof/>
            <w:webHidden/>
          </w:rPr>
        </w:r>
        <w:r>
          <w:rPr>
            <w:noProof/>
            <w:webHidden/>
          </w:rPr>
          <w:fldChar w:fldCharType="separate"/>
        </w:r>
        <w:r>
          <w:rPr>
            <w:noProof/>
            <w:webHidden/>
          </w:rPr>
          <w:t>42</w:t>
        </w:r>
        <w:r>
          <w:rPr>
            <w:noProof/>
            <w:webHidden/>
          </w:rPr>
          <w:fldChar w:fldCharType="end"/>
        </w:r>
      </w:hyperlink>
    </w:p>
    <w:p w:rsidR="00DC4807" w:rsidRDefault="0005641F">
      <w:pPr>
        <w:pStyle w:val="TOC6"/>
        <w:rPr>
          <w:rFonts w:eastAsiaTheme="minorEastAsia"/>
          <w:noProof/>
        </w:rPr>
      </w:pPr>
      <w:hyperlink w:anchor="_Toc507233657" w:history="1">
        <w:r>
          <w:rPr>
            <w:noProof/>
          </w:rPr>
          <w:t>Graph 4.4.7:</w:t>
        </w:r>
        <w:r>
          <w:rPr>
            <w:rFonts w:eastAsiaTheme="minorEastAsia"/>
            <w:noProof/>
          </w:rPr>
          <w:tab/>
        </w:r>
        <w:r>
          <w:rPr>
            <w:noProof/>
          </w:rPr>
          <w:t>Net operating surplus by sector</w:t>
        </w:r>
        <w:r>
          <w:rPr>
            <w:noProof/>
            <w:webHidden/>
          </w:rPr>
          <w:tab/>
        </w:r>
        <w:r>
          <w:rPr>
            <w:noProof/>
            <w:webHidden/>
          </w:rPr>
          <w:fldChar w:fldCharType="begin"/>
        </w:r>
        <w:r>
          <w:rPr>
            <w:noProof/>
            <w:webHidden/>
          </w:rPr>
          <w:instrText xml:space="preserve"> PAGEREF _Toc507233657 \h </w:instrText>
        </w:r>
        <w:r>
          <w:rPr>
            <w:noProof/>
            <w:webHidden/>
          </w:rPr>
        </w:r>
        <w:r>
          <w:rPr>
            <w:noProof/>
            <w:webHidden/>
          </w:rPr>
          <w:fldChar w:fldCharType="separate"/>
        </w:r>
        <w:r>
          <w:rPr>
            <w:noProof/>
            <w:webHidden/>
          </w:rPr>
          <w:t>42</w:t>
        </w:r>
        <w:r>
          <w:rPr>
            <w:noProof/>
            <w:webHidden/>
          </w:rPr>
          <w:fldChar w:fldCharType="end"/>
        </w:r>
      </w:hyperlink>
    </w:p>
    <w:p w:rsidR="00DC4807" w:rsidRDefault="0005641F">
      <w:pPr>
        <w:pStyle w:val="TOC6"/>
        <w:rPr>
          <w:rFonts w:eastAsiaTheme="minorEastAsia"/>
          <w:noProof/>
        </w:rPr>
      </w:pPr>
      <w:hyperlink w:anchor="_Toc507233658" w:history="1">
        <w:r>
          <w:rPr>
            <w:noProof/>
          </w:rPr>
          <w:t>Graph 4.4.8:</w:t>
        </w:r>
        <w:r>
          <w:rPr>
            <w:rFonts w:eastAsiaTheme="minorEastAsia"/>
            <w:noProof/>
          </w:rPr>
          <w:tab/>
        </w:r>
        <w:r>
          <w:rPr>
            <w:noProof/>
          </w:rPr>
          <w:t>Net distributed income ratios</w:t>
        </w:r>
        <w:r>
          <w:rPr>
            <w:noProof/>
            <w:webHidden/>
          </w:rPr>
          <w:tab/>
        </w:r>
        <w:r>
          <w:rPr>
            <w:noProof/>
            <w:webHidden/>
          </w:rPr>
          <w:fldChar w:fldCharType="begin"/>
        </w:r>
        <w:r>
          <w:rPr>
            <w:noProof/>
            <w:webHidden/>
          </w:rPr>
          <w:instrText xml:space="preserve"> PAGEREF _Toc507233658 \h </w:instrText>
        </w:r>
        <w:r>
          <w:rPr>
            <w:noProof/>
            <w:webHidden/>
          </w:rPr>
        </w:r>
        <w:r>
          <w:rPr>
            <w:noProof/>
            <w:webHidden/>
          </w:rPr>
          <w:fldChar w:fldCharType="separate"/>
        </w:r>
        <w:r>
          <w:rPr>
            <w:noProof/>
            <w:webHidden/>
          </w:rPr>
          <w:t>43</w:t>
        </w:r>
        <w:r>
          <w:rPr>
            <w:noProof/>
            <w:webHidden/>
          </w:rPr>
          <w:fldChar w:fldCharType="end"/>
        </w:r>
      </w:hyperlink>
    </w:p>
    <w:p w:rsidR="00DC4807" w:rsidRDefault="0005641F">
      <w:pPr>
        <w:pStyle w:val="TOC6"/>
        <w:rPr>
          <w:rFonts w:eastAsiaTheme="minorEastAsia"/>
          <w:noProof/>
        </w:rPr>
      </w:pPr>
      <w:hyperlink w:anchor="_Toc507233659" w:history="1">
        <w:r>
          <w:rPr>
            <w:noProof/>
          </w:rPr>
          <w:t>Graph 4.4.9:</w:t>
        </w:r>
        <w:r>
          <w:rPr>
            <w:rFonts w:eastAsiaTheme="minorEastAsia"/>
            <w:noProof/>
          </w:rPr>
          <w:tab/>
        </w:r>
        <w:r>
          <w:rPr>
            <w:noProof/>
          </w:rPr>
          <w:t>Corporate savings by firm size</w:t>
        </w:r>
        <w:r>
          <w:rPr>
            <w:noProof/>
            <w:webHidden/>
          </w:rPr>
          <w:tab/>
        </w:r>
        <w:r>
          <w:rPr>
            <w:noProof/>
            <w:webHidden/>
          </w:rPr>
          <w:fldChar w:fldCharType="begin"/>
        </w:r>
        <w:r>
          <w:rPr>
            <w:noProof/>
            <w:webHidden/>
          </w:rPr>
          <w:instrText xml:space="preserve"> PAGEREF _Toc507233659 \h </w:instrText>
        </w:r>
        <w:r>
          <w:rPr>
            <w:noProof/>
            <w:webHidden/>
          </w:rPr>
        </w:r>
        <w:r>
          <w:rPr>
            <w:noProof/>
            <w:webHidden/>
          </w:rPr>
          <w:fldChar w:fldCharType="separate"/>
        </w:r>
        <w:r>
          <w:rPr>
            <w:noProof/>
            <w:webHidden/>
          </w:rPr>
          <w:t>43</w:t>
        </w:r>
        <w:r>
          <w:rPr>
            <w:noProof/>
            <w:webHidden/>
          </w:rPr>
          <w:fldChar w:fldCharType="end"/>
        </w:r>
      </w:hyperlink>
    </w:p>
    <w:p w:rsidR="00DC4807" w:rsidRDefault="0005641F">
      <w:pPr>
        <w:pStyle w:val="TOC6"/>
        <w:rPr>
          <w:rFonts w:eastAsiaTheme="minorEastAsia"/>
          <w:noProof/>
        </w:rPr>
      </w:pPr>
      <w:hyperlink w:anchor="_Toc507233660" w:history="1">
        <w:r>
          <w:rPr>
            <w:noProof/>
          </w:rPr>
          <w:t>Graph 4.4.10:</w:t>
        </w:r>
        <w:r>
          <w:rPr>
            <w:rFonts w:eastAsiaTheme="minorEastAsia"/>
            <w:noProof/>
          </w:rPr>
          <w:tab/>
        </w:r>
        <w:r>
          <w:rPr>
            <w:noProof/>
          </w:rPr>
          <w:t>Current account</w:t>
        </w:r>
        <w:r>
          <w:rPr>
            <w:noProof/>
            <w:webHidden/>
          </w:rPr>
          <w:tab/>
        </w:r>
        <w:r>
          <w:rPr>
            <w:noProof/>
            <w:webHidden/>
          </w:rPr>
          <w:fldChar w:fldCharType="begin"/>
        </w:r>
        <w:r>
          <w:rPr>
            <w:noProof/>
            <w:webHidden/>
          </w:rPr>
          <w:instrText xml:space="preserve"> PAGEREF _Toc507233660 \h </w:instrText>
        </w:r>
        <w:r>
          <w:rPr>
            <w:noProof/>
            <w:webHidden/>
          </w:rPr>
        </w:r>
        <w:r>
          <w:rPr>
            <w:noProof/>
            <w:webHidden/>
          </w:rPr>
          <w:fldChar w:fldCharType="separate"/>
        </w:r>
        <w:r>
          <w:rPr>
            <w:noProof/>
            <w:webHidden/>
          </w:rPr>
          <w:t>44</w:t>
        </w:r>
        <w:r>
          <w:rPr>
            <w:noProof/>
            <w:webHidden/>
          </w:rPr>
          <w:fldChar w:fldCharType="end"/>
        </w:r>
      </w:hyperlink>
    </w:p>
    <w:p w:rsidR="00DC4807" w:rsidRDefault="0005641F">
      <w:pPr>
        <w:pStyle w:val="TOC6"/>
        <w:rPr>
          <w:rFonts w:eastAsiaTheme="minorEastAsia"/>
          <w:noProof/>
        </w:rPr>
      </w:pPr>
      <w:hyperlink w:anchor="_Toc507233661" w:history="1">
        <w:r>
          <w:rPr>
            <w:noProof/>
          </w:rPr>
          <w:t>Graph 4.4.11:</w:t>
        </w:r>
        <w:r>
          <w:rPr>
            <w:rFonts w:eastAsiaTheme="minorEastAsia"/>
            <w:noProof/>
          </w:rPr>
          <w:tab/>
        </w:r>
        <w:r>
          <w:rPr>
            <w:noProof/>
          </w:rPr>
          <w:t>Trade balance goods by product group (2016)</w:t>
        </w:r>
        <w:r>
          <w:rPr>
            <w:noProof/>
            <w:webHidden/>
          </w:rPr>
          <w:tab/>
        </w:r>
        <w:r>
          <w:rPr>
            <w:noProof/>
            <w:webHidden/>
          </w:rPr>
          <w:fldChar w:fldCharType="begin"/>
        </w:r>
        <w:r>
          <w:rPr>
            <w:noProof/>
            <w:webHidden/>
          </w:rPr>
          <w:instrText xml:space="preserve"> PAGEREF _Toc507233661 \h </w:instrText>
        </w:r>
        <w:r>
          <w:rPr>
            <w:noProof/>
            <w:webHidden/>
          </w:rPr>
        </w:r>
        <w:r>
          <w:rPr>
            <w:noProof/>
            <w:webHidden/>
          </w:rPr>
          <w:fldChar w:fldCharType="separate"/>
        </w:r>
        <w:r>
          <w:rPr>
            <w:noProof/>
            <w:webHidden/>
          </w:rPr>
          <w:t>44</w:t>
        </w:r>
        <w:r>
          <w:rPr>
            <w:noProof/>
            <w:webHidden/>
          </w:rPr>
          <w:fldChar w:fldCharType="end"/>
        </w:r>
      </w:hyperlink>
    </w:p>
    <w:p w:rsidR="00DC4807" w:rsidRDefault="0005641F">
      <w:pPr>
        <w:pStyle w:val="TOC6"/>
        <w:rPr>
          <w:rFonts w:eastAsiaTheme="minorEastAsia"/>
          <w:noProof/>
        </w:rPr>
      </w:pPr>
      <w:hyperlink w:anchor="_Toc507233662" w:history="1">
        <w:r>
          <w:rPr>
            <w:noProof/>
          </w:rPr>
          <w:t>Graph 4.4.12:</w:t>
        </w:r>
        <w:r>
          <w:rPr>
            <w:rFonts w:eastAsiaTheme="minorEastAsia"/>
            <w:noProof/>
          </w:rPr>
          <w:tab/>
        </w:r>
        <w:r>
          <w:rPr>
            <w:noProof/>
          </w:rPr>
          <w:t>Trade balance services by product group (2016)</w:t>
        </w:r>
        <w:r>
          <w:rPr>
            <w:noProof/>
            <w:webHidden/>
          </w:rPr>
          <w:tab/>
        </w:r>
        <w:r>
          <w:rPr>
            <w:noProof/>
            <w:webHidden/>
          </w:rPr>
          <w:fldChar w:fldCharType="begin"/>
        </w:r>
        <w:r>
          <w:rPr>
            <w:noProof/>
            <w:webHidden/>
          </w:rPr>
          <w:instrText xml:space="preserve"> PAGEREF _Toc507233662 \h </w:instrText>
        </w:r>
        <w:r>
          <w:rPr>
            <w:noProof/>
            <w:webHidden/>
          </w:rPr>
        </w:r>
        <w:r>
          <w:rPr>
            <w:noProof/>
            <w:webHidden/>
          </w:rPr>
          <w:fldChar w:fldCharType="separate"/>
        </w:r>
        <w:r>
          <w:rPr>
            <w:noProof/>
            <w:webHidden/>
          </w:rPr>
          <w:t>44</w:t>
        </w:r>
        <w:r>
          <w:rPr>
            <w:noProof/>
            <w:webHidden/>
          </w:rPr>
          <w:fldChar w:fldCharType="end"/>
        </w:r>
      </w:hyperlink>
    </w:p>
    <w:p w:rsidR="00DC4807" w:rsidRDefault="0005641F">
      <w:pPr>
        <w:pStyle w:val="TOC6"/>
        <w:rPr>
          <w:rFonts w:eastAsiaTheme="minorEastAsia"/>
          <w:noProof/>
        </w:rPr>
      </w:pPr>
      <w:hyperlink w:anchor="_Toc507233663" w:history="1">
        <w:r>
          <w:rPr>
            <w:noProof/>
          </w:rPr>
          <w:t>Graph 4.4.13:</w:t>
        </w:r>
        <w:r>
          <w:rPr>
            <w:rFonts w:eastAsiaTheme="minorEastAsia"/>
            <w:noProof/>
          </w:rPr>
          <w:tab/>
        </w:r>
        <w:r>
          <w:rPr>
            <w:noProof/>
          </w:rPr>
          <w:t xml:space="preserve">NIIP and cumulative </w:t>
        </w:r>
        <w:r>
          <w:rPr>
            <w:noProof/>
          </w:rPr>
          <w:t>current account surplus</w:t>
        </w:r>
        <w:r>
          <w:rPr>
            <w:noProof/>
            <w:webHidden/>
          </w:rPr>
          <w:tab/>
        </w:r>
        <w:r>
          <w:rPr>
            <w:noProof/>
            <w:webHidden/>
          </w:rPr>
          <w:fldChar w:fldCharType="begin"/>
        </w:r>
        <w:r>
          <w:rPr>
            <w:noProof/>
            <w:webHidden/>
          </w:rPr>
          <w:instrText xml:space="preserve"> PAGEREF _Toc507233663 \h </w:instrText>
        </w:r>
        <w:r>
          <w:rPr>
            <w:noProof/>
            <w:webHidden/>
          </w:rPr>
        </w:r>
        <w:r>
          <w:rPr>
            <w:noProof/>
            <w:webHidden/>
          </w:rPr>
          <w:fldChar w:fldCharType="separate"/>
        </w:r>
        <w:r>
          <w:rPr>
            <w:noProof/>
            <w:webHidden/>
          </w:rPr>
          <w:t>45</w:t>
        </w:r>
        <w:r>
          <w:rPr>
            <w:noProof/>
            <w:webHidden/>
          </w:rPr>
          <w:fldChar w:fldCharType="end"/>
        </w:r>
      </w:hyperlink>
    </w:p>
    <w:p w:rsidR="00DC4807" w:rsidRDefault="0005641F">
      <w:pPr>
        <w:pStyle w:val="TOC6"/>
        <w:rPr>
          <w:rFonts w:eastAsiaTheme="minorEastAsia"/>
          <w:noProof/>
        </w:rPr>
      </w:pPr>
      <w:hyperlink w:anchor="_Toc507233664" w:history="1">
        <w:r>
          <w:rPr>
            <w:noProof/>
          </w:rPr>
          <w:t>Graph 4.4.14:</w:t>
        </w:r>
        <w:r>
          <w:rPr>
            <w:rFonts w:eastAsiaTheme="minorEastAsia"/>
            <w:noProof/>
          </w:rPr>
          <w:tab/>
        </w:r>
        <w:r>
          <w:rPr>
            <w:noProof/>
          </w:rPr>
          <w:t>Euro area output and aggregate demand</w:t>
        </w:r>
        <w:r>
          <w:rPr>
            <w:noProof/>
            <w:webHidden/>
          </w:rPr>
          <w:tab/>
        </w:r>
        <w:r>
          <w:rPr>
            <w:noProof/>
            <w:webHidden/>
          </w:rPr>
          <w:fldChar w:fldCharType="begin"/>
        </w:r>
        <w:r>
          <w:rPr>
            <w:noProof/>
            <w:webHidden/>
          </w:rPr>
          <w:instrText xml:space="preserve"> PAGEREF _Toc507233664 \h </w:instrText>
        </w:r>
        <w:r>
          <w:rPr>
            <w:noProof/>
            <w:webHidden/>
          </w:rPr>
        </w:r>
        <w:r>
          <w:rPr>
            <w:noProof/>
            <w:webHidden/>
          </w:rPr>
          <w:fldChar w:fldCharType="separate"/>
        </w:r>
        <w:r>
          <w:rPr>
            <w:noProof/>
            <w:webHidden/>
          </w:rPr>
          <w:t>45</w:t>
        </w:r>
        <w:r>
          <w:rPr>
            <w:noProof/>
            <w:webHidden/>
          </w:rPr>
          <w:fldChar w:fldCharType="end"/>
        </w:r>
      </w:hyperlink>
    </w:p>
    <w:p w:rsidR="00DC4807" w:rsidRDefault="0005641F">
      <w:pPr>
        <w:pStyle w:val="TOC6"/>
        <w:rPr>
          <w:rFonts w:eastAsiaTheme="minorEastAsia"/>
          <w:noProof/>
        </w:rPr>
      </w:pPr>
      <w:hyperlink w:anchor="_Toc507233665" w:history="1">
        <w:r>
          <w:rPr>
            <w:noProof/>
          </w:rPr>
          <w:t>Graph 4.5.1:</w:t>
        </w:r>
        <w:r>
          <w:rPr>
            <w:rFonts w:eastAsiaTheme="minorEastAsia"/>
            <w:noProof/>
          </w:rPr>
          <w:tab/>
        </w:r>
        <w:r>
          <w:rPr>
            <w:noProof/>
          </w:rPr>
          <w:t>Contributions to changes in growth of real value added</w:t>
        </w:r>
        <w:r>
          <w:rPr>
            <w:noProof/>
            <w:webHidden/>
          </w:rPr>
          <w:tab/>
        </w:r>
        <w:r>
          <w:rPr>
            <w:noProof/>
            <w:webHidden/>
          </w:rPr>
          <w:fldChar w:fldCharType="begin"/>
        </w:r>
        <w:r>
          <w:rPr>
            <w:noProof/>
            <w:webHidden/>
          </w:rPr>
          <w:instrText xml:space="preserve"> PAGEREF _Toc507233665 \h </w:instrText>
        </w:r>
        <w:r>
          <w:rPr>
            <w:noProof/>
            <w:webHidden/>
          </w:rPr>
        </w:r>
        <w:r>
          <w:rPr>
            <w:noProof/>
            <w:webHidden/>
          </w:rPr>
          <w:fldChar w:fldCharType="separate"/>
        </w:r>
        <w:r>
          <w:rPr>
            <w:noProof/>
            <w:webHidden/>
          </w:rPr>
          <w:t>47</w:t>
        </w:r>
        <w:r>
          <w:rPr>
            <w:noProof/>
            <w:webHidden/>
          </w:rPr>
          <w:fldChar w:fldCharType="end"/>
        </w:r>
      </w:hyperlink>
    </w:p>
    <w:p w:rsidR="00DC4807" w:rsidRDefault="0005641F">
      <w:pPr>
        <w:pStyle w:val="TOC6"/>
        <w:rPr>
          <w:rFonts w:eastAsiaTheme="minorEastAsia"/>
          <w:noProof/>
        </w:rPr>
      </w:pPr>
      <w:hyperlink w:anchor="_Toc507233666" w:history="1">
        <w:r>
          <w:rPr>
            <w:noProof/>
          </w:rPr>
          <w:t>Graph 4.5.2:</w:t>
        </w:r>
        <w:r>
          <w:rPr>
            <w:rFonts w:eastAsiaTheme="minorEastAsia"/>
            <w:noProof/>
          </w:rPr>
          <w:tab/>
        </w:r>
        <w:r>
          <w:rPr>
            <w:noProof/>
          </w:rPr>
          <w:t>Productivity development by sector</w:t>
        </w:r>
        <w:r>
          <w:rPr>
            <w:noProof/>
            <w:webHidden/>
          </w:rPr>
          <w:tab/>
        </w:r>
        <w:r>
          <w:rPr>
            <w:noProof/>
            <w:webHidden/>
          </w:rPr>
          <w:fldChar w:fldCharType="begin"/>
        </w:r>
        <w:r>
          <w:rPr>
            <w:noProof/>
            <w:webHidden/>
          </w:rPr>
          <w:instrText xml:space="preserve"> PAGEREF _Toc507233666 \h </w:instrText>
        </w:r>
        <w:r>
          <w:rPr>
            <w:noProof/>
            <w:webHidden/>
          </w:rPr>
        </w:r>
        <w:r>
          <w:rPr>
            <w:noProof/>
            <w:webHidden/>
          </w:rPr>
          <w:fldChar w:fldCharType="separate"/>
        </w:r>
        <w:r>
          <w:rPr>
            <w:noProof/>
            <w:webHidden/>
          </w:rPr>
          <w:t>47</w:t>
        </w:r>
        <w:r>
          <w:rPr>
            <w:noProof/>
            <w:webHidden/>
          </w:rPr>
          <w:fldChar w:fldCharType="end"/>
        </w:r>
      </w:hyperlink>
    </w:p>
    <w:p w:rsidR="00DC4807" w:rsidRDefault="0005641F">
      <w:pPr>
        <w:pStyle w:val="TOC6"/>
        <w:rPr>
          <w:rFonts w:eastAsiaTheme="minorEastAsia"/>
          <w:noProof/>
        </w:rPr>
      </w:pPr>
      <w:hyperlink w:anchor="_Toc507233667" w:history="1">
        <w:r>
          <w:rPr>
            <w:noProof/>
          </w:rPr>
          <w:t>Graph 4.5.3:</w:t>
        </w:r>
        <w:r>
          <w:rPr>
            <w:rFonts w:eastAsiaTheme="minorEastAsia"/>
            <w:noProof/>
          </w:rPr>
          <w:tab/>
        </w:r>
        <w:r>
          <w:rPr>
            <w:noProof/>
          </w:rPr>
          <w:t xml:space="preserve">Productivity growth by firm productivity </w:t>
        </w:r>
        <w:r>
          <w:rPr>
            <w:noProof/>
          </w:rPr>
          <w:t>level (leaders/laggards)</w:t>
        </w:r>
        <w:r>
          <w:rPr>
            <w:noProof/>
            <w:webHidden/>
          </w:rPr>
          <w:tab/>
        </w:r>
        <w:r>
          <w:rPr>
            <w:noProof/>
            <w:webHidden/>
          </w:rPr>
          <w:fldChar w:fldCharType="begin"/>
        </w:r>
        <w:r>
          <w:rPr>
            <w:noProof/>
            <w:webHidden/>
          </w:rPr>
          <w:instrText xml:space="preserve"> PAGEREF _Toc507233667 \h </w:instrText>
        </w:r>
        <w:r>
          <w:rPr>
            <w:noProof/>
            <w:webHidden/>
          </w:rPr>
        </w:r>
        <w:r>
          <w:rPr>
            <w:noProof/>
            <w:webHidden/>
          </w:rPr>
          <w:fldChar w:fldCharType="separate"/>
        </w:r>
        <w:r>
          <w:rPr>
            <w:noProof/>
            <w:webHidden/>
          </w:rPr>
          <w:t>48</w:t>
        </w:r>
        <w:r>
          <w:rPr>
            <w:noProof/>
            <w:webHidden/>
          </w:rPr>
          <w:fldChar w:fldCharType="end"/>
        </w:r>
      </w:hyperlink>
    </w:p>
    <w:p w:rsidR="00DC4807" w:rsidRDefault="0005641F">
      <w:pPr>
        <w:pStyle w:val="TOC6"/>
        <w:rPr>
          <w:rFonts w:eastAsiaTheme="minorEastAsia"/>
          <w:noProof/>
        </w:rPr>
      </w:pPr>
      <w:hyperlink w:anchor="_Toc507233668" w:history="1">
        <w:r>
          <w:rPr>
            <w:noProof/>
          </w:rPr>
          <w:t>Graph 4.5.4:</w:t>
        </w:r>
        <w:r>
          <w:rPr>
            <w:rFonts w:eastAsiaTheme="minorEastAsia"/>
            <w:noProof/>
          </w:rPr>
          <w:tab/>
        </w:r>
        <w:r>
          <w:rPr>
            <w:noProof/>
          </w:rPr>
          <w:t>R&amp;D intensity in manufacturing</w:t>
        </w:r>
        <w:r>
          <w:rPr>
            <w:noProof/>
            <w:webHidden/>
          </w:rPr>
          <w:tab/>
        </w:r>
        <w:r>
          <w:rPr>
            <w:noProof/>
            <w:webHidden/>
          </w:rPr>
          <w:fldChar w:fldCharType="begin"/>
        </w:r>
        <w:r>
          <w:rPr>
            <w:noProof/>
            <w:webHidden/>
          </w:rPr>
          <w:instrText xml:space="preserve"> PAGEREF _Toc507233668 \h </w:instrText>
        </w:r>
        <w:r>
          <w:rPr>
            <w:noProof/>
            <w:webHidden/>
          </w:rPr>
        </w:r>
        <w:r>
          <w:rPr>
            <w:noProof/>
            <w:webHidden/>
          </w:rPr>
          <w:fldChar w:fldCharType="separate"/>
        </w:r>
        <w:r>
          <w:rPr>
            <w:noProof/>
            <w:webHidden/>
          </w:rPr>
          <w:t>49</w:t>
        </w:r>
        <w:r>
          <w:rPr>
            <w:noProof/>
            <w:webHidden/>
          </w:rPr>
          <w:fldChar w:fldCharType="end"/>
        </w:r>
      </w:hyperlink>
    </w:p>
    <w:p w:rsidR="00DC4807" w:rsidRDefault="0005641F">
      <w:pPr>
        <w:rPr>
          <w:noProof/>
        </w:rPr>
      </w:pPr>
      <w:r>
        <w:rPr>
          <w:noProof/>
        </w:rPr>
        <w:fldChar w:fldCharType="end"/>
      </w:r>
    </w:p>
    <w:p w:rsidR="00DC4807" w:rsidRDefault="0005641F">
      <w:pPr>
        <w:pStyle w:val="HEADINGTOC"/>
        <w:divId w:val="2003657586"/>
        <w:rPr>
          <w:noProof/>
        </w:rPr>
      </w:pPr>
      <w:r>
        <w:rPr>
          <w:noProof/>
        </w:rPr>
        <w:t>LIST OF Boxes</w:t>
      </w:r>
    </w:p>
    <w:p w:rsidR="00DC4807" w:rsidRDefault="0005641F">
      <w:pPr>
        <w:pStyle w:val="TOC7"/>
        <w:rPr>
          <w:rFonts w:eastAsiaTheme="minorEastAsia"/>
          <w:noProof/>
        </w:rPr>
      </w:pPr>
      <w:r>
        <w:rPr>
          <w:noProof/>
        </w:rPr>
        <w:fldChar w:fldCharType="begin"/>
      </w:r>
      <w:r>
        <w:rPr>
          <w:noProof/>
        </w:rPr>
        <w:instrText xml:space="preserve"> TOC \o "7-7" \h \z \u </w:instrText>
      </w:r>
      <w:r>
        <w:rPr>
          <w:noProof/>
        </w:rPr>
        <w:fldChar w:fldCharType="separate"/>
      </w:r>
      <w:hyperlink w:anchor="_Toc507233619" w:history="1">
        <w:r>
          <w:rPr>
            <w:noProof/>
          </w:rPr>
          <w:t>Box 2.1: Tangible results delivered through EU support to structural change in the Netherlands</w:t>
        </w:r>
        <w:r>
          <w:rPr>
            <w:noProof/>
            <w:webHidden/>
          </w:rPr>
          <w:tab/>
        </w:r>
        <w:r>
          <w:rPr>
            <w:noProof/>
            <w:webHidden/>
          </w:rPr>
          <w:fldChar w:fldCharType="begin"/>
        </w:r>
        <w:r>
          <w:rPr>
            <w:noProof/>
            <w:webHidden/>
          </w:rPr>
          <w:instrText xml:space="preserve"> PAGEREF _Toc507233619 \h </w:instrText>
        </w:r>
        <w:r>
          <w:rPr>
            <w:noProof/>
            <w:webHidden/>
          </w:rPr>
        </w:r>
        <w:r>
          <w:rPr>
            <w:noProof/>
            <w:webHidden/>
          </w:rPr>
          <w:fldChar w:fldCharType="separate"/>
        </w:r>
        <w:r>
          <w:rPr>
            <w:noProof/>
            <w:webHidden/>
          </w:rPr>
          <w:t>13</w:t>
        </w:r>
        <w:r>
          <w:rPr>
            <w:noProof/>
            <w:webHidden/>
          </w:rPr>
          <w:fldChar w:fldCharType="end"/>
        </w:r>
      </w:hyperlink>
    </w:p>
    <w:p w:rsidR="00DC4807" w:rsidRDefault="0005641F">
      <w:pPr>
        <w:pStyle w:val="TOC7"/>
        <w:rPr>
          <w:rFonts w:eastAsiaTheme="minorEastAsia"/>
          <w:noProof/>
        </w:rPr>
      </w:pPr>
      <w:hyperlink w:anchor="_Toc507233620" w:history="1">
        <w:r>
          <w:rPr>
            <w:noProof/>
          </w:rPr>
          <w:t>Box 3.1: Euro area spillovers</w:t>
        </w:r>
        <w:r>
          <w:rPr>
            <w:noProof/>
            <w:webHidden/>
          </w:rPr>
          <w:tab/>
        </w:r>
        <w:r>
          <w:rPr>
            <w:noProof/>
            <w:webHidden/>
          </w:rPr>
          <w:fldChar w:fldCharType="begin"/>
        </w:r>
        <w:r>
          <w:rPr>
            <w:noProof/>
            <w:webHidden/>
          </w:rPr>
          <w:instrText xml:space="preserve"> PAGEREF _Toc507233620 \h </w:instrText>
        </w:r>
        <w:r>
          <w:rPr>
            <w:noProof/>
            <w:webHidden/>
          </w:rPr>
        </w:r>
        <w:r>
          <w:rPr>
            <w:noProof/>
            <w:webHidden/>
          </w:rPr>
          <w:fldChar w:fldCharType="separate"/>
        </w:r>
        <w:r>
          <w:rPr>
            <w:noProof/>
            <w:webHidden/>
          </w:rPr>
          <w:t>18</w:t>
        </w:r>
        <w:r>
          <w:rPr>
            <w:noProof/>
            <w:webHidden/>
          </w:rPr>
          <w:fldChar w:fldCharType="end"/>
        </w:r>
      </w:hyperlink>
    </w:p>
    <w:p w:rsidR="00DC4807" w:rsidRDefault="0005641F">
      <w:pPr>
        <w:pStyle w:val="TOC7"/>
        <w:rPr>
          <w:rFonts w:eastAsiaTheme="minorEastAsia"/>
          <w:noProof/>
        </w:rPr>
      </w:pPr>
      <w:hyperlink w:anchor="_Toc507233621" w:history="1">
        <w:r>
          <w:rPr>
            <w:noProof/>
          </w:rPr>
          <w:t xml:space="preserve">Box 4.3.1: </w:t>
        </w:r>
        <w:r>
          <w:rPr>
            <w:noProof/>
          </w:rPr>
          <w:t>Monitoring performance in light of the European Pillar of Social Rights</w:t>
        </w:r>
        <w:r>
          <w:rPr>
            <w:noProof/>
            <w:webHidden/>
          </w:rPr>
          <w:tab/>
        </w:r>
        <w:r>
          <w:rPr>
            <w:noProof/>
            <w:webHidden/>
          </w:rPr>
          <w:fldChar w:fldCharType="begin"/>
        </w:r>
        <w:r>
          <w:rPr>
            <w:noProof/>
            <w:webHidden/>
          </w:rPr>
          <w:instrText xml:space="preserve"> PAGEREF _Toc507233621 \h </w:instrText>
        </w:r>
        <w:r>
          <w:rPr>
            <w:noProof/>
            <w:webHidden/>
          </w:rPr>
        </w:r>
        <w:r>
          <w:rPr>
            <w:noProof/>
            <w:webHidden/>
          </w:rPr>
          <w:fldChar w:fldCharType="separate"/>
        </w:r>
        <w:r>
          <w:rPr>
            <w:noProof/>
            <w:webHidden/>
          </w:rPr>
          <w:t>32</w:t>
        </w:r>
        <w:r>
          <w:rPr>
            <w:noProof/>
            <w:webHidden/>
          </w:rPr>
          <w:fldChar w:fldCharType="end"/>
        </w:r>
      </w:hyperlink>
    </w:p>
    <w:p w:rsidR="00DC4807" w:rsidRDefault="0005641F">
      <w:pPr>
        <w:pStyle w:val="TOC7"/>
        <w:rPr>
          <w:rFonts w:eastAsiaTheme="minorEastAsia"/>
          <w:noProof/>
        </w:rPr>
      </w:pPr>
      <w:hyperlink w:anchor="_Toc507233622" w:history="1">
        <w:r>
          <w:rPr>
            <w:noProof/>
          </w:rPr>
          <w:t>Box 4.3.1: Implications of temporary employment on inc</w:t>
        </w:r>
        <w:r>
          <w:rPr>
            <w:noProof/>
          </w:rPr>
          <w:t>ome</w:t>
        </w:r>
        <w:r>
          <w:rPr>
            <w:noProof/>
            <w:webHidden/>
          </w:rPr>
          <w:tab/>
        </w:r>
        <w:r>
          <w:rPr>
            <w:noProof/>
            <w:webHidden/>
          </w:rPr>
          <w:fldChar w:fldCharType="begin"/>
        </w:r>
        <w:r>
          <w:rPr>
            <w:noProof/>
            <w:webHidden/>
          </w:rPr>
          <w:instrText xml:space="preserve"> PAGEREF _Toc507233622 \h </w:instrText>
        </w:r>
        <w:r>
          <w:rPr>
            <w:noProof/>
            <w:webHidden/>
          </w:rPr>
        </w:r>
        <w:r>
          <w:rPr>
            <w:noProof/>
            <w:webHidden/>
          </w:rPr>
          <w:fldChar w:fldCharType="separate"/>
        </w:r>
        <w:r>
          <w:rPr>
            <w:noProof/>
            <w:webHidden/>
          </w:rPr>
          <w:t>39</w:t>
        </w:r>
        <w:r>
          <w:rPr>
            <w:noProof/>
            <w:webHidden/>
          </w:rPr>
          <w:fldChar w:fldCharType="end"/>
        </w:r>
      </w:hyperlink>
    </w:p>
    <w:p w:rsidR="00DC4807" w:rsidRDefault="0005641F">
      <w:pPr>
        <w:pStyle w:val="TOC7"/>
        <w:rPr>
          <w:rFonts w:eastAsiaTheme="minorEastAsia"/>
          <w:noProof/>
        </w:rPr>
      </w:pPr>
      <w:hyperlink w:anchor="_Toc507233623" w:history="1">
        <w:r>
          <w:rPr>
            <w:noProof/>
          </w:rPr>
          <w:t>Box 4.4.1: Investment challenges and reforms in the Netherlands</w:t>
        </w:r>
        <w:r>
          <w:rPr>
            <w:noProof/>
            <w:webHidden/>
          </w:rPr>
          <w:tab/>
        </w:r>
        <w:r>
          <w:rPr>
            <w:noProof/>
            <w:webHidden/>
          </w:rPr>
          <w:fldChar w:fldCharType="begin"/>
        </w:r>
        <w:r>
          <w:rPr>
            <w:noProof/>
            <w:webHidden/>
          </w:rPr>
          <w:instrText xml:space="preserve"> PAGEREF _Toc507233623 \h </w:instrText>
        </w:r>
        <w:r>
          <w:rPr>
            <w:noProof/>
            <w:webHidden/>
          </w:rPr>
        </w:r>
        <w:r>
          <w:rPr>
            <w:noProof/>
            <w:webHidden/>
          </w:rPr>
          <w:fldChar w:fldCharType="separate"/>
        </w:r>
        <w:r>
          <w:rPr>
            <w:noProof/>
            <w:webHidden/>
          </w:rPr>
          <w:t>46</w:t>
        </w:r>
        <w:r>
          <w:rPr>
            <w:noProof/>
            <w:webHidden/>
          </w:rPr>
          <w:fldChar w:fldCharType="end"/>
        </w:r>
      </w:hyperlink>
    </w:p>
    <w:p w:rsidR="00DC4807" w:rsidRDefault="0005641F">
      <w:pPr>
        <w:pStyle w:val="TOC7"/>
        <w:rPr>
          <w:rFonts w:eastAsiaTheme="minorEastAsia"/>
          <w:noProof/>
        </w:rPr>
      </w:pPr>
      <w:hyperlink w:anchor="_Toc507233624" w:history="1">
        <w:r>
          <w:rPr>
            <w:noProof/>
          </w:rPr>
          <w:t>Box 4.5.1: Policy highlight: Public procurement expertise centre in the Netherlands</w:t>
        </w:r>
        <w:r>
          <w:rPr>
            <w:noProof/>
            <w:webHidden/>
          </w:rPr>
          <w:tab/>
        </w:r>
        <w:r>
          <w:rPr>
            <w:noProof/>
            <w:webHidden/>
          </w:rPr>
          <w:fldChar w:fldCharType="begin"/>
        </w:r>
        <w:r>
          <w:rPr>
            <w:noProof/>
            <w:webHidden/>
          </w:rPr>
          <w:instrText xml:space="preserve"> PAGEREF _Toc507233624 \h </w:instrText>
        </w:r>
        <w:r>
          <w:rPr>
            <w:noProof/>
            <w:webHidden/>
          </w:rPr>
        </w:r>
        <w:r>
          <w:rPr>
            <w:noProof/>
            <w:webHidden/>
          </w:rPr>
          <w:fldChar w:fldCharType="separate"/>
        </w:r>
        <w:r>
          <w:rPr>
            <w:noProof/>
            <w:webHidden/>
          </w:rPr>
          <w:t>51</w:t>
        </w:r>
        <w:r>
          <w:rPr>
            <w:noProof/>
            <w:webHidden/>
          </w:rPr>
          <w:fldChar w:fldCharType="end"/>
        </w:r>
      </w:hyperlink>
    </w:p>
    <w:p w:rsidR="00DC4807" w:rsidRDefault="0005641F">
      <w:pPr>
        <w:rPr>
          <w:noProof/>
        </w:rPr>
      </w:pPr>
      <w:r>
        <w:rPr>
          <w:noProof/>
        </w:rPr>
        <w:fldChar w:fldCharType="end"/>
      </w:r>
    </w:p>
    <w:p w:rsidR="00DC4807" w:rsidRDefault="00DC4807">
      <w:pPr>
        <w:divId w:val="2003657586"/>
        <w:rPr>
          <w:noProof/>
        </w:rPr>
      </w:pPr>
    </w:p>
    <w:p w:rsidR="00DC4807" w:rsidRDefault="00DC4807">
      <w:pPr>
        <w:divId w:val="2003657586"/>
        <w:rPr>
          <w:noProof/>
        </w:rPr>
        <w:sectPr w:rsidR="00DC4807">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DC4807" w:rsidRDefault="0005641F">
      <w:pPr>
        <w:pStyle w:val="SectionTitleFramed2"/>
        <w:framePr w:wrap="notBeside"/>
        <w:rPr>
          <w:noProof/>
        </w:rPr>
      </w:pPr>
      <w:bookmarkStart w:id="2" w:name="_Toc507233684"/>
      <w:r>
        <w:rPr>
          <w:noProof/>
        </w:rPr>
        <w:t>Executive summary</w:t>
      </w:r>
      <w:bookmarkEnd w:id="2"/>
    </w:p>
    <w:p w:rsidR="00DC4807" w:rsidRDefault="0005641F">
      <w:pPr>
        <w:rPr>
          <w:noProof/>
        </w:rPr>
      </w:pPr>
      <w:r>
        <w:rPr>
          <w:b/>
          <w:noProof/>
        </w:rPr>
        <w:t>The Netherlands’ economic expansion remains strong and offers a window of opportunity to boost the reform momentum</w:t>
      </w:r>
      <w:r>
        <w:rPr>
          <w:noProof/>
        </w:rPr>
        <w:t>. In its coalition agreement 2018-2021, the new government announced a number of measures</w:t>
      </w:r>
      <w:r>
        <w:rPr>
          <w:noProof/>
        </w:rPr>
        <w:t xml:space="preserve"> in the field of fiscal policy, housing market, labour market and pensions. Ensuring that these measures are swiftly implemented would improve domestic demand and support potential growth. While measures have been announced to reduce the debt bias for hous</w:t>
      </w:r>
      <w:r>
        <w:rPr>
          <w:noProof/>
        </w:rPr>
        <w:t>eholds, incentives to incur debt remain. The labour market continued its recovery in 2017 and performed well across the board, although the challenges in the field of pensions and labour market segmentation remain.(</w:t>
      </w:r>
      <w:r>
        <w:rPr>
          <w:noProof/>
          <w:vertAlign w:val="superscript"/>
        </w:rPr>
        <w:footnoteReference w:id="1"/>
      </w:r>
      <w:r>
        <w:rPr>
          <w:noProof/>
        </w:rPr>
        <w:t>)</w:t>
      </w:r>
    </w:p>
    <w:p w:rsidR="00DC4807" w:rsidRDefault="0005641F">
      <w:pPr>
        <w:rPr>
          <w:noProof/>
        </w:rPr>
      </w:pPr>
      <w:r>
        <w:rPr>
          <w:b/>
          <w:noProof/>
        </w:rPr>
        <w:t>Economic growth accelerated to 3.1 % i</w:t>
      </w:r>
      <w:r>
        <w:rPr>
          <w:b/>
          <w:noProof/>
        </w:rPr>
        <w:t>n 2017, the fastest in a decade.</w:t>
      </w:r>
      <w:r>
        <w:rPr>
          <w:noProof/>
        </w:rPr>
        <w:t xml:space="preserve"> The solid economic performance in 2017 was broad based, with both domestic demand and net exports making a positive contribution to growth. The European Commission’s Interim Winter 2018 forecast projects economic growth of </w:t>
      </w:r>
      <w:r>
        <w:rPr>
          <w:noProof/>
        </w:rPr>
        <w:t xml:space="preserve">2.9 % for 2018 and 2.5 % for 2019, with the domestic economy’s strong performance expected to continue. The growth contribution from net exports is expected to be fairly limited given strong domestic demand, which drives up imports. </w:t>
      </w:r>
    </w:p>
    <w:p w:rsidR="00DC4807" w:rsidRDefault="0005641F">
      <w:pPr>
        <w:rPr>
          <w:noProof/>
        </w:rPr>
      </w:pPr>
      <w:r>
        <w:rPr>
          <w:b/>
          <w:noProof/>
        </w:rPr>
        <w:t>The investment rate ha</w:t>
      </w:r>
      <w:r>
        <w:rPr>
          <w:b/>
          <w:noProof/>
        </w:rPr>
        <w:t>s returned to its long-term average.</w:t>
      </w:r>
      <w:r>
        <w:rPr>
          <w:noProof/>
        </w:rPr>
        <w:t xml:space="preserve"> Residential investment volumes in particular have been highly cyclical, dropping sharply after the crisis and experiencing double-digit growth in recent years. Corporate investment in equipment grew in line with GDP and</w:t>
      </w:r>
      <w:r>
        <w:rPr>
          <w:noProof/>
        </w:rPr>
        <w:t xml:space="preserve"> is expected to accelerate on the back of rising capacity utilisation rates. Public and private investment in R&amp;D increased to 2.0 % in 2016, falling short of the Europe 2020 target of 2.5 % of GDP. While barriers to private investment appear to be minor, </w:t>
      </w:r>
      <w:r>
        <w:rPr>
          <w:noProof/>
        </w:rPr>
        <w:t>procedures for obtaining building permits are lengthy compared to other Member States.</w:t>
      </w:r>
    </w:p>
    <w:p w:rsidR="00DC4807" w:rsidRDefault="0005641F">
      <w:pPr>
        <w:rPr>
          <w:noProof/>
        </w:rPr>
      </w:pPr>
      <w:r>
        <w:rPr>
          <w:b/>
          <w:noProof/>
        </w:rPr>
        <w:t>A buoyant housing market boosts household assets, but may also lead to further imbalances.</w:t>
      </w:r>
      <w:r>
        <w:rPr>
          <w:noProof/>
        </w:rPr>
        <w:t xml:space="preserve"> Driven by low interest rates, house prices and transaction volumes have increa</w:t>
      </w:r>
      <w:r>
        <w:rPr>
          <w:noProof/>
        </w:rPr>
        <w:t>sed sharply in recent years. Rising house prices have positive wealth effects and gradually lift affected households out of negative housing equity. At national level, house price valuation indicators do not point to overvaluation. However, there are signs</w:t>
      </w:r>
      <w:r>
        <w:rPr>
          <w:noProof/>
        </w:rPr>
        <w:t xml:space="preserve"> that house price increases in some regions cannot be explained by fundamental factors alone. Nominal debt levels have started to rise again, albeit much slower than house price growth, which limits financial vulnerabilities.</w:t>
      </w:r>
    </w:p>
    <w:p w:rsidR="00DC4807" w:rsidRDefault="0005641F">
      <w:pPr>
        <w:rPr>
          <w:noProof/>
        </w:rPr>
      </w:pPr>
      <w:r>
        <w:rPr>
          <w:b/>
          <w:noProof/>
        </w:rPr>
        <w:t xml:space="preserve">Wage growth remained moderate </w:t>
      </w:r>
      <w:r>
        <w:rPr>
          <w:b/>
          <w:noProof/>
        </w:rPr>
        <w:t>despite a tightening labour market.</w:t>
      </w:r>
      <w:r>
        <w:rPr>
          <w:noProof/>
        </w:rPr>
        <w:t xml:space="preserve"> In 2016, wage growth outpaced productivity gains, resulting in a small increase in the nominal unit labour cost. However, taken over a longer period wage growth has been below the level that could be expected based on fu</w:t>
      </w:r>
      <w:r>
        <w:rPr>
          <w:noProof/>
        </w:rPr>
        <w:t>ndamental drivers such as unemployment, productivity and inflation. In the next years, wage growth is expected to increase in line with further labour market tightening.</w:t>
      </w:r>
    </w:p>
    <w:p w:rsidR="00DC4807" w:rsidRDefault="0005641F">
      <w:pPr>
        <w:rPr>
          <w:noProof/>
        </w:rPr>
      </w:pPr>
      <w:r>
        <w:rPr>
          <w:b/>
          <w:noProof/>
        </w:rPr>
        <w:t>The new government announced a large discretionary fiscal stimulus package for 2018-20</w:t>
      </w:r>
      <w:r>
        <w:rPr>
          <w:b/>
          <w:noProof/>
        </w:rPr>
        <w:t>21.</w:t>
      </w:r>
      <w:r>
        <w:rPr>
          <w:noProof/>
        </w:rPr>
        <w:t xml:space="preserve"> The budget surplus is expected to have increased to 0.7 % in 2017, while the general government debt-to-GDP ratio fell below the 60 % threshold. The government announced increased spending on social affairs (in particular child-related benefits), defen</w:t>
      </w:r>
      <w:r>
        <w:rPr>
          <w:noProof/>
        </w:rPr>
        <w:t>ce, education and innovation. The budgetary framework has been amended to exclude a number of cyclical expenditures from its fixed budgetary ceilings. This improves its stabilisation function on the expenditure side, while increasing the cyclicality of the</w:t>
      </w:r>
      <w:r>
        <w:rPr>
          <w:noProof/>
        </w:rPr>
        <w:t xml:space="preserve"> budget. Fiscal sustainability has improved thanks to headline budget surpluses, higher GDP growth and a favourable public debt trajectory. This has led to the Netherlands being designated as ‘low risk’ based on the Commission’s baseline medium-term projec</w:t>
      </w:r>
      <w:r>
        <w:rPr>
          <w:noProof/>
        </w:rPr>
        <w:t>tions.</w:t>
      </w:r>
    </w:p>
    <w:p w:rsidR="00DC4807" w:rsidRDefault="0005641F">
      <w:pPr>
        <w:rPr>
          <w:noProof/>
        </w:rPr>
      </w:pPr>
      <w:r>
        <w:rPr>
          <w:b/>
          <w:noProof/>
        </w:rPr>
        <w:t>Some indicators suggest that the Netherlands' tax rules are used by multinationals engaged in aggressive tax planning structures.</w:t>
      </w:r>
      <w:r>
        <w:rPr>
          <w:noProof/>
        </w:rPr>
        <w:t xml:space="preserve"> The Netherlands has taken steps to amend certain aspects of its tax system that may facilitate aggressive tax planning,</w:t>
      </w:r>
      <w:r>
        <w:rPr>
          <w:noProof/>
        </w:rPr>
        <w:t xml:space="preserve"> and the government has announced a reform agenda to further amend certain aspects of the tax system. For the time being, the absence of withholding taxes on dividend payments by co-operatives, the possibility for hybrid mismatches using the limited partne</w:t>
      </w:r>
      <w:r>
        <w:rPr>
          <w:noProof/>
        </w:rPr>
        <w:t>rship (CV) and the absence of withholding taxes on royalties and interest payments, combined with the lack of some anti-abuse rules, may facilitate aggressive tax planning.</w:t>
      </w:r>
    </w:p>
    <w:p w:rsidR="00DC4807" w:rsidRDefault="0005641F">
      <w:pPr>
        <w:rPr>
          <w:noProof/>
        </w:rPr>
      </w:pPr>
      <w:r>
        <w:rPr>
          <w:b/>
          <w:noProof/>
        </w:rPr>
        <w:t>The Netherlands has made some progress in addressing the 2017 country-specific reco</w:t>
      </w:r>
      <w:r>
        <w:rPr>
          <w:b/>
          <w:noProof/>
        </w:rPr>
        <w:t>mmendations (CSRs).</w:t>
      </w:r>
      <w:r>
        <w:rPr>
          <w:noProof/>
        </w:rPr>
        <w:t xml:space="preserve"> Substantial progress has been made in supporting potential growth and domestic demand; some progress has been made in R&amp;D investment. The government announced that it will speed up the cut in tax relief on mortgage interest payments, an</w:t>
      </w:r>
      <w:r>
        <w:rPr>
          <w:noProof/>
        </w:rPr>
        <w:t>d included it in the coalition agreement. However, only some steps were taken to reduce remaining distortions in the housing market, leading to some progress overall on CSR 1. The Netherlands has made limited progress in tackling remaining barriers to hiri</w:t>
      </w:r>
      <w:r>
        <w:rPr>
          <w:noProof/>
        </w:rPr>
        <w:t>ng staff on permanent contracts. No concrete measures have been taken yet to reduce distortive tax incentives that favour self-employment or to increase the social protection coverage for the self-employed. The government reaffirmed its intention to reform</w:t>
      </w:r>
      <w:r>
        <w:rPr>
          <w:noProof/>
        </w:rPr>
        <w:t xml:space="preserve"> the second pension pillar, although no new measures have been taken since the CSRs were adopted.. Limited progress has been made in creating conditions to promote higher real wage growth while respecting the role of social partners, leading to limited pro</w:t>
      </w:r>
      <w:r>
        <w:rPr>
          <w:noProof/>
        </w:rPr>
        <w:t>gress overall on CSR 2.</w:t>
      </w:r>
    </w:p>
    <w:p w:rsidR="00DC4807" w:rsidRDefault="0005641F">
      <w:pPr>
        <w:rPr>
          <w:noProof/>
        </w:rPr>
      </w:pPr>
      <w:r>
        <w:rPr>
          <w:noProof/>
        </w:rPr>
        <w:t>On progress in reaching the national targets under the Europe 2020 Strategy (see also Annex A), the Netherlands is doing well on employment, greenhouse gas emissions, energy efficiency, early school leaving and tertiary education at</w:t>
      </w:r>
      <w:r>
        <w:rPr>
          <w:noProof/>
        </w:rPr>
        <w:t>tainment. However, more effort is needed on R&amp;D investment, renewable energy and poverty reduction.</w:t>
      </w:r>
    </w:p>
    <w:p w:rsidR="00DC4807" w:rsidRDefault="0005641F">
      <w:pPr>
        <w:rPr>
          <w:noProof/>
        </w:rPr>
      </w:pPr>
      <w:r>
        <w:rPr>
          <w:b/>
          <w:noProof/>
        </w:rPr>
        <w:t>The Netherlands performs relatively well on the indicators of the Social Scoreboard supporting the European Pillar of Social Rights.</w:t>
      </w:r>
      <w:r>
        <w:rPr>
          <w:noProof/>
        </w:rPr>
        <w:t xml:space="preserve"> The labour market perfo</w:t>
      </w:r>
      <w:r>
        <w:rPr>
          <w:noProof/>
        </w:rPr>
        <w:t>rmance and social outcomes are good and inequality is low. Few young people are not in employment, education or training. The share of people at risk of poverty or social exclusion is low. However, certain issues merit attention such as low but slightly in</w:t>
      </w:r>
      <w:r>
        <w:rPr>
          <w:noProof/>
        </w:rPr>
        <w:t xml:space="preserve">creasing income inequality and good but weakening impact of social transfers in reducing poverty. </w:t>
      </w:r>
    </w:p>
    <w:p w:rsidR="00DC4807" w:rsidRDefault="0005641F">
      <w:pPr>
        <w:rPr>
          <w:noProof/>
        </w:rPr>
      </w:pPr>
      <w:r>
        <w:rPr>
          <w:noProof/>
        </w:rPr>
        <w:t>The main findings of the in-depth review contained in this report, and the related policy challenges, are as follows:</w:t>
      </w:r>
    </w:p>
    <w:p w:rsidR="00DC4807" w:rsidRDefault="0005641F">
      <w:pPr>
        <w:pStyle w:val="ListBullet"/>
        <w:rPr>
          <w:noProof/>
        </w:rPr>
      </w:pPr>
      <w:r>
        <w:rPr>
          <w:b/>
          <w:noProof/>
        </w:rPr>
        <w:t>Housing market institutions have contri</w:t>
      </w:r>
      <w:r>
        <w:rPr>
          <w:b/>
          <w:noProof/>
        </w:rPr>
        <w:t>buted to high household debt levels, and inefficiencies remain.</w:t>
      </w:r>
      <w:r>
        <w:rPr>
          <w:noProof/>
        </w:rPr>
        <w:t xml:space="preserve"> Owner-occupancy rates are high and have been strengthened by the generous tax relief on mortgage interest payments. Before the crisis, interest-only mortgages and very high loan-to-value ratio</w:t>
      </w:r>
      <w:r>
        <w:rPr>
          <w:noProof/>
        </w:rPr>
        <w:t>s drove up household indebtedness to around 120 % of GDP in 2009. Although it is falling gradually, the household debt-to-GDP ratio is still twice the euro area average. While mortgage tax relief is being cut gradually, the effective subsidy to debt-financ</w:t>
      </w:r>
      <w:r>
        <w:rPr>
          <w:noProof/>
        </w:rPr>
        <w:t xml:space="preserve">ed homeownership remains substantial. </w:t>
      </w:r>
    </w:p>
    <w:p w:rsidR="00DC4807" w:rsidRDefault="0005641F">
      <w:pPr>
        <w:pStyle w:val="ListBullet"/>
        <w:rPr>
          <w:noProof/>
        </w:rPr>
      </w:pPr>
      <w:r>
        <w:rPr>
          <w:b/>
          <w:noProof/>
        </w:rPr>
        <w:t>The financial attractiveness of owner-occupancy and social housing partly accounts for the underdeveloped private rental market.</w:t>
      </w:r>
      <w:r>
        <w:rPr>
          <w:noProof/>
        </w:rPr>
        <w:t xml:space="preserve"> The social housing and rent-controlled sector is large compared to other Member States. </w:t>
      </w:r>
      <w:r>
        <w:rPr>
          <w:noProof/>
        </w:rPr>
        <w:t>The private rental market is the only non-subsidised housing sector and remains underdeveloped. The lack of a well-functioning middle segment on the rental market encourages households to buy rather than rent, leading to high debt-to-income ratios and fina</w:t>
      </w:r>
      <w:r>
        <w:rPr>
          <w:noProof/>
        </w:rPr>
        <w:t>ncial vulnerability at a young age.</w:t>
      </w:r>
    </w:p>
    <w:p w:rsidR="00DC4807" w:rsidRDefault="0005641F">
      <w:pPr>
        <w:pStyle w:val="ListBullet"/>
        <w:rPr>
          <w:noProof/>
        </w:rPr>
      </w:pPr>
      <w:r>
        <w:rPr>
          <w:b/>
          <w:noProof/>
        </w:rPr>
        <w:t>The current account continues to show a marked surplus.</w:t>
      </w:r>
      <w:r>
        <w:rPr>
          <w:noProof/>
        </w:rPr>
        <w:t xml:space="preserve"> The Netherlands has had a current account surplus of 6 % of GDP on average for the last 30 years. This high level is mostly accounted for by the non-financial corpo</w:t>
      </w:r>
      <w:r>
        <w:rPr>
          <w:noProof/>
        </w:rPr>
        <w:t>rate (NFC) sector. A comparatively large corporate savings surplus is rooted in a relatively high operating surplus, together with high foreign investment income and low levels of profit distribution by multinationals. After the crisis, household debt redu</w:t>
      </w:r>
      <w:r>
        <w:rPr>
          <w:noProof/>
        </w:rPr>
        <w:t>ction together with fiscal consolidation saw the current account surplus peak at 10.3 % of GDP in 2012, after which it declined to 9 % in 2016. The European Commission’s Autumn 2017 forecast projects a gradual decline in the current account balance followi</w:t>
      </w:r>
      <w:r>
        <w:rPr>
          <w:noProof/>
        </w:rPr>
        <w:t>ng buoyant domestic demand. Simulations in this report show that an increase in public investment would reduce the trade surplus and would also be passed on to the euro area through potential spillover effects, leading to higher economic growth of the othe</w:t>
      </w:r>
      <w:r>
        <w:rPr>
          <w:noProof/>
        </w:rPr>
        <w:t>r euro area countries.</w:t>
      </w:r>
    </w:p>
    <w:p w:rsidR="00DC4807" w:rsidRDefault="0005641F">
      <w:pPr>
        <w:pStyle w:val="ListBullet"/>
        <w:rPr>
          <w:noProof/>
        </w:rPr>
      </w:pPr>
      <w:r>
        <w:rPr>
          <w:b/>
          <w:noProof/>
        </w:rPr>
        <w:t>The second pillar pension system plays a key role in shaping household finances, especially in combination with high mortgage debt.</w:t>
      </w:r>
      <w:r>
        <w:rPr>
          <w:noProof/>
        </w:rPr>
        <w:t xml:space="preserve"> While the pension system performs well on pension adequacy and fiscal sustainability, it holds drawba</w:t>
      </w:r>
      <w:r>
        <w:rPr>
          <w:noProof/>
        </w:rPr>
        <w:t>cks in terms of intergenerational fairness, transparency and flexibility. Moreover, second pillar pension contributions are high and fluctuate depending on the financial performance of pension funds. As such, it may affect household spending in a pro-cycli</w:t>
      </w:r>
      <w:r>
        <w:rPr>
          <w:noProof/>
        </w:rPr>
        <w:t>cal way, with risks seemingly to weigh on young age groups as lower indexation and higher pension contributions have been the primary means of adjustment. Importantly, households combine substantial housing and pension wealth with high mortgage debt. Howev</w:t>
      </w:r>
      <w:r>
        <w:rPr>
          <w:noProof/>
        </w:rPr>
        <w:t>er, the former are highly illiquid and unevenly distributed across generations. This makes households vulnerable to economic shocks and accentuates the pro-cyclical dynamics of household finances.</w:t>
      </w:r>
    </w:p>
    <w:p w:rsidR="00DC4807" w:rsidRDefault="0005641F">
      <w:pPr>
        <w:rPr>
          <w:noProof/>
        </w:rPr>
      </w:pPr>
      <w:r>
        <w:rPr>
          <w:noProof/>
        </w:rPr>
        <w:t>Other key structural issues analysed in this report which p</w:t>
      </w:r>
      <w:r>
        <w:rPr>
          <w:noProof/>
        </w:rPr>
        <w:t>oint to particular challenges facing the Dutch economy, are as follows:</w:t>
      </w:r>
    </w:p>
    <w:p w:rsidR="00DC4807" w:rsidRDefault="0005641F">
      <w:pPr>
        <w:pStyle w:val="ListBullet"/>
        <w:rPr>
          <w:noProof/>
        </w:rPr>
      </w:pPr>
      <w:r>
        <w:rPr>
          <w:b/>
          <w:noProof/>
        </w:rPr>
        <w:t>Despite a reduction in the tax burden, non-tax compulsory payments are expected to remain high</w:t>
      </w:r>
      <w:r>
        <w:rPr>
          <w:noProof/>
        </w:rPr>
        <w:t xml:space="preserve">. The Dutch government announced a tax reform for 2019 that will reduce the number of tax </w:t>
      </w:r>
      <w:r>
        <w:rPr>
          <w:noProof/>
        </w:rPr>
        <w:t>brackets from four to two and lower the top tax rate from 52 % to 49 %. The overall income tax burden is expected to decline. However, non-tax compulsory payments such as pension contributions and healthcare premiums drive up the total compulsory payment w</w:t>
      </w:r>
      <w:r>
        <w:rPr>
          <w:noProof/>
        </w:rPr>
        <w:t>edge on labour. While this may be equitable, it could also give rise to other inefficiencies, especially in terms of the above-mentioned link between compulsory pension contributions and household finances.</w:t>
      </w:r>
    </w:p>
    <w:p w:rsidR="00DC4807" w:rsidRDefault="0005641F">
      <w:pPr>
        <w:pStyle w:val="ListBullet"/>
        <w:rPr>
          <w:noProof/>
        </w:rPr>
      </w:pPr>
      <w:r>
        <w:rPr>
          <w:b/>
          <w:noProof/>
        </w:rPr>
        <w:t xml:space="preserve">The labour market continued its recovery in 2017 </w:t>
      </w:r>
      <w:r>
        <w:rPr>
          <w:b/>
          <w:noProof/>
        </w:rPr>
        <w:t>and performed well in terms of job creation, although the challenges of labour market segmentation and integration of people with a migrant background remain.</w:t>
      </w:r>
      <w:r>
        <w:rPr>
          <w:noProof/>
        </w:rPr>
        <w:t xml:space="preserve"> Total employment rose steadily, while the unemployment rate continued to fall in 2017. Flexible e</w:t>
      </w:r>
      <w:r>
        <w:rPr>
          <w:noProof/>
        </w:rPr>
        <w:t>mployment constitutes a relatively large and increasing share of the labour market. The self-employed are not obliged to be insured against labour-related risks such as accidents at work, unemployment and old age (second pillar); which could affect the sus</w:t>
      </w:r>
      <w:r>
        <w:rPr>
          <w:noProof/>
        </w:rPr>
        <w:t>tainability of the social security system in the long run. The new government announced several measures potentially addressing segmentation, but the specifics, timeframe and possible impact remain unclear. Finally, there is still untapped labour potential</w:t>
      </w:r>
      <w:r>
        <w:rPr>
          <w:noProof/>
        </w:rPr>
        <w:t xml:space="preserve"> in the high number of women working part-time and also people born outside the EU given that their employment rate lags behind that of those born in the Netherlands.</w:t>
      </w:r>
    </w:p>
    <w:p w:rsidR="00DC4807" w:rsidRDefault="0005641F">
      <w:pPr>
        <w:pStyle w:val="ListBullet"/>
        <w:rPr>
          <w:noProof/>
        </w:rPr>
      </w:pPr>
      <w:r>
        <w:rPr>
          <w:b/>
          <w:noProof/>
        </w:rPr>
        <w:t>School education outcomes are above the EU average, but have worsened since 2012.</w:t>
      </w:r>
      <w:r>
        <w:rPr>
          <w:noProof/>
        </w:rPr>
        <w:t xml:space="preserve"> In the </w:t>
      </w:r>
      <w:r>
        <w:rPr>
          <w:noProof/>
        </w:rPr>
        <w:t>2015 Programme for International Student Assessment (PISA), the proportion of low achievers increased in all three core fields. Differences between schools have one of the biggest impact on pupils’ performance, and are strongly linked to the different educ</w:t>
      </w:r>
      <w:r>
        <w:rPr>
          <w:noProof/>
        </w:rPr>
        <w:t>ational tracks they offer.</w:t>
      </w:r>
    </w:p>
    <w:p w:rsidR="00DC4807" w:rsidRDefault="0005641F">
      <w:pPr>
        <w:pStyle w:val="ListBullet"/>
        <w:rPr>
          <w:noProof/>
        </w:rPr>
      </w:pPr>
      <w:r>
        <w:rPr>
          <w:b/>
          <w:noProof/>
        </w:rPr>
        <w:t>According to worldwide rankings, the Netherlands has an efficient and productive R&amp;D sector, but growth-friendly public expenditure is lower than that of top performers.</w:t>
      </w:r>
      <w:r>
        <w:rPr>
          <w:noProof/>
        </w:rPr>
        <w:t xml:space="preserve"> The country’s high-performing education system and scientif</w:t>
      </w:r>
      <w:r>
        <w:rPr>
          <w:noProof/>
        </w:rPr>
        <w:t>ic base provide a sound basis for boosting innovation and growth capacity through education and R&amp;D activities. Although substantial additional investment has been announced, public R&amp;D intensity is set to decline.</w:t>
      </w:r>
    </w:p>
    <w:p w:rsidR="00DC4807" w:rsidRDefault="0005641F">
      <w:pPr>
        <w:pStyle w:val="ListBullet"/>
        <w:rPr>
          <w:noProof/>
        </w:rPr>
      </w:pPr>
      <w:r>
        <w:rPr>
          <w:b/>
          <w:noProof/>
        </w:rPr>
        <w:t>The reduction of CO2 emissions is on trac</w:t>
      </w:r>
      <w:r>
        <w:rPr>
          <w:b/>
          <w:noProof/>
        </w:rPr>
        <w:t>k, but the share of renewable energy production is low.</w:t>
      </w:r>
      <w:r>
        <w:rPr>
          <w:noProof/>
        </w:rPr>
        <w:t xml:space="preserve"> The Netherlands is expected to miss its national target of 14 % renewable energy production by 2020, with the National Energy Outlook 2017 estimating a renewable energy share of 12.5 % by 2020.</w:t>
      </w:r>
    </w:p>
    <w:p w:rsidR="00DC4807" w:rsidRDefault="00DC4807">
      <w:pPr>
        <w:rPr>
          <w:noProof/>
        </w:rPr>
        <w:sectPr w:rsidR="00DC4807">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DC4807" w:rsidRDefault="0005641F">
      <w:pPr>
        <w:pStyle w:val="SectionTitleFramed3"/>
        <w:framePr w:wrap="notBeside"/>
        <w:rPr>
          <w:noProof/>
        </w:rPr>
      </w:pPr>
      <w:bookmarkStart w:id="3" w:name="_Toc507233685"/>
      <w:r>
        <w:rPr>
          <w:rFonts w:ascii="Times New Roman" w:hAnsi="Times New Roman"/>
          <w:b/>
          <w:noProof/>
          <w:color w:val="808080"/>
          <w:sz w:val="72"/>
        </w:rPr>
        <w:t>1.</w:t>
      </w:r>
      <w:r>
        <w:rPr>
          <w:noProof/>
        </w:rPr>
        <w:tab/>
        <w:t>Economic situation and outlook</w:t>
      </w:r>
      <w:bookmarkEnd w:id="3"/>
    </w:p>
    <w:p w:rsidR="00DC4807" w:rsidRDefault="0005641F">
      <w:pPr>
        <w:pStyle w:val="Heading"/>
        <w:rPr>
          <w:noProof/>
        </w:rPr>
      </w:pPr>
      <w:r>
        <w:rPr>
          <w:noProof/>
        </w:rPr>
        <w:t>GDP growth</w:t>
      </w:r>
    </w:p>
    <w:p w:rsidR="00DC4807" w:rsidRDefault="0005641F">
      <w:pPr>
        <w:rPr>
          <w:noProof/>
        </w:rPr>
      </w:pPr>
      <w:r>
        <w:rPr>
          <w:b/>
          <w:noProof/>
        </w:rPr>
        <w:t>Economic growth has accelerated to 3.1 % in 2017, the highest rate in 10</w:t>
      </w:r>
      <w:r>
        <w:rPr>
          <w:b/>
          <w:noProof/>
        </w:rPr>
        <w:t xml:space="preserve"> years</w:t>
      </w:r>
      <w:r>
        <w:rPr>
          <w:noProof/>
        </w:rPr>
        <w:t>. This expansion follows on the back of a relatively strong recovery in recent years, but it should be seen in the context of a prolonged double dip in 2012-2013. While the acceleration of economic growth in 2016 was mostly driven by labour utilisati</w:t>
      </w:r>
      <w:r>
        <w:rPr>
          <w:noProof/>
        </w:rPr>
        <w:t>on (the number of hours worked), both labour utilisation and productivity growth contributed to GDP per capita growth in 2017 (by 2 percentage points and 1 percentage point respectively). In per capita terms, GDP is 3 % above pre-crisis peaks and is growin</w:t>
      </w:r>
      <w:r>
        <w:rPr>
          <w:noProof/>
        </w:rPr>
        <w:t xml:space="preserve">g rapidly (see Graph </w:t>
      </w:r>
      <w:r>
        <w:rPr>
          <w:noProof/>
        </w:rPr>
        <w:fldChar w:fldCharType="begin"/>
      </w:r>
      <w:r>
        <w:rPr>
          <w:noProof/>
        </w:rPr>
        <w:instrText xml:space="preserve"> QUOTE "1.1"</w:instrText>
      </w:r>
      <w:r>
        <w:rPr>
          <w:noProof/>
        </w:rPr>
        <w:fldChar w:fldCharType="begin">
          <w:fldData xml:space="preserve">QwBSAE8AUwBTAFIARQBGAEUAUgBFAE4AQwBFACoARwBSAEEAUABIACoAMAA3ADQANQA1AGUAZQA1
AC0AZgBmAGIAZgAtADQAMAA1ADgALQBiADAAOAA0AC0AMAAzADgAMwA0ADkAOAAwAGMAMQA5ADcA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 That said, under the assumption that economic growth returns to potential growth rates after 2019, the permanent impact of the crisis is estimated at roug</w:t>
      </w:r>
      <w:r>
        <w:rPr>
          <w:noProof/>
        </w:rPr>
        <w:t xml:space="preserve">hly 4 % of GDP (see Graph </w:t>
      </w:r>
      <w:r>
        <w:rPr>
          <w:noProof/>
        </w:rPr>
        <w:fldChar w:fldCharType="begin"/>
      </w:r>
      <w:r>
        <w:rPr>
          <w:noProof/>
        </w:rPr>
        <w:instrText xml:space="preserve"> QUOTE "1.2"</w:instrText>
      </w:r>
      <w:r>
        <w:rPr>
          <w:noProof/>
        </w:rPr>
        <w:fldChar w:fldCharType="begin">
          <w:fldData xml:space="preserve">QwBSAE8AUwBTAFIARQBGAEUAUgBFAE4AQwBFACoARwBSAEEAUABIACoAYgBlAGEANgBiADYAYwA3
AC0AYQAzAGIAMwAtADQAMABkADcALQA5ADcAMQBlAC0ANwAyADQAMgA1ADIAYwA4AGUANgA1AGYA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w:t>
      </w:r>
      <w:r>
        <w:rPr>
          <w:noProof/>
          <w:vertAlign w:val="superscript"/>
        </w:rPr>
        <w:footnoteReference w:id="2"/>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lang w:val="it-IT"/>
              </w:rPr>
            </w:pPr>
            <w:bookmarkStart w:id="4" w:name="_Toc507233625"/>
            <w:r>
              <w:rPr>
                <w:noProof/>
                <w:lang w:val="it-IT"/>
              </w:rPr>
              <w:t>Graph 1.1:</w:t>
            </w:r>
            <w:r>
              <w:rPr>
                <w:b/>
                <w:noProof/>
                <w:lang w:val="it-IT"/>
              </w:rPr>
              <w:tab/>
              <w:t>GDP per capita (volume, index 2010=100)</w:t>
            </w:r>
            <w:bookmarkEnd w:id="4"/>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65A169CB" wp14:editId="7C646EC7">
                  <wp:extent cx="2597595" cy="2436273"/>
                  <wp:effectExtent l="0" t="0" r="0" b="2540"/>
                  <wp:docPr id="44" name="Picture 44" descr="&lt;nbr&gt;&lt;GETTEXTFROMWORD&gt;&lt;/nbr&gt;&#10;&lt;title&gt;&lt;GETTEXTFROMWORD&gt;&lt;/title&gt;&#10;&lt;id&gt;07455ee5-ffbf-4058-b084-03834980c197&lt;/id&gt;&#10;&lt;srcType&gt;EXCEL&lt;/srcType&gt;&#10;&lt;srcPath&gt;O:\2017 CRs\2018 European semester\19 NL\19_NL_TablesGraphesBoxes&lt;/srcPath&gt;&#10;&lt;srcName&gt;Section1.xlsx&lt;/srcName&gt;&#10;&lt;type&gt;graph&lt;/type&gt;&#10; &lt;srcSheet&gt;Graph1_GDP per capita index&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3:28:17&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436273"/>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(Eurostat)</w:t>
            </w:r>
          </w:p>
        </w:tc>
      </w:tr>
    </w:tbl>
    <w:p w:rsidR="00DC4807" w:rsidRDefault="0005641F">
      <w:pPr>
        <w:rPr>
          <w:noProof/>
        </w:rPr>
      </w:pPr>
      <w:r>
        <w:rPr>
          <w:b/>
          <w:noProof/>
        </w:rPr>
        <w:t xml:space="preserve">As the </w:t>
      </w:r>
      <w:r>
        <w:rPr>
          <w:b/>
          <w:noProof/>
        </w:rPr>
        <w:t>business cycle matures, private consumption is expected to be the main growth driver.</w:t>
      </w:r>
      <w:r>
        <w:rPr>
          <w:noProof/>
        </w:rPr>
        <w:t xml:space="preserve"> According to the European Commission’s Winter 2018 Interim Economic Forecast, real GDP is projected to increase by 2.9 % in 2018 and 2.5 % in 2019. Private consumption is</w:t>
      </w:r>
      <w:r>
        <w:rPr>
          <w:noProof/>
        </w:rPr>
        <w:t xml:space="preserve"> set to pick up as wage and employment growth improve household disposable income, while rising house prices lead to positive wealth effects. As a result of the new government’s fiscal plans, public consumption is set to increase by almost 3 % in real term</w:t>
      </w:r>
      <w:r>
        <w:rPr>
          <w:noProof/>
        </w:rPr>
        <w:t>s in 2018 and 2019. Corporate investment in equipment is expected to grow as capacity utilisation rates have reached pre-crisis levels. However, this is partly offset by a slowdown in residential investment, which has recorded double-digit growth in recent</w:t>
      </w:r>
      <w:r>
        <w:rPr>
          <w:noProof/>
        </w:rPr>
        <w:t xml:space="preserve"> years. The growth contribution from net exports is expected to be fairly limited given strong domestic demand, which drives up imports (see Graph </w:t>
      </w:r>
      <w:r>
        <w:rPr>
          <w:noProof/>
        </w:rPr>
        <w:fldChar w:fldCharType="begin"/>
      </w:r>
      <w:r>
        <w:rPr>
          <w:noProof/>
        </w:rPr>
        <w:instrText xml:space="preserve"> QUOTE "1.3"</w:instrText>
      </w:r>
      <w:r>
        <w:rPr>
          <w:noProof/>
        </w:rPr>
        <w:fldChar w:fldCharType="begin">
          <w:fldData xml:space="preserve">QwBSAE8AUwBTAFIARQBGAEUAUgBFAE4AQwBFACoARwBSAEEAUABIACoAMAA0AGYAOQA2ADYAZQBh
AC0AZgBmAGMAYQAtADQAOAAwADEALQBhADAAOQAzAC0AMgAwAGIAZgBiADQAYQA5ADgAMwBmAGUA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5" w:name="_Toc507233626"/>
            <w:r>
              <w:rPr>
                <w:noProof/>
              </w:rPr>
              <w:t>Graph 1.2:</w:t>
            </w:r>
            <w:r>
              <w:rPr>
                <w:b/>
                <w:noProof/>
              </w:rPr>
              <w:tab/>
              <w:t>GDP volume and pre-crisis trend</w:t>
            </w:r>
            <w:bookmarkEnd w:id="5"/>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33FAC6EC" wp14:editId="36AE2486">
                  <wp:extent cx="2609850" cy="26098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The pre-crisis trend is approximated by a linear estimate on Q1-2001 to Q4-2007. </w:t>
            </w:r>
          </w:p>
        </w:tc>
      </w:tr>
    </w:tbl>
    <w:p w:rsidR="00DC4807" w:rsidRDefault="0005641F">
      <w:pPr>
        <w:pStyle w:val="Heading"/>
        <w:rPr>
          <w:noProof/>
        </w:rPr>
      </w:pPr>
      <w:r>
        <w:rPr>
          <w:noProof/>
        </w:rPr>
        <w:t>Inflation</w:t>
      </w:r>
    </w:p>
    <w:p w:rsidR="00DC4807" w:rsidRDefault="0005641F">
      <w:pPr>
        <w:rPr>
          <w:noProof/>
        </w:rPr>
      </w:pPr>
      <w:r>
        <w:rPr>
          <w:b/>
          <w:noProof/>
        </w:rPr>
        <w:t>Inflation is picking up.</w:t>
      </w:r>
      <w:r>
        <w:rPr>
          <w:noProof/>
        </w:rPr>
        <w:t xml:space="preserve"> Driven mainly by energy prices, consumer price inflation is expected to reach 1.3 % in 2017 after remaining muted in 2015 and 2016. Looking ahead, inflation is expected to pick up further based on higher wage growth, which drives up prices in particular i</w:t>
      </w:r>
      <w:r>
        <w:rPr>
          <w:noProof/>
        </w:rPr>
        <w:t>n the service sector. In 2019, inflation is expected to increase to 2.3 % as the planned increases in indirect taxes (VAT and energy taxes) kick in.</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6" w:name="_Toc507233627"/>
            <w:r>
              <w:rPr>
                <w:noProof/>
              </w:rPr>
              <w:t>Graph 1.3:</w:t>
            </w:r>
            <w:r>
              <w:rPr>
                <w:b/>
                <w:noProof/>
              </w:rPr>
              <w:tab/>
              <w:t>GDP Growth and contributions</w:t>
            </w:r>
            <w:bookmarkEnd w:id="6"/>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51BC0BE2" wp14:editId="3620C9D3">
                  <wp:extent cx="2609850" cy="24479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9850" cy="2447925"/>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(Winter 2018 Interi,m Economic fore</w:t>
            </w:r>
            <w:r>
              <w:rPr>
                <w:noProof/>
              </w:rPr>
              <w:t>cast)</w:t>
            </w:r>
          </w:p>
        </w:tc>
      </w:tr>
    </w:tbl>
    <w:p w:rsidR="00DC4807" w:rsidRDefault="0005641F">
      <w:pPr>
        <w:pStyle w:val="Heading"/>
        <w:rPr>
          <w:noProof/>
        </w:rPr>
      </w:pPr>
      <w:r>
        <w:rPr>
          <w:noProof/>
        </w:rPr>
        <w:t>Labour market</w:t>
      </w:r>
    </w:p>
    <w:p w:rsidR="00DC4807" w:rsidRDefault="0005641F">
      <w:pPr>
        <w:rPr>
          <w:noProof/>
        </w:rPr>
      </w:pPr>
      <w:r>
        <w:rPr>
          <w:b/>
          <w:noProof/>
        </w:rPr>
        <w:t>Employment growth accelerated further in 2017.</w:t>
      </w:r>
      <w:r>
        <w:rPr>
          <w:noProof/>
        </w:rPr>
        <w:t xml:space="preserve"> Employment growth increased from 1 % year-on-year in 2015 and early 2016, to 2.1 % in 2017. The increase in the number of employed persons is mainly due to an increase in temporary and self-employment, although the number of permanent contracts has also i</w:t>
      </w:r>
      <w:r>
        <w:rPr>
          <w:noProof/>
        </w:rPr>
        <w:t>ncreased in the final quarters of 2017 after a period of negative growth. The unemployment rate fell to 4.9 % of the labour force in 2017, down from 6.0 % in 2016 and well below the EU average. Long-term unemployment, which increased substantially since 20</w:t>
      </w:r>
      <w:r>
        <w:rPr>
          <w:noProof/>
        </w:rPr>
        <w:t>09, declined for all age groups. In Q3-2017 it reached 1.9 % of the labour force, down from 2.4 % in Q3-2016 (see Section 4.3). While overall labour market participation remains high, an untapped potential remains, especially related to part-time employmen</w:t>
      </w:r>
      <w:r>
        <w:rPr>
          <w:noProof/>
        </w:rPr>
        <w:t xml:space="preserve">t of women and for people with a migrant background. </w:t>
      </w:r>
    </w:p>
    <w:p w:rsidR="00DC4807" w:rsidRDefault="0005641F">
      <w:pPr>
        <w:rPr>
          <w:noProof/>
        </w:rPr>
      </w:pPr>
      <w:r>
        <w:rPr>
          <w:b/>
          <w:noProof/>
        </w:rPr>
        <w:t>Wage growth has been moderate in the recent years, but is expected to pick up as a result of a tightening labour market.</w:t>
      </w:r>
      <w:r>
        <w:rPr>
          <w:noProof/>
        </w:rPr>
        <w:t xml:space="preserve"> In 2017, nominal compensation per employee is expected to have increased moderate</w:t>
      </w:r>
      <w:r>
        <w:rPr>
          <w:noProof/>
        </w:rPr>
        <w:t>ly by 1.7 %. This is below the level that could be expected based on the level of the economic fundamentals. For 2018, trade unions have formulated substantially higher wage demands compared to previous years. In combination with a tightening of the labour</w:t>
      </w:r>
      <w:r>
        <w:rPr>
          <w:noProof/>
        </w:rPr>
        <w:t xml:space="preserve"> market, this is expected to result in an acceleration of nominal wage growth over the coming years. Nevertheless, wage growth remains low in comparison with fundamental drivers (see Graph </w:t>
      </w:r>
      <w:r>
        <w:rPr>
          <w:noProof/>
        </w:rPr>
        <w:fldChar w:fldCharType="begin"/>
      </w:r>
      <w:r>
        <w:rPr>
          <w:noProof/>
        </w:rPr>
        <w:instrText xml:space="preserve"> QUOTE "1.5"</w:instrText>
      </w:r>
      <w:r>
        <w:rPr>
          <w:noProof/>
        </w:rPr>
        <w:fldChar w:fldCharType="begin">
          <w:fldData xml:space="preserve">QwBSAE8AUwBTAFIARQBGAEUAUgBFAE4AQwBFACoARwBSAEEAUABIACoAYgA4ADMAMwBjAGEAYQA0
AC0AOQBkAGQAZgAtADQAYwA1ADgALQBhADcAYgBkAC0AYQA0AGYANgAyAGUAZAA3AGUANABjADcA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7" w:name="_Toc507233628"/>
            <w:r>
              <w:rPr>
                <w:noProof/>
              </w:rPr>
              <w:t>Graph 1.4:</w:t>
            </w:r>
            <w:r>
              <w:rPr>
                <w:b/>
                <w:noProof/>
              </w:rPr>
              <w:tab/>
              <w:t>Labour market developments</w:t>
            </w:r>
            <w:bookmarkEnd w:id="7"/>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22EB6CA2" wp14:editId="3CB3598B">
                  <wp:extent cx="2597595" cy="2440702"/>
                  <wp:effectExtent l="0" t="0" r="0" b="0"/>
                  <wp:docPr id="47" name="Picture 47" descr="&lt;nbr&gt;&lt;GETTEXTFROMWORD&gt;&lt;/nbr&gt;&#10;&lt;title&gt;&lt;GETTEXTFROMWORD&gt;&lt;/title&gt;&#10;&lt;id&gt;8a80c890-4cfd-4a84-92f6-fad9fed919fa&lt;/id&gt;&#10;&lt;srcType&gt;EXCEL&lt;/srcType&gt;&#10;&lt;srcPath&gt;O:\2017 CRs\2018 European semester\19 NL\19_NL_TablesGraphesBoxes&lt;/srcPath&gt;&#10;&lt;srcName&gt;Section1.xlsx&lt;/srcName&gt;&#10;&lt;type&gt;graph&lt;/type&gt;&#10; &lt;srcSheet&gt;gr4_empl unemp&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3:28:17&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(Statistics Netherlands; seasonally adjusted data)</w:t>
            </w:r>
          </w:p>
        </w:tc>
      </w:tr>
      <w:tr w:rsidR="00DC4807">
        <w:trPr>
          <w:cantSplit/>
        </w:trPr>
        <w:tc>
          <w:tcPr>
            <w:tcW w:w="4110" w:type="dxa"/>
            <w:shd w:val="clear" w:color="auto" w:fill="auto"/>
          </w:tcPr>
          <w:p w:rsidR="00DC4807" w:rsidRDefault="0005641F">
            <w:pPr>
              <w:pStyle w:val="GraphTitle"/>
              <w:rPr>
                <w:b/>
                <w:noProof/>
              </w:rPr>
            </w:pPr>
            <w:bookmarkStart w:id="8" w:name="_Toc507233629"/>
            <w:r>
              <w:rPr>
                <w:noProof/>
              </w:rPr>
              <w:t>Graph 1.5:</w:t>
            </w:r>
            <w:r>
              <w:rPr>
                <w:b/>
                <w:noProof/>
              </w:rPr>
              <w:tab/>
              <w:t>Wage growth: actual and predicted based on economic fundamentals</w:t>
            </w:r>
            <w:bookmarkEnd w:id="8"/>
          </w:p>
        </w:tc>
      </w:tr>
    </w:tbl>
    <w:p w:rsidR="00DC4807" w:rsidRDefault="0005641F">
      <w:pPr>
        <w:rPr>
          <w:b/>
          <w:noProof/>
        </w:rPr>
      </w:pPr>
      <w:r>
        <w:rPr>
          <w:noProof/>
          <w:sz w:val="2"/>
          <w:lang w:eastAsia="en-GB"/>
        </w:rPr>
        <w:drawing>
          <wp:inline distT="0" distB="0" distL="0" distR="0" wp14:anchorId="477F0967" wp14:editId="6F98A170">
            <wp:extent cx="2597595" cy="2440702"/>
            <wp:effectExtent l="0" t="0" r="0" b="0"/>
            <wp:docPr id="18" name="Picture 18" descr="&lt;nbr&gt;&lt;GETTEXTFROMWORD&gt;&lt;/nbr&gt;&#10;&lt;title&gt;&lt;GETTEXTFROMWORD&gt;&lt;/title&gt;&#10;&lt;id&gt;b833caa4-9ddf-4c58-a7bd-a4f62ed7e4c7&lt;/id&gt;&#10;&lt;srcType&gt;EXCEL&lt;/srcType&gt;&#10;&lt;srcPath&gt;O:\2017 CRs\2018 European semester\19 NL\19_NL_TablesGraphesBoxes\&lt;/srcPath&gt;&#10;&lt;srcName&gt;Section1.xlsx&lt;/srcName&gt;&#10;&lt;type&gt;graph&lt;/type&gt;&#10; &lt;srcSheet&gt;gr4a_bmark_wag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3:28:17&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noProof/>
              </w:rPr>
            </w:pPr>
            <w:bookmarkStart w:id="9" w:name="_Toc507233630"/>
            <w:r>
              <w:rPr>
                <w:noProof/>
              </w:rPr>
              <w:t>Source: European Commission (see Kiss and Arpaia, 2011)</w:t>
            </w:r>
            <w:bookmarkEnd w:id="9"/>
          </w:p>
        </w:tc>
      </w:tr>
    </w:tbl>
    <w:p w:rsidR="00DC4807" w:rsidRDefault="0005641F">
      <w:pPr>
        <w:rPr>
          <w:noProof/>
        </w:rPr>
      </w:pPr>
      <w:r>
        <w:rPr>
          <w:b/>
          <w:noProof/>
        </w:rPr>
        <w:t>Unit labour costs are expected to increase in the coming years.</w:t>
      </w:r>
      <w:r>
        <w:rPr>
          <w:noProof/>
        </w:rPr>
        <w:t xml:space="preserve"> In 2016, real compensation per employee increased by 0.6 %, which resulted in a slight increase in unit labour costs (0.3 %). However,</w:t>
      </w:r>
      <w:r>
        <w:rPr>
          <w:noProof/>
        </w:rPr>
        <w:t xml:space="preserve"> in 2017 and 2018, a tightening of the labour market is expected to push up real wage growth. In combination with low productivity growth, this is expected to result in a stronger increase in unit labour costs (1.8 % in 2018). This level is above the avera</w:t>
      </w:r>
      <w:r>
        <w:rPr>
          <w:noProof/>
        </w:rPr>
        <w:t>ge in the euro area, indicating the risk of a slight loss in competitiveness. However, from a long run perspective cost competiveness in the Netherlands evolved broadly in line with the euro area as the accumulated increase in unit labour cost in the perio</w:t>
      </w:r>
      <w:r>
        <w:rPr>
          <w:noProof/>
        </w:rPr>
        <w:t xml:space="preserve">d 2002-2016 was very similar in the Netherlands (24.5 %) as compared to the euro area (25.4 %) (see Graph </w:t>
      </w:r>
      <w:r>
        <w:rPr>
          <w:noProof/>
        </w:rPr>
        <w:fldChar w:fldCharType="begin"/>
      </w:r>
      <w:r>
        <w:rPr>
          <w:noProof/>
        </w:rPr>
        <w:instrText xml:space="preserve"> QUOTE "1.6"</w:instrText>
      </w:r>
      <w:r>
        <w:rPr>
          <w:noProof/>
        </w:rPr>
        <w:fldChar w:fldCharType="begin">
          <w:fldData xml:space="preserve">QwBSAE8AUwBTAFIARQBGAEUAUgBFAE4AQwBFACoARwBSAEEAUABIACoAMwBkADUANABmAGUAYgA4
AC0AZABlADgAYQAtADQANwBmAGQALQA5ADcAZgBmAC0AMQAwADcAOABhADIANQBlAGIAYQAxADcA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1.6</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DC4807">
            <w:pPr>
              <w:pStyle w:val="GraphShape"/>
              <w:rPr>
                <w:noProof/>
                <w:sz w:val="2"/>
              </w:rPr>
            </w:pPr>
          </w:p>
        </w:tc>
      </w:tr>
      <w:tr w:rsidR="00DC4807">
        <w:trPr>
          <w:cantSplit/>
        </w:trPr>
        <w:tc>
          <w:tcPr>
            <w:tcW w:w="4110" w:type="dxa"/>
            <w:shd w:val="clear" w:color="auto" w:fill="auto"/>
          </w:tcPr>
          <w:p w:rsidR="00DC4807" w:rsidRDefault="0005641F">
            <w:pPr>
              <w:pStyle w:val="GraphTitle"/>
              <w:rPr>
                <w:b/>
                <w:noProof/>
              </w:rPr>
            </w:pPr>
            <w:bookmarkStart w:id="10" w:name="_Toc507233631"/>
            <w:r>
              <w:rPr>
                <w:noProof/>
              </w:rPr>
              <w:t>Graph 1.6:</w:t>
            </w:r>
            <w:r>
              <w:rPr>
                <w:b/>
                <w:noProof/>
              </w:rPr>
              <w:tab/>
              <w:t xml:space="preserve">Trends in </w:t>
            </w:r>
            <w:r>
              <w:rPr>
                <w:b/>
                <w:noProof/>
              </w:rPr>
              <w:t>labour costs and its components</w:t>
            </w:r>
            <w:bookmarkEnd w:id="10"/>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4D762A8A" wp14:editId="494ADCB4">
                  <wp:extent cx="2597595" cy="2440702"/>
                  <wp:effectExtent l="0" t="0" r="0" b="0"/>
                  <wp:docPr id="6" name="Picture 6" descr="&lt;nbr&gt;&lt;GETTEXTFROMWORD&gt;&lt;/nbr&gt;&#10;&lt;title&gt;&lt;GETTEXTFROMWORD&gt;&lt;/title&gt;&#10;&lt;id&gt;3d54feb8-de8a-47fd-97ff-1078a25eba17&lt;/id&gt;&#10;&lt;srcType&gt;EXCEL&lt;/srcType&gt;&#10;&lt;srcPath&gt;O:\2017 CRs\2018 European semester\19 NL\19_NL_TablesGraphesBoxes\&lt;/srcPath&gt;&#10;&lt;srcName&gt;Section1.xlsx&lt;/srcName&gt;&#10;&lt;type&gt;graph&lt;/type&gt;&#10; &lt;srcSheet&gt;gr4c_ulc&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3:28:17&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(Eurostat)</w:t>
            </w:r>
          </w:p>
        </w:tc>
      </w:tr>
    </w:tbl>
    <w:p w:rsidR="00DC4807" w:rsidRDefault="0005641F">
      <w:pPr>
        <w:pStyle w:val="Heading"/>
        <w:rPr>
          <w:noProof/>
        </w:rPr>
      </w:pPr>
      <w:r>
        <w:rPr>
          <w:noProof/>
        </w:rPr>
        <w:t>Social developments</w:t>
      </w:r>
    </w:p>
    <w:p w:rsidR="00DC4807" w:rsidRDefault="0005641F">
      <w:pPr>
        <w:rPr>
          <w:noProof/>
        </w:rPr>
      </w:pPr>
      <w:r>
        <w:rPr>
          <w:b/>
          <w:noProof/>
        </w:rPr>
        <w:t>Income inequality is relatively low compared to the EU average.</w:t>
      </w:r>
      <w:r>
        <w:rPr>
          <w:noProof/>
        </w:rPr>
        <w:t xml:space="preserve"> The Netherlands displays comparatively good outcomes with respect to social protection and inclusion. By international standards poverty is low, and taxes and transfers are effective in reducing income inequality and poverty. However, the capacity of the </w:t>
      </w:r>
      <w:r>
        <w:rPr>
          <w:noProof/>
        </w:rPr>
        <w:t>social system to reduce poverty shows signs of weakening (see Section 4.3).</w:t>
      </w:r>
    </w:p>
    <w:p w:rsidR="00DC4807" w:rsidRDefault="0005641F">
      <w:pPr>
        <w:rPr>
          <w:noProof/>
        </w:rPr>
      </w:pPr>
      <w:r>
        <w:rPr>
          <w:b/>
          <w:noProof/>
        </w:rPr>
        <w:t>There are signs that intergenerational income inequality is increasing.</w:t>
      </w:r>
      <w:r>
        <w:rPr>
          <w:noProof/>
        </w:rPr>
        <w:t xml:space="preserve"> In theory, young cohorts typically earn more than older generations at the same age as economic growth trans</w:t>
      </w:r>
      <w:r>
        <w:rPr>
          <w:noProof/>
        </w:rPr>
        <w:t xml:space="preserve">lates into real income gains over time. This is also largely supported by income data for Dutch households: for any given age, younger birth cohorts earn more than previous birth cohorts (see Graph </w:t>
      </w:r>
      <w:r>
        <w:rPr>
          <w:noProof/>
        </w:rPr>
        <w:fldChar w:fldCharType="begin"/>
      </w:r>
      <w:r>
        <w:rPr>
          <w:noProof/>
        </w:rPr>
        <w:instrText xml:space="preserve"> QUOTE "1.7"</w:instrText>
      </w:r>
      <w:r>
        <w:rPr>
          <w:noProof/>
        </w:rPr>
        <w:fldChar w:fldCharType="begin">
          <w:fldData xml:space="preserve">QwBSAE8AUwBTAFIARQBGAEUAUgBFAE4AQwBFACoARwBSAEEAUABIACoAOAA1AGUAMwAwADIAOQA1
AC0AYQBkAGYANwAtADQAMgBjADEALQA5AGUANABkAC0AYQAzAGUANgAyADgANABlADAANgAzADQA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1.7</w:t>
      </w:r>
      <w:r>
        <w:rPr>
          <w:noProof/>
        </w:rPr>
        <w:fldChar w:fldCharType="end"/>
      </w:r>
      <w:r>
        <w:rPr>
          <w:noProof/>
        </w:rPr>
        <w:t xml:space="preserve"> which shows the average income difference with the previous birth cohort). For most birth cohorts, this income gain is roughly EUR 3 000 per year. Although there are increasingly few data poin</w:t>
      </w:r>
      <w:r>
        <w:rPr>
          <w:noProof/>
        </w:rPr>
        <w:t>ts, it is striking that very young income earners on average earn less than previous generations. This could be a consequence of the economic downturn during the years after 2008.</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11" w:name="_Toc507233632"/>
            <w:r>
              <w:rPr>
                <w:noProof/>
              </w:rPr>
              <w:t>Graph 1.7:</w:t>
            </w:r>
            <w:r>
              <w:rPr>
                <w:b/>
                <w:noProof/>
              </w:rPr>
              <w:tab/>
              <w:t>Average annual real income gain/loss compared to previous generat</w:t>
            </w:r>
            <w:r>
              <w:rPr>
                <w:b/>
                <w:noProof/>
              </w:rPr>
              <w:t>ion*</w:t>
            </w:r>
            <w:bookmarkEnd w:id="11"/>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5801C6CC" wp14:editId="57345F0B">
                  <wp:extent cx="2597595" cy="2440702"/>
                  <wp:effectExtent l="0" t="0" r="0" b="0"/>
                  <wp:docPr id="48" name="Picture 48" descr="&lt;nbr&gt;&lt;GETTEXTFROMWORD&gt;&lt;/nbr&gt;&#10;&lt;title&gt;&lt;GETTEXTFROMWORD&gt;&lt;/title&gt;&#10;&lt;id&gt;85e30295-adf7-42c1-9e4d-a3e6284e0634&lt;/id&gt;&#10;&lt;srcType&gt;EXCEL&lt;/srcType&gt;&#10;&lt;srcPath&gt;O:\2017 CRs\2018 European semester\19 NL\19_NL_TablesGraphesBoxes&lt;/srcPath&gt;&#10;&lt;srcName&gt;Section1.xlsx&lt;/srcName&gt;&#10;&lt;type&gt;graph&lt;/type&gt;&#10; &lt;srcSheet&gt;gr7_InterGen2&lt;/srcSheet&gt;&#10; &lt;srcChartTitle&gt;Chart 10&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3:28:17&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(Statistics Netherlands, household income data). *) 5 year birth cohort.</w:t>
            </w:r>
          </w:p>
        </w:tc>
      </w:tr>
    </w:tbl>
    <w:p w:rsidR="00DC4807" w:rsidRDefault="0005641F">
      <w:pPr>
        <w:rPr>
          <w:noProof/>
        </w:rPr>
      </w:pPr>
      <w:r>
        <w:rPr>
          <w:b/>
          <w:noProof/>
        </w:rPr>
        <w:t>Inequality in net wealth is partly explained by household debt and life cycle patterns.</w:t>
      </w:r>
      <w:r>
        <w:rPr>
          <w:noProof/>
        </w:rPr>
        <w:t xml:space="preserve"> The relatively high inequality in net wealth is to a large extent driven by high mortgage debt and negative net housing equity ('underwater mortgages', see Section 4.2.4). Excluding households with negative wealth, inequality in net wealth is much lower a</w:t>
      </w:r>
      <w:r>
        <w:rPr>
          <w:noProof/>
        </w:rPr>
        <w:t>nd more in line with other EU countries. Life cycle patterns are also important. As wealth represents cumulated savings over the years, a large proportion of total net wealth is concentrated among relatively old households. Median net wealth grows until th</w:t>
      </w:r>
      <w:r>
        <w:rPr>
          <w:noProof/>
        </w:rPr>
        <w:t xml:space="preserve">e age of 65 where it peaks around EUR 100 000, after which it starts to decline (see Graph </w:t>
      </w:r>
      <w:r>
        <w:rPr>
          <w:noProof/>
        </w:rPr>
        <w:fldChar w:fldCharType="begin"/>
      </w:r>
      <w:r>
        <w:rPr>
          <w:noProof/>
        </w:rPr>
        <w:instrText xml:space="preserve"> QUOTE "1.8"</w:instrText>
      </w:r>
      <w:r>
        <w:rPr>
          <w:noProof/>
        </w:rPr>
        <w:fldChar w:fldCharType="begin">
          <w:fldData xml:space="preserve">QwBSAE8AUwBTAFIARQBGAEUAUgBFAE4AQwBFACoARwBSAEEAUABIACoAYwA4ADIAYgA0AGQAZABm
AC0AMgA1ADkANAAtADQANQA1AGQALQBiAGMANwA5AC0AOAAwADcANQA3ADAAZgA5ADAAZgBiAGEA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1.8</w:t>
      </w:r>
      <w:r>
        <w:rPr>
          <w:noProof/>
        </w:rPr>
        <w:fldChar w:fldCharType="end"/>
      </w:r>
      <w:r>
        <w:rPr>
          <w:noProof/>
        </w:rPr>
        <w:t xml:space="preserve">). Net wealth inequality tends to be smaller </w:t>
      </w:r>
      <w:r>
        <w:rPr>
          <w:noProof/>
        </w:rPr>
        <w:t>within age groups than between, which implies that the distribution is less skewed from a life cycle perspective.</w:t>
      </w:r>
    </w:p>
    <w:p w:rsidR="00DC4807" w:rsidRDefault="00DC4807">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12" w:name="_Toc507233633"/>
            <w:r>
              <w:rPr>
                <w:noProof/>
              </w:rPr>
              <w:t>Graph 1.8:</w:t>
            </w:r>
            <w:r>
              <w:rPr>
                <w:b/>
                <w:noProof/>
              </w:rPr>
              <w:tab/>
              <w:t>Net wealth by age</w:t>
            </w:r>
            <w:bookmarkEnd w:id="12"/>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0F2F0829" wp14:editId="1A58B43C">
                  <wp:extent cx="2597595" cy="2440702"/>
                  <wp:effectExtent l="0" t="0" r="0" b="0"/>
                  <wp:docPr id="3" name="Picture 3" descr="&lt;nbr&gt;&lt;GETTEXTFROMWORD&gt;&lt;/nbr&gt;&#10;&lt;title&gt;&lt;GETTEXTFROMWORD&gt;&lt;/title&gt;&#10;&lt;id&gt;c82b4ddf-2594-455d-bc79-807570f90fba&lt;/id&gt;&#10;&lt;srcType&gt;EXCEL&lt;/srcType&gt;&#10;&lt;srcPath&gt;O:\2017 CRs\2018 European semester\19 NL\19_NL_TablesGraphesBoxes&lt;/srcPath&gt;&#10;&lt;srcName&gt;Section1.xlsx&lt;/srcName&gt;&#10;&lt;type&gt;graph&lt;/type&gt;&#10; &lt;srcSheet&gt;gr5 wealth by age&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3:28:17&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(based on Statistics Netherlands wealth data for 2014)</w:t>
            </w:r>
          </w:p>
        </w:tc>
      </w:tr>
    </w:tbl>
    <w:p w:rsidR="00DC4807" w:rsidRDefault="0005641F">
      <w:pPr>
        <w:pStyle w:val="Heading"/>
        <w:rPr>
          <w:noProof/>
        </w:rPr>
      </w:pPr>
      <w:r>
        <w:rPr>
          <w:noProof/>
        </w:rPr>
        <w:t>External position</w:t>
      </w:r>
    </w:p>
    <w:p w:rsidR="00DC4807" w:rsidRDefault="0005641F">
      <w:pPr>
        <w:rPr>
          <w:noProof/>
        </w:rPr>
      </w:pPr>
      <w:r>
        <w:rPr>
          <w:b/>
          <w:noProof/>
        </w:rPr>
        <w:t>The la</w:t>
      </w:r>
      <w:r>
        <w:rPr>
          <w:b/>
          <w:noProof/>
        </w:rPr>
        <w:t>rge current account surplus is expected to have increased in 2017, and to decline only slowly in the next years.</w:t>
      </w:r>
      <w:r>
        <w:rPr>
          <w:noProof/>
        </w:rPr>
        <w:t xml:space="preserve"> Following muted domestic demand (see European Commission 2017b, Section 1.2) and a sharp recovery in international trade after the crisis, the </w:t>
      </w:r>
      <w:r>
        <w:rPr>
          <w:noProof/>
        </w:rPr>
        <w:t>current account surplus peaked at more than 10 % of GDP in 2012. Largely as a result of declining net primary incomes, in particular lower income from foreign direct investment, the current account surplus fell to 9 % of GDP in 2016. However, increased pro</w:t>
      </w:r>
      <w:r>
        <w:rPr>
          <w:noProof/>
        </w:rPr>
        <w:t>fitability of the foreign activities of Dutch multinationals led to an increase in the balance of primary incomes in early 2017, which improved the overall current account balance. Looking ahead, the trade surplus is projected to continue to decline, albei</w:t>
      </w:r>
      <w:r>
        <w:rPr>
          <w:noProof/>
        </w:rPr>
        <w:t>t slowly as buoyant domestic demand coincides with growth in world trade, which is set to continue to fuel Dutch export growth.</w:t>
      </w:r>
    </w:p>
    <w:p w:rsidR="00DC4807" w:rsidRDefault="0005641F">
      <w:pPr>
        <w:pStyle w:val="Heading"/>
        <w:rPr>
          <w:noProof/>
        </w:rPr>
      </w:pPr>
      <w:r>
        <w:rPr>
          <w:noProof/>
        </w:rPr>
        <w:t>Public finances</w:t>
      </w:r>
    </w:p>
    <w:p w:rsidR="00DC4807" w:rsidRDefault="0005641F">
      <w:pPr>
        <w:rPr>
          <w:noProof/>
        </w:rPr>
      </w:pPr>
      <w:r>
        <w:rPr>
          <w:b/>
          <w:noProof/>
        </w:rPr>
        <w:t>Despite the new government announcing a substantial fiscal stimulus package, the budget is expected to remain in</w:t>
      </w:r>
      <w:r>
        <w:rPr>
          <w:b/>
          <w:noProof/>
        </w:rPr>
        <w:t xml:space="preserve"> surplus over the coming years.</w:t>
      </w:r>
      <w:r>
        <w:rPr>
          <w:noProof/>
        </w:rPr>
        <w:t xml:space="preserve"> The headline government surplus is set to fall from 0.7 % of GDP in 2017 to 0.5 % in 2018, and to rebound to 0.9 % in 2019 based on robust revenue growth and government expenditure growth below the level of nominal GDP growt</w:t>
      </w:r>
      <w:r>
        <w:rPr>
          <w:noProof/>
        </w:rPr>
        <w:t>h. The structural budget balance, which is the nominal budget balance corrected for the impact of the economic cycle and one-off measures, is expected to have reached 0.3 % of GDP in 2017, and set to decline to -0.2 % in 2018 and -0.1 % in 2019. The debt-t</w:t>
      </w:r>
      <w:r>
        <w:rPr>
          <w:noProof/>
        </w:rPr>
        <w:t>o-GDP ratio fell below 60 % during the course of 2017. This was mainly due to sizable stock-flow adjustments resulting from the reprivatisation of financial institutions, and strong nominal GDP growth. Debt is expected to continue to decline to 51.5 % of G</w:t>
      </w:r>
      <w:r>
        <w:rPr>
          <w:noProof/>
        </w:rPr>
        <w:t>DP in 2019.</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C4807">
        <w:trPr>
          <w:cantSplit/>
          <w:trHeight w:val="20"/>
        </w:trPr>
        <w:tc>
          <w:tcPr>
            <w:tcW w:w="8505" w:type="dxa"/>
            <w:shd w:val="clear" w:color="auto" w:fill="auto"/>
          </w:tcPr>
          <w:p w:rsidR="00DC4807" w:rsidRDefault="00DC4807">
            <w:pPr>
              <w:pStyle w:val="SlimCell"/>
              <w:keepNext/>
              <w:rPr>
                <w:noProof/>
              </w:rPr>
            </w:pPr>
          </w:p>
        </w:tc>
      </w:tr>
      <w:tr w:rsidR="00DC4807">
        <w:trPr>
          <w:cantSplit/>
        </w:trPr>
        <w:tc>
          <w:tcPr>
            <w:tcW w:w="8505" w:type="dxa"/>
            <w:shd w:val="clear" w:color="auto" w:fill="auto"/>
          </w:tcPr>
          <w:p w:rsidR="00DC4807" w:rsidRDefault="0005641F">
            <w:pPr>
              <w:pStyle w:val="TableTitle"/>
              <w:rPr>
                <w:b/>
                <w:noProof/>
              </w:rPr>
            </w:pPr>
            <w:bookmarkStart w:id="13" w:name="_Toc507233669"/>
            <w:r>
              <w:rPr>
                <w:noProof/>
              </w:rPr>
              <w:t>Table 1.1:</w:t>
            </w:r>
            <w:r>
              <w:rPr>
                <w:b/>
                <w:noProof/>
              </w:rPr>
              <w:tab/>
              <w:t>Key economic and financial indicators</w:t>
            </w:r>
            <w:bookmarkEnd w:id="13"/>
          </w:p>
        </w:tc>
      </w:tr>
      <w:tr w:rsidR="00DC4807">
        <w:trPr>
          <w:cantSplit/>
        </w:trPr>
        <w:tc>
          <w:tcPr>
            <w:tcW w:w="8505" w:type="dxa"/>
            <w:shd w:val="clear" w:color="auto" w:fill="auto"/>
          </w:tcPr>
          <w:p w:rsidR="00DC4807" w:rsidRDefault="0005641F">
            <w:pPr>
              <w:pStyle w:val="TableShape"/>
              <w:rPr>
                <w:noProof/>
                <w:sz w:val="2"/>
              </w:rPr>
            </w:pPr>
            <w:r>
              <w:rPr>
                <w:noProof/>
                <w:sz w:val="2"/>
                <w:lang w:eastAsia="en-GB"/>
              </w:rPr>
              <w:drawing>
                <wp:inline distT="0" distB="0" distL="0" distR="0" wp14:anchorId="58072322" wp14:editId="24DBB82E">
                  <wp:extent cx="5202431" cy="706648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4373" cy="7069121"/>
                          </a:xfrm>
                          <a:prstGeom prst="rect">
                            <a:avLst/>
                          </a:prstGeom>
                          <a:noFill/>
                          <a:ln>
                            <a:noFill/>
                          </a:ln>
                        </pic:spPr>
                      </pic:pic>
                    </a:graphicData>
                  </a:graphic>
                </wp:inline>
              </w:drawing>
            </w:r>
          </w:p>
        </w:tc>
      </w:tr>
      <w:tr w:rsidR="00DC4807">
        <w:trPr>
          <w:cantSplit/>
        </w:trPr>
        <w:tc>
          <w:tcPr>
            <w:tcW w:w="8505" w:type="dxa"/>
            <w:shd w:val="clear" w:color="auto" w:fill="auto"/>
          </w:tcPr>
          <w:p w:rsidR="00DC4807" w:rsidRDefault="0005641F">
            <w:pPr>
              <w:pStyle w:val="TableFootnote"/>
              <w:rPr>
                <w:noProof/>
              </w:rPr>
            </w:pPr>
            <w:r>
              <w:rPr>
                <w:noProof/>
              </w:rPr>
              <w:t xml:space="preserve">(1)  NIIP excluding direct investment and portfolio equity shares </w:t>
            </w:r>
            <w:r>
              <w:rPr>
                <w:noProof/>
              </w:rPr>
              <w:br/>
              <w:t xml:space="preserve">(2) Domestic banking groups and stand-alone banks, EU and non-EU foreign-controlled subsidiaries and EU and non-EU </w:t>
            </w:r>
            <w:r>
              <w:rPr>
                <w:noProof/>
              </w:rPr>
              <w:t>foreign-controlled branches.</w:t>
            </w:r>
          </w:p>
          <w:p w:rsidR="00DC4807" w:rsidRDefault="0005641F">
            <w:pPr>
              <w:pStyle w:val="TableSource"/>
              <w:rPr>
                <w:noProof/>
              </w:rPr>
            </w:pPr>
            <w:r>
              <w:rPr>
                <w:b/>
                <w:i/>
                <w:noProof/>
              </w:rPr>
              <w:t>Source:</w:t>
            </w:r>
            <w:r>
              <w:rPr>
                <w:noProof/>
              </w:rPr>
              <w:t xml:space="preserve"> Eurostat and ECB as of 30 Jan 2018, where available; European Commission for forecast figures (Winter 2018 Interim forecast for real GDP and HICP, Autumn forecast 2017 otherwise)                                         </w:t>
            </w:r>
            <w:r>
              <w:rPr>
                <w:noProof/>
              </w:rPr>
              <w:t xml:space="preserve">                                                          </w:t>
            </w:r>
          </w:p>
        </w:tc>
      </w:tr>
      <w:tr w:rsidR="00DC4807">
        <w:trPr>
          <w:cantSplit/>
          <w:trHeight w:val="20"/>
        </w:trPr>
        <w:tc>
          <w:tcPr>
            <w:tcW w:w="8505" w:type="dxa"/>
            <w:shd w:val="clear" w:color="auto" w:fill="auto"/>
          </w:tcPr>
          <w:p w:rsidR="00DC4807" w:rsidRDefault="00DC4807">
            <w:pPr>
              <w:pStyle w:val="SlimCell"/>
              <w:rPr>
                <w:noProof/>
              </w:rPr>
            </w:pPr>
          </w:p>
        </w:tc>
      </w:tr>
    </w:tbl>
    <w:p w:rsidR="00DC4807" w:rsidRDefault="00DC4807">
      <w:pPr>
        <w:rPr>
          <w:noProof/>
        </w:rPr>
        <w:sectPr w:rsidR="00DC4807">
          <w:headerReference w:type="even" r:id="rId37"/>
          <w:headerReference w:type="default" r:id="rId38"/>
          <w:footerReference w:type="even" r:id="rId39"/>
          <w:footerReference w:type="default" r:id="rId40"/>
          <w:headerReference w:type="first" r:id="rId41"/>
          <w:footerReference w:type="first" r:id="rId4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DC4807" w:rsidRDefault="0005641F">
      <w:pPr>
        <w:pStyle w:val="SectionTitleFramed4"/>
        <w:framePr w:wrap="notBeside"/>
        <w:rPr>
          <w:noProof/>
        </w:rPr>
      </w:pPr>
      <w:bookmarkStart w:id="14" w:name="_Toc507233686"/>
      <w:r>
        <w:rPr>
          <w:rFonts w:ascii="Times New Roman" w:hAnsi="Times New Roman"/>
          <w:b/>
          <w:noProof/>
          <w:color w:val="808080"/>
          <w:sz w:val="72"/>
        </w:rPr>
        <w:t>2.</w:t>
      </w:r>
      <w:r>
        <w:rPr>
          <w:noProof/>
        </w:rPr>
        <w:tab/>
        <w:t xml:space="preserve">Progress with country-specific </w:t>
      </w:r>
      <w:r>
        <w:rPr>
          <w:noProof/>
        </w:rPr>
        <w:t>recommendations</w:t>
      </w:r>
      <w:bookmarkEnd w:id="14"/>
    </w:p>
    <w:p w:rsidR="00DC4807" w:rsidRDefault="0005641F">
      <w:pPr>
        <w:rPr>
          <w:noProof/>
        </w:rPr>
      </w:pPr>
      <w:r>
        <w:rPr>
          <w:b/>
          <w:noProof/>
        </w:rPr>
        <w:t>Progress with the implementation of the recommendations addressed to the Netherlands in 2017(</w:t>
      </w:r>
      <w:r>
        <w:rPr>
          <w:noProof/>
          <w:vertAlign w:val="superscript"/>
        </w:rPr>
        <w:footnoteReference w:id="3"/>
      </w:r>
      <w:r>
        <w:rPr>
          <w:b/>
          <w:noProof/>
        </w:rPr>
        <w:t>) has to be seen in a longer-term perspective since the introduction of the European Semester in 2011</w:t>
      </w:r>
      <w:r>
        <w:rPr>
          <w:noProof/>
        </w:rPr>
        <w:t>. Looking at the multi-annual assessment of t</w:t>
      </w:r>
      <w:r>
        <w:rPr>
          <w:noProof/>
        </w:rPr>
        <w:t>he implementation of the CSRs since these were first adopted, 78 % of all the CSRs addressed to Netherlands have recorded at least 'some progress'. 22 % of these CSRs recorded 'limited' or 'no progress' (see Graph </w:t>
      </w:r>
      <w:r>
        <w:rPr>
          <w:noProof/>
        </w:rPr>
        <w:fldChar w:fldCharType="begin"/>
      </w:r>
      <w:r>
        <w:rPr>
          <w:noProof/>
        </w:rPr>
        <w:instrText xml:space="preserve"> QUOTE "2.1"</w:instrText>
      </w:r>
      <w:r>
        <w:rPr>
          <w:noProof/>
        </w:rPr>
        <w:fldChar w:fldCharType="begin">
          <w:fldData xml:space="preserve">QwBSAE8AUwBTAFIARQBGAEUAUgBFAE4AQwBFACoARwBSAEEAUABIACoAZABkAGUAYwA1ADgAMAA1
AC0AYQBlAGQAOAAtADQANgAzAGQALQA4AGUANgA0AC0AMwBlADUAZAA5AGUANQAzADUAYQA5AGMA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2.1</w:t>
      </w:r>
      <w:r>
        <w:rPr>
          <w:noProof/>
        </w:rPr>
        <w:fldChar w:fldCharType="end"/>
      </w:r>
      <w:r>
        <w:rPr>
          <w:noProof/>
        </w:rPr>
        <w:t xml:space="preserve">). Substantial progress and full implementation have been achieved in several areas of the labour market, for instance increasing the statutory retirement age and enhancing the </w:t>
      </w:r>
      <w:r>
        <w:rPr>
          <w:noProof/>
        </w:rPr>
        <w:t xml:space="preserve">participation of older workers, people with disabilities and migrants. Other areas with substantial progress have been the reform of the long-term care as well as the protection of expenditure directly relevant for growth such as education, innovation and </w:t>
      </w:r>
      <w:r>
        <w:rPr>
          <w:noProof/>
        </w:rPr>
        <w:t>research.</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15" w:name="_Toc507233634"/>
            <w:r>
              <w:rPr>
                <w:noProof/>
              </w:rPr>
              <w:t>Graph 2.1:</w:t>
            </w:r>
            <w:r>
              <w:rPr>
                <w:b/>
                <w:noProof/>
              </w:rPr>
              <w:tab/>
              <w:t>Overall multiannual implementation of 2011-2017 CSRs to date</w:t>
            </w:r>
            <w:bookmarkEnd w:id="15"/>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1C35749C" wp14:editId="49C74B7B">
                  <wp:extent cx="2609850" cy="20478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9850" cy="2047875"/>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Footnote"/>
              <w:keepNext/>
              <w:rPr>
                <w:noProof/>
              </w:rPr>
            </w:pPr>
            <w:r>
              <w:rPr>
                <w:noProof/>
              </w:rPr>
              <w:t xml:space="preserve">* The overall assessment of the country-specific recommendations related to fiscal policy excludes compliance with the Stability and Growth Pact. </w:t>
            </w:r>
            <w:r>
              <w:rPr>
                <w:noProof/>
              </w:rPr>
              <w:br/>
              <w:t>** 2011-2012: Different</w:t>
            </w:r>
            <w:r>
              <w:rPr>
                <w:noProof/>
              </w:rPr>
              <w:t xml:space="preserve"> CSR assessment categories. </w:t>
            </w:r>
            <w:r>
              <w:rPr>
                <w:noProof/>
              </w:rPr>
              <w:br/>
              <w:t>*** The multiannual CSR assessment looks at the implementation since the CSRs were first adopted until the 2018 Country Report.</w:t>
            </w:r>
          </w:p>
          <w:p w:rsidR="00DC4807" w:rsidRDefault="0005641F">
            <w:pPr>
              <w:pStyle w:val="GraphSource"/>
              <w:keepNext/>
              <w:rPr>
                <w:noProof/>
              </w:rPr>
            </w:pPr>
            <w:r>
              <w:rPr>
                <w:b/>
                <w:i/>
                <w:noProof/>
              </w:rPr>
              <w:t>Source:</w:t>
            </w:r>
            <w:r>
              <w:rPr>
                <w:noProof/>
              </w:rPr>
              <w:t xml:space="preserve"> European Commission</w:t>
            </w:r>
          </w:p>
        </w:tc>
      </w:tr>
    </w:tbl>
    <w:p w:rsidR="00DC4807" w:rsidRDefault="0005641F">
      <w:pPr>
        <w:rPr>
          <w:noProof/>
        </w:rPr>
      </w:pPr>
      <w:r>
        <w:rPr>
          <w:b/>
          <w:noProof/>
        </w:rPr>
        <w:t xml:space="preserve">The Netherlands has secured a timely and durable correction of its </w:t>
      </w:r>
      <w:r>
        <w:rPr>
          <w:b/>
          <w:noProof/>
        </w:rPr>
        <w:t>excessive deficit.</w:t>
      </w:r>
      <w:r>
        <w:rPr>
          <w:noProof/>
        </w:rPr>
        <w:t xml:space="preserve"> Following the house price correction and the financial crisis, the Netherlands went through a period marked by an increasing debt-to-GDP ratio and a worsening budget balance, leading to an excessive deficit. From 2009-2013, a significant</w:t>
      </w:r>
      <w:r>
        <w:rPr>
          <w:noProof/>
        </w:rPr>
        <w:t xml:space="preserve"> consolidation effort led to the abrogation of the excessive deficit procedure in 2013 and has ensured continuous improvement in the budgetary situation ever since. In 2017, the Netherlands are expected to have reached a government budget surplus of 0.7 % </w:t>
      </w:r>
      <w:r>
        <w:rPr>
          <w:noProof/>
        </w:rPr>
        <w:t>of GDP and a debt-to-GDP ratio below the 60 % threshold for the first time since 2011. During the fiscal consolidation period, public funding to research and innovation has stabilised at around 0.9 % of GDP. This fully meets the recommendation to protect s</w:t>
      </w:r>
      <w:r>
        <w:rPr>
          <w:noProof/>
        </w:rPr>
        <w:t>uch investments. Nevertheless, at 2.0 % of GDP, the total R&amp;D intensity has stagnated below the target of 2.5 %. This underachievement is mostly the result of low private R&amp;D spending (1.2 % of GDP in 2016). While the figure is only slightly below the euro</w:t>
      </w:r>
      <w:r>
        <w:rPr>
          <w:noProof/>
        </w:rPr>
        <w:t xml:space="preserve"> area average (1.4 % of GDP) it is considerably lower than in other Member States with similar levels of educational attainment and economic development (e.g. Sweden 2.3 % of GDP, and Germany 2 % of GDP).</w:t>
      </w:r>
    </w:p>
    <w:p w:rsidR="00DC4807" w:rsidRDefault="0005641F">
      <w:pPr>
        <w:rPr>
          <w:noProof/>
        </w:rPr>
      </w:pPr>
      <w:r>
        <w:rPr>
          <w:b/>
          <w:noProof/>
        </w:rPr>
        <w:t>In recent years, the Netherlands has taken substant</w:t>
      </w:r>
      <w:r>
        <w:rPr>
          <w:b/>
          <w:noProof/>
        </w:rPr>
        <w:t>ial measures reforming the long-term care and retirement age, and announced plans to reform the second pillar of the pension system.</w:t>
      </w:r>
      <w:r>
        <w:rPr>
          <w:noProof/>
        </w:rPr>
        <w:t xml:space="preserve"> A major reform has been implemented to decentralise long-term care, aimed at achieving efficiency gains and providing tailo</w:t>
      </w:r>
      <w:r>
        <w:rPr>
          <w:noProof/>
        </w:rPr>
        <w:t>r-made support. Nevertheless, expenditure in this sector is still projected to increase relatively fast compared to the EU average, among others due to the implementation of a framework to improve the quality of long-term care (‘Kwaliteitskader Verpleeghui</w:t>
      </w:r>
      <w:r>
        <w:rPr>
          <w:noProof/>
        </w:rPr>
        <w:t>szorg’). The statutory retirement age in the first pillar is being increased in steps to 67 by 2021 and is linked to life expectancy thereafter. The government announced that it plans to reform the second pillar of the pension system based on the previousl</w:t>
      </w:r>
      <w:r>
        <w:rPr>
          <w:noProof/>
        </w:rPr>
        <w:t xml:space="preserve">y started dialogue with social partners. Specific measures and the exact timeline have not yet been specified. </w:t>
      </w:r>
    </w:p>
    <w:p w:rsidR="00DC4807" w:rsidRDefault="0005641F">
      <w:pPr>
        <w:rPr>
          <w:noProof/>
        </w:rPr>
      </w:pPr>
      <w:r>
        <w:rPr>
          <w:b/>
          <w:noProof/>
        </w:rPr>
        <w:t>Important reforms in the housing market have been taken, but distortions remain.</w:t>
      </w:r>
      <w:r>
        <w:rPr>
          <w:noProof/>
        </w:rPr>
        <w:t xml:space="preserve"> In line with 2017 CSR 1, the government has decided to accelera</w:t>
      </w:r>
      <w:r>
        <w:rPr>
          <w:noProof/>
        </w:rPr>
        <w:t>te the reduction of the generous mortgage interest tax deductibility (MID) from currently 0.5 pp to 3 pps per year from 2020 onwards until the MID reaches 37 % in 2023. A requirement to repay the mortgage principal in order to qualify for tax relief had pr</w:t>
      </w:r>
      <w:r>
        <w:rPr>
          <w:noProof/>
        </w:rPr>
        <w:t>eviously been introduced as well. On the rental sector, some progress has been made by implementing a point system that allows for more market-oriented rents and higher rent increases in the regulated sector for tenants with an income above a certain thres</w:t>
      </w:r>
      <w:r>
        <w:rPr>
          <w:noProof/>
        </w:rPr>
        <w:t>hold. By introducing short-term rental contracts, the government provides scope for a more flexible rental market, but it is too early to assess the impact of these reforms. Despite the reforms, distortions remain in the housing market, creating a debt bia</w:t>
      </w:r>
      <w:r>
        <w:rPr>
          <w:noProof/>
        </w:rPr>
        <w:t>s and influencing the decision to buy or rent.</w:t>
      </w:r>
    </w:p>
    <w:p w:rsidR="00DC4807" w:rsidRDefault="0005641F">
      <w:pPr>
        <w:rPr>
          <w:noProof/>
        </w:rPr>
      </w:pPr>
      <w:r>
        <w:rPr>
          <w:b/>
          <w:noProof/>
        </w:rPr>
        <w:t>Substantial progress has been made on improving participation in the labour market, although important challenges remain on labour market segmentation.</w:t>
      </w:r>
      <w:r>
        <w:rPr>
          <w:noProof/>
        </w:rPr>
        <w:t xml:space="preserve"> In recent years, the Dutch government has taken several m</w:t>
      </w:r>
      <w:r>
        <w:rPr>
          <w:noProof/>
        </w:rPr>
        <w:t xml:space="preserve">easures such as the Participation Act (‘Participatiewet’) or the Action Plan 50+ (‘Actieplan 50+’) to improve the employability of people at the margin of the labour market, including disabled and older workers. Reforms were also carried out on employment </w:t>
      </w:r>
      <w:r>
        <w:rPr>
          <w:noProof/>
        </w:rPr>
        <w:t>protection and unemployment benefits to increase labour force mobility. Nevertheless, labour market segmentation remains a concern, as reflected by the absolute and relative increase in flexible employment contracts.</w:t>
      </w:r>
    </w:p>
    <w:p w:rsidR="00DC4807" w:rsidRDefault="0005641F">
      <w:pPr>
        <w:rPr>
          <w:noProof/>
        </w:rPr>
      </w:pPr>
      <w:r>
        <w:rPr>
          <w:b/>
          <w:noProof/>
        </w:rPr>
        <w:t>The Netherlands has made some progress </w:t>
      </w:r>
      <w:r>
        <w:rPr>
          <w:b/>
          <w:noProof/>
        </w:rPr>
        <w:t>(</w:t>
      </w:r>
      <w:r>
        <w:rPr>
          <w:noProof/>
          <w:vertAlign w:val="superscript"/>
        </w:rPr>
        <w:footnoteReference w:id="4"/>
      </w:r>
      <w:r>
        <w:rPr>
          <w:b/>
          <w:noProof/>
        </w:rPr>
        <w:t>) in addressing the 2017 country-specific recommendations.</w:t>
      </w:r>
      <w:r>
        <w:rPr>
          <w:noProof/>
        </w:rPr>
        <w:t xml:space="preserve"> Substantial progress has been made on the fiscal-structural part of CSR 1, with the government set to implement additional fiscal measures in 2018 that support domestic demand, in particular incr</w:t>
      </w:r>
      <w:r>
        <w:rPr>
          <w:noProof/>
        </w:rPr>
        <w:t>easing expenditure on security and on teachers’ salaries. From 2018 onwards, R&amp;D investment will be increased. On the housing market, some progress has been made. The government has taken some measures to support the development of the middle segment renta</w:t>
      </w:r>
      <w:r>
        <w:rPr>
          <w:noProof/>
        </w:rPr>
        <w:t xml:space="preserve">l market. For the owner-occupied market, the government announced that it will speed up the MID reduction from 2020 onwards until it reaches 37 % in 2023, which is still relatively high. For CSR 2, limited progress has been made as the government has only </w:t>
      </w:r>
      <w:r>
        <w:rPr>
          <w:noProof/>
        </w:rPr>
        <w:t>announced its intention to address the problem of labour market segmentation. Concrete measures have not yet been revealed. Wage growth is slowly increasing, with limited progress made on promoting higher real wage growth. No progress has been made on refo</w:t>
      </w:r>
      <w:r>
        <w:rPr>
          <w:noProof/>
        </w:rPr>
        <w:t xml:space="preserve">rming the second pillar of the pension system; while the government announced its intention, no details have been communicated. </w:t>
      </w:r>
    </w:p>
    <w:p w:rsidR="00DC4807" w:rsidRDefault="0005641F">
      <w:pPr>
        <w:rPr>
          <w:noProof/>
        </w:rPr>
      </w:pPr>
      <w:r>
        <w:rPr>
          <w:b/>
          <w:noProof/>
        </w:rPr>
        <w:t>ESI Funds address key challenges to inclusive growth and convergence.</w:t>
      </w:r>
      <w:r>
        <w:rPr>
          <w:noProof/>
        </w:rPr>
        <w:t xml:space="preserve"> In the Netherlands, this is done notably by stimulating i</w:t>
      </w:r>
      <w:r>
        <w:rPr>
          <w:noProof/>
        </w:rPr>
        <w:t>nvestments in R&amp;D in the private sector for experimental development of new products, the set-up of living labs and the stimulation of cooperation between SMEs and research institutions. ESI Funds also invest in coaching people who are at a distance from t</w:t>
      </w:r>
      <w:r>
        <w:rPr>
          <w:noProof/>
        </w:rPr>
        <w:t>he labour market and in measures that help improve the job prospects of older workers.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C4807">
        <w:trPr>
          <w:cantSplit/>
          <w:trHeight w:val="20"/>
        </w:trPr>
        <w:tc>
          <w:tcPr>
            <w:tcW w:w="8505" w:type="dxa"/>
            <w:shd w:val="clear" w:color="auto" w:fill="auto"/>
          </w:tcPr>
          <w:p w:rsidR="00DC4807" w:rsidRDefault="00DC4807">
            <w:pPr>
              <w:pStyle w:val="SlimCell"/>
              <w:keepNext/>
              <w:rPr>
                <w:noProof/>
              </w:rPr>
            </w:pPr>
          </w:p>
        </w:tc>
      </w:tr>
      <w:tr w:rsidR="00DC4807">
        <w:trPr>
          <w:cantSplit/>
        </w:trPr>
        <w:tc>
          <w:tcPr>
            <w:tcW w:w="8505" w:type="dxa"/>
            <w:shd w:val="clear" w:color="auto" w:fill="auto"/>
          </w:tcPr>
          <w:p w:rsidR="00DC4807" w:rsidRDefault="0005641F">
            <w:pPr>
              <w:pStyle w:val="TableTitle"/>
              <w:rPr>
                <w:b/>
                <w:noProof/>
              </w:rPr>
            </w:pPr>
            <w:bookmarkStart w:id="16" w:name="_Toc507233670"/>
            <w:r>
              <w:rPr>
                <w:noProof/>
              </w:rPr>
              <w:t>Table 2.1:</w:t>
            </w:r>
            <w:r>
              <w:rPr>
                <w:b/>
                <w:noProof/>
              </w:rPr>
              <w:tab/>
              <w:t>CSR progress</w:t>
            </w:r>
            <w:bookmarkEnd w:id="16"/>
          </w:p>
        </w:tc>
      </w:tr>
      <w:tr w:rsidR="00DC4807">
        <w:trPr>
          <w:cantSplit/>
        </w:trPr>
        <w:tc>
          <w:tcPr>
            <w:tcW w:w="8505" w:type="dxa"/>
            <w:shd w:val="clear" w:color="auto" w:fill="auto"/>
          </w:tcPr>
          <w:p w:rsidR="00DC4807" w:rsidRDefault="0005641F">
            <w:pPr>
              <w:pStyle w:val="TableShape"/>
              <w:rPr>
                <w:noProof/>
                <w:sz w:val="2"/>
              </w:rPr>
            </w:pPr>
            <w:r>
              <w:rPr>
                <w:noProof/>
                <w:sz w:val="2"/>
                <w:lang w:eastAsia="en-GB"/>
              </w:rPr>
              <w:drawing>
                <wp:inline distT="0" distB="0" distL="0" distR="0" wp14:anchorId="7DA77A1B" wp14:editId="1D046881">
                  <wp:extent cx="5400929" cy="4810709"/>
                  <wp:effectExtent l="0" t="0" r="0" b="0"/>
                  <wp:docPr id="86" name="Picture 86" descr="&lt;nbr&gt;&lt;GETTEXTFROMWORD&gt;&lt;/nbr&gt;&#10;&lt;title&gt;&lt;GETTEXTFROMWORD&gt;&lt;/title&gt;&#10;&lt;id&gt;7cdf01f9-f445-4509-a420-2ecd218da077&lt;/id&gt;&#10;&lt;srcType&gt;WORD&lt;/srcType&gt;&#10;&lt;srcPath&gt;O:\2017 CRs\2018 European semester\19 NL\19_NL_TablesGraphesBoxes\&lt;/srcPath&gt;&#10;&lt;srcName&gt;Table_CSRprogress_NL.docx&lt;/srcName&gt;&#10;&lt;type&gt;table&lt;/typ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2T11:42:37&lt;/scrFileTime&gt;&#10;&lt;imageInformation&gt;&#10; &lt;dontScaleUp&gt;no&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929" cy="4810709"/>
                          </a:xfrm>
                          <a:prstGeom prst="rect">
                            <a:avLst/>
                          </a:prstGeom>
                          <a:noFill/>
                          <a:ln>
                            <a:noFill/>
                          </a:ln>
                        </pic:spPr>
                      </pic:pic>
                    </a:graphicData>
                  </a:graphic>
                </wp:inline>
              </w:drawing>
            </w:r>
          </w:p>
        </w:tc>
      </w:tr>
      <w:tr w:rsidR="00DC4807">
        <w:trPr>
          <w:cantSplit/>
        </w:trPr>
        <w:tc>
          <w:tcPr>
            <w:tcW w:w="8505" w:type="dxa"/>
            <w:shd w:val="clear" w:color="auto" w:fill="auto"/>
          </w:tcPr>
          <w:p w:rsidR="00DC4807" w:rsidRDefault="0005641F">
            <w:pPr>
              <w:pStyle w:val="TableFootnote"/>
              <w:rPr>
                <w:noProof/>
              </w:rPr>
            </w:pPr>
            <w:r>
              <w:rPr>
                <w:noProof/>
              </w:rPr>
              <w:t>(1) This does not include an assessment of compliance with the Stability and Growth Pact.</w:t>
            </w:r>
          </w:p>
          <w:p w:rsidR="00DC4807" w:rsidRDefault="0005641F">
            <w:pPr>
              <w:pStyle w:val="TableSource"/>
              <w:rPr>
                <w:noProof/>
              </w:rPr>
            </w:pPr>
            <w:r>
              <w:rPr>
                <w:b/>
                <w:i/>
                <w:noProof/>
              </w:rPr>
              <w:t>Source:</w:t>
            </w:r>
            <w:r>
              <w:rPr>
                <w:noProof/>
              </w:rPr>
              <w:t xml:space="preserve"> European Commission</w:t>
            </w:r>
          </w:p>
        </w:tc>
      </w:tr>
      <w:tr w:rsidR="00DC4807">
        <w:trPr>
          <w:cantSplit/>
          <w:trHeight w:val="20"/>
        </w:trPr>
        <w:tc>
          <w:tcPr>
            <w:tcW w:w="8505" w:type="dxa"/>
            <w:shd w:val="clear" w:color="auto" w:fill="auto"/>
          </w:tcPr>
          <w:p w:rsidR="00DC4807" w:rsidRDefault="00DC4807">
            <w:pPr>
              <w:pStyle w:val="SlimCell"/>
              <w:rPr>
                <w:noProof/>
              </w:rPr>
            </w:pPr>
          </w:p>
        </w:tc>
      </w:tr>
    </w:tbl>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sectPr w:rsidR="00DC4807">
          <w:headerReference w:type="even" r:id="rId45"/>
          <w:headerReference w:type="default" r:id="rId46"/>
          <w:footerReference w:type="even" r:id="rId47"/>
          <w:footerReference w:type="default" r:id="rId48"/>
          <w:headerReference w:type="first" r:id="rId49"/>
          <w:footerReference w:type="first" r:id="rId5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DC4807">
        <w:trPr>
          <w:jc w:val="center"/>
        </w:trPr>
        <w:tc>
          <w:tcPr>
            <w:tcW w:w="8721" w:type="dxa"/>
            <w:shd w:val="clear" w:color="auto" w:fill="F7FCFF"/>
          </w:tcPr>
          <w:p w:rsidR="00DC4807" w:rsidRDefault="0005641F">
            <w:pPr>
              <w:pStyle w:val="BoxTitle"/>
              <w:pageBreakBefore/>
              <w:rPr>
                <w:b/>
                <w:noProof/>
              </w:rPr>
            </w:pPr>
            <w:bookmarkStart w:id="17" w:name="_Toc507233619"/>
            <w:r>
              <w:rPr>
                <w:i/>
                <w:noProof/>
              </w:rPr>
              <w:t xml:space="preserve">Box 2.1: </w:t>
            </w:r>
            <w:r>
              <w:rPr>
                <w:b/>
                <w:noProof/>
              </w:rPr>
              <w:t>Tangible results delivered through EU support to structural change in the Netherlan</w:t>
            </w:r>
            <w:r>
              <w:rPr>
                <w:b/>
                <w:noProof/>
              </w:rPr>
              <w:t>ds</w:t>
            </w:r>
            <w:bookmarkEnd w:id="17"/>
          </w:p>
          <w:p w:rsidR="00DC4807" w:rsidRDefault="0005641F">
            <w:pPr>
              <w:pStyle w:val="BoxText"/>
              <w:rPr>
                <w:noProof/>
                <w:szCs w:val="18"/>
              </w:rPr>
            </w:pPr>
            <w:r>
              <w:rPr>
                <w:noProof/>
                <w:szCs w:val="18"/>
              </w:rPr>
              <w:t>The Netherlands is a beneficiary of European Structural and Investment Funds (ESI Funds) support and can receive up to EUR 1.9 billion until 2020. This represents around 1 % of public investment(</w:t>
            </w:r>
            <w:r>
              <w:rPr>
                <w:rStyle w:val="EndnoteReference"/>
                <w:noProof/>
                <w:szCs w:val="18"/>
              </w:rPr>
              <w:endnoteReference w:id="1"/>
            </w:r>
            <w:r>
              <w:rPr>
                <w:noProof/>
                <w:szCs w:val="18"/>
              </w:rPr>
              <w:t>) annually over the period 2014-2018. By 31 December 2017</w:t>
            </w:r>
            <w:r>
              <w:rPr>
                <w:noProof/>
                <w:szCs w:val="18"/>
              </w:rPr>
              <w:t>, an estimated EUR 1.2 billion (62 % of the total) was allocated to projects on the ground. These investments helped 309 enterprises to cooperate with research institutions and 1 100 SMEs to introduce new products to the market. Furthermore, 212 000 people</w:t>
            </w:r>
            <w:r>
              <w:rPr>
                <w:noProof/>
                <w:szCs w:val="18"/>
              </w:rPr>
              <w:t xml:space="preserve"> had benefited from actions fostering social inclusion and 5 200 enterprises received support to adapt the working environment to prolonged working lives. Out of the EU financing, EUR 97 million will be invested through financial instruments. </w:t>
            </w:r>
          </w:p>
          <w:p w:rsidR="00DC4807" w:rsidRDefault="0005641F">
            <w:pPr>
              <w:pStyle w:val="BoxText"/>
              <w:rPr>
                <w:noProof/>
                <w:szCs w:val="18"/>
              </w:rPr>
            </w:pPr>
            <w:r>
              <w:rPr>
                <w:noProof/>
                <w:szCs w:val="18"/>
              </w:rPr>
              <w:t>ESI Funds he</w:t>
            </w:r>
            <w:r>
              <w:rPr>
                <w:noProof/>
                <w:szCs w:val="18"/>
              </w:rPr>
              <w:t>lp address structural policy challenges and implement country-specific recommendations. Investments in research and development in the private sector are stimulated, among others, by providing loans, grants or guarantees for experimental development of new</w:t>
            </w:r>
            <w:r>
              <w:rPr>
                <w:noProof/>
                <w:szCs w:val="18"/>
              </w:rPr>
              <w:t xml:space="preserve"> products, by setting-up living labs or by facilitating and stimulating cooperation between SMEs and research institutions. The Funds also invest in coaching for people with a distance to the labour market which in turn helps enhance the overall labour mar</w:t>
            </w:r>
            <w:r>
              <w:rPr>
                <w:noProof/>
                <w:szCs w:val="18"/>
              </w:rPr>
              <w:t>ket participation. Furthermore, specific measures are supported which improve the job prospects of older workers.</w:t>
            </w:r>
          </w:p>
          <w:p w:rsidR="00DC4807" w:rsidRDefault="0005641F">
            <w:pPr>
              <w:pStyle w:val="BoxText"/>
              <w:rPr>
                <w:noProof/>
                <w:szCs w:val="18"/>
              </w:rPr>
            </w:pPr>
            <w:r>
              <w:rPr>
                <w:noProof/>
                <w:szCs w:val="18"/>
              </w:rPr>
              <w:t>In addition, as a precondition for ESI Funds support(</w:t>
            </w:r>
            <w:r>
              <w:rPr>
                <w:rStyle w:val="EndnoteReference"/>
                <w:noProof/>
                <w:szCs w:val="18"/>
              </w:rPr>
              <w:endnoteReference w:id="2"/>
            </w:r>
            <w:r>
              <w:rPr>
                <w:noProof/>
                <w:szCs w:val="18"/>
              </w:rPr>
              <w:t xml:space="preserve">), the Dutch regions developed Smart Specialisation Strategies for research and </w:t>
            </w:r>
            <w:r>
              <w:rPr>
                <w:noProof/>
                <w:szCs w:val="18"/>
              </w:rPr>
              <w:t>innovation which help focus the resources and efforts on product specialisation with a strong market potential.</w:t>
            </w:r>
          </w:p>
          <w:p w:rsidR="00DC4807" w:rsidRDefault="0005641F">
            <w:pPr>
              <w:pStyle w:val="BoxText"/>
              <w:rPr>
                <w:noProof/>
                <w:szCs w:val="18"/>
              </w:rPr>
            </w:pPr>
            <w:r>
              <w:rPr>
                <w:noProof/>
                <w:szCs w:val="18"/>
              </w:rPr>
              <w:t>The Netherlands is also advancing the take up of the European Fund for Strategic Investments (EFSI). As of December 2017, overall financing volu</w:t>
            </w:r>
            <w:r>
              <w:rPr>
                <w:noProof/>
                <w:szCs w:val="18"/>
              </w:rPr>
              <w:t>me of operations approved under the EFSI amounted to EUR 2.2 billion, which is expected to trigger total private and public investment of EUR 8 billion. More specifically, 17 projects involving the Netherlands have been approved so far under the Infrastruc</w:t>
            </w:r>
            <w:r>
              <w:rPr>
                <w:noProof/>
                <w:szCs w:val="18"/>
              </w:rPr>
              <w:t>ture and Innovation Window (including 4 multi-country projects), amounting to EUR 2.1 billion in EIB financing under the EFSI. This is expected to trigger about EUR 7.5 billion in investments. Under the SME Window, 7 agreements with financial intermediarie</w:t>
            </w:r>
            <w:r>
              <w:rPr>
                <w:noProof/>
                <w:szCs w:val="18"/>
              </w:rPr>
              <w:t>s have been approved so far. European Investment Fund financing enabled by the EFSI amounts to EUR 135 million, which is expected to mobilise approximatively EUR 515 million in total investment. Over 1 100 smaller companies or start-ups will benefit from t</w:t>
            </w:r>
            <w:r>
              <w:rPr>
                <w:noProof/>
                <w:szCs w:val="18"/>
              </w:rPr>
              <w:t xml:space="preserve">his support. Transport ranks first in terms of operations and volume approved, followed by energy and SMEs. </w:t>
            </w:r>
          </w:p>
          <w:p w:rsidR="00DC4807" w:rsidRDefault="0005641F">
            <w:pPr>
              <w:pStyle w:val="BoxText"/>
              <w:rPr>
                <w:noProof/>
              </w:rPr>
            </w:pPr>
            <w:r>
              <w:rPr>
                <w:noProof/>
                <w:szCs w:val="18"/>
              </w:rPr>
              <w:t xml:space="preserve">Funding under Horizon 2020, the Connecting Europe Facility and other directly managed EU funds is additional to the ESI Funds. By the end of 2017, </w:t>
            </w:r>
            <w:r>
              <w:rPr>
                <w:noProof/>
                <w:szCs w:val="18"/>
              </w:rPr>
              <w:t>the Netherlands has signed agreements for EUR 357 million for projects under the Connecting Europe Facility</w:t>
            </w:r>
            <w:r>
              <w:rPr>
                <w:noProof/>
                <w:color w:val="FF0000"/>
              </w:rPr>
              <w:t>.</w:t>
            </w:r>
            <w:r>
              <w:rPr>
                <w:noProof/>
                <w:szCs w:val="18"/>
              </w:rPr>
              <w:t xml:space="preserve"> For more information, see https://cohesiondata.ec.europa.eu/countries/NL</w:t>
            </w:r>
          </w:p>
        </w:tc>
      </w:tr>
    </w:tbl>
    <w:p w:rsidR="00DC4807" w:rsidRDefault="00DC4807">
      <w:pPr>
        <w:spacing w:after="0" w:line="20" w:lineRule="exact"/>
        <w:rPr>
          <w:noProof/>
          <w:sz w:val="2"/>
        </w:rPr>
        <w:sectPr w:rsidR="00DC4807">
          <w:headerReference w:type="even" r:id="rId51"/>
          <w:headerReference w:type="default" r:id="rId52"/>
          <w:footerReference w:type="even" r:id="rId53"/>
          <w:footerReference w:type="default" r:id="rId54"/>
          <w:headerReference w:type="first" r:id="rId55"/>
          <w:footerReference w:type="first" r:id="rId56"/>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DC4807" w:rsidRDefault="00DC4807">
      <w:pPr>
        <w:rPr>
          <w:noProof/>
        </w:rPr>
      </w:pPr>
    </w:p>
    <w:p w:rsidR="00DC4807" w:rsidRDefault="00DC4807">
      <w:pPr>
        <w:rPr>
          <w:noProof/>
        </w:rPr>
      </w:pPr>
    </w:p>
    <w:p w:rsidR="00DC4807" w:rsidRDefault="00DC4807">
      <w:pPr>
        <w:rPr>
          <w:noProof/>
        </w:rPr>
        <w:sectPr w:rsidR="00DC4807">
          <w:headerReference w:type="even" r:id="rId57"/>
          <w:headerReference w:type="default" r:id="rId58"/>
          <w:footerReference w:type="even" r:id="rId59"/>
          <w:footerReference w:type="default" r:id="rId60"/>
          <w:headerReference w:type="first" r:id="rId61"/>
          <w:footerReference w:type="first" r:id="rId62"/>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DC4807" w:rsidRDefault="0005641F">
      <w:pPr>
        <w:pStyle w:val="SectionTitleFramed5"/>
        <w:framePr w:wrap="notBeside"/>
        <w:rPr>
          <w:noProof/>
        </w:rPr>
      </w:pPr>
      <w:bookmarkStart w:id="18" w:name="_Toc507233687"/>
      <w:bookmarkStart w:id="19" w:name="_Toc468990395"/>
      <w:bookmarkStart w:id="20" w:name="_Toc469049850"/>
      <w:bookmarkStart w:id="21" w:name="_Toc469070257"/>
      <w:bookmarkStart w:id="22" w:name="_Toc469673467"/>
      <w:bookmarkStart w:id="23" w:name="_Toc469674898"/>
      <w:r>
        <w:rPr>
          <w:rFonts w:ascii="Times New Roman" w:hAnsi="Times New Roman"/>
          <w:b/>
          <w:noProof/>
          <w:color w:val="808080"/>
          <w:sz w:val="72"/>
        </w:rPr>
        <w:t>3.</w:t>
      </w:r>
      <w:r>
        <w:rPr>
          <w:noProof/>
        </w:rPr>
        <w:tab/>
        <w:t>Summary of the main findings from the Macroeconomic Imbalance Procedure in-depth review</w:t>
      </w:r>
      <w:bookmarkEnd w:id="18"/>
    </w:p>
    <w:p w:rsidR="00DC4807" w:rsidRDefault="0005641F">
      <w:pPr>
        <w:rPr>
          <w:noProof/>
        </w:rPr>
      </w:pPr>
      <w:r>
        <w:rPr>
          <w:b/>
          <w:noProof/>
        </w:rPr>
        <w:t>The in-depth review for the Dutch economy is presented in this report.</w:t>
      </w:r>
      <w:r>
        <w:rPr>
          <w:noProof/>
        </w:rPr>
        <w:t xml:space="preserve"> In spring 2017, the Netherlands were identified as having macro</w:t>
      </w:r>
      <w:r>
        <w:rPr>
          <w:noProof/>
        </w:rPr>
        <w:t>economic imbalances, in particular relating to a high current account surplus (reflecting a saving and investment balance) and a high private debt level, in particular household mortgages and non-financial corporation (NFC) debt. The Commission's 2018 Aler</w:t>
      </w:r>
      <w:r>
        <w:rPr>
          <w:noProof/>
        </w:rPr>
        <w:t>t Mechanism Report concluded that a new in-depth review should be undertaken for the Netherlands to assess developments relating to identified imbalances. Analyses relevant for the in-depth review can be found in the following sections: the tax and regulat</w:t>
      </w:r>
      <w:r>
        <w:rPr>
          <w:noProof/>
        </w:rPr>
        <w:t>ory framework in Section 4.1; private indebtedness in Section 4.2; wage developments in 4.3; and saving and investment imbalances in Section 4.4. Potential effects of a public investment shock on the trade balance are discussed in Box 3.1.</w:t>
      </w:r>
    </w:p>
    <w:p w:rsidR="00DC4807" w:rsidRDefault="0005641F">
      <w:pPr>
        <w:pStyle w:val="NumberedHeading1ToC"/>
        <w:tabs>
          <w:tab w:val="left" w:pos="567"/>
        </w:tabs>
        <w:rPr>
          <w:noProof/>
        </w:rPr>
      </w:pPr>
      <w:bookmarkStart w:id="24" w:name="_Toc507233688"/>
      <w:r>
        <w:rPr>
          <w:noProof/>
        </w:rPr>
        <w:t>3.1.</w:t>
      </w:r>
      <w:r>
        <w:rPr>
          <w:noProof/>
        </w:rPr>
        <w:tab/>
        <w:t xml:space="preserve">Imbalances </w:t>
      </w:r>
      <w:r>
        <w:rPr>
          <w:noProof/>
        </w:rPr>
        <w:t>and their gravity</w:t>
      </w:r>
      <w:bookmarkEnd w:id="19"/>
      <w:bookmarkEnd w:id="20"/>
      <w:bookmarkEnd w:id="21"/>
      <w:bookmarkEnd w:id="22"/>
      <w:bookmarkEnd w:id="23"/>
      <w:bookmarkEnd w:id="24"/>
    </w:p>
    <w:p w:rsidR="00DC4807" w:rsidRDefault="0005641F">
      <w:pPr>
        <w:rPr>
          <w:noProof/>
        </w:rPr>
      </w:pPr>
      <w:r>
        <w:rPr>
          <w:b/>
          <w:noProof/>
        </w:rPr>
        <w:t>The Netherlands has recorded persistent current account surpluses for more than three decades.</w:t>
      </w:r>
      <w:r>
        <w:rPr>
          <w:noProof/>
        </w:rPr>
        <w:t xml:space="preserve"> In 2016, the three-year average for the current account surplus was 8.8 % of GDP, higher than any other EU country (see Section 4.4). As such, </w:t>
      </w:r>
      <w:r>
        <w:rPr>
          <w:noProof/>
        </w:rPr>
        <w:t>the Dutch surplus contributed 0.6 pp to the euro area surplus in 2016 (by comparison, the German contribution was 2.4 pps). From a real trade perspective, the main driver of the current account remains the strong trade surplus in goods.</w:t>
      </w:r>
    </w:p>
    <w:p w:rsidR="00DC4807" w:rsidRDefault="0005641F">
      <w:pPr>
        <w:rPr>
          <w:noProof/>
        </w:rPr>
      </w:pPr>
      <w:r>
        <w:rPr>
          <w:b/>
          <w:noProof/>
        </w:rPr>
        <w:t>A savings-investmen</w:t>
      </w:r>
      <w:r>
        <w:rPr>
          <w:b/>
          <w:noProof/>
        </w:rPr>
        <w:t xml:space="preserve">t approach points to the non-financial corporate (NFC) sector as main driver of the surplus. </w:t>
      </w:r>
      <w:r>
        <w:rPr>
          <w:noProof/>
        </w:rPr>
        <w:t>The net lending is mostly explained by the strong net lending position of NFCs, which have increased their excess savings since 2 000. The high savings are also du</w:t>
      </w:r>
      <w:r>
        <w:rPr>
          <w:noProof/>
        </w:rPr>
        <w:t>e to a sharp increase in savings by multinationals, which distribute only a low share of their profits, thereby generating a statistical upward effect on the external net lending position. In recent years, the household sector reduced its saving surplus, w</w:t>
      </w:r>
      <w:r>
        <w:rPr>
          <w:noProof/>
        </w:rPr>
        <w:t>hile the government recorded a small surplus in 2016 for the first time in eight years (see Section 4.4). Pension funds hold the largest share of household savings and invest mainly in securities and mostly abroad, which further increases the surplus. Tota</w:t>
      </w:r>
      <w:r>
        <w:rPr>
          <w:noProof/>
        </w:rPr>
        <w:t>l assets held by pension funds have reached almost 200 % of GDP in 2016, of which 17 % is invested in the Netherlands (see Section 4.2.5). The saving-investment imbalance peaked in 2012, at the midst of the prolonged second dip in the Dutch economy, partly</w:t>
      </w:r>
      <w:r>
        <w:rPr>
          <w:noProof/>
        </w:rPr>
        <w:t xml:space="preserve"> driven by pro-cyclical pension institutions. This may point to a suboptimal allocation of resources, leaving room for increased growth and welfare.</w:t>
      </w:r>
    </w:p>
    <w:p w:rsidR="00DC4807" w:rsidRDefault="0005641F">
      <w:pPr>
        <w:rPr>
          <w:noProof/>
        </w:rPr>
      </w:pPr>
      <w:r>
        <w:rPr>
          <w:b/>
          <w:noProof/>
        </w:rPr>
        <w:t>Private sector debt remains high.</w:t>
      </w:r>
      <w:r>
        <w:rPr>
          <w:noProof/>
        </w:rPr>
        <w:t xml:space="preserve"> In 2016, it stood at 222 % of GDP, with NFCs contributing slightly more (</w:t>
      </w:r>
      <w:r>
        <w:rPr>
          <w:noProof/>
        </w:rPr>
        <w:t>114 % of GDP) than households (108 % of GDP). While NFC debt has roughly remained constant in terms of GDP, household debt has increased considerably over the past 20 years. The build-up of household debt was driven by the regulatory framework, tax incenti</w:t>
      </w:r>
      <w:r>
        <w:rPr>
          <w:noProof/>
        </w:rPr>
        <w:t>ves and large increases in both house prices and associated mortgage lending. While household liabilities are high, in particular mortgage debt, they coexist with large illiquid assets in the form of housing wealth and pension wealth.</w:t>
      </w:r>
    </w:p>
    <w:p w:rsidR="00DC4807" w:rsidRDefault="0005641F">
      <w:pPr>
        <w:rPr>
          <w:noProof/>
        </w:rPr>
      </w:pPr>
      <w:r>
        <w:rPr>
          <w:b/>
          <w:noProof/>
        </w:rPr>
        <w:t xml:space="preserve">NFC debt can largely </w:t>
      </w:r>
      <w:r>
        <w:rPr>
          <w:b/>
          <w:noProof/>
        </w:rPr>
        <w:t>be linked to multinationals, which hold more than two thirds of total NFC debt.</w:t>
      </w:r>
      <w:r>
        <w:rPr>
          <w:noProof/>
        </w:rPr>
        <w:t xml:space="preserve"> Foreign large NFCs hold mostly intra-group debt, on which interest is being charged by one group company to another. This suggests that debt is being used for tax reasons, as M</w:t>
      </w:r>
      <w:r>
        <w:rPr>
          <w:noProof/>
        </w:rPr>
        <w:t xml:space="preserve">NEs can use debt shifting to lower their tax burden via increased interest payments to other group companies. </w:t>
      </w:r>
    </w:p>
    <w:p w:rsidR="00DC4807" w:rsidRDefault="0005641F">
      <w:pPr>
        <w:rPr>
          <w:noProof/>
        </w:rPr>
      </w:pPr>
      <w:r>
        <w:rPr>
          <w:b/>
          <w:noProof/>
        </w:rPr>
        <w:t>The medium-to-large size of the Dutch economy allows for moderate outward spillovers for other Member States</w:t>
      </w:r>
      <w:r>
        <w:rPr>
          <w:noProof/>
        </w:rPr>
        <w:t xml:space="preserve"> via the trade channel, with the exce</w:t>
      </w:r>
      <w:r>
        <w:rPr>
          <w:noProof/>
        </w:rPr>
        <w:t>ption of Belgium, where they can be relatively large. As a result of close financial interlinkages with neighbouring countries, outward financial spillovers are potentially more relevant for a wider set of countries, including France and the UK. Conversely</w:t>
      </w:r>
      <w:r>
        <w:rPr>
          <w:noProof/>
        </w:rPr>
        <w:t>, the high degree of economic and financial openness of the Dutch economy expose it to potentially significant inward spillovers, in particular from neighbouring Member States and from the US, along trade, financial and banking channels. Box 3.1 illustrate</w:t>
      </w:r>
      <w:r>
        <w:rPr>
          <w:noProof/>
        </w:rPr>
        <w:t>s how a boost to government investment in the Netherlands can produce both positive domestic and cross-border effects. The simulation presented therein follows the spirit of the euro area recommendation 1(</w:t>
      </w:r>
      <w:r>
        <w:rPr>
          <w:noProof/>
          <w:vertAlign w:val="superscript"/>
        </w:rPr>
        <w:footnoteReference w:id="5"/>
      </w:r>
      <w:r>
        <w:rPr>
          <w:noProof/>
        </w:rPr>
        <w:t>), in particular as regards improving growth poten</w:t>
      </w:r>
      <w:r>
        <w:rPr>
          <w:noProof/>
        </w:rPr>
        <w:t>tial and fostering investment in Member States with large external surpluses.</w:t>
      </w:r>
    </w:p>
    <w:p w:rsidR="00DC4807" w:rsidRDefault="0005641F">
      <w:pPr>
        <w:pStyle w:val="NumberedHeading1ToC"/>
        <w:tabs>
          <w:tab w:val="left" w:pos="567"/>
        </w:tabs>
        <w:rPr>
          <w:noProof/>
        </w:rPr>
      </w:pPr>
      <w:bookmarkStart w:id="25" w:name="_Toc468990396"/>
      <w:bookmarkStart w:id="26" w:name="_Toc469049851"/>
      <w:bookmarkStart w:id="27" w:name="_Toc469070258"/>
      <w:bookmarkStart w:id="28" w:name="_Toc469673468"/>
      <w:bookmarkStart w:id="29" w:name="_Toc470096019"/>
      <w:bookmarkStart w:id="30" w:name="_Toc507233689"/>
      <w:r>
        <w:rPr>
          <w:noProof/>
        </w:rPr>
        <w:t>3.2.</w:t>
      </w:r>
      <w:r>
        <w:rPr>
          <w:noProof/>
        </w:rPr>
        <w:tab/>
        <w:t>Evolution, prospects and policy responses</w:t>
      </w:r>
      <w:bookmarkEnd w:id="25"/>
      <w:bookmarkEnd w:id="26"/>
      <w:bookmarkEnd w:id="27"/>
      <w:bookmarkEnd w:id="28"/>
      <w:bookmarkEnd w:id="29"/>
      <w:bookmarkEnd w:id="30"/>
    </w:p>
    <w:p w:rsidR="00DC4807" w:rsidRDefault="0005641F">
      <w:pPr>
        <w:rPr>
          <w:noProof/>
        </w:rPr>
      </w:pPr>
      <w:r>
        <w:rPr>
          <w:b/>
          <w:noProof/>
        </w:rPr>
        <w:t>The surplus position is projected to continue.</w:t>
      </w:r>
      <w:r>
        <w:rPr>
          <w:noProof/>
        </w:rPr>
        <w:t xml:space="preserve"> It is expected to reach 9 % in 2017, before slowing to 8.7 % in 2018 and 8.4 % in 2019, according to the European Commission Autumn 2017 forecast. The expected decline is mostly due to buoyant domestic demand (see Section 1). In the coming years, wage gro</w:t>
      </w:r>
      <w:r>
        <w:rPr>
          <w:noProof/>
        </w:rPr>
        <w:t>wth is expected to increase on the back of significantly higher wage demands by trade unions and a further tightening of the labour market. In addition, the government has announced a fiscal stimulus package, which is expected to have a dampening effect on</w:t>
      </w:r>
      <w:r>
        <w:rPr>
          <w:noProof/>
        </w:rPr>
        <w:t xml:space="preserve"> the current account balance. Key measures include an increase in defence and security spending (EUR 1.3 billion), social transfers (EUR 0.6 billion) and salaries of primary school teachers (EUR 0.3 billion).</w:t>
      </w:r>
    </w:p>
    <w:p w:rsidR="00DC4807" w:rsidRDefault="0005641F">
      <w:pPr>
        <w:rPr>
          <w:noProof/>
        </w:rPr>
      </w:pPr>
      <w:r>
        <w:rPr>
          <w:b/>
          <w:noProof/>
        </w:rPr>
        <w:t>Private sector debt is expected to remain high.</w:t>
      </w:r>
      <w:r>
        <w:rPr>
          <w:noProof/>
        </w:rPr>
        <w:t xml:space="preserve"> Household debt (mainly mortgages) has increased again, which can partly be attributed to rising house prices, even though credit growth remains well below house price increases. At the same time, rising house prices have positive wealth effects and will g</w:t>
      </w:r>
      <w:r>
        <w:rPr>
          <w:noProof/>
        </w:rPr>
        <w:t xml:space="preserve">radually lift affected households out of negative housing equity. In relative terms, the private debt-to-GDP ratio is expected to decrease, due to positive GDP growth (passive deleveraging). </w:t>
      </w:r>
    </w:p>
    <w:p w:rsidR="00DC4807" w:rsidRDefault="0005641F">
      <w:pPr>
        <w:rPr>
          <w:noProof/>
        </w:rPr>
      </w:pPr>
      <w:r>
        <w:rPr>
          <w:b/>
          <w:noProof/>
        </w:rPr>
        <w:t>The tax system currently treats mortgage and NFC debt favourably</w:t>
      </w:r>
      <w:r>
        <w:rPr>
          <w:b/>
          <w:noProof/>
        </w:rPr>
        <w:t xml:space="preserve">. </w:t>
      </w:r>
      <w:r>
        <w:rPr>
          <w:noProof/>
        </w:rPr>
        <w:t>Though the government has announced to accelerate the reduction in mortgage interest deductibility, large tax incentives to buy houses remain. The underdeveloped private rental market does not offer sufficient alternatives to buying. NFC debt is expected</w:t>
      </w:r>
      <w:r>
        <w:rPr>
          <w:noProof/>
        </w:rPr>
        <w:t xml:space="preserve"> to remain high. In 2019, the government will implement the EU Anti-Tax Avoidance Directive (ATAD), which aims among others to discourage companies from creating artificial debt arrangements designed to minimise taxes. </w:t>
      </w:r>
    </w:p>
    <w:p w:rsidR="00DC4807" w:rsidRDefault="0005641F">
      <w:pPr>
        <w:pStyle w:val="NumberedHeading1ToC"/>
        <w:tabs>
          <w:tab w:val="left" w:pos="567"/>
        </w:tabs>
        <w:rPr>
          <w:noProof/>
        </w:rPr>
      </w:pPr>
      <w:bookmarkStart w:id="31" w:name="_Toc468990397"/>
      <w:bookmarkStart w:id="32" w:name="_Toc469049852"/>
      <w:bookmarkStart w:id="33" w:name="_Toc469070259"/>
      <w:bookmarkStart w:id="34" w:name="_Toc469673469"/>
      <w:bookmarkStart w:id="35" w:name="_Toc470096020"/>
      <w:bookmarkStart w:id="36" w:name="_Toc507233690"/>
      <w:r>
        <w:rPr>
          <w:noProof/>
        </w:rPr>
        <w:t>3.3.</w:t>
      </w:r>
      <w:r>
        <w:rPr>
          <w:noProof/>
        </w:rPr>
        <w:tab/>
        <w:t>Overall assessment</w:t>
      </w:r>
      <w:bookmarkEnd w:id="31"/>
      <w:bookmarkEnd w:id="32"/>
      <w:bookmarkEnd w:id="33"/>
      <w:bookmarkEnd w:id="34"/>
      <w:bookmarkEnd w:id="35"/>
      <w:bookmarkEnd w:id="36"/>
    </w:p>
    <w:p w:rsidR="00DC4807" w:rsidRDefault="0005641F">
      <w:pPr>
        <w:rPr>
          <w:noProof/>
        </w:rPr>
      </w:pPr>
      <w:r>
        <w:rPr>
          <w:b/>
          <w:noProof/>
        </w:rPr>
        <w:t>The Netherla</w:t>
      </w:r>
      <w:r>
        <w:rPr>
          <w:b/>
          <w:noProof/>
        </w:rPr>
        <w:t>nds is experiencing imbalances due to its large current account surplus and the high private debt level.</w:t>
      </w:r>
      <w:r>
        <w:rPr>
          <w:noProof/>
        </w:rPr>
        <w:t xml:space="preserve"> The current account surplus is driven by comparatively low household disposable income(</w:t>
      </w:r>
      <w:r>
        <w:rPr>
          <w:noProof/>
          <w:vertAlign w:val="superscript"/>
        </w:rPr>
        <w:footnoteReference w:id="6"/>
      </w:r>
      <w:r>
        <w:rPr>
          <w:noProof/>
        </w:rPr>
        <w:t>), large foreign investments by domestic pension funds and capi</w:t>
      </w:r>
      <w:r>
        <w:rPr>
          <w:noProof/>
        </w:rPr>
        <w:t>tal flows of multinationals. The high level of private debt mainly consists of household mortgage debt and (intra-group) NFC debt; both are influenced by tax incentives. While high mortgage debt makes households vulnerable to financial shocks, this risk is</w:t>
      </w:r>
      <w:r>
        <w:rPr>
          <w:noProof/>
        </w:rPr>
        <w:t xml:space="preserve"> limited in the case of intra-group debt of NFC debt, as this is most likely being used for tax optimisation purposes.</w:t>
      </w:r>
    </w:p>
    <w:p w:rsidR="00DC4807" w:rsidRDefault="0005641F">
      <w:pPr>
        <w:rPr>
          <w:noProof/>
        </w:rPr>
      </w:pPr>
      <w:r>
        <w:rPr>
          <w:b/>
          <w:noProof/>
        </w:rPr>
        <w:t xml:space="preserve">Both the private debt and the external surplus are expected to remain at very high levels, with a small reduction in the current account </w:t>
      </w:r>
      <w:r>
        <w:rPr>
          <w:b/>
          <w:noProof/>
        </w:rPr>
        <w:t>surplus in the coming years.</w:t>
      </w:r>
      <w:r>
        <w:rPr>
          <w:noProof/>
        </w:rPr>
        <w:t xml:space="preserve"> The positive economic outlook, the government’s fiscal stimulus package and expected higher wage growth are likely to boost domestic demand and have a dampening effect on the current account balance. The budgetary stance will b</w:t>
      </w:r>
      <w:r>
        <w:rPr>
          <w:noProof/>
        </w:rPr>
        <w:t>e less restrictive in 2018 and therefore less of a drag on domestic demand than in the immediate aftermath of the crisis, with positive effects on domestic demand and thus on the rebalancing of the current account. Private debt levels are expected to remai</w:t>
      </w:r>
      <w:r>
        <w:rPr>
          <w:noProof/>
        </w:rPr>
        <w:t>n high as nominal debt is increasing again. The observed deleveraging has been passive, due to buoyant nominal GDP growth.</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C4807">
        <w:trPr>
          <w:cantSplit/>
          <w:trHeight w:val="20"/>
        </w:trPr>
        <w:tc>
          <w:tcPr>
            <w:tcW w:w="8505" w:type="dxa"/>
            <w:shd w:val="clear" w:color="auto" w:fill="auto"/>
          </w:tcPr>
          <w:p w:rsidR="00DC4807" w:rsidRDefault="00DC4807">
            <w:pPr>
              <w:pStyle w:val="SlimCell"/>
              <w:keepNext/>
              <w:rPr>
                <w:noProof/>
              </w:rPr>
            </w:pPr>
          </w:p>
        </w:tc>
      </w:tr>
      <w:tr w:rsidR="00DC4807">
        <w:trPr>
          <w:cantSplit/>
        </w:trPr>
        <w:tc>
          <w:tcPr>
            <w:tcW w:w="8505" w:type="dxa"/>
            <w:shd w:val="clear" w:color="auto" w:fill="auto"/>
          </w:tcPr>
          <w:p w:rsidR="00DC4807" w:rsidRDefault="0005641F">
            <w:pPr>
              <w:pStyle w:val="TableTitle"/>
              <w:rPr>
                <w:b/>
                <w:noProof/>
              </w:rPr>
            </w:pPr>
            <w:bookmarkStart w:id="37" w:name="_Toc507233671"/>
            <w:r>
              <w:rPr>
                <w:noProof/>
              </w:rPr>
              <w:t>Table 3.1:</w:t>
            </w:r>
            <w:r>
              <w:rPr>
                <w:b/>
                <w:noProof/>
              </w:rPr>
              <w:tab/>
              <w:t>MIP assessment matrix (*) – the Netherlands</w:t>
            </w:r>
            <w:bookmarkEnd w:id="37"/>
          </w:p>
        </w:tc>
      </w:tr>
      <w:tr w:rsidR="00DC4807">
        <w:trPr>
          <w:cantSplit/>
        </w:trPr>
        <w:tc>
          <w:tcPr>
            <w:tcW w:w="8505" w:type="dxa"/>
            <w:shd w:val="clear" w:color="auto" w:fill="auto"/>
          </w:tcPr>
          <w:p w:rsidR="00DC4807" w:rsidRDefault="0005641F">
            <w:pPr>
              <w:pStyle w:val="TableShape"/>
              <w:rPr>
                <w:noProof/>
                <w:sz w:val="2"/>
              </w:rPr>
            </w:pPr>
            <w:r>
              <w:rPr>
                <w:noProof/>
                <w:sz w:val="2"/>
                <w:lang w:eastAsia="en-GB"/>
              </w:rPr>
              <w:drawing>
                <wp:inline distT="0" distB="0" distL="0" distR="0" wp14:anchorId="4D29D8BB" wp14:editId="596C5CCB">
                  <wp:extent cx="5400929" cy="6105812"/>
                  <wp:effectExtent l="0" t="0" r="0" b="0"/>
                  <wp:docPr id="64" name="Picture 64" descr="&lt;nbr&gt;&lt;GETTEXTFROMWORD&gt;&lt;/nbr&gt;&#10;&lt;title&gt;&lt;GETTEXTFROMWORD&gt;&lt;/title&gt;&#10;&lt;id&gt;8eb28587-666b-4e11-99af-bd554ffbf1d6&lt;/id&gt;&#10;&lt;srcType&gt;WORD&lt;/srcType&gt;&#10;&lt;srcPath&gt;P:\Projects\EU2020\European Semester\2018\Country reports\2018-02-06 Master files\19 NL&lt;/srcPath&gt;&#10;&lt;srcName&gt;Table_MIP_assessmentNL.docx&lt;/srcName&gt;&#10;&lt;type&gt;table&lt;/type&gt;&#10;&lt;pos&gt;top&lt;/pos&gt;&#10;&lt;numbering&gt;internal&lt;/numbering&gt;&#10;&lt;manNumb&gt;no&lt;/manNumb&gt;&#10; &lt;insFtn&gt;yes&lt;/insFtn&gt;&#10; &lt;insSrc&gt;yes&lt;/insSrc&gt;&#10; &lt;ftnText&gt;&lt;GETTEXTFROMWORD&gt;&lt;/ftnText&gt;&#10; &lt;shpSrc&gt;&lt;GETTEXTFROMWORD&gt;&lt;/shpSrc&gt;&#10;&lt;multi&gt;yes&lt;/multi&gt;&#10; &lt;partThis&gt;1&lt;/partThis&gt;&#10; &lt;partTot&gt;2&lt;/partTot&gt;&#10;&lt;statAnn&gt;no&lt;/statAnn&gt;&#10;&lt;float&gt;no&lt;/float&gt;&#10;&lt;bottomShapePageNumber&gt;-1&lt;/bottomShapePageNumber&gt;&#10;&lt;version&gt;2&lt;/version&gt;&#10;&lt;scrFileTime&gt;2018-02-22T15:11:48&lt;/scrFileTime&gt;&#10;&lt;imageInformation&gt;&#10; &lt;dontScaleUp&gt;no&lt;/dontScaleUp&gt;&#10;&lt;/imageInformation&gt;&#10;&lt;url&gt;&lt;/url&gt;&#10;&lt;basedocguid&gt;{B5264325-204B-49A3-945D-0C6F0213772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0929" cy="6105812"/>
                          </a:xfrm>
                          <a:prstGeom prst="rect">
                            <a:avLst/>
                          </a:prstGeom>
                          <a:noFill/>
                          <a:ln>
                            <a:noFill/>
                          </a:ln>
                        </pic:spPr>
                      </pic:pic>
                    </a:graphicData>
                  </a:graphic>
                </wp:inline>
              </w:drawing>
            </w:r>
          </w:p>
        </w:tc>
      </w:tr>
      <w:tr w:rsidR="00DC4807">
        <w:trPr>
          <w:cantSplit/>
          <w:trHeight w:val="20"/>
        </w:trPr>
        <w:tc>
          <w:tcPr>
            <w:tcW w:w="8505" w:type="dxa"/>
            <w:shd w:val="clear" w:color="auto" w:fill="auto"/>
          </w:tcPr>
          <w:p w:rsidR="00DC4807" w:rsidRDefault="00DC4807">
            <w:pPr>
              <w:pStyle w:val="SlimCell"/>
              <w:keepNext/>
              <w:rPr>
                <w:noProof/>
              </w:rPr>
            </w:pPr>
          </w:p>
        </w:tc>
      </w:tr>
      <w:tr w:rsidR="00DC4807">
        <w:trPr>
          <w:cantSplit/>
        </w:trPr>
        <w:tc>
          <w:tcPr>
            <w:tcW w:w="8505" w:type="dxa"/>
            <w:shd w:val="clear" w:color="auto" w:fill="auto"/>
            <w:vAlign w:val="bottom"/>
          </w:tcPr>
          <w:p w:rsidR="00DC4807" w:rsidRDefault="0005641F">
            <w:pPr>
              <w:pStyle w:val="TableContinueBottom"/>
              <w:rPr>
                <w:noProof/>
              </w:rPr>
            </w:pPr>
            <w:r>
              <w:rPr>
                <w:noProof/>
              </w:rPr>
              <w:t>(Continued on the next page)</w:t>
            </w:r>
          </w:p>
        </w:tc>
      </w:tr>
    </w:tbl>
    <w:p w:rsidR="00DC4807" w:rsidRDefault="00DC4807">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C4807">
        <w:trPr>
          <w:cantSplit/>
        </w:trPr>
        <w:tc>
          <w:tcPr>
            <w:tcW w:w="8505" w:type="dxa"/>
            <w:shd w:val="clear" w:color="auto" w:fill="auto"/>
          </w:tcPr>
          <w:p w:rsidR="00DC4807" w:rsidRDefault="0005641F">
            <w:pPr>
              <w:pStyle w:val="TableContinueTop"/>
              <w:rPr>
                <w:noProof/>
              </w:rPr>
            </w:pPr>
            <w:r>
              <w:rPr>
                <w:noProof/>
              </w:rPr>
              <w:t>Table (continued)</w:t>
            </w:r>
          </w:p>
        </w:tc>
      </w:tr>
      <w:tr w:rsidR="00DC4807">
        <w:trPr>
          <w:cantSplit/>
          <w:trHeight w:val="20"/>
        </w:trPr>
        <w:tc>
          <w:tcPr>
            <w:tcW w:w="8505" w:type="dxa"/>
            <w:shd w:val="clear" w:color="auto" w:fill="auto"/>
          </w:tcPr>
          <w:p w:rsidR="00DC4807" w:rsidRDefault="00DC4807">
            <w:pPr>
              <w:pStyle w:val="SlimCell"/>
              <w:keepNext/>
              <w:rPr>
                <w:noProof/>
              </w:rPr>
            </w:pPr>
          </w:p>
        </w:tc>
      </w:tr>
      <w:tr w:rsidR="00DC4807">
        <w:trPr>
          <w:cantSplit/>
        </w:trPr>
        <w:tc>
          <w:tcPr>
            <w:tcW w:w="8505" w:type="dxa"/>
            <w:shd w:val="clear" w:color="auto" w:fill="auto"/>
          </w:tcPr>
          <w:p w:rsidR="00DC4807" w:rsidRDefault="0005641F">
            <w:pPr>
              <w:pStyle w:val="TableShape"/>
              <w:rPr>
                <w:noProof/>
                <w:sz w:val="2"/>
              </w:rPr>
            </w:pPr>
            <w:r>
              <w:rPr>
                <w:noProof/>
                <w:sz w:val="2"/>
                <w:lang w:eastAsia="en-GB"/>
              </w:rPr>
              <w:drawing>
                <wp:inline distT="0" distB="0" distL="0" distR="0" wp14:anchorId="2D30AFF0" wp14:editId="3FDA5C02">
                  <wp:extent cx="5400675" cy="6600825"/>
                  <wp:effectExtent l="0" t="0" r="0" b="0"/>
                  <wp:docPr id="65" name="Picture 65" descr="&lt;nbr&gt;&lt;GETTEXTFROMWORD&gt;&lt;/nbr&gt;&#10;&lt;title&gt;&lt;GETTEXTFROMWORD&gt;&lt;/title&gt;&#10;&lt;id&gt;8eb28587-666b-4e11-99af-bd554ffbf1d6&lt;/id&gt;&#10;&lt;srcType&gt;WORD&lt;/srcType&gt;&#10;&lt;srcPath&gt;P:\Projects\EU2020\European Semester\2018\Country reports\2018-02-06 Master files\19 NL&lt;/srcPath&gt;&#10;&lt;srcName&gt;Table_MIP_assessmentNL.docx&lt;/srcName&gt;&#10;&lt;type&gt;table&lt;/type&gt;&#10;&lt;pos&gt;top&lt;/pos&gt;&#10;&lt;numbering&gt;internal&lt;/numbering&gt;&#10;&lt;manNumb&gt;no&lt;/manNumb&gt;&#10; &lt;insFtn&gt;yes&lt;/insFtn&gt;&#10; &lt;insSrc&gt;yes&lt;/insSrc&gt;&#10; &lt;ftnText&gt;&lt;GETTEXTFROMWORD&gt;&lt;/ftnText&gt;&#10; &lt;shpSrc&gt;&lt;GETTEXTFROMWORD&gt;&lt;/shpSrc&gt;&#10;&lt;multi&gt;yes&lt;/multi&gt;&#10; &lt;partThis&gt;2&lt;/partThis&gt;&#10; &lt;partTot&gt;2&lt;/partTot&gt;&#10;&lt;statAnn&gt;no&lt;/statAnn&gt;&#10;&lt;float&gt;no&lt;/float&gt;&#10;&lt;bottomShapePageNumber&gt;-1&lt;/bottomShapePageNumber&gt;&#10;&lt;version&gt;2&lt;/version&gt;&#10;&lt;scrFileTime&gt;2018-02-22T15:11:48&lt;/scrFileTime&gt;&#10;&lt;imageInformation&gt;&#10; &lt;dontScaleUp&gt;no&lt;/dontScaleUp&gt;&#10;&lt;/imageInformation&gt;&#10;&lt;url&gt;&lt;/url&gt;&#10;&lt;basedocguid&gt;{B5264325-204B-49A3-945D-0C6F0213772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929" cy="6601136"/>
                          </a:xfrm>
                          <a:prstGeom prst="rect">
                            <a:avLst/>
                          </a:prstGeom>
                          <a:noFill/>
                          <a:ln>
                            <a:noFill/>
                          </a:ln>
                        </pic:spPr>
                      </pic:pic>
                    </a:graphicData>
                  </a:graphic>
                </wp:inline>
              </w:drawing>
            </w:r>
          </w:p>
        </w:tc>
      </w:tr>
      <w:tr w:rsidR="00DC4807">
        <w:trPr>
          <w:cantSplit/>
        </w:trPr>
        <w:tc>
          <w:tcPr>
            <w:tcW w:w="8505" w:type="dxa"/>
            <w:shd w:val="clear" w:color="auto" w:fill="auto"/>
          </w:tcPr>
          <w:p w:rsidR="00DC4807" w:rsidRDefault="0005641F">
            <w:pPr>
              <w:pStyle w:val="TableFootnote"/>
              <w:rPr>
                <w:noProof/>
              </w:rPr>
            </w:pPr>
            <w:r>
              <w:rPr>
                <w:noProof/>
              </w:rPr>
              <w:t xml:space="preserve">(*) The first </w:t>
            </w:r>
            <w:r>
              <w:rPr>
                <w:noProof/>
              </w:rPr>
              <w:t>column summarises ‘gravity’ issues which aim at providing an order of magnitude of the level of imbalances. The second column reports findings concerning the ‘evolution and prospects’ of imbalances. The third column reports recent and planned relevant meas</w:t>
            </w:r>
            <w:r>
              <w:rPr>
                <w:noProof/>
              </w:rPr>
              <w:t>ures to address these. Findings are reported for each source of imbalance and adjustment issue. The final three paragraphs of the matrix summarise the overall challenges in terms of their gravity, developments and prospects, policy response.</w:t>
            </w:r>
          </w:p>
          <w:p w:rsidR="00DC4807" w:rsidRDefault="0005641F">
            <w:pPr>
              <w:pStyle w:val="TableSource"/>
              <w:rPr>
                <w:noProof/>
              </w:rPr>
            </w:pPr>
            <w:r>
              <w:rPr>
                <w:b/>
                <w:i/>
                <w:noProof/>
              </w:rPr>
              <w:t>Source:</w:t>
            </w:r>
            <w:r>
              <w:rPr>
                <w:noProof/>
              </w:rPr>
              <w:t xml:space="preserve"> Europe</w:t>
            </w:r>
            <w:r>
              <w:rPr>
                <w:noProof/>
              </w:rPr>
              <w:t>an Commission</w:t>
            </w:r>
          </w:p>
        </w:tc>
      </w:tr>
      <w:tr w:rsidR="00DC4807">
        <w:trPr>
          <w:cantSplit/>
          <w:trHeight w:val="20"/>
        </w:trPr>
        <w:tc>
          <w:tcPr>
            <w:tcW w:w="8505" w:type="dxa"/>
            <w:shd w:val="clear" w:color="auto" w:fill="auto"/>
            <w:vAlign w:val="bottom"/>
          </w:tcPr>
          <w:p w:rsidR="00DC4807" w:rsidRDefault="00DC4807">
            <w:pPr>
              <w:pStyle w:val="SlimCell"/>
              <w:rPr>
                <w:noProof/>
              </w:rPr>
            </w:pPr>
          </w:p>
        </w:tc>
      </w:tr>
    </w:tbl>
    <w:p w:rsidR="00DC4807" w:rsidRDefault="00DC4807">
      <w:pPr>
        <w:rPr>
          <w:noProof/>
        </w:rPr>
      </w:pPr>
    </w:p>
    <w:p w:rsidR="00DC4807" w:rsidRDefault="00DC4807">
      <w:pPr>
        <w:rPr>
          <w:noProof/>
        </w:rPr>
        <w:sectPr w:rsidR="00DC4807">
          <w:headerReference w:type="even" r:id="rId65"/>
          <w:headerReference w:type="default" r:id="rId66"/>
          <w:footerReference w:type="even" r:id="rId67"/>
          <w:footerReference w:type="default" r:id="rId68"/>
          <w:headerReference w:type="first" r:id="rId69"/>
          <w:footerReference w:type="first" r:id="rId7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DC4807">
        <w:trPr>
          <w:jc w:val="center"/>
        </w:trPr>
        <w:tc>
          <w:tcPr>
            <w:tcW w:w="8721" w:type="dxa"/>
            <w:shd w:val="clear" w:color="auto" w:fill="F7FCFF"/>
          </w:tcPr>
          <w:p w:rsidR="00DC4807" w:rsidRDefault="0005641F">
            <w:pPr>
              <w:pStyle w:val="BoxTitle"/>
              <w:pageBreakBefore/>
              <w:rPr>
                <w:noProof/>
              </w:rPr>
            </w:pPr>
            <w:bookmarkStart w:id="38" w:name="_Toc507233620"/>
            <w:r>
              <w:rPr>
                <w:i/>
                <w:noProof/>
              </w:rPr>
              <w:t xml:space="preserve">Box 3.1: </w:t>
            </w:r>
            <w:r>
              <w:rPr>
                <w:b/>
                <w:noProof/>
              </w:rPr>
              <w:t>Euro area spillovers</w:t>
            </w:r>
            <w:bookmarkEnd w:id="38"/>
          </w:p>
          <w:p w:rsidR="00DC4807" w:rsidRDefault="0005641F">
            <w:pPr>
              <w:pStyle w:val="BoxText"/>
              <w:rPr>
                <w:noProof/>
                <w:lang w:val="en-US"/>
              </w:rPr>
            </w:pPr>
            <w:r>
              <w:rPr>
                <w:noProof/>
                <w:lang w:val="en-US"/>
              </w:rPr>
              <w:t xml:space="preserve">The new government's fiscal </w:t>
            </w:r>
            <w:r>
              <w:rPr>
                <w:noProof/>
                <w:lang w:val="en-US"/>
              </w:rPr>
              <w:t>plans include a discretionary public spending impulse of almost 1 % of GDP in 2019 compared to a zero policy baseline. These measures are likely to yield a positive impact on economic growth in the Netherlands. High trade openness of the Dutch economy sugg</w:t>
            </w:r>
            <w:r>
              <w:rPr>
                <w:noProof/>
                <w:lang w:val="en-US"/>
              </w:rPr>
              <w:t>ests potentially important spillovers to the rest of the euro area (REA), which is balanced, however, by the limited economic size of the Netherlands compared to the EA aggregate (see also European Commission, 2016a). To illustrate the size of potential GD</w:t>
            </w:r>
            <w:r>
              <w:rPr>
                <w:noProof/>
                <w:lang w:val="en-US"/>
              </w:rPr>
              <w:t>P spillovers, this box describes the impact of a permanent debt-financed increase in productive public investment by 1 % of GDP on the Dutch GDP level, the REA GDP level and the Dutch trade balance. A public investment impulse could be motivated by a favou</w:t>
            </w:r>
            <w:r>
              <w:rPr>
                <w:noProof/>
                <w:lang w:val="en-US"/>
              </w:rPr>
              <w:t>rable debt trajectory, low borrowing costs and monetary policy constrained by a zero lower bound for interest rates. In essence, such a scenario would undo the fall in public investment since 2009.</w:t>
            </w:r>
          </w:p>
          <w:p w:rsidR="00DC4807" w:rsidRDefault="0005641F">
            <w:pPr>
              <w:pStyle w:val="BoxText"/>
              <w:rPr>
                <w:noProof/>
                <w:lang w:val="en-US"/>
              </w:rPr>
            </w:pPr>
            <w:r>
              <w:rPr>
                <w:noProof/>
                <w:lang w:val="en-US"/>
              </w:rPr>
              <w:t xml:space="preserve">Simulations with the European Commission's QUEST </w:t>
            </w:r>
            <w:r>
              <w:rPr>
                <w:noProof/>
              </w:rPr>
              <w:t>model</w:t>
            </w:r>
            <w:r>
              <w:rPr>
                <w:b/>
                <w:noProof/>
                <w:szCs w:val="18"/>
              </w:rPr>
              <w:t>(</w:t>
            </w:r>
            <w:r>
              <w:rPr>
                <w:rStyle w:val="EndnoteReference"/>
                <w:b/>
                <w:noProof/>
                <w:szCs w:val="18"/>
              </w:rPr>
              <w:endnoteReference w:id="3"/>
            </w:r>
            <w:r>
              <w:rPr>
                <w:b/>
                <w:noProof/>
                <w:szCs w:val="18"/>
              </w:rPr>
              <w:t>)</w:t>
            </w:r>
            <w:r>
              <w:rPr>
                <w:noProof/>
              </w:rPr>
              <w:t xml:space="preserve"> </w:t>
            </w:r>
            <w:r>
              <w:rPr>
                <w:noProof/>
                <w:lang w:val="en-US"/>
              </w:rPr>
              <w:t>show a positive impact on the level of Dutch real GDP of around 0.5 % in the first year, increasing to 0.9 % after five years. The trade surplus is reduced by around 0.1 % of GDP from the first year onwards. The spillover of the domestic investment impulse</w:t>
            </w:r>
            <w:r>
              <w:rPr>
                <w:noProof/>
                <w:lang w:val="en-US"/>
              </w:rPr>
              <w:t xml:space="preserve"> via the trade channel is positive. In particular, a 1 % of GDP fiscal expansion via public investment in the Netherlands raises real GDP in the REA by circa 0.1 %. </w:t>
            </w:r>
          </w:p>
          <w:tbl>
            <w:tblPr>
              <w:tblW w:w="0" w:type="auto"/>
              <w:tblLayout w:type="fixed"/>
              <w:tblCellMar>
                <w:left w:w="0" w:type="dxa"/>
                <w:right w:w="0" w:type="dxa"/>
              </w:tblCellMar>
              <w:tblLook w:val="0000" w:firstRow="0" w:lastRow="0" w:firstColumn="0" w:lastColumn="0" w:noHBand="0" w:noVBand="0"/>
            </w:tblPr>
            <w:tblGrid>
              <w:gridCol w:w="7937"/>
            </w:tblGrid>
            <w:tr w:rsidR="00DC4807">
              <w:trPr>
                <w:cantSplit/>
              </w:trPr>
              <w:tc>
                <w:tcPr>
                  <w:tcW w:w="7937" w:type="dxa"/>
                  <w:shd w:val="clear" w:color="auto" w:fill="auto"/>
                </w:tcPr>
                <w:p w:rsidR="00DC4807" w:rsidRDefault="0005641F">
                  <w:pPr>
                    <w:pStyle w:val="GraphTitleBox"/>
                    <w:rPr>
                      <w:b/>
                      <w:noProof/>
                    </w:rPr>
                  </w:pPr>
                  <w:r>
                    <w:rPr>
                      <w:noProof/>
                    </w:rPr>
                    <w:t>Graph 1:</w:t>
                  </w:r>
                  <w:r>
                    <w:rPr>
                      <w:b/>
                      <w:noProof/>
                    </w:rPr>
                    <w:tab/>
                    <w:t>Domestic impact and spillover of permanent public investment impulse (of 1 % of G</w:t>
                  </w:r>
                  <w:r>
                    <w:rPr>
                      <w:b/>
                      <w:noProof/>
                    </w:rPr>
                    <w:t>DP)</w:t>
                  </w:r>
                </w:p>
              </w:tc>
            </w:tr>
            <w:tr w:rsidR="00DC4807">
              <w:trPr>
                <w:cantSplit/>
              </w:trPr>
              <w:tc>
                <w:tcPr>
                  <w:tcW w:w="7937" w:type="dxa"/>
                  <w:shd w:val="clear" w:color="auto" w:fill="auto"/>
                </w:tcPr>
                <w:p w:rsidR="00DC4807" w:rsidRDefault="0005641F">
                  <w:pPr>
                    <w:pStyle w:val="GraphShape"/>
                    <w:ind w:right="3"/>
                    <w:jc w:val="left"/>
                    <w:rPr>
                      <w:noProof/>
                      <w:sz w:val="2"/>
                      <w:lang w:val="fr-BE"/>
                    </w:rPr>
                  </w:pPr>
                  <w:r>
                    <w:rPr>
                      <w:noProof/>
                      <w:sz w:val="2"/>
                      <w:lang w:eastAsia="en-GB"/>
                    </w:rPr>
                    <w:drawing>
                      <wp:inline distT="0" distB="0" distL="0" distR="0" wp14:anchorId="3708A00E" wp14:editId="60F0FF11">
                        <wp:extent cx="3061970" cy="2877820"/>
                        <wp:effectExtent l="0" t="0" r="0" b="0"/>
                        <wp:docPr id="62" name="Picture 62" descr="&lt;nbr&gt;&lt;GETTEXTFROMWORD&gt;&lt;/nbr&gt;&#10;&lt;title&gt;&lt;GETTEXTFROMWORD&gt;&lt;/title&gt;&#10;&lt;id&gt;b3ccdbf4-edbb-43cc-8d35-dbbe7ca68c03&lt;/id&gt;&#10;&lt;srcType&gt;EXCEL&lt;/srcType&gt;&#10;&lt;srcPath&gt;O:\2017 CRs\2018 European semester\19 NL\19_NL_TablesGraphesBoxes\&lt;/srcPath&gt;&#10;&lt;srcName&gt;Box_Spillovers.xlsx&lt;/srcName&gt;&#10;&lt;type&gt;graph&lt;/type&gt;&#10; &lt;srcSheet&gt;Sheet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2T14:55:17&lt;/scrFileTime&gt;&#10;&lt;imageInformation&gt;&#10; &lt;dontScaleUp&gt;yes&lt;/dontScaleUp&gt;&#10;&lt;/imageInformation&gt;&#10;&lt;url&gt;&lt;/url&gt;&#10;&lt;basedocguid&gt;%BoxShap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61970" cy="2877820"/>
                                </a:xfrm>
                                <a:prstGeom prst="rect">
                                  <a:avLst/>
                                </a:prstGeom>
                                <a:noFill/>
                                <a:ln>
                                  <a:noFill/>
                                </a:ln>
                              </pic:spPr>
                            </pic:pic>
                          </a:graphicData>
                        </a:graphic>
                      </wp:inline>
                    </w:drawing>
                  </w:r>
                </w:p>
              </w:tc>
            </w:tr>
            <w:tr w:rsidR="00DC4807">
              <w:trPr>
                <w:cantSplit/>
              </w:trPr>
              <w:tc>
                <w:tcPr>
                  <w:tcW w:w="7937" w:type="dxa"/>
                  <w:shd w:val="clear" w:color="auto" w:fill="auto"/>
                  <w:tcMar>
                    <w:bottom w:w="240" w:type="dxa"/>
                  </w:tcMar>
                </w:tcPr>
                <w:p w:rsidR="00DC4807" w:rsidRDefault="0005641F">
                  <w:pPr>
                    <w:pStyle w:val="GraphSource"/>
                    <w:keepNext/>
                    <w:ind w:right="79"/>
                    <w:rPr>
                      <w:noProof/>
                    </w:rPr>
                  </w:pPr>
                  <w:r>
                    <w:rPr>
                      <w:b/>
                      <w:i/>
                      <w:noProof/>
                    </w:rPr>
                    <w:t>Source:</w:t>
                  </w:r>
                  <w:r>
                    <w:rPr>
                      <w:noProof/>
                    </w:rPr>
                    <w:t xml:space="preserve"> European Commission</w:t>
                  </w:r>
                </w:p>
              </w:tc>
            </w:tr>
          </w:tbl>
          <w:p w:rsidR="00DC4807" w:rsidRDefault="00DC4807">
            <w:pPr>
              <w:rPr>
                <w:noProof/>
              </w:rPr>
            </w:pPr>
          </w:p>
        </w:tc>
      </w:tr>
    </w:tbl>
    <w:p w:rsidR="00DC4807" w:rsidRDefault="00DC4807">
      <w:pPr>
        <w:spacing w:after="0" w:line="20" w:lineRule="exact"/>
        <w:rPr>
          <w:noProof/>
          <w:sz w:val="2"/>
        </w:rPr>
        <w:sectPr w:rsidR="00DC4807">
          <w:headerReference w:type="even" r:id="rId72"/>
          <w:headerReference w:type="default" r:id="rId73"/>
          <w:footerReference w:type="even" r:id="rId74"/>
          <w:footerReference w:type="default" r:id="rId75"/>
          <w:headerReference w:type="first" r:id="rId76"/>
          <w:footerReference w:type="first" r:id="rId77"/>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DC4807" w:rsidRDefault="00DC4807">
      <w:pPr>
        <w:rPr>
          <w:noProof/>
        </w:rPr>
        <w:sectPr w:rsidR="00DC4807">
          <w:headerReference w:type="even" r:id="rId78"/>
          <w:headerReference w:type="default" r:id="rId79"/>
          <w:footerReference w:type="even" r:id="rId80"/>
          <w:footerReference w:type="default" r:id="rId81"/>
          <w:headerReference w:type="first" r:id="rId82"/>
          <w:footerReference w:type="first" r:id="rId83"/>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DC4807" w:rsidRDefault="0005641F">
      <w:pPr>
        <w:pStyle w:val="SectionTitleFramed6"/>
        <w:framePr w:wrap="notBeside"/>
        <w:rPr>
          <w:noProof/>
        </w:rPr>
      </w:pPr>
      <w:bookmarkStart w:id="39" w:name="_Toc507233691"/>
      <w:r>
        <w:rPr>
          <w:rFonts w:ascii="Times New Roman" w:hAnsi="Times New Roman"/>
          <w:b/>
          <w:noProof/>
          <w:color w:val="808080"/>
          <w:sz w:val="72"/>
        </w:rPr>
        <w:t>4.</w:t>
      </w:r>
      <w:r>
        <w:rPr>
          <w:noProof/>
        </w:rPr>
        <w:tab/>
        <w:t>Reform priorities</w:t>
      </w:r>
      <w:bookmarkEnd w:id="39"/>
    </w:p>
    <w:p w:rsidR="00DC4807" w:rsidRDefault="0005641F">
      <w:pPr>
        <w:pStyle w:val="SubsectionHeading1"/>
        <w:framePr w:wrap="notBeside"/>
        <w:rPr>
          <w:noProof/>
        </w:rPr>
      </w:pPr>
      <w:bookmarkStart w:id="40" w:name="_Toc507233692"/>
      <w:r>
        <w:rPr>
          <w:noProof/>
        </w:rPr>
        <w:t>4.1.</w:t>
      </w:r>
      <w:r>
        <w:rPr>
          <w:noProof/>
        </w:rPr>
        <w:tab/>
        <w:t>Public finances and taxation</w:t>
      </w:r>
      <w:bookmarkEnd w:id="40"/>
    </w:p>
    <w:p w:rsidR="00DC4807" w:rsidRDefault="0005641F">
      <w:pPr>
        <w:pStyle w:val="Heading"/>
        <w:rPr>
          <w:noProof/>
        </w:rPr>
      </w:pPr>
      <w:r>
        <w:rPr>
          <w:noProof/>
        </w:rPr>
        <w:t>4.1.1. TAXATION* (</w:t>
      </w:r>
      <w:r>
        <w:rPr>
          <w:noProof/>
          <w:vertAlign w:val="superscript"/>
        </w:rPr>
        <w:footnoteReference w:id="7"/>
      </w:r>
      <w:r>
        <w:rPr>
          <w:noProof/>
        </w:rPr>
        <w:t>)</w:t>
      </w:r>
    </w:p>
    <w:p w:rsidR="00DC4807" w:rsidRDefault="0005641F">
      <w:pPr>
        <w:rPr>
          <w:noProof/>
        </w:rPr>
      </w:pPr>
      <w:r>
        <w:rPr>
          <w:b/>
          <w:noProof/>
        </w:rPr>
        <w:t xml:space="preserve">New fiscal measures will reduce the </w:t>
      </w:r>
      <w:r>
        <w:rPr>
          <w:b/>
          <w:noProof/>
        </w:rPr>
        <w:t>tax burden on labour.</w:t>
      </w:r>
      <w:r>
        <w:rPr>
          <w:noProof/>
        </w:rPr>
        <w:t xml:space="preserve"> The new government has announced a package to reduce income taxes by EUR 0.5 billion (0.1 % of GDP) in 2018, which will increase gradually to EUR 6.2 billion (0.9 % of GDP) in 2021. The measures are targeted at all income groups. The </w:t>
      </w:r>
      <w:r>
        <w:rPr>
          <w:noProof/>
        </w:rPr>
        <w:t>tax burden on labour will be reduced by lowering the income tax, which is primarily achieved by reducing the number of tax brackets from four to two, with a base rate of 36.95 % in the lower bracket and a top rate of 49.5 % (for income above EUR 68 600). A</w:t>
      </w:r>
      <w:r>
        <w:rPr>
          <w:noProof/>
        </w:rPr>
        <w:t>nother important measure is the increase in the general tax credit and labour tax credit, which will be increased in total by EUR 1.5 billion (0.2 % of GDP) in 2019, EUR 3.3 billion (0.5 % of GDP) in 2020 and permanently to EUR 4.7 billion (0.7 % of GDP) f</w:t>
      </w:r>
      <w:r>
        <w:rPr>
          <w:noProof/>
        </w:rPr>
        <w:t xml:space="preserve">rom 2021 onwards. Child benefits and childcare allowances will be increased by EUR 0.5 billion (0.1 % of GDP) in 2019 and by around EUR 1 billion from 2020 onwards. </w:t>
      </w:r>
    </w:p>
    <w:p w:rsidR="00DC4807" w:rsidRDefault="0005641F">
      <w:pPr>
        <w:rPr>
          <w:noProof/>
        </w:rPr>
      </w:pPr>
      <w:r>
        <w:rPr>
          <w:b/>
          <w:noProof/>
        </w:rPr>
        <w:t>At the same time, some tax measures will be introduced to mitigate the drop in tax revenue</w:t>
      </w:r>
      <w:r>
        <w:rPr>
          <w:b/>
          <w:noProof/>
        </w:rPr>
        <w:t>.</w:t>
      </w:r>
      <w:r>
        <w:rPr>
          <w:noProof/>
        </w:rPr>
        <w:t xml:space="preserve"> The energy tax for households will be increased, generating EUR 0.5 billion in 2018 and an extra EUR 1 billion from 2021 onwards. The reduced VAT rate will rise from 6 % to 9 %, which is expected to generate an extra EUR 2.6 billion per year from 2019 on</w:t>
      </w:r>
      <w:r>
        <w:rPr>
          <w:noProof/>
        </w:rPr>
        <w:t>wards. In general, the income tax package implies a tax shift away from labour to sources of revenue less detrimental to growth.</w:t>
      </w:r>
    </w:p>
    <w:p w:rsidR="00DC4807" w:rsidRDefault="0005641F">
      <w:pPr>
        <w:rPr>
          <w:noProof/>
        </w:rPr>
      </w:pPr>
      <w:r>
        <w:rPr>
          <w:b/>
          <w:noProof/>
        </w:rPr>
        <w:t>To strengthen the fiscal investment climate for companies, the corporate tax rate will be gradually reduced from 25 % to ultima</w:t>
      </w:r>
      <w:r>
        <w:rPr>
          <w:b/>
          <w:noProof/>
        </w:rPr>
        <w:t>tely 21 %</w:t>
      </w:r>
      <w:r>
        <w:rPr>
          <w:noProof/>
        </w:rPr>
        <w:t xml:space="preserve"> (24 % in 2019, 22.5 % in 2020 and 21 % in 2021). The low rate (in 2017 for taxable profit up to EUR 200 000) will be reduced in the same way from 20 % to 16 %.</w:t>
      </w:r>
    </w:p>
    <w:p w:rsidR="00DC4807" w:rsidRDefault="0005641F">
      <w:pPr>
        <w:rPr>
          <w:noProof/>
        </w:rPr>
      </w:pPr>
      <w:r>
        <w:rPr>
          <w:b/>
          <w:noProof/>
        </w:rPr>
        <w:t>Some indicators continue to suggest that the country’s corporate tax rules are used by</w:t>
      </w:r>
      <w:r>
        <w:rPr>
          <w:b/>
          <w:noProof/>
        </w:rPr>
        <w:t xml:space="preserve"> companies engaged in aggressive tax planning (ATP).</w:t>
      </w:r>
      <w:r>
        <w:rPr>
          <w:noProof/>
        </w:rPr>
        <w:t xml:space="preserve"> As shown in a study (IHS, 2018), the Netherlands' high inward and outward foreign direct investment (FDI) stocks(</w:t>
      </w:r>
      <w:r>
        <w:rPr>
          <w:noProof/>
          <w:vertAlign w:val="superscript"/>
        </w:rPr>
        <w:footnoteReference w:id="8"/>
      </w:r>
      <w:r>
        <w:rPr>
          <w:noProof/>
        </w:rPr>
        <w:t>) can only be explained in part by real economic activities taking place in the Netherlan</w:t>
      </w:r>
      <w:r>
        <w:rPr>
          <w:noProof/>
        </w:rPr>
        <w:t>ds. The high level of dividend, royalty and interest payments made via the Netherlands(</w:t>
      </w:r>
      <w:r>
        <w:rPr>
          <w:noProof/>
          <w:vertAlign w:val="superscript"/>
        </w:rPr>
        <w:footnoteReference w:id="9"/>
      </w:r>
      <w:r>
        <w:rPr>
          <w:noProof/>
        </w:rPr>
        <w:t>) (see Section 4.4) continue to suggest that the country’s tax rules are used by companies that engage in ATP. A large share of these FDI stocks is held by so-called ‘s</w:t>
      </w:r>
      <w:r>
        <w:rPr>
          <w:noProof/>
        </w:rPr>
        <w:t>pecial purpose entities’ (SPE)(</w:t>
      </w:r>
      <w:r>
        <w:rPr>
          <w:noProof/>
          <w:vertAlign w:val="superscript"/>
        </w:rPr>
        <w:footnoteReference w:id="10"/>
      </w:r>
      <w:r>
        <w:rPr>
          <w:noProof/>
        </w:rPr>
        <w:t>). The absence of broad withholding taxes on dividend payments by co-operatives, the possibility for hybrid mismatches by using the limited partnership (CV) and the absence of withholding taxes on royalties and interest paym</w:t>
      </w:r>
      <w:r>
        <w:rPr>
          <w:noProof/>
        </w:rPr>
        <w:t>ents (which may lead to those payments escaping tax altogether, if they are also not subject to tax in the recipient jurisdiction),, combined with the lack of some anti-abuse rules, may facilitate ATP. The possibility for hybrid mismatches, using the CV wi</w:t>
      </w:r>
      <w:r>
        <w:rPr>
          <w:noProof/>
        </w:rPr>
        <w:t>ll cease to exist with the implementation of the EU directive on hybrid mismatches, on the first of January 2020 at the latest.</w:t>
      </w:r>
    </w:p>
    <w:p w:rsidR="00DC4807" w:rsidRDefault="0005641F">
      <w:pPr>
        <w:rPr>
          <w:noProof/>
        </w:rPr>
      </w:pPr>
      <w:r>
        <w:rPr>
          <w:b/>
          <w:noProof/>
        </w:rPr>
        <w:t>A reform agenda has been announced to tackle certain aspects of the Dutch tax system that may facilitate ATP.</w:t>
      </w:r>
      <w:r>
        <w:rPr>
          <w:noProof/>
        </w:rPr>
        <w:t xml:space="preserve"> Withholding taxes </w:t>
      </w:r>
      <w:r>
        <w:rPr>
          <w:noProof/>
        </w:rPr>
        <w:t>on interest and royalty payments will be introduced for payments to low tax jurisdictions and in cases of abuse. While the withholding tax on dividends, which is currently 15 %, will be abolished in principle, it will remain in abuse situations and for pay</w:t>
      </w:r>
      <w:r>
        <w:rPr>
          <w:noProof/>
        </w:rPr>
        <w:t>ments to low tax jurisdictions. The timeframe for these reforms as well as for introducing withholding taxes on royalties and interests is not yet clear. These plans will not affect the proposed introduction of a dividend withholding tax on payments by coo</w:t>
      </w:r>
      <w:r>
        <w:rPr>
          <w:noProof/>
        </w:rPr>
        <w:t>peratives that largely operate as holding/financing companies, which will enter into force on 1 January 2018. The definitions of "abuse" and "low-tax jurisdiction" in the context of the partial abolition of dividend withholding taxes and the introduction o</w:t>
      </w:r>
      <w:r>
        <w:rPr>
          <w:noProof/>
        </w:rPr>
        <w:t>f withholding taxes on interest and royalties will be important. The interest deduction restriction of the Anti-Tax Avoidance Directive (ATAD) will be introduced in the shape of an earnings stripping measure. At the same time several existing interest dedu</w:t>
      </w:r>
      <w:r>
        <w:rPr>
          <w:noProof/>
        </w:rPr>
        <w:t>ction restrictions will be abolished, but it is not yet clear which. Section 10a of the Corporation Tax Act, which provides for a base erosion rule, will be retained. A generic minimum capital requirement will be introduced (thin cap rule) that limits inte</w:t>
      </w:r>
      <w:r>
        <w:rPr>
          <w:noProof/>
        </w:rPr>
        <w:t>rest deduction on loan capital in excess of 92 % of the commercial balance sheet total. (Foreign) investors investing via fiscal investment institutions (‘fiscale beleggingsinstellingen’) exempt from corporate tax were taxed on their property by means of t</w:t>
      </w:r>
      <w:r>
        <w:rPr>
          <w:noProof/>
        </w:rPr>
        <w:t>he dividend withholding tax. Now that the dividend withholding tax is set to be abolished in principle, fiscal investment institutions will no longer be able to invest directly in property. This is intended to prevent such investments from avoiding both co</w:t>
      </w:r>
      <w:r>
        <w:rPr>
          <w:noProof/>
        </w:rPr>
        <w:t>rporate tax and dividend withholding tax.</w:t>
      </w:r>
    </w:p>
    <w:p w:rsidR="00DC4807" w:rsidRDefault="0005641F">
      <w:pPr>
        <w:rPr>
          <w:noProof/>
        </w:rPr>
      </w:pPr>
      <w:r>
        <w:rPr>
          <w:b/>
          <w:noProof/>
        </w:rPr>
        <w:t>The Netherlands has taken measures to amend aspects of its tax system that facilitate ATP.</w:t>
      </w:r>
      <w:r>
        <w:rPr>
          <w:noProof/>
        </w:rPr>
        <w:t xml:space="preserve"> The Code of Conduct Group (Business Taxation)(</w:t>
      </w:r>
      <w:r>
        <w:rPr>
          <w:noProof/>
          <w:vertAlign w:val="superscript"/>
        </w:rPr>
        <w:footnoteReference w:id="11"/>
      </w:r>
      <w:r>
        <w:rPr>
          <w:noProof/>
        </w:rPr>
        <w:t xml:space="preserve">) has approved the amended Dutch patent box. The old system is subject to a </w:t>
      </w:r>
      <w:r>
        <w:rPr>
          <w:noProof/>
        </w:rPr>
        <w:t>grandfathering clause that runs until June 2021. Under the new system(</w:t>
      </w:r>
      <w:r>
        <w:rPr>
          <w:noProof/>
          <w:vertAlign w:val="superscript"/>
        </w:rPr>
        <w:footnoteReference w:id="12"/>
      </w:r>
      <w:r>
        <w:rPr>
          <w:noProof/>
        </w:rPr>
        <w:t>) there will be a stronger link between the intellectual property (IP) that can benefit from the system and the R&amp;D that created this IP. The effective tax rate of the patent box has be</w:t>
      </w:r>
      <w:r>
        <w:rPr>
          <w:noProof/>
        </w:rPr>
        <w:t>en increased from 5 % to 7 % in 2018. While economic evidence on the effectiveness of patent boxes as a means to encourage R&amp;D remains limited, they may be used as tax competition tools. The rules for the trust sector will be tightened. The powers of the s</w:t>
      </w:r>
      <w:r>
        <w:rPr>
          <w:noProof/>
        </w:rPr>
        <w:t>upervisory authority for the trust sector (De Nederlandsche Bank) will be extended. In response to the Panama Papers the information position and the abuse detection capability of the tax authorities will be strengthened. In addition, the provisions of the</w:t>
      </w:r>
      <w:r>
        <w:rPr>
          <w:noProof/>
        </w:rPr>
        <w:t xml:space="preserve"> Anti-Tax Avoidance Directives must be transposed into national law by the end of 2018 and 2019. It will be important to assess to what extent new measures, whether announced or legislated, in conjunction with the effect of the transposition of the directi</w:t>
      </w:r>
      <w:r>
        <w:rPr>
          <w:noProof/>
        </w:rPr>
        <w:t>ve, limit the scope for ATP in the Netherlands.</w:t>
      </w:r>
    </w:p>
    <w:p w:rsidR="00DC4807" w:rsidRDefault="0005641F">
      <w:pPr>
        <w:rPr>
          <w:noProof/>
        </w:rPr>
      </w:pPr>
      <w:r>
        <w:rPr>
          <w:b/>
          <w:noProof/>
        </w:rPr>
        <w:t>The tax rate on income from substantial shareholdings will increase.</w:t>
      </w:r>
      <w:r>
        <w:rPr>
          <w:noProof/>
        </w:rPr>
        <w:t xml:space="preserve"> It will gradually rise from 25 % to 28.5 % by 2021 to maintain the balance between self-employed persons subject to income tax and self-emp</w:t>
      </w:r>
      <w:r>
        <w:rPr>
          <w:noProof/>
        </w:rPr>
        <w:t>loyed persons who operate via a company subject to corporate tax. The exemption per person from the investment yield tax will increase from EUR 25 000 to EUR 30 000. The expected yield will follow real interest rates on savings more closely.</w:t>
      </w:r>
    </w:p>
    <w:p w:rsidR="00DC4807" w:rsidRDefault="0005641F">
      <w:pPr>
        <w:pStyle w:val="Heading"/>
        <w:rPr>
          <w:noProof/>
        </w:rPr>
      </w:pPr>
      <w:r>
        <w:rPr>
          <w:noProof/>
        </w:rPr>
        <w:t>4.1.2 LONG-TER</w:t>
      </w:r>
      <w:r>
        <w:rPr>
          <w:noProof/>
        </w:rPr>
        <w:t>M SUSTAINABILITY OF PUBLIC FINANCE</w:t>
      </w:r>
    </w:p>
    <w:p w:rsidR="00DC4807" w:rsidRDefault="0005641F">
      <w:pPr>
        <w:rPr>
          <w:noProof/>
        </w:rPr>
      </w:pPr>
      <w:r>
        <w:rPr>
          <w:b/>
          <w:noProof/>
        </w:rPr>
        <w:t>The government debt-to-GDP ratio is declining faster than expected</w:t>
      </w:r>
      <w:r>
        <w:rPr>
          <w:noProof/>
        </w:rPr>
        <w:t>. In 2017, the debt ratio is expected to have reached 57.7 % of GDP, having fallen below the 60 % threshold for the first time since 2011. The debt traject</w:t>
      </w:r>
      <w:r>
        <w:rPr>
          <w:noProof/>
        </w:rPr>
        <w:t>ory is more favourable than expected due to higher GDP growth as well as stock-flow adjustments, which include the sale of shares of state-owned financial institutions. The Commission’s debt sustainability analysis(</w:t>
      </w:r>
      <w:r>
        <w:rPr>
          <w:noProof/>
          <w:vertAlign w:val="superscript"/>
        </w:rPr>
        <w:footnoteReference w:id="13"/>
      </w:r>
      <w:r>
        <w:rPr>
          <w:noProof/>
        </w:rPr>
        <w:t xml:space="preserve">) projects a further decrease to 38.6 % </w:t>
      </w:r>
      <w:r>
        <w:rPr>
          <w:noProof/>
        </w:rPr>
        <w:t xml:space="preserve">of GDP in 2028 (final projection year) assuming no policy change, driven mainly by primary surpluses, but also nominal GDP growth and low interest rate expenditure. With its favourable government debt trend the Netherlands remains 'low risk', based on the </w:t>
      </w:r>
      <w:r>
        <w:rPr>
          <w:noProof/>
        </w:rPr>
        <w:t xml:space="preserve">Commission's baseline medium-term projections. </w:t>
      </w:r>
    </w:p>
    <w:p w:rsidR="00DC4807" w:rsidRDefault="0005641F">
      <w:pPr>
        <w:rPr>
          <w:noProof/>
        </w:rPr>
      </w:pPr>
      <w:r>
        <w:rPr>
          <w:b/>
          <w:noProof/>
        </w:rPr>
        <w:t>The retirement age is linked to life expectancy in 2022.</w:t>
      </w:r>
      <w:r>
        <w:rPr>
          <w:noProof/>
        </w:rPr>
        <w:t xml:space="preserve"> Following reforms in 2012, the retirement age will gradually rise to 67 years in 2021. From 2022 onwards, the retirement age is linked to life expectan</w:t>
      </w:r>
      <w:r>
        <w:rPr>
          <w:noProof/>
        </w:rPr>
        <w:t>cy and is currently set at 67 years and 3 months. Due to stagnating life expectancies in the latest projections, the retirement age will not increase in 2023, which will be the first time since 2013.</w:t>
      </w:r>
    </w:p>
    <w:p w:rsidR="00DC4807" w:rsidRDefault="0005641F">
      <w:pPr>
        <w:pStyle w:val="Heading"/>
        <w:rPr>
          <w:noProof/>
        </w:rPr>
      </w:pPr>
      <w:r>
        <w:rPr>
          <w:noProof/>
        </w:rPr>
        <w:t>4.1.3 FISCAL FRAMEWORK</w:t>
      </w:r>
    </w:p>
    <w:p w:rsidR="00DC4807" w:rsidRDefault="0005641F">
      <w:pPr>
        <w:rPr>
          <w:noProof/>
        </w:rPr>
      </w:pPr>
      <w:r>
        <w:rPr>
          <w:b/>
          <w:noProof/>
        </w:rPr>
        <w:t>The Netherlands has a well-establ</w:t>
      </w:r>
      <w:r>
        <w:rPr>
          <w:b/>
          <w:noProof/>
        </w:rPr>
        <w:t>ished fiscal framework, which has been in place since 1994.</w:t>
      </w:r>
      <w:r>
        <w:rPr>
          <w:noProof/>
        </w:rPr>
        <w:t xml:space="preserve"> The main principles are embodied in a specific law and the new government has reiterated the main principles of the framework. The main characteristics of this multi-annual trend-based fiscal fram</w:t>
      </w:r>
      <w:r>
        <w:rPr>
          <w:noProof/>
        </w:rPr>
        <w:t>ework include: (i) the use of independently derived macroeconomic assumptions; (ii) the use of inflation-adjusted(</w:t>
      </w:r>
      <w:r>
        <w:rPr>
          <w:noProof/>
          <w:vertAlign w:val="superscript"/>
        </w:rPr>
        <w:footnoteReference w:id="14"/>
      </w:r>
      <w:r>
        <w:rPr>
          <w:noProof/>
        </w:rPr>
        <w:t>) expenditure ceilings, which are predetermined and cover the government’s entire term of office; (iii) the use of automatic stabilisers on t</w:t>
      </w:r>
      <w:r>
        <w:rPr>
          <w:noProof/>
        </w:rPr>
        <w:t>he revenue side, and (iv) a well-defined budgetary process for decision-making and the clear distribution of responsibilities, including the tasks of the Bureau for Economic Policy Analysis (CPB) and the Council of State (Advisory Division). The CPB carrie</w:t>
      </w:r>
      <w:r>
        <w:rPr>
          <w:noProof/>
        </w:rPr>
        <w:t>s out the independent fiscal forecast while the Council of State is tasked with monitoring compliance with numerical fiscal rules. Moreover, the commitment to comply with EU fiscal rules is embedded in the legal framework of the Netherlands.</w:t>
      </w:r>
    </w:p>
    <w:p w:rsidR="00DC4807" w:rsidRDefault="0005641F">
      <w:pPr>
        <w:rPr>
          <w:noProof/>
        </w:rPr>
      </w:pPr>
      <w:r>
        <w:rPr>
          <w:b/>
          <w:noProof/>
        </w:rPr>
        <w:t>The government</w:t>
      </w:r>
      <w:r>
        <w:rPr>
          <w:b/>
          <w:noProof/>
        </w:rPr>
        <w:t xml:space="preserve"> aims at increasing the stabilising effect of its budget.</w:t>
      </w:r>
      <w:r>
        <w:rPr>
          <w:noProof/>
        </w:rPr>
        <w:t xml:space="preserve"> Dutch public finances have a suboptimal track record in terms of their stabilisation function. During booms, very small budget surpluses are generated in general, which often leads to pro-cyclical m</w:t>
      </w:r>
      <w:r>
        <w:rPr>
          <w:noProof/>
        </w:rPr>
        <w:t xml:space="preserve">easures in subsequent recessions. Although this applies to more euro area countries, it contrasts with the experience of other countries, such as Sweden and Denmark (see Graph </w:t>
      </w:r>
      <w:r>
        <w:rPr>
          <w:noProof/>
        </w:rPr>
        <w:fldChar w:fldCharType="begin"/>
      </w:r>
      <w:r>
        <w:rPr>
          <w:noProof/>
        </w:rPr>
        <w:instrText xml:space="preserve"> QUOTE "4.1.1"</w:instrText>
      </w:r>
      <w:r>
        <w:rPr>
          <w:noProof/>
        </w:rPr>
        <w:fldChar w:fldCharType="begin">
          <w:fldData xml:space="preserve">QwBSAE8AUwBTAFIARQBGAEUAUgBFAE4AQwBFACoARwBSAEEAUABIACoAMgBlADAAYgAwADkANQBi
AC0AYwBhADMAZAAtADQANQA3ADEALQBhADUAMgAzAC0AMQBlADYAMQBiADQAYwAzAGIAMgA5AGMA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(Afman and Deroose, 2016). Last year’s report by the advisory group on budgetary issues(</w:t>
      </w:r>
      <w:r>
        <w:rPr>
          <w:noProof/>
          <w:vertAlign w:val="superscript"/>
        </w:rPr>
        <w:footnoteReference w:id="15"/>
      </w:r>
      <w:r>
        <w:rPr>
          <w:noProof/>
        </w:rPr>
        <w:t>), which gives general advice on the budgetary guidelines before a new government term, recommended increasing the stabi</w:t>
      </w:r>
      <w:r>
        <w:rPr>
          <w:noProof/>
        </w:rPr>
        <w:t>lising effect of the budget. In the report, the group recommended excluding cyclical expenditure items such as unemployment benefit expenditure from the ceilings, but including interest expenditure and natural gas production. The government has followed th</w:t>
      </w:r>
      <w:r>
        <w:rPr>
          <w:noProof/>
        </w:rPr>
        <w:t>is advice and removed some cyclical components from the expenditure ceiling, namely the non-discretionary, cyclical changes in expenditure on unemployment and social assistance. At the same time, interest expenditure and the impact of discretionary decisio</w:t>
      </w:r>
      <w:r>
        <w:rPr>
          <w:noProof/>
        </w:rPr>
        <w:t>ns on natural gas production are included. While this would further improve the macroeconomic stabilisation function of the budgetary framework, this would also make the budget more sensitive to the economic cycle, further stressing the need for fiscal pru</w:t>
      </w:r>
      <w:r>
        <w:rPr>
          <w:noProof/>
        </w:rPr>
        <w:t>dence in economic good times.</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41" w:name="_Toc507233635"/>
            <w:r>
              <w:rPr>
                <w:noProof/>
              </w:rPr>
              <w:t>Graph 4.1.1:</w:t>
            </w:r>
            <w:r>
              <w:rPr>
                <w:b/>
                <w:noProof/>
              </w:rPr>
              <w:tab/>
              <w:t>Average headline budget balance in different states of the economy</w:t>
            </w:r>
            <w:bookmarkEnd w:id="41"/>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1876220B" wp14:editId="0704C4EF">
                  <wp:extent cx="2597595" cy="2456689"/>
                  <wp:effectExtent l="0" t="0" r="0" b="0"/>
                  <wp:docPr id="1" name="Picture 1" descr="&lt;nbr&gt;&lt;GETTEXTFROMWORD&gt;&lt;/nbr&gt;&#10;&lt;title&gt;&lt;GETTEXTFROMWORD&gt;&lt;/title&gt;&#10;&lt;id&gt;2e0b095b-ca3d-4571-a523-1e61b4c3b29c&lt;/id&gt;&#10;&lt;srcType&gt;EXCEL&lt;/srcType&gt;&#10;&lt;srcPath&gt;O:\2017 CRs\2018 European semester\19 NL\19_NL_TablesGraphesBoxes&lt;/srcPath&gt;&#10;&lt;srcName&gt;Section4_1.xlsx&lt;/srcName&gt;&#10;&lt;type&gt;graph&lt;/type&gt;&#10; &lt;srcSheet&gt;BudgetBalanc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5T12:42:13&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97595" cy="2456689"/>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Afman and Deroose (2016); 1996-2015 average.</w:t>
            </w:r>
          </w:p>
        </w:tc>
      </w:tr>
    </w:tbl>
    <w:p w:rsidR="00DC4807" w:rsidRDefault="0005641F">
      <w:pPr>
        <w:rPr>
          <w:noProof/>
        </w:rPr>
      </w:pPr>
      <w:r>
        <w:rPr>
          <w:b/>
          <w:noProof/>
        </w:rPr>
        <w:t xml:space="preserve">While the Dutch fiscal framework recognises the EU fiscal rules as the anchor to fiscal </w:t>
      </w:r>
      <w:r>
        <w:rPr>
          <w:b/>
          <w:noProof/>
        </w:rPr>
        <w:t>policy, further efficiency gains could be made.</w:t>
      </w:r>
      <w:r>
        <w:rPr>
          <w:noProof/>
        </w:rPr>
        <w:t xml:space="preserve"> This could be achieved through further alignment, for instance when assessing fiscal sustainability or operationalising the medium-term budgetary objective within the national context (Vierke and Masselink, 2</w:t>
      </w:r>
      <w:r>
        <w:rPr>
          <w:noProof/>
        </w:rPr>
        <w:t>017). There are also some options available to improve flexibility in the framework while being careful not to hinder responsible budgeting; for example, the application of ‘rolling mechanisms’ with multi-annual expenditure ceilings updated on an annual ba</w:t>
      </w:r>
      <w:r>
        <w:rPr>
          <w:noProof/>
        </w:rPr>
        <w:t>sis according to predefined drivers (e.g. an update of macro conditions).</w:t>
      </w:r>
    </w:p>
    <w:p w:rsidR="00DC4807" w:rsidRDefault="0005641F">
      <w:pPr>
        <w:pStyle w:val="Heading"/>
        <w:rPr>
          <w:noProof/>
        </w:rPr>
      </w:pPr>
      <w:r>
        <w:rPr>
          <w:noProof/>
        </w:rPr>
        <w:t>4.1.4 QUALITY OF PUBLIC FINANCE</w:t>
      </w:r>
    </w:p>
    <w:p w:rsidR="00DC4807" w:rsidRDefault="0005641F">
      <w:pPr>
        <w:rPr>
          <w:noProof/>
        </w:rPr>
      </w:pPr>
      <w:r>
        <w:rPr>
          <w:b/>
          <w:noProof/>
        </w:rPr>
        <w:t>Growth-friendly public expenditure increased slightly in 2015-2016, but remains lower than that of other ‘innovation leaders’(</w:t>
      </w:r>
      <w:r>
        <w:rPr>
          <w:noProof/>
          <w:vertAlign w:val="superscript"/>
        </w:rPr>
        <w:footnoteReference w:id="16"/>
      </w:r>
      <w:r>
        <w:rPr>
          <w:b/>
          <w:noProof/>
        </w:rPr>
        <w:t>).</w:t>
      </w:r>
      <w:r>
        <w:rPr>
          <w:noProof/>
        </w:rPr>
        <w:t xml:space="preserve"> Public spending in g</w:t>
      </w:r>
      <w:r>
        <w:rPr>
          <w:noProof/>
        </w:rPr>
        <w:t xml:space="preserve">rowth-enhancing areas is of particular importance to unlock investment in knowledge-based capital and sustain long-term growth and employment. Public R&amp;D intensity in the Netherlands gradually increased to 0.9 % of GDP in 2013, close to the average of the </w:t>
      </w:r>
      <w:r>
        <w:rPr>
          <w:noProof/>
        </w:rPr>
        <w:t>most advanced EU peers (1 %). Total budget appropriations for R&amp;D amounted to 0.72 % of GDP in 2015, below those of the most advanced EU peers. Direct public funding for R&amp;D is projected to decline until 2020 (see Section 4.5.1).</w:t>
      </w:r>
    </w:p>
    <w:tbl>
      <w:tblPr>
        <w:tblpPr w:leftFromText="180" w:rightFromText="180" w:vertAnchor="text" w:horzAnchor="margin" w:tblpXSpec="right" w:tblpY="-2075"/>
        <w:tblW w:w="0" w:type="auto"/>
        <w:tblLayout w:type="fixed"/>
        <w:tblCellMar>
          <w:left w:w="0" w:type="dxa"/>
          <w:right w:w="0" w:type="dxa"/>
        </w:tblCellMar>
        <w:tblLook w:val="0000" w:firstRow="0" w:lastRow="0" w:firstColumn="0" w:lastColumn="0" w:noHBand="0" w:noVBand="0"/>
      </w:tblPr>
      <w:tblGrid>
        <w:gridCol w:w="4110"/>
      </w:tblGrid>
      <w:tr w:rsidR="00DC4807">
        <w:trPr>
          <w:cantSplit/>
          <w:trHeight w:val="20"/>
        </w:trPr>
        <w:tc>
          <w:tcPr>
            <w:tcW w:w="4110" w:type="dxa"/>
            <w:shd w:val="clear" w:color="auto" w:fill="auto"/>
          </w:tcPr>
          <w:p w:rsidR="00DC4807" w:rsidRDefault="00DC4807">
            <w:pPr>
              <w:pStyle w:val="SlimCell"/>
              <w:keepNext/>
              <w:rPr>
                <w:noProof/>
              </w:rPr>
            </w:pPr>
          </w:p>
        </w:tc>
      </w:tr>
      <w:tr w:rsidR="00DC4807">
        <w:trPr>
          <w:cantSplit/>
        </w:trPr>
        <w:tc>
          <w:tcPr>
            <w:tcW w:w="4110" w:type="dxa"/>
            <w:shd w:val="clear" w:color="auto" w:fill="auto"/>
          </w:tcPr>
          <w:p w:rsidR="00DC4807" w:rsidRDefault="0005641F">
            <w:pPr>
              <w:pStyle w:val="TableTitle"/>
              <w:rPr>
                <w:b/>
                <w:noProof/>
              </w:rPr>
            </w:pPr>
            <w:bookmarkStart w:id="42" w:name="_Toc507233672"/>
            <w:r>
              <w:rPr>
                <w:noProof/>
              </w:rPr>
              <w:t>Table 4.1.1:</w:t>
            </w:r>
            <w:r>
              <w:rPr>
                <w:b/>
                <w:noProof/>
              </w:rPr>
              <w:tab/>
              <w:t xml:space="preserve">Total </w:t>
            </w:r>
            <w:r>
              <w:rPr>
                <w:b/>
                <w:noProof/>
              </w:rPr>
              <w:t>public funding for R&amp;D and innovation, 2015-2017</w:t>
            </w:r>
            <w:bookmarkEnd w:id="42"/>
          </w:p>
        </w:tc>
      </w:tr>
      <w:tr w:rsidR="00DC4807">
        <w:trPr>
          <w:cantSplit/>
        </w:trPr>
        <w:tc>
          <w:tcPr>
            <w:tcW w:w="4110" w:type="dxa"/>
            <w:shd w:val="clear" w:color="auto" w:fill="auto"/>
          </w:tcPr>
          <w:p w:rsidR="00DC4807" w:rsidRDefault="0005641F">
            <w:pPr>
              <w:pStyle w:val="TableShape"/>
              <w:rPr>
                <w:noProof/>
                <w:sz w:val="2"/>
              </w:rPr>
            </w:pPr>
            <w:r>
              <w:rPr>
                <w:noProof/>
                <w:sz w:val="2"/>
                <w:lang w:eastAsia="en-GB"/>
              </w:rPr>
              <w:drawing>
                <wp:inline distT="0" distB="0" distL="0" distR="0" wp14:anchorId="5D03BC7F" wp14:editId="73632C66">
                  <wp:extent cx="2597595" cy="1928086"/>
                  <wp:effectExtent l="0" t="0" r="0" b="0"/>
                  <wp:docPr id="38" name="Picture 38" descr="&lt;nbr&gt;&lt;GETTEXTFROMWORD&gt;&lt;/nbr&gt;&#10;&lt;title&gt;&lt;GETTEXTFROMWORD&gt;&lt;/title&gt;&#10;&lt;id&gt;730c0393-fd87-4667-8c5b-ab5a10d4a6cf&lt;/id&gt;&#10;&lt;srcType&gt;EXCEL&lt;/srcType&gt;&#10;&lt;srcPath&gt;O:\2017 CRs\2018 European semester\19 NL\19_NL_TablesGraphesBoxes\&lt;/srcPath&gt;&#10;&lt;srcName&gt;Section4_1.xlsx&lt;/srcName&gt;&#10;&lt;type&gt;table&lt;/type&gt;&#10; &lt;srcSheet&gt;TablePublicSupport&lt;/srcSheet&gt;&#10; &lt;srcRange&gt;R2C2:R10C5&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5T12:42:13&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97595" cy="1928086"/>
                          </a:xfrm>
                          <a:prstGeom prst="rect">
                            <a:avLst/>
                          </a:prstGeom>
                          <a:noFill/>
                          <a:ln>
                            <a:noFill/>
                          </a:ln>
                        </pic:spPr>
                      </pic:pic>
                    </a:graphicData>
                  </a:graphic>
                </wp:inline>
              </w:drawing>
            </w:r>
          </w:p>
        </w:tc>
      </w:tr>
      <w:tr w:rsidR="00DC4807">
        <w:trPr>
          <w:cantSplit/>
        </w:trPr>
        <w:tc>
          <w:tcPr>
            <w:tcW w:w="4110" w:type="dxa"/>
            <w:shd w:val="clear" w:color="auto" w:fill="auto"/>
          </w:tcPr>
          <w:p w:rsidR="00DC4807" w:rsidRDefault="0005641F">
            <w:pPr>
              <w:pStyle w:val="TableFootnote"/>
              <w:rPr>
                <w:noProof/>
              </w:rPr>
            </w:pPr>
            <w:r>
              <w:rPr>
                <w:noProof/>
              </w:rPr>
              <w:t>Note: GBAORD refers to government budget appropriations or outlays for research and development. Fiscal incentives exclude the innovation box.</w:t>
            </w:r>
          </w:p>
          <w:p w:rsidR="00DC4807" w:rsidRDefault="0005641F">
            <w:pPr>
              <w:pStyle w:val="TableSource"/>
              <w:rPr>
                <w:noProof/>
              </w:rPr>
            </w:pPr>
            <w:r>
              <w:rPr>
                <w:b/>
                <w:i/>
                <w:noProof/>
              </w:rPr>
              <w:t>Source:</w:t>
            </w:r>
            <w:r>
              <w:rPr>
                <w:noProof/>
              </w:rPr>
              <w:t xml:space="preserve"> Vennekens and Van Steen, 2017</w:t>
            </w:r>
          </w:p>
        </w:tc>
      </w:tr>
      <w:tr w:rsidR="00DC4807">
        <w:trPr>
          <w:cantSplit/>
          <w:trHeight w:val="20"/>
        </w:trPr>
        <w:tc>
          <w:tcPr>
            <w:tcW w:w="4110" w:type="dxa"/>
            <w:shd w:val="clear" w:color="auto" w:fill="auto"/>
            <w:tcMar>
              <w:bottom w:w="240" w:type="dxa"/>
            </w:tcMar>
          </w:tcPr>
          <w:p w:rsidR="00DC4807" w:rsidRDefault="00DC4807">
            <w:pPr>
              <w:pStyle w:val="SlimCell"/>
              <w:rPr>
                <w:noProof/>
              </w:rPr>
            </w:pPr>
          </w:p>
        </w:tc>
      </w:tr>
    </w:tbl>
    <w:p w:rsidR="00DC4807" w:rsidRDefault="0005641F">
      <w:pPr>
        <w:rPr>
          <w:noProof/>
        </w:rPr>
      </w:pPr>
      <w:r>
        <w:rPr>
          <w:b/>
          <w:noProof/>
        </w:rPr>
        <w:t>Public investment r</w:t>
      </w:r>
      <w:r>
        <w:rPr>
          <w:b/>
          <w:noProof/>
        </w:rPr>
        <w:t>emains strong, but spending on education is increasing rather slowly.</w:t>
      </w:r>
      <w:r>
        <w:rPr>
          <w:noProof/>
        </w:rPr>
        <w:t xml:space="preserve"> Public gross fixed capital formation accounted for 3.5 % of GDP in 2016, above the EU average of 2.9 % (EA 2.7 %), but below that of other ‘innovation leaders’, notably Sweden (4.4 %), F</w:t>
      </w:r>
      <w:r>
        <w:rPr>
          <w:noProof/>
        </w:rPr>
        <w:t>inland (4 %) and Denmark (3.7 %). While the Dutch education system provides a sound basis for upgrading human capital, innovation and growth, spending on education is still below that of top performers such as the Nordic countries. In 2015, the Netherlands</w:t>
      </w:r>
      <w:r>
        <w:rPr>
          <w:noProof/>
        </w:rPr>
        <w:t xml:space="preserve"> spent 5.4 % of GDP on education, above the EU and euro area averages but less than the top-performing peer countries such as Denmark (7.0 %), Sweden (6.5 %), Belgium (6.4 %), Finland (6.2 %) and the Baltic countries. The efficiency of public spending on e</w:t>
      </w:r>
      <w:r>
        <w:rPr>
          <w:noProof/>
        </w:rPr>
        <w:t>ducation in the Netherlands is relatively high, which is also illustrated by the comparatively good educational attainment (EC, 2017f). According to the coalition agreement, the government plans to increase its expenditure on growth-enhancing areas such as</w:t>
      </w:r>
      <w:r>
        <w:rPr>
          <w:noProof/>
        </w:rPr>
        <w:t xml:space="preserve"> R&amp;D by EUR 600 million in 2018-2019.</w:t>
      </w:r>
    </w:p>
    <w:p w:rsidR="00DC4807" w:rsidRDefault="0005641F">
      <w:pPr>
        <w:pStyle w:val="SectionTitleFramed7"/>
        <w:framePr w:wrap="notBeside"/>
        <w:rPr>
          <w:noProof/>
        </w:rPr>
      </w:pPr>
      <w:bookmarkStart w:id="43" w:name="_Toc507233693"/>
      <w:r>
        <w:rPr>
          <w:noProof/>
        </w:rPr>
        <w:t>4.2.</w:t>
      </w:r>
      <w:r>
        <w:rPr>
          <w:noProof/>
        </w:rPr>
        <w:tab/>
        <w:t>Financial sector</w:t>
      </w:r>
      <w:bookmarkEnd w:id="43"/>
    </w:p>
    <w:p w:rsidR="00DC4807" w:rsidRDefault="0005641F">
      <w:pPr>
        <w:pStyle w:val="Heading"/>
        <w:rPr>
          <w:noProof/>
        </w:rPr>
      </w:pPr>
      <w:r>
        <w:rPr>
          <w:noProof/>
        </w:rPr>
        <w:t>4.2.1. BANKING SECTOR</w:t>
      </w:r>
    </w:p>
    <w:p w:rsidR="00DC4807" w:rsidRDefault="0005641F">
      <w:pPr>
        <w:rPr>
          <w:noProof/>
        </w:rPr>
      </w:pPr>
      <w:r>
        <w:rPr>
          <w:b/>
          <w:noProof/>
        </w:rPr>
        <w:t>The Dutch banking sector remains one of the largest in the EU in terms of GDP and is highly concentrated.</w:t>
      </w:r>
      <w:r>
        <w:rPr>
          <w:noProof/>
        </w:rPr>
        <w:t xml:space="preserve"> Its assets accounted for around 370 % of the country’s GDP in 2017 (compared to 530 % in 2007) (DNB, 2017b). Assets in the total financial system are close to eight times the GDP at the end of 2016. As for the assets of the insurance and pension sectors, </w:t>
      </w:r>
      <w:r>
        <w:rPr>
          <w:noProof/>
        </w:rPr>
        <w:t xml:space="preserve">they amount to 70 % and 184 % of GDP respectively whereas investment funds hold assets equivalent to 113 % of GDP (Graph </w:t>
      </w:r>
      <w:r>
        <w:rPr>
          <w:noProof/>
        </w:rPr>
        <w:fldChar w:fldCharType="begin"/>
      </w:r>
      <w:r>
        <w:rPr>
          <w:noProof/>
        </w:rPr>
        <w:instrText xml:space="preserve"> QUOTE "4.2.1"</w:instrText>
      </w:r>
      <w:r>
        <w:rPr>
          <w:noProof/>
        </w:rPr>
        <w:fldChar w:fldCharType="begin">
          <w:fldData xml:space="preserve">QwBSAE8AUwBTAFIARQBGAEUAUgBFAE4AQwBFACoARwBSAEEAUABIACoAZgBhADAAOABlADgAMwA4
AC0AMABjADQAYwAtADQAZABjADMALQBiAGYAOQA5AC0ANQBjADIANQBkADEAZAAxADkAYQBkAGIA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The Dutc</w:t>
      </w:r>
      <w:r>
        <w:rPr>
          <w:noProof/>
        </w:rPr>
        <w:t>h banking market has one of the highest concentration levels in the EU, with the five largest banks holding 85 % of assets in 2017, compared to a euro area average of 48 % (ECB, 2017). Given the systemic relevance of those five banks, the Dutch Central Ban</w:t>
      </w:r>
      <w:r>
        <w:rPr>
          <w:noProof/>
        </w:rPr>
        <w:t>k has ordered them to gradually build up extra capital buffers in 2016-2019. The government plans to continue the reprivatisation of ABN AMRO.</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44" w:name="_Toc507233636"/>
            <w:r>
              <w:rPr>
                <w:noProof/>
              </w:rPr>
              <w:t>Graph 4.2.1:</w:t>
            </w:r>
            <w:r>
              <w:rPr>
                <w:b/>
                <w:noProof/>
              </w:rPr>
              <w:tab/>
              <w:t>Size of the financial intermediaries and of the debt securities market</w:t>
            </w:r>
            <w:bookmarkEnd w:id="44"/>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3EAB4435" wp14:editId="4B648889">
                  <wp:extent cx="2597595" cy="2439552"/>
                  <wp:effectExtent l="0" t="0" r="0" b="0"/>
                  <wp:docPr id="25" name="Picture 25" descr="&lt;nbr&gt;&lt;GETTEXTFROMWORD&gt;&lt;/nbr&gt;&#10;&lt;title&gt;&lt;GETTEXTFROMWORD&gt;&lt;/title&gt;&#10;&lt;id&gt;fa08e838-0c4c-4dc3-bf99-5c25d1d19adb&lt;/id&gt;&#10;&lt;srcType&gt;EXCEL&lt;/srcType&gt;&#10;&lt;srcPath&gt;O:\2017 CRs\2018 European semester\19 NL\19_NL_TablesGraphesBoxes&lt;/srcPath&gt;&#10;&lt;srcName&gt;Section4_2.xlsx&lt;/srcName&gt;&#10;&lt;type&gt;graph&lt;/type&gt;&#10; &lt;srcSheet&gt;DebtSecurities&lt;/srcSheet&gt;&#10; &lt;srcChartTitle&gt;Chart 7&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5T16:55: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97595" cy="2439552"/>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ECB, European Com</w:t>
            </w:r>
            <w:r>
              <w:rPr>
                <w:noProof/>
              </w:rPr>
              <w:t>mission</w:t>
            </w:r>
          </w:p>
        </w:tc>
      </w:tr>
    </w:tbl>
    <w:p w:rsidR="00DC4807" w:rsidRDefault="0005641F">
      <w:pPr>
        <w:rPr>
          <w:noProof/>
        </w:rPr>
      </w:pPr>
      <w:r>
        <w:rPr>
          <w:b/>
          <w:noProof/>
        </w:rPr>
        <w:t>Financial soundness indicators of Dutch credit institutions do not give rise to stability concerns.</w:t>
      </w:r>
      <w:r>
        <w:rPr>
          <w:noProof/>
        </w:rPr>
        <w:t xml:space="preserve"> The banks did not suffer major losses on their loan portfolios during the crisis, and the ratio of non-performing loans did not exceed 3 % in the l</w:t>
      </w:r>
      <w:r>
        <w:rPr>
          <w:noProof/>
        </w:rPr>
        <w:t xml:space="preserve">ast few years amounting to just 2.2 % in 2016. The banks maintain adequate financial resilience and sound solvency positions with capital standards well above the regulatory requirements. At sector level, the capital adequacy ratio stood at a solid 23.1 % </w:t>
      </w:r>
      <w:r>
        <w:rPr>
          <w:noProof/>
        </w:rPr>
        <w:t xml:space="preserve">and the Tier 1 capital ratio at 18.3 % compared to the euro area average of 17.6 % and 15 % respectively in Q2-2017 (see Table </w:t>
      </w:r>
      <w:r>
        <w:rPr>
          <w:noProof/>
        </w:rPr>
        <w:fldChar w:fldCharType="begin"/>
      </w:r>
      <w:r>
        <w:rPr>
          <w:noProof/>
        </w:rPr>
        <w:instrText xml:space="preserve"> QUOTE "4.2.1"</w:instrText>
      </w:r>
      <w:r>
        <w:rPr>
          <w:noProof/>
        </w:rPr>
        <w:fldChar w:fldCharType="begin">
          <w:fldData xml:space="preserve">QwBSAE8AUwBTAFIARQBGAEUAUgBFAE4AQwBFACoAVABBAEIATABFACoAYgBhAGUAMwA0AGMAMgA0
AC0ANwA5AGQANQAtADQANwA2AGUALQBiADgAMgA1AC0ANAA4ADMAZgAxAGYAZQBjADMANgA1AGEA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xml:space="preserve">). The leverage of Dutch lenders – although lower than during the crisis – stands at a modest 4.7 % at sector level (DNB, 2017b), compared to the euro area average of 5.1 % (ECB). </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Height w:val="20"/>
        </w:trPr>
        <w:tc>
          <w:tcPr>
            <w:tcW w:w="4110" w:type="dxa"/>
            <w:shd w:val="clear" w:color="auto" w:fill="auto"/>
          </w:tcPr>
          <w:p w:rsidR="00DC4807" w:rsidRDefault="00DC4807">
            <w:pPr>
              <w:pStyle w:val="SlimCell"/>
              <w:keepNext/>
              <w:rPr>
                <w:noProof/>
              </w:rPr>
            </w:pPr>
          </w:p>
        </w:tc>
      </w:tr>
      <w:tr w:rsidR="00DC4807">
        <w:trPr>
          <w:cantSplit/>
        </w:trPr>
        <w:tc>
          <w:tcPr>
            <w:tcW w:w="4110" w:type="dxa"/>
            <w:shd w:val="clear" w:color="auto" w:fill="auto"/>
          </w:tcPr>
          <w:p w:rsidR="00DC4807" w:rsidRDefault="0005641F">
            <w:pPr>
              <w:pStyle w:val="TableTitle"/>
              <w:rPr>
                <w:b/>
                <w:noProof/>
              </w:rPr>
            </w:pPr>
            <w:bookmarkStart w:id="45" w:name="_Toc507233673"/>
            <w:r>
              <w:rPr>
                <w:noProof/>
              </w:rPr>
              <w:t>Table 4.2.1:</w:t>
            </w:r>
            <w:r>
              <w:rPr>
                <w:b/>
                <w:noProof/>
              </w:rPr>
              <w:tab/>
              <w:t>Financial soundness indicators</w:t>
            </w:r>
            <w:bookmarkEnd w:id="45"/>
          </w:p>
        </w:tc>
      </w:tr>
      <w:tr w:rsidR="00DC4807">
        <w:trPr>
          <w:cantSplit/>
        </w:trPr>
        <w:tc>
          <w:tcPr>
            <w:tcW w:w="4110" w:type="dxa"/>
            <w:shd w:val="clear" w:color="auto" w:fill="auto"/>
          </w:tcPr>
          <w:p w:rsidR="00DC4807" w:rsidRDefault="0005641F">
            <w:pPr>
              <w:pStyle w:val="TableShape"/>
              <w:rPr>
                <w:noProof/>
                <w:sz w:val="2"/>
              </w:rPr>
            </w:pPr>
            <w:r>
              <w:rPr>
                <w:noProof/>
                <w:sz w:val="2"/>
                <w:lang w:eastAsia="en-GB"/>
              </w:rPr>
              <w:drawing>
                <wp:inline distT="0" distB="0" distL="0" distR="0" wp14:anchorId="6AD6BD18" wp14:editId="4B212CF1">
                  <wp:extent cx="2597595" cy="1335148"/>
                  <wp:effectExtent l="0" t="0" r="0" b="0"/>
                  <wp:docPr id="26" name="Picture 26" descr="&lt;nbr&gt;&lt;GETTEXTFROMWORD&gt;&lt;/nbr&gt;&#10;&lt;title&gt;&lt;GETTEXTFROMWORD&gt;&lt;/title&gt;&#10;&lt;id&gt;bae34c24-79d5-476e-b825-483f1fec365a&lt;/id&gt;&#10;&lt;srcType&gt;EXCEL&lt;/srcType&gt;&#10;&lt;srcPath&gt;O:\2017 CRs\2018 European semester\19 NL\19_NL_TablesGraphesBoxes\&lt;/srcPath&gt;&#10;&lt;srcName&gt;Section4_2.xlsx&lt;/srcName&gt;&#10;&lt;type&gt;table&lt;/type&gt;&#10; &lt;srcSheet&gt;table_NPL&lt;/srcSheet&gt;&#10; &lt;srcRange&gt;R2C2:R13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5T16:55: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97595" cy="1335148"/>
                          </a:xfrm>
                          <a:prstGeom prst="rect">
                            <a:avLst/>
                          </a:prstGeom>
                          <a:noFill/>
                          <a:ln>
                            <a:noFill/>
                          </a:ln>
                        </pic:spPr>
                      </pic:pic>
                    </a:graphicData>
                  </a:graphic>
                </wp:inline>
              </w:drawing>
            </w:r>
          </w:p>
        </w:tc>
      </w:tr>
      <w:tr w:rsidR="00DC4807">
        <w:trPr>
          <w:cantSplit/>
        </w:trPr>
        <w:tc>
          <w:tcPr>
            <w:tcW w:w="4110" w:type="dxa"/>
            <w:shd w:val="clear" w:color="auto" w:fill="auto"/>
          </w:tcPr>
          <w:p w:rsidR="00DC4807" w:rsidRDefault="0005641F">
            <w:pPr>
              <w:pStyle w:val="TableFootnote"/>
              <w:rPr>
                <w:noProof/>
              </w:rPr>
            </w:pPr>
            <w:r>
              <w:rPr>
                <w:noProof/>
              </w:rPr>
              <w:t xml:space="preserve">*ECB aggregated balance </w:t>
            </w:r>
            <w:r>
              <w:rPr>
                <w:noProof/>
              </w:rPr>
              <w:t>sheet: loans excl. to government and MFI / deposits excl. from government and MFI</w:t>
            </w:r>
            <w:r>
              <w:rPr>
                <w:noProof/>
              </w:rPr>
              <w:br/>
              <w:t>**For comparability only annual values are presented</w:t>
            </w:r>
          </w:p>
          <w:p w:rsidR="00DC4807" w:rsidRDefault="0005641F">
            <w:pPr>
              <w:pStyle w:val="TableSource"/>
              <w:rPr>
                <w:noProof/>
              </w:rPr>
            </w:pPr>
            <w:r>
              <w:rPr>
                <w:b/>
                <w:i/>
                <w:noProof/>
              </w:rPr>
              <w:t>Source:</w:t>
            </w:r>
            <w:r>
              <w:rPr>
                <w:noProof/>
              </w:rPr>
              <w:t xml:space="preserve"> ECB, CBD</w:t>
            </w:r>
          </w:p>
        </w:tc>
      </w:tr>
      <w:tr w:rsidR="00DC4807">
        <w:trPr>
          <w:cantSplit/>
          <w:trHeight w:val="20"/>
        </w:trPr>
        <w:tc>
          <w:tcPr>
            <w:tcW w:w="4110" w:type="dxa"/>
            <w:shd w:val="clear" w:color="auto" w:fill="auto"/>
            <w:tcMar>
              <w:bottom w:w="240" w:type="dxa"/>
            </w:tcMar>
          </w:tcPr>
          <w:p w:rsidR="00DC4807" w:rsidRDefault="00DC4807">
            <w:pPr>
              <w:pStyle w:val="SlimCell"/>
              <w:rPr>
                <w:noProof/>
              </w:rPr>
            </w:pPr>
          </w:p>
        </w:tc>
      </w:tr>
    </w:tbl>
    <w:p w:rsidR="00DC4807" w:rsidRDefault="0005641F">
      <w:pPr>
        <w:rPr>
          <w:noProof/>
        </w:rPr>
      </w:pPr>
      <w:r>
        <w:rPr>
          <w:b/>
          <w:noProof/>
        </w:rPr>
        <w:t>The share of wholesale funding in the banking sector remains high.</w:t>
      </w:r>
      <w:r>
        <w:rPr>
          <w:noProof/>
        </w:rPr>
        <w:t xml:space="preserve"> Deposits account for only 47 % of total funding which is well below the euro area average of 56 % (August 2017). In a stress scenario, funding costs could rise sharply impacting profitability and the net interest income of Dutch banks. On a positive note,</w:t>
      </w:r>
      <w:r>
        <w:rPr>
          <w:noProof/>
        </w:rPr>
        <w:t xml:space="preserve"> since the crisis the maturity of market funding has been lengthened to prevent imminent liquidity risk. The deposit share has also been growing over time, which has a positive effect on the loan-to-deposit ratio which further decreased to 110.6 % in Septe</w:t>
      </w:r>
      <w:r>
        <w:rPr>
          <w:noProof/>
        </w:rPr>
        <w:t>mber 2016. This ratio and the banks' reliance on wholesale funding are likely to be further reduced following the increasing role of pension funds and insurance companies in the mortgage credit market. Their market share in mortgages increased from 8 % (20</w:t>
      </w:r>
      <w:r>
        <w:rPr>
          <w:noProof/>
        </w:rPr>
        <w:t>10) to 11 % (2016) (DNB, 2016).</w:t>
      </w:r>
    </w:p>
    <w:p w:rsidR="00DC4807" w:rsidRDefault="0005641F">
      <w:pPr>
        <w:rPr>
          <w:noProof/>
        </w:rPr>
      </w:pPr>
      <w:r>
        <w:rPr>
          <w:b/>
          <w:noProof/>
        </w:rPr>
        <w:t>The profitability of the banking sector – while remaining solid – might still be affected by prolonged low interest rates, non-bank competitors and upcoming regulatory changes.</w:t>
      </w:r>
      <w:r>
        <w:rPr>
          <w:noProof/>
        </w:rPr>
        <w:t xml:space="preserve"> Past loans priced at high fixed interest rates </w:t>
      </w:r>
      <w:r>
        <w:rPr>
          <w:noProof/>
        </w:rPr>
        <w:t xml:space="preserve">– mostly mortgages – will gradually mature over the next two decades, and new loans are likely to be repriced at less profitable rates. Banks' margins and credit volumes on the mortgage credit market are coming under pressure due to increasing competition </w:t>
      </w:r>
      <w:r>
        <w:rPr>
          <w:noProof/>
        </w:rPr>
        <w:t>from pension funds and insurance companies – these were responsible for 20 % of new mortgages in 2016 (DNB, 2016). In other traditional banking domains – for instance payments – banks face growing competition from fintech companies following further openin</w:t>
      </w:r>
      <w:r>
        <w:rPr>
          <w:noProof/>
        </w:rPr>
        <w:t>g of the market as a result of the adoption of the Payment Services Directive 2. The package on prudential rules recently endorsed by the Basel Committee on Banking Supervision – applicable over the next few years – will also have implications for the Dutc</w:t>
      </w:r>
      <w:r>
        <w:rPr>
          <w:noProof/>
        </w:rPr>
        <w:t>h banks’ profitability. Given their considerable exposure to mortgages, the new rules mean that they would have to set aside additional capital, which is likely to reduce the sector's return on equity. Dutch banks are making additional efforts to improve t</w:t>
      </w:r>
      <w:r>
        <w:rPr>
          <w:noProof/>
        </w:rPr>
        <w:t>heir efficiency by further switching from branch offices to digital services. Since 2007, they have already reduced the number of offices across the country by more than 50 % to 1 764 offices in 2015.</w:t>
      </w:r>
    </w:p>
    <w:p w:rsidR="00DC4807" w:rsidRDefault="0005641F">
      <w:pPr>
        <w:pStyle w:val="Heading"/>
        <w:rPr>
          <w:noProof/>
        </w:rPr>
      </w:pPr>
      <w:r>
        <w:rPr>
          <w:noProof/>
        </w:rPr>
        <w:t>4.2.2. ACCESS TO FINANCE *</w:t>
      </w:r>
    </w:p>
    <w:p w:rsidR="00DC4807" w:rsidRDefault="0005641F">
      <w:pPr>
        <w:rPr>
          <w:noProof/>
        </w:rPr>
      </w:pPr>
      <w:r>
        <w:rPr>
          <w:b/>
          <w:noProof/>
        </w:rPr>
        <w:t xml:space="preserve">The perception of bank loan </w:t>
      </w:r>
      <w:r>
        <w:rPr>
          <w:b/>
          <w:noProof/>
        </w:rPr>
        <w:t>availability has further improved, and a majority of policy measures have been implemented under the Additional SME Finance Action Plan (</w:t>
      </w:r>
      <w:r>
        <w:rPr>
          <w:b/>
          <w:i/>
          <w:noProof/>
        </w:rPr>
        <w:t>Aanvullend Actieplan Mkb-financiering</w:t>
      </w:r>
      <w:r>
        <w:rPr>
          <w:b/>
          <w:noProof/>
        </w:rPr>
        <w:t>).</w:t>
      </w:r>
      <w:r>
        <w:rPr>
          <w:noProof/>
        </w:rPr>
        <w:t xml:space="preserve"> Equity funding and business angel funding for new and growing firms is satisfac</w:t>
      </w:r>
      <w:r>
        <w:rPr>
          <w:noProof/>
        </w:rPr>
        <w:t>tory (EC, 2017j). Companies valued access to finance more positively while increasingly using channels other than traditional bank lending. These improvements reflect in part the decrease in loan requests by SMEs and the net decline of 13 % in bank lending</w:t>
      </w:r>
      <w:r>
        <w:rPr>
          <w:noProof/>
        </w:rPr>
        <w:t xml:space="preserve"> rates. Among the main reasons for this decline are: increased financial buffers of SMEs due to a return to sustained profits; increased solvency ratios and liquidity and an increase in leasing as a financial instrument (DNB, 2016). The Netherlands Investm</w:t>
      </w:r>
      <w:r>
        <w:rPr>
          <w:noProof/>
        </w:rPr>
        <w:t>ent Agency (NIA) and the Netherlands Investment Institution (NLII) contribute to the improved access to finance(</w:t>
      </w:r>
      <w:r>
        <w:rPr>
          <w:noProof/>
          <w:vertAlign w:val="superscript"/>
        </w:rPr>
        <w:footnoteReference w:id="17"/>
      </w:r>
      <w:r>
        <w:rPr>
          <w:noProof/>
        </w:rPr>
        <w:t>).</w:t>
      </w:r>
    </w:p>
    <w:p w:rsidR="00DC4807" w:rsidRDefault="0005641F">
      <w:pPr>
        <w:rPr>
          <w:noProof/>
        </w:rPr>
      </w:pPr>
      <w:r>
        <w:rPr>
          <w:b/>
          <w:noProof/>
        </w:rPr>
        <w:t>New forms of finance have emerged, backed by new regulations and alternative providers for SME finance.</w:t>
      </w:r>
      <w:r>
        <w:rPr>
          <w:noProof/>
        </w:rPr>
        <w:t xml:space="preserve"> The scheme ‘New providers of SME-fin</w:t>
      </w:r>
      <w:r>
        <w:rPr>
          <w:noProof/>
        </w:rPr>
        <w:t>ance’ (</w:t>
      </w:r>
      <w:r>
        <w:rPr>
          <w:i/>
          <w:noProof/>
        </w:rPr>
        <w:t>Nieuwe aanbieders van MKB-financiering</w:t>
      </w:r>
      <w:r>
        <w:rPr>
          <w:noProof/>
        </w:rPr>
        <w:t>) marked the start of several funds which offer alternative SME finance (e.g. FundIQ and DBS2 Factoring) backed by a guarantee from the Ministry of Economic Affairs. A new scheme ‘Co-Investment Facility for Busi</w:t>
      </w:r>
      <w:r>
        <w:rPr>
          <w:noProof/>
        </w:rPr>
        <w:t>ness Angels’ (</w:t>
      </w:r>
      <w:r>
        <w:rPr>
          <w:i/>
          <w:noProof/>
        </w:rPr>
        <w:t>Co-Investeringsfaciliteit voor Business Angels</w:t>
      </w:r>
      <w:r>
        <w:rPr>
          <w:noProof/>
        </w:rPr>
        <w:t>) was launched in 2017 under the existing SEED capital scheme.</w:t>
      </w:r>
    </w:p>
    <w:p w:rsidR="00DC4807" w:rsidRDefault="0005641F">
      <w:pPr>
        <w:pStyle w:val="Heading"/>
        <w:rPr>
          <w:noProof/>
        </w:rPr>
      </w:pPr>
      <w:r>
        <w:rPr>
          <w:noProof/>
        </w:rPr>
        <w:t>4.2.3. HOUSING MARKET * (</w:t>
      </w:r>
      <w:r>
        <w:rPr>
          <w:noProof/>
          <w:vertAlign w:val="superscript"/>
        </w:rPr>
        <w:footnoteReference w:id="18"/>
      </w:r>
      <w:r>
        <w:rPr>
          <w:noProof/>
        </w:rPr>
        <w:t xml:space="preserve">) </w:t>
      </w:r>
    </w:p>
    <w:p w:rsidR="00DC4807" w:rsidRDefault="0005641F">
      <w:pPr>
        <w:rPr>
          <w:noProof/>
        </w:rPr>
      </w:pPr>
      <w:r>
        <w:rPr>
          <w:b/>
          <w:noProof/>
        </w:rPr>
        <w:t>The housing market continues to recover with increasing regional differences.</w:t>
      </w:r>
      <w:r>
        <w:rPr>
          <w:noProof/>
        </w:rPr>
        <w:t xml:space="preserve"> At the national level, hou</w:t>
      </w:r>
      <w:r>
        <w:rPr>
          <w:noProof/>
        </w:rPr>
        <w:t xml:space="preserve">se prices are gradually moving towards the pre-crisis peak in 2008 (see Graph </w:t>
      </w:r>
      <w:r>
        <w:rPr>
          <w:noProof/>
        </w:rPr>
        <w:fldChar w:fldCharType="begin"/>
      </w:r>
      <w:r>
        <w:rPr>
          <w:noProof/>
        </w:rPr>
        <w:instrText xml:space="preserve"> QUOTE "4.2.2"</w:instrText>
      </w:r>
      <w:r>
        <w:rPr>
          <w:noProof/>
        </w:rPr>
        <w:fldChar w:fldCharType="begin">
          <w:fldData xml:space="preserve">QwBSAE8AUwBTAFIARQBGAEUAUgBFAE4AQwBFACoARwBSAEEAUABIACoAZQBhADMAYgAzADAAYgAx
AC0AOQBhADcAZgAtADQANwAwADkALQBiAGQAYQA1AC0AYQA5AGYAMgA0AGIAYgAxADgAOQAxADcA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4.2.2</w:t>
      </w:r>
      <w:r>
        <w:rPr>
          <w:noProof/>
        </w:rPr>
        <w:fldChar w:fldCharType="end"/>
      </w:r>
      <w:r>
        <w:rPr>
          <w:noProof/>
        </w:rPr>
        <w:t>). At the end of 2017, the national house price index</w:t>
      </w:r>
      <w:r>
        <w:rPr>
          <w:noProof/>
        </w:rPr>
        <w:t xml:space="preserve"> is expected to have reached 94 % of the 2008 level. While annual house price growth nationally was around 6 % in 2017, it was much higher in the four largest cities: Amsterdam recorded house price growth of 13 % in 2017, Rotterdam and Utrecht 11 % and The</w:t>
      </w:r>
      <w:r>
        <w:rPr>
          <w:noProof/>
        </w:rPr>
        <w:t xml:space="preserve"> Hague 9 %. The rise in house prices in the four largest cities is not accompanied by increasing credit to households. Since 2016, credit growth in these cities has been decoupled from house price growth, falling to roughly 0 % year-on-year by the end of 2</w:t>
      </w:r>
      <w:r>
        <w:rPr>
          <w:noProof/>
        </w:rPr>
        <w:t>016, suggesting that house purchases are financed by savings rather than credit (DNB, 2017a).</w:t>
      </w:r>
    </w:p>
    <w:p w:rsidR="00DC4807" w:rsidRDefault="0005641F">
      <w:pPr>
        <w:rPr>
          <w:noProof/>
        </w:rPr>
      </w:pPr>
      <w:r>
        <w:rPr>
          <w:b/>
          <w:noProof/>
        </w:rPr>
        <w:t>House price valuation indicators nationally do not point to overvaluation</w:t>
      </w:r>
      <w:r>
        <w:rPr>
          <w:noProof/>
        </w:rPr>
        <w:t xml:space="preserve">. Long-term values of price-to-income and price-to-rent ratios are below their long-term </w:t>
      </w:r>
      <w:r>
        <w:rPr>
          <w:noProof/>
        </w:rPr>
        <w:t xml:space="preserve">averages (see Graph </w:t>
      </w:r>
      <w:r>
        <w:rPr>
          <w:noProof/>
        </w:rPr>
        <w:fldChar w:fldCharType="begin"/>
      </w:r>
      <w:r>
        <w:rPr>
          <w:noProof/>
        </w:rPr>
        <w:instrText xml:space="preserve"> QUOTE "4.2.3"</w:instrText>
      </w:r>
      <w:r>
        <w:rPr>
          <w:noProof/>
        </w:rPr>
        <w:fldChar w:fldCharType="begin">
          <w:fldData xml:space="preserve">QwBSAE8AUwBTAFIARQBGAEUAUgBFAE4AQwBFACoARwBSAEEAUABIACoAMAA3ADgAMwBjADMANgA0
AC0AZgA2ADQAOAAtADQAMQBiADIALQA5ADAAOABkAC0AMwA0AGIANABmADUAZgAyADAAOQA5ADUA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4.2.3</w:t>
      </w:r>
      <w:r>
        <w:rPr>
          <w:noProof/>
        </w:rPr>
        <w:fldChar w:fldCharType="end"/>
      </w:r>
      <w:r>
        <w:rPr>
          <w:noProof/>
        </w:rPr>
        <w:t xml:space="preserve">). Estimates suggest that house prices are broadly in line with fundamental values. Yet, for Amsterdam, recent </w:t>
      </w:r>
      <w:r>
        <w:rPr>
          <w:noProof/>
        </w:rPr>
        <w:t>research reveals that the upsurge in house prices cannot be explained by fundamental factors such as the (improved) quality of dwellings, the interest rate, income growth or rental prices (Houben, Dröes and Lamoen, 2017).</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46" w:name="_Toc507233637"/>
            <w:r>
              <w:rPr>
                <w:noProof/>
              </w:rPr>
              <w:t>Graph 4.2.2:</w:t>
            </w:r>
            <w:r>
              <w:rPr>
                <w:b/>
                <w:noProof/>
              </w:rPr>
              <w:tab/>
              <w:t>House price developme</w:t>
            </w:r>
            <w:r>
              <w:rPr>
                <w:b/>
                <w:noProof/>
              </w:rPr>
              <w:t>nts</w:t>
            </w:r>
            <w:bookmarkEnd w:id="46"/>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52C5F0B1" wp14:editId="0EAF99A9">
                  <wp:extent cx="2597595" cy="2403518"/>
                  <wp:effectExtent l="0" t="0" r="0" b="0"/>
                  <wp:docPr id="17" name="Picture 17" descr="&lt;nbr&gt;&lt;GETTEXTFROMWORD&gt;&lt;/nbr&gt;&#10;&lt;title&gt;&lt;GETTEXTFROMWORD&gt;&lt;/title&gt;&#10;&lt;id&gt;ea3b30b1-9a7f-4709-bda5-a9f24bb18917&lt;/id&gt;&#10;&lt;srcType&gt;EXCEL&lt;/srcType&gt;&#10;&lt;srcPath&gt;O:\2017 CRs\2018 European semester\19 NL\19_NL_TablesGraphesBoxes&lt;/srcPath&gt;&#10;&lt;srcName&gt;Section4_2.xlsx&lt;/srcName&gt;&#10;&lt;type&gt;graph&lt;/type&gt;&#10; &lt;srcSheet&gt;HousePricesRegion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5T16:55: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97595" cy="2403518"/>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Statistics Netherlands</w:t>
            </w:r>
          </w:p>
        </w:tc>
      </w:tr>
    </w:tbl>
    <w:p w:rsidR="00DC4807" w:rsidRDefault="0005641F">
      <w:pPr>
        <w:rPr>
          <w:noProof/>
        </w:rPr>
      </w:pPr>
      <w:r>
        <w:rPr>
          <w:b/>
          <w:noProof/>
        </w:rPr>
        <w:t>The housing market recovery is also reflected in increasing transaction volumes.</w:t>
      </w:r>
      <w:r>
        <w:rPr>
          <w:noProof/>
        </w:rPr>
        <w:t xml:space="preserve"> In Q3-2017, the number of transactions involving existing dwellings increased to the highest level recorded since 1995. In the same quarter, the total value of transactions involving existing dwellings reached a record high of EUR 16 billion, which is alm</w:t>
      </w:r>
      <w:r>
        <w:rPr>
          <w:noProof/>
        </w:rPr>
        <w:t>ost EUR 3 billion above the previous peak in Q4-2007.</w:t>
      </w:r>
    </w:p>
    <w:p w:rsidR="00DC4807" w:rsidRDefault="0005641F">
      <w:pPr>
        <w:rPr>
          <w:noProof/>
        </w:rPr>
      </w:pPr>
      <w:r>
        <w:rPr>
          <w:b/>
          <w:noProof/>
        </w:rPr>
        <w:t>The housing market recovery is likely to continue in the near future.</w:t>
      </w:r>
      <w:r>
        <w:rPr>
          <w:noProof/>
        </w:rPr>
        <w:t xml:space="preserve"> The value of building permits issued for new dwellings increased from EUR 3.4 billion in 2013 (26 000 dwellings) to EUR 6.5 billion </w:t>
      </w:r>
      <w:r>
        <w:rPr>
          <w:noProof/>
        </w:rPr>
        <w:t>in 2016 (51 000 dwellings), which is still some way below the EUR 12 bn recorded in 2007 (for 88 000 dwellings). As in the past, the majority of dwellings (around 60 %) are being built by construction companies and investors. However, the absolute number o</w:t>
      </w:r>
      <w:r>
        <w:rPr>
          <w:noProof/>
        </w:rPr>
        <w:t>f permits issued fell from 7 000 to 4 000. Housing corporations and the state greatly reduced their share in new permits, from 23 % in 2007 (3 000 permits) to 8 % in 2016 (500 permits). Individuals have considerably increased their share over time from aro</w:t>
      </w:r>
      <w:r>
        <w:rPr>
          <w:noProof/>
        </w:rPr>
        <w:t>und 19 % in 2007 to 31 % in 2016. This is mostly due to the decreasing number of permits of other builders, as their total share was around 2 000 permits in both years.</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47" w:name="_Toc507233638"/>
            <w:r>
              <w:rPr>
                <w:noProof/>
              </w:rPr>
              <w:t>Graph 4.2.3:</w:t>
            </w:r>
            <w:r>
              <w:rPr>
                <w:b/>
                <w:noProof/>
              </w:rPr>
              <w:tab/>
              <w:t>House price valuation</w:t>
            </w:r>
            <w:bookmarkEnd w:id="47"/>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01A69654" wp14:editId="6EE1D540">
                  <wp:extent cx="2597595" cy="2439552"/>
                  <wp:effectExtent l="0" t="0" r="0" b="0"/>
                  <wp:docPr id="8" name="Picture 8" descr="&lt;nbr&gt;&lt;GETTEXTFROMWORD&gt;&lt;/nbr&gt;&#10;&lt;title&gt;&lt;GETTEXTFROMWORD&gt;&lt;/title&gt;&#10;&lt;id&gt;0783c364-f648-41b2-908d-34b4f5f20995&lt;/id&gt;&#10;&lt;srcType&gt;EXCEL&lt;/srcType&gt;&#10;&lt;srcPath&gt;O:\2017 CRs\2018 European semester\19 NL\19_NL_TablesGraphesBoxes&lt;/srcPath&gt;&#10;&lt;srcName&gt;Section4_2.xlsx&lt;/srcName&gt;&#10;&lt;type&gt;graph&lt;/type&gt;&#10; &lt;srcSheet&gt;OvervaluationGap&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5T16:55: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97595" cy="2439552"/>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Footnote"/>
              <w:keepNext/>
              <w:rPr>
                <w:noProof/>
              </w:rPr>
            </w:pPr>
            <w:r>
              <w:rPr>
                <w:noProof/>
              </w:rPr>
              <w:t>Valuation gap estimated as an average of the pri</w:t>
            </w:r>
            <w:r>
              <w:rPr>
                <w:noProof/>
              </w:rPr>
              <w:t xml:space="preserve">ce/income, price/rent and fundamental model valuation gaps. Long-term values for the price-to-income and price-to-rent ratios were computed over 1995-2016. For the model based valuation gaps, a Vector Error Correction model was estimated for a panel of 21 </w:t>
            </w:r>
            <w:r>
              <w:rPr>
                <w:noProof/>
              </w:rPr>
              <w:t>EU countries, using a system of five fundamental variable:; the relative house price, total population, real housing investment, real disposable income per capita and real long-term interest rate.</w:t>
            </w:r>
          </w:p>
          <w:p w:rsidR="00DC4807" w:rsidRDefault="0005641F">
            <w:pPr>
              <w:pStyle w:val="GraphSource"/>
              <w:keepNext/>
              <w:rPr>
                <w:noProof/>
              </w:rPr>
            </w:pPr>
            <w:r>
              <w:rPr>
                <w:b/>
                <w:i/>
                <w:noProof/>
              </w:rPr>
              <w:t>Source:</w:t>
            </w:r>
            <w:r>
              <w:rPr>
                <w:noProof/>
              </w:rPr>
              <w:t xml:space="preserve"> European Commission</w:t>
            </w:r>
          </w:p>
        </w:tc>
      </w:tr>
    </w:tbl>
    <w:p w:rsidR="00DC4807" w:rsidRDefault="0005641F">
      <w:pPr>
        <w:rPr>
          <w:noProof/>
        </w:rPr>
      </w:pPr>
      <w:r>
        <w:rPr>
          <w:b/>
          <w:noProof/>
        </w:rPr>
        <w:t>The strong presence of the soc</w:t>
      </w:r>
      <w:r>
        <w:rPr>
          <w:b/>
          <w:noProof/>
        </w:rPr>
        <w:t xml:space="preserve">ial housing sector may increase the pressure on house prices. </w:t>
      </w:r>
      <w:r>
        <w:rPr>
          <w:noProof/>
        </w:rPr>
        <w:t>The social housing sector is one of the largest in the EU with a 29 % share of total dwellings nationally in 2017. This share has decreased by only 0.8 % over the past 5 years and is expected to</w:t>
      </w:r>
      <w:r>
        <w:rPr>
          <w:noProof/>
        </w:rPr>
        <w:t xml:space="preserve"> slowly decrease given that fewer construction permits have been issued for the social housing sector than for the private rental and owner-occupied sectors. In Amsterdam and Rotterdam, social housing corporations dominate the housing market with shares of</w:t>
      </w:r>
      <w:r>
        <w:rPr>
          <w:noProof/>
        </w:rPr>
        <w:t xml:space="preserve"> 42 % and 44 % respectively. An important share of the social dwellings in the Netherlands is occupied by </w:t>
      </w:r>
      <w:r>
        <w:rPr>
          <w:i/>
          <w:noProof/>
        </w:rPr>
        <w:t>'scheefhuurders'</w:t>
      </w:r>
      <w:r>
        <w:rPr>
          <w:noProof/>
        </w:rPr>
        <w:t>(</w:t>
      </w:r>
      <w:r>
        <w:rPr>
          <w:noProof/>
          <w:vertAlign w:val="superscript"/>
        </w:rPr>
        <w:footnoteReference w:id="19"/>
      </w:r>
      <w:r>
        <w:rPr>
          <w:noProof/>
        </w:rPr>
        <w:t>). Over the past years, the share of scheefhuurders (18 % of total social housing tenants) has slightly decreased but is still above</w:t>
      </w:r>
      <w:r>
        <w:rPr>
          <w:noProof/>
        </w:rPr>
        <w:t xml:space="preserve"> 400 000 nationally (WoON 2015). Because the social housing sector is so large, its inefficiencies prevent a more efficient functioning of the whole housing market putting price pressure on the remaining market segments.</w:t>
      </w:r>
    </w:p>
    <w:p w:rsidR="00DC4807" w:rsidRDefault="0005641F">
      <w:pPr>
        <w:rPr>
          <w:noProof/>
        </w:rPr>
      </w:pPr>
      <w:r>
        <w:rPr>
          <w:b/>
          <w:noProof/>
        </w:rPr>
        <w:t>The private rental market is the on</w:t>
      </w:r>
      <w:r>
        <w:rPr>
          <w:b/>
          <w:noProof/>
        </w:rPr>
        <w:t>ly non-subsidised housing sector and remains underdeveloped</w:t>
      </w:r>
      <w:r>
        <w:rPr>
          <w:noProof/>
        </w:rPr>
        <w:t>. Its share in total dwellings is advancing very slowly: only 13 % of housing units were rented out privately in 2016. Looking at the number of construction permits issued, this situation is unlike</w:t>
      </w:r>
      <w:r>
        <w:rPr>
          <w:noProof/>
        </w:rPr>
        <w:t>ly to change, as most permits are not issued for rental dwellings. The government has not announced new measures to support the provision of rental dwellings. In 2016, only 16 000 permits were issued to build rental dwellings, compared to 35 000 permits is</w:t>
      </w:r>
      <w:r>
        <w:rPr>
          <w:noProof/>
        </w:rPr>
        <w:t>sued to future homeowners. Part of the problem is that municipalities can receive a higher price for land used for building owner-occupied dwellings instead of rental flats, which is due to the subsidies in the owner-occupied market (DNB, 2017a). To increa</w:t>
      </w:r>
      <w:r>
        <w:rPr>
          <w:noProof/>
        </w:rPr>
        <w:t>se land availability for the private rental market, the Law on Spatial Planning(</w:t>
      </w:r>
      <w:r>
        <w:rPr>
          <w:noProof/>
          <w:vertAlign w:val="superscript"/>
        </w:rPr>
        <w:footnoteReference w:id="20"/>
      </w:r>
      <w:r>
        <w:rPr>
          <w:noProof/>
        </w:rPr>
        <w:t>) was amended in 2017, allowing municipalities to set aside zones specifically for building middle segment rental dwellings. While the government announced its intention to su</w:t>
      </w:r>
      <w:r>
        <w:rPr>
          <w:noProof/>
        </w:rPr>
        <w:t>pport the supply of affordable housing on the private rental market, more details on such support have not been communicated yet.</w:t>
      </w:r>
    </w:p>
    <w:p w:rsidR="00DC4807" w:rsidRDefault="0005641F">
      <w:pPr>
        <w:rPr>
          <w:noProof/>
        </w:rPr>
      </w:pPr>
      <w:r>
        <w:rPr>
          <w:b/>
          <w:noProof/>
        </w:rPr>
        <w:t>Social housing corporations increase rents hesitantly.</w:t>
      </w:r>
      <w:r>
        <w:rPr>
          <w:noProof/>
        </w:rPr>
        <w:t xml:space="preserve"> While rents in the private rental sector increased by 2.3 %, rents in t</w:t>
      </w:r>
      <w:r>
        <w:rPr>
          <w:noProof/>
        </w:rPr>
        <w:t>he social sector increased by only 1.1 % in 2017. This is less than what corporations are legally allowed to increase rents by. According to the 'rental price method'(</w:t>
      </w:r>
      <w:r>
        <w:rPr>
          <w:noProof/>
          <w:vertAlign w:val="superscript"/>
        </w:rPr>
        <w:footnoteReference w:id="21"/>
      </w:r>
      <w:r>
        <w:rPr>
          <w:noProof/>
        </w:rPr>
        <w:t>), housing corporations could have increased rents by 1.3 % in total in 2017, with maxim</w:t>
      </w:r>
      <w:r>
        <w:rPr>
          <w:noProof/>
        </w:rPr>
        <w:t>um increases of 2.8 % for lower-income tenants (with a yearly income of up to EUR 40 349) and 4.3 % for higher-income tenants. Data from 2016 shows that only 24 % of high-income households received the maximum rent increase. Excluding rent increases due to</w:t>
      </w:r>
      <w:r>
        <w:rPr>
          <w:noProof/>
        </w:rPr>
        <w:t xml:space="preserve"> new rental agreements, existing rents in the social housing sector actually increased by only 0.6 % in total in 2017 (CBS, 2016). This implies that half of the rent increase was borne by new tenants, which are typically low-income households because housi</w:t>
      </w:r>
      <w:r>
        <w:rPr>
          <w:noProof/>
        </w:rPr>
        <w:t xml:space="preserve">ng corporations have to allocate at least 80 % of dwellings to this target group. </w:t>
      </w:r>
    </w:p>
    <w:p w:rsidR="00DC4807" w:rsidRDefault="0005641F">
      <w:pPr>
        <w:rPr>
          <w:noProof/>
        </w:rPr>
      </w:pPr>
      <w:r>
        <w:rPr>
          <w:b/>
          <w:noProof/>
        </w:rPr>
        <w:t>High-income households stay in social housing.</w:t>
      </w:r>
      <w:r>
        <w:rPr>
          <w:noProof/>
        </w:rPr>
        <w:t xml:space="preserve"> Recent survey data shows that high-income households have little financial incentives to move out of their social housing: 84 </w:t>
      </w:r>
      <w:r>
        <w:rPr>
          <w:noProof/>
        </w:rPr>
        <w:t xml:space="preserve">% of tenants with an income above EUR 40 349 state that rent increases did not influence their decision to move out of social housing (ING, 2017). Most </w:t>
      </w:r>
      <w:r>
        <w:rPr>
          <w:i/>
          <w:noProof/>
        </w:rPr>
        <w:t>scheefhuurders</w:t>
      </w:r>
      <w:r>
        <w:rPr>
          <w:noProof/>
        </w:rPr>
        <w:t xml:space="preserve"> are more than 65 years old (ING, 2017) and their potential rent increase is limited by la</w:t>
      </w:r>
      <w:r>
        <w:rPr>
          <w:noProof/>
        </w:rPr>
        <w:t xml:space="preserve">w (BZK, 2017). </w:t>
      </w:r>
    </w:p>
    <w:p w:rsidR="00DC4807" w:rsidRDefault="0005641F">
      <w:pPr>
        <w:rPr>
          <w:noProof/>
        </w:rPr>
      </w:pPr>
      <w:r>
        <w:rPr>
          <w:b/>
          <w:noProof/>
        </w:rPr>
        <w:t>Social housing corporations face a trade-off when increasing rents</w:t>
      </w:r>
      <w:r>
        <w:rPr>
          <w:noProof/>
        </w:rPr>
        <w:t xml:space="preserve">. On the one hand, it is profitable for them to increase rents and with it their revenue. On the other hand, if they increase rents too much, they run the risk of seeing </w:t>
      </w:r>
      <w:r>
        <w:rPr>
          <w:noProof/>
        </w:rPr>
        <w:t>their most profitable tenants (those with high incomes) leave. Once those dwellings are vacant, the majority of those must be allocated to low-income households again. Swapping a high-income tenant for a low-income one implies that the corporation will get</w:t>
      </w:r>
      <w:r>
        <w:rPr>
          <w:noProof/>
        </w:rPr>
        <w:t xml:space="preserve"> less revenue for the same dwelling. A recent survey showed that one third of corporations do not plan on carrying out income-dependent rent increases (RIGO, 2016).</w:t>
      </w:r>
    </w:p>
    <w:p w:rsidR="00DC4807" w:rsidRDefault="0005641F">
      <w:pPr>
        <w:pStyle w:val="Heading"/>
        <w:rPr>
          <w:noProof/>
        </w:rPr>
      </w:pPr>
      <w:r>
        <w:rPr>
          <w:noProof/>
        </w:rPr>
        <w:t>4.2.4. PRIVATE DEBT *</w:t>
      </w:r>
    </w:p>
    <w:p w:rsidR="00DC4807" w:rsidRDefault="0005641F">
      <w:pPr>
        <w:rPr>
          <w:noProof/>
        </w:rPr>
      </w:pPr>
      <w:r>
        <w:rPr>
          <w:b/>
          <w:noProof/>
        </w:rPr>
        <w:t>Private debt continues to remain high in the Netherlands</w:t>
      </w:r>
      <w:r>
        <w:rPr>
          <w:noProof/>
        </w:rPr>
        <w:t>. It stood at 221.5 % of GPD in 2016, evenly split between households (mainly mortgages) and non-financial corporations (NFC). Over the past 20 years, the NFC debt-to-GDP has roughly stayed stable, whereas household debt has increased considerably from 63 </w:t>
      </w:r>
      <w:r>
        <w:rPr>
          <w:noProof/>
        </w:rPr>
        <w:t xml:space="preserve">% of GDP in 1995 to 118 % of GDP in 2009 during the house price peak, before falling to 108 % of GDP again (see Graph </w:t>
      </w:r>
      <w:r>
        <w:rPr>
          <w:noProof/>
        </w:rPr>
        <w:fldChar w:fldCharType="begin"/>
      </w:r>
      <w:r>
        <w:rPr>
          <w:noProof/>
        </w:rPr>
        <w:instrText xml:space="preserve"> QUOTE "4.2.4"</w:instrText>
      </w:r>
      <w:r>
        <w:rPr>
          <w:noProof/>
        </w:rPr>
        <w:fldChar w:fldCharType="begin">
          <w:fldData xml:space="preserve">QwBSAE8AUwBTAFIARQBGAEUAUgBFAE4AQwBFACoARwBSAEEAUABIACoANgBkAGIAYwBhAGUAZAAw
AC0AOQA1AGQAMQAtADQAMwBlADcALQA4ADAANwBhAC0AYQAyADgAOAAzAGIAMgA4ADcAOABiADkA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4.2.4</w:t>
      </w:r>
      <w:r>
        <w:rPr>
          <w:noProof/>
        </w:rPr>
        <w:fldChar w:fldCharType="end"/>
      </w:r>
      <w:r>
        <w:rPr>
          <w:noProof/>
        </w:rPr>
        <w:t>). Both house</w:t>
      </w:r>
      <w:r>
        <w:rPr>
          <w:noProof/>
        </w:rPr>
        <w:t>hold and NFC debt considerably exceed the level suggested by prudential considerations, as suggested by Commission calculations(</w:t>
      </w:r>
      <w:r>
        <w:rPr>
          <w:noProof/>
          <w:vertAlign w:val="superscript"/>
        </w:rPr>
        <w:footnoteReference w:id="22"/>
      </w:r>
      <w:r>
        <w:rPr>
          <w:noProof/>
        </w:rPr>
        <w:t>). Note, however, that corporate debt is mostly driven by multinational operations and the prevalence of cross-border intra-com</w:t>
      </w:r>
      <w:r>
        <w:rPr>
          <w:noProof/>
        </w:rPr>
        <w:t>pany loans, whereas the indebtedness of the remaining resident NFCs is in line with prudential levels.</w:t>
      </w:r>
    </w:p>
    <w:p w:rsidR="00DC4807" w:rsidRDefault="0005641F">
      <w:pPr>
        <w:rPr>
          <w:noProof/>
        </w:rPr>
      </w:pPr>
      <w:r>
        <w:rPr>
          <w:b/>
          <w:noProof/>
        </w:rPr>
        <w:t>Household debt consists mainly of mortgage loans and has been identified as an important vulnerability by the European Systemic Risk Board</w:t>
      </w:r>
      <w:r>
        <w:rPr>
          <w:noProof/>
        </w:rPr>
        <w:t xml:space="preserve"> (ESRB, 2016). </w:t>
      </w:r>
      <w:r>
        <w:rPr>
          <w:noProof/>
        </w:rPr>
        <w:t>The high level of mortgage debt is driven by strong distortions in the housing market: the generous tax treatment of owner-occupied housing, the legacy of regulation favouring high LTV ratios and interest-only loans, the inefficient and subsidised social h</w:t>
      </w:r>
      <w:r>
        <w:rPr>
          <w:noProof/>
        </w:rPr>
        <w:t>ousing sector and underdeveloped private rental market. While tax relief on mortgage interest payments is gradually being reduced (see discussion below), it will still be the highest in the EU.</w:t>
      </w:r>
    </w:p>
    <w:p w:rsidR="00DC4807" w:rsidRDefault="0005641F">
      <w:pPr>
        <w:rPr>
          <w:noProof/>
        </w:rPr>
      </w:pPr>
      <w:r>
        <w:rPr>
          <w:b/>
          <w:noProof/>
        </w:rPr>
        <w:t>Nominal household debt is rising.</w:t>
      </w:r>
      <w:r>
        <w:rPr>
          <w:noProof/>
        </w:rPr>
        <w:t xml:space="preserve"> Following the burst of the h</w:t>
      </w:r>
      <w:r>
        <w:rPr>
          <w:noProof/>
        </w:rPr>
        <w:t xml:space="preserve">ousing bubble, nominal household debt peaked at EUR 758 billion in 2012. After a small dip in the following two years, nominal debt stood at the previous peak level again in 2016. However, the household debt-to-GDP ratio has been decreasing since the 2012 </w:t>
      </w:r>
      <w:r>
        <w:rPr>
          <w:noProof/>
        </w:rPr>
        <w:t>peak, due to rising nominal GDP. While the government has implemented measures in the past – in particular the MID reduction, compulsory repayment in order to be eligible for the MID and loan-to-value and loan-to-income limits – these do not tackle the hig</w:t>
      </w:r>
      <w:r>
        <w:rPr>
          <w:noProof/>
        </w:rPr>
        <w:t xml:space="preserve">h level of debt directly and may only impact the debt level in the long run. </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48" w:name="_Toc507233639"/>
            <w:r>
              <w:rPr>
                <w:noProof/>
              </w:rPr>
              <w:t>Graph 4.2.4:</w:t>
            </w:r>
            <w:r>
              <w:rPr>
                <w:b/>
                <w:noProof/>
              </w:rPr>
              <w:tab/>
              <w:t>Private debt</w:t>
            </w:r>
            <w:bookmarkEnd w:id="48"/>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68BEF60E" wp14:editId="00F25B6B">
                  <wp:extent cx="2597595" cy="2439552"/>
                  <wp:effectExtent l="0" t="0" r="0" b="0"/>
                  <wp:docPr id="34" name="Picture 34" descr="&lt;nbr&gt;&lt;GETTEXTFROMWORD&gt;&lt;/nbr&gt;&#10;&lt;title&gt;&lt;GETTEXTFROMWORD&gt;&lt;/title&gt;&#10;&lt;id&gt;6dbcaed0-95d1-43e7-807a-a2883b2878b9&lt;/id&gt;&#10;&lt;srcType&gt;EXCEL&lt;/srcType&gt;&#10;&lt;srcPath&gt;O:\2017 CRs\2018 European semester\19 NL\19_NL_TablesGraphesBoxes&lt;/srcPath&gt;&#10;&lt;srcName&gt;Section4_2.xlsx&lt;/srcName&gt;&#10;&lt;type&gt;graph&lt;/type&gt;&#10; &lt;srcSheet&gt;PrivateDeb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5T16:55: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97595" cy="2439552"/>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Statistics Netherlands</w:t>
            </w:r>
          </w:p>
        </w:tc>
      </w:tr>
    </w:tbl>
    <w:p w:rsidR="00DC4807" w:rsidRDefault="0005641F">
      <w:pPr>
        <w:rPr>
          <w:noProof/>
        </w:rPr>
      </w:pPr>
      <w:r>
        <w:rPr>
          <w:b/>
          <w:noProof/>
        </w:rPr>
        <w:t>The number of underwater mortgages has decreased</w:t>
      </w:r>
      <w:r>
        <w:rPr>
          <w:noProof/>
        </w:rPr>
        <w:t>(</w:t>
      </w:r>
      <w:r>
        <w:rPr>
          <w:noProof/>
          <w:vertAlign w:val="superscript"/>
        </w:rPr>
        <w:footnoteReference w:id="23"/>
      </w:r>
      <w:r>
        <w:rPr>
          <w:noProof/>
        </w:rPr>
        <w:t>). The most recent loan level data from the Dutch central bank sho</w:t>
      </w:r>
      <w:r>
        <w:rPr>
          <w:noProof/>
        </w:rPr>
        <w:t>ws that the number of underwater mortgages has decreased from 36 % of total loans in Q1-2013 to 14 % in the Q2-2017. Much of this is due to the recovering housing market. Those most affected are aged 30 to 40. This group consists mainly of first-time buyer</w:t>
      </w:r>
      <w:r>
        <w:rPr>
          <w:noProof/>
        </w:rPr>
        <w:t>s who bought their homes in the years immediately before the housing market crisis. It is also the group most exposed to changes in market prices given the high loan-to-value ratio.</w:t>
      </w:r>
    </w:p>
    <w:p w:rsidR="00DC4807" w:rsidRDefault="0005641F">
      <w:pPr>
        <w:rPr>
          <w:noProof/>
        </w:rPr>
      </w:pPr>
      <w:r>
        <w:rPr>
          <w:b/>
          <w:noProof/>
        </w:rPr>
        <w:t>The loan-to-value (LTV) and loan-to-income (LTI) ratios remain high.</w:t>
      </w:r>
      <w:r>
        <w:rPr>
          <w:noProof/>
        </w:rPr>
        <w:t xml:space="preserve"> The m</w:t>
      </w:r>
      <w:r>
        <w:rPr>
          <w:noProof/>
        </w:rPr>
        <w:t>aximum LTV ratio for new mortgages has gradually been lowered to reach 100 % by 2018. While the total LTV ratio for outstanding debt was at 78 % in 2015, the 30- to 40-year-old homeowners most affected by underwater mortgages had an average LTV ratio of 11</w:t>
      </w:r>
      <w:r>
        <w:rPr>
          <w:noProof/>
        </w:rPr>
        <w:t>0 % in 2015. The LTI ratio(</w:t>
      </w:r>
      <w:r>
        <w:rPr>
          <w:noProof/>
          <w:vertAlign w:val="superscript"/>
        </w:rPr>
        <w:footnoteReference w:id="24"/>
      </w:r>
      <w:r>
        <w:rPr>
          <w:noProof/>
        </w:rPr>
        <w:t>) of that group was at 5.3, whereas the total LTI ratio stood at 4.2 in 2015.</w:t>
      </w:r>
    </w:p>
    <w:p w:rsidR="00DC4807" w:rsidRDefault="0005641F">
      <w:pPr>
        <w:rPr>
          <w:noProof/>
        </w:rPr>
      </w:pPr>
      <w:r>
        <w:rPr>
          <w:b/>
          <w:noProof/>
        </w:rPr>
        <w:t>The government announced a faster reduction of mortgage interest tax deductibility.</w:t>
      </w:r>
      <w:r>
        <w:rPr>
          <w:noProof/>
        </w:rPr>
        <w:t xml:space="preserve"> Instead of reducing the MID by 0.5 pp per year until it reaches 38</w:t>
      </w:r>
      <w:r>
        <w:rPr>
          <w:noProof/>
        </w:rPr>
        <w:t> % in 2041, it will be reduced by 3 pps from 2020 onwards, reaching 37 % in 2023. While this is a considerable increase in MID reduction, a rate of 37 % would still be the highest in the EU. In addition, this reduction will only affect taxpayers in the top</w:t>
      </w:r>
      <w:r>
        <w:rPr>
          <w:noProof/>
        </w:rPr>
        <w:t xml:space="preserve"> tax bracket; the measure will not affect those in the lowest tax brackets(</w:t>
      </w:r>
      <w:r>
        <w:rPr>
          <w:noProof/>
          <w:vertAlign w:val="superscript"/>
        </w:rPr>
        <w:footnoteReference w:id="25"/>
      </w:r>
      <w:r>
        <w:rPr>
          <w:noProof/>
        </w:rPr>
        <w:t>). A strong subsidy on debt creation therefore remains. Recent quasi-experimental research has questioned the justification of mortgage interest deduction and has shown that MID in</w:t>
      </w:r>
      <w:r>
        <w:rPr>
          <w:noProof/>
        </w:rPr>
        <w:t>duces households to become more indebted with higher MID regimes (Gruber, Jensen and Kleven, 2017). The government has also decided to phase out – over a period of 30 years starting in 2019 – the so-called Hillen Act and gradually lower the imputed rent by</w:t>
      </w:r>
      <w:r>
        <w:rPr>
          <w:noProof/>
        </w:rPr>
        <w:t xml:space="preserve"> 0.15 pp per year from the current 0.75 % to 0.6 % from 2020 onwards. Based on new rules, the tax on the notional rental value will have to be paid on the owner-occupied property for which the mortgage has been almost or fully repaid. So far, the Hillen Ac</w:t>
      </w:r>
      <w:r>
        <w:rPr>
          <w:noProof/>
        </w:rPr>
        <w:t>t allowed in such cases that the tax liability of the notional rental value be reduced to zero.</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49" w:name="_Toc507233640"/>
            <w:r>
              <w:rPr>
                <w:noProof/>
              </w:rPr>
              <w:t>Graph 4.2.5:</w:t>
            </w:r>
            <w:r>
              <w:rPr>
                <w:b/>
                <w:noProof/>
              </w:rPr>
              <w:tab/>
              <w:t>Debt of large non-financial corporations</w:t>
            </w:r>
            <w:bookmarkEnd w:id="49"/>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6CA9D3A9" wp14:editId="4A29F8A6">
                  <wp:extent cx="2597595" cy="2439552"/>
                  <wp:effectExtent l="0" t="0" r="0" b="0"/>
                  <wp:docPr id="35" name="Picture 35" descr="&lt;nbr&gt;&lt;GETTEXTFROMWORD&gt;&lt;/nbr&gt;&#10;&lt;title&gt;&lt;GETTEXTFROMWORD&gt;&lt;/title&gt;&#10;&lt;id&gt;9bbdcde3-61de-41bd-a60b-ffaf029c49b4&lt;/id&gt;&#10;&lt;srcType&gt;EXCEL&lt;/srcType&gt;&#10;&lt;srcPath&gt;O:\2017 CRs\2018 European semester\19 NL\19_NL_TablesGraphesBoxes&lt;/srcPath&gt;&#10;&lt;srcName&gt;Section4_2.xlsx&lt;/srcName&gt;&#10;&lt;type&gt;graph&lt;/type&gt;&#10; &lt;srcSheet&gt;DebtLargeNFC&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5T16:55: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97595" cy="2439552"/>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Statistics Netherlands</w:t>
            </w:r>
          </w:p>
        </w:tc>
      </w:tr>
    </w:tbl>
    <w:p w:rsidR="00DC4807" w:rsidRDefault="0005641F">
      <w:pPr>
        <w:rPr>
          <w:noProof/>
        </w:rPr>
      </w:pPr>
      <w:r>
        <w:rPr>
          <w:b/>
          <w:noProof/>
        </w:rPr>
        <w:t xml:space="preserve">The debt of non-financial corporations can largely be attributed to </w:t>
      </w:r>
      <w:r>
        <w:rPr>
          <w:b/>
          <w:noProof/>
        </w:rPr>
        <w:t>multinational enterprises (MNEs).</w:t>
      </w:r>
      <w:r>
        <w:rPr>
          <w:noProof/>
        </w:rPr>
        <w:t xml:space="preserve"> The MNE share of total NFC debt increased considerably over the years from 52 % of GDP in 2007 to 90 % in 2015, which equals 69 % of the total NFC debt stock(</w:t>
      </w:r>
      <w:r>
        <w:rPr>
          <w:noProof/>
          <w:vertAlign w:val="superscript"/>
        </w:rPr>
        <w:footnoteReference w:id="26"/>
      </w:r>
      <w:r>
        <w:rPr>
          <w:noProof/>
        </w:rPr>
        <w:t>). Part of the reason for this high MNE debt is the taxation an</w:t>
      </w:r>
      <w:r>
        <w:rPr>
          <w:noProof/>
        </w:rPr>
        <w:t>d regulatory framework, which provides incentives for large companies to settle in the Netherlands and exploit regulatory differences across borders. Several regulatory features attract MNEs to the Netherlands (e.g. the patent box regime, the absence of wi</w:t>
      </w:r>
      <w:r>
        <w:rPr>
          <w:noProof/>
        </w:rPr>
        <w:t>thholding taxes on royalties and interest or the common practice of granting advance tax rulings), although not all of them are directly linked to debt.</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50" w:name="_Toc507233641"/>
            <w:r>
              <w:rPr>
                <w:noProof/>
              </w:rPr>
              <w:t>Graph 4.2.6:</w:t>
            </w:r>
            <w:r>
              <w:rPr>
                <w:b/>
                <w:noProof/>
              </w:rPr>
              <w:tab/>
              <w:t>Intra-group-to-total debt</w:t>
            </w:r>
            <w:bookmarkEnd w:id="50"/>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4734E015" wp14:editId="52854F0F">
                  <wp:extent cx="2597595" cy="2439552"/>
                  <wp:effectExtent l="0" t="0" r="0" b="0"/>
                  <wp:docPr id="5" name="Picture 5" descr="&lt;nbr&gt;&lt;GETTEXTFROMWORD&gt;&lt;/nbr&gt;&#10;&lt;title&gt;&lt;GETTEXTFROMWORD&gt;&lt;/title&gt;&#10;&lt;id&gt;a6676c7d-9254-4b63-ab88-1ddd86a03221&lt;/id&gt;&#10;&lt;srcType&gt;EXCEL&lt;/srcType&gt;&#10;&lt;srcPath&gt;O:\2017 CRs\2018 European semester\19 NL\19_NL_TablesGraphesBoxes&lt;/srcPath&gt;&#10;&lt;srcName&gt;Section4_2.xlsx&lt;/srcName&gt;&#10;&lt;type&gt;graph&lt;/type&gt;&#10; &lt;srcSheet&gt;IntraGroupToTotal&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5T16:55: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97595" cy="2439552"/>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Statistics Netherlands</w:t>
            </w:r>
          </w:p>
        </w:tc>
      </w:tr>
    </w:tbl>
    <w:p w:rsidR="00DC4807" w:rsidRDefault="0005641F">
      <w:pPr>
        <w:rPr>
          <w:noProof/>
        </w:rPr>
      </w:pPr>
      <w:r>
        <w:rPr>
          <w:b/>
          <w:noProof/>
        </w:rPr>
        <w:t xml:space="preserve">Foreign NFCs account for at </w:t>
      </w:r>
      <w:r>
        <w:rPr>
          <w:b/>
          <w:noProof/>
        </w:rPr>
        <w:t>least 43 % of total NFC debt, which is mostly intra-group.</w:t>
      </w:r>
      <w:r>
        <w:rPr>
          <w:noProof/>
        </w:rPr>
        <w:t xml:space="preserve"> The large share of foreign NFC debt could imply the use of debt for fiscal reasons. This seems to be even more plausible given that 60 % of foreign large NFC debt was intra-group, so loans are prov</w:t>
      </w:r>
      <w:r>
        <w:rPr>
          <w:noProof/>
        </w:rPr>
        <w:t xml:space="preserve">ided across the group, mostly with interest charged (see Graph </w:t>
      </w:r>
      <w:r>
        <w:rPr>
          <w:noProof/>
        </w:rPr>
        <w:fldChar w:fldCharType="begin"/>
      </w:r>
      <w:r>
        <w:rPr>
          <w:noProof/>
        </w:rPr>
        <w:instrText xml:space="preserve"> QUOTE "4.2.6"</w:instrText>
      </w:r>
      <w:r>
        <w:rPr>
          <w:noProof/>
        </w:rPr>
        <w:fldChar w:fldCharType="begin">
          <w:fldData xml:space="preserve">QwBSAE8AUwBTAFIARQBGAEUAUgBFAE4AQwBFACoARwBSAEEAUABIACoAYQA2ADYANwA2AGMANwBk
AC0AOQAyADUANAAtADQAYgA2ADMALQBhAGIAOAA4AC0AMQBkAGQAZAA4ADYAYQAwADMAMgAyADEA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4.2.6</w:t>
      </w:r>
      <w:r>
        <w:rPr>
          <w:noProof/>
        </w:rPr>
        <w:fldChar w:fldCharType="end"/>
      </w:r>
      <w:r>
        <w:rPr>
          <w:noProof/>
        </w:rPr>
        <w:t>). The intra-group debt of domestic NFCs without international subsid</w:t>
      </w:r>
      <w:r>
        <w:rPr>
          <w:noProof/>
        </w:rPr>
        <w:t xml:space="preserve">iaries is indeed much lower (below 5 % in 2015). Intra-group debt shifting is typically used by MNEs to lower their tax burden via increased interest payments to other group companies outside the Netherlands. The data on interest paid by MNEs confirm this </w:t>
      </w:r>
      <w:r>
        <w:rPr>
          <w:noProof/>
        </w:rPr>
        <w:t xml:space="preserve">finding, as the gap between the interest paid and received by MNEs has widened substantially with the large increase in MNE debt (see Graph </w:t>
      </w:r>
      <w:r>
        <w:rPr>
          <w:noProof/>
        </w:rPr>
        <w:fldChar w:fldCharType="begin"/>
      </w:r>
      <w:r>
        <w:rPr>
          <w:noProof/>
        </w:rPr>
        <w:instrText xml:space="preserve"> QUOTE "4.2.7"</w:instrText>
      </w:r>
      <w:r>
        <w:rPr>
          <w:noProof/>
        </w:rPr>
        <w:fldChar w:fldCharType="begin">
          <w:fldData xml:space="preserve">QwBSAE8AUwBTAFIARQBGAEUAUgBFAE4AQwBFACoARwBSAEEAUABIACoAYwA5ADEAYgBlAGIAMQA0
AC0AYgAyADkAYQAtADQAZgBmADkALQBiAGYAMQAzAC0ANAA0AGYANwBlADQAOABjADUAYQA5ADkA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4.2.7</w:t>
      </w:r>
      <w:r>
        <w:rPr>
          <w:noProof/>
        </w:rPr>
        <w:fldChar w:fldCharType="end"/>
      </w:r>
      <w:r>
        <w:rPr>
          <w:noProof/>
        </w:rPr>
        <w:t>). This can also be linked to a Court of Justice of the European Union (CJEU) ruling from 2003 on the deductibility of interest on loans for foreign participations (Jansen and Ligthart, 2014). The CJEU(</w:t>
      </w:r>
      <w:r>
        <w:rPr>
          <w:noProof/>
          <w:vertAlign w:val="superscript"/>
        </w:rPr>
        <w:footnoteReference w:id="27"/>
      </w:r>
      <w:r>
        <w:rPr>
          <w:noProof/>
        </w:rPr>
        <w:t>) decided that, similar to domestic particip</w:t>
      </w:r>
      <w:r>
        <w:rPr>
          <w:noProof/>
        </w:rPr>
        <w:t>ations, interest on loans for the acquisition of foreign participations should also be tax deductible in the Netherlands. As NFC intra-group debt is most likely used for tax optimisation purposes, it does not point to an immediate macroeconomic risk.</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51" w:name="_Toc507233642"/>
            <w:r>
              <w:rPr>
                <w:noProof/>
              </w:rPr>
              <w:t>Graph</w:t>
            </w:r>
            <w:r>
              <w:rPr>
                <w:noProof/>
              </w:rPr>
              <w:t> 4.2.7:</w:t>
            </w:r>
            <w:r>
              <w:rPr>
                <w:b/>
                <w:noProof/>
              </w:rPr>
              <w:tab/>
              <w:t>Interest paid and received by multinationals</w:t>
            </w:r>
            <w:bookmarkEnd w:id="51"/>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5F36CC96" wp14:editId="54538409">
                  <wp:extent cx="2597595" cy="2439552"/>
                  <wp:effectExtent l="0" t="0" r="0" b="0"/>
                  <wp:docPr id="36" name="Picture 36" descr="&lt;nbr&gt;&lt;GETTEXTFROMWORD&gt;&lt;/nbr&gt;&#10;&lt;title&gt;&lt;GETTEXTFROMWORD&gt;&lt;/title&gt;&#10;&lt;id&gt;c91beb14-b29a-4ff9-bf13-44f7e48c5a99&lt;/id&gt;&#10;&lt;srcType&gt;EXCEL&lt;/srcType&gt;&#10;&lt;srcPath&gt;O:\2017 CRs\2018 European semester\19 NL\19_NL_TablesGraphesBoxes&lt;/srcPath&gt;&#10;&lt;srcName&gt;Section4_2.xlsx&lt;/srcName&gt;&#10;&lt;type&gt;graph&lt;/type&gt;&#10; &lt;srcSheet&gt;interest&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5T16:55: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97595" cy="2439552"/>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Statistics Netherlands</w:t>
            </w:r>
          </w:p>
        </w:tc>
      </w:tr>
    </w:tbl>
    <w:p w:rsidR="00DC4807" w:rsidRDefault="0005641F">
      <w:pPr>
        <w:pStyle w:val="Heading"/>
        <w:rPr>
          <w:noProof/>
        </w:rPr>
      </w:pPr>
      <w:r>
        <w:rPr>
          <w:noProof/>
        </w:rPr>
        <w:t>4.2.5. PENSIONS *</w:t>
      </w:r>
    </w:p>
    <w:p w:rsidR="00DC4807" w:rsidRDefault="0005641F">
      <w:pPr>
        <w:rPr>
          <w:noProof/>
        </w:rPr>
      </w:pPr>
      <w:r>
        <w:rPr>
          <w:b/>
          <w:noProof/>
        </w:rPr>
        <w:t>The three-pillar pension system scores well on pension adequacy and fiscal sustainability.</w:t>
      </w:r>
      <w:r>
        <w:rPr>
          <w:noProof/>
        </w:rPr>
        <w:t xml:space="preserve"> The first pillar is the pay-as-you-go public pension, funded by a specific premium and general income taxes. To ensure its fiscal sustainability, the statutory retirement age has been linked to life expectancy (see Section 4.1)(</w:t>
      </w:r>
      <w:r>
        <w:rPr>
          <w:noProof/>
          <w:vertAlign w:val="superscript"/>
        </w:rPr>
        <w:footnoteReference w:id="28"/>
      </w:r>
      <w:r>
        <w:rPr>
          <w:noProof/>
        </w:rPr>
        <w:t>). The second pillar is or</w:t>
      </w:r>
      <w:r>
        <w:rPr>
          <w:noProof/>
        </w:rPr>
        <w:t>ganised at the industry level and capital funded. At the request of the representative social partners in the industry participation can be made compulsory, and pension contributions and revenues depend on work experience. Although there is a shift towards</w:t>
      </w:r>
      <w:r>
        <w:rPr>
          <w:noProof/>
        </w:rPr>
        <w:t xml:space="preserve"> defined contribution schemes(</w:t>
      </w:r>
      <w:r>
        <w:rPr>
          <w:noProof/>
          <w:vertAlign w:val="superscript"/>
        </w:rPr>
        <w:footnoteReference w:id="29"/>
      </w:r>
      <w:r>
        <w:rPr>
          <w:noProof/>
        </w:rPr>
        <w:t>), some 90 % of workers still fall under a defined benefit schemes. The third pillar is formed by individual pension products, and basically only consists of a tax exemption for premiums paid on such products. The first and s</w:t>
      </w:r>
      <w:r>
        <w:rPr>
          <w:noProof/>
        </w:rPr>
        <w:t>econd pillar aim to provide a replacement rate at 75 % of the average salary at the age of retirement.</w:t>
      </w:r>
    </w:p>
    <w:p w:rsidR="00DC4807" w:rsidRDefault="0005641F">
      <w:pPr>
        <w:rPr>
          <w:noProof/>
        </w:rPr>
      </w:pPr>
      <w:r>
        <w:rPr>
          <w:b/>
          <w:noProof/>
        </w:rPr>
        <w:t>The second pillar has drawbacks in terms of coverage, transparency and flexibility over the life cycle.</w:t>
      </w:r>
      <w:r>
        <w:rPr>
          <w:noProof/>
        </w:rPr>
        <w:t xml:space="preserve"> It was developed in the mid-twentieth century and</w:t>
      </w:r>
      <w:r>
        <w:rPr>
          <w:noProof/>
        </w:rPr>
        <w:t xml:space="preserve"> is not well equipped to deal with the current structural labour market trends (individualisation, flexibility, job mobility between sectors, ageing). The government aims to modernise the pension system following the contours outlined by the Social and Eco</w:t>
      </w:r>
      <w:r>
        <w:rPr>
          <w:noProof/>
        </w:rPr>
        <w:t>nomic Council (SER). The government wishes to move, together with the social partners, towards a system that addresses the vulnerabilities while maintaining its strengths: compulsory participation, collective implementation, risk sharing and supportive tax</w:t>
      </w:r>
      <w:r>
        <w:rPr>
          <w:noProof/>
        </w:rPr>
        <w:t xml:space="preserve"> rules(</w:t>
      </w:r>
      <w:r>
        <w:rPr>
          <w:noProof/>
          <w:vertAlign w:val="superscript"/>
        </w:rPr>
        <w:footnoteReference w:id="30"/>
      </w:r>
      <w:r>
        <w:rPr>
          <w:noProof/>
        </w:rPr>
        <w:t>).</w:t>
      </w:r>
    </w:p>
    <w:p w:rsidR="00DC4807" w:rsidRDefault="0005641F">
      <w:pPr>
        <w:rPr>
          <w:noProof/>
        </w:rPr>
      </w:pPr>
      <w:r>
        <w:rPr>
          <w:b/>
          <w:noProof/>
        </w:rPr>
        <w:t>The second pension pillar is pro-cyclical and expensive when interest rates are low.</w:t>
      </w:r>
      <w:r>
        <w:rPr>
          <w:noProof/>
        </w:rPr>
        <w:t xml:space="preserve"> The past few years have exposed the vulnerabilities of the second pension pillar. Low interest rates but also population ageing and the sharp increase in life e</w:t>
      </w:r>
      <w:r>
        <w:rPr>
          <w:noProof/>
        </w:rPr>
        <w:t>xpectancy have created a situation of ‘under-coverage’ in many pension funds. To keep the system sustainable, indexation has been foregone in recent years, and pension contributions have been increased to around EUR 30 billion, almost 5 % of GDP. Nowadays,</w:t>
      </w:r>
      <w:r>
        <w:rPr>
          <w:noProof/>
        </w:rPr>
        <w:t xml:space="preserve"> salaried employees work roughly one day a week for their pension. This is an important contributor to the compulsory payment wedge, which is comparatively high in the Netherlands (see Graph 4.2.8; pension contributions explain roughly 70 % of the non-tax </w:t>
      </w:r>
      <w:r>
        <w:rPr>
          <w:noProof/>
        </w:rPr>
        <w:t xml:space="preserve">compulsory payment wedge). Total pension fund assets increased from EUR 778.5 billion in 2009 (127 % of GDP) to EUR 1 378 billion in 2016 (almost 200 % of GDP). However, overall this is still insufficient to cover the increase in liabilities. The increase </w:t>
      </w:r>
      <w:r>
        <w:rPr>
          <w:noProof/>
        </w:rPr>
        <w:t>in pension savings has weakened private consumption growth and increased the domestic savings surplus. As lower pension payouts are a last resort, the balance of risks is geared towards the active and young generations. In other words, ad hoc adjustments t</w:t>
      </w:r>
      <w:r>
        <w:rPr>
          <w:noProof/>
        </w:rPr>
        <w:t>o indexation and pension contributions have led to pro-cyclical macroeconomic shocks and could give rise to intergenerational transfers at the expense of current younger generations, i.e. they pay higher premiums for a relatively lower guaranteed pension.</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52" w:name="_Toc507233643"/>
            <w:r>
              <w:rPr>
                <w:noProof/>
              </w:rPr>
              <w:t>Graph 4.2.8:</w:t>
            </w:r>
            <w:r>
              <w:rPr>
                <w:b/>
                <w:noProof/>
              </w:rPr>
              <w:tab/>
              <w:t>Compulsory payment wedge (2016)</w:t>
            </w:r>
            <w:bookmarkEnd w:id="52"/>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22FD3C8A" wp14:editId="680849DB">
                  <wp:extent cx="2597595" cy="2451563"/>
                  <wp:effectExtent l="0" t="0" r="0" b="0"/>
                  <wp:docPr id="37" name="Picture 37" descr="&lt;nbr&gt;&lt;GETTEXTFROMWORD&gt;&lt;/nbr&gt;&#10;&lt;title&gt;&lt;GETTEXTFROMWORD&gt;&lt;/title&gt;&#10;&lt;id&gt;6ad10280-cc2a-4cc9-a6fe-619f69e3499b&lt;/id&gt;&#10;&lt;srcType&gt;EXCEL&lt;/srcType&gt;&#10;&lt;srcPath&gt;O:\2017 CRs\2018 European semester\19 NL\19_NL_TablesGraphesBoxes&lt;/srcPath&gt;&#10;&lt;srcName&gt;Section4_2.xlsx&lt;/srcName&gt;&#10;&lt;type&gt;graph&lt;/type&gt;&#10; &lt;srcSheet&gt;PaymentWedg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5T16:55: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97595" cy="2451563"/>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OECD (2017). Non-tax compulsory payments (NTCPs) as an additional burden on labour income in 2016. http://www.oecd.org/tax/tax-policy/Non-tax-compuslory-payments.pdf. The chart gives the average comp</w:t>
            </w:r>
            <w:r>
              <w:rPr>
                <w:noProof/>
              </w:rPr>
              <w:t>ulsory payment wedge and average tax wedge for single taxpayers without children at average earnings, 2016.</w:t>
            </w:r>
          </w:p>
        </w:tc>
      </w:tr>
    </w:tbl>
    <w:p w:rsidR="00DC4807" w:rsidRDefault="0005641F">
      <w:pPr>
        <w:rPr>
          <w:noProof/>
        </w:rPr>
      </w:pPr>
      <w:r>
        <w:rPr>
          <w:b/>
          <w:noProof/>
        </w:rPr>
        <w:t>Pension funds shape the country’s financial architecture.</w:t>
      </w:r>
      <w:r>
        <w:rPr>
          <w:noProof/>
        </w:rPr>
        <w:t xml:space="preserve"> Pension funds draw on domestic household savings and invest them largely overseas to bene</w:t>
      </w:r>
      <w:r>
        <w:rPr>
          <w:noProof/>
        </w:rPr>
        <w:t>fit from global diversification and respect the fiduciary objective of its participants(</w:t>
      </w:r>
      <w:r>
        <w:rPr>
          <w:noProof/>
          <w:vertAlign w:val="superscript"/>
        </w:rPr>
        <w:footnoteReference w:id="31"/>
      </w:r>
      <w:r>
        <w:rPr>
          <w:noProof/>
        </w:rPr>
        <w:t xml:space="preserve">). While this is beneficial for portfolio efficiency, questions could be asked about the impact on the domestic finance base as it may influence the relatively low </w:t>
      </w:r>
      <w:r>
        <w:rPr>
          <w:noProof/>
        </w:rPr>
        <w:t>deposit-to-total-funding ratio of banks (see Section 4.2.1). With a high compulsory payment wedge, households have difficulties putting money aside to buy a house, and by consequence, need to take up mortgage debt. Banks on the other hand are financing mor</w:t>
      </w:r>
      <w:r>
        <w:rPr>
          <w:noProof/>
        </w:rPr>
        <w:t>tgages on a large scale with money lent on international capital markets. This creates a dependence on wholesale finance and increases the vulnerability to financial turmoil. Pension funds have only recently started to invest more in the long side of the D</w:t>
      </w:r>
      <w:r>
        <w:rPr>
          <w:noProof/>
        </w:rPr>
        <w:t>utch mortgage market.</w:t>
      </w:r>
    </w:p>
    <w:p w:rsidR="00DC4807" w:rsidRDefault="0005641F">
      <w:pPr>
        <w:rPr>
          <w:noProof/>
        </w:rPr>
      </w:pPr>
      <w:r>
        <w:rPr>
          <w:b/>
          <w:noProof/>
        </w:rPr>
        <w:t>While there is general consensus on the need to reform the pension system, concrete steps are yet to be taken.</w:t>
      </w:r>
      <w:r>
        <w:rPr>
          <w:noProof/>
        </w:rPr>
        <w:t xml:space="preserve"> In recent years, a number of incremental policy measures were taken such as an increase in the retirement age, a change in </w:t>
      </w:r>
      <w:r>
        <w:rPr>
          <w:noProof/>
        </w:rPr>
        <w:t>the tax system accompanying this increase and measures in the field of financial supervision, allowing for a longer recovery period for pension funds with under-coverage. There are also initiatives to increase pension fund financing in the domestic economy</w:t>
      </w:r>
      <w:r>
        <w:rPr>
          <w:noProof/>
        </w:rPr>
        <w:t xml:space="preserve">, which would benefit economic growth in the Netherlands. However, few concrete steps have been taken to address the pro-cyclicality of the pension system. The strict promise in particular to deliver a predefined nominal benefit level carries a high cost; </w:t>
      </w:r>
      <w:r>
        <w:rPr>
          <w:noProof/>
        </w:rPr>
        <w:t>this is ultimately paid by the pension fund participants themselves and increases the amplitude of the economic cycle. The reform directions currently being discussed by the social partners have promising potential: they could lead to lower and more stable</w:t>
      </w:r>
      <w:r>
        <w:rPr>
          <w:noProof/>
        </w:rPr>
        <w:t xml:space="preserve"> pension contributions, while respecting pension adequacy. </w:t>
      </w:r>
    </w:p>
    <w:p w:rsidR="00DC4807" w:rsidRDefault="00DC4807">
      <w:pPr>
        <w:rPr>
          <w:noProof/>
        </w:rPr>
        <w:sectPr w:rsidR="00DC4807">
          <w:headerReference w:type="even" r:id="rId95"/>
          <w:headerReference w:type="default" r:id="rId96"/>
          <w:footerReference w:type="even" r:id="rId97"/>
          <w:footerReference w:type="default" r:id="rId98"/>
          <w:headerReference w:type="first" r:id="rId99"/>
          <w:footerReference w:type="first" r:id="rId10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DC4807" w:rsidRDefault="0005641F">
      <w:pPr>
        <w:pStyle w:val="SectionTitleFramed8"/>
        <w:framePr w:wrap="notBeside"/>
        <w:rPr>
          <w:noProof/>
        </w:rPr>
      </w:pPr>
      <w:bookmarkStart w:id="53" w:name="_Toc507233694"/>
      <w:r>
        <w:rPr>
          <w:noProof/>
        </w:rPr>
        <w:t>4.3.</w:t>
      </w:r>
      <w:r>
        <w:rPr>
          <w:noProof/>
        </w:rPr>
        <w:tab/>
        <w:t>Labour market, education and social policies</w:t>
      </w:r>
      <w:bookmarkEnd w:id="53"/>
    </w:p>
    <w:p w:rsidR="00DC4807" w:rsidRDefault="0005641F">
      <w:pPr>
        <w:pStyle w:val="NumberedHeading1"/>
        <w:tabs>
          <w:tab w:val="left" w:pos="567"/>
        </w:tabs>
        <w:rPr>
          <w:noProof/>
        </w:rPr>
      </w:pPr>
      <w:r>
        <w:rPr>
          <w:noProof/>
        </w:rPr>
        <w:t>4.3.1.</w:t>
      </w:r>
      <w:r>
        <w:rPr>
          <w:noProof/>
        </w:rPr>
        <w:tab/>
        <w:t>Labour Market*</w:t>
      </w:r>
    </w:p>
    <w:p w:rsidR="00DC4807" w:rsidRDefault="0005641F">
      <w:pPr>
        <w:rPr>
          <w:noProof/>
        </w:rPr>
      </w:pPr>
      <w:r>
        <w:rPr>
          <w:b/>
          <w:noProof/>
        </w:rPr>
        <w:t>Labour market recovery gained further momentum in 2017.</w:t>
      </w:r>
      <w:r>
        <w:rPr>
          <w:noProof/>
        </w:rPr>
        <w:t xml:space="preserve"> In the first half of the year, more than 9 million people were employed in the Netherlands, which is above the pre-crisis level. With 77.9 % in 2017 the Netherlands has one of the high</w:t>
      </w:r>
      <w:r>
        <w:rPr>
          <w:noProof/>
        </w:rPr>
        <w:t xml:space="preserve">est employment rates in Europe. However, the employment rate was still slightly below the pre-crisis level due to an increase in the working age population. The positive labour market developments also include a sustained decline in the unemployment rate, </w:t>
      </w:r>
      <w:r>
        <w:rPr>
          <w:noProof/>
        </w:rPr>
        <w:t>which fell to 4.9 % in 2017. This decline was also reflected in the youth and long-term unemployment rates.</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54" w:name="_Toc507233644"/>
            <w:r>
              <w:rPr>
                <w:noProof/>
              </w:rPr>
              <w:t>Graph 4.3.1:</w:t>
            </w:r>
            <w:r>
              <w:rPr>
                <w:b/>
                <w:noProof/>
              </w:rPr>
              <w:tab/>
              <w:t>Main labour market developments</w:t>
            </w:r>
            <w:bookmarkEnd w:id="54"/>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21063A97" wp14:editId="07027924">
                  <wp:extent cx="2597595" cy="2444015"/>
                  <wp:effectExtent l="0" t="0" r="0" b="0"/>
                  <wp:docPr id="10" name="Picture 10" descr="&lt;nbr&gt;&lt;GETTEXTFROMWORD&gt;&lt;/nbr&gt;&#10;&lt;title&gt;&lt;GETTEXTFROMWORD&gt;&lt;/title&gt;&#10;&lt;id&gt;9d129822-ec82-42bf-be92-79423feca8d6&lt;/id&gt;&#10;&lt;srcType&gt;EXCEL&lt;/srcType&gt;&#10;&lt;srcPath&gt;O:\2017 CRs\2018 European semester\19 NL\19_NL_TablesGraphesBoxes&lt;/srcPath&gt;&#10;&lt;srcName&gt;Section4_3.xlsx&lt;/srcName&gt;&#10;&lt;type&gt;graph&lt;/type&gt;&#10; &lt;srcSheet&gt;Labour market&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6:38:1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97595" cy="2444015"/>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(Eurostat)</w:t>
            </w:r>
          </w:p>
        </w:tc>
      </w:tr>
    </w:tbl>
    <w:p w:rsidR="00DC4807" w:rsidRDefault="0005641F">
      <w:pPr>
        <w:rPr>
          <w:noProof/>
        </w:rPr>
      </w:pPr>
      <w:r>
        <w:rPr>
          <w:b/>
          <w:noProof/>
        </w:rPr>
        <w:t xml:space="preserve">Despite low unemployment and high job vacancy rates, wage </w:t>
      </w:r>
      <w:r>
        <w:rPr>
          <w:b/>
          <w:noProof/>
        </w:rPr>
        <w:t>growth remains relatively moderate.</w:t>
      </w:r>
      <w:r>
        <w:rPr>
          <w:noProof/>
        </w:rPr>
        <w:t xml:space="preserve"> Growth of nominal compensation per employee remained subdued at 1.2 % in 2016. While accelerating to 1.7 % in 2017, it remains below the level which could be expected based on the low level of unemployment (See Graph </w:t>
      </w:r>
      <w:r>
        <w:rPr>
          <w:noProof/>
        </w:rPr>
        <w:fldChar w:fldCharType="begin"/>
      </w:r>
      <w:r>
        <w:rPr>
          <w:noProof/>
        </w:rPr>
        <w:instrText xml:space="preserve"> QU</w:instrText>
      </w:r>
      <w:r>
        <w:rPr>
          <w:noProof/>
        </w:rPr>
        <w:instrText>OTE "4.3.2"</w:instrText>
      </w:r>
      <w:r>
        <w:rPr>
          <w:noProof/>
        </w:rPr>
        <w:fldChar w:fldCharType="begin">
          <w:fldData xml:space="preserve">QwBSAE8AUwBTAFIARQBGAEUAUgBFAE4AQwBFACoARwBSAEEAUABIACoAYgBmADEAYQBiADAAZgA0
AC0AZgA0ADIAZQAtADQAYwBkAGMALQA4ADgAMQA4AC0AYwAwADIAZQA1AGMANwBkAGMAOQAzADkA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4.3.2</w:t>
      </w:r>
      <w:r>
        <w:rPr>
          <w:noProof/>
        </w:rPr>
        <w:fldChar w:fldCharType="end"/>
      </w:r>
      <w:r>
        <w:rPr>
          <w:noProof/>
        </w:rPr>
        <w:t>) and based on other fundamental drivers such as inflation and productivity (see Graph 1.5 in Section 1). Low wage growth may be furthe</w:t>
      </w:r>
      <w:r>
        <w:rPr>
          <w:noProof/>
        </w:rPr>
        <w:t>r explained by the remaining labour market slack, i.e. a measure of underutilisation of labour resources(</w:t>
      </w:r>
      <w:r>
        <w:rPr>
          <w:noProof/>
          <w:vertAlign w:val="superscript"/>
        </w:rPr>
        <w:footnoteReference w:id="32"/>
      </w:r>
      <w:r>
        <w:rPr>
          <w:noProof/>
        </w:rPr>
        <w:t>), estimated at 8.6% in Q3-2017.</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55" w:name="_Toc507233645"/>
            <w:r>
              <w:rPr>
                <w:noProof/>
              </w:rPr>
              <w:t>Graph 4.3.2:</w:t>
            </w:r>
            <w:r>
              <w:rPr>
                <w:b/>
                <w:noProof/>
              </w:rPr>
              <w:tab/>
              <w:t>Relationship between unemployment and nominal wage growth (2001-2016)</w:t>
            </w:r>
            <w:bookmarkEnd w:id="55"/>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04EE1C18" wp14:editId="3DB8792B">
                  <wp:extent cx="2597595" cy="2433902"/>
                  <wp:effectExtent l="0" t="0" r="0" b="5080"/>
                  <wp:docPr id="13" name="Picture 13" descr="&lt;nbr&gt;&lt;GETTEXTFROMWORD&gt;&lt;/nbr&gt;&#10;&lt;title&gt;&lt;GETTEXTFROMWORD&gt;&lt;/title&gt;&#10;&lt;id&gt;bf1ab0f4-f42e-4cdc-8818-c02e5c7dc939&lt;/id&gt;&#10;&lt;srcType&gt;EXCEL&lt;/srcType&gt;&#10;&lt;srcPath&gt;O:\2017 CRs\2018 European semester\19 NL\19_NL_TablesGraphesBoxes&lt;/srcPath&gt;&#10;&lt;srcName&gt;Section4_3.xlsx&lt;/srcName&gt;&#10;&lt;type&gt;graph&lt;/type&gt;&#10; &lt;srcSheet&gt;gr3_philip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6:38:1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97595" cy="2433902"/>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(E</w:t>
            </w:r>
            <w:r>
              <w:rPr>
                <w:noProof/>
              </w:rPr>
              <w:t>urostat)</w:t>
            </w:r>
          </w:p>
        </w:tc>
      </w:tr>
    </w:tbl>
    <w:p w:rsidR="00DC4807" w:rsidRDefault="0005641F">
      <w:pPr>
        <w:rPr>
          <w:noProof/>
        </w:rPr>
      </w:pPr>
      <w:r>
        <w:rPr>
          <w:b/>
          <w:noProof/>
        </w:rPr>
        <w:t>In addition to macro-economic developments and labour market slack, increased labour market segmentation may also partly explain the low wage growth</w:t>
      </w:r>
      <w:r>
        <w:rPr>
          <w:noProof/>
        </w:rPr>
        <w:t>. The proportion of temporary employees rose between 2006 and 2014 from 16 % to 17.3 %. The estima</w:t>
      </w:r>
      <w:r>
        <w:rPr>
          <w:noProof/>
        </w:rPr>
        <w:t>ted aggregate wage growth was 11 % lower due to this increase in temporary employment, since temporary employees in general receive a lower wage than permanent employees, (</w:t>
      </w:r>
      <w:r>
        <w:rPr>
          <w:noProof/>
          <w:vertAlign w:val="superscript"/>
        </w:rPr>
        <w:footnoteReference w:id="33"/>
      </w:r>
      <w:r>
        <w:rPr>
          <w:noProof/>
        </w:rPr>
        <w:t>).</w:t>
      </w:r>
    </w:p>
    <w:p w:rsidR="00DC4807" w:rsidRDefault="00DC4807">
      <w:pPr>
        <w:rPr>
          <w:b/>
          <w:noProof/>
        </w:rPr>
        <w:sectPr w:rsidR="00DC4807">
          <w:headerReference w:type="even" r:id="rId103"/>
          <w:headerReference w:type="default" r:id="rId104"/>
          <w:footerReference w:type="even" r:id="rId105"/>
          <w:footerReference w:type="default" r:id="rId106"/>
          <w:headerReference w:type="first" r:id="rId107"/>
          <w:footerReference w:type="first" r:id="rId10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DC4807">
        <w:trPr>
          <w:jc w:val="center"/>
        </w:trPr>
        <w:tc>
          <w:tcPr>
            <w:tcW w:w="8721" w:type="dxa"/>
            <w:shd w:val="clear" w:color="auto" w:fill="F7FCFF"/>
          </w:tcPr>
          <w:p w:rsidR="00DC4807" w:rsidRDefault="0005641F">
            <w:pPr>
              <w:pStyle w:val="BoxTitle"/>
              <w:pageBreakBefore/>
              <w:rPr>
                <w:b/>
                <w:noProof/>
              </w:rPr>
            </w:pPr>
            <w:bookmarkStart w:id="56" w:name="_Toc507233621"/>
            <w:r>
              <w:rPr>
                <w:i/>
                <w:noProof/>
              </w:rPr>
              <w:t>Box 4.3.</w:t>
            </w:r>
            <w:r>
              <w:rPr>
                <w:i/>
                <w:noProof/>
                <w:szCs w:val="18"/>
              </w:rPr>
              <w:t xml:space="preserve">1: </w:t>
            </w:r>
            <w:r>
              <w:rPr>
                <w:b/>
                <w:noProof/>
                <w:szCs w:val="18"/>
              </w:rPr>
              <w:t>Monitoring performance in light of the European Pillar of Social Rights</w:t>
            </w:r>
            <w:bookmarkEnd w:id="56"/>
          </w:p>
          <w:p w:rsidR="00DC4807" w:rsidRDefault="0005641F">
            <w:pPr>
              <w:autoSpaceDE w:val="0"/>
              <w:autoSpaceDN w:val="0"/>
              <w:adjustRightInd w:val="0"/>
              <w:spacing w:after="180"/>
              <w:ind w:right="6"/>
              <w:rPr>
                <w:rFonts w:eastAsia="Calibri"/>
                <w:noProof/>
                <w:sz w:val="18"/>
                <w:szCs w:val="18"/>
                <w:lang w:eastAsia="en-GB"/>
              </w:rPr>
            </w:pPr>
            <w:r>
              <w:rPr>
                <w:rFonts w:eastAsia="Calibri"/>
                <w:noProof/>
                <w:sz w:val="18"/>
                <w:szCs w:val="18"/>
                <w:lang w:eastAsia="en-GB"/>
              </w:rPr>
              <w:t xml:space="preserve">The European Pillar of Social Rights, proclaimed on 17 November 2017 by the European </w:t>
            </w:r>
            <w:r>
              <w:rPr>
                <w:rFonts w:eastAsia="Calibri"/>
                <w:noProof/>
                <w:sz w:val="18"/>
                <w:szCs w:val="18"/>
                <w:lang w:eastAsia="en-GB"/>
              </w:rPr>
              <w:t>Parliament, the Council and the European Commission, sets out 20 key principles and rights to benefit citizens in the EU. In light of the legacy of the crisis and changes in our societies driven by population ageing, technological change and new ways of wo</w:t>
            </w:r>
            <w:r>
              <w:rPr>
                <w:rFonts w:eastAsia="Calibri"/>
                <w:noProof/>
                <w:sz w:val="18"/>
                <w:szCs w:val="18"/>
                <w:lang w:eastAsia="en-GB"/>
              </w:rPr>
              <w:t>rking, the Pillar serves as a compass for a renewed process of convergence towards better working and living conditions.</w:t>
            </w:r>
          </w:p>
          <w:p w:rsidR="00DC4807" w:rsidRDefault="0005641F">
            <w:pPr>
              <w:autoSpaceDE w:val="0"/>
              <w:autoSpaceDN w:val="0"/>
              <w:adjustRightInd w:val="0"/>
              <w:spacing w:after="180"/>
              <w:ind w:right="6"/>
              <w:rPr>
                <w:rFonts w:eastAsia="Calibri"/>
                <w:noProof/>
                <w:sz w:val="18"/>
                <w:szCs w:val="18"/>
                <w:lang w:eastAsia="en-GB"/>
              </w:rPr>
            </w:pPr>
            <w:r>
              <w:rPr>
                <w:rFonts w:eastAsia="Calibri"/>
                <w:b/>
                <w:noProof/>
                <w:sz w:val="18"/>
                <w:szCs w:val="18"/>
                <w:lang w:eastAsia="en-GB"/>
              </w:rPr>
              <w:t>The Netherlands performs relatively well on the indicators of the</w:t>
            </w:r>
            <w:r>
              <w:rPr>
                <w:rFonts w:eastAsia="Calibri"/>
                <w:noProof/>
                <w:sz w:val="18"/>
                <w:szCs w:val="18"/>
                <w:lang w:eastAsia="en-GB"/>
              </w:rPr>
              <w:t xml:space="preserve"> </w:t>
            </w:r>
            <w:r>
              <w:rPr>
                <w:rFonts w:eastAsia="Calibri"/>
                <w:b/>
                <w:noProof/>
                <w:sz w:val="18"/>
                <w:szCs w:val="18"/>
                <w:lang w:eastAsia="en-GB"/>
              </w:rPr>
              <w:t>Social Scoreboard (</w:t>
            </w:r>
            <w:r>
              <w:rPr>
                <w:rFonts w:eastAsia="Calibri"/>
                <w:b/>
                <w:noProof/>
                <w:sz w:val="18"/>
                <w:szCs w:val="18"/>
                <w:vertAlign w:val="superscript"/>
              </w:rPr>
              <w:footnoteReference w:id="34"/>
            </w:r>
            <w:r>
              <w:rPr>
                <w:rFonts w:eastAsia="Calibri"/>
                <w:b/>
                <w:noProof/>
                <w:sz w:val="18"/>
                <w:szCs w:val="18"/>
                <w:lang w:eastAsia="en-GB"/>
              </w:rPr>
              <w:t>) supporting the European Pillar of Social Rights</w:t>
            </w:r>
            <w:r>
              <w:rPr>
                <w:rFonts w:eastAsia="Calibri"/>
                <w:noProof/>
                <w:sz w:val="18"/>
                <w:szCs w:val="18"/>
                <w:lang w:eastAsia="en-GB"/>
              </w:rPr>
              <w:t>. The country displays an overall good labour market and social situation. Per capita real gross disposable income of households increased in 2016 and is almost at pre-crisis levels. Income inequality is relatively low, although it increased slightly in 20</w:t>
            </w:r>
            <w:r>
              <w:rPr>
                <w:rFonts w:eastAsia="Calibri"/>
                <w:noProof/>
                <w:sz w:val="18"/>
                <w:szCs w:val="18"/>
                <w:lang w:eastAsia="en-GB"/>
              </w:rPr>
              <w:t>16. Regarding equal opportunities in the labour market and fair working conditions, the issue of labour market segmentation deserves continuing attention.</w:t>
            </w:r>
          </w:p>
          <w:p w:rsidR="00DC4807" w:rsidRDefault="0005641F">
            <w:pPr>
              <w:autoSpaceDE w:val="0"/>
              <w:autoSpaceDN w:val="0"/>
              <w:adjustRightInd w:val="0"/>
              <w:spacing w:after="180"/>
              <w:ind w:right="6"/>
              <w:rPr>
                <w:rFonts w:eastAsia="Calibri"/>
                <w:noProof/>
                <w:sz w:val="18"/>
                <w:szCs w:val="18"/>
              </w:rPr>
            </w:pPr>
            <w:r>
              <w:rPr>
                <w:rFonts w:eastAsia="Calibri"/>
                <w:noProof/>
                <w:szCs w:val="22"/>
                <w:lang w:eastAsia="en-GB"/>
              </w:rPr>
              <w:drawing>
                <wp:anchor distT="0" distB="0" distL="114300" distR="114300" simplePos="0" relativeHeight="251666432" behindDoc="0" locked="0" layoutInCell="1" allowOverlap="1" wp14:anchorId="690D4627" wp14:editId="3D4936B6">
                  <wp:simplePos x="0" y="0"/>
                  <wp:positionH relativeFrom="column">
                    <wp:posOffset>-4445</wp:posOffset>
                  </wp:positionH>
                  <wp:positionV relativeFrom="paragraph">
                    <wp:posOffset>-889635</wp:posOffset>
                  </wp:positionV>
                  <wp:extent cx="2647315" cy="4148455"/>
                  <wp:effectExtent l="0" t="0" r="635"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47315" cy="4148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bCs/>
                <w:noProof/>
                <w:sz w:val="18"/>
                <w:szCs w:val="18"/>
              </w:rPr>
              <w:t>The gender imbalance in labour market participation has been very slow to adjust under the current i</w:t>
            </w:r>
            <w:r>
              <w:rPr>
                <w:rFonts w:eastAsia="Calibri"/>
                <w:b/>
                <w:bCs/>
                <w:noProof/>
                <w:sz w:val="18"/>
                <w:szCs w:val="18"/>
              </w:rPr>
              <w:t>ncentives of the work-life balance policies.</w:t>
            </w:r>
            <w:r>
              <w:rPr>
                <w:rFonts w:eastAsia="Calibri"/>
                <w:noProof/>
                <w:sz w:val="18"/>
                <w:szCs w:val="18"/>
              </w:rPr>
              <w:t xml:space="preserve"> The gender gap in employment leads to an important gender gap in old-age pensions that raises a point of concern with respect to equal opportunities in the labour market. The high part-time employment rate of wo</w:t>
            </w:r>
            <w:r>
              <w:rPr>
                <w:rFonts w:eastAsia="Calibri"/>
                <w:noProof/>
                <w:sz w:val="18"/>
                <w:szCs w:val="18"/>
              </w:rPr>
              <w:t>men is a result of a combination of factors. One of them is the system of family-related leaves (paternity and parental leave), which does not support a gender balanced take-up of leaves, leading to an unequal sharing of caring responsibilities between mot</w:t>
            </w:r>
            <w:r>
              <w:rPr>
                <w:rFonts w:eastAsia="Calibri"/>
                <w:noProof/>
                <w:sz w:val="18"/>
                <w:szCs w:val="18"/>
              </w:rPr>
              <w:t xml:space="preserve">hers and fathers and discourages first earners, often men, from using them. </w:t>
            </w:r>
          </w:p>
          <w:p w:rsidR="00DC4807" w:rsidRDefault="0005641F">
            <w:pPr>
              <w:spacing w:after="0"/>
              <w:ind w:right="3"/>
              <w:rPr>
                <w:noProof/>
              </w:rPr>
            </w:pPr>
            <w:r>
              <w:rPr>
                <w:rFonts w:eastAsia="Calibri"/>
                <w:b/>
                <w:noProof/>
                <w:sz w:val="18"/>
                <w:szCs w:val="18"/>
              </w:rPr>
              <w:t>The rate of youth not in employment, education or training is comparatively low.</w:t>
            </w:r>
            <w:r>
              <w:rPr>
                <w:rFonts w:eastAsia="Calibri"/>
                <w:noProof/>
                <w:sz w:val="18"/>
                <w:szCs w:val="18"/>
              </w:rPr>
              <w:t xml:space="preserve"> In 2016 the Netherlands continued policy initiatives to address youth unemployment. The government</w:t>
            </w:r>
            <w:r>
              <w:rPr>
                <w:rFonts w:eastAsia="Calibri"/>
                <w:noProof/>
                <w:sz w:val="18"/>
                <w:szCs w:val="18"/>
              </w:rPr>
              <w:t xml:space="preserve"> implements the so called 'City Deal Aanpak Jeugdwerkloosheid', a policy programme and partnership between 7 cities and schools (secondary and tertiary), researchers, employers and intermediaries. The focus is to identify solutions for (migrant) youth in d</w:t>
            </w:r>
            <w:r>
              <w:rPr>
                <w:rFonts w:eastAsia="Calibri"/>
                <w:noProof/>
                <w:sz w:val="18"/>
                <w:szCs w:val="18"/>
              </w:rPr>
              <w:t>isadvantaged neighbourhoods to improve their preparation for a better transition to work by focusing on career guidance at their school. Within the programme 'Matchen op Werk' the Dutch government invests together with municipalities, Public Employment Ser</w:t>
            </w:r>
            <w:r>
              <w:rPr>
                <w:rFonts w:eastAsia="Calibri"/>
                <w:noProof/>
                <w:sz w:val="18"/>
                <w:szCs w:val="18"/>
              </w:rPr>
              <w:t>vices (UWV) and their partners in sustainable work opportunities for youth. Together they aim at improving services for employers - the key partners in tackling youth unemployment - and improving access to job openings.</w:t>
            </w:r>
          </w:p>
        </w:tc>
      </w:tr>
    </w:tbl>
    <w:p w:rsidR="00DC4807" w:rsidRDefault="00DC4807">
      <w:pPr>
        <w:spacing w:after="0" w:line="20" w:lineRule="exact"/>
        <w:rPr>
          <w:b/>
          <w:noProof/>
          <w:sz w:val="2"/>
        </w:rPr>
        <w:sectPr w:rsidR="00DC4807">
          <w:headerReference w:type="even" r:id="rId110"/>
          <w:headerReference w:type="default" r:id="rId111"/>
          <w:footerReference w:type="even" r:id="rId112"/>
          <w:footerReference w:type="default" r:id="rId113"/>
          <w:headerReference w:type="first" r:id="rId114"/>
          <w:footerReference w:type="first" r:id="rId115"/>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DC4807" w:rsidRDefault="0005641F">
      <w:pPr>
        <w:keepNext/>
        <w:rPr>
          <w:noProof/>
        </w:rPr>
      </w:pPr>
      <w:r>
        <w:rPr>
          <w:b/>
          <w:noProof/>
        </w:rPr>
        <w:t xml:space="preserve">While in the past years trade unions have foregone wage demands in exchange for employment protection, wage demands are far higher for 2018. </w:t>
      </w:r>
      <w:r>
        <w:rPr>
          <w:noProof/>
        </w:rPr>
        <w:t>The Netherlands Trade Union Confederation (FNV), the Dutch largest trade union, has called for a minimum wage incre</w:t>
      </w:r>
      <w:r>
        <w:rPr>
          <w:noProof/>
        </w:rPr>
        <w:t xml:space="preserve">ase of 3.5 % in nominal terms in 2018, with up to 5 % for low earners. This contrasts with the wage demands in the past years which were more moderate and when the main objective was to preserve employment and reduce the share of temporary employment. The </w:t>
      </w:r>
      <w:r>
        <w:rPr>
          <w:noProof/>
        </w:rPr>
        <w:t xml:space="preserve">actual outcome remains to be seen. </w:t>
      </w:r>
    </w:p>
    <w:p w:rsidR="00DC4807" w:rsidRDefault="0005641F">
      <w:pPr>
        <w:pStyle w:val="Heading"/>
        <w:rPr>
          <w:rFonts w:ascii="Times New Roman" w:hAnsi="Times New Roman"/>
          <w:noProof/>
          <w:sz w:val="20"/>
          <w:szCs w:val="20"/>
        </w:rPr>
      </w:pPr>
      <w:r>
        <w:rPr>
          <w:rFonts w:ascii="Times New Roman" w:hAnsi="Times New Roman"/>
          <w:noProof/>
          <w:sz w:val="20"/>
          <w:szCs w:val="20"/>
        </w:rPr>
        <w:t xml:space="preserve">Female labour market participation </w:t>
      </w:r>
    </w:p>
    <w:p w:rsidR="00DC4807" w:rsidRDefault="0005641F">
      <w:pPr>
        <w:keepNext/>
        <w:rPr>
          <w:noProof/>
        </w:rPr>
      </w:pPr>
      <w:r>
        <w:rPr>
          <w:b/>
          <w:noProof/>
        </w:rPr>
        <w:t>Despite the labour market performing well, there is still untapped labour potential.</w:t>
      </w:r>
      <w:r>
        <w:rPr>
          <w:noProof/>
        </w:rPr>
        <w:t xml:space="preserve"> While the employment rate of women is high (71.6 % in 2016)</w:t>
      </w:r>
      <w:r>
        <w:rPr>
          <w:b/>
          <w:noProof/>
        </w:rPr>
        <w:t>,</w:t>
      </w:r>
      <w:r>
        <w:rPr>
          <w:noProof/>
        </w:rPr>
        <w:t xml:space="preserve"> almost three out of four women (74.8 %</w:t>
      </w:r>
      <w:r>
        <w:rPr>
          <w:noProof/>
        </w:rPr>
        <w:t>) work in part-time. As a result, the full-time equivalent employment rate of women is much lower (48.9 %) and the gender gap in full-time equivalents is one of the highest in the EU (27.2 pps). The share of part-time employment rate is particularly high a</w:t>
      </w:r>
      <w:r>
        <w:rPr>
          <w:noProof/>
        </w:rPr>
        <w:t xml:space="preserve">mong women with caring responsibilities (see Graph </w:t>
      </w:r>
      <w:r>
        <w:rPr>
          <w:noProof/>
        </w:rPr>
        <w:fldChar w:fldCharType="begin"/>
      </w:r>
      <w:r>
        <w:rPr>
          <w:noProof/>
        </w:rPr>
        <w:instrText xml:space="preserve"> QUOTE "4.3.3"</w:instrText>
      </w:r>
      <w:r>
        <w:rPr>
          <w:noProof/>
        </w:rPr>
        <w:fldChar w:fldCharType="begin">
          <w:fldData xml:space="preserve">QwBSAE8AUwBTAFIARQBGAEUAUgBFAE4AQwBFACoARwBSAEEAUABIACoAZAA3AGEAYwBlADMAYwBj
AC0AYQBkADIAYQAtADQAYgAwADMALQA4AGEANAAyAC0AMQBmADQANABiADAAOAA4ADIAZQAyADkA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4.3.3</w:t>
      </w:r>
      <w:r>
        <w:rPr>
          <w:noProof/>
        </w:rPr>
        <w:fldChar w:fldCharType="end"/>
      </w:r>
      <w:r>
        <w:rPr>
          <w:noProof/>
        </w:rPr>
        <w:t>): in 2016, 86 % of the women with at least one child under 14 years worked part-</w:t>
      </w:r>
      <w:r>
        <w:rPr>
          <w:noProof/>
        </w:rPr>
        <w:t>time, while 51 % of women without children did. However, in recent years the part-time employment rate for women with children has fallen and the hours worked part-time have increased, while there is no similar trend visible for women without children (see</w:t>
      </w:r>
      <w:r>
        <w:rPr>
          <w:noProof/>
        </w:rPr>
        <w:t xml:space="preserve"> Graph </w:t>
      </w:r>
      <w:r>
        <w:rPr>
          <w:noProof/>
        </w:rPr>
        <w:fldChar w:fldCharType="begin"/>
      </w:r>
      <w:r>
        <w:rPr>
          <w:noProof/>
        </w:rPr>
        <w:instrText xml:space="preserve"> QUOTE "4.3.4"</w:instrText>
      </w:r>
      <w:r>
        <w:rPr>
          <w:noProof/>
        </w:rPr>
        <w:fldChar w:fldCharType="begin">
          <w:fldData xml:space="preserve">QwBSAE8AUwBTAFIARQBGAEUAUgBFAE4AQwBFACoARwBSAEEAUABIACoAYQBjADQAYgA2AGEAOQAz
AC0AYgA0ADkAMQAtADQAMAAxADQALQBhAGYANwA1AC0ANAAxADIAYgBkADMAMgAzAGIAZgBiADUA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4.3.4</w:t>
      </w:r>
      <w:r>
        <w:rPr>
          <w:noProof/>
        </w:rPr>
        <w:fldChar w:fldCharType="end"/>
      </w:r>
      <w:r>
        <w:rPr>
          <w:noProof/>
        </w:rPr>
        <w:t>). Having children did not have a major effect on the proportion of men working on a part-time basis. However, it is worth no</w:t>
      </w:r>
      <w:r>
        <w:rPr>
          <w:noProof/>
        </w:rPr>
        <w:t>ting that the part-time employment rate for men is well above the EU average and that of neighbouring countries. Differences in work intensity result in a large earnings gap (47.5 % in 2014) and later in life in a large gender pension gap later in life (42</w:t>
      </w:r>
      <w:r>
        <w:rPr>
          <w:noProof/>
        </w:rPr>
        <w:t>.5 % in 2016)</w:t>
      </w:r>
    </w:p>
    <w:p w:rsidR="00DC4807" w:rsidRDefault="0005641F">
      <w:pPr>
        <w:keepNext/>
        <w:rPr>
          <w:noProof/>
        </w:rPr>
      </w:pPr>
      <w:r>
        <w:rPr>
          <w:b/>
          <w:noProof/>
        </w:rPr>
        <w:t>Historically speaking, part-time employment of women has always been high in the Netherlands and may therefore be slow to adjust.</w:t>
      </w:r>
      <w:r>
        <w:rPr>
          <w:noProof/>
        </w:rPr>
        <w:t xml:space="preserve"> The high share of part-time employment rate is a result of a combination of multiple factors and institutional d</w:t>
      </w:r>
      <w:r>
        <w:rPr>
          <w:noProof/>
        </w:rPr>
        <w:t>rivers, such as the design of family-related leaves, as well as intermediate cost and availability of full-time childcare and after school care (Portegijs et al., 2008; Task Force Part-time Plus, 2010).</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57" w:name="_Toc507233646"/>
            <w:r>
              <w:rPr>
                <w:noProof/>
              </w:rPr>
              <w:t>Graph 4.3.3:</w:t>
            </w:r>
            <w:r>
              <w:rPr>
                <w:b/>
                <w:noProof/>
              </w:rPr>
              <w:tab/>
              <w:t>Share of part-time work with and without</w:t>
            </w:r>
            <w:r>
              <w:rPr>
                <w:b/>
                <w:noProof/>
              </w:rPr>
              <w:t xml:space="preserve"> children (2016)</w:t>
            </w:r>
            <w:bookmarkEnd w:id="57"/>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3CC4B737" wp14:editId="61B57D50">
                  <wp:extent cx="2597595" cy="2433902"/>
                  <wp:effectExtent l="0" t="0" r="0" b="0"/>
                  <wp:docPr id="20" name="Picture 20" descr="&lt;nbr&gt;&lt;GETTEXTFROMWORD&gt;&lt;/nbr&gt;&#10;&lt;title&gt;&lt;GETTEXTFROMWORD&gt;&lt;/title&gt;&#10;&lt;id&gt;d7ace3cc-ad2a-4b03-8a42-1f44b0882e29&lt;/id&gt;&#10;&lt;srcType&gt;EXCEL&lt;/srcType&gt;&#10;&lt;srcPath&gt;O:\2017 CRs\2018 European semester\19 NL\19_NL_TablesGraphesBoxes&lt;/srcPath&gt;&#10;&lt;srcName&gt;Section4_3.xlsx&lt;/srcName&gt;&#10;&lt;type&gt;graph&lt;/type&gt;&#10; &lt;srcSheet&gt;gr5_female Male P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6:38:1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97595" cy="2433902"/>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Footnote"/>
              <w:keepNext/>
              <w:rPr>
                <w:noProof/>
              </w:rPr>
            </w:pPr>
            <w:r>
              <w:rPr>
                <w:noProof/>
              </w:rPr>
              <w:t>(1) The Graph represents the share of part-time employment of women and men (aged 30-45) dependent on the presence of children under the age of 14 in the household.</w:t>
            </w:r>
          </w:p>
          <w:p w:rsidR="00DC4807" w:rsidRDefault="0005641F">
            <w:pPr>
              <w:pStyle w:val="GraphSource"/>
              <w:keepNext/>
              <w:rPr>
                <w:noProof/>
                <w:lang w:val="fr-BE"/>
              </w:rPr>
            </w:pPr>
            <w:r>
              <w:rPr>
                <w:b/>
                <w:i/>
                <w:noProof/>
                <w:lang w:val="fr-BE"/>
              </w:rPr>
              <w:t>Source:</w:t>
            </w:r>
            <w:r>
              <w:rPr>
                <w:noProof/>
                <w:lang w:val="fr-BE"/>
              </w:rPr>
              <w:t xml:space="preserve"> European Commission (Eurostat, Labour Force Survey)</w:t>
            </w:r>
          </w:p>
        </w:tc>
      </w:tr>
    </w:tbl>
    <w:p w:rsidR="00DC4807" w:rsidRDefault="00DC4807">
      <w:pPr>
        <w:pStyle w:val="MultipageDelimiter"/>
        <w:rPr>
          <w:noProof/>
          <w:lang w:val="fr-BE"/>
        </w:rPr>
      </w:pP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58" w:name="_Toc507233647"/>
            <w:r>
              <w:rPr>
                <w:noProof/>
              </w:rPr>
              <w:t>Graph 4.3.4:</w:t>
            </w:r>
            <w:r>
              <w:rPr>
                <w:b/>
                <w:noProof/>
              </w:rPr>
              <w:tab/>
              <w:t>Female labour market participation (with child)</w:t>
            </w:r>
            <w:bookmarkEnd w:id="58"/>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0A955915" wp14:editId="1E872724">
                  <wp:extent cx="2597595" cy="2433902"/>
                  <wp:effectExtent l="0" t="0" r="0" b="5080"/>
                  <wp:docPr id="21" name="Picture 21" descr="&lt;nbr&gt;&lt;GETTEXTFROMWORD&gt;&lt;/nbr&gt;&#10;&lt;title&gt;&lt;GETTEXTFROMWORD&gt;&lt;/title&gt;&#10;&lt;id&gt;ac4b6a93-b491-4014-af75-412bd323bfb5&lt;/id&gt;&#10;&lt;srcType&gt;EXCEL&lt;/srcType&gt;&#10;&lt;srcPath&gt;O:\2017 CRs\2018 European semester\19 NL\19_NL_TablesGraphesBoxes&lt;/srcPath&gt;&#10;&lt;srcName&gt;Section4_3.xlsx&lt;/srcName&gt;&#10;&lt;type&gt;graph&lt;/type&gt;&#10; &lt;srcSheet&gt;gr6_Female PT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6:38:1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97595" cy="2433902"/>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(Eurostat)</w:t>
            </w:r>
          </w:p>
        </w:tc>
      </w:tr>
    </w:tbl>
    <w:p w:rsidR="00DC4807" w:rsidRDefault="0005641F">
      <w:pPr>
        <w:rPr>
          <w:noProof/>
        </w:rPr>
      </w:pPr>
      <w:r>
        <w:rPr>
          <w:noProof/>
        </w:rPr>
        <w:t>These may affect the (unequal) sharing of caring responsibilities between men and women. At the same time, research suggests that the way in which work</w:t>
      </w:r>
      <w:r>
        <w:rPr>
          <w:noProof/>
        </w:rPr>
        <w:t xml:space="preserve">-life balance policies are designed and the incentives that they induce could have an impact on the choices made and therefore on the employment outcomes of women (OECD, 2017d; Eurofound, 2017b). In particular, the fact that parental leave is often unpaid </w:t>
      </w:r>
      <w:r>
        <w:rPr>
          <w:noProof/>
        </w:rPr>
        <w:t xml:space="preserve">discourages main earners (often men) from using it; it therefore strengthens the role of women as primary carers for their children. The fact that only 2 days of paid paternity leave are offered to men may also be acting as a brake on the equal sharing of </w:t>
      </w:r>
      <w:r>
        <w:rPr>
          <w:noProof/>
        </w:rPr>
        <w:t>childcare responsibilities. In this respect, the new government agreement proposes increasing paternity leave from 2 to 5 days in 2019. This is to be extended as of 1 July 2020 by 5 weeks of additional leave, to be taken within the first 6 months of the bi</w:t>
      </w:r>
      <w:r>
        <w:rPr>
          <w:noProof/>
        </w:rPr>
        <w:t>rth.</w:t>
      </w:r>
    </w:p>
    <w:p w:rsidR="00DC4807" w:rsidRDefault="0005641F">
      <w:pPr>
        <w:pStyle w:val="Heading"/>
        <w:rPr>
          <w:noProof/>
        </w:rPr>
      </w:pPr>
      <w:r>
        <w:rPr>
          <w:noProof/>
        </w:rPr>
        <w:t>Labour market integration of migrants</w:t>
      </w:r>
    </w:p>
    <w:p w:rsidR="00DC4807" w:rsidRDefault="0005641F">
      <w:pPr>
        <w:rPr>
          <w:noProof/>
        </w:rPr>
      </w:pPr>
      <w:r>
        <w:rPr>
          <w:b/>
          <w:noProof/>
        </w:rPr>
        <w:t>While the overall participation rate is very high, people with a migrant background are lagging behind in employment.</w:t>
      </w:r>
      <w:r>
        <w:rPr>
          <w:noProof/>
        </w:rPr>
        <w:t xml:space="preserve"> The situation of those born outside the EU remains a key issue in particular. The employment ra</w:t>
      </w:r>
      <w:r>
        <w:rPr>
          <w:noProof/>
        </w:rPr>
        <w:t>te of non-EU-born migrants stood at 58.9 % in 2016 and is 20.6 percentage points (pps) lower than for natives, a slight increase compared to 2015 (20.2 pps). The gap is larger for non-EU-born women (23.4 pps lower than native-born women) due to very high i</w:t>
      </w:r>
      <w:r>
        <w:rPr>
          <w:noProof/>
        </w:rPr>
        <w:t xml:space="preserve">nactivity rates among them. Non-EU-born migrants also face a higher unemployment rate (12.1 %) than those born in the Netherlands (5.4 %), in particular those aged 15-24. Differences in labour market outcomes for non-EU-born migrants can be explained only </w:t>
      </w:r>
      <w:r>
        <w:rPr>
          <w:noProof/>
        </w:rPr>
        <w:t>partially by differences in age and educational achievement. This suggests that other factors such as lack of recognition of qualifications, language skills, limited professional networks or discrimination may play a role (EC, 2017b).</w:t>
      </w:r>
    </w:p>
    <w:p w:rsidR="00DC4807" w:rsidRDefault="0005641F">
      <w:pPr>
        <w:rPr>
          <w:noProof/>
        </w:rPr>
      </w:pPr>
      <w:r>
        <w:rPr>
          <w:b/>
          <w:noProof/>
        </w:rPr>
        <w:t>The labour market out</w:t>
      </w:r>
      <w:r>
        <w:rPr>
          <w:b/>
          <w:noProof/>
        </w:rPr>
        <w:t>comes of the ‘second-generation’ (i.e. native-born residents with a migrant background) are also unfavourable, even though they were born and educated in the Netherlands.</w:t>
      </w:r>
      <w:r>
        <w:rPr>
          <w:noProof/>
        </w:rPr>
        <w:t xml:space="preserve"> Looking at data recently published by Statistics Netherlands(</w:t>
      </w:r>
      <w:r>
        <w:rPr>
          <w:noProof/>
          <w:vertAlign w:val="superscript"/>
        </w:rPr>
        <w:footnoteReference w:id="35"/>
      </w:r>
      <w:r>
        <w:rPr>
          <w:noProof/>
        </w:rPr>
        <w:t xml:space="preserve">), the employment rate </w:t>
      </w:r>
      <w:r>
        <w:rPr>
          <w:noProof/>
        </w:rPr>
        <w:t>of native-born residents with a migrant background from ‘non-Western’ countries(</w:t>
      </w:r>
      <w:r>
        <w:rPr>
          <w:noProof/>
          <w:vertAlign w:val="superscript"/>
        </w:rPr>
        <w:footnoteReference w:id="36"/>
      </w:r>
      <w:r>
        <w:rPr>
          <w:noProof/>
        </w:rPr>
        <w:t xml:space="preserve">) aged 15-74 was around 60.1 % in 2016, well below the average for those without a migrant background (67.4 %) (CBS, 2017a, Table Arbeidsparticipatie). However, it was higher </w:t>
      </w:r>
      <w:r>
        <w:rPr>
          <w:noProof/>
        </w:rPr>
        <w:t>than for first-generation immigrants from ‘non-Western countries’ (54.2 %) largely because of much higher unemployment. Moreover, even after adjusting for skills (literacy score), age, gender and education level (OECD, 2014, Table A.7), native-born childre</w:t>
      </w:r>
      <w:r>
        <w:rPr>
          <w:noProof/>
        </w:rPr>
        <w:t>n of two immigrant parents had a lower probability of being employed (19.4 pps) in 2012 than native-born children of two native-born parents.</w:t>
      </w:r>
    </w:p>
    <w:p w:rsidR="00DC4807" w:rsidRDefault="0005641F">
      <w:pPr>
        <w:rPr>
          <w:noProof/>
        </w:rPr>
      </w:pPr>
      <w:r>
        <w:rPr>
          <w:b/>
          <w:noProof/>
        </w:rPr>
        <w:t>There is scope to strengthen integration programmes.</w:t>
      </w:r>
      <w:r>
        <w:rPr>
          <w:noProof/>
        </w:rPr>
        <w:t xml:space="preserve"> The efficiency of the (2012-2014) reform of the integration p</w:t>
      </w:r>
      <w:r>
        <w:rPr>
          <w:noProof/>
        </w:rPr>
        <w:t>olicy for immigrants can be questioned. It obliges them to learn Dutch and take a civic integration test, while putting most of the responsibilities of integration — in particular language learning (including the financial burden) — on immigrants (see Alge</w:t>
      </w:r>
      <w:r>
        <w:rPr>
          <w:noProof/>
        </w:rPr>
        <w:t>mene Rekenkamer, 2017). The low success rate in language tests and the quality of integration courses are also issues of concern. The new coalition plans to increase public funding on language courses (‘from day 1’) while increasing the level of language p</w:t>
      </w:r>
      <w:r>
        <w:rPr>
          <w:noProof/>
        </w:rPr>
        <w:t>roficiency required. While the current re-evaluation of the integration policy seems necessary, it is unclear whether it will sufficiently address the integration needs of newcomers on the labour market.</w:t>
      </w:r>
    </w:p>
    <w:p w:rsidR="00DC4807" w:rsidRDefault="0005641F">
      <w:pPr>
        <w:pStyle w:val="Heading"/>
        <w:rPr>
          <w:noProof/>
        </w:rPr>
      </w:pPr>
      <w:r>
        <w:rPr>
          <w:noProof/>
        </w:rPr>
        <w:t>Segmentation*</w:t>
      </w:r>
    </w:p>
    <w:p w:rsidR="00DC4807" w:rsidRDefault="0005641F">
      <w:pPr>
        <w:rPr>
          <w:noProof/>
        </w:rPr>
      </w:pPr>
      <w:r>
        <w:rPr>
          <w:b/>
          <w:noProof/>
        </w:rPr>
        <w:t>Flexible employment constitutes a rela</w:t>
      </w:r>
      <w:r>
        <w:rPr>
          <w:b/>
          <w:noProof/>
        </w:rPr>
        <w:t>tively large and growing share of the labour market.</w:t>
      </w:r>
      <w:r>
        <w:rPr>
          <w:noProof/>
        </w:rPr>
        <w:t xml:space="preserve"> Both temporary employment as well as self-employment without employees increased considerably in the last 10 years in the Netherlands (see Graph </w:t>
      </w:r>
      <w:r>
        <w:rPr>
          <w:noProof/>
        </w:rPr>
        <w:fldChar w:fldCharType="begin"/>
      </w:r>
      <w:r>
        <w:rPr>
          <w:noProof/>
        </w:rPr>
        <w:instrText xml:space="preserve"> QUOTE "4.3.5"</w:instrText>
      </w:r>
      <w:r>
        <w:rPr>
          <w:noProof/>
        </w:rPr>
        <w:fldChar w:fldCharType="begin">
          <w:fldData xml:space="preserve">QwBSAE8AUwBTAFIARQBGAEUAUgBFAE4AQwBFACoARwBSAEEAUABIACoANgBiAGEANQAwAGQAYQBh
AC0AMAAxADcAMgAtADQAOABjADgALQA5AGQAZgAyAC0AMABjADUAZgBiAGYAYwA0AGUANwBiADIA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4.3.5</w:t>
      </w:r>
      <w:r>
        <w:rPr>
          <w:noProof/>
        </w:rPr>
        <w:fldChar w:fldCharType="end"/>
      </w:r>
      <w:r>
        <w:rPr>
          <w:noProof/>
        </w:rPr>
        <w:t xml:space="preserve">). Changes in industrial production — with employment shifting towards sectors that are more prone to self-employment or temporary employment — only partly explain the recent shift towards </w:t>
      </w:r>
      <w:r>
        <w:rPr>
          <w:noProof/>
        </w:rPr>
        <w:t>more flexible employment. This situation is also affected by distinct institutional factors, including favourable tax treatment (for the self-employed without employees) and differences in social security legislation as well as large differences in applica</w:t>
      </w:r>
      <w:r>
        <w:rPr>
          <w:noProof/>
        </w:rPr>
        <w:t>ble labour regulations and labour protection rules for permanent and temporary contracts (EC, 2017b, p. 30; EC, 2016a, pp. 46-49).</w:t>
      </w:r>
    </w:p>
    <w:p w:rsidR="00DC4807" w:rsidRDefault="0005641F">
      <w:pPr>
        <w:rPr>
          <w:noProof/>
        </w:rPr>
      </w:pPr>
      <w:r>
        <w:rPr>
          <w:b/>
          <w:noProof/>
        </w:rPr>
        <w:t>The recent upsurge in job creation is mainly down to temporary employment and self-employment.</w:t>
      </w:r>
      <w:r>
        <w:rPr>
          <w:noProof/>
        </w:rPr>
        <w:t xml:space="preserve"> This trend suggests a further increase in the flexibility of the Dutch labour market. Despite the 2015 reforms (see below), the proportion of temporary employees (aged 20-64) continued to increase, reaching 18.4 % in Q3-2017 (EU average: 13.7 %). The prop</w:t>
      </w:r>
      <w:r>
        <w:rPr>
          <w:noProof/>
        </w:rPr>
        <w:t xml:space="preserve">ortion of self-employed without employees in total employment was 12.1 % in Q3-2017 (EU average: 9.9 %). The group of self-employed without employees is highly diverse, and self-employment without employees has increased across all sectors (see Graph </w:t>
      </w:r>
      <w:r>
        <w:rPr>
          <w:noProof/>
        </w:rPr>
        <w:fldChar w:fldCharType="begin"/>
      </w:r>
      <w:r>
        <w:rPr>
          <w:noProof/>
        </w:rPr>
        <w:instrText xml:space="preserve"> QUOT</w:instrText>
      </w:r>
      <w:r>
        <w:rPr>
          <w:noProof/>
        </w:rPr>
        <w:instrText>E "4.3.6"</w:instrText>
      </w:r>
      <w:r>
        <w:rPr>
          <w:noProof/>
        </w:rPr>
        <w:fldChar w:fldCharType="begin">
          <w:fldData xml:space="preserve">QwBSAE8AUwBTAFIARQBGAEUAUgBFAE4AQwBFACoARwBSAEEAUABIACoANQBjAGIAYwA5ADQAZgAz
AC0ANwA0AGIANgAtADQANwBjAGYALQBhADMAZAA4AC0AYwA5AGUAYQBjAGYANgA4AGMAZQBmAGEA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4.3.6</w:t>
      </w:r>
      <w:r>
        <w:rPr>
          <w:noProof/>
        </w:rPr>
        <w:fldChar w:fldCharType="end"/>
      </w:r>
      <w:r>
        <w:rPr>
          <w:noProof/>
        </w:rPr>
        <w:t>) and age groups.</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59" w:name="_Toc507233648"/>
            <w:r>
              <w:rPr>
                <w:noProof/>
              </w:rPr>
              <w:t>Graph 4.3.5:</w:t>
            </w:r>
            <w:r>
              <w:rPr>
                <w:b/>
                <w:noProof/>
              </w:rPr>
              <w:tab/>
              <w:t>Employment (20-64 year) by type (y-o-y changes)</w:t>
            </w:r>
            <w:bookmarkEnd w:id="59"/>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41F53F82" wp14:editId="7892373D">
                  <wp:extent cx="2597595" cy="2439916"/>
                  <wp:effectExtent l="0" t="0" r="0" b="0"/>
                  <wp:docPr id="22" name="Picture 22" descr="&lt;nbr&gt;&lt;GETTEXTFROMWORD&gt;&lt;/nbr&gt;&#10;&lt;title&gt;&lt;GETTEXTFROMWORD&gt;&lt;/title&gt;&#10;&lt;id&gt;6ba50daa-0172-48c8-9df2-0c5fbfc4e7b2&lt;/id&gt;&#10;&lt;srcType&gt;EXCEL&lt;/srcType&gt;&#10;&lt;srcPath&gt;O:\2017 CRs\2018 European semester\19 NL\19_NL_TablesGraphesBoxes&lt;/srcPath&gt;&#10;&lt;srcName&gt;Section4_3.xlsx&lt;/srcName&gt;&#10;&lt;type&gt;graph&lt;/type&gt;&#10; &lt;srcSheet&gt;gr6_emp_chg_typ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6:38:1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97595" cy="2439916"/>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(Eurostat, non-seasonally adjusted data)</w:t>
            </w:r>
          </w:p>
        </w:tc>
      </w:tr>
    </w:tbl>
    <w:p w:rsidR="00DC4807" w:rsidRDefault="0005641F">
      <w:pPr>
        <w:rPr>
          <w:noProof/>
        </w:rPr>
      </w:pPr>
      <w:r>
        <w:rPr>
          <w:b/>
          <w:noProof/>
        </w:rPr>
        <w:t>The self-employed are not obliged to be insured against labour-related risks such as accidents at work, unemployment and old age (second pillar).</w:t>
      </w:r>
      <w:r>
        <w:rPr>
          <w:noProof/>
        </w:rPr>
        <w:t xml:space="preserve"> They are only entitled to healthcare, long-term</w:t>
      </w:r>
      <w:r>
        <w:rPr>
          <w:noProof/>
        </w:rPr>
        <w:t xml:space="preserve"> care, family benefits, a state pension (first pillar) and survivors’ benefits. There are no sickness benefits (sick pay) for them during the first 2 years of long-term sickness. Everyone in the Netherlands, including the self-employed, has compulsory basi</w:t>
      </w:r>
      <w:r>
        <w:rPr>
          <w:noProof/>
        </w:rPr>
        <w:t>c private health insurance. However, the majority of the self-employed (57 %) indicate that they would feel financially insecure if they were faced with a serious long-term illness (EU average: 48 %) (Eurofound, 2017a)(</w:t>
      </w:r>
      <w:r>
        <w:rPr>
          <w:noProof/>
          <w:vertAlign w:val="superscript"/>
        </w:rPr>
        <w:footnoteReference w:id="37"/>
      </w:r>
      <w:r>
        <w:rPr>
          <w:noProof/>
        </w:rPr>
        <w:t>).</w:t>
      </w:r>
    </w:p>
    <w:p w:rsidR="00DC4807" w:rsidRDefault="0005641F">
      <w:pPr>
        <w:rPr>
          <w:noProof/>
        </w:rPr>
      </w:pPr>
      <w:r>
        <w:rPr>
          <w:b/>
          <w:noProof/>
        </w:rPr>
        <w:t>Around one in five employees in t</w:t>
      </w:r>
      <w:r>
        <w:rPr>
          <w:b/>
          <w:noProof/>
        </w:rPr>
        <w:t>he Netherlands was employed on a temporary contract in 2016.</w:t>
      </w:r>
      <w:r>
        <w:rPr>
          <w:noProof/>
        </w:rPr>
        <w:t xml:space="preserve"> New entrants in particular are exposed to temporary contracts: 44.1 % of employees under 30 are on temporary contracts (EU average: 32.2 %). This is a significant increase compared to 2005, when </w:t>
      </w:r>
      <w:r>
        <w:rPr>
          <w:noProof/>
        </w:rPr>
        <w:t>only 33.0 % of employees under 30 worked on temporary contracts. The high prevalence of temporary employment negatively affects the job duration and career prospects of young people. The average job tenure of workers under 30 decreased from 27 months in 20</w:t>
      </w:r>
      <w:r>
        <w:rPr>
          <w:noProof/>
        </w:rPr>
        <w:t>05 to 21 months in 2015. Estimates show that around half of this decline can be attributed to the increase in temporary contracts for young workers (EC, 2017f). There are also negative implications for their incomes given the significant wage gap between t</w:t>
      </w:r>
      <w:r>
        <w:rPr>
          <w:noProof/>
        </w:rPr>
        <w:t>emporary and permanent workers (see Box 4.3.2).</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60" w:name="_Toc507233649"/>
            <w:r>
              <w:rPr>
                <w:noProof/>
              </w:rPr>
              <w:t>Graph 4.3.6:</w:t>
            </w:r>
            <w:r>
              <w:rPr>
                <w:b/>
                <w:noProof/>
              </w:rPr>
              <w:tab/>
              <w:t>Self-employed by sector ( % of total employment in the sector)</w:t>
            </w:r>
            <w:bookmarkEnd w:id="60"/>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1C5E1746" wp14:editId="60AF927F">
                  <wp:extent cx="2597595" cy="2536289"/>
                  <wp:effectExtent l="0" t="0" r="0" b="0"/>
                  <wp:docPr id="23" name="Picture 23" descr="&lt;nbr&gt;&lt;GETTEXTFROMWORD&gt;&lt;/nbr&gt;&#10;&lt;title&gt;&lt;GETTEXTFROMWORD&gt;&lt;/title&gt;&#10;&lt;id&gt;5cbc94f3-74b6-47cf-a3d8-c9eacf68cefa&lt;/id&gt;&#10;&lt;srcType&gt;EXCEL&lt;/srcType&gt;&#10;&lt;srcPath&gt;O:\2017 CRs\2018 European semester\19 NL\19_NL_TablesGraphesBoxes&lt;/srcPath&gt;&#10;&lt;srcName&gt;Section4_3.xlsx&lt;/srcName&gt;&#10;&lt;type&gt;graph&lt;/type&gt;&#10; &lt;srcSheet&gt;gr7_Self-employed by sector&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6:38:1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97595" cy="2536289"/>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(Eurostat)</w:t>
            </w:r>
          </w:p>
        </w:tc>
      </w:tr>
    </w:tbl>
    <w:p w:rsidR="00DC4807" w:rsidRDefault="0005641F">
      <w:pPr>
        <w:rPr>
          <w:noProof/>
        </w:rPr>
      </w:pPr>
      <w:r>
        <w:rPr>
          <w:b/>
          <w:noProof/>
        </w:rPr>
        <w:t>In 2015, the government implemented a major reform to reduce the differences between tem</w:t>
      </w:r>
      <w:r>
        <w:rPr>
          <w:b/>
          <w:noProof/>
        </w:rPr>
        <w:t>porary and permanent contracts.</w:t>
      </w:r>
      <w:r>
        <w:rPr>
          <w:noProof/>
        </w:rPr>
        <w:t xml:space="preserve"> This reform was discussed in detail in European Commission 2016a and European Commission 2017a. Given that the measures are being introduced gradually, a formal evaluation of the reform is only expected in 2020. Preliminary </w:t>
      </w:r>
      <w:r>
        <w:rPr>
          <w:noProof/>
        </w:rPr>
        <w:t>evidence on the impact of the changes introduced under the Dutch dismissal and unemployment law (</w:t>
      </w:r>
      <w:r>
        <w:rPr>
          <w:i/>
          <w:noProof/>
        </w:rPr>
        <w:t>Wet werk and zekerheid</w:t>
      </w:r>
      <w:r>
        <w:rPr>
          <w:noProof/>
        </w:rPr>
        <w:t>) indicates that the changes, including the decline in severance pay, did not influence the decision of employers to dismiss or recruit p</w:t>
      </w:r>
      <w:r>
        <w:rPr>
          <w:noProof/>
        </w:rPr>
        <w:t xml:space="preserve">ermanent employees (Heyma et al., 2017). The transition rates from temporary to permanent contracts have remained fairly constant in the last 3 years, ranging from 11 % to 12 % per quarter (see Graph </w:t>
      </w:r>
      <w:r>
        <w:rPr>
          <w:noProof/>
        </w:rPr>
        <w:fldChar w:fldCharType="begin"/>
      </w:r>
      <w:r>
        <w:rPr>
          <w:noProof/>
        </w:rPr>
        <w:instrText xml:space="preserve"> QUOTE "4.3.7"</w:instrText>
      </w:r>
      <w:r>
        <w:rPr>
          <w:noProof/>
        </w:rPr>
        <w:fldChar w:fldCharType="begin">
          <w:fldData xml:space="preserve">QwBSAE8AUwBTAFIARQBGAEUAUgBFAE4AQwBFACoARwBSAEEAUABIACoANwA0ADEAMwA2AGEANgA0
AC0AYQA0ADYAOAAtADQAZgAyADMALQA5AGIANgBmAC0ANQBmADQAOQA5AGUAZQA3ADUAOABmADMA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4.3.7</w:t>
      </w:r>
      <w:r>
        <w:rPr>
          <w:noProof/>
        </w:rPr>
        <w:fldChar w:fldCharType="end"/>
      </w:r>
      <w:r>
        <w:rPr>
          <w:noProof/>
        </w:rPr>
        <w:t xml:space="preserve">). The enforcement of a mechanism adopted to reduce incentives for employers to replace employees with bogus self-employment has been suspended until at least the beginning of 2018. </w:t>
      </w:r>
    </w:p>
    <w:p w:rsidR="00DC4807" w:rsidRDefault="0005641F">
      <w:pPr>
        <w:rPr>
          <w:noProof/>
        </w:rPr>
      </w:pPr>
      <w:r>
        <w:rPr>
          <w:b/>
          <w:noProof/>
        </w:rPr>
        <w:t xml:space="preserve">In </w:t>
      </w:r>
      <w:r>
        <w:rPr>
          <w:b/>
          <w:noProof/>
        </w:rPr>
        <w:t>order to modernise the labour market and address segmentation, the new government announced several additional measures, but specifics and time frame for adoption remains unclear.</w:t>
      </w:r>
      <w:r>
        <w:rPr>
          <w:noProof/>
        </w:rPr>
        <w:t xml:space="preserve"> The most important are (1) shortening of employer-paid sick leave from 2 yea</w:t>
      </w:r>
      <w:r>
        <w:rPr>
          <w:noProof/>
        </w:rPr>
        <w:t>rs to 1 year for small enterprises (under 25 employees); (2) the introduction of an additional ground for dismissal in case of an open-ended contract; (3) the introduction of a minimum hourly rate for self-employed without employees to reduce bogus self-em</w:t>
      </w:r>
      <w:r>
        <w:rPr>
          <w:noProof/>
        </w:rPr>
        <w:t>ployment. At the same time (4) the total duration that a person can be employed on a temporary contract will be extended from two to three years (in line with legislation prior to 2015) but he/she will be eligible for the transition allowance as of the beg</w:t>
      </w:r>
      <w:r>
        <w:rPr>
          <w:noProof/>
        </w:rPr>
        <w:t>inning of their employment contract (instead of after 2 years only as previously). In addition, the government suggested reflecting further on possible differentiation in contributions for unemployment insurance per type of contract and the qualification o</w:t>
      </w:r>
      <w:r>
        <w:rPr>
          <w:noProof/>
        </w:rPr>
        <w:t xml:space="preserve">f self-employed. At this point, the time frame for adoption as well as the possible impact of these new measures on the labour market segmentation remains unclear. </w:t>
      </w:r>
    </w:p>
    <w:p w:rsidR="00DC4807" w:rsidRDefault="0005641F">
      <w:pPr>
        <w:rPr>
          <w:noProof/>
        </w:rPr>
      </w:pPr>
      <w:r>
        <w:rPr>
          <w:b/>
          <w:noProof/>
        </w:rPr>
        <w:t>Social dialogue is an essential feature of the so-called Poldermodel in the Netherlands and</w:t>
      </w:r>
      <w:r>
        <w:rPr>
          <w:b/>
          <w:noProof/>
        </w:rPr>
        <w:t xml:space="preserve"> functions overall rather well.</w:t>
      </w:r>
      <w:r>
        <w:rPr>
          <w:noProof/>
        </w:rPr>
        <w:t xml:space="preserve"> Social partners were consulted on the intention and possible policy options to reform of the second pillar pension system. The new government equally intends to involve them extensively in the context of the ambitious agenda</w:t>
      </w:r>
      <w:r>
        <w:rPr>
          <w:noProof/>
        </w:rPr>
        <w:t xml:space="preserve"> to reform the labour market.</w:t>
      </w:r>
    </w:p>
    <w:p w:rsidR="00DC4807" w:rsidRDefault="00DC4807">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61" w:name="_Toc507233650"/>
            <w:r>
              <w:rPr>
                <w:noProof/>
              </w:rPr>
              <w:t>Graph 4.3.7:</w:t>
            </w:r>
            <w:r>
              <w:rPr>
                <w:b/>
                <w:noProof/>
              </w:rPr>
              <w:tab/>
              <w:t>Transition rate from temporary to permanent employment by quarter</w:t>
            </w:r>
            <w:bookmarkEnd w:id="61"/>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4A940992" wp14:editId="2C401469">
                  <wp:extent cx="2597595" cy="2459546"/>
                  <wp:effectExtent l="0" t="0" r="0" b="0"/>
                  <wp:docPr id="28" name="Picture 28" descr="&lt;nbr&gt;&lt;GETTEXTFROMWORD&gt;&lt;/nbr&gt;&#10;&lt;title&gt;&lt;GETTEXTFROMWORD&gt;&lt;/title&gt;&#10;&lt;id&gt;74136a64-a468-4f23-9b6f-5f499ee758f3&lt;/id&gt;&#10;&lt;srcType&gt;EXCEL&lt;/srcType&gt;&#10;&lt;srcPath&gt;O:\2017 CRs\2018 European semester\19 NL\19_NL_TablesGraphesBoxes&lt;/srcPath&gt;&#10;&lt;srcName&gt;Section4_3.xlsx&lt;/srcName&gt;&#10;&lt;type&gt;graph&lt;/type&gt;&#10; &lt;srcSheet&gt;gr_8transitie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6:38:1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7595" cy="2459546"/>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(based on Statistics Netherlands)</w:t>
            </w:r>
          </w:p>
        </w:tc>
      </w:tr>
    </w:tbl>
    <w:p w:rsidR="00DC4807" w:rsidRDefault="0005641F">
      <w:pPr>
        <w:pStyle w:val="Heading"/>
        <w:rPr>
          <w:noProof/>
        </w:rPr>
      </w:pPr>
      <w:r>
        <w:rPr>
          <w:noProof/>
        </w:rPr>
        <w:t>Poverty and social exclusion in the Netherlands</w:t>
      </w:r>
    </w:p>
    <w:p w:rsidR="00DC4807" w:rsidRDefault="0005641F">
      <w:pPr>
        <w:rPr>
          <w:noProof/>
        </w:rPr>
      </w:pPr>
      <w:r>
        <w:rPr>
          <w:b/>
          <w:noProof/>
        </w:rPr>
        <w:t>Even though the Netherlands has</w:t>
      </w:r>
      <w:r>
        <w:rPr>
          <w:b/>
          <w:noProof/>
        </w:rPr>
        <w:t xml:space="preserve"> one of the lowest rates of at risk of poverty or social exclusion in the EU, this indicator increased by 364 000 persons from 2008 to 2016</w:t>
      </w:r>
      <w:r>
        <w:rPr>
          <w:noProof/>
        </w:rPr>
        <w:t>. The poverty-reducing impact of social transfers (excluding pensions) has slowed considerably in the last year — alt</w:t>
      </w:r>
      <w:r>
        <w:rPr>
          <w:noProof/>
        </w:rPr>
        <w:t>hough it remains at a decent level, above the EU average. Netherlands shows good results in adequacy of the minimum income support (as a share of the poverty threshold) and the relative poverty risk gap. As concerns unemployment benefits, Netherlands perfo</w:t>
      </w:r>
      <w:r>
        <w:rPr>
          <w:noProof/>
        </w:rPr>
        <w:t>rms close to the EU average in terms of adequacy, although duration (for a 1-year work record) is comparatively low(</w:t>
      </w:r>
      <w:r>
        <w:rPr>
          <w:noProof/>
          <w:vertAlign w:val="superscript"/>
        </w:rPr>
        <w:footnoteReference w:id="38"/>
      </w:r>
      <w:r>
        <w:rPr>
          <w:noProof/>
        </w:rPr>
        <w:t>). The income benefits are combined with incentives to (re)integrate into the labour market, as people who receive social assistance are re</w:t>
      </w:r>
      <w:r>
        <w:rPr>
          <w:noProof/>
        </w:rPr>
        <w:t xml:space="preserve">quired to accept reasonable offers of work. The in-work at risk of poverty rate in the Netherlands has increased in 2016 by 6 pps (although the data indicates a break in series) and reached 5.6 % which is well below the EU average (9.5 % in 2015). </w:t>
      </w:r>
    </w:p>
    <w:p w:rsidR="00DC4807" w:rsidRDefault="0005641F">
      <w:pPr>
        <w:rPr>
          <w:noProof/>
        </w:rPr>
      </w:pPr>
      <w:r>
        <w:rPr>
          <w:b/>
          <w:noProof/>
        </w:rPr>
        <w:t>The num</w:t>
      </w:r>
      <w:r>
        <w:rPr>
          <w:b/>
          <w:noProof/>
        </w:rPr>
        <w:t>ber of people living in low work intensity households has decreased.</w:t>
      </w:r>
      <w:r>
        <w:rPr>
          <w:noProof/>
        </w:rPr>
        <w:t xml:space="preserve"> When setting its Europe 2020 objectives, the Netherlands committed itself to reducing the number of people living in a household with very low work intensity (working less than 20 % of th</w:t>
      </w:r>
      <w:r>
        <w:rPr>
          <w:noProof/>
        </w:rPr>
        <w:t xml:space="preserve">eir total potential) by 100 000 by 2020 compared to 2008. This reduction is aimed at the age groups up to 64 years, rather than 59 years as envisaged in the Eurostat indicator. However, since 2008 figures have been shifting. As of 2016, 51 000 people were </w:t>
      </w:r>
      <w:r>
        <w:rPr>
          <w:noProof/>
        </w:rPr>
        <w:t>lifted out of low work intensity households. Thus the EU-2020 objective is reached by half.</w:t>
      </w:r>
    </w:p>
    <w:p w:rsidR="00DC4807" w:rsidRDefault="0005641F">
      <w:pPr>
        <w:rPr>
          <w:noProof/>
        </w:rPr>
      </w:pPr>
      <w:r>
        <w:rPr>
          <w:b/>
          <w:noProof/>
        </w:rPr>
        <w:t>Non-EU-born people face a higher risk of poverty or social exclusion.</w:t>
      </w:r>
      <w:r>
        <w:rPr>
          <w:noProof/>
        </w:rPr>
        <w:t xml:space="preserve"> Among the population aged 18 and over born in the Netherlands, the proportion of people at ris</w:t>
      </w:r>
      <w:r>
        <w:rPr>
          <w:noProof/>
        </w:rPr>
        <w:t>k of poverty or social exclusion has remained stable from 2008 to 2016 at 13.7 %. Among non-EU-born residents, it increased from 31.7 % in 2009 to 39.6 % in 2016. This is directly related to the vulnerable labour market position of many non-EU-born migrant</w:t>
      </w:r>
      <w:r>
        <w:rPr>
          <w:noProof/>
        </w:rPr>
        <w:t>s as described above.</w:t>
      </w:r>
    </w:p>
    <w:p w:rsidR="00DC4807" w:rsidRDefault="0005641F">
      <w:pPr>
        <w:pStyle w:val="NumberedHeading1"/>
        <w:tabs>
          <w:tab w:val="left" w:pos="567"/>
        </w:tabs>
        <w:rPr>
          <w:noProof/>
        </w:rPr>
      </w:pPr>
      <w:r>
        <w:rPr>
          <w:noProof/>
        </w:rPr>
        <w:t>4.3.2.</w:t>
      </w:r>
      <w:r>
        <w:rPr>
          <w:noProof/>
        </w:rPr>
        <w:tab/>
        <w:t>Education and skills</w:t>
      </w:r>
    </w:p>
    <w:p w:rsidR="00DC4807" w:rsidRDefault="0005641F">
      <w:pPr>
        <w:rPr>
          <w:noProof/>
        </w:rPr>
      </w:pPr>
      <w:r>
        <w:rPr>
          <w:b/>
          <w:noProof/>
        </w:rPr>
        <w:t>Despite performing well in general, there has been some decline in basic skills and an increase in performance differences between schools.</w:t>
      </w:r>
      <w:r>
        <w:rPr>
          <w:noProof/>
        </w:rPr>
        <w:t xml:space="preserve"> While the proportion of low achievers in the 2015 OECD Programme f</w:t>
      </w:r>
      <w:r>
        <w:rPr>
          <w:noProof/>
        </w:rPr>
        <w:t>or International Student Assessment (PISA) was still below the EU average, it did increase in all three areas (reading, mathematics and science). Differences between schools have the largest impact on pupils’ performance of all OECD countries (OECD, 2016a)</w:t>
      </w:r>
      <w:r>
        <w:rPr>
          <w:noProof/>
        </w:rPr>
        <w:t>, and are strongly linked to the different tracks offered. Differences also exist between schools with similar student populations (Ministry of Education, Culture and Science, 2017a).</w:t>
      </w:r>
    </w:p>
    <w:p w:rsidR="00DC4807" w:rsidRDefault="0005641F">
      <w:pPr>
        <w:rPr>
          <w:noProof/>
        </w:rPr>
      </w:pPr>
      <w:r>
        <w:rPr>
          <w:b/>
          <w:noProof/>
        </w:rPr>
        <w:t>Several new measures aim to close performance gaps between students from</w:t>
      </w:r>
      <w:r>
        <w:rPr>
          <w:b/>
          <w:noProof/>
        </w:rPr>
        <w:t xml:space="preserve"> disadvantaged and more favourable backgrounds.</w:t>
      </w:r>
      <w:r>
        <w:rPr>
          <w:noProof/>
        </w:rPr>
        <w:t xml:space="preserve"> The number of pupils in primary special education has decreased by more than 6 % since the introduction of the ‘Education that fits’ policy (</w:t>
      </w:r>
      <w:r>
        <w:rPr>
          <w:i/>
          <w:noProof/>
        </w:rPr>
        <w:t>passend onderwijs</w:t>
      </w:r>
      <w:r>
        <w:rPr>
          <w:noProof/>
        </w:rPr>
        <w:t>) in 2014-2015. All schools are now responsible fo</w:t>
      </w:r>
      <w:r>
        <w:rPr>
          <w:noProof/>
        </w:rPr>
        <w:t>r placing each child, including those with special educational needs, in a suitable educational setting, preferably in mainstream education. The school performance of students from an immigrant background remains a major challenge as it then translates int</w:t>
      </w:r>
      <w:r>
        <w:rPr>
          <w:noProof/>
        </w:rPr>
        <w:t>o lower labour market performance. Non-immigrant children perform significantly better than immigrant children in all three PISA areas. This difference also holds for second-generation pupils. Even after taking into account socioeconomic differences, pupil</w:t>
      </w:r>
      <w:r>
        <w:rPr>
          <w:noProof/>
        </w:rPr>
        <w:t>s with a migrant background (both first- and second-generation) score far worse than those without a migrant background, with a 41-point difference in reading and 31 in mathematics (Meelissen et al., 2012).</w:t>
      </w:r>
    </w:p>
    <w:p w:rsidR="00DC4807" w:rsidRDefault="0005641F">
      <w:pPr>
        <w:rPr>
          <w:noProof/>
        </w:rPr>
      </w:pPr>
      <w:r>
        <w:rPr>
          <w:b/>
          <w:noProof/>
        </w:rPr>
        <w:t>The adult participation in learning is high in ge</w:t>
      </w:r>
      <w:r>
        <w:rPr>
          <w:b/>
          <w:noProof/>
        </w:rPr>
        <w:t>neral and well above the EU average.</w:t>
      </w:r>
      <w:r>
        <w:rPr>
          <w:noProof/>
        </w:rPr>
        <w:t xml:space="preserve"> The participation rate in learning for low-skilled adults (9.1 % in 2016) is also considerably higher than the EU average (4.2 %). A special commission (Commissie vraagfinanciering MBO, 2017) was set up in September 201</w:t>
      </w:r>
      <w:r>
        <w:rPr>
          <w:noProof/>
        </w:rPr>
        <w:t>6 to provide the government with advice on ‘vouchers’ in upper secondary vocational education and training (VET). As a follow-up to the ‘Technology pact’ (</w:t>
      </w:r>
      <w:r>
        <w:rPr>
          <w:i/>
          <w:noProof/>
        </w:rPr>
        <w:t>Nationaal Techniekpact</w:t>
      </w:r>
      <w:r>
        <w:rPr>
          <w:noProof/>
        </w:rPr>
        <w:t>) and the 2011-2015 ‘Focus on Craftsmanship’ action plan, experiments are takin</w:t>
      </w:r>
      <w:r>
        <w:rPr>
          <w:noProof/>
        </w:rPr>
        <w:t>g place between May 2015 and July 2021 in upper secondary VET schools to integrate the school-based track and dual/apprenticeship track. Students will start in the school-based track and can switch to the other track after acquiring the relevant theoretica</w:t>
      </w:r>
      <w:r>
        <w:rPr>
          <w:noProof/>
        </w:rPr>
        <w:t>l and practical skills. The experiment addresses the need of VET schools and companies for more flexibility between both tracks and to stimulate cooperation between them. The new measures are consistent with the Upskilling Pathways Recommendation(</w:t>
      </w:r>
      <w:r>
        <w:rPr>
          <w:noProof/>
          <w:vertAlign w:val="superscript"/>
        </w:rPr>
        <w:footnoteReference w:id="39"/>
      </w:r>
      <w:r>
        <w:rPr>
          <w:noProof/>
        </w:rPr>
        <w:t>) on add</w:t>
      </w:r>
      <w:r>
        <w:rPr>
          <w:noProof/>
        </w:rPr>
        <w:t>ressing the low-skilled adults in their ability to acquire and maintain skills and manage successfully the transitions in the labour market.</w:t>
      </w:r>
    </w:p>
    <w:p w:rsidR="00DC4807" w:rsidRDefault="0005641F">
      <w:pPr>
        <w:rPr>
          <w:noProof/>
        </w:rPr>
      </w:pPr>
      <w:r>
        <w:rPr>
          <w:b/>
          <w:noProof/>
        </w:rPr>
        <w:t>The Netherlands faces an increasing shortage of teachers.</w:t>
      </w:r>
      <w:r>
        <w:rPr>
          <w:noProof/>
        </w:rPr>
        <w:t xml:space="preserve"> In primary education, a shortfall of 4 000 full-time equi</w:t>
      </w:r>
      <w:r>
        <w:rPr>
          <w:noProof/>
        </w:rPr>
        <w:t>valents is expected in 2020, with 10 000 full-time equivalents needed in 2025 (Fontein et al., 2015). In secondary education, a shortage is expected for certain subjects such as mathematics, science and foreign languages. After several years of a drop in a</w:t>
      </w:r>
      <w:r>
        <w:rPr>
          <w:noProof/>
        </w:rPr>
        <w:t>pplications, initial teacher training programmes saw a small increase of 5 % in enrolments in 2016 (Ministry of Education, Culture and Science, 2017b). On average, 5.1 % of all classes in secondary education were given by staff without professional teachin</w:t>
      </w:r>
      <w:r>
        <w:rPr>
          <w:noProof/>
        </w:rPr>
        <w:t>g qualifications in 2015. In line with the 2013-2020 Teachers’ Agenda, measures have been implemented to improve the quality of teaching, continuing professional development and career prospects.</w:t>
      </w:r>
    </w:p>
    <w:p w:rsidR="00DC4807" w:rsidRDefault="0005641F">
      <w:pPr>
        <w:rPr>
          <w:noProof/>
        </w:rPr>
      </w:pPr>
      <w:r>
        <w:rPr>
          <w:b/>
          <w:noProof/>
        </w:rPr>
        <w:t>Although the Netherlands has a large pool of educated and sk</w:t>
      </w:r>
      <w:r>
        <w:rPr>
          <w:b/>
          <w:noProof/>
        </w:rPr>
        <w:t>illed workers, the low number of STEM (science, technology, engineering and mathematics) graduates limits its innovation capacity.</w:t>
      </w:r>
      <w:r>
        <w:rPr>
          <w:noProof/>
        </w:rPr>
        <w:t xml:space="preserve"> In 2015, only 17 % of masters students graduated in STEM fields, and only a third of these were women. Despite the very open </w:t>
      </w:r>
      <w:r>
        <w:rPr>
          <w:noProof/>
        </w:rPr>
        <w:t>labour market, it remains a concern given the pronounced role that STEM profiles play in industry and technological innovation. The proportion of STEM graduates in the population is still one of the lowest in the EU, although the number is increasing. An a</w:t>
      </w:r>
      <w:r>
        <w:rPr>
          <w:noProof/>
        </w:rPr>
        <w:t>pparent lack of suitable ICT professionals(</w:t>
      </w:r>
      <w:r>
        <w:rPr>
          <w:noProof/>
          <w:vertAlign w:val="superscript"/>
        </w:rPr>
        <w:footnoteReference w:id="40"/>
      </w:r>
      <w:r>
        <w:rPr>
          <w:noProof/>
        </w:rPr>
        <w:t>) and skills mismatches due to the low use of ICT skills on the job (OECD, 2015) is a major issue for the development of the digital economy and digital society. Shortages are expected to continue; according to t</w:t>
      </w:r>
      <w:r>
        <w:rPr>
          <w:noProof/>
        </w:rPr>
        <w:t xml:space="preserve">he Dutch employee insurance agency </w:t>
      </w:r>
      <w:r>
        <w:rPr>
          <w:noProof/>
        </w:rPr>
        <w:fldChar w:fldCharType="begin" w:fldLock="1"/>
      </w:r>
      <w:r>
        <w:rPr>
          <w:noProof/>
        </w:rPr>
        <w:instrText>ADDIN CSL_CITATION { "citationItems" : [ { "id" : "ITEM-1", "itemData" : { "author" : [ { "dropping-particle" : "", "family" : "Aalst", "given" : "Mechelien", "non-dropping-particle" : "Van der", "parse-names" : false, "s</w:instrText>
      </w:r>
      <w:r>
        <w:rPr>
          <w:noProof/>
        </w:rPr>
        <w:instrText>uffix" : "" }, { "dropping-particle" : "", "family" : "Beukel", "given" : "Lisan", "non-dropping-particle" : "Van den", "parse-names" : false, "suffix" : "" } ], "id" : "ITEM-1", "issued" : { "date-parts" : [ [ "2017" ] ] }, "publisher-place" : "Amsterdam"</w:instrText>
      </w:r>
      <w:r>
        <w:rPr>
          <w:noProof/>
        </w:rPr>
        <w:instrText xml:space="preserve">, "title" : "Kansrijke beroepen: waar is de arbeidsmarkt krap? Landelijk overzicht", "type" : "report" }, "uris" : [ "http://www.mendeley.com/documents/?uuid=9ca551b3-78b1-431f-8378-3ab10f190ff0" ] } ], "mendeley" : { "formattedCitation" : "(Van der Aalst </w:instrText>
      </w:r>
      <w:r>
        <w:rPr>
          <w:noProof/>
        </w:rPr>
        <w:instrText>&amp; Van den Beukel, 2017)", "plainTextFormattedCitation" : "(Van der Aalst &amp; Van den Beukel, 2017)", "previouslyFormattedCitation" : "(Van der Aalst &amp; Van den Beukel, 2017)" }, "properties" : { "noteIndex" : 13 }, "schema" : "https://github.com/citation-styl</w:instrText>
      </w:r>
      <w:r>
        <w:rPr>
          <w:noProof/>
        </w:rPr>
        <w:instrText>e-language/schema/raw/master/csl-citation.json" }</w:instrText>
      </w:r>
      <w:r>
        <w:rPr>
          <w:noProof/>
        </w:rPr>
        <w:fldChar w:fldCharType="separate"/>
      </w:r>
      <w:r>
        <w:rPr>
          <w:noProof/>
        </w:rPr>
        <w:t>(Van der Aalst and Van den Beukel, 2017)</w:t>
      </w:r>
      <w:r>
        <w:rPr>
          <w:noProof/>
        </w:rPr>
        <w:fldChar w:fldCharType="end"/>
      </w:r>
      <w:r>
        <w:rPr>
          <w:noProof/>
        </w:rPr>
        <w:t>, shortages are greatest in technical and ICT jobs. The Human Capital Agenda ICT has been set up to meet the demand for more ICT specialists. The initial results of</w:t>
      </w:r>
      <w:r>
        <w:rPr>
          <w:noProof/>
        </w:rPr>
        <w:t xml:space="preserve"> the Technology Pact 2020 show that more students are signing up for technical studies, with an increase in the number of female students (monitor Techniekpact, 2017).</w:t>
      </w: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b/>
          <w:noProof/>
        </w:rPr>
        <w:sectPr w:rsidR="00DC4807">
          <w:headerReference w:type="even" r:id="rId121"/>
          <w:headerReference w:type="default" r:id="rId122"/>
          <w:footerReference w:type="even" r:id="rId123"/>
          <w:footerReference w:type="default" r:id="rId124"/>
          <w:headerReference w:type="first" r:id="rId125"/>
          <w:footerReference w:type="first" r:id="rId126"/>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DC4807">
        <w:trPr>
          <w:jc w:val="center"/>
        </w:trPr>
        <w:tc>
          <w:tcPr>
            <w:tcW w:w="8721" w:type="dxa"/>
            <w:shd w:val="clear" w:color="auto" w:fill="F7FCFF"/>
          </w:tcPr>
          <w:p w:rsidR="00DC4807" w:rsidRDefault="0005641F">
            <w:pPr>
              <w:pStyle w:val="BoxTitle"/>
              <w:pageBreakBefore/>
              <w:rPr>
                <w:b/>
                <w:noProof/>
              </w:rPr>
            </w:pPr>
            <w:bookmarkStart w:id="62" w:name="_Toc507233622"/>
            <w:r>
              <w:rPr>
                <w:i/>
                <w:noProof/>
              </w:rPr>
              <w:t>Box 4.3.1</w:t>
            </w:r>
            <w:r>
              <w:rPr>
                <w:b/>
                <w:i/>
                <w:noProof/>
              </w:rPr>
              <w:t>:</w:t>
            </w:r>
            <w:r>
              <w:rPr>
                <w:i/>
                <w:noProof/>
              </w:rPr>
              <w:t xml:space="preserve"> </w:t>
            </w:r>
            <w:r>
              <w:rPr>
                <w:b/>
                <w:noProof/>
              </w:rPr>
              <w:t>Implications of temporary employment on income</w:t>
            </w:r>
            <w:bookmarkEnd w:id="62"/>
          </w:p>
          <w:p w:rsidR="00DC4807" w:rsidRDefault="0005641F">
            <w:pPr>
              <w:pStyle w:val="BoxText"/>
              <w:rPr>
                <w:noProof/>
                <w:sz w:val="20"/>
                <w:szCs w:val="20"/>
                <w:lang w:eastAsia="en-GB"/>
              </w:rPr>
            </w:pPr>
            <w:r>
              <w:rPr>
                <w:noProof/>
                <w:sz w:val="20"/>
                <w:szCs w:val="20"/>
                <w:lang w:eastAsia="en-GB"/>
              </w:rPr>
              <w:t xml:space="preserve">This box analyses the implications of temporary employment on income, in particular on hourly </w:t>
            </w:r>
            <w:r>
              <w:rPr>
                <w:noProof/>
                <w:sz w:val="20"/>
                <w:szCs w:val="20"/>
                <w:lang w:eastAsia="en-GB"/>
              </w:rPr>
              <w:t>wages and poverty. It draws upon the analysis of segmentation in the 2018 Labour Market and Wage Developments report.</w:t>
            </w:r>
          </w:p>
          <w:p w:rsidR="00DC4807" w:rsidRDefault="0005641F">
            <w:pPr>
              <w:pStyle w:val="BoxText"/>
              <w:rPr>
                <w:noProof/>
                <w:lang w:eastAsia="en-GB"/>
              </w:rPr>
            </w:pPr>
            <w:r>
              <w:rPr>
                <w:noProof/>
                <w:color w:val="333399"/>
                <w:sz w:val="20"/>
                <w:szCs w:val="20"/>
                <w:lang w:eastAsia="en-GB"/>
              </w:rPr>
              <w:drawing>
                <wp:anchor distT="0" distB="0" distL="114300" distR="114853" simplePos="0" relativeHeight="251659264" behindDoc="0" locked="0" layoutInCell="1" allowOverlap="1" wp14:anchorId="315BC8FA" wp14:editId="2939E794">
                  <wp:simplePos x="0" y="0"/>
                  <wp:positionH relativeFrom="column">
                    <wp:posOffset>-1270</wp:posOffset>
                  </wp:positionH>
                  <wp:positionV relativeFrom="paragraph">
                    <wp:posOffset>69215</wp:posOffset>
                  </wp:positionV>
                  <wp:extent cx="2919095" cy="3155950"/>
                  <wp:effectExtent l="0" t="0" r="0" b="6350"/>
                  <wp:wrapSquare wrapText="bothSides"/>
                  <wp:docPr id="40"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H relativeFrom="page">
                    <wp14:pctWidth>0</wp14:pctWidth>
                  </wp14:sizeRelH>
                  <wp14:sizeRelV relativeFrom="page">
                    <wp14:pctHeight>0</wp14:pctHeight>
                  </wp14:sizeRelV>
                </wp:anchor>
              </w:drawing>
            </w:r>
            <w:r>
              <w:rPr>
                <w:noProof/>
                <w:sz w:val="20"/>
                <w:szCs w:val="20"/>
                <w:lang w:eastAsia="en-GB"/>
              </w:rPr>
              <w:t xml:space="preserve">In almost all EU countries, the wages of permanent employees are higher than the wages of temporary employees. In 2014 the gap in the </w:t>
            </w:r>
            <w:r>
              <w:rPr>
                <w:noProof/>
                <w:sz w:val="20"/>
                <w:szCs w:val="20"/>
                <w:lang w:eastAsia="en-GB"/>
              </w:rPr>
              <w:t>Netherlands was one of the highest in the EU. Compared to other Member States, the share of temporary workers with a low income represent a relatively high share (36.5 % of temporary employees had an hourly wage among the lowest 20 % of all wages) (see Gra</w:t>
            </w:r>
            <w:r>
              <w:rPr>
                <w:noProof/>
                <w:sz w:val="20"/>
                <w:szCs w:val="20"/>
                <w:lang w:eastAsia="en-GB"/>
              </w:rPr>
              <w:t>ph 1)</w:t>
            </w:r>
            <w:r>
              <w:rPr>
                <w:noProof/>
                <w:lang w:eastAsia="en-GB"/>
              </w:rPr>
              <w:t>.</w:t>
            </w:r>
          </w:p>
          <w:p w:rsidR="00DC4807" w:rsidRDefault="0005641F">
            <w:pPr>
              <w:pStyle w:val="BoxText"/>
              <w:rPr>
                <w:noProof/>
                <w:lang w:eastAsia="en-GB"/>
              </w:rPr>
            </w:pPr>
            <w:r>
              <w:rPr>
                <w:noProof/>
                <w:sz w:val="20"/>
                <w:szCs w:val="20"/>
                <w:lang w:eastAsia="en-GB"/>
              </w:rPr>
              <w:t xml:space="preserve">The large difference between wages of temporary and permanent employees can partly be attributed to differences in productivity, which can partly be explained by observable individual and job characteristics. For example, in Netherlands 62 % of all </w:t>
            </w:r>
            <w:r>
              <w:rPr>
                <w:noProof/>
                <w:sz w:val="20"/>
                <w:szCs w:val="20"/>
                <w:lang w:eastAsia="en-GB"/>
              </w:rPr>
              <w:t>temporary workers (15-64) in 2016 are younger than 30, which may explain why their wages are lower as compared to permanent employees who are on average older</w:t>
            </w:r>
            <w:r>
              <w:rPr>
                <w:noProof/>
                <w:lang w:eastAsia="en-GB"/>
              </w:rPr>
              <w:t>.</w:t>
            </w:r>
          </w:p>
          <w:p w:rsidR="00DC4807" w:rsidRDefault="0005641F">
            <w:pPr>
              <w:pStyle w:val="BoxText"/>
              <w:rPr>
                <w:noProof/>
              </w:rPr>
            </w:pPr>
            <w:r>
              <w:rPr>
                <w:noProof/>
                <w:sz w:val="20"/>
                <w:szCs w:val="20"/>
                <w:lang w:eastAsia="en-GB"/>
              </w:rPr>
              <w:drawing>
                <wp:anchor distT="0" distB="0" distL="114300" distR="114300" simplePos="0" relativeHeight="251667456" behindDoc="0" locked="0" layoutInCell="1" allowOverlap="1" wp14:anchorId="2D75DA8E" wp14:editId="1D4E3F7F">
                  <wp:simplePos x="0" y="0"/>
                  <wp:positionH relativeFrom="column">
                    <wp:posOffset>2320925</wp:posOffset>
                  </wp:positionH>
                  <wp:positionV relativeFrom="paragraph">
                    <wp:posOffset>2540</wp:posOffset>
                  </wp:positionV>
                  <wp:extent cx="2687955" cy="2377440"/>
                  <wp:effectExtent l="0" t="0" r="0" b="381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8795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eastAsia="en-GB"/>
              </w:rPr>
              <w:t>Therefore, in a next step the wage is adjusted by taking into account differences in individual</w:t>
            </w:r>
            <w:r>
              <w:rPr>
                <w:noProof/>
                <w:sz w:val="20"/>
                <w:szCs w:val="20"/>
                <w:lang w:eastAsia="en-GB"/>
              </w:rPr>
              <w:t xml:space="preserve"> charasteristics (age, gender and educational attainment) as well as differences in job characteristics (working time arrangement, occupation and sector of employment). The results indicate that even after controlling for differences in individual and job </w:t>
            </w:r>
            <w:r>
              <w:rPr>
                <w:noProof/>
                <w:sz w:val="20"/>
                <w:szCs w:val="20"/>
                <w:lang w:eastAsia="en-GB"/>
              </w:rPr>
              <w:t>characteristics, permenant workers earn on average more than 11 % more than temporary employees (see Graph 2). The adjusted wage gap is found to be increasing with age, reaching the highest level for individual between 40 and 50 years old (12 %). Neverthel</w:t>
            </w:r>
            <w:r>
              <w:rPr>
                <w:noProof/>
                <w:sz w:val="20"/>
                <w:szCs w:val="20"/>
                <w:lang w:eastAsia="en-GB"/>
              </w:rPr>
              <w:t>ess also for young individuals (20 to 29 years old) the wage gap is found to be highly significant (7 %). Further, the adjusted wage gap is found to increase with educational attainment, ranging between 7 % for those with low-education (ISCED 0-2) and 19 %</w:t>
            </w:r>
            <w:r>
              <w:rPr>
                <w:noProof/>
                <w:sz w:val="20"/>
                <w:szCs w:val="20"/>
                <w:lang w:eastAsia="en-GB"/>
              </w:rPr>
              <w:t xml:space="preserve"> for those with a master degree or above (ISCED 7-8). The precarious income situation is of temporary employees is also reflected in a higher at-risk of poverty rate of temporary employees (7.9 % in 2016) as compared to permanent employees (3.7 % in 2016)</w:t>
            </w:r>
            <w:r>
              <w:rPr>
                <w:noProof/>
                <w:lang w:eastAsia="en-GB"/>
              </w:rPr>
              <w:t>.</w:t>
            </w:r>
            <w:r>
              <w:rPr>
                <w:noProof/>
              </w:rPr>
              <w:t xml:space="preserve"> </w:t>
            </w:r>
          </w:p>
        </w:tc>
      </w:tr>
    </w:tbl>
    <w:p w:rsidR="00DC4807" w:rsidRDefault="00DC4807">
      <w:pPr>
        <w:spacing w:after="0" w:line="20" w:lineRule="exact"/>
        <w:rPr>
          <w:b/>
          <w:noProof/>
          <w:sz w:val="2"/>
        </w:rPr>
        <w:sectPr w:rsidR="00DC4807">
          <w:headerReference w:type="even" r:id="rId129"/>
          <w:headerReference w:type="default" r:id="rId130"/>
          <w:footerReference w:type="even" r:id="rId131"/>
          <w:footerReference w:type="default" r:id="rId132"/>
          <w:headerReference w:type="first" r:id="rId133"/>
          <w:footerReference w:type="first" r:id="rId134"/>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DC4807" w:rsidRDefault="0005641F">
      <w:pPr>
        <w:pStyle w:val="SectionTitleFramed9"/>
        <w:framePr w:wrap="notBeside"/>
        <w:rPr>
          <w:noProof/>
        </w:rPr>
      </w:pPr>
      <w:bookmarkStart w:id="63" w:name="_Toc507233695"/>
      <w:r>
        <w:rPr>
          <w:noProof/>
        </w:rPr>
        <w:t>4.4. Investment*</w:t>
      </w:r>
      <w:bookmarkEnd w:id="63"/>
    </w:p>
    <w:p w:rsidR="00DC4807" w:rsidRDefault="0005641F">
      <w:pPr>
        <w:rPr>
          <w:noProof/>
        </w:rPr>
      </w:pPr>
      <w:r>
        <w:rPr>
          <w:b/>
          <w:noProof/>
        </w:rPr>
        <w:t xml:space="preserve">With a sharp pick-up in residential construction, total investment </w:t>
      </w:r>
      <w:r>
        <w:rPr>
          <w:b/>
          <w:noProof/>
        </w:rPr>
        <w:t>returned to its long-term average of 20 % of GDP in 2016.</w:t>
      </w:r>
      <w:r>
        <w:rPr>
          <w:noProof/>
        </w:rPr>
        <w:t xml:space="preserve"> Residential investment increased to 4 % of GDP in 2016. This is up from 3 % at the end of the crisis, but still well below the 6 % of GDP average in the decade before the crisis. Public investment r</w:t>
      </w:r>
      <w:r>
        <w:rPr>
          <w:noProof/>
        </w:rPr>
        <w:t>emained stable at around 3.5 % of GDP, which is around 1 pp. higher than the euro area average. Private investment on the other hand was 1.3 pps lower than the euro area average.</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64" w:name="_Toc507233651"/>
            <w:r>
              <w:rPr>
                <w:noProof/>
              </w:rPr>
              <w:t>Graph 4.4.1:</w:t>
            </w:r>
            <w:r>
              <w:rPr>
                <w:b/>
                <w:noProof/>
              </w:rPr>
              <w:tab/>
              <w:t>Investment by asset</w:t>
            </w:r>
            <w:bookmarkEnd w:id="64"/>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5DE6B0AB" wp14:editId="76147F89">
                  <wp:extent cx="2597595" cy="2436984"/>
                  <wp:effectExtent l="0" t="0" r="0" b="0"/>
                  <wp:docPr id="31" name="Picture 31" descr="&lt;nbr&gt;&lt;GETTEXTFROMWORD&gt;&lt;/nbr&gt;&#10;&lt;title&gt;&lt;GETTEXTFROMWORD&gt;&lt;/title&gt;&#10;&lt;id&gt;f45130b9-9296-4ac1-bb0d-d7560876b753&lt;/id&gt;&#10;&lt;srcType&gt;EXCEL&lt;/srcType&gt;&#10;&lt;srcPath&gt;O:\2017 CRs\2018 European semester\19 NL\19_NL_TablesGraphesBoxes&lt;/srcPath&gt;&#10;&lt;srcName&gt;Section4_4.xlsx&lt;/srcName&gt;&#10;&lt;type&gt;graph&lt;/type&gt;&#10; &lt;srcSheet&gt;GraphInvLevel&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4:32: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97595" cy="2436984"/>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(Eurostat)</w:t>
            </w:r>
          </w:p>
        </w:tc>
      </w:tr>
    </w:tbl>
    <w:p w:rsidR="00DC4807" w:rsidRDefault="00DC4807">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Height w:val="20"/>
        </w:trPr>
        <w:tc>
          <w:tcPr>
            <w:tcW w:w="4110" w:type="dxa"/>
            <w:shd w:val="clear" w:color="auto" w:fill="auto"/>
          </w:tcPr>
          <w:p w:rsidR="00DC4807" w:rsidRDefault="00DC4807">
            <w:pPr>
              <w:pStyle w:val="SlimCell"/>
              <w:keepNext/>
              <w:rPr>
                <w:noProof/>
              </w:rPr>
            </w:pPr>
          </w:p>
        </w:tc>
      </w:tr>
      <w:tr w:rsidR="00DC4807">
        <w:trPr>
          <w:cantSplit/>
        </w:trPr>
        <w:tc>
          <w:tcPr>
            <w:tcW w:w="4110" w:type="dxa"/>
            <w:shd w:val="clear" w:color="auto" w:fill="auto"/>
          </w:tcPr>
          <w:p w:rsidR="00DC4807" w:rsidRDefault="0005641F">
            <w:pPr>
              <w:pStyle w:val="TableTitle"/>
              <w:rPr>
                <w:b/>
                <w:noProof/>
              </w:rPr>
            </w:pPr>
            <w:bookmarkStart w:id="65" w:name="_Toc507233674"/>
            <w:r>
              <w:rPr>
                <w:noProof/>
              </w:rPr>
              <w:t>Table 4.4.1:</w:t>
            </w:r>
            <w:r>
              <w:rPr>
                <w:b/>
                <w:noProof/>
              </w:rPr>
              <w:tab/>
              <w:t>Investment by sector NL and euro area (% of GDP)</w:t>
            </w:r>
            <w:bookmarkEnd w:id="65"/>
          </w:p>
        </w:tc>
      </w:tr>
      <w:tr w:rsidR="00DC4807">
        <w:trPr>
          <w:cantSplit/>
        </w:trPr>
        <w:tc>
          <w:tcPr>
            <w:tcW w:w="4110" w:type="dxa"/>
            <w:shd w:val="clear" w:color="auto" w:fill="auto"/>
          </w:tcPr>
          <w:p w:rsidR="00DC4807" w:rsidRDefault="0005641F">
            <w:pPr>
              <w:pStyle w:val="TableShape"/>
              <w:rPr>
                <w:noProof/>
                <w:sz w:val="2"/>
              </w:rPr>
            </w:pPr>
            <w:r>
              <w:rPr>
                <w:noProof/>
                <w:sz w:val="2"/>
                <w:lang w:eastAsia="en-GB"/>
              </w:rPr>
              <w:drawing>
                <wp:inline distT="0" distB="0" distL="0" distR="0" wp14:anchorId="0B6DAECC" wp14:editId="09D77D89">
                  <wp:extent cx="2597595" cy="1472687"/>
                  <wp:effectExtent l="0" t="0" r="0" b="0"/>
                  <wp:docPr id="33" name="Picture 33" descr="&lt;nbr&gt;&lt;GETTEXTFROMWORD&gt;&lt;/nbr&gt;&#10;&lt;title&gt;&lt;GETTEXTFROMWORD&gt;&lt;/title&gt;&#10;&lt;id&gt;f90888ca-fba0-4612-a398-736902fe4b29&lt;/id&gt;&#10;&lt;srcType&gt;EXCEL&lt;/srcType&gt;&#10;&lt;srcPath&gt;O:\2017 CRs\2018 European semester\19 NL\19_NL_TablesGraphesBoxes&lt;/srcPath&gt;&#10;&lt;srcName&gt;Section4_4.xlsx&lt;/srcName&gt;&#10;&lt;type&gt;table&lt;/type&gt;&#10; &lt;srcSheet&gt;TableInvSector&lt;/srcSheet&gt;&#10; &lt;srcRange&gt;R2C2:R11C4&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4:32: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97595" cy="1472687"/>
                          </a:xfrm>
                          <a:prstGeom prst="rect">
                            <a:avLst/>
                          </a:prstGeom>
                          <a:noFill/>
                          <a:ln>
                            <a:noFill/>
                          </a:ln>
                        </pic:spPr>
                      </pic:pic>
                    </a:graphicData>
                  </a:graphic>
                </wp:inline>
              </w:drawing>
            </w:r>
          </w:p>
        </w:tc>
      </w:tr>
      <w:tr w:rsidR="00DC4807">
        <w:trPr>
          <w:cantSplit/>
        </w:trPr>
        <w:tc>
          <w:tcPr>
            <w:tcW w:w="4110" w:type="dxa"/>
            <w:shd w:val="clear" w:color="auto" w:fill="auto"/>
          </w:tcPr>
          <w:p w:rsidR="00DC4807" w:rsidRDefault="0005641F">
            <w:pPr>
              <w:pStyle w:val="TableSource"/>
              <w:rPr>
                <w:noProof/>
              </w:rPr>
            </w:pPr>
            <w:r>
              <w:rPr>
                <w:b/>
                <w:i/>
                <w:noProof/>
              </w:rPr>
              <w:t>Source:</w:t>
            </w:r>
            <w:r>
              <w:rPr>
                <w:noProof/>
              </w:rPr>
              <w:t xml:space="preserve"> European Commission (Eurostat); pre-crisis average covers 2000-2008.</w:t>
            </w:r>
          </w:p>
        </w:tc>
      </w:tr>
      <w:tr w:rsidR="00DC4807">
        <w:trPr>
          <w:cantSplit/>
          <w:trHeight w:val="20"/>
        </w:trPr>
        <w:tc>
          <w:tcPr>
            <w:tcW w:w="4110" w:type="dxa"/>
            <w:shd w:val="clear" w:color="auto" w:fill="auto"/>
            <w:tcMar>
              <w:bottom w:w="240" w:type="dxa"/>
            </w:tcMar>
          </w:tcPr>
          <w:p w:rsidR="00DC4807" w:rsidRDefault="00DC4807">
            <w:pPr>
              <w:pStyle w:val="SlimCell"/>
              <w:rPr>
                <w:noProof/>
              </w:rPr>
            </w:pPr>
          </w:p>
        </w:tc>
      </w:tr>
    </w:tbl>
    <w:p w:rsidR="00DC4807" w:rsidRDefault="0005641F">
      <w:pPr>
        <w:rPr>
          <w:noProof/>
        </w:rPr>
      </w:pPr>
      <w:r>
        <w:rPr>
          <w:b/>
          <w:noProof/>
        </w:rPr>
        <w:t>Domestic investment is low compared with total savings, making the Dutch economy a net lender to the world.</w:t>
      </w:r>
      <w:r>
        <w:rPr>
          <w:noProof/>
        </w:rPr>
        <w:t xml:space="preserve"> The Dutch economy has been running a savings surplus since the early 1980s. Total domestic savings are relatively stable in terms of GDP, but are increasingly channelled towards foreign investment, as domestic investment has declined (see Graph </w:t>
      </w:r>
      <w:r>
        <w:rPr>
          <w:noProof/>
        </w:rPr>
        <w:fldChar w:fldCharType="begin"/>
      </w:r>
      <w:r>
        <w:rPr>
          <w:noProof/>
        </w:rPr>
        <w:instrText xml:space="preserve"> QUOTE "4.</w:instrText>
      </w:r>
      <w:r>
        <w:rPr>
          <w:noProof/>
        </w:rPr>
        <w:instrText>4.2"</w:instrText>
      </w:r>
      <w:r>
        <w:rPr>
          <w:noProof/>
        </w:rPr>
        <w:fldChar w:fldCharType="begin">
          <w:fldData xml:space="preserve">QwBSAE8AUwBTAFIARQBGAEUAUgBFAE4AQwBFACoARwBSAEEAUABIACoAYgBkADIANAA4ADgAYQA4
AC0AYwA0AGEAMgAtADQAMQAyADQALQBhAGIANgAxAC0AMQA1ADYANwBjAGQAYwA0ADUAYQA2AGUA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4.4.2</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66" w:name="_Toc507233652"/>
            <w:r>
              <w:rPr>
                <w:noProof/>
              </w:rPr>
              <w:t>Graph 4.4.2:</w:t>
            </w:r>
            <w:r>
              <w:rPr>
                <w:b/>
                <w:noProof/>
              </w:rPr>
              <w:tab/>
              <w:t>Domestic and foreign investment</w:t>
            </w:r>
            <w:bookmarkEnd w:id="66"/>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2AF7B7CE" wp14:editId="7C5314CD">
                  <wp:extent cx="2597595" cy="2436984"/>
                  <wp:effectExtent l="0" t="0" r="0" b="0"/>
                  <wp:docPr id="30" name="Picture 30" descr="&lt;nbr&gt;&lt;GETTEXTFROMWORD&gt;&lt;/nbr&gt;&#10;&lt;title&gt;&lt;GETTEXTFROMWORD&gt;&lt;/title&gt;&#10;&lt;id&gt;bd2488a8-c4a2-4124-ab61-1567cdc45a6e&lt;/id&gt;&#10;&lt;srcType&gt;EXCEL&lt;/srcType&gt;&#10;&lt;srcPath&gt;O:\2017 CRs\2018 European semester\19 NL\19_NL_TablesGraphesBoxes&lt;/srcPath&gt;&#10;&lt;srcName&gt;Section4_4.xlsx&lt;/srcName&gt;&#10;&lt;type&gt;graph&lt;/type&gt;&#10; &lt;srcSheet&gt;GraphDomForInv&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4:32: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97595" cy="2436984"/>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(Eurostat)</w:t>
            </w:r>
          </w:p>
        </w:tc>
      </w:tr>
    </w:tbl>
    <w:p w:rsidR="00DC4807" w:rsidRDefault="0005641F">
      <w:pPr>
        <w:rPr>
          <w:noProof/>
        </w:rPr>
      </w:pPr>
      <w:r>
        <w:rPr>
          <w:b/>
          <w:noProof/>
        </w:rPr>
        <w:t>The high savings surplus is driven by non-financi</w:t>
      </w:r>
      <w:r>
        <w:rPr>
          <w:b/>
          <w:noProof/>
        </w:rPr>
        <w:t>al corporations, but recent changes were driven by other domestic sectors.</w:t>
      </w:r>
      <w:r>
        <w:rPr>
          <w:noProof/>
        </w:rPr>
        <w:t xml:space="preserve"> A breakdown by institutional sector shows that the savings surplus of the non-financial corporation sector increased over time, from 2-3 % of GDP on average in 1995-2000 to 5-6 % in</w:t>
      </w:r>
      <w:r>
        <w:rPr>
          <w:noProof/>
        </w:rPr>
        <w:t xml:space="preserve"> 2001-2005 and 8 % of GDP on average over the last decade. With a relatively stable and large NFC surplus, changes in the net lending position were driven by households and the general government sector. Households were net borrowers in the run-up to the c</w:t>
      </w:r>
      <w:r>
        <w:rPr>
          <w:noProof/>
        </w:rPr>
        <w:t>risis. However, they turned into net savers after that, following a decline in household investment and increasing pension savings(</w:t>
      </w:r>
      <w:r>
        <w:rPr>
          <w:noProof/>
          <w:vertAlign w:val="superscript"/>
        </w:rPr>
        <w:footnoteReference w:id="41"/>
      </w:r>
      <w:r>
        <w:rPr>
          <w:noProof/>
        </w:rPr>
        <w:t>), together with deleveraging needs (see Section 4.2). The government also turned from a net borrower into a net lender in 2</w:t>
      </w:r>
      <w:r>
        <w:rPr>
          <w:noProof/>
        </w:rPr>
        <w:t xml:space="preserve">016, which further increased the total economy's net saving position between 2009 and 2016. </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67" w:name="_Toc507233653"/>
            <w:r>
              <w:rPr>
                <w:noProof/>
              </w:rPr>
              <w:t>Graph 4.4.3:</w:t>
            </w:r>
            <w:r>
              <w:rPr>
                <w:b/>
                <w:noProof/>
              </w:rPr>
              <w:tab/>
              <w:t>Net lending/borrowing by sector</w:t>
            </w:r>
            <w:bookmarkEnd w:id="67"/>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1A51FACE" wp14:editId="560F6DC0">
                  <wp:extent cx="2597595" cy="2436984"/>
                  <wp:effectExtent l="0" t="0" r="0" b="0"/>
                  <wp:docPr id="29" name="Picture 29" descr="&lt;nbr&gt;&lt;GETTEXTFROMWORD&gt;&lt;/nbr&gt;&#10;&lt;title&gt;&lt;GETTEXTFROMWORD&gt;&lt;/title&gt;&#10;&lt;id&gt;81706780-9c77-4996-8d83-d2f4c77c450a&lt;/id&gt;&#10;&lt;srcType&gt;EXCEL&lt;/srcType&gt;&#10;&lt;srcPath&gt;O:\2017 CRs\2018 European semester\19 NL\19_NL_TablesGraphesBoxes&lt;/srcPath&gt;&#10;&lt;srcName&gt;Section4_4.xlsx&lt;/srcName&gt;&#10;&lt;type&gt;graph&lt;/type&gt;&#10; &lt;srcSheet&gt;graph NLB by sector&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4:32: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97595" cy="2436984"/>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(Eurostat)</w:t>
            </w:r>
          </w:p>
        </w:tc>
      </w:tr>
    </w:tbl>
    <w:p w:rsidR="00DC4807" w:rsidRDefault="0005641F">
      <w:pPr>
        <w:rPr>
          <w:noProof/>
        </w:rPr>
      </w:pPr>
      <w:r>
        <w:rPr>
          <w:b/>
          <w:noProof/>
        </w:rPr>
        <w:t>Non-financial corporation (NFC) savings are exceptionally high.</w:t>
      </w:r>
      <w:r>
        <w:rPr>
          <w:noProof/>
        </w:rPr>
        <w:t xml:space="preserve"> NFC net lending amounted to 7 % in 2016, which is five times the euro area average and two times higher than in Germany. Gross NFC sector savings stood at 17.5 % of GDP in 2016, compared with a euro area average of 13.6 % of GDP. However, NFC sector inves</w:t>
      </w:r>
      <w:r>
        <w:rPr>
          <w:noProof/>
        </w:rPr>
        <w:t>tments equalled 10.3 % of GDP compared with the euro area average of 12.2 %. This implies that around two thirds of the NL-EA difference in NFC sector net lending/borrowing is explained on the savings side of the income sheet, and one third via lower inves</w:t>
      </w:r>
      <w:r>
        <w:rPr>
          <w:noProof/>
        </w:rPr>
        <w:t xml:space="preserve">tments. </w:t>
      </w:r>
    </w:p>
    <w:p w:rsidR="00DC4807" w:rsidRDefault="0005641F">
      <w:pPr>
        <w:rPr>
          <w:noProof/>
        </w:rPr>
      </w:pPr>
      <w:r>
        <w:rPr>
          <w:b/>
          <w:noProof/>
        </w:rPr>
        <w:t>Gross NFC savings are primarily driven by high earnings.</w:t>
      </w:r>
      <w:r>
        <w:rPr>
          <w:noProof/>
        </w:rPr>
        <w:t xml:space="preserve"> The operating surplus explains the bulk of gross saving (see Graph </w:t>
      </w:r>
      <w:r>
        <w:rPr>
          <w:noProof/>
        </w:rPr>
        <w:fldChar w:fldCharType="begin"/>
      </w:r>
      <w:r>
        <w:rPr>
          <w:noProof/>
        </w:rPr>
        <w:instrText xml:space="preserve"> QUOTE "4.4.5"</w:instrText>
      </w:r>
      <w:r>
        <w:rPr>
          <w:noProof/>
        </w:rPr>
        <w:fldChar w:fldCharType="begin">
          <w:fldData xml:space="preserve">QwBSAE8AUwBTAFIARQBGAEUAUgBFAE4AQwBFACoARwBSAEEAUABIACoANgA5ADMANAAwAGQANAA3
AC0AYwA3ADcAMwAtADQAZABiAGMALQA4ADMAMQA3AC0ANgBmAGEANwA5ADIANwA3ADgAYwBmADAA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4.4.5</w:t>
      </w:r>
      <w:r>
        <w:rPr>
          <w:noProof/>
        </w:rPr>
        <w:fldChar w:fldCharType="end"/>
      </w:r>
      <w:r>
        <w:rPr>
          <w:noProof/>
        </w:rPr>
        <w:t>)(</w:t>
      </w:r>
      <w:r>
        <w:rPr>
          <w:noProof/>
          <w:vertAlign w:val="superscript"/>
        </w:rPr>
        <w:footnoteReference w:id="42"/>
      </w:r>
      <w:r>
        <w:rPr>
          <w:noProof/>
        </w:rPr>
        <w:t>). Dividends received and dividends paid both greatly increased in 2005, which illustrates the importance of multinationals' headquarter location decisions on balance of payments statistics(</w:t>
      </w:r>
      <w:r>
        <w:rPr>
          <w:noProof/>
          <w:vertAlign w:val="superscript"/>
        </w:rPr>
        <w:footnoteReference w:id="43"/>
      </w:r>
      <w:r>
        <w:rPr>
          <w:noProof/>
        </w:rPr>
        <w:t xml:space="preserve">). The global decline in interest rates has led to lower </w:t>
      </w:r>
      <w:r>
        <w:rPr>
          <w:noProof/>
        </w:rPr>
        <w:t>interest expenditures by non-financial corporations, further increasing gross savings.</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68" w:name="_Toc507233654"/>
            <w:r>
              <w:rPr>
                <w:noProof/>
              </w:rPr>
              <w:t>Graph 4.4.4:</w:t>
            </w:r>
            <w:r>
              <w:rPr>
                <w:b/>
                <w:noProof/>
              </w:rPr>
              <w:tab/>
              <w:t>Non-financial corporate sector saving and investment</w:t>
            </w:r>
            <w:bookmarkEnd w:id="68"/>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28F25271" wp14:editId="73517DE8">
                  <wp:extent cx="2597595" cy="2443940"/>
                  <wp:effectExtent l="0" t="0" r="0" b="0"/>
                  <wp:docPr id="27" name="Picture 27" descr="&lt;nbr&gt;&lt;GETTEXTFROMWORD&gt;&lt;/nbr&gt;&#10;&lt;title&gt;&lt;GETTEXTFROMWORD&gt;&lt;/title&gt;&#10;&lt;id&gt;0a3d9b74-4e7e-49b8-ae43-59d6402df09a&lt;/id&gt;&#10;&lt;srcType&gt;EXCEL&lt;/srcType&gt;&#10;&lt;srcPath&gt;O:\2017 CRs\2018 European semester\19 NL\19_NL_TablesGraphesBoxes&lt;/srcPath&gt;&#10;&lt;srcName&gt;Section4_4.xlsx&lt;/srcName&gt;&#10;&lt;type&gt;graph&lt;/type&gt;&#10; &lt;srcSheet&gt;GraphSavInv&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4:32: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97595" cy="2443940"/>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Footnote"/>
              <w:keepNext/>
              <w:rPr>
                <w:noProof/>
              </w:rPr>
            </w:pPr>
            <w:r>
              <w:rPr>
                <w:noProof/>
              </w:rPr>
              <w:t>Average 2012-2016</w:t>
            </w:r>
          </w:p>
          <w:p w:rsidR="00DC4807" w:rsidRDefault="0005641F">
            <w:pPr>
              <w:pStyle w:val="GraphSource"/>
              <w:keepNext/>
              <w:rPr>
                <w:noProof/>
              </w:rPr>
            </w:pPr>
            <w:r>
              <w:rPr>
                <w:b/>
                <w:i/>
                <w:noProof/>
              </w:rPr>
              <w:t>Source:</w:t>
            </w:r>
            <w:r>
              <w:rPr>
                <w:noProof/>
              </w:rPr>
              <w:t xml:space="preserve"> European Commission (Eurostat)</w:t>
            </w:r>
          </w:p>
        </w:tc>
      </w:tr>
    </w:tbl>
    <w:p w:rsidR="00DC4807" w:rsidRDefault="00DC4807">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69" w:name="_Toc507233655"/>
            <w:r>
              <w:rPr>
                <w:noProof/>
              </w:rPr>
              <w:t>Graph 4.4.5:</w:t>
            </w:r>
            <w:r>
              <w:rPr>
                <w:b/>
                <w:noProof/>
              </w:rPr>
              <w:tab/>
              <w:t xml:space="preserve">Gross savings by </w:t>
            </w:r>
            <w:r>
              <w:rPr>
                <w:b/>
                <w:noProof/>
              </w:rPr>
              <w:t>non-financial corporations</w:t>
            </w:r>
            <w:bookmarkEnd w:id="69"/>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18582AB7" wp14:editId="096B6482">
                  <wp:extent cx="2597595" cy="2423705"/>
                  <wp:effectExtent l="0" t="0" r="0" b="0"/>
                  <wp:docPr id="24" name="Picture 24" descr="&lt;nbr&gt;&lt;GETTEXTFROMWORD&gt;&lt;/nbr&gt;&#10;&lt;title&gt;&lt;GETTEXTFROMWORD&gt;&lt;/title&gt;&#10;&lt;id&gt;69340d47-c773-4dbc-8317-6fa792778cf0&lt;/id&gt;&#10;&lt;srcType&gt;EXCEL&lt;/srcType&gt;&#10;&lt;srcPath&gt;O:\2017 CRs\2018 European semester\19 NL\19_NL_TablesGraphesBoxes&lt;/srcPath&gt;&#10;&lt;srcName&gt;Section4_4.xlsx&lt;/srcName&gt;&#10;&lt;type&gt;graph&lt;/type&gt;&#10; &lt;srcSheet&gt;GraphGrossSav&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4:32: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97595" cy="2423705"/>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(Eurostat)</w:t>
            </w:r>
          </w:p>
        </w:tc>
      </w:tr>
    </w:tbl>
    <w:p w:rsidR="00DC4807" w:rsidRDefault="0005641F">
      <w:pPr>
        <w:rPr>
          <w:noProof/>
        </w:rPr>
      </w:pPr>
      <w:r>
        <w:rPr>
          <w:b/>
          <w:noProof/>
        </w:rPr>
        <w:t>In comparison with other EU countries, the relatively high profit share and low distributed income accounts for the NFC savings surplus.</w:t>
      </w:r>
      <w:r>
        <w:rPr>
          <w:noProof/>
        </w:rPr>
        <w:t xml:space="preserve"> Dutch NFC savings are almost 6 pps higher than t</w:t>
      </w:r>
      <w:r>
        <w:rPr>
          <w:noProof/>
        </w:rPr>
        <w:t xml:space="preserve">he euro area average. Roughly half of this can be explained by a relatively large gross operating surplus. The other half is explained by low net distributed incomes. Table </w:t>
      </w:r>
      <w:r>
        <w:rPr>
          <w:noProof/>
        </w:rPr>
        <w:fldChar w:fldCharType="begin"/>
      </w:r>
      <w:r>
        <w:rPr>
          <w:noProof/>
        </w:rPr>
        <w:instrText xml:space="preserve"> QUOTE "4.4.2"</w:instrText>
      </w:r>
      <w:r>
        <w:rPr>
          <w:noProof/>
        </w:rPr>
        <w:fldChar w:fldCharType="begin">
          <w:fldData xml:space="preserve">QwBSAE8AUwBTAFIARQBGAEUAUgBFAE4AQwBFACoAVABBAEIATABFACoAMQBiADkAYgA4AGUAZAA5
AC0AYwAzAGQANwAtADQAMgBlADQALQA4AGEAMQA5AC0AMQBjAGYANwA2ADAAOQBiADEAMQAxAGMA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4.4.2</w:t>
      </w:r>
      <w:r>
        <w:rPr>
          <w:noProof/>
        </w:rPr>
        <w:fldChar w:fldCharType="end"/>
      </w:r>
      <w:r>
        <w:rPr>
          <w:noProof/>
        </w:rPr>
        <w:t xml:space="preserve"> compares the savings of the Dutch non-financial corporation sector with the euro area average as well as with peer countries such as France and Germany. The difference with Germany comes solely from net distributed</w:t>
      </w:r>
      <w:r>
        <w:rPr>
          <w:noProof/>
        </w:rPr>
        <w:t xml:space="preserve"> income (mainly dividends), while the differences in NFC savings with France are entirely accounted for by a lower NFC gross operating surplus. Differences in secondary incomes such as corporate income taxes do not play an important role.</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Height w:val="20"/>
        </w:trPr>
        <w:tc>
          <w:tcPr>
            <w:tcW w:w="4110" w:type="dxa"/>
            <w:shd w:val="clear" w:color="auto" w:fill="auto"/>
          </w:tcPr>
          <w:p w:rsidR="00DC4807" w:rsidRDefault="00DC4807">
            <w:pPr>
              <w:pStyle w:val="SlimCell"/>
              <w:keepNext/>
              <w:rPr>
                <w:noProof/>
              </w:rPr>
            </w:pPr>
          </w:p>
        </w:tc>
      </w:tr>
      <w:tr w:rsidR="00DC4807">
        <w:trPr>
          <w:cantSplit/>
        </w:trPr>
        <w:tc>
          <w:tcPr>
            <w:tcW w:w="4110" w:type="dxa"/>
            <w:shd w:val="clear" w:color="auto" w:fill="auto"/>
          </w:tcPr>
          <w:p w:rsidR="00DC4807" w:rsidRDefault="0005641F">
            <w:pPr>
              <w:pStyle w:val="TableTitle"/>
              <w:rPr>
                <w:b/>
                <w:noProof/>
              </w:rPr>
            </w:pPr>
            <w:bookmarkStart w:id="70" w:name="_Toc507233675"/>
            <w:r>
              <w:rPr>
                <w:noProof/>
              </w:rPr>
              <w:t>Table 4.4.2:</w:t>
            </w:r>
            <w:r>
              <w:rPr>
                <w:b/>
                <w:noProof/>
              </w:rPr>
              <w:tab/>
            </w:r>
            <w:r>
              <w:rPr>
                <w:b/>
                <w:noProof/>
              </w:rPr>
              <w:t>Non-financial corporate sector income sheet</w:t>
            </w:r>
            <w:bookmarkEnd w:id="70"/>
          </w:p>
        </w:tc>
      </w:tr>
      <w:tr w:rsidR="00DC4807">
        <w:trPr>
          <w:cantSplit/>
        </w:trPr>
        <w:tc>
          <w:tcPr>
            <w:tcW w:w="4110" w:type="dxa"/>
            <w:shd w:val="clear" w:color="auto" w:fill="auto"/>
          </w:tcPr>
          <w:p w:rsidR="00DC4807" w:rsidRDefault="0005641F">
            <w:pPr>
              <w:pStyle w:val="TableShape"/>
              <w:rPr>
                <w:noProof/>
                <w:sz w:val="2"/>
              </w:rPr>
            </w:pPr>
            <w:r>
              <w:rPr>
                <w:noProof/>
                <w:sz w:val="2"/>
                <w:lang w:eastAsia="en-GB"/>
              </w:rPr>
              <w:drawing>
                <wp:inline distT="0" distB="0" distL="0" distR="0" wp14:anchorId="77FB8147" wp14:editId="069B6786">
                  <wp:extent cx="2597595" cy="937107"/>
                  <wp:effectExtent l="0" t="0" r="0" b="0"/>
                  <wp:docPr id="32" name="Picture 32" descr="&lt;nbr&gt;&lt;GETTEXTFROMWORD&gt;&lt;/nbr&gt;&#10;&lt;title&gt;&lt;GETTEXTFROMWORD&gt;&lt;/title&gt;&#10;&lt;id&gt;1b9b8ed9-c3d7-42e4-8a19-1cf7609b111c&lt;/id&gt;&#10;&lt;srcType&gt;EXCEL&lt;/srcType&gt;&#10;&lt;srcPath&gt;O:\2017 CRs\2018 European semester\19 NL\19_NL_TablesGraphesBoxes&lt;/srcPath&gt;&#10;&lt;srcName&gt;Section4_4.xlsx&lt;/srcName&gt;&#10;&lt;type&gt;table&lt;/type&gt;&#10; &lt;srcSheet&gt;TableSaving&lt;/srcSheet&gt;&#10; &lt;srcRange&gt;R2C1:R11C6&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4:32: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97595" cy="937107"/>
                          </a:xfrm>
                          <a:prstGeom prst="rect">
                            <a:avLst/>
                          </a:prstGeom>
                          <a:noFill/>
                          <a:ln>
                            <a:noFill/>
                          </a:ln>
                        </pic:spPr>
                      </pic:pic>
                    </a:graphicData>
                  </a:graphic>
                </wp:inline>
              </w:drawing>
            </w:r>
          </w:p>
        </w:tc>
      </w:tr>
      <w:tr w:rsidR="00DC4807">
        <w:trPr>
          <w:cantSplit/>
        </w:trPr>
        <w:tc>
          <w:tcPr>
            <w:tcW w:w="4110" w:type="dxa"/>
            <w:shd w:val="clear" w:color="auto" w:fill="auto"/>
          </w:tcPr>
          <w:p w:rsidR="00DC4807" w:rsidRDefault="0005641F">
            <w:pPr>
              <w:pStyle w:val="TableSource"/>
              <w:rPr>
                <w:noProof/>
                <w:lang w:val="fr-BE"/>
              </w:rPr>
            </w:pPr>
            <w:r>
              <w:rPr>
                <w:b/>
                <w:i/>
                <w:noProof/>
                <w:lang w:val="fr-BE"/>
              </w:rPr>
              <w:t>Source:</w:t>
            </w:r>
            <w:r>
              <w:rPr>
                <w:noProof/>
                <w:lang w:val="fr-BE"/>
              </w:rPr>
              <w:t xml:space="preserve"> European Commission (Eurostat); average 2012-2016</w:t>
            </w:r>
          </w:p>
        </w:tc>
      </w:tr>
      <w:tr w:rsidR="00DC4807">
        <w:trPr>
          <w:cantSplit/>
          <w:trHeight w:val="20"/>
        </w:trPr>
        <w:tc>
          <w:tcPr>
            <w:tcW w:w="4110" w:type="dxa"/>
            <w:shd w:val="clear" w:color="auto" w:fill="auto"/>
            <w:tcMar>
              <w:bottom w:w="240" w:type="dxa"/>
            </w:tcMar>
          </w:tcPr>
          <w:p w:rsidR="00DC4807" w:rsidRDefault="00DC4807">
            <w:pPr>
              <w:pStyle w:val="SlimCell"/>
              <w:rPr>
                <w:noProof/>
                <w:lang w:val="fr-BE"/>
              </w:rPr>
            </w:pPr>
          </w:p>
        </w:tc>
      </w:tr>
    </w:tbl>
    <w:p w:rsidR="00DC4807" w:rsidRDefault="0005641F">
      <w:pPr>
        <w:rPr>
          <w:noProof/>
        </w:rPr>
      </w:pPr>
      <w:r>
        <w:rPr>
          <w:b/>
          <w:noProof/>
        </w:rPr>
        <w:t>Profitability is particularly high in the trade and manufacturing sectors.</w:t>
      </w:r>
      <w:r>
        <w:rPr>
          <w:noProof/>
        </w:rPr>
        <w:t xml:space="preserve"> The three year average NFC operating surplus in the Netherlands is rough</w:t>
      </w:r>
      <w:r>
        <w:rPr>
          <w:noProof/>
        </w:rPr>
        <w:t xml:space="preserve">ly 24.5 % of GDP, compared to a euro area average just above 21 % (see Graph </w:t>
      </w:r>
      <w:r>
        <w:rPr>
          <w:noProof/>
        </w:rPr>
        <w:fldChar w:fldCharType="begin"/>
      </w:r>
      <w:r>
        <w:rPr>
          <w:noProof/>
        </w:rPr>
        <w:instrText xml:space="preserve"> QUOTE "4.4.6"</w:instrText>
      </w:r>
      <w:r>
        <w:rPr>
          <w:noProof/>
        </w:rPr>
        <w:fldChar w:fldCharType="begin">
          <w:fldData xml:space="preserve">QwBSAE8AUwBTAFIARQBGAEUAUgBFAE4AQwBFACoARwBSAEEAUABIACoANQAxADAANQAxAGEAZgBl
AC0ANQA0ADYAYQAtADQANQBhAGEALQBiADMAZAA5AC0AYQBmAGIAOAA4AGYAZAA3ADEAZABiADEA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4.4.6</w:t>
      </w:r>
      <w:r>
        <w:rPr>
          <w:noProof/>
        </w:rPr>
        <w:fldChar w:fldCharType="end"/>
      </w:r>
      <w:r>
        <w:rPr>
          <w:noProof/>
        </w:rPr>
        <w:t>). This difference already exists in NFC value added, which is relatively high in terms of GDP. This is only partially transferred into compensation of employees, where the difference with other countries is less marked. An assessment by industry shows tha</w:t>
      </w:r>
      <w:r>
        <w:rPr>
          <w:noProof/>
        </w:rPr>
        <w:t xml:space="preserve">t in particular the trade and manufacturing sectors play a significant role (See Graph </w:t>
      </w:r>
      <w:r>
        <w:rPr>
          <w:noProof/>
        </w:rPr>
        <w:fldChar w:fldCharType="begin"/>
      </w:r>
      <w:r>
        <w:rPr>
          <w:noProof/>
        </w:rPr>
        <w:instrText xml:space="preserve"> QUOTE "4.4.7"</w:instrText>
      </w:r>
      <w:r>
        <w:rPr>
          <w:noProof/>
        </w:rPr>
        <w:fldChar w:fldCharType="begin">
          <w:fldData xml:space="preserve">QwBSAE8AUwBTAFIARQBGAEUAUgBFAE4AQwBFACoARwBSAEEAUABIACoAOAA5AGMAMQBhADIAMQA3
AC0AMQA2ADQAMgAtADQAYgBkADQALQA4ADcAMgBjAC0AMgAwAGUAMwA2AGQANgAzADUAYwAyADkA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4.4.7</w:t>
      </w:r>
      <w:r>
        <w:rPr>
          <w:noProof/>
        </w:rPr>
        <w:fldChar w:fldCharType="end"/>
      </w:r>
      <w:r>
        <w:rPr>
          <w:noProof/>
        </w:rPr>
        <w:t xml:space="preserve">). </w:t>
      </w:r>
    </w:p>
    <w:p w:rsidR="00DC4807" w:rsidRDefault="0005641F">
      <w:pPr>
        <w:rPr>
          <w:noProof/>
        </w:rPr>
      </w:pPr>
      <w:r>
        <w:rPr>
          <w:b/>
          <w:noProof/>
        </w:rPr>
        <w:t>The net payout ratio of dividends is very</w:t>
      </w:r>
      <w:r>
        <w:rPr>
          <w:b/>
          <w:noProof/>
        </w:rPr>
        <w:t xml:space="preserve"> low, and points to high retained earnings, being used to finance foreign investment.</w:t>
      </w:r>
      <w:r>
        <w:rPr>
          <w:noProof/>
        </w:rPr>
        <w:t xml:space="preserve"> Compared with other Member States, Dutch NFCs receive relatively large amounts of distributed income from abroad (mainly dividends), while on the other hand the payout ra</w:t>
      </w:r>
      <w:r>
        <w:rPr>
          <w:noProof/>
        </w:rPr>
        <w:t xml:space="preserve">tio is relatively low, resulting in very low net distributed income (see Graph </w:t>
      </w:r>
      <w:r>
        <w:rPr>
          <w:noProof/>
        </w:rPr>
        <w:fldChar w:fldCharType="begin"/>
      </w:r>
      <w:r>
        <w:rPr>
          <w:noProof/>
        </w:rPr>
        <w:instrText xml:space="preserve"> QUOTE "4.4.8"</w:instrText>
      </w:r>
      <w:r>
        <w:rPr>
          <w:noProof/>
        </w:rPr>
        <w:fldChar w:fldCharType="begin">
          <w:fldData xml:space="preserve">QwBSAE8AUwBTAFIARQBGAEUAUgBFAE4AQwBFACoARwBSAEEAUABIACoAMQBmADYAOQA1ADgAYgBi
AC0AYgAyADAAYwAtADQANAAzAGUALQA4ADQAZAAzAC0AYQAwAGIAMgA2AGQAZgAwADYAMQAxAGIA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4.4.8</w:t>
      </w:r>
      <w:r>
        <w:rPr>
          <w:noProof/>
        </w:rPr>
        <w:fldChar w:fldCharType="end"/>
      </w:r>
      <w:r>
        <w:rPr>
          <w:noProof/>
        </w:rPr>
        <w:t>). An assessment of the balance sheets of multination</w:t>
      </w:r>
      <w:r>
        <w:rPr>
          <w:noProof/>
        </w:rPr>
        <w:t>al enterprises suggests that retained earnings were used to finance foreign investment. Between 2005 and 2015, multinationals increased their equity holdings abroad by around 50 pps of GDP, which is equivalent to an increase from 26 % to 43 % of total asse</w:t>
      </w:r>
      <w:r>
        <w:rPr>
          <w:noProof/>
        </w:rPr>
        <w:t>ts (see EC, 2017b). In short, high retained earnings seem to be used to finance foreign investment by multinationals.</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71" w:name="_Toc507233656"/>
            <w:r>
              <w:rPr>
                <w:noProof/>
              </w:rPr>
              <w:t>Graph 4.4.6:</w:t>
            </w:r>
            <w:r>
              <w:rPr>
                <w:b/>
                <w:noProof/>
              </w:rPr>
              <w:tab/>
              <w:t>Gross operating surplus and components</w:t>
            </w:r>
            <w:bookmarkEnd w:id="71"/>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12DF345B" wp14:editId="17E85523">
                  <wp:extent cx="2597595" cy="2450263"/>
                  <wp:effectExtent l="0" t="0" r="0" b="0"/>
                  <wp:docPr id="19" name="Picture 19" descr="&lt;nbr&gt;&lt;GETTEXTFROMWORD&gt;&lt;/nbr&gt;&#10;&lt;title&gt;&lt;GETTEXTFROMWORD&gt;&lt;/title&gt;&#10;&lt;id&gt;51051afe-546a-45aa-b3d9-afb88fd71db1&lt;/id&gt;&#10;&lt;srcType&gt;EXCEL&lt;/srcType&gt;&#10;&lt;srcPath&gt;O:\2017 CRs\2018 European semester\19 NL\19_NL_TablesGraphesBoxes&lt;/srcPath&gt;&#10;&lt;srcName&gt;Section4_4.xlsx&lt;/srcName&gt;&#10;&lt;type&gt;graph&lt;/type&gt;&#10; &lt;srcSheet&gt;GraphOperSur&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4:32: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97595" cy="2450263"/>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Footnote"/>
              <w:keepNext/>
              <w:rPr>
                <w:noProof/>
              </w:rPr>
            </w:pPr>
            <w:r>
              <w:rPr>
                <w:noProof/>
              </w:rPr>
              <w:t>Average 2014-2016</w:t>
            </w:r>
          </w:p>
          <w:p w:rsidR="00DC4807" w:rsidRDefault="0005641F">
            <w:pPr>
              <w:pStyle w:val="GraphSource"/>
              <w:keepNext/>
              <w:rPr>
                <w:noProof/>
              </w:rPr>
            </w:pPr>
            <w:r>
              <w:rPr>
                <w:b/>
                <w:i/>
                <w:noProof/>
              </w:rPr>
              <w:t>Source:</w:t>
            </w:r>
            <w:r>
              <w:rPr>
                <w:noProof/>
              </w:rPr>
              <w:t xml:space="preserve"> European Commission (Eurostat)</w:t>
            </w:r>
          </w:p>
        </w:tc>
      </w:tr>
    </w:tbl>
    <w:p w:rsidR="00DC4807" w:rsidRDefault="00DC4807">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72" w:name="_Toc507233657"/>
            <w:r>
              <w:rPr>
                <w:noProof/>
              </w:rPr>
              <w:t>Graph 4.4.7:</w:t>
            </w:r>
            <w:r>
              <w:rPr>
                <w:b/>
                <w:noProof/>
              </w:rPr>
              <w:tab/>
              <w:t xml:space="preserve">Net </w:t>
            </w:r>
            <w:r>
              <w:rPr>
                <w:b/>
                <w:noProof/>
              </w:rPr>
              <w:t>operating surplus by sector</w:t>
            </w:r>
            <w:bookmarkEnd w:id="72"/>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4716DD88" wp14:editId="533D7EA0">
                  <wp:extent cx="2597595" cy="2436984"/>
                  <wp:effectExtent l="0" t="0" r="0" b="0"/>
                  <wp:docPr id="68" name="Picture 68" descr="&lt;nbr&gt;&lt;GETTEXTFROMWORD&gt;&lt;/nbr&gt;&#10;&lt;title&gt;&lt;GETTEXTFROMWORD&gt;&lt;/title&gt;&#10;&lt;id&gt;89c1a217-1642-4bd4-872c-20e36d635c29&lt;/id&gt;&#10;&lt;srcType&gt;EXCEL&lt;/srcType&gt;&#10;&lt;srcPath&gt;O:\2017 CRs\2018 European semester\19 NL\19_NL_TablesGraphesBoxes&lt;/srcPath&gt;&#10;&lt;srcName&gt;Section4_4.xlsx&lt;/srcName&gt;&#10;&lt;type&gt;graph&lt;/type&gt;&#10; &lt;srcSheet&gt;GraphNetOperSurBySec&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4:32: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97595" cy="2436984"/>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Footnote"/>
              <w:keepNext/>
              <w:rPr>
                <w:noProof/>
              </w:rPr>
            </w:pPr>
            <w:r>
              <w:rPr>
                <w:noProof/>
              </w:rPr>
              <w:t>Average 2012-2015</w:t>
            </w:r>
          </w:p>
          <w:p w:rsidR="00DC4807" w:rsidRDefault="0005641F">
            <w:pPr>
              <w:pStyle w:val="GraphSource"/>
              <w:keepNext/>
              <w:rPr>
                <w:noProof/>
              </w:rPr>
            </w:pPr>
            <w:r>
              <w:rPr>
                <w:b/>
                <w:i/>
                <w:noProof/>
              </w:rPr>
              <w:t>Source:</w:t>
            </w:r>
            <w:r>
              <w:rPr>
                <w:noProof/>
              </w:rPr>
              <w:t xml:space="preserve"> European Commission and Statistics Netherlands (production statistics)</w:t>
            </w:r>
          </w:p>
        </w:tc>
      </w:tr>
    </w:tbl>
    <w:p w:rsidR="00DC4807" w:rsidRDefault="00DC4807">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73" w:name="_Toc507233658"/>
            <w:r>
              <w:rPr>
                <w:noProof/>
              </w:rPr>
              <w:t>Graph 4.4.8:</w:t>
            </w:r>
            <w:r>
              <w:rPr>
                <w:b/>
                <w:noProof/>
              </w:rPr>
              <w:tab/>
              <w:t>Net distributed income ratios</w:t>
            </w:r>
            <w:bookmarkEnd w:id="73"/>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792FA041" wp14:editId="3323DF8A">
                  <wp:extent cx="2597595" cy="2436984"/>
                  <wp:effectExtent l="0" t="0" r="0" b="0"/>
                  <wp:docPr id="15" name="Picture 15" descr="&lt;nbr&gt;&lt;GETTEXTFROMWORD&gt;&lt;/nbr&gt;&#10;&lt;title&gt;&lt;GETTEXTFROMWORD&gt;&lt;/title&gt;&#10;&lt;id&gt;1f6958bb-b20c-443e-84d3-a0b26df0611b&lt;/id&gt;&#10;&lt;srcType&gt;EXCEL&lt;/srcType&gt;&#10;&lt;srcPath&gt;O:\2017 CRs\2018 European semester\19 NL\19_NL_TablesGraphesBoxes&lt;/srcPath&gt;&#10;&lt;srcName&gt;Section4_4.xlsx&lt;/srcName&gt;&#10;&lt;type&gt;graph&lt;/type&gt;&#10; &lt;srcSheet&gt;GraphDivPayO&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4:32: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97595" cy="2436984"/>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lang w:val="fr-BE"/>
              </w:rPr>
            </w:pPr>
            <w:r>
              <w:rPr>
                <w:b/>
                <w:i/>
                <w:noProof/>
                <w:lang w:val="fr-BE"/>
              </w:rPr>
              <w:t>Source:</w:t>
            </w:r>
            <w:r>
              <w:rPr>
                <w:noProof/>
                <w:lang w:val="fr-BE"/>
              </w:rPr>
              <w:t xml:space="preserve"> European Commission (Eurostat); average 2014-2016.</w:t>
            </w:r>
          </w:p>
        </w:tc>
      </w:tr>
    </w:tbl>
    <w:p w:rsidR="00DC4807" w:rsidRDefault="0005641F">
      <w:pPr>
        <w:rPr>
          <w:noProof/>
        </w:rPr>
      </w:pPr>
      <w:r>
        <w:rPr>
          <w:b/>
          <w:noProof/>
        </w:rPr>
        <w:t xml:space="preserve">MNEs drive </w:t>
      </w:r>
      <w:r>
        <w:rPr>
          <w:b/>
          <w:noProof/>
        </w:rPr>
        <w:t>corporate sector savings.</w:t>
      </w:r>
      <w:r>
        <w:rPr>
          <w:noProof/>
        </w:rPr>
        <w:t xml:space="preserve"> While only around 2 % of all companies active in the Netherlands are classified as multinationals, they account for 40 % of private sector employment and around two thirds of private sector turnover (CBS, 2015). In particular MNE </w:t>
      </w:r>
      <w:r>
        <w:rPr>
          <w:noProof/>
        </w:rPr>
        <w:t xml:space="preserve">saving is volatile (See Graph </w:t>
      </w:r>
      <w:r>
        <w:rPr>
          <w:noProof/>
        </w:rPr>
        <w:fldChar w:fldCharType="begin"/>
      </w:r>
      <w:r>
        <w:rPr>
          <w:noProof/>
        </w:rPr>
        <w:instrText xml:space="preserve"> QUOTE "4.4.9"</w:instrText>
      </w:r>
      <w:r>
        <w:rPr>
          <w:noProof/>
        </w:rPr>
        <w:fldChar w:fldCharType="begin">
          <w:fldData xml:space="preserve">QwBSAE8AUwBTAFIARQBGAEUAUgBFAE4AQwBFACoARwBSAEEAUABIACoANQBmADcAYwBlAGMANgBh
AC0ANwAxADgAOQAtADQAMwBhADkALQBhADIANgBkAC0AZABkADgAOQA2AGQAMAA1ADQAZAAwAGYA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4.4.9</w:t>
      </w:r>
      <w:r>
        <w:rPr>
          <w:noProof/>
        </w:rPr>
        <w:fldChar w:fldCharType="end"/>
      </w:r>
      <w:r>
        <w:rPr>
          <w:noProof/>
        </w:rPr>
        <w:t>). Although the production process and definitions are not comparable with national accounts, net sav</w:t>
      </w:r>
      <w:r>
        <w:rPr>
          <w:noProof/>
        </w:rPr>
        <w:t>ings by large firms account for roughly two thirds of total NFC savings. This suggests that in particular these firms are net lenders to the economy (see also EC, 2017b).</w:t>
      </w:r>
    </w:p>
    <w:p w:rsidR="00DC4807" w:rsidRDefault="00DC4807">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74" w:name="_Toc507233659"/>
            <w:r>
              <w:rPr>
                <w:noProof/>
              </w:rPr>
              <w:t>Graph 4.4.9:</w:t>
            </w:r>
            <w:r>
              <w:rPr>
                <w:b/>
                <w:noProof/>
              </w:rPr>
              <w:tab/>
              <w:t>Corporate savings by firm size</w:t>
            </w:r>
            <w:bookmarkEnd w:id="74"/>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024389A1" wp14:editId="74038674">
                  <wp:extent cx="2597595" cy="1598569"/>
                  <wp:effectExtent l="0" t="0" r="0" b="0"/>
                  <wp:docPr id="14" name="Picture 14" descr="&lt;nbr&gt;&lt;GETTEXTFROMWORD&gt;&lt;/nbr&gt;&#10;&lt;title&gt;&lt;GETTEXTFROMWORD&gt;&lt;/title&gt;&#10;&lt;id&gt;5f7cec6a-7189-43a9-a26d-dd896d054d0f&lt;/id&gt;&#10;&lt;srcType&gt;EXCEL&lt;/srcType&gt;&#10;&lt;srcPath&gt;O:\2017 CRs\2018 European semester\19 NL\19_NL_TablesGraphesBoxes&lt;/srcPath&gt;&#10;&lt;srcName&gt;Section4_4.xlsx&lt;/srcName&gt;&#10;&lt;type&gt;graph&lt;/type&gt;&#10; &lt;srcSheet&gt;GraphMNEnew&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4:32: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97595" cy="1598569"/>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Footnote"/>
              <w:keepNext/>
              <w:rPr>
                <w:noProof/>
              </w:rPr>
            </w:pPr>
            <w:r>
              <w:rPr>
                <w:noProof/>
              </w:rPr>
              <w:t>(1) Gross saving is defined as gross</w:t>
            </w:r>
            <w:r>
              <w:rPr>
                <w:noProof/>
              </w:rPr>
              <w:t xml:space="preserve"> operating surplus and other primary income less interest paid, taxes and dividends (methodology Jansen and Ligthart 2014).The series contain a break in 2011: since that year the balance sheet threshold for large firms and MNEs is EUR 40 million; it was EU</w:t>
            </w:r>
            <w:r>
              <w:rPr>
                <w:noProof/>
              </w:rPr>
              <w:t>R 23 million before 2011.</w:t>
            </w:r>
          </w:p>
          <w:p w:rsidR="00DC4807" w:rsidRDefault="0005641F">
            <w:pPr>
              <w:pStyle w:val="GraphSource"/>
              <w:keepNext/>
              <w:rPr>
                <w:noProof/>
              </w:rPr>
            </w:pPr>
            <w:r>
              <w:rPr>
                <w:b/>
                <w:i/>
                <w:noProof/>
              </w:rPr>
              <w:t>Source:</w:t>
            </w:r>
            <w:r>
              <w:rPr>
                <w:noProof/>
              </w:rPr>
              <w:t xml:space="preserve"> European Commission (Statistics Netherlands/Statistiek Financiën Grote Ondernemingen and Statistiek Financiën Alle Ondernemingen;).</w:t>
            </w:r>
          </w:p>
        </w:tc>
      </w:tr>
    </w:tbl>
    <w:p w:rsidR="00DC4807" w:rsidRDefault="0005641F">
      <w:pPr>
        <w:pStyle w:val="Heading"/>
        <w:rPr>
          <w:noProof/>
        </w:rPr>
      </w:pPr>
      <w:r>
        <w:rPr>
          <w:noProof/>
        </w:rPr>
        <w:t>Real perspective on the current account</w:t>
      </w:r>
    </w:p>
    <w:p w:rsidR="00DC4807" w:rsidRDefault="0005641F">
      <w:pPr>
        <w:rPr>
          <w:noProof/>
        </w:rPr>
      </w:pPr>
      <w:r>
        <w:rPr>
          <w:b/>
          <w:noProof/>
        </w:rPr>
        <w:t xml:space="preserve">The current account surplus of the Netherlands </w:t>
      </w:r>
      <w:r>
        <w:rPr>
          <w:b/>
          <w:noProof/>
        </w:rPr>
        <w:t>averaged 6 % of GDP over the past three decades.</w:t>
      </w:r>
      <w:r>
        <w:rPr>
          <w:noProof/>
        </w:rPr>
        <w:t xml:space="preserve"> In 2012, the current account balance reached a peak of 10.3 % of GDP, before declining slightly to 9 % of GDP in 2016 (see Graph 4.4.10). In the last decade, the current account surplus remained significantl</w:t>
      </w:r>
      <w:r>
        <w:rPr>
          <w:noProof/>
        </w:rPr>
        <w:t>y above both the long-term average and the current account benchmarks. Fundamental drivers explain 3.8 pps of the current account surplus, according to Commission current account 'norm' estimations for 2016.(</w:t>
      </w:r>
      <w:r>
        <w:rPr>
          <w:noProof/>
          <w:vertAlign w:val="superscript"/>
        </w:rPr>
        <w:footnoteReference w:id="44"/>
      </w:r>
      <w:r>
        <w:rPr>
          <w:noProof/>
        </w:rPr>
        <w:t xml:space="preserve">) This figure is mainly due to the high income </w:t>
      </w:r>
      <w:r>
        <w:rPr>
          <w:noProof/>
        </w:rPr>
        <w:t>per capita, and expected ageing relative to the rest of the world that imply implying net capital exports, as well as the Netherland's status as corporate financial centre for multinationals.</w:t>
      </w:r>
    </w:p>
    <w:p w:rsidR="00DC4807" w:rsidRDefault="0005641F">
      <w:pPr>
        <w:rPr>
          <w:noProof/>
        </w:rPr>
      </w:pPr>
      <w:r>
        <w:rPr>
          <w:b/>
          <w:noProof/>
        </w:rPr>
        <w:t>The balance on primary incomes declined sharply between 2012 and</w:t>
      </w:r>
      <w:r>
        <w:rPr>
          <w:b/>
          <w:noProof/>
        </w:rPr>
        <w:t xml:space="preserve"> 2016. </w:t>
      </w:r>
      <w:r>
        <w:rPr>
          <w:noProof/>
        </w:rPr>
        <w:t>With a stable overall trade surplus, the recent decline in the current account surplus was mainly driven by a considerable decrease in net primary incomes, from a surplus of 2.4 % of GDP in 2012 to a deficit of -1.2 % of GDP in 2016. This decline wa</w:t>
      </w:r>
      <w:r>
        <w:rPr>
          <w:noProof/>
        </w:rPr>
        <w:t>s mostly visible in revenues from direct investment, but partly offset by increasing portfolio revenues. In 2016, the balance of secondary incomes was affected by a one-off payment of EUR 2.7 billion from the EU budgetary contributions to the Dutch state.</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75" w:name="_Toc507233660"/>
            <w:r>
              <w:rPr>
                <w:noProof/>
              </w:rPr>
              <w:t>Graph 4.4.10:</w:t>
            </w:r>
            <w:r>
              <w:rPr>
                <w:b/>
                <w:noProof/>
              </w:rPr>
              <w:tab/>
              <w:t>Current account</w:t>
            </w:r>
            <w:bookmarkEnd w:id="75"/>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464A0D59" wp14:editId="21EEEDD2">
                  <wp:extent cx="2597595" cy="2443940"/>
                  <wp:effectExtent l="0" t="0" r="0" b="0"/>
                  <wp:docPr id="69" name="Picture 69" descr="&lt;nbr&gt;&lt;GETTEXTFROMWORD&gt;&lt;/nbr&gt;&#10;&lt;title&gt;&lt;GETTEXTFROMWORD&gt;&lt;/title&gt;&#10;&lt;id&gt;a68decfe-2d87-42f7-a6f9-5e368cea2e97&lt;/id&gt;&#10;&lt;srcType&gt;EXCEL&lt;/srcType&gt;&#10;&lt;srcPath&gt;O:\2017 CRs\2018 European semester\19 NL\19_NL_TablesGraphesBoxes&lt;/srcPath&gt;&#10;&lt;srcName&gt;Section4_4.xlsx&lt;/srcName&gt;&#10;&lt;type&gt;graph&lt;/type&gt;&#10; &lt;srcSheet&gt;GraphC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4:32: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97595" cy="2443940"/>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(Eurostat)</w:t>
            </w:r>
          </w:p>
        </w:tc>
      </w:tr>
    </w:tbl>
    <w:p w:rsidR="00DC4807" w:rsidRDefault="0005641F">
      <w:pPr>
        <w:rPr>
          <w:noProof/>
        </w:rPr>
      </w:pPr>
      <w:r>
        <w:rPr>
          <w:b/>
          <w:noProof/>
        </w:rPr>
        <w:t>The strong trade in goods continues to be the main driver of the current account surplus.</w:t>
      </w:r>
      <w:r>
        <w:rPr>
          <w:noProof/>
        </w:rPr>
        <w:t xml:space="preserve"> While the trade balance in goods achieved a surplus of 11.9 % of GDP in 2016, the trade bala</w:t>
      </w:r>
      <w:r>
        <w:rPr>
          <w:noProof/>
        </w:rPr>
        <w:t xml:space="preserve">nce in services recorded a deficit of 0.9 % of GDP. The trade surplus in goods is mostly driven by chemical products as well as food and live animals. The economy shows a stable export specialisation in agricultural products such as cut flowers, bulbs and </w:t>
      </w:r>
      <w:r>
        <w:rPr>
          <w:noProof/>
        </w:rPr>
        <w:t>other plants compared to the EU-15. According to an analysis by Statistics Netherlands, the trade balance is inflated to a large extent by re-exports, which account for roughly 45 % of total exports (CBS, 2017c). Although re-exported goods are not processe</w:t>
      </w:r>
      <w:r>
        <w:rPr>
          <w:noProof/>
        </w:rPr>
        <w:t>d or changed much while in the Netherlands, Statistics Netherlands estimates that the domestic value added of re-exports is around 11 cents per exported euro, leading to a total value added of just below 3 % of GDP in 2016.(</w:t>
      </w:r>
      <w:r>
        <w:rPr>
          <w:noProof/>
          <w:vertAlign w:val="superscript"/>
        </w:rPr>
        <w:footnoteReference w:id="45"/>
      </w:r>
      <w:r>
        <w:rPr>
          <w:noProof/>
        </w:rPr>
        <w:t>) The trade deficit in services</w:t>
      </w:r>
      <w:r>
        <w:rPr>
          <w:noProof/>
        </w:rPr>
        <w:t xml:space="preserve"> is largely driven by trade in royalties, tourism and transport services. </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76" w:name="_Toc507233661"/>
            <w:r>
              <w:rPr>
                <w:noProof/>
              </w:rPr>
              <w:t>Graph 4.4.11:</w:t>
            </w:r>
            <w:r>
              <w:rPr>
                <w:b/>
                <w:noProof/>
              </w:rPr>
              <w:tab/>
              <w:t>Trade balance goods by product group (2016)</w:t>
            </w:r>
            <w:bookmarkEnd w:id="76"/>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662646A3" wp14:editId="6570C1A4">
                  <wp:extent cx="2597595" cy="2430661"/>
                  <wp:effectExtent l="0" t="0" r="0" b="0"/>
                  <wp:docPr id="11" name="Picture 11" descr="&lt;nbr&gt;&lt;GETTEXTFROMWORD&gt;&lt;/nbr&gt;&#10;&lt;title&gt;&lt;GETTEXTFROMWORD&gt;&lt;/title&gt;&#10;&lt;id&gt;5ed8b622-5df4-45d5-b569-26819204673e&lt;/id&gt;&#10;&lt;srcType&gt;EXCEL&lt;/srcType&gt;&#10;&lt;srcPath&gt;O:\2017 CRs\2018 European semester\19 NL\19_NL_TablesGraphesBoxes&lt;/srcPath&gt;&#10;&lt;srcName&gt;Section4_4.xlsx&lt;/srcName&gt;&#10;&lt;type&gt;graph&lt;/type&gt;&#10; &lt;srcSheet&gt;GraphTB&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4:32: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97595" cy="2430661"/>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(Statistics Netherlands)</w:t>
            </w:r>
          </w:p>
        </w:tc>
      </w:tr>
    </w:tbl>
    <w:p w:rsidR="00DC4807" w:rsidRDefault="00DC4807">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77" w:name="_Toc507233662"/>
            <w:r>
              <w:rPr>
                <w:noProof/>
              </w:rPr>
              <w:t>Graph 4.4.12:</w:t>
            </w:r>
            <w:r>
              <w:rPr>
                <w:b/>
                <w:noProof/>
              </w:rPr>
              <w:tab/>
              <w:t>Trade balance services by product group (2016)</w:t>
            </w:r>
            <w:bookmarkEnd w:id="77"/>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31C19608" wp14:editId="6AA5887F">
                  <wp:extent cx="2597595" cy="2108807"/>
                  <wp:effectExtent l="0" t="0" r="0" b="0"/>
                  <wp:docPr id="79" name="Picture 79" descr="&lt;nbr&gt;&lt;GETTEXTFROMWORD&gt;&lt;/nbr&gt;&#10;&lt;title&gt;&lt;GETTEXTFROMWORD&gt;&lt;/title&gt;&#10;&lt;id&gt;6a88fda8-892e-4ee5-9b98-7500aac9434a&lt;/id&gt;&#10;&lt;srcType&gt;EXCEL&lt;/srcType&gt;&#10;&lt;srcPath&gt;O:\2017 CRs\2018 European semester\19 NL\19_NL_TablesGraphesBoxes\&lt;/srcPath&gt;&#10;&lt;srcName&gt;Section4_4.xlsx&lt;/srcName&gt;&#10;&lt;type&gt;graph&lt;/type&gt;&#10; &lt;srcSheet&gt;GraphTB serv&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4:32: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97595" cy="2108807"/>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(Statistics Netherlands)</w:t>
            </w:r>
          </w:p>
        </w:tc>
      </w:tr>
    </w:tbl>
    <w:p w:rsidR="00DC4807" w:rsidRDefault="0005641F">
      <w:pPr>
        <w:pStyle w:val="Heading"/>
        <w:rPr>
          <w:noProof/>
        </w:rPr>
      </w:pPr>
      <w:r>
        <w:rPr>
          <w:noProof/>
        </w:rPr>
        <w:t>Economic consequences</w:t>
      </w:r>
    </w:p>
    <w:p w:rsidR="00DC4807" w:rsidRDefault="0005641F">
      <w:pPr>
        <w:rPr>
          <w:noProof/>
        </w:rPr>
      </w:pPr>
      <w:r>
        <w:rPr>
          <w:b/>
          <w:noProof/>
        </w:rPr>
        <w:t>Large persistent surpluses could point to a suboptimal allocation of economic resources over time and/or between certain sectors</w:t>
      </w:r>
      <w:r>
        <w:rPr>
          <w:noProof/>
        </w:rPr>
        <w:t>. The large and persistent national savings surplus</w:t>
      </w:r>
      <w:r>
        <w:rPr>
          <w:noProof/>
        </w:rPr>
        <w:t xml:space="preserve"> has been questioned as a sign of inefficiencies.(</w:t>
      </w:r>
      <w:r>
        <w:rPr>
          <w:noProof/>
          <w:vertAlign w:val="superscript"/>
        </w:rPr>
        <w:footnoteReference w:id="46"/>
      </w:r>
      <w:r>
        <w:rPr>
          <w:noProof/>
        </w:rPr>
        <w:t>). Large second pillar pension savings, for instance, drive up the compulsory tax and non-tax payment burden on labour (the combination of taxes, health care and pension contributions, see Section 4.2). In</w:t>
      </w:r>
      <w:r>
        <w:rPr>
          <w:noProof/>
        </w:rPr>
        <w:t xml:space="preserve"> the midst of the crisis, pension reserves kept growing, among others due to higher premiums driving up the household saving rate, and driving down net take-home pay. Pro-cyclical income and consumption dynamics are further fuelled by household balance she</w:t>
      </w:r>
      <w:r>
        <w:rPr>
          <w:noProof/>
        </w:rPr>
        <w:t xml:space="preserve">et issues. Dutch households typically have long balance sheets, with large illiquid pension entitlements and housing equity on the asset side and high household debt on the liability side. Relatively low liquidity of households increases the volatility of </w:t>
      </w:r>
      <w:r>
        <w:rPr>
          <w:noProof/>
        </w:rPr>
        <w:t>consumer demand over the cycle. This led to a relatively large reduction in private consumption compared with other EU countries. Addressing household balance sheet issues, amongst others via an overhaul of the second pension pillar (as currently being dis</w:t>
      </w:r>
      <w:r>
        <w:rPr>
          <w:noProof/>
        </w:rPr>
        <w:t>cussed by the social partners, see Section 4.2.4), has the potential to reduce the volatility of the household savings-investment balance and make the domestic economy more resilient to financial shocks</w:t>
      </w:r>
    </w:p>
    <w:p w:rsidR="00DC4807" w:rsidRDefault="0005641F">
      <w:pPr>
        <w:rPr>
          <w:noProof/>
        </w:rPr>
      </w:pPr>
      <w:r>
        <w:rPr>
          <w:b/>
          <w:noProof/>
        </w:rPr>
        <w:t>The persistent net lending position did not develop i</w:t>
      </w:r>
      <w:r>
        <w:rPr>
          <w:b/>
          <w:noProof/>
        </w:rPr>
        <w:t>nto an equivalent net international investment position.</w:t>
      </w:r>
      <w:r>
        <w:rPr>
          <w:noProof/>
        </w:rPr>
        <w:t xml:space="preserve"> By running current account surpluses, a country builds up a positive net international investment position (NIIP). While this makes the surplus country a creditor, it harbours a risk of valuation gai</w:t>
      </w:r>
      <w:r>
        <w:rPr>
          <w:noProof/>
        </w:rPr>
        <w:t>ns/losses due to changes in exchange rates and market prices. Although NIIP increased in line with the current account surpluses in recent years, the NIIP remains far below the level of cumulated annual current account surpluses over a longer period (see G</w:t>
      </w:r>
      <w:r>
        <w:rPr>
          <w:noProof/>
        </w:rPr>
        <w:t xml:space="preserve">raph </w:t>
      </w:r>
      <w:r>
        <w:rPr>
          <w:noProof/>
        </w:rPr>
        <w:fldChar w:fldCharType="begin"/>
      </w:r>
      <w:r>
        <w:rPr>
          <w:noProof/>
        </w:rPr>
        <w:instrText xml:space="preserve"> QUOTE "4.4.13"</w:instrText>
      </w:r>
      <w:r>
        <w:rPr>
          <w:noProof/>
        </w:rPr>
        <w:fldChar w:fldCharType="begin">
          <w:fldData xml:space="preserve">QwBSAE8AUwBTAFIARQBGAEUAUgBFAE4AQwBFACoARwBSAEEAUABIACoANQAwAGMANgA4ADcAOQBj
AC0AOQBkAGYAZQAtADQAYwAyADAALQBiAGUAMQA3AC0ANQA0ADMAZABiADUAZQA2AGQAYQAzAGYA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4.4.13</w:t>
      </w:r>
      <w:r>
        <w:rPr>
          <w:noProof/>
        </w:rPr>
        <w:fldChar w:fldCharType="end"/>
      </w:r>
      <w:r>
        <w:rPr>
          <w:noProof/>
        </w:rPr>
        <w:t xml:space="preserve">). </w:t>
      </w:r>
    </w:p>
    <w:p w:rsidR="00DC4807" w:rsidRDefault="0005641F">
      <w:pPr>
        <w:rPr>
          <w:noProof/>
        </w:rPr>
      </w:pPr>
      <w:r>
        <w:rPr>
          <w:b/>
          <w:noProof/>
        </w:rPr>
        <w:t>Symmetric rebalancing would be beneficial for the euro area economy.</w:t>
      </w:r>
      <w:r>
        <w:rPr>
          <w:noProof/>
        </w:rPr>
        <w:t xml:space="preserve"> Although the euro area economy has experienced rela</w:t>
      </w:r>
      <w:r>
        <w:rPr>
          <w:noProof/>
        </w:rPr>
        <w:t xml:space="preserve">tively strong expansion in recent years, Commission analysis points to a shortfall in domestic demand (see Graph </w:t>
      </w:r>
      <w:r>
        <w:rPr>
          <w:noProof/>
        </w:rPr>
        <w:fldChar w:fldCharType="begin"/>
      </w:r>
      <w:r>
        <w:rPr>
          <w:noProof/>
        </w:rPr>
        <w:instrText xml:space="preserve"> QUOTE "4.4.14"</w:instrText>
      </w:r>
      <w:r>
        <w:rPr>
          <w:noProof/>
        </w:rPr>
        <w:fldChar w:fldCharType="begin">
          <w:fldData xml:space="preserve">QwBSAE8AUwBTAFIARQBGAEUAUgBFAE4AQwBFACoARwBSAEEAUABIACoAOQAwAGEANgAxADQAMAA3
AC0AYgA0ADIAOQAtADQAYwBiADAALQBiADcANwBiAC0AOABmAGUANABiADAAZgBhADYAYgBhAGYA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4.4.14</w:t>
      </w:r>
      <w:r>
        <w:rPr>
          <w:noProof/>
        </w:rPr>
        <w:fldChar w:fldCharType="end"/>
      </w:r>
      <w:r>
        <w:rPr>
          <w:noProof/>
        </w:rPr>
        <w:t>). A saving surp</w:t>
      </w:r>
      <w:r>
        <w:rPr>
          <w:noProof/>
        </w:rPr>
        <w:t>lus in the Netherlands increases the supply of capital to other countries (in the EU, but also to the rest of the world) and lowers interest rates. In normal economic conditions, this would stimulate domestic demand. However, given the current low interest</w:t>
      </w:r>
      <w:r>
        <w:rPr>
          <w:noProof/>
        </w:rPr>
        <w:t xml:space="preserve"> rate environment, an increase in savings has little impact on interest rates and is ineffective in stimulating demand. More direct spending would then be more effective in increasing euro area production and job creation. It should be emphasised that this</w:t>
      </w:r>
      <w:r>
        <w:rPr>
          <w:noProof/>
        </w:rPr>
        <w:t xml:space="preserve"> is a time-variant conclusion and depends on the state of the economy.</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78" w:name="_Toc507233663"/>
            <w:r>
              <w:rPr>
                <w:noProof/>
              </w:rPr>
              <w:t>Graph 4.4.13:</w:t>
            </w:r>
            <w:r>
              <w:rPr>
                <w:b/>
                <w:noProof/>
              </w:rPr>
              <w:tab/>
              <w:t>NIIP and cumulative current account surplus</w:t>
            </w:r>
            <w:bookmarkEnd w:id="78"/>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6B7256F0" wp14:editId="1C7E171F">
                  <wp:extent cx="2597595" cy="2436984"/>
                  <wp:effectExtent l="0" t="0" r="0" b="0"/>
                  <wp:docPr id="80" name="Picture 80" descr="&lt;nbr&gt;&lt;GETTEXTFROMWORD&gt;&lt;/nbr&gt;&#10;&lt;title&gt;&lt;GETTEXTFROMWORD&gt;&lt;/title&gt;&#10;&lt;id&gt;50c6879c-9dfe-4c20-be17-543db5e6da3f&lt;/id&gt;&#10;&lt;srcType&gt;EXCEL&lt;/srcType&gt;&#10;&lt;srcPath&gt;O:\2017 CRs\2018 European semester\19 NL\19_NL_TablesGraphesBoxes&lt;/srcPath&gt;&#10;&lt;srcName&gt;Section4_4.xlsx&lt;/srcName&gt;&#10;&lt;type&gt;graph&lt;/type&gt;&#10; &lt;srcSheet&gt;GraphNII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4:32: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97595" cy="2436984"/>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(Eurostat)</w:t>
            </w:r>
          </w:p>
        </w:tc>
      </w:tr>
    </w:tbl>
    <w:p w:rsidR="00DC4807" w:rsidRDefault="0005641F">
      <w:pPr>
        <w:rPr>
          <w:noProof/>
        </w:rPr>
      </w:pPr>
      <w:r>
        <w:rPr>
          <w:b/>
          <w:noProof/>
        </w:rPr>
        <w:t xml:space="preserve">In sum, more domestic spending has positive benefits for the Netherlands and the </w:t>
      </w:r>
      <w:r>
        <w:rPr>
          <w:b/>
          <w:noProof/>
        </w:rPr>
        <w:t>EU.</w:t>
      </w:r>
      <w:r>
        <w:rPr>
          <w:noProof/>
        </w:rPr>
        <w:t xml:space="preserve"> The persistent and large national savings surplus may be to some extent a symptom of pro-cyclical institutions shaping household saving and investment behaviour. Over a longer period of time, it may be of little benefit (shown by the differences betwee</w:t>
      </w:r>
      <w:r>
        <w:rPr>
          <w:noProof/>
        </w:rPr>
        <w:t xml:space="preserve">n the cumulated annual surpluses and the NIIP). More domestic investment may lead to positive spillovers to other euro area countries and, endogenously, to more economic growth in the euro area and the Netherlands. </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79" w:name="_Toc507233664"/>
            <w:r>
              <w:rPr>
                <w:noProof/>
              </w:rPr>
              <w:t>Graph 4.4.14:</w:t>
            </w:r>
            <w:r>
              <w:rPr>
                <w:b/>
                <w:noProof/>
              </w:rPr>
              <w:tab/>
              <w:t>Euro area output and aggre</w:t>
            </w:r>
            <w:r>
              <w:rPr>
                <w:b/>
                <w:noProof/>
              </w:rPr>
              <w:t>gate demand</w:t>
            </w:r>
            <w:bookmarkEnd w:id="79"/>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2C49C353" wp14:editId="24D7106F">
                  <wp:extent cx="2597595" cy="2436984"/>
                  <wp:effectExtent l="0" t="0" r="0" b="0"/>
                  <wp:docPr id="81" name="Picture 81" descr="&lt;nbr&gt;&lt;GETTEXTFROMWORD&gt;&lt;/nbr&gt;&#10;&lt;title&gt;&lt;GETTEXTFROMWORD&gt;&lt;/title&gt;&#10;&lt;id&gt;90a61407-b429-4cb0-b77b-8fe4b0fa6baf&lt;/id&gt;&#10;&lt;srcType&gt;EXCEL&lt;/srcType&gt;&#10;&lt;srcPath&gt;O:\2017 CRs\2018 European semester\19 NL\19_NL_TablesGraphesBoxes&lt;/srcPath&gt;&#10;&lt;srcName&gt;Section4_4.xlsx&lt;/srcName&gt;&#10;&lt;type&gt;graph&lt;/type&gt;&#10; &lt;srcSheet&gt;GraphEA&lt;/srcSheet&gt;&#10; &lt;srcChartTitle&gt;Chart 7&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4:32: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97595" cy="2436984"/>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(Eurostat)</w:t>
            </w:r>
          </w:p>
        </w:tc>
      </w:tr>
    </w:tbl>
    <w:p w:rsidR="00DC4807" w:rsidRDefault="00DC4807">
      <w:pPr>
        <w:rPr>
          <w:noProof/>
        </w:rPr>
        <w:sectPr w:rsidR="00DC4807">
          <w:headerReference w:type="even" r:id="rId151"/>
          <w:headerReference w:type="default" r:id="rId152"/>
          <w:footerReference w:type="even" r:id="rId153"/>
          <w:footerReference w:type="default" r:id="rId154"/>
          <w:headerReference w:type="first" r:id="rId155"/>
          <w:footerReference w:type="first" r:id="rId15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DC4807">
        <w:trPr>
          <w:jc w:val="center"/>
        </w:trPr>
        <w:tc>
          <w:tcPr>
            <w:tcW w:w="8721" w:type="dxa"/>
            <w:shd w:val="clear" w:color="auto" w:fill="F7FCFF"/>
          </w:tcPr>
          <w:p w:rsidR="00DC4807" w:rsidRDefault="0005641F">
            <w:pPr>
              <w:pStyle w:val="BoxTitle"/>
              <w:pageBreakBefore/>
              <w:rPr>
                <w:b/>
                <w:noProof/>
              </w:rPr>
            </w:pPr>
            <w:bookmarkStart w:id="80" w:name="_Toc507233623"/>
            <w:r>
              <w:rPr>
                <w:i/>
                <w:noProof/>
              </w:rPr>
              <w:t xml:space="preserve">Box 4.4.1: </w:t>
            </w:r>
            <w:r>
              <w:rPr>
                <w:b/>
                <w:noProof/>
              </w:rPr>
              <w:t>Investment challenges and reforms in the Netherlands</w:t>
            </w:r>
            <w:bookmarkEnd w:id="80"/>
          </w:p>
          <w:p w:rsidR="00DC4807" w:rsidRDefault="0005641F">
            <w:pPr>
              <w:pStyle w:val="BoxHeading"/>
              <w:spacing w:after="120"/>
              <w:rPr>
                <w:noProof/>
              </w:rPr>
            </w:pPr>
            <w:r>
              <w:rPr>
                <w:noProof/>
              </w:rPr>
              <w:t>Section 1. Macroeconomic perspective</w:t>
            </w:r>
          </w:p>
          <w:p w:rsidR="00DC4807" w:rsidRDefault="0005641F">
            <w:pPr>
              <w:spacing w:after="0"/>
              <w:ind w:right="3"/>
              <w:rPr>
                <w:noProof/>
              </w:rPr>
            </w:pPr>
            <w:r>
              <w:rPr>
                <w:noProof/>
              </w:rPr>
              <w:t>In 2016, the investment rate returned to the long-term average level of 20 % of GDP. In particular residential investment experienced boom-bust episodes during the crisis, with a sharp drop related to the housing market</w:t>
            </w:r>
            <w:r>
              <w:rPr>
                <w:noProof/>
              </w:rPr>
              <w:t xml:space="preserve"> slump and an equally sharp recovery from 2014 onwards. Looking ahead, private investment is expected to continue to grow, albeit at more sustainable lower rates. Investment in intangible assets accounts for some 10 % of total business gross fixed capital </w:t>
            </w:r>
            <w:r>
              <w:rPr>
                <w:noProof/>
              </w:rPr>
              <w:t>formation, which is in line with the EU average but below levels in the US, the UK and the Nordic countries. Public investment peaked at 4.3 % of GDP in 2009, declined to 3.5 % in 2016 and is expected to remain roughly stable over the coming years, accordi</w:t>
            </w:r>
            <w:r>
              <w:rPr>
                <w:noProof/>
              </w:rPr>
              <w:t>ng to the European Commission Autumn 2017 Economic Forecast. Public and private expenditure on R&amp;D remains well below the overall 2.5 % of GDP target and it is low compared to the top performers, despite increased public R&amp;D funding in the new Coalition Ag</w:t>
            </w:r>
            <w:r>
              <w:rPr>
                <w:noProof/>
              </w:rPr>
              <w:t xml:space="preserve">reement. </w:t>
            </w:r>
          </w:p>
          <w:p w:rsidR="00DC4807" w:rsidRDefault="00DC4807">
            <w:pPr>
              <w:spacing w:after="0"/>
              <w:ind w:right="3"/>
              <w:rPr>
                <w:noProof/>
              </w:rPr>
            </w:pPr>
          </w:p>
          <w:p w:rsidR="00DC4807" w:rsidRDefault="0005641F">
            <w:pPr>
              <w:pStyle w:val="BoxHeading"/>
              <w:spacing w:after="120"/>
              <w:rPr>
                <w:noProof/>
              </w:rPr>
            </w:pPr>
            <w:r>
              <w:rPr>
                <w:noProof/>
              </w:rPr>
              <w:t>Section 2. Assessment of barriers to investment and ongoing reforms</w:t>
            </w:r>
          </w:p>
          <w:p w:rsidR="00DC4807" w:rsidRDefault="00DC4807">
            <w:pPr>
              <w:spacing w:after="0"/>
              <w:ind w:right="3"/>
              <w:rPr>
                <w:noProof/>
              </w:rPr>
            </w:pPr>
          </w:p>
          <w:p w:rsidR="00DC4807" w:rsidRDefault="0005641F">
            <w:pPr>
              <w:pStyle w:val="BoxText"/>
              <w:rPr>
                <w:noProof/>
              </w:rPr>
            </w:pPr>
            <w:r>
              <w:rPr>
                <w:noProof/>
                <w:lang w:eastAsia="en-GB"/>
              </w:rPr>
              <w:drawing>
                <wp:inline distT="0" distB="0" distL="0" distR="0" wp14:anchorId="699E3E86" wp14:editId="76D19077">
                  <wp:extent cx="5039995" cy="2068138"/>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039995" cy="2068138"/>
                          </a:xfrm>
                          <a:prstGeom prst="rect">
                            <a:avLst/>
                          </a:prstGeom>
                          <a:noFill/>
                          <a:ln>
                            <a:noFill/>
                          </a:ln>
                        </pic:spPr>
                      </pic:pic>
                    </a:graphicData>
                  </a:graphic>
                </wp:inline>
              </w:drawing>
            </w:r>
          </w:p>
          <w:p w:rsidR="00DC4807" w:rsidRDefault="0005641F">
            <w:pPr>
              <w:pStyle w:val="BoxHeading"/>
              <w:spacing w:before="0" w:after="0"/>
              <w:rPr>
                <w:noProof/>
              </w:rPr>
            </w:pPr>
            <w:r>
              <w:rPr>
                <w:noProof/>
              </w:rPr>
              <w:t>Main barriers to investment and priority actions underway</w:t>
            </w:r>
          </w:p>
          <w:p w:rsidR="00DC4807" w:rsidRDefault="0005641F">
            <w:pPr>
              <w:spacing w:after="0"/>
              <w:ind w:right="3"/>
              <w:rPr>
                <w:noProof/>
                <w:szCs w:val="20"/>
              </w:rPr>
            </w:pPr>
            <w:r>
              <w:rPr>
                <w:noProof/>
              </w:rPr>
              <w:t>Overall, the Netherlands faces relatively few regulatory barriers to investment, as confirmed by the European Commis</w:t>
            </w:r>
            <w:r>
              <w:rPr>
                <w:noProof/>
              </w:rPr>
              <w:t>sion assessment (see EC, 2015). The new government's fiscal plans contain a substantial investment in R&amp;D (see Section 4.5.2). Certain sectoral regulations may create obstacles to investment, e.g. procedures to obtain building permits are lengthy, although</w:t>
            </w:r>
            <w:r>
              <w:rPr>
                <w:noProof/>
              </w:rPr>
              <w:t xml:space="preserve"> World Bank Doing Business indicators point to a slight improvement compared to last year (in relative terms). Nevertheless, the Netherlands still ranks relatively low (76th compared to 87th in 2016), which is largely explained by the time it takes to obta</w:t>
            </w:r>
            <w:r>
              <w:rPr>
                <w:noProof/>
              </w:rPr>
              <w:t>in the building permit. The Netherlands has introduced all administrative procedures to support investment in renewable energy (see EC, 2017i), lowering barriers to investment in this sector. However, despite additional measures as well as a new 'energy tr</w:t>
            </w:r>
            <w:r>
              <w:rPr>
                <w:noProof/>
              </w:rPr>
              <w:t xml:space="preserve">ansition finance facility' that opened in July 2017, the Netherlands is expected to miss its renewable energy target for 2020. </w:t>
            </w:r>
          </w:p>
        </w:tc>
      </w:tr>
    </w:tbl>
    <w:p w:rsidR="00DC4807" w:rsidRDefault="00DC4807">
      <w:pPr>
        <w:spacing w:after="0" w:line="20" w:lineRule="exact"/>
        <w:rPr>
          <w:noProof/>
          <w:sz w:val="2"/>
        </w:rPr>
        <w:sectPr w:rsidR="00DC4807">
          <w:headerReference w:type="even" r:id="rId158"/>
          <w:headerReference w:type="default" r:id="rId159"/>
          <w:footerReference w:type="even" r:id="rId160"/>
          <w:footerReference w:type="default" r:id="rId161"/>
          <w:headerReference w:type="first" r:id="rId162"/>
          <w:footerReference w:type="first" r:id="rId163"/>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DC4807" w:rsidRDefault="00DC4807">
      <w:pPr>
        <w:rPr>
          <w:noProof/>
        </w:rPr>
        <w:sectPr w:rsidR="00DC4807">
          <w:headerReference w:type="even" r:id="rId164"/>
          <w:headerReference w:type="default" r:id="rId165"/>
          <w:footerReference w:type="even" r:id="rId166"/>
          <w:footerReference w:type="default" r:id="rId167"/>
          <w:headerReference w:type="first" r:id="rId168"/>
          <w:footerReference w:type="first" r:id="rId169"/>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DC4807" w:rsidRDefault="0005641F">
      <w:pPr>
        <w:pStyle w:val="SectionTitleFramed10"/>
        <w:framePr w:wrap="notBeside"/>
        <w:rPr>
          <w:noProof/>
        </w:rPr>
      </w:pPr>
      <w:bookmarkStart w:id="81" w:name="_Toc507233696"/>
      <w:r>
        <w:rPr>
          <w:noProof/>
        </w:rPr>
        <w:t>4.5. Sectoral policies</w:t>
      </w:r>
      <w:bookmarkEnd w:id="81"/>
    </w:p>
    <w:p w:rsidR="00DC4807" w:rsidRDefault="0005641F">
      <w:pPr>
        <w:pStyle w:val="NumberedHeading1"/>
        <w:tabs>
          <w:tab w:val="left" w:pos="567"/>
        </w:tabs>
        <w:rPr>
          <w:noProof/>
        </w:rPr>
      </w:pPr>
      <w:r>
        <w:rPr>
          <w:noProof/>
        </w:rPr>
        <w:t>4.5.1.</w:t>
      </w:r>
      <w:r>
        <w:rPr>
          <w:noProof/>
        </w:rPr>
        <w:tab/>
        <w:t>Productivity developments, innovation and competition</w:t>
      </w:r>
    </w:p>
    <w:p w:rsidR="00DC4807" w:rsidRDefault="0005641F">
      <w:pPr>
        <w:rPr>
          <w:noProof/>
        </w:rPr>
      </w:pPr>
      <w:r>
        <w:rPr>
          <w:b/>
          <w:noProof/>
        </w:rPr>
        <w:t xml:space="preserve">The </w:t>
      </w:r>
      <w:r>
        <w:rPr>
          <w:b/>
          <w:noProof/>
        </w:rPr>
        <w:t>post-crisis recovery in productivity growth is mostly driven by total factor productivity (TFP) growth.</w:t>
      </w:r>
      <w:r>
        <w:rPr>
          <w:noProof/>
        </w:rPr>
        <w:t xml:space="preserve"> The Dutch economy is one of the most productive of the world with an income per capita 20 % above the EU average. Since the 1970s, productivity growth h</w:t>
      </w:r>
      <w:r>
        <w:rPr>
          <w:noProof/>
        </w:rPr>
        <w:t xml:space="preserve">as slowed down considerably from an average 5 % per year to barely 1 % over the last years. The recent modest recovery in GDP growth is mostly down to TFP growth, which has been the only sustained source of productivity growth in recent years (see Graph </w:t>
      </w:r>
      <w:r>
        <w:rPr>
          <w:noProof/>
        </w:rPr>
        <w:fldChar w:fldCharType="begin"/>
      </w:r>
      <w:r>
        <w:rPr>
          <w:noProof/>
        </w:rPr>
        <w:instrText xml:space="preserve"> Q</w:instrText>
      </w:r>
      <w:r>
        <w:rPr>
          <w:noProof/>
        </w:rPr>
        <w:instrText>UOTE "4.5.1"</w:instrText>
      </w:r>
      <w:r>
        <w:rPr>
          <w:noProof/>
        </w:rPr>
        <w:fldChar w:fldCharType="begin">
          <w:fldData xml:space="preserve">QwBSAE8AUwBTAFIARQBGAEUAUgBFAE4AQwBFACoARwBSAEEAUABIACoANwBkADQAYgA5ADcANQBl
AC0AYwA5ADkAMgAtADQAMAA0ADAALQBhAGIAYwAxAC0AYgBkAGIAZgA2AGUANwAwADcAMwA0ADYA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4.5.1</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82" w:name="_Toc507233665"/>
            <w:r>
              <w:rPr>
                <w:noProof/>
              </w:rPr>
              <w:t>Graph 4.5.1:</w:t>
            </w:r>
            <w:r>
              <w:rPr>
                <w:b/>
                <w:noProof/>
              </w:rPr>
              <w:tab/>
              <w:t>Contributions to changes in growth of real value added</w:t>
            </w:r>
            <w:bookmarkEnd w:id="82"/>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60A013BF" wp14:editId="78228397">
                  <wp:extent cx="2597595" cy="2445578"/>
                  <wp:effectExtent l="0" t="0" r="0" b="0"/>
                  <wp:docPr id="54" name="Picture 54" descr="&lt;nbr&gt;&lt;GETTEXTFROMWORD&gt;&lt;/nbr&gt;&#10;&lt;title&gt;&lt;GETTEXTFROMWORD&gt;&lt;/title&gt;&#10;&lt;id&gt;7d4b975e-c992-4040-abc1-bdbf6e707346&lt;/id&gt;&#10;&lt;srcType&gt;EXCEL&lt;/srcType&gt;&#10;&lt;srcPath&gt;O:\2017 CRs\2018 European semester\19 NL\19_NL_TablesGraphesBoxes&lt;/srcPath&gt;&#10;&lt;srcName&gt;Section4_5.xlsx&lt;/srcName&gt;&#10;&lt;type&gt;graph&lt;/type&gt;&#10; &lt;srcSheet&gt;contribution TFP&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4T11:44:25&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597595" cy="2445578"/>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lang w:val="fr-BE"/>
              </w:rPr>
            </w:pPr>
            <w:r>
              <w:rPr>
                <w:b/>
                <w:i/>
                <w:noProof/>
                <w:lang w:val="fr-BE"/>
              </w:rPr>
              <w:t>Source:</w:t>
            </w:r>
            <w:r>
              <w:rPr>
                <w:noProof/>
                <w:lang w:val="fr-BE"/>
              </w:rPr>
              <w:t xml:space="preserve"> European Commission, EU KLEMS database</w:t>
            </w:r>
          </w:p>
        </w:tc>
      </w:tr>
    </w:tbl>
    <w:p w:rsidR="00DC4807" w:rsidRDefault="0005641F">
      <w:pPr>
        <w:rPr>
          <w:noProof/>
        </w:rPr>
      </w:pPr>
      <w:r>
        <w:rPr>
          <w:b/>
          <w:noProof/>
        </w:rPr>
        <w:t xml:space="preserve">The main </w:t>
      </w:r>
      <w:r>
        <w:rPr>
          <w:b/>
          <w:noProof/>
        </w:rPr>
        <w:t>contributions to aggregate productivity growth come from developments within sectors.</w:t>
      </w:r>
      <w:r>
        <w:rPr>
          <w:noProof/>
        </w:rPr>
        <w:t xml:space="preserve"> A shift-share analysis of productivity growth shows that changes in the sectoral structure had a negative - albeit minor - effect on aggregate productivity growth while t</w:t>
      </w:r>
      <w:r>
        <w:rPr>
          <w:noProof/>
        </w:rPr>
        <w:t xml:space="preserve">he bulk of the productivity growth was due to productivity developments within sectors (see Table </w:t>
      </w:r>
      <w:r>
        <w:rPr>
          <w:noProof/>
        </w:rPr>
        <w:fldChar w:fldCharType="begin"/>
      </w:r>
      <w:r>
        <w:rPr>
          <w:noProof/>
        </w:rPr>
        <w:instrText xml:space="preserve"> QUOTE "4.5.1"</w:instrText>
      </w:r>
      <w:r>
        <w:rPr>
          <w:noProof/>
        </w:rPr>
        <w:fldChar w:fldCharType="begin">
          <w:fldData xml:space="preserve">QwBSAE8AUwBTAFIARQBGAEUAUgBFAE4AQwBFACoAVABBAEIATABFACoAYQA4ADcAMAAwADEAOAA5
AC0AYwA5ADEAZgAtADQAZQAyAGYALQBiADMAZQA0AC0ANAAyADEANgBmADMAOQAxADIANwAzADMA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4.5.1</w:t>
      </w:r>
      <w:r>
        <w:rPr>
          <w:noProof/>
        </w:rPr>
        <w:fldChar w:fldCharType="end"/>
      </w:r>
      <w:r>
        <w:rPr>
          <w:noProof/>
        </w:rPr>
        <w:t>).</w:t>
      </w:r>
    </w:p>
    <w:p w:rsidR="00DC4807" w:rsidRDefault="0005641F">
      <w:pPr>
        <w:rPr>
          <w:noProof/>
        </w:rPr>
      </w:pPr>
      <w:r>
        <w:rPr>
          <w:b/>
          <w:noProof/>
        </w:rPr>
        <w:t>Whereas ICT, energy and the fi</w:t>
      </w:r>
      <w:r>
        <w:rPr>
          <w:b/>
          <w:noProof/>
        </w:rPr>
        <w:t>nancial sector experienced the fastest productivity growth before the crisis; productivity growth has been driven mostly by the real estate, construction and trade-related sectors after the crisis.</w:t>
      </w:r>
      <w:r>
        <w:rPr>
          <w:noProof/>
        </w:rPr>
        <w:t xml:space="preserve"> Productivity levels are traditionally high in manufacturin</w:t>
      </w:r>
      <w:r>
        <w:rPr>
          <w:noProof/>
        </w:rPr>
        <w:t xml:space="preserve">g and low in services. Post-crisis productivity growth was also relatively high in manufacturing, trade and transport sectors (see Graph </w:t>
      </w:r>
      <w:r>
        <w:rPr>
          <w:noProof/>
        </w:rPr>
        <w:fldChar w:fldCharType="begin"/>
      </w:r>
      <w:r>
        <w:rPr>
          <w:noProof/>
        </w:rPr>
        <w:instrText xml:space="preserve"> QUOTE "4.5.2"</w:instrText>
      </w:r>
      <w:r>
        <w:rPr>
          <w:noProof/>
        </w:rPr>
        <w:fldChar w:fldCharType="begin">
          <w:fldData xml:space="preserve">QwBSAE8AUwBTAFIARQBGAEUAUgBFAE4AQwBFACoARwBSAEEAUABIACoAMAA5ADgAZgBjADIAMQBj
AC0AMwA5ADIAZgAtADQAOAAxAGYALQA4ADYANwBhAC0ANAA5ADAAZQBjADEAZgAxAGYANwBmADkA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w:t>
      </w:r>
      <w:r>
        <w:rPr>
          <w:noProof/>
        </w:rPr>
        <w:t>.2</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Height w:val="20"/>
        </w:trPr>
        <w:tc>
          <w:tcPr>
            <w:tcW w:w="4110" w:type="dxa"/>
            <w:shd w:val="clear" w:color="auto" w:fill="auto"/>
          </w:tcPr>
          <w:p w:rsidR="00DC4807" w:rsidRDefault="00DC4807">
            <w:pPr>
              <w:pStyle w:val="SlimCell"/>
              <w:keepNext/>
              <w:rPr>
                <w:noProof/>
              </w:rPr>
            </w:pPr>
          </w:p>
        </w:tc>
      </w:tr>
      <w:tr w:rsidR="00DC4807">
        <w:trPr>
          <w:cantSplit/>
        </w:trPr>
        <w:tc>
          <w:tcPr>
            <w:tcW w:w="4110" w:type="dxa"/>
            <w:shd w:val="clear" w:color="auto" w:fill="auto"/>
          </w:tcPr>
          <w:p w:rsidR="00DC4807" w:rsidRDefault="0005641F">
            <w:pPr>
              <w:pStyle w:val="TableTitle"/>
              <w:rPr>
                <w:b/>
                <w:noProof/>
              </w:rPr>
            </w:pPr>
            <w:bookmarkStart w:id="83" w:name="_Toc507233676"/>
            <w:r>
              <w:rPr>
                <w:noProof/>
              </w:rPr>
              <w:t>Table 4.5.1:</w:t>
            </w:r>
            <w:r>
              <w:rPr>
                <w:b/>
                <w:noProof/>
              </w:rPr>
              <w:tab/>
              <w:t>Total productivity growth, 1995-2015 (%)</w:t>
            </w:r>
            <w:bookmarkEnd w:id="83"/>
          </w:p>
        </w:tc>
      </w:tr>
      <w:tr w:rsidR="00DC4807">
        <w:trPr>
          <w:cantSplit/>
        </w:trPr>
        <w:tc>
          <w:tcPr>
            <w:tcW w:w="4110" w:type="dxa"/>
            <w:shd w:val="clear" w:color="auto" w:fill="auto"/>
          </w:tcPr>
          <w:p w:rsidR="00DC4807" w:rsidRDefault="0005641F">
            <w:pPr>
              <w:pStyle w:val="TableShape"/>
              <w:rPr>
                <w:noProof/>
                <w:sz w:val="2"/>
              </w:rPr>
            </w:pPr>
            <w:r>
              <w:rPr>
                <w:noProof/>
                <w:sz w:val="2"/>
                <w:lang w:eastAsia="en-GB"/>
              </w:rPr>
              <w:drawing>
                <wp:inline distT="0" distB="0" distL="0" distR="0" wp14:anchorId="5F1F25B3" wp14:editId="48F628CE">
                  <wp:extent cx="2597595" cy="760086"/>
                  <wp:effectExtent l="0" t="0" r="0" b="2540"/>
                  <wp:docPr id="55" name="Picture 55" descr="&lt;nbr&gt;&lt;GETTEXTFROMWORD&gt;&lt;/nbr&gt;&#10;&lt;title&gt;&lt;GETTEXTFROMWORD&gt;&lt;/title&gt;&#10;&lt;id&gt;a8700189-c91f-4e2f-b3e4-4216f3912733&lt;/id&gt;&#10;&lt;srcType&gt;EXCEL&lt;/srcType&gt;&#10;&lt;srcPath&gt;O:\2017 CRs\2018 European semester\19 NL\19_NL_TablesGraphesBoxes&lt;/srcPath&gt;&#10;&lt;srcName&gt;Section4_5.xlsx&lt;/srcName&gt;&#10;&lt;type&gt;table&lt;/type&gt;&#10; &lt;srcSheet&gt;Sheet1&lt;/srcSheet&gt;&#10; &lt;srcRange&gt;R2C2:R8C8&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4T11:44:25&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597595" cy="760086"/>
                          </a:xfrm>
                          <a:prstGeom prst="rect">
                            <a:avLst/>
                          </a:prstGeom>
                          <a:noFill/>
                          <a:ln>
                            <a:noFill/>
                          </a:ln>
                        </pic:spPr>
                      </pic:pic>
                    </a:graphicData>
                  </a:graphic>
                </wp:inline>
              </w:drawing>
            </w:r>
          </w:p>
        </w:tc>
      </w:tr>
      <w:tr w:rsidR="00DC4807">
        <w:trPr>
          <w:cantSplit/>
        </w:trPr>
        <w:tc>
          <w:tcPr>
            <w:tcW w:w="4110" w:type="dxa"/>
            <w:shd w:val="clear" w:color="auto" w:fill="auto"/>
          </w:tcPr>
          <w:p w:rsidR="00DC4807" w:rsidRDefault="0005641F">
            <w:pPr>
              <w:pStyle w:val="TableSource"/>
              <w:rPr>
                <w:noProof/>
              </w:rPr>
            </w:pPr>
            <w:r>
              <w:rPr>
                <w:b/>
                <w:i/>
                <w:noProof/>
              </w:rPr>
              <w:t>Source:</w:t>
            </w:r>
            <w:r>
              <w:rPr>
                <w:noProof/>
              </w:rPr>
              <w:t xml:space="preserve"> European Commission, AMECO database and own calculations</w:t>
            </w:r>
          </w:p>
        </w:tc>
      </w:tr>
      <w:tr w:rsidR="00DC4807">
        <w:trPr>
          <w:cantSplit/>
          <w:trHeight w:val="20"/>
        </w:trPr>
        <w:tc>
          <w:tcPr>
            <w:tcW w:w="4110" w:type="dxa"/>
            <w:shd w:val="clear" w:color="auto" w:fill="auto"/>
            <w:tcMar>
              <w:bottom w:w="240" w:type="dxa"/>
            </w:tcMar>
          </w:tcPr>
          <w:p w:rsidR="00DC4807" w:rsidRDefault="00DC4807">
            <w:pPr>
              <w:pStyle w:val="SlimCell"/>
              <w:rPr>
                <w:noProof/>
              </w:rPr>
            </w:pPr>
          </w:p>
        </w:tc>
      </w:tr>
    </w:tbl>
    <w:p w:rsidR="00DC4807" w:rsidRDefault="00DC4807">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84" w:name="_Toc507233666"/>
            <w:r>
              <w:rPr>
                <w:noProof/>
              </w:rPr>
              <w:t>Graph 4.5.2:</w:t>
            </w:r>
            <w:r>
              <w:rPr>
                <w:b/>
                <w:noProof/>
              </w:rPr>
              <w:tab/>
              <w:t>Productivity development by sector</w:t>
            </w:r>
            <w:bookmarkEnd w:id="84"/>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26884C71" wp14:editId="55E94A37">
                  <wp:extent cx="2597595" cy="2430110"/>
                  <wp:effectExtent l="0" t="0" r="0" b="0"/>
                  <wp:docPr id="56" name="Picture 56" descr="&lt;nbr&gt;&lt;GETTEXTFROMWORD&gt;&lt;/nbr&gt;&#10;&lt;title&gt;&lt;GETTEXTFROMWORD&gt;&lt;/title&gt;&#10;&lt;id&gt;098fc21c-392f-481f-867a-490ec1f1f7f9&lt;/id&gt;&#10;&lt;srcType&gt;EXCEL&lt;/srcType&gt;&#10;&lt;srcPath&gt;O:\2017 CRs\2018 European semester\19 NL\19_NL_TablesGraphesBoxes\&lt;/srcPath&gt;&#10;&lt;srcName&gt;Section4_5.xlsx&lt;/srcName&gt;&#10;&lt;type&gt;graph&lt;/type&gt;&#10; &lt;srcSheet&gt;ProductivitySector1&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4T11:44:25&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7595" cy="2430110"/>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Footnote"/>
              <w:keepNext/>
              <w:rPr>
                <w:noProof/>
              </w:rPr>
            </w:pPr>
            <w:r>
              <w:rPr>
                <w:noProof/>
              </w:rPr>
              <w:t xml:space="preserve">Sector codes are: A Agriculture, C Manufacturing, D-E Electricity, </w:t>
            </w:r>
            <w:r>
              <w:rPr>
                <w:noProof/>
              </w:rPr>
              <w:t>gas, F Construction, G Wholesale and retail trade, H Transportation, I Accommodation and food, J Information, K Financial, M-N Professional activities, O Public administration, P Education, Q Health, R Arts, S Other services.</w:t>
            </w:r>
          </w:p>
          <w:p w:rsidR="00DC4807" w:rsidRDefault="0005641F">
            <w:pPr>
              <w:pStyle w:val="GraphSource"/>
              <w:keepNext/>
              <w:rPr>
                <w:noProof/>
                <w:lang w:val="fr-BE"/>
              </w:rPr>
            </w:pPr>
            <w:r>
              <w:rPr>
                <w:b/>
                <w:i/>
                <w:noProof/>
                <w:lang w:val="fr-BE"/>
              </w:rPr>
              <w:t>Source:</w:t>
            </w:r>
            <w:r>
              <w:rPr>
                <w:noProof/>
                <w:lang w:val="fr-BE"/>
              </w:rPr>
              <w:t xml:space="preserve"> European Commission (E</w:t>
            </w:r>
            <w:r>
              <w:rPr>
                <w:noProof/>
                <w:lang w:val="fr-BE"/>
              </w:rPr>
              <w:t>U KLEMS)</w:t>
            </w:r>
          </w:p>
        </w:tc>
      </w:tr>
    </w:tbl>
    <w:p w:rsidR="00DC4807" w:rsidRDefault="0005641F">
      <w:pPr>
        <w:rPr>
          <w:noProof/>
        </w:rPr>
      </w:pPr>
      <w:r>
        <w:rPr>
          <w:b/>
          <w:noProof/>
        </w:rPr>
        <w:t>A recent study, focussing on Dutch firm level data shows relatively small differences between sectors and finds no evidence for a lack of technology diffusion.</w:t>
      </w:r>
      <w:r>
        <w:rPr>
          <w:noProof/>
        </w:rPr>
        <w:t xml:space="preserve"> The detailed analysis of firm-level productivity growth before, during and after the crisis in a recent CPB study - based on register data and other administrative data sources for 53 sectors for the period 2006-2015 - shows strikingly similar patterns in</w:t>
      </w:r>
      <w:r>
        <w:rPr>
          <w:noProof/>
        </w:rPr>
        <w:t xml:space="preserve"> all sectors between so-called leading firms at the 'productivity frontier' and lagging firms (see Van Heuvelen, Bettendorf and Meijerink, 2018, forthcoming). Leading firms and lagging firms are found to be subject to a decline of productivity growth durin</w:t>
      </w:r>
      <w:r>
        <w:rPr>
          <w:noProof/>
        </w:rPr>
        <w:t xml:space="preserve">g the crisis, with the strongest decline for frontier firms in the services sector, while revealing increasing differences in the productivity increase during the recovery (see Graph </w:t>
      </w:r>
      <w:r>
        <w:rPr>
          <w:noProof/>
        </w:rPr>
        <w:fldChar w:fldCharType="begin"/>
      </w:r>
      <w:r>
        <w:rPr>
          <w:noProof/>
        </w:rPr>
        <w:instrText xml:space="preserve"> QUOTE "4.5.3"</w:instrText>
      </w:r>
      <w:r>
        <w:rPr>
          <w:noProof/>
        </w:rPr>
        <w:fldChar w:fldCharType="begin">
          <w:fldData xml:space="preserve">QwBSAE8AUwBTAFIARQBGAEUAUgBFAE4AQwBFACoARwBSAEEAUABIACoAOQBjAGMAYQA3AGEANgBh
AC0AZgBkADAAOAAtADQAMAAyAGYALQBhADgAYwA5AC0AZQA3ADcANAAyAGIAMQA2AGMANwA3ADAA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4.5.3</w:t>
      </w:r>
      <w:r>
        <w:rPr>
          <w:noProof/>
        </w:rPr>
        <w:fldChar w:fldCharType="end"/>
      </w:r>
      <w:r>
        <w:rPr>
          <w:noProof/>
        </w:rPr>
        <w:t xml:space="preserve">). These findings allow the authors to conclude that the observed productivity slowdown is not due to changes in transmission mechanisms (technology diffusion from leading frontier firms to other firms in </w:t>
      </w:r>
      <w:r>
        <w:rPr>
          <w:noProof/>
        </w:rPr>
        <w:t>the sector such that successful technologies employed by the frontier firms are transmitted to the other firms in the economy). The study also shows that there is substantial mobility of firms with regard to their relative position to the national producti</w:t>
      </w:r>
      <w:r>
        <w:rPr>
          <w:noProof/>
        </w:rPr>
        <w:t xml:space="preserve">vity frontier (only some 10 % of the firms remain at the national productivity frontier over a period of 5 years). A significant share of firms is found to change positions over time, including among those classified as either leading or lagging firms. </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85" w:name="_Toc507233667"/>
            <w:r>
              <w:rPr>
                <w:noProof/>
              </w:rPr>
              <w:t>Gr</w:t>
            </w:r>
            <w:r>
              <w:rPr>
                <w:noProof/>
              </w:rPr>
              <w:t>aph 4.5.3:</w:t>
            </w:r>
            <w:r>
              <w:rPr>
                <w:b/>
                <w:noProof/>
              </w:rPr>
              <w:tab/>
              <w:t>Productivity growth by firm productivity level (leaders/laggards)</w:t>
            </w:r>
            <w:bookmarkEnd w:id="85"/>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71D0FE8A" wp14:editId="79C1D6CF">
                  <wp:extent cx="2597595" cy="2445578"/>
                  <wp:effectExtent l="0" t="0" r="0" b="0"/>
                  <wp:docPr id="57" name="Picture 57" descr="&lt;nbr&gt;&lt;GETTEXTFROMWORD&gt;&lt;/nbr&gt;&#10;&lt;title&gt;&lt;GETTEXTFROMWORD&gt;&lt;/title&gt;&#10;&lt;id&gt;9cca7a6a-fd08-402f-a8c9-e7742b16c770&lt;/id&gt;&#10;&lt;srcType&gt;EXCEL&lt;/srcType&gt;&#10;&lt;srcPath&gt;O:\2017 CRs\2018 European semester\19 NL\19_NL_TablesGraphesBoxes\&lt;/srcPath&gt;&#10;&lt;srcName&gt;Section4_5.xlsx&lt;/srcName&gt;&#10;&lt;type&gt;graph&lt;/type&gt;&#10; &lt;srcSheet&gt;ProductivitySector&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4T11:44:25&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597595" cy="2445578"/>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rPr>
            </w:pPr>
            <w:r>
              <w:rPr>
                <w:b/>
                <w:i/>
                <w:noProof/>
              </w:rPr>
              <w:t>Source:</w:t>
            </w:r>
            <w:r>
              <w:rPr>
                <w:noProof/>
              </w:rPr>
              <w:t xml:space="preserve"> European Commission based on Van Heuvelen et al (2018, forthcoming)</w:t>
            </w:r>
          </w:p>
        </w:tc>
      </w:tr>
    </w:tbl>
    <w:p w:rsidR="00DC4807" w:rsidRDefault="0005641F">
      <w:pPr>
        <w:rPr>
          <w:noProof/>
        </w:rPr>
      </w:pPr>
      <w:r>
        <w:rPr>
          <w:b/>
          <w:noProof/>
        </w:rPr>
        <w:t>Further reducing on-the-job skill mismatches and putting skills to better use can increase product</w:t>
      </w:r>
      <w:r>
        <w:rPr>
          <w:b/>
          <w:noProof/>
        </w:rPr>
        <w:t>ivity.</w:t>
      </w:r>
      <w:r>
        <w:rPr>
          <w:noProof/>
        </w:rPr>
        <w:t xml:space="preserve"> Based on data from the Programme for the International Assessment of Adult Competencies (PIAAC) survey, the actual use of numeracy and IT skills on the job is much lower than the proficiency of the workforce; there are also significant numbers of ov</w:t>
      </w:r>
      <w:r>
        <w:rPr>
          <w:noProof/>
        </w:rPr>
        <w:t xml:space="preserve">er-skilled workers in the lower wage quintiles in particular. Reducing the skills mismatch to OECD best practice could increase productivity by up to 3 % (OECD, 2015, 2017b). Addressing shortages and restrictions in housing would reduce skill shortages at </w:t>
      </w:r>
      <w:r>
        <w:rPr>
          <w:noProof/>
        </w:rPr>
        <w:t>regional level and further increase labour productivity (OECD, 2017a,c).</w:t>
      </w:r>
    </w:p>
    <w:p w:rsidR="00DC4807" w:rsidRDefault="0005641F">
      <w:pPr>
        <w:pStyle w:val="Heading"/>
        <w:rPr>
          <w:noProof/>
        </w:rPr>
      </w:pPr>
      <w:r>
        <w:rPr>
          <w:noProof/>
        </w:rPr>
        <w:t>Construction sector</w:t>
      </w:r>
    </w:p>
    <w:p w:rsidR="00DC4807" w:rsidRDefault="0005641F">
      <w:pPr>
        <w:rPr>
          <w:noProof/>
        </w:rPr>
      </w:pPr>
      <w:r>
        <w:rPr>
          <w:b/>
          <w:noProof/>
        </w:rPr>
        <w:t>The level of labour productivity in the Dutch construction sector is low, reflecting fragmentation, slow digitisation and skill shortages.</w:t>
      </w:r>
      <w:r>
        <w:rPr>
          <w:noProof/>
        </w:rPr>
        <w:t xml:space="preserve"> Contrary to developments</w:t>
      </w:r>
      <w:r>
        <w:rPr>
          <w:noProof/>
        </w:rPr>
        <w:t xml:space="preserve"> in neighbouring countries, the contribution of both ICT capital and TFP to labour productivity growth in the Dutch construction sector has been negative since the crisis. This may, amongst others, be linked to subdued investment in technologies, slow digi</w:t>
      </w:r>
      <w:r>
        <w:rPr>
          <w:noProof/>
        </w:rPr>
        <w:t xml:space="preserve">tisation of the construction value chain, under-use of ICT skills, an ageing workforce and shortages of skilled labour. Supporting innovation and the scaling up in particular of micro-companies and the self-employed without employees, who account for more </w:t>
      </w:r>
      <w:r>
        <w:rPr>
          <w:noProof/>
        </w:rPr>
        <w:t>than 85 % of firms in the Dutch construction sector (EU average: 57 %), could reduce fragmentation of the sector, speed up digitisation, improve its attractiveness for younger workers(</w:t>
      </w:r>
      <w:r>
        <w:rPr>
          <w:noProof/>
          <w:vertAlign w:val="superscript"/>
        </w:rPr>
        <w:footnoteReference w:id="47"/>
      </w:r>
      <w:r>
        <w:rPr>
          <w:noProof/>
        </w:rPr>
        <w:t>) in particular and promote participation in larger, cross-border const</w:t>
      </w:r>
      <w:r>
        <w:rPr>
          <w:noProof/>
        </w:rPr>
        <w:t xml:space="preserve">ruction value chains (EC, 2017a). </w:t>
      </w:r>
    </w:p>
    <w:p w:rsidR="00DC4807" w:rsidRDefault="0005641F">
      <w:pPr>
        <w:rPr>
          <w:noProof/>
        </w:rPr>
      </w:pPr>
      <w:r>
        <w:rPr>
          <w:b/>
          <w:noProof/>
        </w:rPr>
        <w:t>Specific sectoral regulations and payment delays may hamper productivity in the construction sector.</w:t>
      </w:r>
      <w:r>
        <w:rPr>
          <w:noProof/>
        </w:rPr>
        <w:t xml:space="preserve"> Although the Netherlands faces relatively few regulatory barriers to investment and business development in general (see</w:t>
      </w:r>
      <w:r>
        <w:rPr>
          <w:noProof/>
        </w:rPr>
        <w:t xml:space="preserve"> Box 4.4.1), barriers do remain e.g. linked to planning and permit procedures for construction investment. Apart from a horizontal authorisation scheme on hoisting, the Netherlands imposes fully-fledged building permits without simpler procedural alternati</w:t>
      </w:r>
      <w:r>
        <w:rPr>
          <w:noProof/>
        </w:rPr>
        <w:t>ves. Moreover, while the Netherlands has good public administration-to-business payment relations, payment delays in B2B relations increased significantly in 2016: 41 % of construction companies experience late payments, and over a fifth of construction SM</w:t>
      </w:r>
      <w:r>
        <w:rPr>
          <w:noProof/>
        </w:rPr>
        <w:t>Es working as sub-contractors are not paid at all by the main contractor (EC, 2016b).</w:t>
      </w:r>
    </w:p>
    <w:p w:rsidR="00DC4807" w:rsidRDefault="0005641F">
      <w:pPr>
        <w:pStyle w:val="NumberedHeading1"/>
        <w:tabs>
          <w:tab w:val="left" w:pos="567"/>
        </w:tabs>
        <w:rPr>
          <w:noProof/>
        </w:rPr>
      </w:pPr>
      <w:r>
        <w:rPr>
          <w:noProof/>
        </w:rPr>
        <w:t>4.5.2.</w:t>
      </w:r>
      <w:r>
        <w:rPr>
          <w:noProof/>
        </w:rPr>
        <w:tab/>
        <w:t>Research and innovation</w:t>
      </w:r>
    </w:p>
    <w:p w:rsidR="00DC4807" w:rsidRDefault="0005641F">
      <w:pPr>
        <w:rPr>
          <w:noProof/>
        </w:rPr>
      </w:pPr>
      <w:r>
        <w:rPr>
          <w:b/>
          <w:noProof/>
        </w:rPr>
        <w:t xml:space="preserve">According to worldwide rankings, the Netherlands has a strong innovation capacity thanks to a productive R&amp;D sector, competitive business </w:t>
      </w:r>
      <w:r>
        <w:rPr>
          <w:b/>
          <w:noProof/>
        </w:rPr>
        <w:t>environment and solid framework conditions in general.</w:t>
      </w:r>
      <w:r>
        <w:rPr>
          <w:noProof/>
        </w:rPr>
        <w:t xml:space="preserve"> The country ranks highly in all main composite indexes: World Economic Forum Global Competitiveness Index (4th); European Innovation Scoreboard (4th); Global Innovation Index (3rd); Digital Economy and</w:t>
      </w:r>
      <w:r>
        <w:rPr>
          <w:noProof/>
        </w:rPr>
        <w:t xml:space="preserve"> Society Index (4th).</w:t>
      </w:r>
    </w:p>
    <w:p w:rsidR="00DC4807" w:rsidRDefault="0005641F">
      <w:pPr>
        <w:rPr>
          <w:noProof/>
        </w:rPr>
      </w:pPr>
      <w:r>
        <w:rPr>
          <w:b/>
          <w:noProof/>
        </w:rPr>
        <w:t>Fostering higher business sector investment in R&amp;D has the potential to increase productivity growth, in particular in the manufacturing sector.</w:t>
      </w:r>
      <w:r>
        <w:rPr>
          <w:noProof/>
        </w:rPr>
        <w:t xml:space="preserve"> Productivity growth is driven by many factors — from investment in ICT and non-ICT capita</w:t>
      </w:r>
      <w:r>
        <w:rPr>
          <w:noProof/>
        </w:rPr>
        <w:t>l, integration and diffusion of new technology, complementary investment in other intangibles and training the workforce to maximise their positive contribution, through to well-functioning institutions and markets (Grabska et al., 2017). Advanced economie</w:t>
      </w:r>
      <w:r>
        <w:rPr>
          <w:noProof/>
        </w:rPr>
        <w:t>s like the Netherlands have limited potential to increase productivity by catching up with leaders’ processes. Instead, fully exploiting the benefits of digitisation and innovation by making investments in R&amp;D and other intangible assets is essential for i</w:t>
      </w:r>
      <w:r>
        <w:rPr>
          <w:noProof/>
        </w:rPr>
        <w:t>ncreased productivity. Business R&amp;D intensity (1.16 %) remains low compared to peers and grew slowly in recent years (2011-2016), while nominal R&amp;D investment (in EUR) grew by 17 % in the same period. Although relatively low investments in R&amp;D in part refl</w:t>
      </w:r>
      <w:r>
        <w:rPr>
          <w:noProof/>
        </w:rPr>
        <w:t xml:space="preserve">ect the economic structure of the Netherlands, which has a strong specialisation in services and other sectors with a low formal R&amp;D component, R&amp;D in manufacturing is also relatively low (see Graph </w:t>
      </w:r>
      <w:r>
        <w:rPr>
          <w:noProof/>
        </w:rPr>
        <w:fldChar w:fldCharType="begin"/>
      </w:r>
      <w:r>
        <w:rPr>
          <w:noProof/>
        </w:rPr>
        <w:instrText xml:space="preserve"> QUOTE "4.5.4"</w:instrText>
      </w:r>
      <w:r>
        <w:rPr>
          <w:noProof/>
        </w:rPr>
        <w:fldChar w:fldCharType="begin">
          <w:fldData xml:space="preserve">QwBSAE8AUwBTAFIARQBGAEUAUgBFAE4AQwBFACoARwBSAEEAUABIACoAZQA2ADUAOQA2AGUAMABi
AC0ANQAwAGUAOQAtADQAMQBiADYALQBiAGEAOQA4AC0AZQBkADQAZQA5AGIAYQA2ADkAYQBmADkA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4.5.4</w:t>
      </w:r>
      <w:r>
        <w:rPr>
          <w:noProof/>
        </w:rPr>
        <w:fldChar w:fldCharType="end"/>
      </w:r>
      <w:r>
        <w:rPr>
          <w:noProof/>
        </w:rPr>
        <w:t>). Nevertheless, this low level may be partly explained by R&amp;D activities in other countries by large Dutch firms. The Netherlands has a high number of large multinationals whose R&amp;D activi</w:t>
      </w:r>
      <w:r>
        <w:rPr>
          <w:noProof/>
        </w:rPr>
        <w:t>ties are located in other countries. For instance, the 2017 EU Industrial R&amp;D Investment Scoreboard places 38 Dutch companies among the top 2 500 R&amp;D investors in the world(</w:t>
      </w:r>
      <w:r>
        <w:rPr>
          <w:noProof/>
          <w:vertAlign w:val="superscript"/>
        </w:rPr>
        <w:footnoteReference w:id="48"/>
      </w:r>
      <w:r>
        <w:rPr>
          <w:noProof/>
        </w:rPr>
        <w:t>). These companies alone make up 1.3 % of GDP in R&amp;D investments, which is more th</w:t>
      </w:r>
      <w:r>
        <w:rPr>
          <w:noProof/>
        </w:rPr>
        <w:t>an intramural R&amp;D intensity of 1.16 %(</w:t>
      </w:r>
      <w:r>
        <w:rPr>
          <w:noProof/>
          <w:vertAlign w:val="superscript"/>
        </w:rPr>
        <w:footnoteReference w:id="49"/>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DC4807">
        <w:trPr>
          <w:cantSplit/>
        </w:trPr>
        <w:tc>
          <w:tcPr>
            <w:tcW w:w="4110" w:type="dxa"/>
            <w:shd w:val="clear" w:color="auto" w:fill="auto"/>
          </w:tcPr>
          <w:p w:rsidR="00DC4807" w:rsidRDefault="0005641F">
            <w:pPr>
              <w:pStyle w:val="GraphTitle"/>
              <w:rPr>
                <w:b/>
                <w:noProof/>
              </w:rPr>
            </w:pPr>
            <w:bookmarkStart w:id="86" w:name="_Toc507233668"/>
            <w:r>
              <w:rPr>
                <w:noProof/>
              </w:rPr>
              <w:t>Graph 4.5.4:</w:t>
            </w:r>
            <w:r>
              <w:rPr>
                <w:b/>
                <w:noProof/>
              </w:rPr>
              <w:tab/>
              <w:t>R&amp;D intensity in manufacturing</w:t>
            </w:r>
            <w:bookmarkEnd w:id="86"/>
          </w:p>
        </w:tc>
      </w:tr>
      <w:tr w:rsidR="00DC4807">
        <w:trPr>
          <w:cantSplit/>
        </w:trPr>
        <w:tc>
          <w:tcPr>
            <w:tcW w:w="4110" w:type="dxa"/>
            <w:shd w:val="clear" w:color="auto" w:fill="auto"/>
          </w:tcPr>
          <w:p w:rsidR="00DC4807" w:rsidRDefault="0005641F">
            <w:pPr>
              <w:pStyle w:val="GraphShape"/>
              <w:rPr>
                <w:noProof/>
                <w:sz w:val="2"/>
              </w:rPr>
            </w:pPr>
            <w:r>
              <w:rPr>
                <w:noProof/>
                <w:sz w:val="2"/>
                <w:lang w:eastAsia="en-GB"/>
              </w:rPr>
              <w:drawing>
                <wp:inline distT="0" distB="0" distL="0" distR="0" wp14:anchorId="1C5ACBF2" wp14:editId="624EC96B">
                  <wp:extent cx="2597595" cy="2155922"/>
                  <wp:effectExtent l="0" t="0" r="0" b="0"/>
                  <wp:docPr id="58" name="Picture 58" descr="&lt;nbr&gt;&lt;GETTEXTFROMWORD&gt;&lt;/nbr&gt;&#10;&lt;title&gt;&lt;GETTEXTFROMWORD&gt;&lt;/title&gt;&#10;&lt;id&gt;e6596e0b-50e9-41b6-ba98-ed4e9ba69af9&lt;/id&gt;&#10;&lt;srcType&gt;EXCEL&lt;/srcType&gt;&#10;&lt;srcPath&gt;O:\2017 CRs\2018 European semester\19 NL\19_NL_TablesGraphesBoxes&lt;/srcPath&gt;&#10;&lt;srcName&gt;Section4_5.xlsx&lt;/srcName&gt;&#10;&lt;type&gt;graph&lt;/type&gt;&#10; &lt;srcSheet&gt;erik manufacturing&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4T11:44:25&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597595" cy="2155922"/>
                          </a:xfrm>
                          <a:prstGeom prst="rect">
                            <a:avLst/>
                          </a:prstGeom>
                          <a:noFill/>
                          <a:ln>
                            <a:noFill/>
                          </a:ln>
                        </pic:spPr>
                      </pic:pic>
                    </a:graphicData>
                  </a:graphic>
                </wp:inline>
              </w:drawing>
            </w:r>
          </w:p>
        </w:tc>
      </w:tr>
      <w:tr w:rsidR="00DC4807">
        <w:trPr>
          <w:cantSplit/>
        </w:trPr>
        <w:tc>
          <w:tcPr>
            <w:tcW w:w="4110" w:type="dxa"/>
            <w:shd w:val="clear" w:color="auto" w:fill="auto"/>
            <w:tcMar>
              <w:bottom w:w="240" w:type="dxa"/>
            </w:tcMar>
          </w:tcPr>
          <w:p w:rsidR="00DC4807" w:rsidRDefault="0005641F">
            <w:pPr>
              <w:pStyle w:val="GraphSource"/>
              <w:keepNext/>
              <w:rPr>
                <w:noProof/>
                <w:lang w:val="fr-BE"/>
              </w:rPr>
            </w:pPr>
            <w:r>
              <w:rPr>
                <w:b/>
                <w:i/>
                <w:noProof/>
                <w:lang w:val="fr-BE"/>
              </w:rPr>
              <w:t>Source:</w:t>
            </w:r>
            <w:r>
              <w:rPr>
                <w:noProof/>
                <w:lang w:val="fr-BE"/>
              </w:rPr>
              <w:t xml:space="preserve"> European Commission, EU KLEMS database</w:t>
            </w:r>
          </w:p>
        </w:tc>
      </w:tr>
    </w:tbl>
    <w:p w:rsidR="00DC4807" w:rsidRDefault="0005641F">
      <w:pPr>
        <w:rPr>
          <w:noProof/>
        </w:rPr>
      </w:pPr>
      <w:r>
        <w:rPr>
          <w:b/>
          <w:noProof/>
        </w:rPr>
        <w:t>The dynamics of entrepreneurial activities and innovative business growth appear relatively good.</w:t>
      </w:r>
      <w:r>
        <w:rPr>
          <w:noProof/>
        </w:rPr>
        <w:t xml:space="preserve"> Both the share of employment in knowledge-intensive activities (17.5 %), and the share of employment in fast growing SMEs in innovative sectors (5.5 %) are relatively high. Also the share of the population engaged in early-stage entrepreneurial activity i</w:t>
      </w:r>
      <w:r>
        <w:rPr>
          <w:noProof/>
        </w:rPr>
        <w:t xml:space="preserve">s relatively high (11% of total population aged 25-64, GEM, 2017). </w:t>
      </w:r>
    </w:p>
    <w:p w:rsidR="00DC4807" w:rsidRDefault="0005641F">
      <w:pPr>
        <w:rPr>
          <w:noProof/>
        </w:rPr>
      </w:pPr>
      <w:r>
        <w:rPr>
          <w:b/>
          <w:noProof/>
        </w:rPr>
        <w:t>Public support to research and innovation is well established.</w:t>
      </w:r>
      <w:r>
        <w:rPr>
          <w:noProof/>
        </w:rPr>
        <w:t xml:space="preserve"> Total public support to research and innovation reaches EUR 6.5 billion, which include EUR 1.2 billion of indirect fiscal sup</w:t>
      </w:r>
      <w:r>
        <w:rPr>
          <w:noProof/>
        </w:rPr>
        <w:t>port through the WBSO scheme</w:t>
      </w:r>
      <w:r>
        <w:rPr>
          <w:b/>
          <w:noProof/>
        </w:rPr>
        <w:t>.</w:t>
      </w:r>
      <w:r>
        <w:rPr>
          <w:noProof/>
        </w:rPr>
        <w:t xml:space="preserve"> The clarity of the R&amp;I support system coupled with regular monitoring and evaluations is a strong point. In the coalition agreement, the government announced that by 2020, an extra EUR 400 million will be structurally spent on</w:t>
      </w:r>
      <w:r>
        <w:rPr>
          <w:noProof/>
        </w:rPr>
        <w:t xml:space="preserve"> research, of which EUR 200 million for applied research and innovation. In 2018 and 2019 an incidental investment of EUR 50 million will be made in research infrastructure. Moreover, the government announced to invest EUR 2.5 billion in a new finance and </w:t>
      </w:r>
      <w:r>
        <w:rPr>
          <w:noProof/>
        </w:rPr>
        <w:t>development organisation called Invest-NL. This should lead to more venture capital for innovative start-ups and scale-ups. Invest-NL will also try to attract public and private capital from other funds, such as the EFSI-fund and the EIB. Most existing ris</w:t>
      </w:r>
      <w:r>
        <w:rPr>
          <w:noProof/>
        </w:rPr>
        <w:t xml:space="preserve">k financing and venture capital funding, such as the SEED capital scheme, will be grouped together within this facility. </w:t>
      </w:r>
    </w:p>
    <w:p w:rsidR="00DC4807" w:rsidRDefault="0005641F">
      <w:pPr>
        <w:rPr>
          <w:noProof/>
        </w:rPr>
      </w:pPr>
      <w:r>
        <w:rPr>
          <w:b/>
          <w:noProof/>
        </w:rPr>
        <w:t>The public R&amp;D intensity has gradually risen to 0.88 % of GDP in 2016, which approaches the average level of most advanced EU peers (1</w:t>
      </w:r>
      <w:r>
        <w:rPr>
          <w:b/>
          <w:noProof/>
        </w:rPr>
        <w:t> %).</w:t>
      </w:r>
      <w:r>
        <w:rPr>
          <w:noProof/>
        </w:rPr>
        <w:t xml:space="preserve"> In 2015, total budget for R&amp;D amounted to 0.73 % of GDP, a relatively high level in the EU, but lower compared to most advanced EU peers. For the period 2018-2021, total government budget outlays for R&amp;D is forecast to decline from 0.67 % to 0.63 % of</w:t>
      </w:r>
      <w:r>
        <w:rPr>
          <w:noProof/>
        </w:rPr>
        <w:t xml:space="preserve"> GDP (not counting the extra expenditure on research and innovation announced in the coalition agreement), mostly due to nominal GDP growth, the denominator (see Vennekens and Van Steen, 2017). Dutch stakeholders and advising bodies suggest, in several iss</w:t>
      </w:r>
      <w:r>
        <w:rPr>
          <w:noProof/>
        </w:rPr>
        <w:t xml:space="preserve">ued opinions and analyses, that extra investments would be necessary in the coming years. Particular concerns remain regarding maintaining the knowledge capacity of the technological institutes over the long term. Over the period 2010-2021, public funding </w:t>
      </w:r>
      <w:r>
        <w:rPr>
          <w:noProof/>
        </w:rPr>
        <w:t>for institutions that are focused on applied research, essentially the TO2 institutes, would decrease by 21 %. Upon request of the government, the Dutch research council issued an opinion on how to orient the policy for applied research (AWTI, 2017). The c</w:t>
      </w:r>
      <w:r>
        <w:rPr>
          <w:noProof/>
        </w:rPr>
        <w:t>ouncil notably advised to increase investment by EUR 330 million per year to support the research capacity of public research organisations. Research infrastructures would also require public investments in the coming years (Strategic Agenda TO2, 2017).</w:t>
      </w:r>
    </w:p>
    <w:p w:rsidR="00DC4807" w:rsidRDefault="0005641F">
      <w:pPr>
        <w:rPr>
          <w:noProof/>
        </w:rPr>
      </w:pPr>
      <w:r>
        <w:rPr>
          <w:b/>
          <w:noProof/>
        </w:rPr>
        <w:t>Co</w:t>
      </w:r>
      <w:r>
        <w:rPr>
          <w:b/>
          <w:noProof/>
        </w:rPr>
        <w:t xml:space="preserve">llaboration between business and knowledge institutions may prove to be an effective way to increase innovation. </w:t>
      </w:r>
      <w:r>
        <w:rPr>
          <w:noProof/>
        </w:rPr>
        <w:t>The Netherlands innovation ecosystem can build on its higher education and public research systems. The science base is very good with 14.3 % o</w:t>
      </w:r>
      <w:r>
        <w:rPr>
          <w:noProof/>
        </w:rPr>
        <w:t>f scientific publications among the 10 % most cited worldwide, amongst the highest performers in the EU. The openness and quality of public research is also reflected in the high proportion of international scientific publications and the internationalisat</w:t>
      </w:r>
      <w:r>
        <w:rPr>
          <w:noProof/>
        </w:rPr>
        <w:t>ion of research staff (a third of the scientific personnel is foreign; 45 % of PhDs). A recent evaluation of the top sector policy, the Government's industry policy, concluded that the approach has successfully strengthened collaborations between public an</w:t>
      </w:r>
      <w:r>
        <w:rPr>
          <w:noProof/>
        </w:rPr>
        <w:t>d private actors through now well-established governance (Bongers et al., 2017). It however highlighted that public authorities may need to adopt a clearer and stronger role, in particular taking up more responsibility in defining innovation objectives, as</w:t>
      </w:r>
      <w:r>
        <w:rPr>
          <w:noProof/>
        </w:rPr>
        <w:t xml:space="preserve"> this would give more directions to the potential collaboration, especially for solving societal challenges. </w:t>
      </w:r>
    </w:p>
    <w:p w:rsidR="00DC4807" w:rsidRDefault="0005641F">
      <w:pPr>
        <w:pStyle w:val="NumberedHeading1"/>
        <w:tabs>
          <w:tab w:val="left" w:pos="567"/>
        </w:tabs>
        <w:rPr>
          <w:noProof/>
        </w:rPr>
      </w:pPr>
      <w:r>
        <w:rPr>
          <w:noProof/>
        </w:rPr>
        <w:t>4.5.3.</w:t>
      </w:r>
      <w:r>
        <w:rPr>
          <w:noProof/>
        </w:rPr>
        <w:tab/>
        <w:t>Public procurement</w:t>
      </w:r>
    </w:p>
    <w:p w:rsidR="00DC4807" w:rsidRDefault="0005641F">
      <w:pPr>
        <w:rPr>
          <w:noProof/>
        </w:rPr>
      </w:pPr>
      <w:r>
        <w:rPr>
          <w:b/>
          <w:noProof/>
        </w:rPr>
        <w:t>The Netherlands has performed satisfactorily on public procurement.</w:t>
      </w:r>
      <w:r>
        <w:rPr>
          <w:noProof/>
        </w:rPr>
        <w:t xml:space="preserve"> Its performance is excellent on the use of e-procure</w:t>
      </w:r>
      <w:r>
        <w:rPr>
          <w:noProof/>
        </w:rPr>
        <w:t>ment, favouring competition among bidders, decision speed and the use of strategic procurement. The Netherlands is also one of the most experienced Member States in terms of using pre-commercial procurement. The public procurement expertise centre PIANOo i</w:t>
      </w:r>
      <w:r>
        <w:rPr>
          <w:noProof/>
        </w:rPr>
        <w:t xml:space="preserve">s key to the capacity building of public procurers and fostering innovation procurement (see Box </w:t>
      </w:r>
      <w:r>
        <w:rPr>
          <w:noProof/>
        </w:rPr>
        <w:fldChar w:fldCharType="begin"/>
      </w:r>
      <w:r>
        <w:rPr>
          <w:noProof/>
        </w:rPr>
        <w:instrText xml:space="preserve"> QUOTE "4.5.1"</w:instrText>
      </w:r>
      <w:r>
        <w:rPr>
          <w:noProof/>
        </w:rPr>
        <w:fldChar w:fldCharType="begin">
          <w:fldData xml:space="preserve">QwBSAE8AUwBTAFIARQBGAEUAUgBFAE4AQwBFACoAQgBPAFgAKgBhADgANQBhADYAMwBjAGMALQA1
AGQANAA1AC0ANABhAGIANAAtAGIAMgAyADAALQA1AGYAMQBlAGEANgA1AGEAMAA0ADYAYQA=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4.5.1</w:t>
      </w:r>
      <w:r>
        <w:rPr>
          <w:noProof/>
        </w:rPr>
        <w:fldChar w:fldCharType="end"/>
      </w:r>
      <w:r>
        <w:rPr>
          <w:noProof/>
        </w:rPr>
        <w:t>).</w:t>
      </w:r>
    </w:p>
    <w:p w:rsidR="00DC4807" w:rsidRDefault="0005641F">
      <w:pPr>
        <w:rPr>
          <w:noProof/>
        </w:rPr>
      </w:pPr>
      <w:r>
        <w:rPr>
          <w:b/>
          <w:noProof/>
        </w:rPr>
        <w:t xml:space="preserve">The amendment of the 2012 Public </w:t>
      </w:r>
      <w:r>
        <w:rPr>
          <w:b/>
          <w:noProof/>
        </w:rPr>
        <w:t>Procurement Act also provided greater legal certainty and opportunities for SMEs</w:t>
      </w:r>
      <w:r>
        <w:rPr>
          <w:noProof/>
        </w:rPr>
        <w:t>. The amendment includes: the prohibition on minimum turnover requirements, the requirement to justify bundling of contracts, the promotion of splitting contracts into lots and</w:t>
      </w:r>
      <w:r>
        <w:rPr>
          <w:noProof/>
        </w:rPr>
        <w:t xml:space="preserve"> a lower administrative burden to take part in the tender. Since January 2017, there is further an obligation for all national government suppliers to use e-invoicing. Nevertheless, a number of practical obstacles make it difficult for SMEs to participate </w:t>
      </w:r>
      <w:r>
        <w:rPr>
          <w:noProof/>
        </w:rPr>
        <w:t>in public procurement, such as large contracts, disproportionate or unclear eligibility requirements, high administrative costs, long-term framework contracts and a lack of procurement expertise. The number of tenders published according to EU rules is bel</w:t>
      </w:r>
      <w:r>
        <w:rPr>
          <w:noProof/>
        </w:rPr>
        <w:t>ow the EU average (representing 2.2 % of GDP compared to 4.4 % of GDP in the EU), and reporting quality is generally poor, with 75 % of bids published EU-wide without tender value (EC, 2017k).</w:t>
      </w:r>
    </w:p>
    <w:p w:rsidR="00DC4807" w:rsidRDefault="00DC4807">
      <w:pPr>
        <w:rPr>
          <w:b/>
          <w:noProof/>
        </w:rPr>
        <w:sectPr w:rsidR="00DC4807">
          <w:headerReference w:type="even" r:id="rId175"/>
          <w:headerReference w:type="default" r:id="rId176"/>
          <w:footerReference w:type="even" r:id="rId177"/>
          <w:footerReference w:type="default" r:id="rId178"/>
          <w:headerReference w:type="first" r:id="rId179"/>
          <w:footerReference w:type="first" r:id="rId18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DC4807">
        <w:trPr>
          <w:jc w:val="center"/>
        </w:trPr>
        <w:tc>
          <w:tcPr>
            <w:tcW w:w="8721" w:type="dxa"/>
            <w:shd w:val="clear" w:color="auto" w:fill="F7FCFF"/>
          </w:tcPr>
          <w:p w:rsidR="00DC4807" w:rsidRDefault="0005641F">
            <w:pPr>
              <w:pStyle w:val="BoxTitle"/>
              <w:pageBreakBefore/>
              <w:rPr>
                <w:b/>
                <w:noProof/>
              </w:rPr>
            </w:pPr>
            <w:bookmarkStart w:id="87" w:name="_Toc507233624"/>
            <w:r>
              <w:rPr>
                <w:i/>
                <w:noProof/>
              </w:rPr>
              <w:t xml:space="preserve">Box 4.5.1: </w:t>
            </w:r>
            <w:r>
              <w:rPr>
                <w:b/>
                <w:noProof/>
              </w:rPr>
              <w:t>Policy highlight: Public procurement expertise centre in the Netherlands</w:t>
            </w:r>
            <w:bookmarkEnd w:id="87"/>
          </w:p>
          <w:p w:rsidR="00DC4807" w:rsidRDefault="0005641F">
            <w:pPr>
              <w:spacing w:after="0"/>
              <w:ind w:right="3"/>
              <w:rPr>
                <w:noProof/>
              </w:rPr>
            </w:pPr>
            <w:r>
              <w:rPr>
                <w:noProof/>
              </w:rPr>
              <w:t>PIANOo (Professioneel en Innovatief Aanbesteden, Netwerk voor Overheidsopdrachtgevers</w:t>
            </w:r>
            <w:r>
              <w:rPr>
                <w:noProof/>
              </w:rPr>
              <w:t>)(</w:t>
            </w:r>
            <w:r>
              <w:rPr>
                <w:rStyle w:val="EndnoteReference"/>
                <w:noProof/>
              </w:rPr>
              <w:endnoteReference w:id="4"/>
            </w:r>
            <w:r>
              <w:rPr>
                <w:noProof/>
              </w:rPr>
              <w:t>) is the public procurement expertise centre of the Netherlands, linked to the Ministry of Economic Affairs. PIANOo's aim is to improve the government's procurement processes and compliance with (EU) procurement rules in the Netherlands. It further aims</w:t>
            </w:r>
            <w:r>
              <w:rPr>
                <w:noProof/>
              </w:rPr>
              <w:t xml:space="preserve"> at increasing the procurement of innovative solutions in the Netherlands. The main task of the centre is to provide information and give advice to government organisations on purchasing and tendering services and equipment. PIANOo offers access to tools a</w:t>
            </w:r>
            <w:r>
              <w:rPr>
                <w:noProof/>
              </w:rPr>
              <w:t xml:space="preserve">nd model documents on their website, organises meetings, provides for an online forum, publishes topical documents and organises tendering law courses. PIANOo's expertise is built up through a large network of around 3 500 public procurement professionals </w:t>
            </w:r>
            <w:r>
              <w:rPr>
                <w:noProof/>
              </w:rPr>
              <w:t xml:space="preserve">and contracting authorities. The centre brings together experts in specific areas and fosters dialogue between government contracting authorities and private sector companies. </w:t>
            </w:r>
          </w:p>
          <w:p w:rsidR="00DC4807" w:rsidRDefault="00DC4807">
            <w:pPr>
              <w:spacing w:after="0"/>
              <w:ind w:right="3"/>
              <w:rPr>
                <w:noProof/>
              </w:rPr>
            </w:pPr>
          </w:p>
          <w:p w:rsidR="00DC4807" w:rsidRDefault="0005641F">
            <w:pPr>
              <w:spacing w:after="0"/>
              <w:ind w:right="3"/>
              <w:rPr>
                <w:noProof/>
              </w:rPr>
            </w:pPr>
            <w:r>
              <w:rPr>
                <w:noProof/>
              </w:rPr>
              <w:t>One information tool provided by PIANOo is a web-based 'Innovatiekoffer'(</w:t>
            </w:r>
            <w:r>
              <w:rPr>
                <w:noProof/>
                <w:vertAlign w:val="superscript"/>
              </w:rPr>
              <w:endnoteReference w:id="5"/>
            </w:r>
            <w:r>
              <w:rPr>
                <w:noProof/>
              </w:rPr>
              <w:t>) ("</w:t>
            </w:r>
            <w:r>
              <w:rPr>
                <w:noProof/>
              </w:rPr>
              <w:t>innovation suitcase") to help contracting authorities with innovation-focused procurement. The tool describes various instruments, e.g. demand analysis, risk management, market consultation and innovation partnership. The tool also encompasses trajectories</w:t>
            </w:r>
            <w:r>
              <w:rPr>
                <w:noProof/>
              </w:rPr>
              <w:t xml:space="preserve">, which describe how to combine different instruments, and specific cases of innovative projects. </w:t>
            </w:r>
          </w:p>
        </w:tc>
      </w:tr>
    </w:tbl>
    <w:p w:rsidR="00DC4807" w:rsidRDefault="00DC4807">
      <w:pPr>
        <w:spacing w:after="0" w:line="20" w:lineRule="exact"/>
        <w:rPr>
          <w:b/>
          <w:noProof/>
          <w:sz w:val="2"/>
        </w:rPr>
        <w:sectPr w:rsidR="00DC4807">
          <w:headerReference w:type="even" r:id="rId181"/>
          <w:headerReference w:type="default" r:id="rId182"/>
          <w:footerReference w:type="even" r:id="rId183"/>
          <w:footerReference w:type="default" r:id="rId184"/>
          <w:headerReference w:type="first" r:id="rId185"/>
          <w:footerReference w:type="first" r:id="rId186"/>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DC4807" w:rsidRDefault="0005641F">
      <w:pPr>
        <w:rPr>
          <w:noProof/>
        </w:rPr>
      </w:pPr>
      <w:r>
        <w:rPr>
          <w:b/>
          <w:noProof/>
        </w:rPr>
        <w:t xml:space="preserve">In 2005, the </w:t>
      </w:r>
      <w:r>
        <w:rPr>
          <w:b/>
          <w:noProof/>
        </w:rPr>
        <w:t>Netherlands introduced the Small Business Innovation Research Programme (SBIR) to encourage companies to develop new innovative products and services to meet the demand of public authorities.</w:t>
      </w:r>
      <w:r>
        <w:rPr>
          <w:noProof/>
        </w:rPr>
        <w:t xml:space="preserve"> It consists of a two-stage competition in which companies with t</w:t>
      </w:r>
      <w:r>
        <w:rPr>
          <w:noProof/>
        </w:rPr>
        <w:t>he best proposals carry out a feasibility study. The programme then finances the development of their innovative solutions, so that public entities may be able to buy these new products in the future. An evaluation of the SBIR instrument has been carried o</w:t>
      </w:r>
      <w:r>
        <w:rPr>
          <w:noProof/>
        </w:rPr>
        <w:t xml:space="preserve">ut at the request of the Ministry of Economic Affairs which showed that the SBIR instrument has social added value (Bongers et al., 2017).  </w:t>
      </w:r>
    </w:p>
    <w:p w:rsidR="00DC4807" w:rsidRDefault="0005641F">
      <w:pPr>
        <w:rPr>
          <w:noProof/>
        </w:rPr>
      </w:pPr>
      <w:r>
        <w:rPr>
          <w:b/>
          <w:noProof/>
        </w:rPr>
        <w:t>The new government programme specifically indicates that public procurement should be used more strategically, with</w:t>
      </w:r>
      <w:r>
        <w:rPr>
          <w:b/>
          <w:noProof/>
        </w:rPr>
        <w:t xml:space="preserve"> particular emphasis on innovation procurement and wider use of the SBIR instrument.</w:t>
      </w:r>
      <w:r>
        <w:rPr>
          <w:noProof/>
        </w:rPr>
        <w:t xml:space="preserve"> The Netherlands continues to pursue ambitious quantitative and qualitative innovation procurement targets, including a target of 2.5 % of total procurement for central pub</w:t>
      </w:r>
      <w:r>
        <w:rPr>
          <w:noProof/>
        </w:rPr>
        <w:t>lic administration to spend on innovation. Moreover, the Ministry of the Interior manages the ‘Smarter Network’ (</w:t>
      </w:r>
      <w:r>
        <w:rPr>
          <w:i/>
          <w:noProof/>
        </w:rPr>
        <w:t>Slimmer netwerk</w:t>
      </w:r>
      <w:r>
        <w:rPr>
          <w:noProof/>
        </w:rPr>
        <w:t>), which involves around 4 000 innovation officials and advisers within the government, provinces, municipalities, water authori</w:t>
      </w:r>
      <w:r>
        <w:rPr>
          <w:noProof/>
        </w:rPr>
        <w:t>ties and police (OECD, 2017e). Examples such as the Erasmus University Medical Centre highlight the potential positive impacts of innovation procurement (OECD, 2016).</w:t>
      </w:r>
    </w:p>
    <w:p w:rsidR="00DC4807" w:rsidRDefault="0005641F">
      <w:pPr>
        <w:rPr>
          <w:noProof/>
        </w:rPr>
      </w:pPr>
      <w:r>
        <w:rPr>
          <w:b/>
          <w:noProof/>
        </w:rPr>
        <w:t>The Netherlands is a global front runner in circular procurement, with pilot projects dev</w:t>
      </w:r>
      <w:r>
        <w:rPr>
          <w:b/>
          <w:noProof/>
        </w:rPr>
        <w:t>eloped to promote the uptake of the ‘circular economy’ (where products are designed to be energy-efficient, long-lasting and recycled as much as possible) in public procurement.</w:t>
      </w:r>
      <w:r>
        <w:rPr>
          <w:noProof/>
        </w:rPr>
        <w:t xml:space="preserve"> Most circular procurement projects are carried out as part of either the ‘Gree</w:t>
      </w:r>
      <w:r>
        <w:rPr>
          <w:noProof/>
        </w:rPr>
        <w:t>n Deal: Circular Procurement’ agreement or the REBUS (Resource Efficient Business Models) project. Both of these initiatives aim to develop tools and practical examples for circular procurement. However, there are still a number of barriers to promoting in</w:t>
      </w:r>
      <w:r>
        <w:rPr>
          <w:noProof/>
        </w:rPr>
        <w:t>novation in the circular economy; these require better awareness of the fact that transitioning to a circular economy needs different forms of innovation: technological, financial (business cases), organisational (working methods) and social (focused on co</w:t>
      </w:r>
      <w:r>
        <w:rPr>
          <w:noProof/>
        </w:rPr>
        <w:t>operation and teamwork) (SER, 2017).</w:t>
      </w:r>
    </w:p>
    <w:p w:rsidR="00DC4807" w:rsidRDefault="0005641F">
      <w:pPr>
        <w:pStyle w:val="NumberedHeading1"/>
        <w:tabs>
          <w:tab w:val="left" w:pos="567"/>
        </w:tabs>
        <w:rPr>
          <w:rFonts w:eastAsia="Calibri"/>
          <w:noProof/>
        </w:rPr>
      </w:pPr>
      <w:r>
        <w:rPr>
          <w:rFonts w:eastAsia="Calibri"/>
          <w:noProof/>
        </w:rPr>
        <w:t>4.5.4.</w:t>
      </w:r>
      <w:r>
        <w:rPr>
          <w:rFonts w:eastAsia="Calibri"/>
          <w:noProof/>
        </w:rPr>
        <w:tab/>
        <w:t>Energy and sustainability</w:t>
      </w:r>
    </w:p>
    <w:p w:rsidR="00DC4807" w:rsidRDefault="0005641F">
      <w:pPr>
        <w:rPr>
          <w:noProof/>
        </w:rPr>
      </w:pPr>
      <w:r>
        <w:rPr>
          <w:b/>
          <w:noProof/>
        </w:rPr>
        <w:t>The government plans to draft a national climate and energy agreement outlining the national strategy to meet its 2030 objectives</w:t>
      </w:r>
      <w:r>
        <w:rPr>
          <w:noProof/>
        </w:rPr>
        <w:t>. The agreement is to be drawn up in cooperation with loc</w:t>
      </w:r>
      <w:r>
        <w:rPr>
          <w:noProof/>
        </w:rPr>
        <w:t>al and regional authorities as well as stakeholders. Measures from this agreement will be incorporated into national climate law. The government's ambitions include closing of all coal-fired power plants by 2030, selling only zero emission cars by 2030, re</w:t>
      </w:r>
      <w:r>
        <w:rPr>
          <w:noProof/>
        </w:rPr>
        <w:t>ducing emissions from housing and buildings through a combination of energy efficiency and sustainable power and heating, and allotting additional areas for off-shore wind farms. Compensating measures for closing coal-fired power plants have not been annou</w:t>
      </w:r>
      <w:r>
        <w:rPr>
          <w:noProof/>
        </w:rPr>
        <w:t xml:space="preserve">nced. </w:t>
      </w:r>
    </w:p>
    <w:p w:rsidR="00DC4807" w:rsidRDefault="0005641F">
      <w:pPr>
        <w:rPr>
          <w:noProof/>
        </w:rPr>
      </w:pPr>
      <w:r>
        <w:rPr>
          <w:b/>
          <w:noProof/>
        </w:rPr>
        <w:t>Natural gas production will be further decreased.</w:t>
      </w:r>
      <w:r>
        <w:rPr>
          <w:noProof/>
        </w:rPr>
        <w:t xml:space="preserve"> As a result of production ceilings set for the Groningen field (due to earthquakes) and lower production levels at other small gas fields following natural depletion, gas production will be further r</w:t>
      </w:r>
      <w:r>
        <w:rPr>
          <w:noProof/>
        </w:rPr>
        <w:t>educed in the coming years. According to the International Energy Agency, the Netherlands is expected to become a net importer of gas by 2025.</w:t>
      </w:r>
    </w:p>
    <w:p w:rsidR="00DC4807" w:rsidRDefault="0005641F">
      <w:pPr>
        <w:rPr>
          <w:noProof/>
        </w:rPr>
      </w:pPr>
      <w:r>
        <w:rPr>
          <w:b/>
          <w:noProof/>
        </w:rPr>
        <w:t>The Netherlands is the only Member State that did not reach its 2013/2014 indicative renewable energy sources (RE</w:t>
      </w:r>
      <w:r>
        <w:rPr>
          <w:b/>
          <w:noProof/>
        </w:rPr>
        <w:t>S) trajectory of 5.9 % of gross final energy consumption.</w:t>
      </w:r>
      <w:r>
        <w:rPr>
          <w:noProof/>
        </w:rPr>
        <w:t xml:space="preserve"> With a 5.84 % renewable energy share in gross final energy consumption in 2015, the Netherlands is also expected to miss its 2015-2016 indicative RES trajectory of 7.6 %. While the National Energy O</w:t>
      </w:r>
      <w:r>
        <w:rPr>
          <w:noProof/>
        </w:rPr>
        <w:t xml:space="preserve">utlook 2017 projects acceleration in the increase of the renewable energy share towards 2020, it is unlikely that the Netherlands will be able to fully deliver by 2020. The government has announced some additional measures as it plans to increase funds in </w:t>
      </w:r>
      <w:r>
        <w:rPr>
          <w:noProof/>
        </w:rPr>
        <w:t>the support scheme for renewable energies (</w:t>
      </w:r>
      <w:r>
        <w:rPr>
          <w:i/>
          <w:noProof/>
        </w:rPr>
        <w:t>Stimulering Duurzame Energieproductie)</w:t>
      </w:r>
      <w:r>
        <w:rPr>
          <w:noProof/>
        </w:rPr>
        <w:t xml:space="preserve"> towards EUR 3.2.billion per year. The national target of 16 % renewable energy in 2023 agreed upon in the National Energy Agreement is expected to be met. Although the Dutch </w:t>
      </w:r>
      <w:r>
        <w:rPr>
          <w:noProof/>
        </w:rPr>
        <w:t>government adopted an 'Energy Agenda' providing strategic guidance for a low-carbon energy system for 2050, it has not adopted an explicit RES target for 2030. Given the slight increases in energy consumption, energy efficiency efforts need to be kept up t</w:t>
      </w:r>
      <w:r>
        <w:rPr>
          <w:noProof/>
        </w:rPr>
        <w:t>o ensure the 2020 targets will be met.</w:t>
      </w:r>
    </w:p>
    <w:p w:rsidR="00DC4807" w:rsidRDefault="0005641F">
      <w:pPr>
        <w:rPr>
          <w:noProof/>
        </w:rPr>
      </w:pPr>
      <w:r>
        <w:rPr>
          <w:b/>
          <w:noProof/>
        </w:rPr>
        <w:t>The coalition agreement includes the further development of a national circular economy programme aimed at supporting the national climate policy and the natural resources agreement.</w:t>
      </w:r>
      <w:r>
        <w:rPr>
          <w:noProof/>
        </w:rPr>
        <w:t xml:space="preserve"> Although among the highest of the </w:t>
      </w:r>
      <w:r>
        <w:rPr>
          <w:noProof/>
        </w:rPr>
        <w:t>EU, the waste recovery rate is rather low vis-à-vis neighbouring countries, while the physical waste intensity (i.e. the waste intensity in terms of Domestic Materials Consumption) is relatively high and increasing faster than EU average. The Netherlands s</w:t>
      </w:r>
      <w:r>
        <w:rPr>
          <w:noProof/>
        </w:rPr>
        <w:t>cores relatively low (16</w:t>
      </w:r>
      <w:r>
        <w:rPr>
          <w:noProof/>
          <w:vertAlign w:val="superscript"/>
        </w:rPr>
        <w:t>th</w:t>
      </w:r>
      <w:r>
        <w:rPr>
          <w:noProof/>
        </w:rPr>
        <w:t>) in the 2016 Eco-Innovation Index(</w:t>
      </w:r>
      <w:r>
        <w:rPr>
          <w:noProof/>
          <w:vertAlign w:val="superscript"/>
        </w:rPr>
        <w:footnoteReference w:id="50"/>
      </w:r>
      <w:r>
        <w:rPr>
          <w:noProof/>
        </w:rPr>
        <w:t>), which points to the need to improve the circular economy programme. Nevertheless, the performance as regards the development of environmental technologies and the diffusion of these technologies seems to be not too far from the EU average in 2016. The a</w:t>
      </w:r>
      <w:r>
        <w:rPr>
          <w:noProof/>
        </w:rPr>
        <w:t xml:space="preserve">gendas sent to parliament in January 2018 include a focus on monitoring progress in the transition to a circular economy and the scale up of successful pilot projects and other initiatives. </w:t>
      </w:r>
    </w:p>
    <w:p w:rsidR="00DC4807" w:rsidRDefault="0005641F">
      <w:pPr>
        <w:rPr>
          <w:noProof/>
        </w:rPr>
        <w:sectPr w:rsidR="00DC4807">
          <w:headerReference w:type="even" r:id="rId187"/>
          <w:headerReference w:type="default" r:id="rId188"/>
          <w:footerReference w:type="even" r:id="rId189"/>
          <w:footerReference w:type="default" r:id="rId190"/>
          <w:headerReference w:type="first" r:id="rId191"/>
          <w:footerReference w:type="first" r:id="rId192"/>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r>
        <w:rPr>
          <w:b/>
          <w:noProof/>
        </w:rPr>
        <w:t>The Dutch government will use a “modernisation of the tax system” to deliver on its pledge to green and decarbonise the country’s economy</w:t>
      </w:r>
      <w:r>
        <w:rPr>
          <w:noProof/>
        </w:rPr>
        <w:t>. A fiscal annex to the new Dutch governmen</w:t>
      </w:r>
      <w:r>
        <w:rPr>
          <w:noProof/>
        </w:rPr>
        <w:t>t programme, which includes a pledge to cut carbon emissions by 49 % from 1990 levels by 2030, outlines initiatives to offset reductions in income tax with increased taxation in the fields of energy, environment and consumption. The government also aims to</w:t>
      </w:r>
      <w:r>
        <w:rPr>
          <w:noProof/>
        </w:rPr>
        <w:t xml:space="preserve"> introduce a minimum price for CO</w:t>
      </w:r>
      <w:r>
        <w:rPr>
          <w:noProof/>
          <w:vertAlign w:val="subscript"/>
        </w:rPr>
        <w:t>2</w:t>
      </w:r>
      <w:r>
        <w:rPr>
          <w:noProof/>
        </w:rPr>
        <w:t xml:space="preserve"> from electricity generation — a carbon price floor — starting at EUR 18 in 2020 and rising to EUR 43 by 2030 to supplement the price signal from the EU ETS. Companies in the sector would be charged an additional levy base</w:t>
      </w:r>
      <w:r>
        <w:rPr>
          <w:noProof/>
        </w:rPr>
        <w:t>d on the price difference between the EU allowances and the price floor. In order to better reflect CO</w:t>
      </w:r>
      <w:r>
        <w:rPr>
          <w:noProof/>
          <w:vertAlign w:val="subscript"/>
        </w:rPr>
        <w:t>2</w:t>
      </w:r>
      <w:r>
        <w:rPr>
          <w:noProof/>
        </w:rPr>
        <w:t xml:space="preserve"> emissions, a rebalancing of the energy tax for consumers will see gas costs increase by EUR 0.03 per cubic metre, while tax on electricity will decrease</w:t>
      </w:r>
      <w:r>
        <w:rPr>
          <w:noProof/>
        </w:rPr>
        <w:t xml:space="preserve"> by EUR 0.0072 per kilowatt hour. The Netherlands is among the Member States, which give an incentive for the use of electric vehicles in order to improve local air quality by applying lower excise duties for electricity supplied to charging stations. For </w:t>
      </w:r>
      <w:r>
        <w:rPr>
          <w:noProof/>
        </w:rPr>
        <w:t>the time being, air pollution continues to give rise to serious human health concerns (European Environment Agency, 2017, pp.57-58).</w:t>
      </w:r>
    </w:p>
    <w:p w:rsidR="00DC4807" w:rsidRDefault="0005641F">
      <w:pPr>
        <w:pStyle w:val="SectionTitleFramedtwolines"/>
        <w:framePr w:wrap="notBeside"/>
        <w:rPr>
          <w:noProof/>
        </w:rPr>
      </w:pPr>
      <w:bookmarkStart w:id="88" w:name="_Toc507233697"/>
      <w:r>
        <w:rPr>
          <w:noProof/>
        </w:rPr>
        <w:t>Annex A: Overview table</w:t>
      </w:r>
      <w:bookmarkEnd w:id="88"/>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0"/>
        <w:gridCol w:w="4320"/>
      </w:tblGrid>
      <w:tr w:rsidR="00DC4807">
        <w:trPr>
          <w:trHeight w:val="396"/>
          <w:tblCellSpacing w:w="0" w:type="dxa"/>
        </w:trPr>
        <w:tc>
          <w:tcPr>
            <w:tcW w:w="4320" w:type="dxa"/>
            <w:tcBorders>
              <w:top w:val="single" w:sz="6" w:space="0" w:color="000000"/>
              <w:left w:val="single" w:sz="6" w:space="0" w:color="000000"/>
              <w:bottom w:val="single" w:sz="6" w:space="0" w:color="000000"/>
              <w:right w:val="nil"/>
            </w:tcBorders>
            <w:hideMark/>
          </w:tcPr>
          <w:p w:rsidR="00DC4807" w:rsidRDefault="0005641F">
            <w:pPr>
              <w:rPr>
                <w:b/>
                <w:noProof/>
              </w:rPr>
            </w:pPr>
            <w:r>
              <w:rPr>
                <w:b/>
                <w:noProof/>
              </w:rPr>
              <w:t xml:space="preserve">Commitments </w:t>
            </w:r>
          </w:p>
        </w:tc>
        <w:tc>
          <w:tcPr>
            <w:tcW w:w="4320" w:type="dxa"/>
            <w:tcBorders>
              <w:top w:val="single" w:sz="6" w:space="0" w:color="000000"/>
              <w:left w:val="nil"/>
              <w:bottom w:val="single" w:sz="6" w:space="0" w:color="000000"/>
              <w:right w:val="single" w:sz="6" w:space="0" w:color="000000"/>
            </w:tcBorders>
            <w:hideMark/>
          </w:tcPr>
          <w:p w:rsidR="00DC4807" w:rsidRDefault="0005641F">
            <w:pPr>
              <w:rPr>
                <w:b/>
                <w:noProof/>
              </w:rPr>
            </w:pPr>
            <w:r>
              <w:rPr>
                <w:b/>
                <w:noProof/>
              </w:rPr>
              <w:t>Summary assessment (</w:t>
            </w:r>
            <w:r>
              <w:rPr>
                <w:noProof/>
                <w:vertAlign w:val="superscript"/>
              </w:rPr>
              <w:footnoteReference w:id="51"/>
            </w:r>
            <w:r>
              <w:rPr>
                <w:b/>
                <w:noProof/>
              </w:rPr>
              <w:t>)</w:t>
            </w:r>
          </w:p>
        </w:tc>
      </w:tr>
      <w:tr w:rsidR="00DC4807">
        <w:trPr>
          <w:tblCellSpacing w:w="0" w:type="dxa"/>
        </w:trPr>
        <w:tc>
          <w:tcPr>
            <w:tcW w:w="8640" w:type="dxa"/>
            <w:gridSpan w:val="2"/>
            <w:tcBorders>
              <w:top w:val="nil"/>
              <w:left w:val="single" w:sz="6" w:space="0" w:color="000000"/>
              <w:bottom w:val="single" w:sz="6" w:space="0" w:color="000000"/>
              <w:right w:val="single" w:sz="6" w:space="0" w:color="000000"/>
            </w:tcBorders>
            <w:hideMark/>
          </w:tcPr>
          <w:p w:rsidR="00DC4807" w:rsidRDefault="0005641F">
            <w:pPr>
              <w:rPr>
                <w:b/>
                <w:noProof/>
              </w:rPr>
            </w:pPr>
            <w:r>
              <w:rPr>
                <w:b/>
                <w:noProof/>
              </w:rPr>
              <w:t xml:space="preserve">2017 country-specific recommendations (CSRs) </w:t>
            </w:r>
          </w:p>
        </w:tc>
      </w:tr>
      <w:tr w:rsidR="00DC4807">
        <w:trPr>
          <w:tblCellSpacing w:w="0" w:type="dxa"/>
        </w:trPr>
        <w:tc>
          <w:tcPr>
            <w:tcW w:w="4320" w:type="dxa"/>
            <w:tcBorders>
              <w:top w:val="dotted" w:sz="6" w:space="0" w:color="000000"/>
              <w:left w:val="single" w:sz="6" w:space="0" w:color="000000"/>
              <w:bottom w:val="nil"/>
              <w:right w:val="nil"/>
            </w:tcBorders>
            <w:hideMark/>
          </w:tcPr>
          <w:p w:rsidR="00DC4807" w:rsidRDefault="0005641F">
            <w:pPr>
              <w:rPr>
                <w:noProof/>
              </w:rPr>
            </w:pPr>
            <w:r>
              <w:rPr>
                <w:b/>
                <w:noProof/>
              </w:rPr>
              <w:t>CSR 1:</w:t>
            </w:r>
            <w:r>
              <w:rPr>
                <w:noProof/>
              </w:rPr>
              <w:t xml:space="preserve"> While respecting the medium-term objective, use fiscal and structural policies to support potential growth and domestic demand, including investment in research and development. Take measures to reduce the remaining distortions in the housing market and t</w:t>
            </w:r>
            <w:r>
              <w:rPr>
                <w:noProof/>
              </w:rPr>
              <w:t xml:space="preserve">he debt bias for households, in particular by decreasing mortgage interest tax deductibility. </w:t>
            </w:r>
          </w:p>
        </w:tc>
        <w:tc>
          <w:tcPr>
            <w:tcW w:w="4320" w:type="dxa"/>
            <w:tcBorders>
              <w:top w:val="dotted" w:sz="6" w:space="0" w:color="000000"/>
              <w:left w:val="single" w:sz="6" w:space="0" w:color="000000"/>
              <w:bottom w:val="nil"/>
              <w:right w:val="single" w:sz="6" w:space="0" w:color="000000"/>
            </w:tcBorders>
            <w:hideMark/>
          </w:tcPr>
          <w:p w:rsidR="00DC4807" w:rsidRDefault="0005641F">
            <w:pPr>
              <w:rPr>
                <w:noProof/>
              </w:rPr>
            </w:pPr>
            <w:r>
              <w:rPr>
                <w:noProof/>
              </w:rPr>
              <w:t xml:space="preserve">The Netherlands has made </w:t>
            </w:r>
            <w:r>
              <w:rPr>
                <w:b/>
                <w:noProof/>
              </w:rPr>
              <w:t>some progress</w:t>
            </w:r>
            <w:r>
              <w:rPr>
                <w:noProof/>
              </w:rPr>
              <w:t xml:space="preserve"> in addressing CSR 1(</w:t>
            </w:r>
            <w:r>
              <w:rPr>
                <w:noProof/>
                <w:vertAlign w:val="superscript"/>
              </w:rPr>
              <w:footnoteReference w:id="52"/>
            </w:r>
            <w:r>
              <w:rPr>
                <w:noProof/>
              </w:rPr>
              <w:t>):</w:t>
            </w:r>
          </w:p>
        </w:tc>
      </w:tr>
      <w:tr w:rsidR="00DC4807">
        <w:trPr>
          <w:trHeight w:val="1263"/>
          <w:tblCellSpacing w:w="0" w:type="dxa"/>
        </w:trPr>
        <w:tc>
          <w:tcPr>
            <w:tcW w:w="4320" w:type="dxa"/>
            <w:tcBorders>
              <w:top w:val="nil"/>
              <w:left w:val="single" w:sz="6" w:space="0" w:color="000000"/>
              <w:bottom w:val="nil"/>
              <w:right w:val="nil"/>
            </w:tcBorders>
            <w:hideMark/>
          </w:tcPr>
          <w:p w:rsidR="00DC4807" w:rsidRDefault="0005641F">
            <w:pPr>
              <w:rPr>
                <w:noProof/>
              </w:rPr>
            </w:pPr>
            <w:r>
              <w:rPr>
                <w:noProof/>
              </w:rPr>
              <w:t xml:space="preserve">While respecting the medium-term objective, use fiscal and structural policies to support potential growth and domestic demand, </w:t>
            </w:r>
          </w:p>
        </w:tc>
        <w:tc>
          <w:tcPr>
            <w:tcW w:w="4320" w:type="dxa"/>
            <w:tcBorders>
              <w:top w:val="nil"/>
              <w:left w:val="single" w:sz="6" w:space="0" w:color="000000"/>
              <w:bottom w:val="nil"/>
              <w:right w:val="single" w:sz="6" w:space="0" w:color="000000"/>
            </w:tcBorders>
            <w:hideMark/>
          </w:tcPr>
          <w:p w:rsidR="00DC4807" w:rsidRDefault="0005641F">
            <w:pPr>
              <w:rPr>
                <w:noProof/>
              </w:rPr>
            </w:pPr>
            <w:r>
              <w:rPr>
                <w:b/>
                <w:noProof/>
              </w:rPr>
              <w:t>Substantial progress</w:t>
            </w:r>
            <w:r>
              <w:rPr>
                <w:noProof/>
              </w:rPr>
              <w:t>. The government has taken fiscal measures that support domestic demand, in particular increasing expenditu</w:t>
            </w:r>
            <w:r>
              <w:rPr>
                <w:noProof/>
              </w:rPr>
              <w:t>re on security and on teachers' salaries.</w:t>
            </w:r>
          </w:p>
        </w:tc>
      </w:tr>
      <w:tr w:rsidR="00DC4807">
        <w:trPr>
          <w:tblCellSpacing w:w="0" w:type="dxa"/>
        </w:trPr>
        <w:tc>
          <w:tcPr>
            <w:tcW w:w="4320" w:type="dxa"/>
            <w:tcBorders>
              <w:top w:val="nil"/>
              <w:left w:val="single" w:sz="6" w:space="0" w:color="000000"/>
              <w:bottom w:val="nil"/>
              <w:right w:val="nil"/>
            </w:tcBorders>
            <w:hideMark/>
          </w:tcPr>
          <w:p w:rsidR="00DC4807" w:rsidRDefault="0005641F">
            <w:pPr>
              <w:rPr>
                <w:noProof/>
              </w:rPr>
            </w:pPr>
            <w:r>
              <w:rPr>
                <w:noProof/>
              </w:rPr>
              <w:t>including investment in research and development.</w:t>
            </w:r>
          </w:p>
        </w:tc>
        <w:tc>
          <w:tcPr>
            <w:tcW w:w="4320" w:type="dxa"/>
            <w:tcBorders>
              <w:top w:val="nil"/>
              <w:left w:val="single" w:sz="6" w:space="0" w:color="000000"/>
              <w:bottom w:val="nil"/>
              <w:right w:val="single" w:sz="6" w:space="0" w:color="000000"/>
            </w:tcBorders>
            <w:hideMark/>
          </w:tcPr>
          <w:p w:rsidR="00DC4807" w:rsidRDefault="0005641F">
            <w:pPr>
              <w:rPr>
                <w:noProof/>
              </w:rPr>
            </w:pPr>
            <w:r>
              <w:rPr>
                <w:b/>
                <w:noProof/>
              </w:rPr>
              <w:t>Some progress</w:t>
            </w:r>
            <w:r>
              <w:rPr>
                <w:noProof/>
              </w:rPr>
              <w:t>. From 2018 onwards, the government increases expenditure on research and development.</w:t>
            </w:r>
          </w:p>
        </w:tc>
      </w:tr>
      <w:tr w:rsidR="00DC4807">
        <w:trPr>
          <w:tblCellSpacing w:w="0" w:type="dxa"/>
        </w:trPr>
        <w:tc>
          <w:tcPr>
            <w:tcW w:w="4320" w:type="dxa"/>
            <w:tcBorders>
              <w:top w:val="nil"/>
              <w:left w:val="single" w:sz="6" w:space="0" w:color="000000"/>
              <w:bottom w:val="nil"/>
              <w:right w:val="nil"/>
            </w:tcBorders>
            <w:hideMark/>
          </w:tcPr>
          <w:p w:rsidR="00DC4807" w:rsidRDefault="0005641F">
            <w:pPr>
              <w:rPr>
                <w:noProof/>
              </w:rPr>
            </w:pPr>
            <w:r>
              <w:rPr>
                <w:noProof/>
              </w:rPr>
              <w:t xml:space="preserve">Take measures to reduce the remaining distortions in the housing market and the debt bias for households, in particular by decreasing mortgage interest tax deductibility. </w:t>
            </w:r>
          </w:p>
        </w:tc>
        <w:tc>
          <w:tcPr>
            <w:tcW w:w="4320" w:type="dxa"/>
            <w:tcBorders>
              <w:top w:val="nil"/>
              <w:left w:val="single" w:sz="6" w:space="0" w:color="000000"/>
              <w:bottom w:val="nil"/>
              <w:right w:val="single" w:sz="6" w:space="0" w:color="000000"/>
            </w:tcBorders>
            <w:hideMark/>
          </w:tcPr>
          <w:p w:rsidR="00DC4807" w:rsidRDefault="0005641F">
            <w:pPr>
              <w:rPr>
                <w:noProof/>
              </w:rPr>
            </w:pPr>
            <w:r>
              <w:rPr>
                <w:b/>
                <w:noProof/>
              </w:rPr>
              <w:t>Some progress.</w:t>
            </w:r>
            <w:r>
              <w:rPr>
                <w:noProof/>
              </w:rPr>
              <w:t xml:space="preserve"> The government has announced to accelerate the reduction of mortgage </w:t>
            </w:r>
            <w:r>
              <w:rPr>
                <w:noProof/>
              </w:rPr>
              <w:t>interest tax deductibility from 2020 onwards until it reaches 37 % in 2023, which is still relatively high. For the rental market, the government has created a roundtable on the middle segment rental market (</w:t>
            </w:r>
            <w:r>
              <w:rPr>
                <w:i/>
                <w:noProof/>
              </w:rPr>
              <w:t>Samenwerkingstafel Middenhuur</w:t>
            </w:r>
            <w:r>
              <w:rPr>
                <w:noProof/>
              </w:rPr>
              <w:t>) to bring stakehol</w:t>
            </w:r>
            <w:r>
              <w:rPr>
                <w:noProof/>
              </w:rPr>
              <w:t>ders together to discuss challenges and solutions in the rental market. The roundtable will issue recommendations on how to stimulate the middle segment of the rental market. Furthermore, the Law on Spatial Planning was amended in 2017, allowing municipali</w:t>
            </w:r>
            <w:r>
              <w:rPr>
                <w:noProof/>
              </w:rPr>
              <w:t>ties to set aside zones specifically for building middle segment rental dwellings. Other remaining distortions in the social housing sector have not been addressed.</w:t>
            </w:r>
          </w:p>
        </w:tc>
      </w:tr>
      <w:tr w:rsidR="00DC4807">
        <w:trPr>
          <w:tblCellSpacing w:w="0" w:type="dxa"/>
        </w:trPr>
        <w:tc>
          <w:tcPr>
            <w:tcW w:w="4320" w:type="dxa"/>
            <w:tcBorders>
              <w:top w:val="dotted" w:sz="6" w:space="0" w:color="000000"/>
              <w:left w:val="single" w:sz="6" w:space="0" w:color="000000"/>
              <w:bottom w:val="nil"/>
              <w:right w:val="nil"/>
            </w:tcBorders>
            <w:hideMark/>
          </w:tcPr>
          <w:p w:rsidR="00DC4807" w:rsidRDefault="0005641F">
            <w:pPr>
              <w:rPr>
                <w:noProof/>
              </w:rPr>
            </w:pPr>
            <w:r>
              <w:rPr>
                <w:b/>
                <w:noProof/>
              </w:rPr>
              <w:t>CSR 2:</w:t>
            </w:r>
            <w:r>
              <w:rPr>
                <w:noProof/>
              </w:rPr>
              <w:t xml:space="preserve"> Tackle remaining barriers to hiring staff on permanent contracts. Address the high </w:t>
            </w:r>
            <w:r>
              <w:rPr>
                <w:noProof/>
              </w:rPr>
              <w:t>increase in the self-employed without employees, including by reducing tax distortions favouring self-employment, without compromising entrepreneurship, and by promoting access of the self-employed to affordable social protection. Based on the broad prepar</w:t>
            </w:r>
            <w:r>
              <w:rPr>
                <w:noProof/>
              </w:rPr>
              <w:t xml:space="preserve">atory process already launched, make the second pillar of the pension system more transparent, inter-generationally fairer and more resilient to shocks. Create conditions to promote higher real wage growth, respecting the role of the social partners. </w:t>
            </w:r>
          </w:p>
        </w:tc>
        <w:tc>
          <w:tcPr>
            <w:tcW w:w="4320" w:type="dxa"/>
            <w:tcBorders>
              <w:top w:val="dotted" w:sz="6" w:space="0" w:color="000000"/>
              <w:left w:val="single" w:sz="6" w:space="0" w:color="000000"/>
              <w:bottom w:val="nil"/>
              <w:right w:val="single" w:sz="6" w:space="0" w:color="000000"/>
            </w:tcBorders>
            <w:hideMark/>
          </w:tcPr>
          <w:p w:rsidR="00DC4807" w:rsidRDefault="0005641F">
            <w:pPr>
              <w:rPr>
                <w:noProof/>
              </w:rPr>
            </w:pPr>
            <w:r>
              <w:rPr>
                <w:noProof/>
              </w:rPr>
              <w:t xml:space="preserve">The </w:t>
            </w:r>
            <w:r>
              <w:rPr>
                <w:noProof/>
              </w:rPr>
              <w:t xml:space="preserve">Netherlands has made </w:t>
            </w:r>
            <w:r>
              <w:rPr>
                <w:b/>
                <w:noProof/>
              </w:rPr>
              <w:t>limited progress</w:t>
            </w:r>
            <w:r>
              <w:rPr>
                <w:noProof/>
              </w:rPr>
              <w:t xml:space="preserve"> in addressing CSR 2:</w:t>
            </w:r>
          </w:p>
        </w:tc>
      </w:tr>
      <w:tr w:rsidR="00DC4807">
        <w:trPr>
          <w:tblCellSpacing w:w="0" w:type="dxa"/>
        </w:trPr>
        <w:tc>
          <w:tcPr>
            <w:tcW w:w="4320" w:type="dxa"/>
            <w:tcBorders>
              <w:top w:val="nil"/>
              <w:left w:val="single" w:sz="6" w:space="0" w:color="000000"/>
              <w:bottom w:val="nil"/>
              <w:right w:val="nil"/>
            </w:tcBorders>
            <w:hideMark/>
          </w:tcPr>
          <w:p w:rsidR="00DC4807" w:rsidRDefault="0005641F">
            <w:pPr>
              <w:rPr>
                <w:noProof/>
              </w:rPr>
            </w:pPr>
            <w:r>
              <w:rPr>
                <w:noProof/>
              </w:rPr>
              <w:t xml:space="preserve">Tackle remaining barriers to hiring staff on permanent contracts. </w:t>
            </w:r>
          </w:p>
        </w:tc>
        <w:tc>
          <w:tcPr>
            <w:tcW w:w="4320" w:type="dxa"/>
            <w:tcBorders>
              <w:top w:val="nil"/>
              <w:left w:val="single" w:sz="6" w:space="0" w:color="000000"/>
              <w:bottom w:val="nil"/>
              <w:right w:val="single" w:sz="6" w:space="0" w:color="000000"/>
            </w:tcBorders>
            <w:hideMark/>
          </w:tcPr>
          <w:p w:rsidR="00DC4807" w:rsidRDefault="0005641F">
            <w:pPr>
              <w:rPr>
                <w:noProof/>
              </w:rPr>
            </w:pPr>
            <w:r>
              <w:rPr>
                <w:b/>
                <w:noProof/>
              </w:rPr>
              <w:t>Limited progress.</w:t>
            </w:r>
            <w:r>
              <w:rPr>
                <w:noProof/>
              </w:rPr>
              <w:t xml:space="preserve"> The government has announced several additional measures and ideas/intentions for further reflection on segmentation, but no legislative measures have been presented yet.</w:t>
            </w:r>
          </w:p>
        </w:tc>
      </w:tr>
      <w:tr w:rsidR="00DC4807">
        <w:trPr>
          <w:tblCellSpacing w:w="0" w:type="dxa"/>
        </w:trPr>
        <w:tc>
          <w:tcPr>
            <w:tcW w:w="4320" w:type="dxa"/>
            <w:tcBorders>
              <w:top w:val="nil"/>
              <w:left w:val="single" w:sz="6" w:space="0" w:color="000000"/>
              <w:bottom w:val="nil"/>
              <w:right w:val="nil"/>
            </w:tcBorders>
            <w:hideMark/>
          </w:tcPr>
          <w:p w:rsidR="00DC4807" w:rsidRDefault="0005641F">
            <w:pPr>
              <w:rPr>
                <w:noProof/>
              </w:rPr>
            </w:pPr>
            <w:r>
              <w:rPr>
                <w:noProof/>
              </w:rPr>
              <w:t xml:space="preserve">Address the high increase in the self-employed without employees, including by reducing tax distortions favouring self-employment, without compromising entrepreneurship, and by promoting access of the self-employed to affordable social protection. </w:t>
            </w:r>
          </w:p>
        </w:tc>
        <w:tc>
          <w:tcPr>
            <w:tcW w:w="4320" w:type="dxa"/>
            <w:tcBorders>
              <w:top w:val="nil"/>
              <w:left w:val="single" w:sz="6" w:space="0" w:color="000000"/>
              <w:bottom w:val="nil"/>
              <w:right w:val="single" w:sz="6" w:space="0" w:color="000000"/>
            </w:tcBorders>
            <w:hideMark/>
          </w:tcPr>
          <w:p w:rsidR="00DC4807" w:rsidRDefault="0005641F">
            <w:pPr>
              <w:rPr>
                <w:noProof/>
              </w:rPr>
            </w:pPr>
            <w:r>
              <w:rPr>
                <w:b/>
                <w:noProof/>
              </w:rPr>
              <w:t>Limited</w:t>
            </w:r>
            <w:r>
              <w:rPr>
                <w:b/>
                <w:noProof/>
              </w:rPr>
              <w:t xml:space="preserve"> progress.</w:t>
            </w:r>
            <w:r>
              <w:rPr>
                <w:noProof/>
              </w:rPr>
              <w:t xml:space="preserve"> The government has announced the introduction of a minimum hourly rate for the self-employed and ideas for further reflection, but no legislative measures have yet been presented. The announced reduction of tax brackets from four to two may redu</w:t>
            </w:r>
            <w:r>
              <w:rPr>
                <w:noProof/>
              </w:rPr>
              <w:t xml:space="preserve">ce the maximum rate of specific tax deductions for some self-employed not operating at the margin of the labour market in a phased manner. No specific measures have been announced on the social security coverage of the self-employed. </w:t>
            </w:r>
          </w:p>
        </w:tc>
      </w:tr>
      <w:tr w:rsidR="00DC4807">
        <w:trPr>
          <w:tblCellSpacing w:w="0" w:type="dxa"/>
        </w:trPr>
        <w:tc>
          <w:tcPr>
            <w:tcW w:w="4320" w:type="dxa"/>
            <w:tcBorders>
              <w:top w:val="nil"/>
              <w:left w:val="single" w:sz="6" w:space="0" w:color="000000"/>
              <w:bottom w:val="nil"/>
              <w:right w:val="nil"/>
            </w:tcBorders>
            <w:hideMark/>
          </w:tcPr>
          <w:p w:rsidR="00DC4807" w:rsidRDefault="0005641F">
            <w:pPr>
              <w:rPr>
                <w:noProof/>
              </w:rPr>
            </w:pPr>
            <w:r>
              <w:rPr>
                <w:noProof/>
              </w:rPr>
              <w:t>Based on the broad p</w:t>
            </w:r>
            <w:r>
              <w:rPr>
                <w:noProof/>
              </w:rPr>
              <w:t xml:space="preserve">reparatory process already launched, make the second pillar of the pension system more transparent, inter-generationally fairer and more resilient to shocks. </w:t>
            </w:r>
          </w:p>
        </w:tc>
        <w:tc>
          <w:tcPr>
            <w:tcW w:w="4320" w:type="dxa"/>
            <w:tcBorders>
              <w:top w:val="nil"/>
              <w:left w:val="single" w:sz="6" w:space="0" w:color="000000"/>
              <w:bottom w:val="nil"/>
              <w:right w:val="single" w:sz="6" w:space="0" w:color="000000"/>
            </w:tcBorders>
            <w:hideMark/>
          </w:tcPr>
          <w:p w:rsidR="00DC4807" w:rsidRDefault="0005641F">
            <w:pPr>
              <w:rPr>
                <w:noProof/>
              </w:rPr>
            </w:pPr>
            <w:r>
              <w:rPr>
                <w:b/>
                <w:noProof/>
              </w:rPr>
              <w:t>No progress</w:t>
            </w:r>
            <w:r>
              <w:rPr>
                <w:noProof/>
              </w:rPr>
              <w:t>. The government has confirmed its intention to reform the second pillar of the pensio</w:t>
            </w:r>
            <w:r>
              <w:rPr>
                <w:noProof/>
              </w:rPr>
              <w:t xml:space="preserve">n system, but no measures have been announced so far. </w:t>
            </w:r>
          </w:p>
        </w:tc>
      </w:tr>
      <w:tr w:rsidR="00DC4807">
        <w:trPr>
          <w:tblCellSpacing w:w="0" w:type="dxa"/>
        </w:trPr>
        <w:tc>
          <w:tcPr>
            <w:tcW w:w="4320" w:type="dxa"/>
            <w:tcBorders>
              <w:top w:val="nil"/>
              <w:left w:val="single" w:sz="6" w:space="0" w:color="000000"/>
              <w:bottom w:val="nil"/>
              <w:right w:val="nil"/>
            </w:tcBorders>
            <w:hideMark/>
          </w:tcPr>
          <w:p w:rsidR="00DC4807" w:rsidRDefault="0005641F">
            <w:pPr>
              <w:rPr>
                <w:noProof/>
              </w:rPr>
            </w:pPr>
            <w:r>
              <w:rPr>
                <w:noProof/>
              </w:rPr>
              <w:t xml:space="preserve">Create conditions to promote higher real wage growth, respecting the role of the social partners. </w:t>
            </w:r>
          </w:p>
        </w:tc>
        <w:tc>
          <w:tcPr>
            <w:tcW w:w="4320" w:type="dxa"/>
            <w:tcBorders>
              <w:top w:val="nil"/>
              <w:left w:val="single" w:sz="6" w:space="0" w:color="000000"/>
              <w:bottom w:val="nil"/>
              <w:right w:val="single" w:sz="6" w:space="0" w:color="000000"/>
            </w:tcBorders>
            <w:hideMark/>
          </w:tcPr>
          <w:p w:rsidR="00DC4807" w:rsidRDefault="0005641F">
            <w:pPr>
              <w:rPr>
                <w:noProof/>
              </w:rPr>
            </w:pPr>
            <w:r>
              <w:rPr>
                <w:b/>
                <w:noProof/>
              </w:rPr>
              <w:t>Limited progress.</w:t>
            </w:r>
            <w:r>
              <w:rPr>
                <w:noProof/>
              </w:rPr>
              <w:t xml:space="preserve"> The government has acknowledged the need for higher real wage growth. The announced</w:t>
            </w:r>
            <w:r>
              <w:rPr>
                <w:noProof/>
              </w:rPr>
              <w:t xml:space="preserve"> new fiscal measures will reduce the tax burden on labour income. In addition, the coalition agreement includes an increase in expenditure on teachers' salaries. In general, wage setting is the competence of the social partners and recent wage demands (and</w:t>
            </w:r>
            <w:r>
              <w:rPr>
                <w:noProof/>
              </w:rPr>
              <w:t xml:space="preserve"> those already agreed for certain sectors) are substantially higher for 2017 and 2018. A tightening of the labour market is expected to push up real wage growth. </w:t>
            </w:r>
          </w:p>
        </w:tc>
      </w:tr>
      <w:tr w:rsidR="00DC4807">
        <w:trPr>
          <w:tblCellSpacing w:w="0" w:type="dxa"/>
        </w:trPr>
        <w:tc>
          <w:tcPr>
            <w:tcW w:w="0" w:type="auto"/>
            <w:gridSpan w:val="2"/>
            <w:tcBorders>
              <w:top w:val="single" w:sz="6" w:space="0" w:color="000000"/>
              <w:left w:val="single" w:sz="6" w:space="0" w:color="000000"/>
              <w:bottom w:val="dashed" w:sz="6" w:space="0" w:color="000000"/>
              <w:right w:val="single" w:sz="6" w:space="0" w:color="000000"/>
            </w:tcBorders>
            <w:vAlign w:val="bottom"/>
            <w:hideMark/>
          </w:tcPr>
          <w:p w:rsidR="00DC4807" w:rsidRDefault="00DC4807">
            <w:pPr>
              <w:rPr>
                <w:noProof/>
              </w:rPr>
            </w:pPr>
          </w:p>
          <w:p w:rsidR="00DC4807" w:rsidRDefault="0005641F">
            <w:pPr>
              <w:rPr>
                <w:b/>
                <w:noProof/>
              </w:rPr>
            </w:pPr>
            <w:r>
              <w:rPr>
                <w:b/>
                <w:noProof/>
              </w:rPr>
              <w:t xml:space="preserve">Europe 2020 (national targets and progress) </w:t>
            </w:r>
          </w:p>
        </w:tc>
      </w:tr>
      <w:tr w:rsidR="00DC4807">
        <w:trPr>
          <w:tblCellSpacing w:w="0" w:type="dxa"/>
        </w:trPr>
        <w:tc>
          <w:tcPr>
            <w:tcW w:w="4320" w:type="dxa"/>
            <w:tcBorders>
              <w:top w:val="nil"/>
              <w:left w:val="single" w:sz="6" w:space="0" w:color="000000"/>
              <w:bottom w:val="dashed" w:sz="6" w:space="0" w:color="000000"/>
              <w:right w:val="single" w:sz="6" w:space="0" w:color="000000"/>
            </w:tcBorders>
            <w:hideMark/>
          </w:tcPr>
          <w:p w:rsidR="00DC4807" w:rsidRDefault="0005641F">
            <w:pPr>
              <w:rPr>
                <w:noProof/>
              </w:rPr>
            </w:pPr>
            <w:r>
              <w:rPr>
                <w:noProof/>
              </w:rPr>
              <w:t xml:space="preserve">Employment rate target set in the 2016 NRP: </w:t>
            </w:r>
            <w:r>
              <w:rPr>
                <w:noProof/>
              </w:rPr>
              <w:t>80 %.</w:t>
            </w:r>
          </w:p>
        </w:tc>
        <w:tc>
          <w:tcPr>
            <w:tcW w:w="4320" w:type="dxa"/>
            <w:tcBorders>
              <w:top w:val="nil"/>
              <w:left w:val="nil"/>
              <w:bottom w:val="dashed" w:sz="6" w:space="0" w:color="000000"/>
              <w:right w:val="single" w:sz="6" w:space="0" w:color="000000"/>
            </w:tcBorders>
            <w:hideMark/>
          </w:tcPr>
          <w:p w:rsidR="00DC4807" w:rsidRDefault="0005641F">
            <w:pPr>
              <w:rPr>
                <w:noProof/>
              </w:rPr>
            </w:pPr>
            <w:r>
              <w:rPr>
                <w:noProof/>
              </w:rPr>
              <w:t>Labour market participation stood at 81.6 % in Q2-2017 and employment at 77.1 % in 2017Q2. The Netherlands is on target to reach this goal.</w:t>
            </w:r>
          </w:p>
        </w:tc>
      </w:tr>
      <w:tr w:rsidR="00DC4807">
        <w:trPr>
          <w:tblCellSpacing w:w="0" w:type="dxa"/>
        </w:trPr>
        <w:tc>
          <w:tcPr>
            <w:tcW w:w="4320" w:type="dxa"/>
            <w:tcBorders>
              <w:top w:val="nil"/>
              <w:left w:val="single" w:sz="6" w:space="0" w:color="000000"/>
              <w:bottom w:val="dashed" w:sz="6" w:space="0" w:color="000000"/>
              <w:right w:val="single" w:sz="6" w:space="0" w:color="000000"/>
            </w:tcBorders>
            <w:hideMark/>
          </w:tcPr>
          <w:p w:rsidR="00DC4807" w:rsidRDefault="0005641F">
            <w:pPr>
              <w:rPr>
                <w:noProof/>
              </w:rPr>
            </w:pPr>
            <w:r>
              <w:rPr>
                <w:noProof/>
              </w:rPr>
              <w:t>R&amp;D target: 2.5 % of GDP.</w:t>
            </w:r>
          </w:p>
        </w:tc>
        <w:tc>
          <w:tcPr>
            <w:tcW w:w="4320" w:type="dxa"/>
            <w:tcBorders>
              <w:top w:val="nil"/>
              <w:left w:val="nil"/>
              <w:bottom w:val="dashed" w:sz="6" w:space="0" w:color="000000"/>
              <w:right w:val="single" w:sz="6" w:space="0" w:color="000000"/>
            </w:tcBorders>
            <w:hideMark/>
          </w:tcPr>
          <w:p w:rsidR="00DC4807" w:rsidRDefault="0005641F">
            <w:pPr>
              <w:rPr>
                <w:noProof/>
              </w:rPr>
            </w:pPr>
            <w:r>
              <w:rPr>
                <w:noProof/>
              </w:rPr>
              <w:t xml:space="preserve">In 2016, total R&amp;D expenditure amounted to 2.03% of GDP. The average yearly growth </w:t>
            </w:r>
            <w:r>
              <w:rPr>
                <w:noProof/>
              </w:rPr>
              <w:t>rate of 1.0% since 2012 would need to increase substantially to over 5 % to reach the target by 2020.</w:t>
            </w:r>
          </w:p>
        </w:tc>
      </w:tr>
      <w:tr w:rsidR="00DC4807">
        <w:trPr>
          <w:tblCellSpacing w:w="0" w:type="dxa"/>
        </w:trPr>
        <w:tc>
          <w:tcPr>
            <w:tcW w:w="4320" w:type="dxa"/>
            <w:tcBorders>
              <w:top w:val="nil"/>
              <w:left w:val="single" w:sz="6" w:space="0" w:color="000000"/>
              <w:bottom w:val="dashed" w:sz="6" w:space="0" w:color="000000"/>
              <w:right w:val="single" w:sz="6" w:space="0" w:color="000000"/>
            </w:tcBorders>
            <w:hideMark/>
          </w:tcPr>
          <w:p w:rsidR="00DC4807" w:rsidRDefault="0005641F">
            <w:pPr>
              <w:pStyle w:val="ListBullet"/>
              <w:rPr>
                <w:noProof/>
              </w:rPr>
            </w:pPr>
            <w:r>
              <w:rPr>
                <w:noProof/>
              </w:rPr>
              <w:t xml:space="preserve">National greenhouse gas (GHG) emissions target: </w:t>
            </w:r>
          </w:p>
          <w:p w:rsidR="00DC4807" w:rsidRDefault="0005641F">
            <w:pPr>
              <w:pStyle w:val="ListBullet"/>
              <w:rPr>
                <w:noProof/>
              </w:rPr>
            </w:pPr>
            <w:r>
              <w:rPr>
                <w:noProof/>
              </w:rPr>
              <w:t>-16 % in 2020 compared to 2005 (in sectors not covered by the EU emission trading scheme).</w:t>
            </w:r>
          </w:p>
          <w:p w:rsidR="00DC4807" w:rsidRDefault="0005641F">
            <w:pPr>
              <w:pStyle w:val="ListBullet"/>
              <w:rPr>
                <w:noProof/>
              </w:rPr>
            </w:pPr>
            <w:r>
              <w:rPr>
                <w:noProof/>
              </w:rPr>
              <w:t xml:space="preserve">Non-ETS 2016 target: -9 %.  </w:t>
            </w:r>
          </w:p>
        </w:tc>
        <w:tc>
          <w:tcPr>
            <w:tcW w:w="4320" w:type="dxa"/>
            <w:tcBorders>
              <w:top w:val="nil"/>
              <w:left w:val="nil"/>
              <w:bottom w:val="dashed" w:sz="6" w:space="0" w:color="000000"/>
              <w:right w:val="single" w:sz="6" w:space="0" w:color="000000"/>
            </w:tcBorders>
            <w:hideMark/>
          </w:tcPr>
          <w:p w:rsidR="00DC4807" w:rsidRDefault="0005641F">
            <w:pPr>
              <w:rPr>
                <w:noProof/>
              </w:rPr>
            </w:pPr>
            <w:r>
              <w:rPr>
                <w:noProof/>
              </w:rPr>
              <w:t>According to national projections, the Netherlands is expected to overachieve its greenhouse gas reduction target 2020 target under the Effort Sharing Regulation of -16 % by 10 pp compared to 2005.</w:t>
            </w:r>
          </w:p>
          <w:p w:rsidR="00DC4807" w:rsidRDefault="0005641F">
            <w:pPr>
              <w:rPr>
                <w:noProof/>
              </w:rPr>
            </w:pPr>
            <w:r>
              <w:rPr>
                <w:noProof/>
              </w:rPr>
              <w:t xml:space="preserve">The intermediate -9 % target </w:t>
            </w:r>
            <w:r>
              <w:rPr>
                <w:noProof/>
              </w:rPr>
              <w:t xml:space="preserve">for 2016 has been overachieved by 11 %. </w:t>
            </w:r>
          </w:p>
        </w:tc>
      </w:tr>
      <w:tr w:rsidR="00DC4807">
        <w:trPr>
          <w:tblCellSpacing w:w="0" w:type="dxa"/>
        </w:trPr>
        <w:tc>
          <w:tcPr>
            <w:tcW w:w="4320" w:type="dxa"/>
            <w:tcBorders>
              <w:top w:val="nil"/>
              <w:left w:val="single" w:sz="6" w:space="0" w:color="000000"/>
              <w:bottom w:val="dashed" w:sz="6" w:space="0" w:color="000000"/>
              <w:right w:val="single" w:sz="6" w:space="0" w:color="000000"/>
            </w:tcBorders>
            <w:hideMark/>
          </w:tcPr>
          <w:p w:rsidR="00DC4807" w:rsidRDefault="0005641F">
            <w:pPr>
              <w:rPr>
                <w:noProof/>
              </w:rPr>
            </w:pPr>
            <w:r>
              <w:rPr>
                <w:noProof/>
              </w:rPr>
              <w:t xml:space="preserve">2020 renewable energy target: </w:t>
            </w:r>
          </w:p>
          <w:p w:rsidR="00DC4807" w:rsidRDefault="0005641F">
            <w:pPr>
              <w:pStyle w:val="ListBullet"/>
              <w:rPr>
                <w:noProof/>
              </w:rPr>
            </w:pPr>
            <w:r>
              <w:rPr>
                <w:noProof/>
              </w:rPr>
              <w:t>Energy from renewable sources is 14 % of gross final energy consumption by 2020.</w:t>
            </w:r>
          </w:p>
          <w:p w:rsidR="00DC4807" w:rsidRDefault="0005641F">
            <w:pPr>
              <w:pStyle w:val="ListBullet"/>
              <w:rPr>
                <w:noProof/>
              </w:rPr>
            </w:pPr>
            <w:r>
              <w:rPr>
                <w:noProof/>
              </w:rPr>
              <w:t xml:space="preserve">The 2015-2016 interim target is 7.6 %. </w:t>
            </w:r>
          </w:p>
        </w:tc>
        <w:tc>
          <w:tcPr>
            <w:tcW w:w="4320" w:type="dxa"/>
            <w:tcBorders>
              <w:top w:val="nil"/>
              <w:left w:val="nil"/>
              <w:bottom w:val="dashed" w:sz="6" w:space="0" w:color="000000"/>
              <w:right w:val="single" w:sz="6" w:space="0" w:color="000000"/>
            </w:tcBorders>
            <w:hideMark/>
          </w:tcPr>
          <w:p w:rsidR="00DC4807" w:rsidRDefault="0005641F">
            <w:pPr>
              <w:rPr>
                <w:noProof/>
              </w:rPr>
            </w:pPr>
            <w:r>
              <w:rPr>
                <w:noProof/>
              </w:rPr>
              <w:t>With a 5.84 % renewable energy share in gross final energy con</w:t>
            </w:r>
            <w:r>
              <w:rPr>
                <w:noProof/>
              </w:rPr>
              <w:t>sumption in 2015, the Netherlands is expected to miss its 2015-2016 indicative RES trajectory of 7.6 %. It is unlikely that the Netherlands will fully deliver on the 2020 target without additional effort.</w:t>
            </w:r>
          </w:p>
        </w:tc>
      </w:tr>
      <w:tr w:rsidR="00DC4807">
        <w:trPr>
          <w:tblCellSpacing w:w="0" w:type="dxa"/>
        </w:trPr>
        <w:tc>
          <w:tcPr>
            <w:tcW w:w="4320" w:type="dxa"/>
            <w:tcBorders>
              <w:top w:val="nil"/>
              <w:left w:val="single" w:sz="6" w:space="0" w:color="000000"/>
              <w:bottom w:val="dashed" w:sz="6" w:space="0" w:color="000000"/>
              <w:right w:val="single" w:sz="6" w:space="0" w:color="000000"/>
            </w:tcBorders>
            <w:hideMark/>
          </w:tcPr>
          <w:p w:rsidR="00DC4807" w:rsidRDefault="0005641F">
            <w:pPr>
              <w:rPr>
                <w:noProof/>
              </w:rPr>
            </w:pPr>
            <w:r>
              <w:rPr>
                <w:noProof/>
              </w:rPr>
              <w:t xml:space="preserve">Energy efficiency target: 11.5 Mtoe of cumulative </w:t>
            </w:r>
            <w:r>
              <w:rPr>
                <w:noProof/>
              </w:rPr>
              <w:t xml:space="preserve">savings in final energy consumption in 2014-2020. This translates into: </w:t>
            </w:r>
          </w:p>
          <w:p w:rsidR="00DC4807" w:rsidRDefault="0005641F">
            <w:pPr>
              <w:pStyle w:val="ListBullet"/>
              <w:rPr>
                <w:noProof/>
              </w:rPr>
            </w:pPr>
            <w:r>
              <w:rPr>
                <w:noProof/>
              </w:rPr>
              <w:t>60.7 Mtoe in primary energy consumption, and</w:t>
            </w:r>
          </w:p>
          <w:p w:rsidR="00DC4807" w:rsidRDefault="0005641F">
            <w:pPr>
              <w:pStyle w:val="ListBullet"/>
              <w:rPr>
                <w:noProof/>
              </w:rPr>
            </w:pPr>
            <w:r>
              <w:rPr>
                <w:noProof/>
              </w:rPr>
              <w:t>52.2 Mtoe in final energy consumption.</w:t>
            </w:r>
          </w:p>
        </w:tc>
        <w:tc>
          <w:tcPr>
            <w:tcW w:w="4320" w:type="dxa"/>
            <w:tcBorders>
              <w:top w:val="nil"/>
              <w:left w:val="nil"/>
              <w:bottom w:val="dashed" w:sz="6" w:space="0" w:color="000000"/>
              <w:right w:val="single" w:sz="6" w:space="0" w:color="000000"/>
            </w:tcBorders>
            <w:hideMark/>
          </w:tcPr>
          <w:p w:rsidR="00DC4807" w:rsidRDefault="0005641F">
            <w:pPr>
              <w:rPr>
                <w:noProof/>
              </w:rPr>
            </w:pPr>
            <w:r>
              <w:rPr>
                <w:noProof/>
              </w:rPr>
              <w:t xml:space="preserve">Primary energy consumption increased from 64.59 Mtoe in 2015 to 64.8 Mtoe in 2016. Final energy </w:t>
            </w:r>
            <w:r>
              <w:rPr>
                <w:noProof/>
              </w:rPr>
              <w:t>consumption remained stable at 49.5 Mtoe during 2015 and 2016.</w:t>
            </w:r>
          </w:p>
          <w:p w:rsidR="00DC4807" w:rsidRDefault="0005641F">
            <w:pPr>
              <w:rPr>
                <w:noProof/>
              </w:rPr>
            </w:pPr>
            <w:r>
              <w:rPr>
                <w:noProof/>
              </w:rPr>
              <w:t>Given the slight increases in energy consumption, efforts need to be kept up to ensure the 2020 targets will be met.</w:t>
            </w:r>
          </w:p>
        </w:tc>
      </w:tr>
      <w:tr w:rsidR="00DC4807">
        <w:trPr>
          <w:tblCellSpacing w:w="0" w:type="dxa"/>
        </w:trPr>
        <w:tc>
          <w:tcPr>
            <w:tcW w:w="4320" w:type="dxa"/>
            <w:tcBorders>
              <w:top w:val="nil"/>
              <w:left w:val="single" w:sz="6" w:space="0" w:color="000000"/>
              <w:bottom w:val="dashed" w:sz="6" w:space="0" w:color="000000"/>
              <w:right w:val="single" w:sz="6" w:space="0" w:color="000000"/>
            </w:tcBorders>
            <w:hideMark/>
          </w:tcPr>
          <w:p w:rsidR="00DC4807" w:rsidRDefault="0005641F">
            <w:pPr>
              <w:rPr>
                <w:noProof/>
              </w:rPr>
            </w:pPr>
            <w:r>
              <w:rPr>
                <w:noProof/>
              </w:rPr>
              <w:t>Early school leaving (ESL) target: &lt;8.0 %.</w:t>
            </w:r>
          </w:p>
        </w:tc>
        <w:tc>
          <w:tcPr>
            <w:tcW w:w="4320" w:type="dxa"/>
            <w:tcBorders>
              <w:top w:val="nil"/>
              <w:left w:val="nil"/>
              <w:bottom w:val="dashed" w:sz="6" w:space="0" w:color="000000"/>
              <w:right w:val="single" w:sz="6" w:space="0" w:color="000000"/>
            </w:tcBorders>
            <w:hideMark/>
          </w:tcPr>
          <w:p w:rsidR="00DC4807" w:rsidRDefault="0005641F">
            <w:pPr>
              <w:rPr>
                <w:noProof/>
              </w:rPr>
            </w:pPr>
            <w:r>
              <w:rPr>
                <w:noProof/>
              </w:rPr>
              <w:t>The ESL rate has been falling fo</w:t>
            </w:r>
            <w:r>
              <w:rPr>
                <w:noProof/>
              </w:rPr>
              <w:t>r years, and the national target has already been achieved in 2016 with an 8 % rate.</w:t>
            </w:r>
          </w:p>
        </w:tc>
      </w:tr>
      <w:tr w:rsidR="00DC4807">
        <w:trPr>
          <w:tblCellSpacing w:w="0" w:type="dxa"/>
        </w:trPr>
        <w:tc>
          <w:tcPr>
            <w:tcW w:w="4320" w:type="dxa"/>
            <w:tcBorders>
              <w:top w:val="nil"/>
              <w:left w:val="single" w:sz="6" w:space="0" w:color="000000"/>
              <w:bottom w:val="dashed" w:sz="6" w:space="0" w:color="000000"/>
              <w:right w:val="single" w:sz="6" w:space="0" w:color="000000"/>
            </w:tcBorders>
            <w:hideMark/>
          </w:tcPr>
          <w:p w:rsidR="00DC4807" w:rsidRDefault="0005641F">
            <w:pPr>
              <w:rPr>
                <w:noProof/>
              </w:rPr>
            </w:pPr>
            <w:r>
              <w:rPr>
                <w:noProof/>
              </w:rPr>
              <w:t>Tertiary education target: &gt;40 %.</w:t>
            </w:r>
          </w:p>
        </w:tc>
        <w:tc>
          <w:tcPr>
            <w:tcW w:w="4320" w:type="dxa"/>
            <w:tcBorders>
              <w:top w:val="nil"/>
              <w:left w:val="nil"/>
              <w:bottom w:val="dashed" w:sz="6" w:space="0" w:color="000000"/>
              <w:right w:val="single" w:sz="6" w:space="0" w:color="000000"/>
            </w:tcBorders>
            <w:hideMark/>
          </w:tcPr>
          <w:p w:rsidR="00DC4807" w:rsidRDefault="0005641F">
            <w:pPr>
              <w:rPr>
                <w:noProof/>
              </w:rPr>
            </w:pPr>
            <w:r>
              <w:rPr>
                <w:noProof/>
              </w:rPr>
              <w:t>The rate was 45.7 % in 2016, which is well above the national target and the EU average of 39.1 %.</w:t>
            </w:r>
          </w:p>
        </w:tc>
      </w:tr>
      <w:tr w:rsidR="00DC4807">
        <w:trPr>
          <w:tblCellSpacing w:w="0" w:type="dxa"/>
        </w:trPr>
        <w:tc>
          <w:tcPr>
            <w:tcW w:w="4320" w:type="dxa"/>
            <w:tcBorders>
              <w:top w:val="nil"/>
              <w:left w:val="single" w:sz="6" w:space="0" w:color="000000"/>
              <w:bottom w:val="single" w:sz="6" w:space="0" w:color="000000"/>
              <w:right w:val="single" w:sz="6" w:space="0" w:color="000000"/>
            </w:tcBorders>
            <w:hideMark/>
          </w:tcPr>
          <w:p w:rsidR="00DC4807" w:rsidRDefault="0005641F">
            <w:pPr>
              <w:rPr>
                <w:noProof/>
              </w:rPr>
            </w:pPr>
            <w:r>
              <w:rPr>
                <w:noProof/>
              </w:rPr>
              <w:t>Target for reducing the number of pe</w:t>
            </w:r>
            <w:r>
              <w:rPr>
                <w:noProof/>
              </w:rPr>
              <w:t>ople living in households with very low work intensity in number of people: - 100 000 (aged 0-64).</w:t>
            </w:r>
          </w:p>
        </w:tc>
        <w:tc>
          <w:tcPr>
            <w:tcW w:w="4320" w:type="dxa"/>
            <w:tcBorders>
              <w:top w:val="nil"/>
              <w:left w:val="nil"/>
              <w:bottom w:val="single" w:sz="6" w:space="0" w:color="000000"/>
              <w:right w:val="single" w:sz="6" w:space="0" w:color="000000"/>
            </w:tcBorders>
            <w:hideMark/>
          </w:tcPr>
          <w:p w:rsidR="00DC4807" w:rsidRDefault="0005641F">
            <w:pPr>
              <w:rPr>
                <w:noProof/>
              </w:rPr>
            </w:pPr>
            <w:r>
              <w:rPr>
                <w:noProof/>
              </w:rPr>
              <w:t>Starting in 2010 with 1 595 000 people belonging to this group the number has increased to 1 653 000 in 2015, and remained stable in 2016. Thus, the target i</w:t>
            </w:r>
            <w:r>
              <w:rPr>
                <w:noProof/>
              </w:rPr>
              <w:t>s not in reach.</w:t>
            </w:r>
          </w:p>
        </w:tc>
      </w:tr>
    </w:tbl>
    <w:p w:rsidR="00DC4807" w:rsidRDefault="00DC4807">
      <w:pPr>
        <w:rPr>
          <w:noProof/>
        </w:rPr>
        <w:sectPr w:rsidR="00DC4807">
          <w:headerReference w:type="even" r:id="rId193"/>
          <w:headerReference w:type="default" r:id="rId194"/>
          <w:footerReference w:type="even" r:id="rId195"/>
          <w:footerReference w:type="default" r:id="rId196"/>
          <w:headerReference w:type="first" r:id="rId197"/>
          <w:footerReference w:type="first" r:id="rId198"/>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DC4807" w:rsidRDefault="0005641F">
      <w:pPr>
        <w:pStyle w:val="SectionTitleFramedtwolines1"/>
        <w:framePr w:wrap="notBeside"/>
        <w:rPr>
          <w:noProof/>
        </w:rPr>
      </w:pPr>
      <w:bookmarkStart w:id="89" w:name="_Toc507233698"/>
      <w:r>
        <w:rPr>
          <w:noProof/>
        </w:rPr>
        <w:t>Annex B: Macroeconomic Imbalance Procedure Scoreboard</w:t>
      </w:r>
      <w:bookmarkEnd w:id="89"/>
    </w:p>
    <w:tbl>
      <w:tblPr>
        <w:tblW w:w="0" w:type="auto"/>
        <w:tblLayout w:type="fixed"/>
        <w:tblCellMar>
          <w:left w:w="0" w:type="dxa"/>
          <w:right w:w="0" w:type="dxa"/>
        </w:tblCellMar>
        <w:tblLook w:val="0000" w:firstRow="0" w:lastRow="0" w:firstColumn="0" w:lastColumn="0" w:noHBand="0" w:noVBand="0"/>
      </w:tblPr>
      <w:tblGrid>
        <w:gridCol w:w="8505"/>
      </w:tblGrid>
      <w:tr w:rsidR="00DC4807">
        <w:trPr>
          <w:cantSplit/>
          <w:trHeight w:val="20"/>
        </w:trPr>
        <w:tc>
          <w:tcPr>
            <w:tcW w:w="8505" w:type="dxa"/>
            <w:shd w:val="clear" w:color="auto" w:fill="auto"/>
          </w:tcPr>
          <w:p w:rsidR="00DC4807" w:rsidRDefault="00DC4807">
            <w:pPr>
              <w:pStyle w:val="SlimCell"/>
              <w:keepNext/>
              <w:rPr>
                <w:noProof/>
              </w:rPr>
            </w:pPr>
          </w:p>
        </w:tc>
      </w:tr>
      <w:tr w:rsidR="00DC4807">
        <w:trPr>
          <w:cantSplit/>
        </w:trPr>
        <w:tc>
          <w:tcPr>
            <w:tcW w:w="8505" w:type="dxa"/>
            <w:shd w:val="clear" w:color="auto" w:fill="auto"/>
          </w:tcPr>
          <w:p w:rsidR="00DC4807" w:rsidRDefault="0005641F">
            <w:pPr>
              <w:pStyle w:val="TableTitle"/>
              <w:rPr>
                <w:b/>
                <w:noProof/>
              </w:rPr>
            </w:pPr>
            <w:bookmarkStart w:id="90" w:name="_Toc507233677"/>
            <w:r>
              <w:rPr>
                <w:noProof/>
              </w:rPr>
              <w:t>Table B.1:</w:t>
            </w:r>
            <w:r>
              <w:rPr>
                <w:b/>
                <w:noProof/>
              </w:rPr>
              <w:tab/>
              <w:t>The MIP scoreboard for the Netherlands</w:t>
            </w:r>
            <w:r>
              <w:rPr>
                <w:b/>
                <w:noProof/>
              </w:rPr>
              <w:t xml:space="preserve"> (AMR 2018)</w:t>
            </w:r>
            <w:bookmarkEnd w:id="90"/>
          </w:p>
        </w:tc>
      </w:tr>
      <w:tr w:rsidR="00DC4807">
        <w:trPr>
          <w:cantSplit/>
        </w:trPr>
        <w:tc>
          <w:tcPr>
            <w:tcW w:w="8505" w:type="dxa"/>
            <w:shd w:val="clear" w:color="auto" w:fill="auto"/>
          </w:tcPr>
          <w:p w:rsidR="00DC4807" w:rsidRDefault="0005641F">
            <w:pPr>
              <w:pStyle w:val="TableShape"/>
              <w:rPr>
                <w:noProof/>
                <w:sz w:val="2"/>
              </w:rPr>
            </w:pPr>
            <w:r>
              <w:rPr>
                <w:noProof/>
                <w:sz w:val="2"/>
                <w:lang w:eastAsia="en-GB"/>
              </w:rPr>
              <w:drawing>
                <wp:inline distT="0" distB="0" distL="0" distR="0" wp14:anchorId="03920B28" wp14:editId="14C2A59F">
                  <wp:extent cx="5388229" cy="5263895"/>
                  <wp:effectExtent l="0" t="0" r="3175" b="0"/>
                  <wp:docPr id="9" name="Picture 9" descr="&lt;nbr&gt;&lt;GETTEXTFROMWORD&gt;&lt;/nbr&gt;&#10;&lt;title&gt;&lt;GETTEXTFROMWORD&gt;&lt;/title&gt;&#10;&lt;id&gt;0d15e87f-74bf-40c3-9825-be970db72120&lt;/id&gt;&#10;&lt;srcType&gt;EXCEL&lt;/srcType&gt;&#10;&lt;srcPath&gt;O:\2017 CRs\2018 European semester\19 NL\19_NL_TablesGraphesBoxes\&lt;/srcPath&gt;&#10;&lt;srcName&gt;19 NL Scoreboard table.xlsx&lt;/srcName&gt;&#10;&lt;type&gt;table&lt;/type&gt;&#10; &lt;srcSheet&gt;NL&lt;/srcSheet&gt;&#10; &lt;srcRange&gt;R2C1:R16C10&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6T11:12:45&lt;/scrFileTime&gt;&#10;&lt;imageInformation&gt;&#10; &lt;dontScaleUp&gt;no&lt;/dontScaleUp&gt;&#10;&lt;/imageInformation&gt;&#10;&lt;url&gt;&lt;/url&gt;&#10;&lt;basedocguid&gt;{5E4B2B20-9D4E-49CE-8F20-772216D3206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388229" cy="5263895"/>
                          </a:xfrm>
                          <a:prstGeom prst="rect">
                            <a:avLst/>
                          </a:prstGeom>
                          <a:noFill/>
                          <a:ln>
                            <a:noFill/>
                          </a:ln>
                        </pic:spPr>
                      </pic:pic>
                    </a:graphicData>
                  </a:graphic>
                </wp:inline>
              </w:drawing>
            </w:r>
          </w:p>
        </w:tc>
      </w:tr>
      <w:tr w:rsidR="00DC4807">
        <w:trPr>
          <w:cantSplit/>
        </w:trPr>
        <w:tc>
          <w:tcPr>
            <w:tcW w:w="8505" w:type="dxa"/>
            <w:shd w:val="clear" w:color="auto" w:fill="auto"/>
          </w:tcPr>
          <w:p w:rsidR="00DC4807" w:rsidRDefault="0005641F">
            <w:pPr>
              <w:pStyle w:val="TableFootnote"/>
              <w:rPr>
                <w:noProof/>
              </w:rPr>
            </w:pPr>
            <w:r>
              <w:rPr>
                <w:noProof/>
              </w:rPr>
              <w:t xml:space="preserve">Flags: b: Break in series. p: Provisional. </w:t>
            </w:r>
            <w:r>
              <w:rPr>
                <w:noProof/>
              </w:rPr>
              <w:br/>
              <w:t>(1) This table provides data as published under the Alert Mechanism Report 2018, which reports data as of 24 Oct 2017. Please note that figures reported in this table may therefore differ from mor</w:t>
            </w:r>
            <w:r>
              <w:rPr>
                <w:noProof/>
              </w:rPr>
              <w:t>e recent data elsewhere in this document.</w:t>
            </w:r>
          </w:p>
          <w:p w:rsidR="00DC4807" w:rsidRDefault="0005641F">
            <w:pPr>
              <w:pStyle w:val="TableSource"/>
              <w:rPr>
                <w:noProof/>
              </w:rPr>
            </w:pPr>
            <w:r>
              <w:rPr>
                <w:b/>
                <w:i/>
                <w:noProof/>
              </w:rPr>
              <w:t>Source:</w:t>
            </w:r>
            <w:r>
              <w:rPr>
                <w:noProof/>
              </w:rPr>
              <w:t xml:space="preserve"> European Commission 2017, Statistical Annex to the Alert Mechanism Report 2018, SWD(2017) 661.</w:t>
            </w:r>
          </w:p>
        </w:tc>
      </w:tr>
      <w:tr w:rsidR="00DC4807">
        <w:trPr>
          <w:cantSplit/>
          <w:trHeight w:val="20"/>
        </w:trPr>
        <w:tc>
          <w:tcPr>
            <w:tcW w:w="8505" w:type="dxa"/>
            <w:shd w:val="clear" w:color="auto" w:fill="auto"/>
            <w:tcMar>
              <w:bottom w:w="240" w:type="dxa"/>
            </w:tcMar>
          </w:tcPr>
          <w:p w:rsidR="00DC4807" w:rsidRDefault="00DC4807">
            <w:pPr>
              <w:pStyle w:val="SlimCell"/>
              <w:rPr>
                <w:noProof/>
              </w:rPr>
            </w:pPr>
          </w:p>
        </w:tc>
      </w:tr>
    </w:tbl>
    <w:p w:rsidR="00DC4807" w:rsidRDefault="00DC4807">
      <w:pPr>
        <w:rPr>
          <w:noProof/>
        </w:rPr>
      </w:pPr>
    </w:p>
    <w:p w:rsidR="00DC4807" w:rsidRDefault="00DC4807">
      <w:pPr>
        <w:rPr>
          <w:noProof/>
        </w:rPr>
        <w:sectPr w:rsidR="00DC4807">
          <w:headerReference w:type="even" r:id="rId200"/>
          <w:headerReference w:type="default" r:id="rId201"/>
          <w:footerReference w:type="even" r:id="rId202"/>
          <w:footerReference w:type="default" r:id="rId203"/>
          <w:headerReference w:type="first" r:id="rId204"/>
          <w:footerReference w:type="first" r:id="rId205"/>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DC4807" w:rsidRDefault="0005641F">
      <w:pPr>
        <w:pStyle w:val="SectionTitleFramedtwolines2"/>
        <w:framePr w:wrap="notBeside"/>
        <w:rPr>
          <w:noProof/>
        </w:rPr>
      </w:pPr>
      <w:bookmarkStart w:id="91" w:name="_Toc507233699"/>
      <w:r>
        <w:rPr>
          <w:noProof/>
        </w:rPr>
        <w:t>Annex C: Standard tables</w:t>
      </w:r>
      <w:bookmarkEnd w:id="91"/>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C4807">
        <w:trPr>
          <w:cantSplit/>
          <w:trHeight w:val="20"/>
        </w:trPr>
        <w:tc>
          <w:tcPr>
            <w:tcW w:w="8505" w:type="dxa"/>
            <w:shd w:val="clear" w:color="auto" w:fill="auto"/>
          </w:tcPr>
          <w:p w:rsidR="00DC4807" w:rsidRDefault="00DC4807">
            <w:pPr>
              <w:pStyle w:val="SlimCell"/>
              <w:keepNext/>
              <w:rPr>
                <w:noProof/>
              </w:rPr>
            </w:pPr>
          </w:p>
        </w:tc>
      </w:tr>
      <w:tr w:rsidR="00DC4807">
        <w:trPr>
          <w:cantSplit/>
        </w:trPr>
        <w:tc>
          <w:tcPr>
            <w:tcW w:w="8505" w:type="dxa"/>
            <w:shd w:val="clear" w:color="auto" w:fill="auto"/>
          </w:tcPr>
          <w:p w:rsidR="00DC4807" w:rsidRDefault="0005641F">
            <w:pPr>
              <w:pStyle w:val="TableTitle"/>
              <w:rPr>
                <w:b/>
                <w:noProof/>
              </w:rPr>
            </w:pPr>
            <w:bookmarkStart w:id="92" w:name="_Toc507233678"/>
            <w:r>
              <w:rPr>
                <w:noProof/>
              </w:rPr>
              <w:t>Table C.1:</w:t>
            </w:r>
            <w:r>
              <w:rPr>
                <w:b/>
                <w:noProof/>
              </w:rPr>
              <w:tab/>
              <w:t>Financial market indicators</w:t>
            </w:r>
            <w:bookmarkEnd w:id="92"/>
          </w:p>
        </w:tc>
      </w:tr>
      <w:tr w:rsidR="00DC4807">
        <w:trPr>
          <w:cantSplit/>
        </w:trPr>
        <w:tc>
          <w:tcPr>
            <w:tcW w:w="8505" w:type="dxa"/>
            <w:shd w:val="clear" w:color="auto" w:fill="auto"/>
          </w:tcPr>
          <w:p w:rsidR="00DC4807" w:rsidRDefault="0005641F">
            <w:pPr>
              <w:pStyle w:val="TableShape"/>
              <w:rPr>
                <w:noProof/>
                <w:sz w:val="2"/>
              </w:rPr>
            </w:pPr>
            <w:r>
              <w:rPr>
                <w:noProof/>
                <w:sz w:val="2"/>
                <w:lang w:eastAsia="en-GB"/>
              </w:rPr>
              <w:drawing>
                <wp:inline distT="0" distB="0" distL="0" distR="0" wp14:anchorId="0A587F0F" wp14:editId="000F2211">
                  <wp:extent cx="5400929" cy="2166097"/>
                  <wp:effectExtent l="0" t="0" r="0" b="5715"/>
                  <wp:docPr id="49" name="Picture 49" descr="&lt;nbr&gt;&lt;GETTEXTFROMWORD&gt;&lt;/nbr&gt;&#10;&lt;title&gt;&lt;GETTEXTFROMWORD&gt;&lt;/title&gt;&#10;&lt;id&gt;3541189a-b427-46e4-bcfb-eb0e22112989&lt;/id&gt;&#10;&lt;srcType&gt;EXCEL&lt;/srcType&gt;&#10;&lt;srcPath&gt;O:\2017 CRs\2018 European semester\19 NL\19_NL_TablesGraphesBoxes&lt;/srcPath&gt;&#10;&lt;srcName&gt;19 NL Standard tables.xlsx&lt;/srcName&gt;&#10;&lt;type&gt;table&lt;/type&gt;&#10; &lt;srcSheet&gt;NL Table I&lt;/srcSheet&gt;&#10; &lt;srcRange&gt;R3C2:R18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05:07&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400929" cy="2166097"/>
                          </a:xfrm>
                          <a:prstGeom prst="rect">
                            <a:avLst/>
                          </a:prstGeom>
                          <a:noFill/>
                          <a:ln>
                            <a:noFill/>
                          </a:ln>
                        </pic:spPr>
                      </pic:pic>
                    </a:graphicData>
                  </a:graphic>
                </wp:inline>
              </w:drawing>
            </w:r>
          </w:p>
        </w:tc>
      </w:tr>
      <w:tr w:rsidR="00DC4807">
        <w:trPr>
          <w:cantSplit/>
        </w:trPr>
        <w:tc>
          <w:tcPr>
            <w:tcW w:w="8505" w:type="dxa"/>
            <w:shd w:val="clear" w:color="auto" w:fill="auto"/>
          </w:tcPr>
          <w:p w:rsidR="00DC4807" w:rsidRDefault="0005641F">
            <w:pPr>
              <w:pStyle w:val="TableFootnote"/>
              <w:rPr>
                <w:noProof/>
              </w:rPr>
            </w:pPr>
            <w:r>
              <w:rPr>
                <w:noProof/>
              </w:rPr>
              <w:t>1) Latest data Q3 2017. Includes not only banks but all monetary financial institutions excluding central banks.</w:t>
            </w:r>
            <w:r>
              <w:rPr>
                <w:noProof/>
              </w:rPr>
              <w:br/>
              <w:t>2) Latest data Q2 2017.</w:t>
            </w:r>
            <w:r>
              <w:rPr>
                <w:noProof/>
              </w:rPr>
              <w:br/>
              <w:t xml:space="preserve">3) As per ECB </w:t>
            </w:r>
            <w:r>
              <w:rPr>
                <w:noProof/>
              </w:rPr>
              <w:t>definition of gross non-performing debt instruments</w:t>
            </w:r>
            <w:r>
              <w:rPr>
                <w:noProof/>
              </w:rPr>
              <w:br/>
              <w:t>4) Quarterly values are not annualised</w:t>
            </w:r>
            <w:r>
              <w:rPr>
                <w:noProof/>
              </w:rPr>
              <w:br/>
              <w:t>* Measured in basis points.</w:t>
            </w:r>
          </w:p>
          <w:p w:rsidR="00DC4807" w:rsidRDefault="0005641F">
            <w:pPr>
              <w:pStyle w:val="TableSource"/>
              <w:rPr>
                <w:noProof/>
              </w:rPr>
            </w:pPr>
            <w:r>
              <w:rPr>
                <w:b/>
                <w:i/>
                <w:noProof/>
              </w:rPr>
              <w:t>Source:</w:t>
            </w:r>
            <w:r>
              <w:rPr>
                <w:noProof/>
              </w:rPr>
              <w:t xml:space="preserve"> European Commission (long-term interest rates); World Bank (gross external debt); Eurostat (private debt); ECB (all other indicat</w:t>
            </w:r>
            <w:r>
              <w:rPr>
                <w:noProof/>
              </w:rPr>
              <w:t>ors)</w:t>
            </w:r>
          </w:p>
        </w:tc>
      </w:tr>
      <w:tr w:rsidR="00DC4807">
        <w:trPr>
          <w:cantSplit/>
          <w:trHeight w:val="20"/>
        </w:trPr>
        <w:tc>
          <w:tcPr>
            <w:tcW w:w="8505" w:type="dxa"/>
            <w:shd w:val="clear" w:color="auto" w:fill="auto"/>
          </w:tcPr>
          <w:p w:rsidR="00DC4807" w:rsidRDefault="00DC4807">
            <w:pPr>
              <w:pStyle w:val="SlimCell"/>
              <w:rPr>
                <w:noProof/>
              </w:rPr>
            </w:pPr>
          </w:p>
        </w:tc>
      </w:tr>
    </w:tbl>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C4807">
        <w:trPr>
          <w:cantSplit/>
          <w:trHeight w:val="20"/>
        </w:trPr>
        <w:tc>
          <w:tcPr>
            <w:tcW w:w="8505" w:type="dxa"/>
            <w:shd w:val="clear" w:color="auto" w:fill="auto"/>
          </w:tcPr>
          <w:p w:rsidR="00DC4807" w:rsidRDefault="00DC4807">
            <w:pPr>
              <w:pStyle w:val="SlimCell"/>
              <w:keepNext/>
              <w:rPr>
                <w:noProof/>
              </w:rPr>
            </w:pPr>
          </w:p>
        </w:tc>
      </w:tr>
      <w:tr w:rsidR="00DC4807">
        <w:trPr>
          <w:cantSplit/>
        </w:trPr>
        <w:tc>
          <w:tcPr>
            <w:tcW w:w="8505" w:type="dxa"/>
            <w:shd w:val="clear" w:color="auto" w:fill="auto"/>
          </w:tcPr>
          <w:p w:rsidR="00DC4807" w:rsidRDefault="0005641F">
            <w:pPr>
              <w:pStyle w:val="TableTitle"/>
              <w:rPr>
                <w:b/>
                <w:noProof/>
              </w:rPr>
            </w:pPr>
            <w:bookmarkStart w:id="93" w:name="_Toc507233679"/>
            <w:r>
              <w:rPr>
                <w:noProof/>
              </w:rPr>
              <w:t>Table C.2:</w:t>
            </w:r>
            <w:r>
              <w:rPr>
                <w:b/>
                <w:noProof/>
              </w:rPr>
              <w:tab/>
              <w:t>Headline Social Scoreboard indicators</w:t>
            </w:r>
            <w:bookmarkEnd w:id="93"/>
          </w:p>
        </w:tc>
      </w:tr>
      <w:tr w:rsidR="00DC4807">
        <w:trPr>
          <w:cantSplit/>
        </w:trPr>
        <w:tc>
          <w:tcPr>
            <w:tcW w:w="8505" w:type="dxa"/>
            <w:shd w:val="clear" w:color="auto" w:fill="auto"/>
          </w:tcPr>
          <w:p w:rsidR="00DC4807" w:rsidRDefault="0005641F">
            <w:pPr>
              <w:pStyle w:val="TableShape"/>
              <w:rPr>
                <w:noProof/>
                <w:sz w:val="2"/>
              </w:rPr>
            </w:pPr>
            <w:r>
              <w:rPr>
                <w:noProof/>
                <w:sz w:val="2"/>
                <w:lang w:eastAsia="en-GB"/>
              </w:rPr>
              <w:drawing>
                <wp:inline distT="0" distB="0" distL="0" distR="0" wp14:anchorId="5F9AA1D1" wp14:editId="4A3EBF3F">
                  <wp:extent cx="5391150" cy="4001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391150" cy="4001135"/>
                          </a:xfrm>
                          <a:prstGeom prst="rect">
                            <a:avLst/>
                          </a:prstGeom>
                          <a:noFill/>
                          <a:ln>
                            <a:noFill/>
                          </a:ln>
                        </pic:spPr>
                      </pic:pic>
                    </a:graphicData>
                  </a:graphic>
                </wp:inline>
              </w:drawing>
            </w:r>
          </w:p>
        </w:tc>
      </w:tr>
      <w:tr w:rsidR="00DC4807">
        <w:trPr>
          <w:cantSplit/>
        </w:trPr>
        <w:tc>
          <w:tcPr>
            <w:tcW w:w="8505" w:type="dxa"/>
            <w:shd w:val="clear" w:color="auto" w:fill="auto"/>
          </w:tcPr>
          <w:p w:rsidR="00DC4807" w:rsidRDefault="0005641F">
            <w:pPr>
              <w:pStyle w:val="TableFootnote"/>
              <w:rPr>
                <w:noProof/>
              </w:rPr>
            </w:pPr>
            <w:r>
              <w:rPr>
                <w:noProof/>
              </w:rPr>
              <w:t xml:space="preserve">† The Social Scoreboard includes 14 headline indicators, of which 12 are currently used to compare Member States performance. The indicators "participants in active labour </w:t>
            </w:r>
            <w:r>
              <w:rPr>
                <w:noProof/>
              </w:rPr>
              <w:t>market policies per 100 persons wanting to work" and "compensation of employees per hour worked (in EUR)" are not used due to technical concerns by Member States. Possible alternatives will be discussed in the relevant Committees.</w:t>
            </w:r>
          </w:p>
          <w:p w:rsidR="00DC4807" w:rsidRDefault="0005641F">
            <w:pPr>
              <w:pStyle w:val="TableFootnote"/>
              <w:rPr>
                <w:noProof/>
              </w:rPr>
            </w:pPr>
            <w:r>
              <w:rPr>
                <w:noProof/>
              </w:rPr>
              <w:t>(1) People at risk of pov</w:t>
            </w:r>
            <w:r>
              <w:rPr>
                <w:noProof/>
              </w:rPr>
              <w:t xml:space="preserve">erty or social exclusion (AROPE): individuals who are at risk of poverty (AROP) and/or suffering from severe material deprivation (SMD) and/or living in households with zero or very low work intensity (LWI).      </w:t>
            </w:r>
          </w:p>
          <w:p w:rsidR="00DC4807" w:rsidRDefault="0005641F">
            <w:pPr>
              <w:pStyle w:val="TableFootnote"/>
              <w:rPr>
                <w:noProof/>
              </w:rPr>
            </w:pPr>
            <w:r>
              <w:rPr>
                <w:noProof/>
              </w:rPr>
              <w:t>(2) Unemployed persons are all those who w</w:t>
            </w:r>
            <w:r>
              <w:rPr>
                <w:noProof/>
              </w:rPr>
              <w:t xml:space="preserve">ere not employed but had actively sought work and were ready to begin working immediately or within two weeks.      </w:t>
            </w:r>
          </w:p>
          <w:p w:rsidR="00DC4807" w:rsidRDefault="0005641F">
            <w:pPr>
              <w:pStyle w:val="TableFootnote"/>
              <w:rPr>
                <w:noProof/>
              </w:rPr>
            </w:pPr>
            <w:r>
              <w:rPr>
                <w:noProof/>
              </w:rPr>
              <w:t xml:space="preserve">(3) Gross disposable household income is defined in unadjusted terms, according to the draft Joint Employment Report 2018.      </w:t>
            </w:r>
          </w:p>
          <w:p w:rsidR="00DC4807" w:rsidRDefault="0005641F">
            <w:pPr>
              <w:pStyle w:val="TableFootnote"/>
              <w:rPr>
                <w:noProof/>
              </w:rPr>
            </w:pPr>
            <w:r>
              <w:rPr>
                <w:noProof/>
              </w:rPr>
              <w:t xml:space="preserve">(4) Reduction in percentage of the risk of poverty rate, due to social transfers (calculated comparing at-risk-of poverty rates before social transfers with those after transfers; pensions are not considered as social transfers in the calculation).      </w:t>
            </w:r>
          </w:p>
          <w:p w:rsidR="00DC4807" w:rsidRDefault="0005641F">
            <w:pPr>
              <w:pStyle w:val="TableFootnote"/>
              <w:rPr>
                <w:noProof/>
              </w:rPr>
            </w:pPr>
            <w:r>
              <w:rPr>
                <w:noProof/>
              </w:rPr>
              <w:t>(</w:t>
            </w:r>
            <w:r>
              <w:rPr>
                <w:noProof/>
              </w:rPr>
              <w:t xml:space="preserve">5) Average of first three quarters of 2017 for the employment rate and gender employment gap. </w:t>
            </w:r>
          </w:p>
          <w:p w:rsidR="00DC4807" w:rsidRDefault="0005641F">
            <w:pPr>
              <w:pStyle w:val="TableSource"/>
              <w:rPr>
                <w:noProof/>
              </w:rPr>
            </w:pPr>
            <w:r>
              <w:rPr>
                <w:b/>
                <w:i/>
                <w:noProof/>
              </w:rPr>
              <w:t>Source:</w:t>
            </w:r>
            <w:r>
              <w:rPr>
                <w:noProof/>
              </w:rPr>
              <w:t xml:space="preserve"> Eurostat</w:t>
            </w:r>
          </w:p>
        </w:tc>
      </w:tr>
      <w:tr w:rsidR="00DC4807">
        <w:trPr>
          <w:cantSplit/>
          <w:trHeight w:val="20"/>
        </w:trPr>
        <w:tc>
          <w:tcPr>
            <w:tcW w:w="8505" w:type="dxa"/>
            <w:shd w:val="clear" w:color="auto" w:fill="auto"/>
          </w:tcPr>
          <w:p w:rsidR="00DC4807" w:rsidRDefault="00DC4807">
            <w:pPr>
              <w:pStyle w:val="SlimCell"/>
              <w:rPr>
                <w:noProof/>
              </w:rPr>
            </w:pPr>
          </w:p>
        </w:tc>
      </w:tr>
    </w:tbl>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C4807">
        <w:trPr>
          <w:cantSplit/>
          <w:trHeight w:val="20"/>
        </w:trPr>
        <w:tc>
          <w:tcPr>
            <w:tcW w:w="8505" w:type="dxa"/>
            <w:shd w:val="clear" w:color="auto" w:fill="auto"/>
          </w:tcPr>
          <w:p w:rsidR="00DC4807" w:rsidRDefault="00DC4807">
            <w:pPr>
              <w:pStyle w:val="SlimCell"/>
              <w:keepNext/>
              <w:rPr>
                <w:noProof/>
              </w:rPr>
            </w:pPr>
          </w:p>
        </w:tc>
      </w:tr>
      <w:tr w:rsidR="00DC4807">
        <w:trPr>
          <w:cantSplit/>
        </w:trPr>
        <w:tc>
          <w:tcPr>
            <w:tcW w:w="8505" w:type="dxa"/>
            <w:shd w:val="clear" w:color="auto" w:fill="auto"/>
          </w:tcPr>
          <w:p w:rsidR="00DC4807" w:rsidRDefault="0005641F">
            <w:pPr>
              <w:pStyle w:val="TableTitle"/>
              <w:rPr>
                <w:b/>
                <w:noProof/>
              </w:rPr>
            </w:pPr>
            <w:bookmarkStart w:id="94" w:name="_Toc507233680"/>
            <w:r>
              <w:rPr>
                <w:noProof/>
              </w:rPr>
              <w:t>Table C.3:</w:t>
            </w:r>
            <w:r>
              <w:rPr>
                <w:b/>
                <w:noProof/>
              </w:rPr>
              <w:tab/>
              <w:t>Labour market and education indicators</w:t>
            </w:r>
            <w:bookmarkEnd w:id="94"/>
          </w:p>
        </w:tc>
      </w:tr>
      <w:tr w:rsidR="00DC4807">
        <w:trPr>
          <w:cantSplit/>
        </w:trPr>
        <w:tc>
          <w:tcPr>
            <w:tcW w:w="8505" w:type="dxa"/>
            <w:shd w:val="clear" w:color="auto" w:fill="auto"/>
          </w:tcPr>
          <w:p w:rsidR="00DC4807" w:rsidRDefault="0005641F">
            <w:pPr>
              <w:pStyle w:val="TableShape"/>
              <w:rPr>
                <w:noProof/>
                <w:sz w:val="2"/>
              </w:rPr>
            </w:pPr>
            <w:r>
              <w:rPr>
                <w:noProof/>
                <w:sz w:val="2"/>
                <w:lang w:eastAsia="en-GB"/>
              </w:rPr>
              <w:drawing>
                <wp:inline distT="0" distB="0" distL="0" distR="0" wp14:anchorId="643B9FB6" wp14:editId="5E6B026D">
                  <wp:extent cx="5398770" cy="41770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398770" cy="4177030"/>
                          </a:xfrm>
                          <a:prstGeom prst="rect">
                            <a:avLst/>
                          </a:prstGeom>
                          <a:noFill/>
                          <a:ln>
                            <a:noFill/>
                          </a:ln>
                        </pic:spPr>
                      </pic:pic>
                    </a:graphicData>
                  </a:graphic>
                </wp:inline>
              </w:drawing>
            </w:r>
          </w:p>
        </w:tc>
      </w:tr>
      <w:tr w:rsidR="00DC4807">
        <w:trPr>
          <w:cantSplit/>
        </w:trPr>
        <w:tc>
          <w:tcPr>
            <w:tcW w:w="8505" w:type="dxa"/>
            <w:shd w:val="clear" w:color="auto" w:fill="auto"/>
          </w:tcPr>
          <w:p w:rsidR="00DC4807" w:rsidRDefault="0005641F">
            <w:pPr>
              <w:pStyle w:val="TableFootnote"/>
              <w:rPr>
                <w:noProof/>
              </w:rPr>
            </w:pPr>
            <w:r>
              <w:rPr>
                <w:noProof/>
              </w:rPr>
              <w:t xml:space="preserve">* Non-scoreboard indicator      </w:t>
            </w:r>
          </w:p>
          <w:p w:rsidR="00DC4807" w:rsidRDefault="0005641F">
            <w:pPr>
              <w:pStyle w:val="TableFootnote"/>
              <w:rPr>
                <w:noProof/>
              </w:rPr>
            </w:pPr>
            <w:r>
              <w:rPr>
                <w:noProof/>
              </w:rPr>
              <w:t xml:space="preserve">(1) Long-term unemployed are people who have been unemployed for at least 12 months.      </w:t>
            </w:r>
          </w:p>
          <w:p w:rsidR="00DC4807" w:rsidRDefault="0005641F">
            <w:pPr>
              <w:pStyle w:val="TableFootnote"/>
              <w:rPr>
                <w:noProof/>
              </w:rPr>
            </w:pPr>
            <w:r>
              <w:rPr>
                <w:noProof/>
              </w:rPr>
              <w:t>(2) Difference between the average gross hourly earnings of male paid employees and of female paid employees as a percentage of average gross hourly earnings of male</w:t>
            </w:r>
            <w:r>
              <w:rPr>
                <w:noProof/>
              </w:rPr>
              <w:t xml:space="preserve"> paid employees. It is defined as "unadjusted", as it does not correct for the distribution of individual characteristics (and thus gives an overall picture of gender inequalities in terms of pay). All employees working in firms with ten or more employees,</w:t>
            </w:r>
            <w:r>
              <w:rPr>
                <w:noProof/>
              </w:rPr>
              <w:t xml:space="preserve"> without restrictions for age and hours worked, are included.      </w:t>
            </w:r>
          </w:p>
          <w:p w:rsidR="00DC4807" w:rsidRDefault="0005641F">
            <w:pPr>
              <w:pStyle w:val="TableFootnote"/>
              <w:rPr>
                <w:noProof/>
              </w:rPr>
            </w:pPr>
            <w:r>
              <w:rPr>
                <w:noProof/>
              </w:rPr>
              <w:t xml:space="preserve">(3) PISA (OECD) results for low achievement in mathematics for 15 year-olds.      </w:t>
            </w:r>
          </w:p>
          <w:p w:rsidR="00DC4807" w:rsidRDefault="0005641F">
            <w:pPr>
              <w:pStyle w:val="TableFootnote"/>
              <w:rPr>
                <w:noProof/>
              </w:rPr>
            </w:pPr>
            <w:r>
              <w:rPr>
                <w:noProof/>
              </w:rPr>
              <w:t>(4) Impact of socio-economic and cultural status on PISA (OECD) scores. Values for 2012 and 2015 refer re</w:t>
            </w:r>
            <w:r>
              <w:rPr>
                <w:noProof/>
              </w:rPr>
              <w:t xml:space="preserve">spectively to mathematics and science.      </w:t>
            </w:r>
          </w:p>
          <w:p w:rsidR="00DC4807" w:rsidRDefault="0005641F">
            <w:pPr>
              <w:pStyle w:val="TableFootnote"/>
              <w:rPr>
                <w:noProof/>
              </w:rPr>
            </w:pPr>
            <w:r>
              <w:rPr>
                <w:noProof/>
              </w:rPr>
              <w:t>(5) Average of first three quarters of 2017, unless for the youth unemployment rate (annual figure).</w:t>
            </w:r>
          </w:p>
          <w:p w:rsidR="00DC4807" w:rsidRDefault="0005641F">
            <w:pPr>
              <w:pStyle w:val="TableSource"/>
              <w:rPr>
                <w:noProof/>
              </w:rPr>
            </w:pPr>
            <w:r>
              <w:rPr>
                <w:b/>
                <w:i/>
                <w:noProof/>
              </w:rPr>
              <w:t>Source:</w:t>
            </w:r>
            <w:r>
              <w:rPr>
                <w:noProof/>
              </w:rPr>
              <w:t xml:space="preserve"> Eurostat, OECD</w:t>
            </w:r>
          </w:p>
        </w:tc>
      </w:tr>
      <w:tr w:rsidR="00DC4807">
        <w:trPr>
          <w:cantSplit/>
          <w:trHeight w:val="20"/>
        </w:trPr>
        <w:tc>
          <w:tcPr>
            <w:tcW w:w="8505" w:type="dxa"/>
            <w:shd w:val="clear" w:color="auto" w:fill="auto"/>
          </w:tcPr>
          <w:p w:rsidR="00DC4807" w:rsidRDefault="00DC4807">
            <w:pPr>
              <w:pStyle w:val="SlimCell"/>
              <w:rPr>
                <w:noProof/>
              </w:rPr>
            </w:pPr>
          </w:p>
        </w:tc>
      </w:tr>
    </w:tbl>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C4807">
        <w:trPr>
          <w:cantSplit/>
          <w:trHeight w:val="20"/>
        </w:trPr>
        <w:tc>
          <w:tcPr>
            <w:tcW w:w="8505" w:type="dxa"/>
            <w:shd w:val="clear" w:color="auto" w:fill="auto"/>
          </w:tcPr>
          <w:p w:rsidR="00DC4807" w:rsidRDefault="00DC4807">
            <w:pPr>
              <w:pStyle w:val="SlimCell"/>
              <w:keepNext/>
              <w:rPr>
                <w:noProof/>
              </w:rPr>
            </w:pPr>
          </w:p>
        </w:tc>
      </w:tr>
      <w:tr w:rsidR="00DC4807">
        <w:trPr>
          <w:cantSplit/>
        </w:trPr>
        <w:tc>
          <w:tcPr>
            <w:tcW w:w="8505" w:type="dxa"/>
            <w:shd w:val="clear" w:color="auto" w:fill="auto"/>
          </w:tcPr>
          <w:p w:rsidR="00DC4807" w:rsidRDefault="0005641F">
            <w:pPr>
              <w:pStyle w:val="TableTitle"/>
              <w:rPr>
                <w:b/>
                <w:noProof/>
              </w:rPr>
            </w:pPr>
            <w:bookmarkStart w:id="95" w:name="_Toc507233681"/>
            <w:r>
              <w:rPr>
                <w:noProof/>
              </w:rPr>
              <w:t>Table C.4:</w:t>
            </w:r>
            <w:r>
              <w:rPr>
                <w:b/>
                <w:noProof/>
              </w:rPr>
              <w:tab/>
              <w:t>Social inclusion and health indicators</w:t>
            </w:r>
            <w:bookmarkEnd w:id="95"/>
          </w:p>
        </w:tc>
      </w:tr>
      <w:tr w:rsidR="00DC4807">
        <w:trPr>
          <w:cantSplit/>
        </w:trPr>
        <w:tc>
          <w:tcPr>
            <w:tcW w:w="8505" w:type="dxa"/>
            <w:shd w:val="clear" w:color="auto" w:fill="auto"/>
          </w:tcPr>
          <w:p w:rsidR="00DC4807" w:rsidRDefault="0005641F">
            <w:pPr>
              <w:pStyle w:val="TableShape"/>
              <w:rPr>
                <w:noProof/>
                <w:sz w:val="2"/>
              </w:rPr>
            </w:pPr>
            <w:r>
              <w:rPr>
                <w:noProof/>
                <w:sz w:val="2"/>
                <w:lang w:eastAsia="en-GB"/>
              </w:rPr>
              <w:drawing>
                <wp:inline distT="0" distB="0" distL="0" distR="0" wp14:anchorId="4A48EC5C" wp14:editId="6AA05A50">
                  <wp:extent cx="5398770" cy="446976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398770" cy="4469765"/>
                          </a:xfrm>
                          <a:prstGeom prst="rect">
                            <a:avLst/>
                          </a:prstGeom>
                          <a:noFill/>
                          <a:ln>
                            <a:noFill/>
                          </a:ln>
                        </pic:spPr>
                      </pic:pic>
                    </a:graphicData>
                  </a:graphic>
                </wp:inline>
              </w:drawing>
            </w:r>
          </w:p>
        </w:tc>
      </w:tr>
      <w:tr w:rsidR="00DC4807">
        <w:trPr>
          <w:cantSplit/>
        </w:trPr>
        <w:tc>
          <w:tcPr>
            <w:tcW w:w="8505" w:type="dxa"/>
            <w:shd w:val="clear" w:color="auto" w:fill="auto"/>
          </w:tcPr>
          <w:p w:rsidR="00DC4807" w:rsidRDefault="0005641F">
            <w:pPr>
              <w:pStyle w:val="TableFootnote"/>
              <w:rPr>
                <w:noProof/>
              </w:rPr>
            </w:pPr>
            <w:r>
              <w:rPr>
                <w:noProof/>
              </w:rPr>
              <w:t xml:space="preserve">(1) </w:t>
            </w:r>
            <w:r>
              <w:rPr>
                <w:noProof/>
              </w:rPr>
              <w:t>At-risk-of-poverty rate (AROP): proportion of people with an equivalised disposable income below 60</w:t>
            </w:r>
            <w:r>
              <w:rPr>
                <w:rFonts w:ascii="Arial" w:hAnsi="Arial" w:cs="Arial"/>
                <w:noProof/>
              </w:rPr>
              <w:t> </w:t>
            </w:r>
            <w:r>
              <w:rPr>
                <w:noProof/>
              </w:rPr>
              <w:t xml:space="preserve">% of the national equivalised median income. </w:t>
            </w:r>
          </w:p>
          <w:p w:rsidR="00DC4807" w:rsidRDefault="0005641F">
            <w:pPr>
              <w:pStyle w:val="TableFootnote"/>
              <w:rPr>
                <w:noProof/>
              </w:rPr>
            </w:pPr>
            <w:r>
              <w:rPr>
                <w:noProof/>
              </w:rPr>
              <w:t>(2) Proportion of people who experience at least four of the following forms of deprivation: not being able to</w:t>
            </w:r>
            <w:r>
              <w:rPr>
                <w:noProof/>
              </w:rPr>
              <w:t xml:space="preserve"> afford to i) pay their rent or utility bills, ii) keep their home adequately warm, iii) face unexpected expenses, iv) eat meat, fish or a protein equivalent every second day, v) enjoy a week of holiday away from home once a year, vi) have a car, vii) have</w:t>
            </w:r>
            <w:r>
              <w:rPr>
                <w:noProof/>
              </w:rPr>
              <w:t xml:space="preserve"> a washing machine, viii) have a colour TV, or ix) have a telephone.</w:t>
            </w:r>
          </w:p>
          <w:p w:rsidR="00DC4807" w:rsidRDefault="0005641F">
            <w:pPr>
              <w:pStyle w:val="TableFootnote"/>
              <w:rPr>
                <w:noProof/>
              </w:rPr>
            </w:pPr>
            <w:r>
              <w:rPr>
                <w:noProof/>
              </w:rPr>
              <w:t>(3) Percentage of total population living in overcrowded dwellings and exhibiting housing deprivation.</w:t>
            </w:r>
            <w:r>
              <w:rPr>
                <w:noProof/>
              </w:rPr>
              <w:tab/>
            </w:r>
          </w:p>
          <w:p w:rsidR="00DC4807" w:rsidRDefault="0005641F">
            <w:pPr>
              <w:pStyle w:val="TableFootnote"/>
              <w:rPr>
                <w:noProof/>
              </w:rPr>
            </w:pPr>
            <w:r>
              <w:rPr>
                <w:noProof/>
              </w:rPr>
              <w:t xml:space="preserve">(4) People living in households with very low work intensity: proportion of people </w:t>
            </w:r>
            <w:r>
              <w:rPr>
                <w:noProof/>
              </w:rPr>
              <w:t>aged 0-59 living in households where the adults (excluding dependent children) worked less than 20</w:t>
            </w:r>
            <w:r>
              <w:rPr>
                <w:rFonts w:ascii="Arial" w:hAnsi="Arial" w:cs="Arial"/>
                <w:noProof/>
              </w:rPr>
              <w:t> </w:t>
            </w:r>
            <w:r>
              <w:rPr>
                <w:noProof/>
              </w:rPr>
              <w:t>% of their total work-time potential in the previous 12 months.</w:t>
            </w:r>
          </w:p>
          <w:p w:rsidR="00DC4807" w:rsidRDefault="0005641F">
            <w:pPr>
              <w:pStyle w:val="TableFootnote"/>
              <w:rPr>
                <w:noProof/>
              </w:rPr>
            </w:pPr>
            <w:r>
              <w:rPr>
                <w:noProof/>
              </w:rPr>
              <w:t>(5) Ratio of the median individual gross pensions of people aged 65-74 relative to the median</w:t>
            </w:r>
            <w:r>
              <w:rPr>
                <w:noProof/>
              </w:rPr>
              <w:t xml:space="preserve"> individual gross earnings of people aged 50-59.</w:t>
            </w:r>
          </w:p>
          <w:p w:rsidR="00DC4807" w:rsidRDefault="0005641F">
            <w:pPr>
              <w:pStyle w:val="TableFootnote"/>
              <w:rPr>
                <w:noProof/>
              </w:rPr>
            </w:pPr>
            <w:r>
              <w:rPr>
                <w:noProof/>
              </w:rPr>
              <w:t>(6) Fixed broadband take up (33%), mobile broadband take up (22%), speed (33%) and affordability (11%), from the Digital Scoreboard</w:t>
            </w:r>
          </w:p>
          <w:p w:rsidR="00DC4807" w:rsidRDefault="0005641F">
            <w:pPr>
              <w:pStyle w:val="TableSource"/>
              <w:rPr>
                <w:noProof/>
              </w:rPr>
            </w:pPr>
            <w:r>
              <w:rPr>
                <w:b/>
                <w:i/>
                <w:noProof/>
              </w:rPr>
              <w:t>Source:</w:t>
            </w:r>
            <w:r>
              <w:rPr>
                <w:noProof/>
              </w:rPr>
              <w:t xml:space="preserve"> Eurostat, OECD</w:t>
            </w:r>
          </w:p>
        </w:tc>
      </w:tr>
      <w:tr w:rsidR="00DC4807">
        <w:trPr>
          <w:cantSplit/>
          <w:trHeight w:val="20"/>
        </w:trPr>
        <w:tc>
          <w:tcPr>
            <w:tcW w:w="8505" w:type="dxa"/>
            <w:shd w:val="clear" w:color="auto" w:fill="auto"/>
          </w:tcPr>
          <w:p w:rsidR="00DC4807" w:rsidRDefault="00DC4807">
            <w:pPr>
              <w:pStyle w:val="SlimCell"/>
              <w:rPr>
                <w:noProof/>
              </w:rPr>
            </w:pPr>
          </w:p>
        </w:tc>
      </w:tr>
    </w:tbl>
    <w:p w:rsidR="00DC4807" w:rsidRDefault="00DC4807">
      <w:pPr>
        <w:rPr>
          <w:noProof/>
        </w:rPr>
      </w:pPr>
    </w:p>
    <w:p w:rsidR="00DC4807" w:rsidRDefault="00DC4807">
      <w:pPr>
        <w:rPr>
          <w:noProof/>
        </w:rPr>
      </w:pPr>
    </w:p>
    <w:p w:rsidR="00DC4807" w:rsidRDefault="0005641F">
      <w:pPr>
        <w:rPr>
          <w:noProof/>
        </w:rPr>
      </w:pPr>
      <w:r>
        <w:rPr>
          <w:noProof/>
        </w:rPr>
        <w:br w:type="page"/>
      </w: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p w:rsidR="00DC4807" w:rsidRDefault="00DC4807">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C4807">
        <w:trPr>
          <w:cantSplit/>
          <w:trHeight w:val="20"/>
        </w:trPr>
        <w:tc>
          <w:tcPr>
            <w:tcW w:w="8505" w:type="dxa"/>
            <w:shd w:val="clear" w:color="auto" w:fill="auto"/>
          </w:tcPr>
          <w:p w:rsidR="00DC4807" w:rsidRDefault="00DC4807">
            <w:pPr>
              <w:pStyle w:val="SlimCell"/>
              <w:keepNext/>
              <w:rPr>
                <w:noProof/>
              </w:rPr>
            </w:pPr>
          </w:p>
        </w:tc>
      </w:tr>
      <w:tr w:rsidR="00DC4807">
        <w:trPr>
          <w:cantSplit/>
        </w:trPr>
        <w:tc>
          <w:tcPr>
            <w:tcW w:w="8505" w:type="dxa"/>
            <w:shd w:val="clear" w:color="auto" w:fill="auto"/>
          </w:tcPr>
          <w:p w:rsidR="00DC4807" w:rsidRDefault="0005641F">
            <w:pPr>
              <w:pStyle w:val="TableTitle"/>
              <w:rPr>
                <w:b/>
                <w:noProof/>
              </w:rPr>
            </w:pPr>
            <w:bookmarkStart w:id="96" w:name="_Toc507233682"/>
            <w:r>
              <w:rPr>
                <w:noProof/>
              </w:rPr>
              <w:t>Table C.5:</w:t>
            </w:r>
            <w:r>
              <w:rPr>
                <w:b/>
                <w:noProof/>
              </w:rPr>
              <w:tab/>
              <w:t>Product market performance</w:t>
            </w:r>
            <w:r>
              <w:rPr>
                <w:b/>
                <w:noProof/>
              </w:rPr>
              <w:t xml:space="preserve"> and policy indicators</w:t>
            </w:r>
            <w:bookmarkEnd w:id="96"/>
          </w:p>
        </w:tc>
      </w:tr>
      <w:tr w:rsidR="00DC4807">
        <w:trPr>
          <w:cantSplit/>
        </w:trPr>
        <w:tc>
          <w:tcPr>
            <w:tcW w:w="8505" w:type="dxa"/>
            <w:shd w:val="clear" w:color="auto" w:fill="auto"/>
          </w:tcPr>
          <w:p w:rsidR="00DC4807" w:rsidRDefault="0005641F">
            <w:pPr>
              <w:pStyle w:val="TableShape"/>
              <w:rPr>
                <w:noProof/>
                <w:sz w:val="2"/>
              </w:rPr>
            </w:pPr>
            <w:r>
              <w:rPr>
                <w:noProof/>
                <w:sz w:val="2"/>
                <w:lang w:eastAsia="en-GB"/>
              </w:rPr>
              <w:drawing>
                <wp:inline distT="0" distB="0" distL="0" distR="0" wp14:anchorId="24B5A78D" wp14:editId="67E982B2">
                  <wp:extent cx="5400929" cy="3149747"/>
                  <wp:effectExtent l="0" t="0" r="9525" b="0"/>
                  <wp:docPr id="52" name="Picture 52" descr="&lt;nbr&gt;&lt;GETTEXTFROMWORD&gt;&lt;/nbr&gt;&#10;&lt;title&gt;&lt;GETTEXTFROMWORD&gt;&lt;/title&gt;&#10;&lt;id&gt;41ed6ca1-f1c3-4ea7-bf51-ebd3a5804382&lt;/id&gt;&#10;&lt;srcType&gt;EXCEL&lt;/srcType&gt;&#10;&lt;srcPath&gt;O:\2017 CRs\2018 European semester\19 NL\19_NL_TablesGraphesBoxes&lt;/srcPath&gt;&#10;&lt;srcName&gt;19 NL Standard tables.xlsx&lt;/srcName&gt;&#10;&lt;type&gt;table&lt;/type&gt;&#10; &lt;srcSheet&gt;NL Table III&lt;/srcSheet&gt;&#10; &lt;srcRange&gt;R2C2:R26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05:07&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00929" cy="3149747"/>
                          </a:xfrm>
                          <a:prstGeom prst="rect">
                            <a:avLst/>
                          </a:prstGeom>
                          <a:noFill/>
                          <a:ln>
                            <a:noFill/>
                          </a:ln>
                        </pic:spPr>
                      </pic:pic>
                    </a:graphicData>
                  </a:graphic>
                </wp:inline>
              </w:drawing>
            </w:r>
          </w:p>
        </w:tc>
      </w:tr>
      <w:tr w:rsidR="00DC4807">
        <w:trPr>
          <w:cantSplit/>
        </w:trPr>
        <w:tc>
          <w:tcPr>
            <w:tcW w:w="8505" w:type="dxa"/>
            <w:shd w:val="clear" w:color="auto" w:fill="auto"/>
          </w:tcPr>
          <w:p w:rsidR="00DC4807" w:rsidRDefault="0005641F">
            <w:pPr>
              <w:pStyle w:val="TableFootnote"/>
              <w:rPr>
                <w:noProof/>
              </w:rPr>
            </w:pPr>
            <w:r>
              <w:rPr>
                <w:noProof/>
              </w:rPr>
              <w:t xml:space="preserve">1 The methodologies, including the assumptions, for this indicator are shown in detail here: http://www.doingbusiness.org/methodology.       </w:t>
            </w:r>
            <w:r>
              <w:rPr>
                <w:noProof/>
              </w:rPr>
              <w:br/>
              <w:t>2 Average of the answer to question Q7B_a. "[Bank loan]: If you applied and tried to ne</w:t>
            </w:r>
            <w:r>
              <w:rPr>
                <w:noProof/>
              </w:rPr>
              <w:t>gotiate for this type of financing over the past six months, what was the outcome?". Answers were codified as follows: zero if received everything, one if received most of it, two if only received a limited part of it, three if refused or rejected and trea</w:t>
            </w:r>
            <w:r>
              <w:rPr>
                <w:noProof/>
              </w:rPr>
              <w:t xml:space="preserve">ted as missing values if the application is still pending or don't know.      </w:t>
            </w:r>
            <w:r>
              <w:rPr>
                <w:noProof/>
              </w:rPr>
              <w:br/>
              <w:t xml:space="preserve">3 Percentage population aged 15-64 having completed tertiary education.      </w:t>
            </w:r>
            <w:r>
              <w:rPr>
                <w:noProof/>
              </w:rPr>
              <w:br/>
              <w:t xml:space="preserve">4 Percentage population aged 20-24 having attained at least upper secondary education.      </w:t>
            </w:r>
            <w:r>
              <w:rPr>
                <w:noProof/>
              </w:rPr>
              <w:br/>
              <w:t>5 Inde</w:t>
            </w:r>
            <w:r>
              <w:rPr>
                <w:noProof/>
              </w:rPr>
              <w:t xml:space="preserve">x: 0 = not regulated; 6 = most regulated. The methodologies of the OECD product market regulation indicators are shown in detail here: http://www.oecd.org/competition/reform/indicatorsofproductmarketregulationhomepage.htm      </w:t>
            </w:r>
            <w:r>
              <w:rPr>
                <w:noProof/>
              </w:rPr>
              <w:br/>
              <w:t xml:space="preserve">6 Aggregate OECD indicators </w:t>
            </w:r>
            <w:r>
              <w:rPr>
                <w:noProof/>
              </w:rPr>
              <w:t xml:space="preserve">of regulation in energy, transport and communications (ETCR).      </w:t>
            </w:r>
          </w:p>
          <w:p w:rsidR="00DC4807" w:rsidRDefault="0005641F">
            <w:pPr>
              <w:pStyle w:val="TableSource"/>
              <w:rPr>
                <w:noProof/>
              </w:rPr>
            </w:pPr>
            <w:r>
              <w:rPr>
                <w:b/>
                <w:i/>
                <w:noProof/>
              </w:rPr>
              <w:t>Source:</w:t>
            </w:r>
            <w:r>
              <w:rPr>
                <w:noProof/>
              </w:rPr>
              <w:t xml:space="preserve"> European Commission; World Bank — Doing Business (for enforcing contracts and time to start a business); OECD (for the product market regulation</w:t>
            </w:r>
            <w:r>
              <w:rPr>
                <w:noProof/>
              </w:rPr>
              <w:br/>
              <w:t>indicators); SAFE (for outcome of S</w:t>
            </w:r>
            <w:r>
              <w:rPr>
                <w:noProof/>
              </w:rPr>
              <w:t>MEs' applications for bank loans)</w:t>
            </w:r>
          </w:p>
        </w:tc>
      </w:tr>
      <w:tr w:rsidR="00DC4807">
        <w:trPr>
          <w:cantSplit/>
          <w:trHeight w:val="20"/>
        </w:trPr>
        <w:tc>
          <w:tcPr>
            <w:tcW w:w="8505" w:type="dxa"/>
            <w:shd w:val="clear" w:color="auto" w:fill="auto"/>
          </w:tcPr>
          <w:p w:rsidR="00DC4807" w:rsidRDefault="00DC4807">
            <w:pPr>
              <w:pStyle w:val="SlimCell"/>
              <w:rPr>
                <w:noProof/>
              </w:rPr>
            </w:pPr>
          </w:p>
        </w:tc>
      </w:tr>
    </w:tbl>
    <w:p w:rsidR="00DC4807" w:rsidRDefault="00DC4807">
      <w:pPr>
        <w:rPr>
          <w:noProof/>
        </w:rPr>
      </w:pPr>
    </w:p>
    <w:p w:rsidR="00DC4807" w:rsidRDefault="00DC4807">
      <w:pPr>
        <w:rPr>
          <w:noProof/>
        </w:rPr>
      </w:pPr>
    </w:p>
    <w:p w:rsidR="00DC4807" w:rsidRDefault="00DC4807">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C4807">
        <w:trPr>
          <w:cantSplit/>
          <w:trHeight w:val="20"/>
        </w:trPr>
        <w:tc>
          <w:tcPr>
            <w:tcW w:w="8505" w:type="dxa"/>
            <w:shd w:val="clear" w:color="auto" w:fill="auto"/>
          </w:tcPr>
          <w:p w:rsidR="00DC4807" w:rsidRDefault="00DC4807">
            <w:pPr>
              <w:pStyle w:val="SlimCell"/>
              <w:keepNext/>
              <w:rPr>
                <w:noProof/>
              </w:rPr>
            </w:pPr>
          </w:p>
        </w:tc>
      </w:tr>
      <w:tr w:rsidR="00DC4807">
        <w:trPr>
          <w:cantSplit/>
        </w:trPr>
        <w:tc>
          <w:tcPr>
            <w:tcW w:w="8505" w:type="dxa"/>
            <w:shd w:val="clear" w:color="auto" w:fill="auto"/>
          </w:tcPr>
          <w:p w:rsidR="00DC4807" w:rsidRDefault="0005641F">
            <w:pPr>
              <w:pStyle w:val="TableTitle"/>
              <w:rPr>
                <w:b/>
                <w:noProof/>
              </w:rPr>
            </w:pPr>
            <w:bookmarkStart w:id="97" w:name="_Toc507233683"/>
            <w:r>
              <w:rPr>
                <w:noProof/>
              </w:rPr>
              <w:t>Table C.6:</w:t>
            </w:r>
            <w:r>
              <w:rPr>
                <w:b/>
                <w:noProof/>
              </w:rPr>
              <w:tab/>
              <w:t>Green growth</w:t>
            </w:r>
            <w:bookmarkEnd w:id="97"/>
          </w:p>
        </w:tc>
      </w:tr>
      <w:tr w:rsidR="00DC4807">
        <w:trPr>
          <w:cantSplit/>
        </w:trPr>
        <w:tc>
          <w:tcPr>
            <w:tcW w:w="8505" w:type="dxa"/>
            <w:shd w:val="clear" w:color="auto" w:fill="auto"/>
          </w:tcPr>
          <w:p w:rsidR="00DC4807" w:rsidRDefault="0005641F">
            <w:pPr>
              <w:pStyle w:val="TableShape"/>
              <w:rPr>
                <w:noProof/>
                <w:sz w:val="2"/>
              </w:rPr>
            </w:pPr>
            <w:r>
              <w:rPr>
                <w:noProof/>
                <w:sz w:val="2"/>
                <w:lang w:eastAsia="en-GB"/>
              </w:rPr>
              <w:drawing>
                <wp:inline distT="0" distB="0" distL="0" distR="0" wp14:anchorId="0447C288" wp14:editId="4FFE830B">
                  <wp:extent cx="5391785" cy="40043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391785" cy="4004310"/>
                          </a:xfrm>
                          <a:prstGeom prst="rect">
                            <a:avLst/>
                          </a:prstGeom>
                          <a:noFill/>
                          <a:ln>
                            <a:noFill/>
                          </a:ln>
                        </pic:spPr>
                      </pic:pic>
                    </a:graphicData>
                  </a:graphic>
                </wp:inline>
              </w:drawing>
            </w:r>
          </w:p>
        </w:tc>
      </w:tr>
      <w:tr w:rsidR="00DC4807">
        <w:trPr>
          <w:cantSplit/>
        </w:trPr>
        <w:tc>
          <w:tcPr>
            <w:tcW w:w="8505" w:type="dxa"/>
            <w:shd w:val="clear" w:color="auto" w:fill="auto"/>
          </w:tcPr>
          <w:p w:rsidR="00DC4807" w:rsidRDefault="0005641F">
            <w:pPr>
              <w:pStyle w:val="TableFootnote"/>
              <w:rPr>
                <w:noProof/>
              </w:rPr>
            </w:pPr>
            <w:r>
              <w:rPr>
                <w:noProof/>
              </w:rPr>
              <w:t>All macro intensity indicators are expressed as a ratio of a physical quantity to GDP (in 2010 prices)</w:t>
            </w:r>
          </w:p>
          <w:p w:rsidR="00DC4807" w:rsidRDefault="0005641F">
            <w:pPr>
              <w:pStyle w:val="TableFootnote"/>
              <w:rPr>
                <w:noProof/>
              </w:rPr>
            </w:pPr>
            <w:r>
              <w:rPr>
                <w:noProof/>
              </w:rPr>
              <w:t xml:space="preserve">          Energy intensity: gross inland energy consumption (in kgoe) divided by GDP (in EUR)</w:t>
            </w:r>
          </w:p>
          <w:p w:rsidR="00DC4807" w:rsidRDefault="0005641F">
            <w:pPr>
              <w:pStyle w:val="TableFootnote"/>
              <w:rPr>
                <w:noProof/>
              </w:rPr>
            </w:pPr>
            <w:r>
              <w:rPr>
                <w:noProof/>
              </w:rPr>
              <w:t xml:space="preserve">          Carbon intensity: greenhouse gas emissions (in kg CO2 equivalents) divided by GDP (in EUR)</w:t>
            </w:r>
          </w:p>
          <w:p w:rsidR="00DC4807" w:rsidRDefault="0005641F">
            <w:pPr>
              <w:pStyle w:val="TableFootnote"/>
              <w:rPr>
                <w:noProof/>
              </w:rPr>
            </w:pPr>
            <w:r>
              <w:rPr>
                <w:noProof/>
              </w:rPr>
              <w:t xml:space="preserve">          Resource intensity: domestic material consumption (</w:t>
            </w:r>
            <w:r>
              <w:rPr>
                <w:noProof/>
              </w:rPr>
              <w:t>in kg) divided by GDP (in EUR)</w:t>
            </w:r>
          </w:p>
          <w:p w:rsidR="00DC4807" w:rsidRDefault="0005641F">
            <w:pPr>
              <w:pStyle w:val="TableFootnote"/>
              <w:rPr>
                <w:noProof/>
              </w:rPr>
            </w:pPr>
            <w:r>
              <w:rPr>
                <w:noProof/>
              </w:rPr>
              <w:t xml:space="preserve">          Waste intensity: waste (in kg) divided by GDP (in EUR)</w:t>
            </w:r>
          </w:p>
          <w:p w:rsidR="00DC4807" w:rsidRDefault="0005641F">
            <w:pPr>
              <w:pStyle w:val="TableFootnote"/>
              <w:rPr>
                <w:noProof/>
              </w:rPr>
            </w:pPr>
            <w:r>
              <w:rPr>
                <w:noProof/>
              </w:rPr>
              <w:t xml:space="preserve">Energy balance of trade: the balance of energy exports and imports, expressed as % of GDP  </w:t>
            </w:r>
          </w:p>
          <w:p w:rsidR="00DC4807" w:rsidRDefault="0005641F">
            <w:pPr>
              <w:pStyle w:val="TableFootnote"/>
              <w:rPr>
                <w:noProof/>
              </w:rPr>
            </w:pPr>
            <w:r>
              <w:rPr>
                <w:noProof/>
              </w:rPr>
              <w:t>Weighting of energy in HICP: the proportion of 'energy' items in the</w:t>
            </w:r>
            <w:r>
              <w:rPr>
                <w:noProof/>
              </w:rPr>
              <w:t xml:space="preserve"> consumption basket used for the construction of the HICP</w:t>
            </w:r>
          </w:p>
          <w:p w:rsidR="00DC4807" w:rsidRDefault="0005641F">
            <w:pPr>
              <w:pStyle w:val="TableFootnote"/>
              <w:rPr>
                <w:noProof/>
              </w:rPr>
            </w:pPr>
            <w:r>
              <w:rPr>
                <w:noProof/>
              </w:rPr>
              <w:t>Difference between energy price change and inflation: energy component of HICP, and total HICP inflation (annual % change)</w:t>
            </w:r>
          </w:p>
          <w:p w:rsidR="00DC4807" w:rsidRDefault="0005641F">
            <w:pPr>
              <w:pStyle w:val="TableFootnote"/>
              <w:rPr>
                <w:noProof/>
              </w:rPr>
            </w:pPr>
            <w:r>
              <w:rPr>
                <w:noProof/>
              </w:rPr>
              <w:t xml:space="preserve">Real unit energy cost: real energy costs as % of total value added for the </w:t>
            </w:r>
            <w:r>
              <w:rPr>
                <w:noProof/>
              </w:rPr>
              <w:t>economy</w:t>
            </w:r>
          </w:p>
          <w:p w:rsidR="00DC4807" w:rsidRDefault="0005641F">
            <w:pPr>
              <w:pStyle w:val="TableFootnote"/>
              <w:rPr>
                <w:noProof/>
              </w:rPr>
            </w:pPr>
            <w:r>
              <w:rPr>
                <w:noProof/>
              </w:rPr>
              <w:t xml:space="preserve">Industry energy intensity: final energy consumption of industry (in kgoe) divided by gross value added of industry (in 2010 EUR) </w:t>
            </w:r>
          </w:p>
          <w:p w:rsidR="00DC4807" w:rsidRDefault="0005641F">
            <w:pPr>
              <w:pStyle w:val="TableFootnote"/>
              <w:rPr>
                <w:noProof/>
              </w:rPr>
            </w:pPr>
            <w:r>
              <w:rPr>
                <w:noProof/>
              </w:rPr>
              <w:t>Real unit energy costs for manufacturing industry excluding refining : real costs as % of value added for  manufacturi</w:t>
            </w:r>
            <w:r>
              <w:rPr>
                <w:noProof/>
              </w:rPr>
              <w:t>ng sectors</w:t>
            </w:r>
          </w:p>
          <w:p w:rsidR="00DC4807" w:rsidRDefault="0005641F">
            <w:pPr>
              <w:pStyle w:val="TableFootnote"/>
              <w:rPr>
                <w:noProof/>
              </w:rPr>
            </w:pPr>
            <w:r>
              <w:rPr>
                <w:noProof/>
              </w:rPr>
              <w:t>Share of energy-intensive industries in the economy: share of gross value added of the energy-intensive industries in GDP</w:t>
            </w:r>
          </w:p>
          <w:p w:rsidR="00DC4807" w:rsidRDefault="0005641F">
            <w:pPr>
              <w:pStyle w:val="TableFootnote"/>
              <w:rPr>
                <w:noProof/>
              </w:rPr>
            </w:pPr>
            <w:r>
              <w:rPr>
                <w:noProof/>
              </w:rPr>
              <w:t xml:space="preserve">Electricity and gas prices for medium-sized industrial users: consumption band 500–20 00MWh and 10 000–100 000 GJ; figures </w:t>
            </w:r>
            <w:r>
              <w:rPr>
                <w:noProof/>
              </w:rPr>
              <w:t>excl. VAT.</w:t>
            </w:r>
          </w:p>
          <w:p w:rsidR="00DC4807" w:rsidRDefault="0005641F">
            <w:pPr>
              <w:pStyle w:val="TableFootnote"/>
              <w:rPr>
                <w:noProof/>
              </w:rPr>
            </w:pPr>
            <w:r>
              <w:rPr>
                <w:noProof/>
              </w:rPr>
              <w:t>Recycling rate of municipal waste: ratio of recycled and composted municipal waste to total municipal waste</w:t>
            </w:r>
          </w:p>
          <w:p w:rsidR="00DC4807" w:rsidRDefault="0005641F">
            <w:pPr>
              <w:pStyle w:val="TableFootnote"/>
              <w:rPr>
                <w:noProof/>
              </w:rPr>
            </w:pPr>
            <w:r>
              <w:rPr>
                <w:noProof/>
              </w:rPr>
              <w:t>Public R&amp;D for energy or for the environment: government spending on R&amp;D for these categories as % of GDP</w:t>
            </w:r>
          </w:p>
          <w:p w:rsidR="00DC4807" w:rsidRDefault="0005641F">
            <w:pPr>
              <w:pStyle w:val="TableFootnote"/>
              <w:rPr>
                <w:noProof/>
              </w:rPr>
            </w:pPr>
            <w:r>
              <w:rPr>
                <w:noProof/>
              </w:rPr>
              <w:t>Proportion of GHG emissions cov</w:t>
            </w:r>
            <w:r>
              <w:rPr>
                <w:noProof/>
              </w:rPr>
              <w:t>ered by EU emissions trading system (ETS) (excluding aviation): based on GHG emissions</w:t>
            </w:r>
          </w:p>
          <w:p w:rsidR="00DC4807" w:rsidRDefault="0005641F">
            <w:pPr>
              <w:pStyle w:val="TableFootnote"/>
              <w:rPr>
                <w:noProof/>
              </w:rPr>
            </w:pPr>
            <w:r>
              <w:rPr>
                <w:noProof/>
              </w:rPr>
              <w:t>(excl land use, land use change and forestry) as reported by Member States to the European Environment Agency.</w:t>
            </w:r>
          </w:p>
          <w:p w:rsidR="00DC4807" w:rsidRDefault="0005641F">
            <w:pPr>
              <w:pStyle w:val="TableFootnote"/>
              <w:rPr>
                <w:noProof/>
              </w:rPr>
            </w:pPr>
            <w:r>
              <w:rPr>
                <w:noProof/>
              </w:rPr>
              <w:t>Transport energy intensity: final energy consumption of tr</w:t>
            </w:r>
            <w:r>
              <w:rPr>
                <w:noProof/>
              </w:rPr>
              <w:t>ansport activity (kgoe) divided by transport industry gross value added (in 2010 EUR)</w:t>
            </w:r>
          </w:p>
          <w:p w:rsidR="00DC4807" w:rsidRDefault="0005641F">
            <w:pPr>
              <w:pStyle w:val="TableFootnote"/>
              <w:rPr>
                <w:noProof/>
              </w:rPr>
            </w:pPr>
            <w:r>
              <w:rPr>
                <w:noProof/>
              </w:rPr>
              <w:t>Transport carbon intensity: GHG emissions in transport activity divided by gross value added of the transport sector</w:t>
            </w:r>
          </w:p>
          <w:p w:rsidR="00DC4807" w:rsidRDefault="0005641F">
            <w:pPr>
              <w:pStyle w:val="TableFootnote"/>
              <w:rPr>
                <w:noProof/>
              </w:rPr>
            </w:pPr>
            <w:r>
              <w:rPr>
                <w:noProof/>
              </w:rPr>
              <w:t xml:space="preserve">Energy import dependency: net energy imports divided </w:t>
            </w:r>
            <w:r>
              <w:rPr>
                <w:noProof/>
              </w:rPr>
              <w:t>by gross inland energy consumption incl. consumption of international bunker fuels</w:t>
            </w:r>
          </w:p>
          <w:p w:rsidR="00DC4807" w:rsidRDefault="0005641F">
            <w:pPr>
              <w:pStyle w:val="TableFootnote"/>
              <w:rPr>
                <w:noProof/>
              </w:rPr>
            </w:pPr>
            <w:r>
              <w:rPr>
                <w:noProof/>
              </w:rPr>
              <w:t>Aggregated supplier concentration index:  covers oil, gas and coal. Smaller values indicate larger diversification and hence lower risk.</w:t>
            </w:r>
          </w:p>
          <w:p w:rsidR="00DC4807" w:rsidRDefault="0005641F">
            <w:pPr>
              <w:pStyle w:val="TableFootnote"/>
              <w:rPr>
                <w:noProof/>
              </w:rPr>
            </w:pPr>
            <w:r>
              <w:rPr>
                <w:noProof/>
              </w:rPr>
              <w:t>Diversification of the energy mix: H</w:t>
            </w:r>
            <w:r>
              <w:rPr>
                <w:noProof/>
              </w:rPr>
              <w:t>erfindahl index covering natural gas, total petrol products, nuclear heat, renewable energies and solid fuels</w:t>
            </w:r>
          </w:p>
          <w:p w:rsidR="00DC4807" w:rsidRDefault="0005641F">
            <w:pPr>
              <w:pStyle w:val="TableFootnote"/>
              <w:rPr>
                <w:noProof/>
              </w:rPr>
            </w:pPr>
            <w:r>
              <w:rPr>
                <w:noProof/>
              </w:rPr>
              <w:t>* European Commission and European Environment Agency</w:t>
            </w:r>
          </w:p>
          <w:p w:rsidR="00DC4807" w:rsidRDefault="0005641F">
            <w:pPr>
              <w:pStyle w:val="TableSource"/>
              <w:rPr>
                <w:noProof/>
              </w:rPr>
            </w:pPr>
            <w:r>
              <w:rPr>
                <w:b/>
                <w:i/>
                <w:noProof/>
              </w:rPr>
              <w:t>Source:</w:t>
            </w:r>
            <w:r>
              <w:rPr>
                <w:noProof/>
              </w:rPr>
              <w:t xml:space="preserve"> European Commission and European Environment Agency (Share of GHG emissions covered </w:t>
            </w:r>
            <w:r>
              <w:rPr>
                <w:noProof/>
              </w:rPr>
              <w:t>by ETS); European Commission (Environmental taxes over labour taxes and GDP); Eurostat (all other indicators)</w:t>
            </w:r>
          </w:p>
        </w:tc>
      </w:tr>
      <w:tr w:rsidR="00DC4807">
        <w:trPr>
          <w:cantSplit/>
          <w:trHeight w:val="20"/>
        </w:trPr>
        <w:tc>
          <w:tcPr>
            <w:tcW w:w="8505" w:type="dxa"/>
            <w:shd w:val="clear" w:color="auto" w:fill="auto"/>
          </w:tcPr>
          <w:p w:rsidR="00DC4807" w:rsidRDefault="00DC4807">
            <w:pPr>
              <w:pStyle w:val="SlimCell"/>
              <w:rPr>
                <w:noProof/>
              </w:rPr>
            </w:pPr>
          </w:p>
        </w:tc>
      </w:tr>
    </w:tbl>
    <w:p w:rsidR="00DC4807" w:rsidRDefault="00DC4807">
      <w:pPr>
        <w:rPr>
          <w:noProof/>
        </w:rPr>
        <w:sectPr w:rsidR="00DC4807">
          <w:headerReference w:type="even" r:id="rId212"/>
          <w:headerReference w:type="default" r:id="rId213"/>
          <w:footerReference w:type="even" r:id="rId214"/>
          <w:footerReference w:type="default" r:id="rId215"/>
          <w:headerReference w:type="first" r:id="rId216"/>
          <w:footerReference w:type="first" r:id="rId217"/>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DC4807" w:rsidRDefault="0005641F">
      <w:pPr>
        <w:pStyle w:val="SectionTitleFramed11"/>
        <w:framePr w:wrap="notBeside"/>
        <w:rPr>
          <w:noProof/>
        </w:rPr>
      </w:pPr>
      <w:bookmarkStart w:id="98" w:name="_Toc507233700"/>
      <w:r>
        <w:rPr>
          <w:noProof/>
        </w:rPr>
        <w:t>References</w:t>
      </w:r>
      <w:bookmarkEnd w:id="98"/>
    </w:p>
    <w:p w:rsidR="00DC4807" w:rsidRDefault="0005641F">
      <w:pPr>
        <w:rPr>
          <w:noProof/>
          <w:lang w:val="nl-NL"/>
        </w:rPr>
      </w:pPr>
      <w:r>
        <w:rPr>
          <w:noProof/>
          <w:lang w:val="nl-NL"/>
        </w:rPr>
        <w:t xml:space="preserve">Adriaens, H., P. Fontein, M. den Uijl and K. de Vos (2016), </w:t>
      </w:r>
      <w:r>
        <w:rPr>
          <w:i/>
          <w:noProof/>
          <w:lang w:val="nl-NL"/>
        </w:rPr>
        <w:t>De toekomstige arbeidsmarkt voor onderwijspersoneel po, vo en mbo 2015-2025</w:t>
      </w:r>
      <w:r>
        <w:rPr>
          <w:noProof/>
          <w:lang w:val="nl-NL"/>
        </w:rPr>
        <w:t>, CentERdata, Tilburg.</w:t>
      </w:r>
    </w:p>
    <w:p w:rsidR="00DC4807" w:rsidRDefault="0005641F">
      <w:pPr>
        <w:rPr>
          <w:noProof/>
          <w:lang w:val="nl-NL"/>
        </w:rPr>
      </w:pPr>
      <w:r>
        <w:rPr>
          <w:noProof/>
          <w:lang w:val="nl-NL"/>
        </w:rPr>
        <w:t xml:space="preserve">Afman, E. and S. Deroose (2016), </w:t>
      </w:r>
      <w:r>
        <w:rPr>
          <w:i/>
          <w:noProof/>
          <w:lang w:val="nl-NL"/>
        </w:rPr>
        <w:t>De Raad van State als Begrotingsraad: effectiviteit en</w:t>
      </w:r>
      <w:r>
        <w:rPr>
          <w:i/>
          <w:noProof/>
          <w:lang w:val="nl-NL"/>
        </w:rPr>
        <w:t xml:space="preserve"> uitdagingen</w:t>
      </w:r>
      <w:r>
        <w:rPr>
          <w:noProof/>
          <w:lang w:val="nl-NL"/>
        </w:rPr>
        <w:t>. Economisch Statistische Berichten Vol. 101, pp.750-754.</w:t>
      </w:r>
    </w:p>
    <w:p w:rsidR="00DC4807" w:rsidRDefault="0005641F">
      <w:pPr>
        <w:rPr>
          <w:noProof/>
          <w:lang w:val="nl-NL"/>
        </w:rPr>
      </w:pPr>
      <w:r>
        <w:rPr>
          <w:noProof/>
          <w:lang w:val="nl-NL"/>
        </w:rPr>
        <w:t xml:space="preserve">Algemene Rekenkamer (2017), </w:t>
      </w:r>
      <w:r>
        <w:rPr>
          <w:i/>
          <w:noProof/>
          <w:lang w:val="nl-NL"/>
        </w:rPr>
        <w:t>Inburgering: Eerste resultaten van de Wet inburgering 2013</w:t>
      </w:r>
      <w:r>
        <w:rPr>
          <w:noProof/>
          <w:lang w:val="nl-NL"/>
        </w:rPr>
        <w:t>, Netherlands Court of Audit, the Hague.</w:t>
      </w:r>
    </w:p>
    <w:p w:rsidR="00DC4807" w:rsidRDefault="0005641F">
      <w:pPr>
        <w:rPr>
          <w:noProof/>
        </w:rPr>
      </w:pPr>
      <w:r>
        <w:rPr>
          <w:noProof/>
        </w:rPr>
        <w:t xml:space="preserve">Arpaia, A. and A. Kiss (2015), </w:t>
      </w:r>
      <w:r>
        <w:rPr>
          <w:i/>
          <w:noProof/>
        </w:rPr>
        <w:t>Benchmarks for the assessmen</w:t>
      </w:r>
      <w:r>
        <w:rPr>
          <w:i/>
          <w:noProof/>
        </w:rPr>
        <w:t>t of wage developments,</w:t>
      </w:r>
      <w:r>
        <w:rPr>
          <w:noProof/>
        </w:rPr>
        <w:t xml:space="preserve"> Short Analytical Webnote 2/2015, European Commission, Publications Office of the European Union, Luxembourg, 2015. http://publications.europa.eu/s/b4YC.</w:t>
      </w:r>
    </w:p>
    <w:p w:rsidR="00DC4807" w:rsidRDefault="0005641F">
      <w:pPr>
        <w:rPr>
          <w:noProof/>
        </w:rPr>
      </w:pPr>
      <w:r>
        <w:rPr>
          <w:noProof/>
        </w:rPr>
        <w:t xml:space="preserve">Andrews, D., C. Criscuolo and P. Gal (2015), </w:t>
      </w:r>
      <w:r>
        <w:rPr>
          <w:i/>
          <w:noProof/>
        </w:rPr>
        <w:t>Frontier Firms, Technology Diffusi</w:t>
      </w:r>
      <w:r>
        <w:rPr>
          <w:i/>
          <w:noProof/>
        </w:rPr>
        <w:t>on and Public Policy: Micro evidence from OECD countries</w:t>
      </w:r>
      <w:r>
        <w:rPr>
          <w:noProof/>
        </w:rPr>
        <w:t xml:space="preserve">, OECD Productivity Working Papers, Paris. </w:t>
      </w:r>
    </w:p>
    <w:p w:rsidR="00DC4807" w:rsidRDefault="0005641F">
      <w:pPr>
        <w:rPr>
          <w:noProof/>
          <w:lang w:val="nl-NL"/>
        </w:rPr>
      </w:pPr>
      <w:r>
        <w:rPr>
          <w:noProof/>
          <w:lang w:val="nl-NL"/>
        </w:rPr>
        <w:t xml:space="preserve">AWTI (2017), </w:t>
      </w:r>
      <w:r>
        <w:rPr>
          <w:i/>
          <w:noProof/>
          <w:lang w:val="nl-NL"/>
        </w:rPr>
        <w:t>Onmisbare schakels: De toekomst van het toepassingsgericht onderzoek</w:t>
      </w:r>
      <w:r>
        <w:rPr>
          <w:noProof/>
          <w:lang w:val="nl-NL"/>
        </w:rPr>
        <w:t xml:space="preserve">, Adviesraad voor wetenschap, technologie en innovatie, The Hague. </w:t>
      </w:r>
    </w:p>
    <w:p w:rsidR="00DC4807" w:rsidRDefault="0005641F">
      <w:pPr>
        <w:rPr>
          <w:noProof/>
          <w:lang w:val="nl-NL"/>
        </w:rPr>
      </w:pPr>
      <w:r>
        <w:rPr>
          <w:noProof/>
          <w:lang w:val="nl-NL"/>
        </w:rPr>
        <w:t>Bovenbe</w:t>
      </w:r>
      <w:r>
        <w:rPr>
          <w:noProof/>
          <w:lang w:val="nl-NL"/>
        </w:rPr>
        <w:t xml:space="preserve">rg, A. (1991), </w:t>
      </w:r>
      <w:r>
        <w:rPr>
          <w:i/>
          <w:noProof/>
          <w:lang w:val="nl-NL"/>
        </w:rPr>
        <w:t>Overvloed en onbehagen: Sparen en investeren in Nederland</w:t>
      </w:r>
      <w:r>
        <w:rPr>
          <w:noProof/>
          <w:lang w:val="nl-NL"/>
        </w:rPr>
        <w:t>. Economische Statistische Berichten, 76(3794), pp. 144-148, Amsterdam.</w:t>
      </w:r>
    </w:p>
    <w:p w:rsidR="00DC4807" w:rsidRDefault="0005641F">
      <w:pPr>
        <w:rPr>
          <w:noProof/>
          <w:lang w:val="nl-NL"/>
        </w:rPr>
      </w:pPr>
      <w:r>
        <w:rPr>
          <w:noProof/>
          <w:lang w:val="nl-NL"/>
        </w:rPr>
        <w:t xml:space="preserve">Bongers, F., P. de Boer, M. Janssen, J. Steur, J. Veldman and B. Verspagen (2017), </w:t>
      </w:r>
      <w:r>
        <w:rPr>
          <w:i/>
          <w:noProof/>
          <w:lang w:val="nl-NL"/>
        </w:rPr>
        <w:t>Evaluatie Small Business Inno</w:t>
      </w:r>
      <w:r>
        <w:rPr>
          <w:i/>
          <w:noProof/>
          <w:lang w:val="nl-NL"/>
        </w:rPr>
        <w:t>vation Research (SBIR)</w:t>
      </w:r>
      <w:r>
        <w:rPr>
          <w:noProof/>
          <w:lang w:val="nl-NL"/>
        </w:rPr>
        <w:t>, on request by the Ministry of Economic Affairs, Dialogic, Utrecht.</w:t>
      </w:r>
    </w:p>
    <w:p w:rsidR="00DC4807" w:rsidRDefault="0005641F">
      <w:pPr>
        <w:rPr>
          <w:noProof/>
        </w:rPr>
      </w:pPr>
      <w:r>
        <w:rPr>
          <w:noProof/>
        </w:rPr>
        <w:t xml:space="preserve">Carroll, C., J. Slacalek and K. Tokuoka (2014), </w:t>
      </w:r>
      <w:r>
        <w:rPr>
          <w:i/>
          <w:noProof/>
        </w:rPr>
        <w:t>The Distribution of Wealth and the MPC: Implications of New European Data</w:t>
      </w:r>
      <w:r>
        <w:rPr>
          <w:noProof/>
        </w:rPr>
        <w:t xml:space="preserve">. The American Economic Review, 104(5), </w:t>
      </w:r>
      <w:r>
        <w:rPr>
          <w:noProof/>
        </w:rPr>
        <w:t>107-111.</w:t>
      </w:r>
    </w:p>
    <w:p w:rsidR="00DC4807" w:rsidRDefault="0005641F">
      <w:pPr>
        <w:rPr>
          <w:noProof/>
        </w:rPr>
      </w:pPr>
      <w:r>
        <w:rPr>
          <w:noProof/>
        </w:rPr>
        <w:t xml:space="preserve">Centraal Bureau voor de Statistiek (CBS) (2015), </w:t>
      </w:r>
      <w:r>
        <w:rPr>
          <w:i/>
          <w:noProof/>
        </w:rPr>
        <w:t>Internationaliseringsmonitor 2015</w:t>
      </w:r>
      <w:r>
        <w:rPr>
          <w:noProof/>
        </w:rPr>
        <w:t>, derde kwartaal, Statistics Netherlands, The Hague.</w:t>
      </w:r>
    </w:p>
    <w:p w:rsidR="00DC4807" w:rsidRDefault="0005641F">
      <w:pPr>
        <w:rPr>
          <w:noProof/>
          <w:lang w:val="nl-NL"/>
        </w:rPr>
      </w:pPr>
      <w:r>
        <w:rPr>
          <w:noProof/>
          <w:lang w:val="nl-NL"/>
        </w:rPr>
        <w:t xml:space="preserve">Centraal Bureau voor de Statistiek (CBS) (2016), </w:t>
      </w:r>
      <w:r>
        <w:rPr>
          <w:i/>
          <w:noProof/>
          <w:lang w:val="nl-NL"/>
        </w:rPr>
        <w:t>Laagste huurstijging in vijf jaar,</w:t>
      </w:r>
      <w:r>
        <w:rPr>
          <w:noProof/>
          <w:lang w:val="nl-NL"/>
        </w:rPr>
        <w:t xml:space="preserve"> available at: https://www.cb</w:t>
      </w:r>
      <w:r>
        <w:rPr>
          <w:noProof/>
          <w:lang w:val="nl-NL"/>
        </w:rPr>
        <w:t>s.nl/nl-nl/nieuws/2016/36/laagste-huurstijging-in-vijf-jaar</w:t>
      </w:r>
    </w:p>
    <w:p w:rsidR="00DC4807" w:rsidRDefault="0005641F">
      <w:pPr>
        <w:rPr>
          <w:noProof/>
          <w:lang w:val="nl-NL"/>
        </w:rPr>
      </w:pPr>
      <w:r>
        <w:rPr>
          <w:noProof/>
          <w:lang w:val="nl-NL"/>
        </w:rPr>
        <w:t xml:space="preserve">Centraal Bureau voor de Statistiek (CBS) (2017a), </w:t>
      </w:r>
      <w:r>
        <w:rPr>
          <w:i/>
          <w:noProof/>
          <w:lang w:val="nl-NL"/>
        </w:rPr>
        <w:t>Kernindicatoren integratie 2017</w:t>
      </w:r>
      <w:r>
        <w:rPr>
          <w:noProof/>
          <w:lang w:val="nl-NL"/>
        </w:rPr>
        <w:t>, available at: https://www.cbs.nl/nl-nl/maatwerk/2017/31/kernindicatoren-integratie-2017</w:t>
      </w:r>
    </w:p>
    <w:p w:rsidR="00DC4807" w:rsidRDefault="0005641F">
      <w:pPr>
        <w:rPr>
          <w:noProof/>
          <w:lang w:val="nl-NL"/>
        </w:rPr>
      </w:pPr>
      <w:r>
        <w:rPr>
          <w:noProof/>
          <w:lang w:val="nl-NL"/>
        </w:rPr>
        <w:t>Centraal Bureau voor de S</w:t>
      </w:r>
      <w:r>
        <w:rPr>
          <w:noProof/>
          <w:lang w:val="nl-NL"/>
        </w:rPr>
        <w:t xml:space="preserve">tatistiek (CBS) (2017b), </w:t>
      </w:r>
      <w:r>
        <w:rPr>
          <w:i/>
          <w:noProof/>
          <w:lang w:val="nl-NL"/>
        </w:rPr>
        <w:t>Kwart ICT-bedrijven heeft personeelstekort</w:t>
      </w:r>
      <w:r>
        <w:rPr>
          <w:noProof/>
          <w:lang w:val="nl-NL"/>
        </w:rPr>
        <w:t>, available at: https://www.cbs.nl/nl-nl/nieuws/2017/26/kwart-ict-bedrijven-heeft-personeelstekort</w:t>
      </w:r>
    </w:p>
    <w:p w:rsidR="00DC4807" w:rsidRDefault="0005641F">
      <w:pPr>
        <w:rPr>
          <w:noProof/>
        </w:rPr>
      </w:pPr>
      <w:r>
        <w:rPr>
          <w:noProof/>
        </w:rPr>
        <w:t xml:space="preserve">Centraal Bureau voor de Statistiek (CBS) (2017c), </w:t>
      </w:r>
      <w:r>
        <w:rPr>
          <w:i/>
          <w:noProof/>
        </w:rPr>
        <w:t>Trade surplus excluding re-exports €20 b</w:t>
      </w:r>
      <w:r>
        <w:rPr>
          <w:i/>
          <w:noProof/>
        </w:rPr>
        <w:t>illion lower</w:t>
      </w:r>
      <w:r>
        <w:rPr>
          <w:noProof/>
        </w:rPr>
        <w:t>, available at: https://www.cbs.nl/en-gb/news/2017/18/trade-surplus-excluding-re-exports-20-billion-lower</w:t>
      </w:r>
    </w:p>
    <w:p w:rsidR="00DC4807" w:rsidRDefault="0005641F">
      <w:pPr>
        <w:rPr>
          <w:noProof/>
          <w:lang w:val="nl-NL"/>
        </w:rPr>
      </w:pPr>
      <w:r>
        <w:rPr>
          <w:noProof/>
          <w:lang w:val="nl-NL"/>
        </w:rPr>
        <w:t xml:space="preserve">Commissie vraagfinanciering MBO (2017), </w:t>
      </w:r>
      <w:r>
        <w:rPr>
          <w:i/>
          <w:noProof/>
          <w:lang w:val="nl-NL"/>
        </w:rPr>
        <w:t>Doorleren werkt: Samen investeren in nieuwe zekerheid</w:t>
      </w:r>
      <w:r>
        <w:rPr>
          <w:noProof/>
          <w:lang w:val="nl-NL"/>
        </w:rPr>
        <w:t>, Rijksoverheid, The Hague.</w:t>
      </w:r>
    </w:p>
    <w:p w:rsidR="00DC4807" w:rsidRDefault="0005641F">
      <w:pPr>
        <w:rPr>
          <w:noProof/>
        </w:rPr>
      </w:pPr>
      <w:r>
        <w:rPr>
          <w:noProof/>
          <w:lang w:val="nl-NL"/>
        </w:rPr>
        <w:t>De Beer, J., H. v</w:t>
      </w:r>
      <w:r>
        <w:rPr>
          <w:noProof/>
          <w:lang w:val="nl-NL"/>
        </w:rPr>
        <w:t xml:space="preserve">an Dalen and K. Henkens (2017), </w:t>
      </w:r>
      <w:r>
        <w:rPr>
          <w:i/>
          <w:noProof/>
          <w:lang w:val="nl-NL"/>
        </w:rPr>
        <w:t>Stijgt de AOW-leeftijd niet te hard?</w:t>
      </w:r>
      <w:r>
        <w:rPr>
          <w:noProof/>
          <w:lang w:val="nl-NL"/>
        </w:rPr>
        <w:t xml:space="preserve"> </w:t>
      </w:r>
      <w:r>
        <w:rPr>
          <w:noProof/>
        </w:rPr>
        <w:t>Available at: http://www.mejudice.nl/artikelen/detail/stijgt-de-aowleeftijd-niet-te-hard</w:t>
      </w:r>
    </w:p>
    <w:p w:rsidR="00DC4807" w:rsidRDefault="0005641F">
      <w:pPr>
        <w:rPr>
          <w:noProof/>
        </w:rPr>
      </w:pPr>
      <w:r>
        <w:rPr>
          <w:noProof/>
        </w:rPr>
        <w:t xml:space="preserve">De Nederlandsche Bank (DNB) (2016), </w:t>
      </w:r>
      <w:r>
        <w:rPr>
          <w:i/>
          <w:noProof/>
        </w:rPr>
        <w:t>Loan markets in motion: Larger role of pension funds and insur</w:t>
      </w:r>
      <w:r>
        <w:rPr>
          <w:i/>
          <w:noProof/>
        </w:rPr>
        <w:t>ers boosts financial stability</w:t>
      </w:r>
      <w:r>
        <w:rPr>
          <w:noProof/>
        </w:rPr>
        <w:t>, Central Bank of the Netherlands, Amsterdam.</w:t>
      </w:r>
    </w:p>
    <w:p w:rsidR="00DC4807" w:rsidRDefault="0005641F">
      <w:pPr>
        <w:rPr>
          <w:noProof/>
          <w:lang w:val="nl-NL"/>
        </w:rPr>
      </w:pPr>
      <w:r>
        <w:rPr>
          <w:noProof/>
          <w:lang w:val="nl-NL"/>
        </w:rPr>
        <w:t xml:space="preserve">De Nederlandsche Bank (DNB) (2017a), </w:t>
      </w:r>
      <w:r>
        <w:rPr>
          <w:i/>
          <w:noProof/>
          <w:lang w:val="nl-NL"/>
        </w:rPr>
        <w:t>'De woningmarkt in de grote steden'</w:t>
      </w:r>
      <w:r>
        <w:rPr>
          <w:noProof/>
          <w:lang w:val="nl-NL"/>
        </w:rPr>
        <w:t>, Occasional Studies Volume 15-1, Central Bank of the Netherlands, Amsterdam.</w:t>
      </w:r>
    </w:p>
    <w:p w:rsidR="00DC4807" w:rsidRDefault="0005641F">
      <w:pPr>
        <w:rPr>
          <w:noProof/>
          <w:lang w:val="nl-NL"/>
        </w:rPr>
      </w:pPr>
      <w:r>
        <w:rPr>
          <w:noProof/>
          <w:lang w:val="nl-NL"/>
        </w:rPr>
        <w:t xml:space="preserve">De Nederlandsche Bank (DNB) (2017b), Financial Stability Report - Autumn 2017, Central Bank of the Netherlands, Amsterdam. </w:t>
      </w:r>
    </w:p>
    <w:p w:rsidR="00DC4807" w:rsidRDefault="0005641F">
      <w:pPr>
        <w:rPr>
          <w:noProof/>
        </w:rPr>
      </w:pPr>
      <w:r>
        <w:rPr>
          <w:noProof/>
        </w:rPr>
        <w:t xml:space="preserve">Eggelte, J., R. Hillebrand, T. Kooiman and G. Schotten (2014), </w:t>
      </w:r>
      <w:r>
        <w:rPr>
          <w:i/>
          <w:noProof/>
        </w:rPr>
        <w:t>‘Getting to the bottom of the Dutch savings surplus’</w:t>
      </w:r>
      <w:r>
        <w:rPr>
          <w:noProof/>
        </w:rPr>
        <w:t xml:space="preserve">, DNB Occasional </w:t>
      </w:r>
      <w:r>
        <w:rPr>
          <w:noProof/>
        </w:rPr>
        <w:t>Studies, Vol.12, No 6. Central Bank of the Netherlands, Amsterdam.</w:t>
      </w:r>
    </w:p>
    <w:p w:rsidR="00DC4807" w:rsidRDefault="0005641F">
      <w:pPr>
        <w:rPr>
          <w:noProof/>
        </w:rPr>
      </w:pPr>
      <w:r>
        <w:rPr>
          <w:noProof/>
        </w:rPr>
        <w:t xml:space="preserve">Eurofound (2017a), </w:t>
      </w:r>
      <w:r>
        <w:rPr>
          <w:i/>
          <w:noProof/>
        </w:rPr>
        <w:t>Exploring self-employment in the European Union</w:t>
      </w:r>
      <w:r>
        <w:rPr>
          <w:noProof/>
        </w:rPr>
        <w:t>, Eurofound report, Dublin.</w:t>
      </w:r>
    </w:p>
    <w:p w:rsidR="00DC4807" w:rsidRDefault="0005641F">
      <w:pPr>
        <w:rPr>
          <w:noProof/>
        </w:rPr>
      </w:pPr>
      <w:r>
        <w:rPr>
          <w:noProof/>
        </w:rPr>
        <w:t xml:space="preserve">Eurofound (2017b), </w:t>
      </w:r>
      <w:r>
        <w:rPr>
          <w:i/>
          <w:noProof/>
        </w:rPr>
        <w:t>Working time patterns for sustainable work</w:t>
      </w:r>
      <w:r>
        <w:rPr>
          <w:noProof/>
        </w:rPr>
        <w:t>, Eurofound report, Dublin.</w:t>
      </w:r>
    </w:p>
    <w:p w:rsidR="00DC4807" w:rsidRDefault="0005641F">
      <w:pPr>
        <w:rPr>
          <w:noProof/>
        </w:rPr>
      </w:pPr>
      <w:r>
        <w:rPr>
          <w:noProof/>
        </w:rPr>
        <w:t>Europe</w:t>
      </w:r>
      <w:r>
        <w:rPr>
          <w:noProof/>
        </w:rPr>
        <w:t xml:space="preserve">an Central Bank (ECB) (2017), </w:t>
      </w:r>
      <w:r>
        <w:rPr>
          <w:i/>
          <w:noProof/>
        </w:rPr>
        <w:t>Report on Financial Structures</w:t>
      </w:r>
      <w:r>
        <w:rPr>
          <w:noProof/>
        </w:rPr>
        <w:t>, Frankfurt.</w:t>
      </w:r>
    </w:p>
    <w:p w:rsidR="00DC4807" w:rsidRDefault="0005641F">
      <w:pPr>
        <w:rPr>
          <w:noProof/>
        </w:rPr>
      </w:pPr>
      <w:r>
        <w:rPr>
          <w:noProof/>
        </w:rPr>
        <w:t xml:space="preserve">European Commission (EC) (2015), </w:t>
      </w:r>
      <w:r>
        <w:rPr>
          <w:i/>
          <w:noProof/>
        </w:rPr>
        <w:t>‘Challenges to Member States’ Investment Environments’</w:t>
      </w:r>
      <w:r>
        <w:rPr>
          <w:noProof/>
        </w:rPr>
        <w:t>, Commission Staff Working Document COM(2015) 400 final, Publications Office of the European Uni</w:t>
      </w:r>
      <w:r>
        <w:rPr>
          <w:noProof/>
        </w:rPr>
        <w:t>on, Luxembourg.</w:t>
      </w:r>
    </w:p>
    <w:p w:rsidR="00DC4807" w:rsidRDefault="0005641F">
      <w:pPr>
        <w:rPr>
          <w:noProof/>
        </w:rPr>
      </w:pPr>
      <w:r>
        <w:rPr>
          <w:noProof/>
        </w:rPr>
        <w:t xml:space="preserve">European Commission (EC) (2016a), </w:t>
      </w:r>
      <w:r>
        <w:rPr>
          <w:i/>
          <w:noProof/>
        </w:rPr>
        <w:t>‘Country Report Netherlands’</w:t>
      </w:r>
      <w:r>
        <w:rPr>
          <w:noProof/>
        </w:rPr>
        <w:t>, Commission Staff Working Document SWD(2016) 87 final, Publications Office of the European Union, Luxembourg.</w:t>
      </w:r>
    </w:p>
    <w:p w:rsidR="00DC4807" w:rsidRDefault="0005641F">
      <w:pPr>
        <w:rPr>
          <w:noProof/>
        </w:rPr>
      </w:pPr>
      <w:r>
        <w:rPr>
          <w:noProof/>
        </w:rPr>
        <w:t xml:space="preserve">European Commission (EC) (2016b), </w:t>
      </w:r>
      <w:r>
        <w:rPr>
          <w:i/>
          <w:noProof/>
        </w:rPr>
        <w:t>European Construction Sector Obse</w:t>
      </w:r>
      <w:r>
        <w:rPr>
          <w:i/>
          <w:noProof/>
        </w:rPr>
        <w:t>rvatory: Country profile Netherlands</w:t>
      </w:r>
      <w:r>
        <w:rPr>
          <w:noProof/>
        </w:rPr>
        <w:t>, Publications Office of the European Union, Luxembourg.</w:t>
      </w:r>
    </w:p>
    <w:p w:rsidR="00DC4807" w:rsidRDefault="0005641F">
      <w:pPr>
        <w:rPr>
          <w:noProof/>
        </w:rPr>
      </w:pPr>
      <w:r>
        <w:rPr>
          <w:noProof/>
        </w:rPr>
        <w:t xml:space="preserve">European Commission (EC) (2017a), </w:t>
      </w:r>
      <w:r>
        <w:rPr>
          <w:i/>
          <w:noProof/>
        </w:rPr>
        <w:t>Background documents for the European Semester: Construction</w:t>
      </w:r>
      <w:r>
        <w:rPr>
          <w:noProof/>
        </w:rPr>
        <w:t>, Publications Office of the European Union, Luxembourg.</w:t>
      </w:r>
    </w:p>
    <w:p w:rsidR="00DC4807" w:rsidRDefault="0005641F">
      <w:pPr>
        <w:rPr>
          <w:noProof/>
        </w:rPr>
      </w:pPr>
      <w:r>
        <w:rPr>
          <w:noProof/>
        </w:rPr>
        <w:t>European Com</w:t>
      </w:r>
      <w:r>
        <w:rPr>
          <w:noProof/>
        </w:rPr>
        <w:t xml:space="preserve">mission (EC) (2017b), </w:t>
      </w:r>
      <w:r>
        <w:rPr>
          <w:i/>
          <w:noProof/>
        </w:rPr>
        <w:t>‘Country Report Netherlands’</w:t>
      </w:r>
      <w:r>
        <w:rPr>
          <w:noProof/>
        </w:rPr>
        <w:t>, Commission Staff Working Document SWD(2017) final, Publications Office of the European Union, Luxembourg.</w:t>
      </w:r>
    </w:p>
    <w:p w:rsidR="00DC4807" w:rsidRDefault="0005641F">
      <w:pPr>
        <w:rPr>
          <w:noProof/>
        </w:rPr>
      </w:pPr>
      <w:r>
        <w:rPr>
          <w:noProof/>
        </w:rPr>
        <w:t xml:space="preserve">European Commission (EC) (2017c), </w:t>
      </w:r>
      <w:r>
        <w:rPr>
          <w:i/>
          <w:noProof/>
        </w:rPr>
        <w:t>Eco-Innovation Scoreboard and Eco-Innovation Index</w:t>
      </w:r>
      <w:r>
        <w:rPr>
          <w:noProof/>
        </w:rPr>
        <w:t>, available at</w:t>
      </w:r>
      <w:r>
        <w:rPr>
          <w:noProof/>
        </w:rPr>
        <w:t>: https://ec.europa.eu/environment/ecoap/indicators/index_en</w:t>
      </w:r>
    </w:p>
    <w:p w:rsidR="00DC4807" w:rsidRDefault="0005641F">
      <w:pPr>
        <w:rPr>
          <w:noProof/>
        </w:rPr>
      </w:pPr>
      <w:r>
        <w:rPr>
          <w:noProof/>
        </w:rPr>
        <w:t>European Commission (EC) (2017d), ‘</w:t>
      </w:r>
      <w:r>
        <w:rPr>
          <w:i/>
          <w:noProof/>
        </w:rPr>
        <w:t>European Economic Forecast - Autumn 2017’, Institutional Paper 063</w:t>
      </w:r>
      <w:r>
        <w:rPr>
          <w:noProof/>
        </w:rPr>
        <w:t xml:space="preserve">, Publications Office of the European Union, Luxembourg. </w:t>
      </w:r>
    </w:p>
    <w:p w:rsidR="00DC4807" w:rsidRDefault="0005641F">
      <w:pPr>
        <w:rPr>
          <w:noProof/>
        </w:rPr>
      </w:pPr>
      <w:r>
        <w:rPr>
          <w:noProof/>
        </w:rPr>
        <w:t>European Commission (EC) (2017e), Im</w:t>
      </w:r>
      <w:r>
        <w:rPr>
          <w:noProof/>
        </w:rPr>
        <w:t>pact Assessment accompanying the document Proposal for a Directive of the European Parliament and of the Council on work-life balance for parents and carers and repealing Council Directive 2010/18/EU, SWD/2017/0202 final - 2017/085 (COD), Publications Offi</w:t>
      </w:r>
      <w:r>
        <w:rPr>
          <w:noProof/>
        </w:rPr>
        <w:t>ce of the European Union, Luxembourg.</w:t>
      </w:r>
    </w:p>
    <w:p w:rsidR="00DC4807" w:rsidRDefault="0005641F">
      <w:pPr>
        <w:rPr>
          <w:noProof/>
        </w:rPr>
      </w:pPr>
      <w:r>
        <w:rPr>
          <w:noProof/>
        </w:rPr>
        <w:t>European Commission (EC) (2017f), ‘Investment in Human Capital: Assessing the efficiency of public spending on education’, Note for the Eurogroup, 6 November 2017, available at: http://consilium.europa.eu/media/31409/i</w:t>
      </w:r>
      <w:r>
        <w:rPr>
          <w:noProof/>
        </w:rPr>
        <w:t>nvestment-in-human-capital_eurogroup_31102017_ares.pdf</w:t>
      </w:r>
    </w:p>
    <w:p w:rsidR="00DC4807" w:rsidRDefault="0005641F">
      <w:pPr>
        <w:rPr>
          <w:noProof/>
        </w:rPr>
      </w:pPr>
      <w:r>
        <w:rPr>
          <w:noProof/>
        </w:rPr>
        <w:t xml:space="preserve">European Commission (EC) (2017g), </w:t>
      </w:r>
      <w:r>
        <w:rPr>
          <w:i/>
          <w:noProof/>
        </w:rPr>
        <w:t>Labour market and wage developments report in Europe</w:t>
      </w:r>
      <w:r>
        <w:rPr>
          <w:noProof/>
        </w:rPr>
        <w:t>, Publications Office of the European Union, Luxembourg.</w:t>
      </w:r>
    </w:p>
    <w:p w:rsidR="00DC4807" w:rsidRDefault="0005641F">
      <w:pPr>
        <w:rPr>
          <w:noProof/>
        </w:rPr>
      </w:pPr>
      <w:r>
        <w:rPr>
          <w:noProof/>
        </w:rPr>
        <w:t xml:space="preserve">European Commission (EC) (2017h), </w:t>
      </w:r>
      <w:r>
        <w:rPr>
          <w:i/>
          <w:noProof/>
        </w:rPr>
        <w:t>Prudential thresholds fo</w:t>
      </w:r>
      <w:r>
        <w:rPr>
          <w:i/>
          <w:noProof/>
        </w:rPr>
        <w:t>r private sector debt: households vs. non-financial corporations</w:t>
      </w:r>
      <w:r>
        <w:rPr>
          <w:noProof/>
        </w:rPr>
        <w:t>, Note for the Economic Policy Committee, 13 June 2017.</w:t>
      </w:r>
    </w:p>
    <w:p w:rsidR="00DC4807" w:rsidRDefault="0005641F">
      <w:pPr>
        <w:rPr>
          <w:noProof/>
        </w:rPr>
      </w:pPr>
      <w:r>
        <w:rPr>
          <w:noProof/>
        </w:rPr>
        <w:t xml:space="preserve">European Commission (EC) (2017i), </w:t>
      </w:r>
      <w:r>
        <w:rPr>
          <w:i/>
          <w:noProof/>
        </w:rPr>
        <w:t>Renewable Energy Progress Report</w:t>
      </w:r>
      <w:r>
        <w:rPr>
          <w:noProof/>
        </w:rPr>
        <w:t>, COM(2017) 57 final, Publications Office of the European Union, Luxem</w:t>
      </w:r>
      <w:r>
        <w:rPr>
          <w:noProof/>
        </w:rPr>
        <w:t>bourg.</w:t>
      </w:r>
    </w:p>
    <w:p w:rsidR="00DC4807" w:rsidRDefault="0005641F">
      <w:pPr>
        <w:rPr>
          <w:noProof/>
        </w:rPr>
      </w:pPr>
      <w:r>
        <w:rPr>
          <w:noProof/>
        </w:rPr>
        <w:t xml:space="preserve">European Commission (EC) (2017j), </w:t>
      </w:r>
      <w:r>
        <w:rPr>
          <w:i/>
          <w:noProof/>
        </w:rPr>
        <w:t>SBA fact sheets for the Netherlands 2017</w:t>
      </w:r>
      <w:r>
        <w:rPr>
          <w:noProof/>
        </w:rPr>
        <w:t>, available at: https://ec.europa.eu/growth/smes/business-friendly-environment/performance-review_en#sba-fact-sheets</w:t>
      </w:r>
    </w:p>
    <w:p w:rsidR="00DC4807" w:rsidRDefault="0005641F">
      <w:pPr>
        <w:rPr>
          <w:noProof/>
        </w:rPr>
      </w:pPr>
      <w:r>
        <w:rPr>
          <w:noProof/>
        </w:rPr>
        <w:t xml:space="preserve">European Commission (EC) (2017k), </w:t>
      </w:r>
      <w:r>
        <w:rPr>
          <w:i/>
          <w:noProof/>
        </w:rPr>
        <w:t>Single Market Scoreboard</w:t>
      </w:r>
      <w:r>
        <w:rPr>
          <w:i/>
          <w:noProof/>
        </w:rPr>
        <w:t xml:space="preserve">, Performance per Policy Area: Public Procurement </w:t>
      </w:r>
      <w:r>
        <w:rPr>
          <w:noProof/>
        </w:rPr>
        <w:t>(Reporting period: 01/2016 - 12/2016), Available at: http://ec.europa.eu/single-market-scoreboard</w:t>
      </w:r>
    </w:p>
    <w:p w:rsidR="00DC4807" w:rsidRDefault="0005641F">
      <w:pPr>
        <w:rPr>
          <w:noProof/>
        </w:rPr>
      </w:pPr>
      <w:r>
        <w:rPr>
          <w:noProof/>
        </w:rPr>
        <w:t xml:space="preserve">European Commission (EC) (2017l), </w:t>
      </w:r>
      <w:r>
        <w:rPr>
          <w:i/>
          <w:noProof/>
        </w:rPr>
        <w:t>Tax Policies in the European Union 2017 Survey</w:t>
      </w:r>
      <w:r>
        <w:rPr>
          <w:noProof/>
        </w:rPr>
        <w:t>, Publications Office of the</w:t>
      </w:r>
      <w:r>
        <w:rPr>
          <w:noProof/>
        </w:rPr>
        <w:t xml:space="preserve"> European Union, Luxembourg.</w:t>
      </w:r>
    </w:p>
    <w:p w:rsidR="00DC4807" w:rsidRDefault="0005641F">
      <w:pPr>
        <w:rPr>
          <w:noProof/>
        </w:rPr>
      </w:pPr>
      <w:r>
        <w:rPr>
          <w:noProof/>
        </w:rPr>
        <w:t xml:space="preserve">European Commission (EC) (2017m), </w:t>
      </w:r>
      <w:r>
        <w:rPr>
          <w:i/>
          <w:noProof/>
        </w:rPr>
        <w:t>'Empirical current account benchmarks: modelling the impact of demographic variables</w:t>
      </w:r>
      <w:r>
        <w:rPr>
          <w:noProof/>
        </w:rPr>
        <w:t xml:space="preserve">', LIME Working Group, 24 April 2017. </w:t>
      </w:r>
    </w:p>
    <w:p w:rsidR="00DC4807" w:rsidRDefault="0005641F">
      <w:pPr>
        <w:rPr>
          <w:noProof/>
        </w:rPr>
      </w:pPr>
      <w:r>
        <w:rPr>
          <w:noProof/>
        </w:rPr>
        <w:t xml:space="preserve">European Commission (EC) (2018), </w:t>
      </w:r>
      <w:r>
        <w:rPr>
          <w:i/>
          <w:noProof/>
        </w:rPr>
        <w:t>'Debt Sustainability Monitor 2017'</w:t>
      </w:r>
      <w:r>
        <w:rPr>
          <w:noProof/>
        </w:rPr>
        <w:t>, I</w:t>
      </w:r>
      <w:r>
        <w:rPr>
          <w:noProof/>
        </w:rPr>
        <w:t>nstitutional Paper 071, Publications Office of the European Union, Luxembourg.</w:t>
      </w:r>
    </w:p>
    <w:p w:rsidR="00DC4807" w:rsidRDefault="0005641F">
      <w:pPr>
        <w:rPr>
          <w:noProof/>
        </w:rPr>
      </w:pPr>
      <w:r>
        <w:rPr>
          <w:noProof/>
        </w:rPr>
        <w:t xml:space="preserve">European Environment Agency (2017), </w:t>
      </w:r>
      <w:r>
        <w:rPr>
          <w:i/>
          <w:noProof/>
        </w:rPr>
        <w:t>'Air quality in Europe'</w:t>
      </w:r>
      <w:r>
        <w:rPr>
          <w:noProof/>
        </w:rPr>
        <w:t>, EEA Report No 13/2017, Publications Office of the European Union, Luxembourg.</w:t>
      </w:r>
    </w:p>
    <w:p w:rsidR="00DC4807" w:rsidRDefault="0005641F">
      <w:pPr>
        <w:rPr>
          <w:noProof/>
        </w:rPr>
      </w:pPr>
      <w:r>
        <w:rPr>
          <w:noProof/>
        </w:rPr>
        <w:t xml:space="preserve">European Systemic Risk Board (2016), </w:t>
      </w:r>
      <w:r>
        <w:rPr>
          <w:i/>
          <w:noProof/>
        </w:rPr>
        <w:t>Vulnerabilities in the EU residential real estate sector</w:t>
      </w:r>
      <w:r>
        <w:rPr>
          <w:noProof/>
        </w:rPr>
        <w:t xml:space="preserve"> / November 2016, ESRB Frankfurt.</w:t>
      </w:r>
    </w:p>
    <w:p w:rsidR="00DC4807" w:rsidRDefault="0005641F">
      <w:pPr>
        <w:rPr>
          <w:noProof/>
        </w:rPr>
      </w:pPr>
      <w:r>
        <w:rPr>
          <w:noProof/>
        </w:rPr>
        <w:t xml:space="preserve">Fontein, P., Adriaens, H., Den Uijl, M., &amp; De Vos, K. (2015), </w:t>
      </w:r>
      <w:r>
        <w:rPr>
          <w:i/>
          <w:noProof/>
        </w:rPr>
        <w:t xml:space="preserve">De toekomstige arbeidsmarkt voor onderwijspersoneel po, vo en mbo 2015-2025: </w:t>
      </w:r>
      <w:r>
        <w:rPr>
          <w:noProof/>
        </w:rPr>
        <w:t>Update</w:t>
      </w:r>
      <w:r>
        <w:rPr>
          <w:i/>
          <w:noProof/>
        </w:rPr>
        <w:t xml:space="preserve"> </w:t>
      </w:r>
      <w:r>
        <w:rPr>
          <w:noProof/>
        </w:rPr>
        <w:t>October 2015, availa</w:t>
      </w:r>
      <w:r>
        <w:rPr>
          <w:noProof/>
        </w:rPr>
        <w:t>ble at http://www.voion.nl/publicaties/de-toekomstige-arbeidsmarkt-voor-onderwijspersoneel-po-vo-en-mbo-2015-2025.</w:t>
      </w:r>
    </w:p>
    <w:p w:rsidR="00DC4807" w:rsidRDefault="0005641F">
      <w:pPr>
        <w:rPr>
          <w:noProof/>
          <w:lang w:val="nl-NL"/>
        </w:rPr>
      </w:pPr>
      <w:r>
        <w:rPr>
          <w:noProof/>
          <w:lang w:val="nl-NL"/>
        </w:rPr>
        <w:t xml:space="preserve">Fransman, R. (2014), </w:t>
      </w:r>
      <w:r>
        <w:rPr>
          <w:i/>
          <w:noProof/>
          <w:lang w:val="nl-NL"/>
        </w:rPr>
        <w:t>Sparen is geen deugd</w:t>
      </w:r>
      <w:r>
        <w:rPr>
          <w:noProof/>
          <w:lang w:val="nl-NL"/>
        </w:rPr>
        <w:t>. Amsterdam University Press.</w:t>
      </w:r>
    </w:p>
    <w:p w:rsidR="00DC4807" w:rsidRDefault="0005641F">
      <w:pPr>
        <w:rPr>
          <w:noProof/>
          <w:lang w:val="nl-NL"/>
        </w:rPr>
      </w:pPr>
      <w:r>
        <w:rPr>
          <w:noProof/>
          <w:lang w:val="nl-NL"/>
        </w:rPr>
        <w:t>Grabska, K., L. Bettendorf, R. Luginbuhl, G. Meijerink and A. Elbourne</w:t>
      </w:r>
      <w:r>
        <w:rPr>
          <w:noProof/>
          <w:lang w:val="nl-NL"/>
        </w:rPr>
        <w:t xml:space="preserve"> (2017), </w:t>
      </w:r>
      <w:r>
        <w:rPr>
          <w:i/>
          <w:noProof/>
          <w:lang w:val="nl-NL"/>
        </w:rPr>
        <w:t>'Productivity Slowdown - Evidence for the Netherlands'</w:t>
      </w:r>
      <w:r>
        <w:rPr>
          <w:noProof/>
          <w:lang w:val="nl-NL"/>
        </w:rPr>
        <w:t>, CPB Communication on request by the Ministry of Economic Affairs, CPB Netherlands Bureau for Economic Policy Analysis, The Hague.</w:t>
      </w:r>
    </w:p>
    <w:p w:rsidR="00DC4807" w:rsidRDefault="0005641F">
      <w:pPr>
        <w:rPr>
          <w:noProof/>
        </w:rPr>
      </w:pPr>
      <w:r>
        <w:rPr>
          <w:noProof/>
        </w:rPr>
        <w:t xml:space="preserve">Gruber, J., A. Jensen and H. Kleven (2017), </w:t>
      </w:r>
      <w:r>
        <w:rPr>
          <w:i/>
          <w:noProof/>
        </w:rPr>
        <w:t>'Do People Respon</w:t>
      </w:r>
      <w:r>
        <w:rPr>
          <w:i/>
          <w:noProof/>
        </w:rPr>
        <w:t>d to the Mortgage Interest Deduction? Quasi-experimental evidence from Denmark'</w:t>
      </w:r>
      <w:r>
        <w:rPr>
          <w:noProof/>
        </w:rPr>
        <w:t>, NBER Working Paper No. 23600.</w:t>
      </w:r>
    </w:p>
    <w:p w:rsidR="00DC4807" w:rsidRDefault="0005641F">
      <w:pPr>
        <w:rPr>
          <w:noProof/>
        </w:rPr>
      </w:pPr>
      <w:r>
        <w:rPr>
          <w:noProof/>
        </w:rPr>
        <w:t xml:space="preserve">Heyma, A., S. van der Werff, L. Megens, H. Bennaars and M. Engelen (2017), </w:t>
      </w:r>
      <w:r>
        <w:rPr>
          <w:i/>
          <w:noProof/>
          <w:u w:val="single"/>
        </w:rPr>
        <w:t>De kosten van ontslag met wederzijds goedvinden voor werkgevers</w:t>
      </w:r>
      <w:r>
        <w:rPr>
          <w:noProof/>
        </w:rPr>
        <w:t>, SEO E</w:t>
      </w:r>
      <w:r>
        <w:rPr>
          <w:noProof/>
        </w:rPr>
        <w:t>conomisch Onderzoek, on request by the Ministry of Economic Affairs, The Hague.</w:t>
      </w:r>
    </w:p>
    <w:p w:rsidR="00DC4807" w:rsidRDefault="0005641F">
      <w:pPr>
        <w:rPr>
          <w:noProof/>
          <w:lang w:val="nl-NL"/>
        </w:rPr>
      </w:pPr>
      <w:r>
        <w:rPr>
          <w:noProof/>
          <w:lang w:val="nl-NL"/>
        </w:rPr>
        <w:t xml:space="preserve">Houben, A., M. Dröes and R. van Lamoen (2017), </w:t>
      </w:r>
      <w:r>
        <w:rPr>
          <w:i/>
          <w:noProof/>
          <w:lang w:val="nl-NL"/>
        </w:rPr>
        <w:t>De prijsstijgingen op de Amsterdamse woningmarkt onder de loep, Economisch Statistische Berichten, 12 October 2017</w:t>
      </w:r>
      <w:r>
        <w:rPr>
          <w:noProof/>
          <w:lang w:val="nl-NL"/>
        </w:rPr>
        <w:t>, available at:</w:t>
      </w:r>
      <w:r>
        <w:rPr>
          <w:noProof/>
          <w:lang w:val="nl-NL"/>
        </w:rPr>
        <w:t xml:space="preserve"> https://esb.nu/incoming/20032497/de-prijsstijgingen-op-de-amsterdamse-woningmarkt-onder-de-loep</w:t>
      </w:r>
    </w:p>
    <w:p w:rsidR="00DC4807" w:rsidRDefault="0005641F">
      <w:pPr>
        <w:rPr>
          <w:noProof/>
        </w:rPr>
      </w:pPr>
      <w:r>
        <w:rPr>
          <w:noProof/>
        </w:rPr>
        <w:t xml:space="preserve">IHS (2018, forthcoming), </w:t>
      </w:r>
      <w:r>
        <w:rPr>
          <w:i/>
          <w:noProof/>
        </w:rPr>
        <w:t>Aggressive Tax Planning Indicators</w:t>
      </w:r>
      <w:r>
        <w:rPr>
          <w:noProof/>
        </w:rPr>
        <w:t xml:space="preserve"> in European Commission Taxation Papers</w:t>
      </w:r>
    </w:p>
    <w:p w:rsidR="00DC4807" w:rsidRDefault="0005641F">
      <w:pPr>
        <w:rPr>
          <w:noProof/>
        </w:rPr>
      </w:pPr>
      <w:r>
        <w:rPr>
          <w:noProof/>
        </w:rPr>
        <w:t>International Monetary Fund (IMF) 2017</w:t>
      </w:r>
      <w:r>
        <w:rPr>
          <w:i/>
          <w:noProof/>
        </w:rPr>
        <w:t>. External Sector Repo</w:t>
      </w:r>
      <w:r>
        <w:rPr>
          <w:i/>
          <w:noProof/>
        </w:rPr>
        <w:t>rt</w:t>
      </w:r>
      <w:r>
        <w:rPr>
          <w:noProof/>
        </w:rPr>
        <w:t>, Washington D.C.</w:t>
      </w:r>
    </w:p>
    <w:p w:rsidR="00DC4807" w:rsidRDefault="0005641F">
      <w:pPr>
        <w:rPr>
          <w:noProof/>
          <w:lang w:val="nl-NL"/>
        </w:rPr>
      </w:pPr>
      <w:r>
        <w:rPr>
          <w:noProof/>
          <w:lang w:val="nl-NL"/>
        </w:rPr>
        <w:t xml:space="preserve">ING (2017), </w:t>
      </w:r>
      <w:r>
        <w:rPr>
          <w:i/>
          <w:noProof/>
          <w:lang w:val="nl-NL"/>
        </w:rPr>
        <w:t>EBZ doorstroming huurmarkt onder druk</w:t>
      </w:r>
      <w:r>
        <w:rPr>
          <w:noProof/>
          <w:lang w:val="nl-NL"/>
        </w:rPr>
        <w:t>, available at: https://www.ing.nl/zakelijk/kennis-over-de-economie/onze-economie/de-nederlandse-economie/publicaties/inkomensafhankelijke-huurverhoging-heeft-weinig-effect.html</w:t>
      </w:r>
    </w:p>
    <w:p w:rsidR="00DC4807" w:rsidRDefault="0005641F">
      <w:pPr>
        <w:rPr>
          <w:noProof/>
          <w:lang w:val="nl-NL"/>
        </w:rPr>
      </w:pPr>
      <w:r>
        <w:rPr>
          <w:noProof/>
          <w:lang w:val="nl-NL"/>
        </w:rPr>
        <w:t>Jansen, C</w:t>
      </w:r>
      <w:r>
        <w:rPr>
          <w:noProof/>
          <w:lang w:val="nl-NL"/>
        </w:rPr>
        <w:t xml:space="preserve">. and M. Ligthart (2014), </w:t>
      </w:r>
      <w:r>
        <w:rPr>
          <w:i/>
          <w:noProof/>
          <w:lang w:val="nl-NL"/>
        </w:rPr>
        <w:t>'Spaaroverschot niet-financiële bedrijven: ontwikkeling, oorzaken en gevolgen'</w:t>
      </w:r>
      <w:r>
        <w:rPr>
          <w:noProof/>
          <w:lang w:val="nl-NL"/>
        </w:rPr>
        <w:t>, CPB Achtergronddocument, CPB Netherlands Bureau for Economic Policy Analysis, The Hague.</w:t>
      </w:r>
    </w:p>
    <w:p w:rsidR="00DC4807" w:rsidRDefault="0005641F">
      <w:pPr>
        <w:rPr>
          <w:noProof/>
          <w:lang w:val="nl-NL"/>
        </w:rPr>
      </w:pPr>
      <w:r>
        <w:rPr>
          <w:noProof/>
          <w:lang w:val="nl-NL"/>
        </w:rPr>
        <w:t xml:space="preserve">Koninkrijk der Nederlanden (2017), </w:t>
      </w:r>
      <w:r>
        <w:rPr>
          <w:i/>
          <w:noProof/>
          <w:lang w:val="nl-NL"/>
        </w:rPr>
        <w:t>'Besluit van 18 april 2017</w:t>
      </w:r>
      <w:r>
        <w:rPr>
          <w:i/>
          <w:noProof/>
          <w:lang w:val="nl-NL"/>
        </w:rPr>
        <w:t xml:space="preserve"> tot wijziging van het Besluit ruimtelijke ordening in verband met het aanwijzen van geliberaliseerde woningen voor middenhuur'</w:t>
      </w:r>
      <w:r>
        <w:rPr>
          <w:noProof/>
          <w:lang w:val="nl-NL"/>
        </w:rPr>
        <w:t>, Staatsblad van het Koninkrijk der Nederlanden, Jaargang 2017, Nr. 172, available at: https://zoek.officielebekendmakingen.nl/st</w:t>
      </w:r>
      <w:r>
        <w:rPr>
          <w:noProof/>
          <w:lang w:val="nl-NL"/>
        </w:rPr>
        <w:t>b-2017-172.html</w:t>
      </w:r>
    </w:p>
    <w:p w:rsidR="00DC4807" w:rsidRDefault="0005641F">
      <w:pPr>
        <w:rPr>
          <w:noProof/>
          <w:lang w:val="nl-NL"/>
        </w:rPr>
      </w:pPr>
      <w:r>
        <w:rPr>
          <w:noProof/>
          <w:lang w:val="nl-NL"/>
        </w:rPr>
        <w:t xml:space="preserve">Meelissen, M., A. Netten, M. Drent, R. Punter, M. Droop and L. Verhoeven (2012) . </w:t>
      </w:r>
      <w:r>
        <w:rPr>
          <w:i/>
          <w:noProof/>
          <w:lang w:val="nl-NL"/>
        </w:rPr>
        <w:t>PIRLS- en TIMSS-2011: Trends in leerprestaties in Lezen, Rekenen en Natuuronderwijs</w:t>
      </w:r>
      <w:r>
        <w:rPr>
          <w:noProof/>
          <w:lang w:val="nl-NL"/>
        </w:rPr>
        <w:t xml:space="preserve">. Nijmegen/Enschede: Radboud Universiteit / Universiteit Twente, available </w:t>
      </w:r>
      <w:r>
        <w:rPr>
          <w:noProof/>
          <w:lang w:val="nl-NL"/>
        </w:rPr>
        <w:t>at: https://doi.org/10.3990/1.9789036534758</w:t>
      </w:r>
    </w:p>
    <w:p w:rsidR="00DC4807" w:rsidRDefault="0005641F">
      <w:pPr>
        <w:rPr>
          <w:noProof/>
          <w:lang w:val="nl-NL"/>
        </w:rPr>
      </w:pPr>
      <w:r>
        <w:rPr>
          <w:noProof/>
        </w:rPr>
        <w:t xml:space="preserve">Ministry of Education, Culture and Science (2017a). </w:t>
      </w:r>
      <w:r>
        <w:rPr>
          <w:i/>
          <w:noProof/>
          <w:lang w:val="nl-NL"/>
        </w:rPr>
        <w:t>Onderwijs in Cijfers</w:t>
      </w:r>
      <w:r>
        <w:rPr>
          <w:noProof/>
          <w:lang w:val="nl-NL"/>
        </w:rPr>
        <w:t>, the Hague. http://www.onderwijsincijfers.nl/kengetallen/sectoroverstijgend/personeel/lerarenopleiding.</w:t>
      </w:r>
    </w:p>
    <w:p w:rsidR="00DC4807" w:rsidRDefault="0005641F">
      <w:pPr>
        <w:rPr>
          <w:noProof/>
          <w:lang w:val="nl-NL"/>
        </w:rPr>
      </w:pPr>
      <w:r>
        <w:rPr>
          <w:noProof/>
          <w:lang w:val="nl-NL"/>
        </w:rPr>
        <w:t xml:space="preserve">Ministry of Education, Culture and </w:t>
      </w:r>
      <w:r>
        <w:rPr>
          <w:noProof/>
          <w:lang w:val="nl-NL"/>
        </w:rPr>
        <w:t xml:space="preserve">Science (2017b), </w:t>
      </w:r>
      <w:r>
        <w:rPr>
          <w:i/>
          <w:noProof/>
          <w:lang w:val="nl-NL"/>
        </w:rPr>
        <w:t>Staat van het Onderwijs: onderwijsverslag 2015/2016</w:t>
      </w:r>
      <w:r>
        <w:rPr>
          <w:noProof/>
          <w:lang w:val="nl-NL"/>
        </w:rPr>
        <w:t>, Rijksoverheid, The Hague.</w:t>
      </w:r>
    </w:p>
    <w:p w:rsidR="00DC4807" w:rsidRDefault="0005641F">
      <w:pPr>
        <w:rPr>
          <w:noProof/>
          <w:lang w:val="nl-NL"/>
        </w:rPr>
      </w:pPr>
      <w:r>
        <w:rPr>
          <w:noProof/>
          <w:lang w:val="nl-NL"/>
        </w:rPr>
        <w:t xml:space="preserve">Ministry of the Interior and Kingdom Relations (2016), </w:t>
      </w:r>
      <w:r>
        <w:rPr>
          <w:i/>
          <w:noProof/>
          <w:lang w:val="nl-NL"/>
        </w:rPr>
        <w:t>Wonen in beweging-De resultaten van het WoonOnderzoek Nederland 2015</w:t>
      </w:r>
      <w:r>
        <w:rPr>
          <w:noProof/>
          <w:lang w:val="nl-NL"/>
        </w:rPr>
        <w:t>, Rijksoverheid, The Hague.</w:t>
      </w:r>
    </w:p>
    <w:p w:rsidR="00DC4807" w:rsidRDefault="0005641F">
      <w:pPr>
        <w:rPr>
          <w:noProof/>
          <w:lang w:val="nl-NL"/>
        </w:rPr>
      </w:pPr>
      <w:r>
        <w:rPr>
          <w:noProof/>
          <w:lang w:val="nl-NL"/>
        </w:rPr>
        <w:t xml:space="preserve">Ministry </w:t>
      </w:r>
      <w:r>
        <w:rPr>
          <w:noProof/>
          <w:lang w:val="nl-NL"/>
        </w:rPr>
        <w:t xml:space="preserve">of the Interior and Kingdom Relations (BZK) (2017), </w:t>
      </w:r>
      <w:r>
        <w:rPr>
          <w:i/>
          <w:noProof/>
          <w:lang w:val="nl-NL"/>
        </w:rPr>
        <w:t>Staat van de Woningmarkt 2017</w:t>
      </w:r>
      <w:r>
        <w:rPr>
          <w:noProof/>
          <w:lang w:val="nl-NL"/>
        </w:rPr>
        <w:t>, Rijksoverheid, The Hague.</w:t>
      </w:r>
    </w:p>
    <w:p w:rsidR="00DC4807" w:rsidRDefault="0005641F">
      <w:pPr>
        <w:rPr>
          <w:noProof/>
          <w:lang w:val="nl-NL"/>
        </w:rPr>
      </w:pPr>
      <w:r>
        <w:rPr>
          <w:noProof/>
          <w:lang w:val="nl-NL"/>
        </w:rPr>
        <w:t xml:space="preserve">Organisation for Economic Co-operation and Development (OECD) (2014), </w:t>
      </w:r>
      <w:r>
        <w:rPr>
          <w:i/>
          <w:noProof/>
          <w:lang w:val="nl-NL"/>
        </w:rPr>
        <w:t>International Migration Outlook 2014</w:t>
      </w:r>
      <w:r>
        <w:rPr>
          <w:noProof/>
          <w:lang w:val="nl-NL"/>
        </w:rPr>
        <w:t xml:space="preserve">, Organisation for Economic Co-operation </w:t>
      </w:r>
      <w:r>
        <w:rPr>
          <w:noProof/>
          <w:lang w:val="nl-NL"/>
        </w:rPr>
        <w:t xml:space="preserve">and Development, OECD Paris. </w:t>
      </w:r>
    </w:p>
    <w:p w:rsidR="00DC4807" w:rsidRDefault="0005641F">
      <w:pPr>
        <w:rPr>
          <w:noProof/>
        </w:rPr>
      </w:pPr>
      <w:r>
        <w:rPr>
          <w:noProof/>
        </w:rPr>
        <w:t xml:space="preserve">Organisation for Economic Co-operation and Development (OECD) (2015), </w:t>
      </w:r>
      <w:r>
        <w:rPr>
          <w:i/>
          <w:noProof/>
        </w:rPr>
        <w:t>OECD Employment Outlook</w:t>
      </w:r>
      <w:r>
        <w:rPr>
          <w:noProof/>
        </w:rPr>
        <w:t xml:space="preserve">, Organisation for Economic Co-operation and Development, OECD Paris. </w:t>
      </w:r>
    </w:p>
    <w:p w:rsidR="00DC4807" w:rsidRDefault="0005641F">
      <w:pPr>
        <w:rPr>
          <w:noProof/>
        </w:rPr>
      </w:pPr>
      <w:r>
        <w:rPr>
          <w:noProof/>
        </w:rPr>
        <w:t xml:space="preserve">Organisation for Economic Co-operation and Development (OECD) </w:t>
      </w:r>
      <w:r>
        <w:rPr>
          <w:noProof/>
        </w:rPr>
        <w:t>(2016a). ‘</w:t>
      </w:r>
      <w:r>
        <w:rPr>
          <w:i/>
          <w:noProof/>
        </w:rPr>
        <w:t>PISA 2015 Results (Volume I)</w:t>
      </w:r>
      <w:r>
        <w:rPr>
          <w:noProof/>
        </w:rPr>
        <w:t xml:space="preserve">’, Excellence and Equity in Education, PISA, OECD Paris. </w:t>
      </w:r>
    </w:p>
    <w:p w:rsidR="00DC4807" w:rsidRDefault="0005641F">
      <w:pPr>
        <w:rPr>
          <w:noProof/>
        </w:rPr>
      </w:pPr>
      <w:r>
        <w:rPr>
          <w:noProof/>
        </w:rPr>
        <w:t xml:space="preserve">Organisation for Economic Co-operation and Development (OECD) (2016b), </w:t>
      </w:r>
      <w:r>
        <w:rPr>
          <w:i/>
          <w:noProof/>
        </w:rPr>
        <w:t>Public procurement for innovation: Good Practices and Strategies</w:t>
      </w:r>
      <w:r>
        <w:rPr>
          <w:noProof/>
        </w:rPr>
        <w:t xml:space="preserve">, OECD Public Governance Reviews, Organisation for Economic Co-operation and Development, OECD Paris. </w:t>
      </w:r>
    </w:p>
    <w:p w:rsidR="00DC4807" w:rsidRDefault="0005641F">
      <w:pPr>
        <w:rPr>
          <w:noProof/>
        </w:rPr>
      </w:pPr>
      <w:r>
        <w:rPr>
          <w:noProof/>
        </w:rPr>
        <w:t xml:space="preserve">Organisation for Economic Co-operation and Development (OECD) (2017a), </w:t>
      </w:r>
      <w:r>
        <w:rPr>
          <w:i/>
          <w:noProof/>
        </w:rPr>
        <w:t>Getting Skills Right: Skills for Jobs Indicators,</w:t>
      </w:r>
      <w:r>
        <w:rPr>
          <w:noProof/>
        </w:rPr>
        <w:t xml:space="preserve"> Organisation for Economic Co-ope</w:t>
      </w:r>
      <w:r>
        <w:rPr>
          <w:noProof/>
        </w:rPr>
        <w:t xml:space="preserve">ration and Development, OECD Paris. </w:t>
      </w:r>
    </w:p>
    <w:p w:rsidR="00DC4807" w:rsidRDefault="0005641F">
      <w:pPr>
        <w:rPr>
          <w:noProof/>
        </w:rPr>
      </w:pPr>
      <w:r>
        <w:rPr>
          <w:noProof/>
        </w:rPr>
        <w:t xml:space="preserve">Organisation for Economic Co-operation and Development (OECD) (2017b), OECD </w:t>
      </w:r>
      <w:r>
        <w:rPr>
          <w:i/>
          <w:noProof/>
        </w:rPr>
        <w:t>Skills Outlook 2017:</w:t>
      </w:r>
      <w:r>
        <w:rPr>
          <w:noProof/>
        </w:rPr>
        <w:t xml:space="preserve"> </w:t>
      </w:r>
      <w:r>
        <w:rPr>
          <w:i/>
          <w:noProof/>
        </w:rPr>
        <w:t>Skills and global value chains,</w:t>
      </w:r>
      <w:r>
        <w:rPr>
          <w:noProof/>
        </w:rPr>
        <w:t xml:space="preserve"> Organisation for Economic Co-operation and Development, OECD Paris. </w:t>
      </w:r>
    </w:p>
    <w:p w:rsidR="00DC4807" w:rsidRDefault="0005641F">
      <w:pPr>
        <w:rPr>
          <w:noProof/>
        </w:rPr>
      </w:pPr>
      <w:r>
        <w:rPr>
          <w:noProof/>
        </w:rPr>
        <w:t>Organisation for Econ</w:t>
      </w:r>
      <w:r>
        <w:rPr>
          <w:noProof/>
        </w:rPr>
        <w:t xml:space="preserve">omic Co-operation and Development (OECD) (2017c), </w:t>
      </w:r>
      <w:r>
        <w:rPr>
          <w:i/>
          <w:noProof/>
        </w:rPr>
        <w:t>Skill for jobs indicators: Data overview and analysis,</w:t>
      </w:r>
      <w:r>
        <w:rPr>
          <w:noProof/>
        </w:rPr>
        <w:t xml:space="preserve"> Organisation for Economic Co-operation and Development, Paris. </w:t>
      </w:r>
    </w:p>
    <w:p w:rsidR="00DC4807" w:rsidRDefault="0005641F">
      <w:pPr>
        <w:rPr>
          <w:noProof/>
        </w:rPr>
      </w:pPr>
      <w:r>
        <w:rPr>
          <w:noProof/>
        </w:rPr>
        <w:t xml:space="preserve">Organisation for Economic Co-operation and Development (OECD) (2017d), </w:t>
      </w:r>
      <w:r>
        <w:rPr>
          <w:i/>
          <w:noProof/>
        </w:rPr>
        <w:t>The Pursuit of G</w:t>
      </w:r>
      <w:r>
        <w:rPr>
          <w:i/>
          <w:noProof/>
        </w:rPr>
        <w:t>ender Equality: An uphill battle</w:t>
      </w:r>
      <w:r>
        <w:rPr>
          <w:noProof/>
        </w:rPr>
        <w:t xml:space="preserve">. OECD, Paris, </w:t>
      </w:r>
    </w:p>
    <w:p w:rsidR="00DC4807" w:rsidRDefault="0005641F">
      <w:pPr>
        <w:rPr>
          <w:noProof/>
          <w:lang w:val="nl-NL"/>
        </w:rPr>
      </w:pPr>
      <w:r>
        <w:rPr>
          <w:noProof/>
        </w:rPr>
        <w:t xml:space="preserve">Organisation for Economic Co-operation and Development (OECD) (2017e), </w:t>
      </w:r>
      <w:r>
        <w:rPr>
          <w:i/>
          <w:noProof/>
        </w:rPr>
        <w:t>Non-tax compulsory payments (NTCPs) as an additional burden on labour income in 2016</w:t>
      </w:r>
      <w:r>
        <w:rPr>
          <w:noProof/>
        </w:rPr>
        <w:t xml:space="preserve">. </w:t>
      </w:r>
      <w:r>
        <w:rPr>
          <w:noProof/>
          <w:lang w:val="nl-NL"/>
        </w:rPr>
        <w:t>OECD, Paris</w:t>
      </w:r>
    </w:p>
    <w:p w:rsidR="00DC4807" w:rsidRDefault="0005641F">
      <w:pPr>
        <w:rPr>
          <w:noProof/>
          <w:lang w:val="nl-NL"/>
        </w:rPr>
      </w:pPr>
      <w:r>
        <w:rPr>
          <w:noProof/>
          <w:lang w:val="nl-NL"/>
        </w:rPr>
        <w:t xml:space="preserve">Portegijs, W., M. Cloïn, S. Keuzenkamp, A. Merens and E. Steenvoorden (2008), </w:t>
      </w:r>
      <w:r>
        <w:rPr>
          <w:i/>
          <w:noProof/>
          <w:lang w:val="nl-NL"/>
        </w:rPr>
        <w:t>Verdeelde tijd: Waarom vrouwen in deeltijd werken</w:t>
      </w:r>
      <w:r>
        <w:rPr>
          <w:noProof/>
          <w:lang w:val="nl-NL"/>
        </w:rPr>
        <w:t>, Sociaal en Cultureel Planbureau, The Hague.</w:t>
      </w:r>
    </w:p>
    <w:p w:rsidR="00DC4807" w:rsidRDefault="0005641F">
      <w:pPr>
        <w:rPr>
          <w:noProof/>
          <w:lang w:val="nl-NL"/>
        </w:rPr>
      </w:pPr>
      <w:r>
        <w:rPr>
          <w:noProof/>
          <w:lang w:val="nl-NL"/>
        </w:rPr>
        <w:t xml:space="preserve">RIGO Research en Advies (2016), </w:t>
      </w:r>
      <w:r>
        <w:rPr>
          <w:i/>
          <w:noProof/>
          <w:lang w:val="nl-NL"/>
        </w:rPr>
        <w:t>Huurprijs als verhuisprikkel: Evaluatie van de inko</w:t>
      </w:r>
      <w:r>
        <w:rPr>
          <w:i/>
          <w:noProof/>
          <w:lang w:val="nl-NL"/>
        </w:rPr>
        <w:t>mensafhankelijke huurverhoging</w:t>
      </w:r>
      <w:r>
        <w:rPr>
          <w:noProof/>
          <w:lang w:val="nl-NL"/>
        </w:rPr>
        <w:t>, Amsterdam.</w:t>
      </w:r>
    </w:p>
    <w:p w:rsidR="00DC4807" w:rsidRDefault="0005641F">
      <w:pPr>
        <w:rPr>
          <w:noProof/>
          <w:lang w:val="nl-NL"/>
        </w:rPr>
      </w:pPr>
      <w:r>
        <w:rPr>
          <w:noProof/>
          <w:lang w:val="nl-NL"/>
        </w:rPr>
        <w:t xml:space="preserve">Sociaal Economische Raad (SER) (1992), </w:t>
      </w:r>
      <w:r>
        <w:rPr>
          <w:i/>
          <w:noProof/>
          <w:lang w:val="nl-NL"/>
        </w:rPr>
        <w:t>Het nationale spaaroverschot</w:t>
      </w:r>
      <w:r>
        <w:rPr>
          <w:noProof/>
          <w:lang w:val="nl-NL"/>
        </w:rPr>
        <w:t>, Rapport van de Commissie Economische Deskundigen, Publicatie 92/11, The Hague.</w:t>
      </w:r>
    </w:p>
    <w:p w:rsidR="00DC4807" w:rsidRDefault="0005641F">
      <w:pPr>
        <w:rPr>
          <w:noProof/>
        </w:rPr>
      </w:pPr>
      <w:r>
        <w:rPr>
          <w:noProof/>
        </w:rPr>
        <w:t xml:space="preserve">Sociaal Economische Raad (SER) (2017), </w:t>
      </w:r>
      <w:r>
        <w:rPr>
          <w:i/>
          <w:noProof/>
        </w:rPr>
        <w:t>The transition to a circul</w:t>
      </w:r>
      <w:r>
        <w:rPr>
          <w:i/>
          <w:noProof/>
        </w:rPr>
        <w:t>ar economy</w:t>
      </w:r>
      <w:r>
        <w:rPr>
          <w:noProof/>
        </w:rPr>
        <w:t>, Social and Economic Council advisory report, The Hague.</w:t>
      </w:r>
    </w:p>
    <w:p w:rsidR="00DC4807" w:rsidRDefault="0005641F">
      <w:pPr>
        <w:rPr>
          <w:noProof/>
          <w:lang w:val="nl-NL"/>
        </w:rPr>
      </w:pPr>
      <w:r>
        <w:rPr>
          <w:noProof/>
          <w:lang w:val="nl-NL"/>
        </w:rPr>
        <w:t xml:space="preserve">Sociaal en Cultureel Planbureau and Centraal Bureau voor de Statistiek (2016), </w:t>
      </w:r>
      <w:r>
        <w:rPr>
          <w:i/>
          <w:noProof/>
          <w:lang w:val="nl-NL"/>
        </w:rPr>
        <w:t>Emancipatiemonito</w:t>
      </w:r>
      <w:r>
        <w:rPr>
          <w:noProof/>
          <w:lang w:val="nl-NL"/>
        </w:rPr>
        <w:t>r 2016, Sociaal en Cultureel Planbureau, The Hague.</w:t>
      </w:r>
    </w:p>
    <w:p w:rsidR="00DC4807" w:rsidRDefault="0005641F">
      <w:pPr>
        <w:rPr>
          <w:noProof/>
        </w:rPr>
      </w:pPr>
      <w:r>
        <w:rPr>
          <w:noProof/>
        </w:rPr>
        <w:t xml:space="preserve">Task Force Part-time Plus (2010), </w:t>
      </w:r>
      <w:r>
        <w:rPr>
          <w:i/>
          <w:noProof/>
        </w:rPr>
        <w:t>Beyond</w:t>
      </w:r>
      <w:r>
        <w:rPr>
          <w:i/>
          <w:noProof/>
        </w:rPr>
        <w:t xml:space="preserve"> discussion: Final report from the Task Force Part-time Plus</w:t>
      </w:r>
      <w:r>
        <w:rPr>
          <w:noProof/>
        </w:rPr>
        <w:t>, Ministry of Social Affairs and Employment, Rijksoverheid, the Hague.</w:t>
      </w:r>
    </w:p>
    <w:p w:rsidR="00DC4807" w:rsidRDefault="0005641F">
      <w:pPr>
        <w:rPr>
          <w:noProof/>
        </w:rPr>
      </w:pPr>
      <w:r>
        <w:rPr>
          <w:noProof/>
        </w:rPr>
        <w:t xml:space="preserve">Van den Broek, A., F. Wartenbergh, J. Bendig-Jacobs, R. Tholen, S. Duysak and J. Nooij (2017), </w:t>
      </w:r>
      <w:r>
        <w:rPr>
          <w:i/>
          <w:noProof/>
        </w:rPr>
        <w:t>Monitor Beleidsmaatregelen 201</w:t>
      </w:r>
      <w:r>
        <w:rPr>
          <w:i/>
          <w:noProof/>
        </w:rPr>
        <w:t>6-2017: Studiekeuze, studiegedrag en leengedrag in relatie tot beleidsmaatregelen in het hoger onderwijs, 2006-2016</w:t>
      </w:r>
      <w:r>
        <w:rPr>
          <w:noProof/>
        </w:rPr>
        <w:t xml:space="preserve">, ResearchNed, on request by Ministry of Education, Culture and Science, Nijmegen. </w:t>
      </w:r>
    </w:p>
    <w:p w:rsidR="00DC4807" w:rsidRDefault="0005641F">
      <w:pPr>
        <w:rPr>
          <w:noProof/>
          <w:lang w:val="nl-NL"/>
        </w:rPr>
      </w:pPr>
      <w:r>
        <w:rPr>
          <w:noProof/>
          <w:lang w:val="nl-NL"/>
        </w:rPr>
        <w:t xml:space="preserve">Van der Aalst, M. and L. van den Beukel (2017), </w:t>
      </w:r>
      <w:r>
        <w:rPr>
          <w:i/>
          <w:noProof/>
          <w:lang w:val="nl-NL"/>
        </w:rPr>
        <w:t>Kansrijke</w:t>
      </w:r>
      <w:r>
        <w:rPr>
          <w:i/>
          <w:noProof/>
          <w:lang w:val="nl-NL"/>
        </w:rPr>
        <w:t xml:space="preserve"> beroepen: Waar is de arbeidsmarkt krap?</w:t>
      </w:r>
      <w:r>
        <w:rPr>
          <w:noProof/>
          <w:lang w:val="nl-NL"/>
        </w:rPr>
        <w:t xml:space="preserve"> Landelijk overzicht, Uitvoeringsinstituut Werknemersverzekeringen, Amsterdam.</w:t>
      </w:r>
    </w:p>
    <w:p w:rsidR="00DC4807" w:rsidRDefault="0005641F">
      <w:pPr>
        <w:rPr>
          <w:noProof/>
          <w:lang w:val="nl-NL"/>
        </w:rPr>
      </w:pPr>
      <w:r>
        <w:rPr>
          <w:noProof/>
          <w:lang w:val="nl-NL"/>
        </w:rPr>
        <w:t xml:space="preserve">Van Heuvelen, G., L. Bettendorf, G. Meijerink (2018), </w:t>
      </w:r>
      <w:r>
        <w:rPr>
          <w:i/>
          <w:noProof/>
          <w:lang w:val="nl-NL"/>
        </w:rPr>
        <w:t>Frontier firms and followers in The Netherlands</w:t>
      </w:r>
      <w:r>
        <w:rPr>
          <w:noProof/>
          <w:lang w:val="nl-NL"/>
        </w:rPr>
        <w:t xml:space="preserve">. CPB Background Document. CPB, The </w:t>
      </w:r>
      <w:r>
        <w:rPr>
          <w:noProof/>
          <w:lang w:val="nl-NL"/>
        </w:rPr>
        <w:t>Hague (forthcoming)</w:t>
      </w:r>
    </w:p>
    <w:p w:rsidR="00DC4807" w:rsidRDefault="0005641F">
      <w:pPr>
        <w:rPr>
          <w:noProof/>
          <w:lang w:val="nl-NL"/>
        </w:rPr>
      </w:pPr>
      <w:r>
        <w:rPr>
          <w:noProof/>
          <w:lang w:val="nl-NL"/>
        </w:rPr>
        <w:t>Vennekens, A.&amp; Van Steen, J. al, 2017, ‘</w:t>
      </w:r>
      <w:r>
        <w:rPr>
          <w:i/>
          <w:noProof/>
          <w:lang w:val="nl-NL"/>
        </w:rPr>
        <w:t>Totale Investeringen in Wetenschap en Innovatie, 2015-2021’</w:t>
      </w:r>
      <w:r>
        <w:rPr>
          <w:noProof/>
          <w:lang w:val="nl-NL"/>
        </w:rPr>
        <w:t>, Rathenau Institute, Den Haag, April 2017</w:t>
      </w:r>
    </w:p>
    <w:p w:rsidR="00DC4807" w:rsidRDefault="0005641F">
      <w:pPr>
        <w:rPr>
          <w:noProof/>
        </w:rPr>
      </w:pPr>
      <w:r>
        <w:rPr>
          <w:noProof/>
        </w:rPr>
        <w:t xml:space="preserve">Vierke, H. and M. Masselink (2017), </w:t>
      </w:r>
      <w:r>
        <w:rPr>
          <w:i/>
          <w:noProof/>
        </w:rPr>
        <w:t>The Dutch Budgetary Framework and the European Fiscal Rule</w:t>
      </w:r>
      <w:r>
        <w:rPr>
          <w:i/>
          <w:noProof/>
        </w:rPr>
        <w:t>s.</w:t>
      </w:r>
      <w:r>
        <w:rPr>
          <w:noProof/>
        </w:rPr>
        <w:t xml:space="preserve"> European Commission. Economic Brief 027. Publications Office of the European Union, Luxembourg</w:t>
      </w:r>
    </w:p>
    <w:p w:rsidR="00DC4807" w:rsidRDefault="00DC4807">
      <w:pPr>
        <w:rPr>
          <w:noProof/>
        </w:rPr>
      </w:pPr>
    </w:p>
    <w:sectPr w:rsidR="00DC4807">
      <w:headerReference w:type="even" r:id="rId218"/>
      <w:headerReference w:type="default" r:id="rId219"/>
      <w:footerReference w:type="even" r:id="rId220"/>
      <w:footerReference w:type="default" r:id="rId221"/>
      <w:headerReference w:type="first" r:id="rId222"/>
      <w:footerReference w:type="first" r:id="rId223"/>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807" w:rsidRDefault="00DC4807">
      <w:pPr>
        <w:spacing w:after="0" w:line="20" w:lineRule="exact"/>
        <w:rPr>
          <w:sz w:val="2"/>
        </w:rPr>
      </w:pPr>
    </w:p>
  </w:endnote>
  <w:endnote w:type="continuationSeparator" w:id="0">
    <w:p w:rsidR="00DC4807" w:rsidRDefault="00DC4807">
      <w:pPr>
        <w:spacing w:after="0" w:line="20" w:lineRule="exact"/>
        <w:rPr>
          <w:sz w:val="2"/>
        </w:rPr>
      </w:pPr>
    </w:p>
  </w:endnote>
  <w:endnote w:id="1">
    <w:p w:rsidR="00DC4807" w:rsidRDefault="0005641F">
      <w:pPr>
        <w:pStyle w:val="EndnoteText"/>
      </w:pPr>
      <w:r>
        <w:rPr>
          <w:szCs w:val="16"/>
        </w:rPr>
        <w:t>(</w:t>
      </w:r>
      <w:r>
        <w:rPr>
          <w:rStyle w:val="EndnoteReference"/>
          <w:szCs w:val="16"/>
        </w:rPr>
        <w:endnoteRef/>
      </w:r>
      <w:r>
        <w:rPr>
          <w:szCs w:val="16"/>
        </w:rPr>
        <w:t>)</w:t>
      </w:r>
      <w:r>
        <w:tab/>
        <w:t>Public investment i</w:t>
      </w:r>
      <w:r>
        <w:t>s defined as gross fixed capital formation + investment grants + national expenditure on agriculture and fisheries.</w:t>
      </w:r>
    </w:p>
  </w:endnote>
  <w:endnote w:id="2">
    <w:p w:rsidR="00DC4807" w:rsidRDefault="0005641F">
      <w:pPr>
        <w:pStyle w:val="EndnoteText"/>
      </w:pPr>
      <w:r>
        <w:t>(</w:t>
      </w:r>
      <w:r>
        <w:rPr>
          <w:rStyle w:val="EndnoteReference"/>
        </w:rPr>
        <w:endnoteRef/>
      </w:r>
      <w:r>
        <w:t>)</w:t>
      </w:r>
      <w:r>
        <w:tab/>
        <w:t>Before programmes are adopted, Member States are required to comply with a number of so-called ex-ante conditionalities, which aim at im</w:t>
      </w:r>
      <w:r>
        <w:t>proving conditions for the majority of public investments areas.</w:t>
      </w:r>
    </w:p>
  </w:endnote>
  <w:endnote w:id="3">
    <w:p w:rsidR="00DC4807" w:rsidRDefault="0005641F">
      <w:pPr>
        <w:pStyle w:val="GraphSource"/>
        <w:keepNext/>
        <w:rPr>
          <w:b/>
          <w:i/>
        </w:rPr>
      </w:pPr>
      <w:r>
        <w:t>(</w:t>
      </w:r>
      <w:r>
        <w:rPr>
          <w:rStyle w:val="EndnoteReference"/>
        </w:rPr>
        <w:endnoteRef/>
      </w:r>
      <w:r>
        <w:t>)</w:t>
      </w:r>
      <w:r>
        <w:tab/>
        <w:t xml:space="preserve">Detailed information on the QUEST model and applications is available at: </w:t>
      </w:r>
      <w:hyperlink r:id="rId1" w:history="1">
        <w:r>
          <w:rPr>
            <w:rStyle w:val="Hyperlink"/>
          </w:rPr>
          <w:t>http://ec.europa.eu/econ</w:t>
        </w:r>
        <w:r>
          <w:rPr>
            <w:rStyle w:val="Hyperlink"/>
          </w:rPr>
          <w:t>omy_finance/research/macroeconomic_models_en.htm</w:t>
        </w:r>
      </w:hyperlink>
      <w:r>
        <w:t>. In this simulation, monetary policy rates in the euro area are assumed to remain unchanged during the first two years.</w:t>
      </w:r>
    </w:p>
    <w:p w:rsidR="00DC4807" w:rsidRDefault="00DC4807">
      <w:pPr>
        <w:pStyle w:val="EndnoteText"/>
      </w:pPr>
    </w:p>
  </w:endnote>
  <w:endnote w:id="4">
    <w:p w:rsidR="00DC4807" w:rsidRDefault="0005641F">
      <w:pPr>
        <w:pStyle w:val="EndnoteText"/>
      </w:pPr>
      <w:r>
        <w:t>(</w:t>
      </w:r>
      <w:r>
        <w:rPr>
          <w:rStyle w:val="EndnoteReference"/>
        </w:rPr>
        <w:endnoteRef/>
      </w:r>
      <w:r>
        <w:t>)</w:t>
      </w:r>
      <w:r>
        <w:tab/>
        <w:t>www.pianoo.nl/</w:t>
      </w:r>
    </w:p>
  </w:endnote>
  <w:endnote w:id="5">
    <w:p w:rsidR="00DC4807" w:rsidRDefault="0005641F">
      <w:pPr>
        <w:pStyle w:val="EndnoteText"/>
      </w:pPr>
      <w:r>
        <w:t>(</w:t>
      </w:r>
      <w:r>
        <w:rPr>
          <w:rStyle w:val="EndnoteReference"/>
        </w:rPr>
        <w:endnoteRef/>
      </w:r>
      <w:r>
        <w:t>)</w:t>
      </w:r>
      <w:r>
        <w:tab/>
        <w:t>www.innovatiekoffer.nl/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41F" w:rsidRPr="0005641F" w:rsidRDefault="0005641F" w:rsidP="0005641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8</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5</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11</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11</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10</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12</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12</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11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41F" w:rsidRPr="0005641F" w:rsidRDefault="0005641F" w:rsidP="0005641F">
    <w:pPr>
      <w:pStyle w:val="FooterCoverPage"/>
      <w:rPr>
        <w:rFonts w:ascii="Arial" w:hAnsi="Arial" w:cs="Arial"/>
        <w:b/>
        <w:sz w:val="48"/>
      </w:rPr>
    </w:pPr>
    <w:r w:rsidRPr="0005641F">
      <w:rPr>
        <w:rFonts w:ascii="Arial" w:hAnsi="Arial" w:cs="Arial"/>
        <w:b/>
        <w:sz w:val="48"/>
      </w:rPr>
      <w:t>EN</w:t>
    </w:r>
    <w:r w:rsidRPr="0005641F">
      <w:rPr>
        <w:rFonts w:ascii="Arial" w:hAnsi="Arial" w:cs="Arial"/>
        <w:b/>
        <w:sz w:val="48"/>
      </w:rPr>
      <w:tab/>
    </w:r>
    <w:r w:rsidRPr="0005641F">
      <w:rPr>
        <w:rFonts w:ascii="Arial" w:hAnsi="Arial" w:cs="Arial"/>
        <w:b/>
        <w:sz w:val="48"/>
      </w:rPr>
      <w:tab/>
    </w:r>
    <w:r w:rsidRPr="0005641F">
      <w:tab/>
    </w:r>
    <w:r w:rsidRPr="0005641F">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11</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11</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15</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15</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17</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41F" w:rsidRPr="0005641F" w:rsidRDefault="0005641F" w:rsidP="0005641F">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30</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30</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19</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39</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39</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31</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32</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32</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32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DC480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w:instrText>
    </w:r>
    <w:r>
      <w:instrText xml:space="preserve">RMAT </w:instrText>
    </w:r>
    <w:r>
      <w:fldChar w:fldCharType="separate"/>
    </w:r>
    <w:r>
      <w:rPr>
        <w:noProof/>
      </w:rPr>
      <w:t>38</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38</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39</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39</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39</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45</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43</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40</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46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46</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50</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47</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51</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51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DC4807">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51</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52</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w:instrText>
    </w:r>
    <w:r>
      <w:instrText xml:space="preserve">ERGEFORMAT </w:instrText>
    </w:r>
    <w:r>
      <w:fldChar w:fldCharType="separate"/>
    </w:r>
    <w:r>
      <w:rPr>
        <w:noProof/>
      </w:rPr>
      <w:t>52</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52</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55</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55</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53</w:t>
    </w:r>
    <w: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1</w:t>
    </w:r>
    <w: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56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3</w:t>
    </w:r>
    <w: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62</w:t>
    </w:r>
    <w: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58</w:t>
    </w:r>
    <w: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57</w:t>
    </w:r>
    <w: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
    </w:pPr>
    <w:r>
      <w:fldChar w:fldCharType="begin"/>
    </w:r>
    <w:r>
      <w:instrText xml:space="preserve"> PAGE  \* MERGEFORMAT </w:instrText>
    </w:r>
    <w:r>
      <w:fldChar w:fldCharType="separate"/>
    </w:r>
    <w:r>
      <w:rPr>
        <w:noProof/>
      </w:rPr>
      <w:t>67</w:t>
    </w:r>
    <w: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64</w:t>
    </w:r>
    <w: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63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Footer"/>
    </w:pPr>
  </w:p>
  <w:p w:rsidR="00DC4807" w:rsidRDefault="0005641F">
    <w:pPr>
      <w:pStyle w:val="FooterPageNumber30"/>
      <w:framePr w:wrap="around"/>
    </w:pP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807" w:rsidRDefault="0005641F">
      <w:pPr>
        <w:spacing w:after="0"/>
      </w:pPr>
      <w:r>
        <w:separator/>
      </w:r>
    </w:p>
  </w:footnote>
  <w:footnote w:type="continuationSeparator" w:id="0">
    <w:p w:rsidR="00DC4807" w:rsidRDefault="0005641F">
      <w:r>
        <w:continuationSeparator/>
      </w:r>
    </w:p>
  </w:footnote>
  <w:footnote w:id="1">
    <w:p w:rsidR="00DC4807" w:rsidRDefault="0005641F">
      <w:pPr>
        <w:pStyle w:val="FootnoteText"/>
        <w:rPr>
          <w:lang w:val="en-US"/>
        </w:rPr>
      </w:pPr>
      <w:r>
        <w:t>(</w:t>
      </w:r>
      <w:r>
        <w:rPr>
          <w:vertAlign w:val="superscript"/>
        </w:rPr>
        <w:footnoteRef/>
      </w:r>
      <w:r>
        <w:t>)</w:t>
      </w:r>
      <w:r>
        <w:tab/>
      </w:r>
      <w:r>
        <w:t xml:space="preserve">This report assesses the economy of the Netherlands in the light of the European Commission’s Annual Growth Survey published on 22 November 2017. In the survey, the Commission calls on EU Member States to </w:t>
      </w:r>
      <w:r>
        <w:rPr>
          <w:szCs w:val="24"/>
        </w:rPr>
        <w:t>implement reforms to make the European economy more</w:t>
      </w:r>
      <w:r>
        <w:rPr>
          <w:szCs w:val="24"/>
        </w:rPr>
        <w:t xml:space="preserve"> productive, resilient and inclusive. In so doing, Member States should focus</w:t>
      </w:r>
      <w:r>
        <w:t xml:space="preserve"> their efforts on the three elements of the virtuous triangle of economic policy – boosting investment, pursuing structural reforms and ensuring responsible fiscal policies. At th</w:t>
      </w:r>
      <w:r>
        <w:t>e same time, the Commission published the Alert Mechanism Report (AMR) that initiated the seventh round of the macroeconomic imbalance procedure. The AMR found that the Netherlands warranted an in depth review which is presented in this report.</w:t>
      </w:r>
    </w:p>
  </w:footnote>
  <w:footnote w:id="2">
    <w:p w:rsidR="00DC4807" w:rsidRDefault="0005641F">
      <w:pPr>
        <w:pStyle w:val="FootnoteText"/>
        <w:rPr>
          <w:lang w:val="en-US"/>
        </w:rPr>
      </w:pPr>
      <w:r>
        <w:t>(</w:t>
      </w:r>
      <w:r>
        <w:rPr>
          <w:vertAlign w:val="superscript"/>
        </w:rPr>
        <w:footnoteRef/>
      </w:r>
      <w:r>
        <w:t>)</w:t>
      </w:r>
      <w:r>
        <w:tab/>
        <w:t>Based o</w:t>
      </w:r>
      <w:r>
        <w:t xml:space="preserve">n the European Commission Winter 2018 Interim forecast and under the assumption that the economy grows according to trend after 2019. </w:t>
      </w:r>
    </w:p>
  </w:footnote>
  <w:footnote w:id="3">
    <w:p w:rsidR="00DC4807" w:rsidRDefault="0005641F">
      <w:pPr>
        <w:pStyle w:val="FootnoteText"/>
      </w:pPr>
      <w:r>
        <w:t>(</w:t>
      </w:r>
      <w:r>
        <w:rPr>
          <w:vertAlign w:val="superscript"/>
        </w:rPr>
        <w:footnoteRef/>
      </w:r>
      <w:r>
        <w:t>)</w:t>
      </w:r>
      <w:r>
        <w:tab/>
        <w:t>For the assessment of other reforms implemented in the past, see in particular section 4.1, 4.2, 4.3 and 4.5,</w:t>
      </w:r>
    </w:p>
  </w:footnote>
  <w:footnote w:id="4">
    <w:p w:rsidR="00DC4807" w:rsidRDefault="0005641F">
      <w:pPr>
        <w:pStyle w:val="FootnoteText"/>
      </w:pPr>
      <w:r>
        <w:t>(</w:t>
      </w:r>
      <w:r>
        <w:rPr>
          <w:vertAlign w:val="superscript"/>
        </w:rPr>
        <w:footnoteRef/>
      </w:r>
      <w:r>
        <w:t>)</w:t>
      </w:r>
      <w:r>
        <w:tab/>
      </w:r>
      <w:r>
        <w:t>Information on the level of progress and actions taken to address the policy advice in each respective subpart of a CSR is presented in the Overview Table in the Annex. This overall assessment does not include an assessment of compliance with the Stability</w:t>
      </w:r>
      <w:r>
        <w:t xml:space="preserve"> and Growth Pact.</w:t>
      </w:r>
    </w:p>
  </w:footnote>
  <w:footnote w:id="5">
    <w:p w:rsidR="00DC4807" w:rsidRDefault="0005641F">
      <w:pPr>
        <w:pStyle w:val="FootnoteText"/>
      </w:pPr>
      <w:r>
        <w:t>(</w:t>
      </w:r>
      <w:r>
        <w:rPr>
          <w:vertAlign w:val="superscript"/>
        </w:rPr>
        <w:footnoteRef/>
      </w:r>
      <w:r>
        <w:t>)</w:t>
      </w:r>
      <w:r>
        <w:tab/>
        <w:t>European Commission recommendation for a Council recommendation on the economic policy of the euro area (22.11.2017)</w:t>
      </w:r>
    </w:p>
  </w:footnote>
  <w:footnote w:id="6">
    <w:p w:rsidR="00DC4807" w:rsidRDefault="0005641F">
      <w:pPr>
        <w:pStyle w:val="FootnoteText"/>
        <w:rPr>
          <w:lang w:val="en-US"/>
        </w:rPr>
      </w:pPr>
      <w:r>
        <w:t>(</w:t>
      </w:r>
      <w:r>
        <w:rPr>
          <w:vertAlign w:val="superscript"/>
        </w:rPr>
        <w:footnoteRef/>
      </w:r>
      <w:r>
        <w:t>)</w:t>
      </w:r>
      <w:r>
        <w:tab/>
        <w:t xml:space="preserve">See European Commission (2017b) and see Section 4.2.4 for the particularly high compulsory payment wedge. </w:t>
      </w:r>
    </w:p>
  </w:footnote>
  <w:footnote w:id="7">
    <w:p w:rsidR="00DC4807" w:rsidRDefault="0005641F">
      <w:pPr>
        <w:pStyle w:val="FootnoteText"/>
      </w:pPr>
      <w:r>
        <w:t>(</w:t>
      </w:r>
      <w:r>
        <w:rPr>
          <w:vertAlign w:val="superscript"/>
        </w:rPr>
        <w:footnoteRef/>
      </w:r>
      <w:r>
        <w:t>)</w:t>
      </w:r>
      <w:r>
        <w:tab/>
        <w:t>An</w:t>
      </w:r>
      <w:r>
        <w:t xml:space="preserve"> asterisk (*) indicates that the analysis in the section</w:t>
      </w:r>
    </w:p>
    <w:p w:rsidR="00DC4807" w:rsidRDefault="0005641F">
      <w:pPr>
        <w:pStyle w:val="FootnoteText"/>
      </w:pPr>
      <w:r>
        <w:t>contributes to the in-depth review under the MIP (see</w:t>
      </w:r>
    </w:p>
    <w:p w:rsidR="00DC4807" w:rsidRDefault="0005641F">
      <w:pPr>
        <w:pStyle w:val="FootnoteText"/>
      </w:pPr>
      <w:r>
        <w:t>section 3 for an overall summary of main findings)</w:t>
      </w:r>
    </w:p>
  </w:footnote>
  <w:footnote w:id="8">
    <w:p w:rsidR="00DC4807" w:rsidRDefault="0005641F">
      <w:pPr>
        <w:pStyle w:val="FootnoteText"/>
      </w:pPr>
      <w:r>
        <w:t>(</w:t>
      </w:r>
      <w:r>
        <w:rPr>
          <w:vertAlign w:val="superscript"/>
        </w:rPr>
        <w:footnoteRef/>
      </w:r>
      <w:r>
        <w:t>)</w:t>
      </w:r>
      <w:r>
        <w:tab/>
        <w:t>Inward FDIs stock 551 % of GDP and outward FDIs stock 688 % of GDP in 2016.</w:t>
      </w:r>
    </w:p>
  </w:footnote>
  <w:footnote w:id="9">
    <w:p w:rsidR="00DC4807" w:rsidRDefault="0005641F">
      <w:pPr>
        <w:pStyle w:val="FootnoteText"/>
      </w:pPr>
      <w:r>
        <w:t>(</w:t>
      </w:r>
      <w:r>
        <w:rPr>
          <w:vertAlign w:val="superscript"/>
        </w:rPr>
        <w:footnoteRef/>
      </w:r>
      <w:r>
        <w:t>)</w:t>
      </w:r>
      <w:r>
        <w:tab/>
        <w:t xml:space="preserve">The flows </w:t>
      </w:r>
      <w:r>
        <w:t>of dividends paid and received (calculated as net income on FDI) amounted to 16.9 % and 23.2 % of GDP in 2016 (respectively 4th and 2nd highest in the EU and 1st in value). The flows of interests paid and received (calculated as net income on FDI) amounted</w:t>
      </w:r>
      <w:r>
        <w:t xml:space="preserve"> to 2.2 % and 4.7 % of GDP. The royalties paid and received in 2016 amounted respectively to 6.5 % of GDP and 5.6 % of GDP (among the three highest of the EU).</w:t>
      </w:r>
    </w:p>
  </w:footnote>
  <w:footnote w:id="10">
    <w:p w:rsidR="00DC4807" w:rsidRDefault="0005641F">
      <w:pPr>
        <w:pStyle w:val="FootnoteText"/>
      </w:pPr>
      <w:r>
        <w:t>(</w:t>
      </w:r>
      <w:r>
        <w:rPr>
          <w:vertAlign w:val="superscript"/>
        </w:rPr>
        <w:footnoteRef/>
      </w:r>
      <w:r>
        <w:t>)</w:t>
      </w:r>
      <w:r>
        <w:tab/>
        <w:t>The share of inward and outward FDI stock held by SPE amounted respectively to 80 % and 73 %</w:t>
      </w:r>
      <w:r>
        <w:t xml:space="preserve"> of GDP in 2016.</w:t>
      </w:r>
    </w:p>
  </w:footnote>
  <w:footnote w:id="11">
    <w:p w:rsidR="00DC4807" w:rsidRDefault="0005641F">
      <w:pPr>
        <w:pStyle w:val="FootnoteText"/>
      </w:pPr>
      <w:r>
        <w:t>(</w:t>
      </w:r>
      <w:r>
        <w:rPr>
          <w:vertAlign w:val="superscript"/>
        </w:rPr>
        <w:footnoteRef/>
      </w:r>
      <w:r>
        <w:t>)</w:t>
      </w:r>
      <w:r>
        <w:tab/>
        <w:t>http://www.consilium.europa.eu/en/council-eu/preparatory-bodies/code-conduct-group/</w:t>
      </w:r>
    </w:p>
  </w:footnote>
  <w:footnote w:id="12">
    <w:p w:rsidR="00DC4807" w:rsidRDefault="0005641F">
      <w:pPr>
        <w:pStyle w:val="FootnoteText"/>
      </w:pPr>
      <w:r>
        <w:t>(</w:t>
      </w:r>
      <w:r>
        <w:rPr>
          <w:vertAlign w:val="superscript"/>
        </w:rPr>
        <w:footnoteRef/>
      </w:r>
      <w:r>
        <w:t>)</w:t>
      </w:r>
      <w:r>
        <w:tab/>
        <w:t>The Dutch innovation box regime, a beneficial intellectual property regime, currently allows qualifying research and development profits to be taxe</w:t>
      </w:r>
      <w:r>
        <w:t>d at an effective tax rate of 5 %. The effective tax rate will be increased to 7 %.</w:t>
      </w:r>
    </w:p>
  </w:footnote>
  <w:footnote w:id="13">
    <w:p w:rsidR="00DC4807" w:rsidRDefault="0005641F">
      <w:pPr>
        <w:pStyle w:val="FootnoteText"/>
      </w:pPr>
      <w:r>
        <w:t>(</w:t>
      </w:r>
      <w:r>
        <w:rPr>
          <w:vertAlign w:val="superscript"/>
        </w:rPr>
        <w:footnoteRef/>
      </w:r>
      <w:r>
        <w:t>)</w:t>
      </w:r>
      <w:r>
        <w:tab/>
        <w:t>EC (2018). This is a mechanical projection based on the current primary balance and assumptions on nominal growth and interest rates. Subsequently an equilibrium debt l</w:t>
      </w:r>
      <w:r>
        <w:t>evel and equilibrium interest services can be calculated.</w:t>
      </w:r>
    </w:p>
  </w:footnote>
  <w:footnote w:id="14">
    <w:p w:rsidR="00DC4807" w:rsidRDefault="0005641F">
      <w:pPr>
        <w:pStyle w:val="FootnoteText"/>
      </w:pPr>
      <w:r>
        <w:t>(</w:t>
      </w:r>
      <w:r>
        <w:rPr>
          <w:vertAlign w:val="superscript"/>
        </w:rPr>
        <w:footnoteRef/>
      </w:r>
      <w:r>
        <w:t>)</w:t>
      </w:r>
      <w:r>
        <w:tab/>
        <w:t>From 2018 onwards, expenditure ceilings will be indexed by wage and price developments, not by the deflator of domestic demand (prijs nationale bestedingen).</w:t>
      </w:r>
    </w:p>
  </w:footnote>
  <w:footnote w:id="15">
    <w:p w:rsidR="00DC4807" w:rsidRDefault="0005641F">
      <w:pPr>
        <w:pStyle w:val="FootnoteText"/>
      </w:pPr>
      <w:r>
        <w:t>(</w:t>
      </w:r>
      <w:r>
        <w:rPr>
          <w:vertAlign w:val="superscript"/>
        </w:rPr>
        <w:footnoteRef/>
      </w:r>
      <w:r>
        <w:t>)</w:t>
      </w:r>
      <w:r>
        <w:tab/>
      </w:r>
      <w:hyperlink r:id="rId1" w:history="1">
        <w:r>
          <w:rPr>
            <w:rStyle w:val="Hyperlink"/>
          </w:rPr>
          <w:t>http://www.rijksbegroting.nl/beleidsevaluaties/studiegroep-begrotingsruimte</w:t>
        </w:r>
      </w:hyperlink>
      <w:r>
        <w:t xml:space="preserve"> </w:t>
      </w:r>
    </w:p>
  </w:footnote>
  <w:footnote w:id="16">
    <w:p w:rsidR="00DC4807" w:rsidRDefault="0005641F">
      <w:pPr>
        <w:pStyle w:val="FootnoteText"/>
      </w:pPr>
      <w:r>
        <w:t>(</w:t>
      </w:r>
      <w:r>
        <w:rPr>
          <w:vertAlign w:val="superscript"/>
        </w:rPr>
        <w:footnoteRef/>
      </w:r>
      <w:r>
        <w:t>)</w:t>
      </w:r>
      <w:r>
        <w:tab/>
        <w:t>As defined in the European Innovation Scoreboard: http://ec.europa.eu/growth/industry/innovation/facts-figures/scor</w:t>
      </w:r>
      <w:r>
        <w:t>eboards_en</w:t>
      </w:r>
    </w:p>
  </w:footnote>
  <w:footnote w:id="17">
    <w:p w:rsidR="00DC4807" w:rsidRDefault="0005641F">
      <w:pPr>
        <w:pStyle w:val="FootnoteText"/>
      </w:pPr>
      <w:r>
        <w:t>(</w:t>
      </w:r>
      <w:r>
        <w:rPr>
          <w:vertAlign w:val="superscript"/>
        </w:rPr>
        <w:footnoteRef/>
      </w:r>
      <w:r>
        <w:t>)</w:t>
      </w:r>
      <w:r>
        <w:tab/>
        <w:t>The NIA provides a single contact centre for entrepreneurs seeking risk capital, guarantees, export credit insurance and international finance programmes and offers additional venture capital and improved access to EU financing for start-ups</w:t>
      </w:r>
      <w:r>
        <w:t xml:space="preserve"> and scale-ups, notably for innovative and high-risk activities in transition areas. The NLII enables institutional investors to invest directly in the Dutch economy through direct lending to SMEs as well as dedicated funds in the areas of climate change, </w:t>
      </w:r>
      <w:r>
        <w:t>healthcare and education.</w:t>
      </w:r>
    </w:p>
  </w:footnote>
  <w:footnote w:id="18">
    <w:p w:rsidR="00DC4807" w:rsidRDefault="0005641F">
      <w:pPr>
        <w:pStyle w:val="FootnoteText"/>
      </w:pPr>
      <w:r>
        <w:t>(</w:t>
      </w:r>
      <w:r>
        <w:rPr>
          <w:vertAlign w:val="superscript"/>
        </w:rPr>
        <w:footnoteRef/>
      </w:r>
      <w:r>
        <w:t>)</w:t>
      </w:r>
      <w:r>
        <w:tab/>
        <w:t>Unless indicated otherwise, all data in this section was retrieved from Statistics Netherlands (CBS).</w:t>
      </w:r>
    </w:p>
  </w:footnote>
  <w:footnote w:id="19">
    <w:p w:rsidR="00DC4807" w:rsidRDefault="0005641F">
      <w:pPr>
        <w:pStyle w:val="FootnoteText"/>
      </w:pPr>
      <w:r>
        <w:t>(</w:t>
      </w:r>
      <w:r>
        <w:rPr>
          <w:vertAlign w:val="superscript"/>
        </w:rPr>
        <w:footnoteRef/>
      </w:r>
      <w:r>
        <w:t>)</w:t>
      </w:r>
      <w:r>
        <w:tab/>
        <w:t xml:space="preserve">Scheefhuurders (literally translated ‘skew tenants’) are those tenants who earn above the income threshold for social </w:t>
      </w:r>
      <w:r>
        <w:t>housing, but occupy social housing because they were once eligible for it.</w:t>
      </w:r>
    </w:p>
  </w:footnote>
  <w:footnote w:id="20">
    <w:p w:rsidR="00DC4807" w:rsidRDefault="0005641F">
      <w:pPr>
        <w:pStyle w:val="FootnoteText"/>
      </w:pPr>
      <w:r>
        <w:t>(</w:t>
      </w:r>
      <w:r>
        <w:rPr>
          <w:vertAlign w:val="superscript"/>
        </w:rPr>
        <w:footnoteRef/>
      </w:r>
      <w:r>
        <w:t>)</w:t>
      </w:r>
      <w:r>
        <w:tab/>
      </w:r>
      <w:hyperlink r:id="rId2" w:history="1">
        <w:r>
          <w:rPr>
            <w:rStyle w:val="Hyperlink"/>
          </w:rPr>
          <w:t>https://zoek.officielebekendmakingen.nl/stb-2017-172.html</w:t>
        </w:r>
      </w:hyperlink>
      <w:r>
        <w:t xml:space="preserve"> </w:t>
      </w:r>
    </w:p>
  </w:footnote>
  <w:footnote w:id="21">
    <w:p w:rsidR="00DC4807" w:rsidRDefault="0005641F">
      <w:pPr>
        <w:pStyle w:val="FootnoteText"/>
      </w:pPr>
      <w:r>
        <w:t>(</w:t>
      </w:r>
      <w:r>
        <w:rPr>
          <w:vertAlign w:val="superscript"/>
        </w:rPr>
        <w:footnoteRef/>
      </w:r>
      <w:r>
        <w:t>)</w:t>
      </w:r>
      <w:r>
        <w:tab/>
        <w:t>This method (</w:t>
      </w:r>
      <w:r>
        <w:rPr>
          <w:i/>
        </w:rPr>
        <w:t>huursombenadering)</w:t>
      </w:r>
      <w:r>
        <w:t xml:space="preserve"> has been</w:t>
      </w:r>
      <w:r>
        <w:t xml:space="preserve"> in place since 1 January 2017. It limits the total amount by which social housing rents can be increased. The idea is to limit the differences between rents in social housing; however, it hinders the faster adjustment of rents for </w:t>
      </w:r>
      <w:r>
        <w:rPr>
          <w:i/>
        </w:rPr>
        <w:t>scheefhuurders</w:t>
      </w:r>
      <w:r>
        <w:t>.</w:t>
      </w:r>
    </w:p>
  </w:footnote>
  <w:footnote w:id="22">
    <w:p w:rsidR="00DC4807" w:rsidRDefault="0005641F">
      <w:pPr>
        <w:pStyle w:val="FootnoteText"/>
      </w:pPr>
      <w:r>
        <w:t>(</w:t>
      </w:r>
      <w:r>
        <w:rPr>
          <w:vertAlign w:val="superscript"/>
        </w:rPr>
        <w:footnoteRef/>
      </w:r>
      <w:r>
        <w:t>)</w:t>
      </w:r>
      <w:r>
        <w:tab/>
        <w:t>Prud</w:t>
      </w:r>
      <w:r>
        <w:t>ential thresholds represent the debt threshold beyond which the probability of a banking crisis is high, minimising the probability of missed crisis and that of false alerts. See also EC (2017h).</w:t>
      </w:r>
    </w:p>
  </w:footnote>
  <w:footnote w:id="23">
    <w:p w:rsidR="00DC4807" w:rsidRDefault="0005641F">
      <w:pPr>
        <w:pStyle w:val="FootnoteText"/>
      </w:pPr>
      <w:r>
        <w:t>(</w:t>
      </w:r>
      <w:r>
        <w:rPr>
          <w:vertAlign w:val="superscript"/>
        </w:rPr>
        <w:footnoteRef/>
      </w:r>
      <w:r>
        <w:t>)</w:t>
      </w:r>
      <w:r>
        <w:tab/>
        <w:t xml:space="preserve">A mortgage is said to be underwater when the balance of </w:t>
      </w:r>
      <w:r>
        <w:t>the mortgage loan exceeds the value of the underlying property.</w:t>
      </w:r>
    </w:p>
  </w:footnote>
  <w:footnote w:id="24">
    <w:p w:rsidR="00DC4807" w:rsidRDefault="0005641F">
      <w:pPr>
        <w:pStyle w:val="FootnoteText"/>
      </w:pPr>
      <w:r>
        <w:t>(</w:t>
      </w:r>
      <w:r>
        <w:rPr>
          <w:vertAlign w:val="superscript"/>
        </w:rPr>
        <w:footnoteRef/>
      </w:r>
      <w:r>
        <w:t>)</w:t>
      </w:r>
      <w:r>
        <w:tab/>
        <w:t>Taken from Statistics Netherlands and defined as average mortgage debt to average disposable income.</w:t>
      </w:r>
    </w:p>
  </w:footnote>
  <w:footnote w:id="25">
    <w:p w:rsidR="00DC4807" w:rsidRDefault="0005641F">
      <w:pPr>
        <w:pStyle w:val="FootnoteText"/>
      </w:pPr>
      <w:r>
        <w:t>(</w:t>
      </w:r>
      <w:r>
        <w:rPr>
          <w:vertAlign w:val="superscript"/>
        </w:rPr>
        <w:footnoteRef/>
      </w:r>
      <w:r>
        <w:t>)</w:t>
      </w:r>
      <w:r>
        <w:tab/>
        <w:t>The coalition agreement envisages the introduction of a tax system with two instead</w:t>
      </w:r>
      <w:r>
        <w:t xml:space="preserve"> of four tax brackets.</w:t>
      </w:r>
    </w:p>
  </w:footnote>
  <w:footnote w:id="26">
    <w:p w:rsidR="00DC4807" w:rsidRDefault="0005641F">
      <w:pPr>
        <w:pStyle w:val="FootnoteText"/>
      </w:pPr>
      <w:r>
        <w:t>(</w:t>
      </w:r>
      <w:r>
        <w:rPr>
          <w:vertAlign w:val="superscript"/>
        </w:rPr>
        <w:footnoteRef/>
      </w:r>
      <w:r>
        <w:t>)</w:t>
      </w:r>
      <w:r>
        <w:tab/>
        <w:t>The data in this paragraph have been taken from the Statistics Netherlands website and are based on corporate financial accounts. They do not fully match NFC data provided by Eurostat, which are based on national accounts.</w:t>
      </w:r>
    </w:p>
  </w:footnote>
  <w:footnote w:id="27">
    <w:p w:rsidR="00DC4807" w:rsidRDefault="0005641F">
      <w:pPr>
        <w:pStyle w:val="FootnoteText"/>
      </w:pPr>
      <w:r>
        <w:t>(</w:t>
      </w:r>
      <w:r>
        <w:rPr>
          <w:vertAlign w:val="superscript"/>
        </w:rPr>
        <w:footnoteRef/>
      </w:r>
      <w:r>
        <w:t>)</w:t>
      </w:r>
      <w:r>
        <w:tab/>
      </w:r>
      <w:r>
        <w:rPr>
          <w:i/>
        </w:rPr>
        <w:t>Bo</w:t>
      </w:r>
      <w:r>
        <w:rPr>
          <w:i/>
        </w:rPr>
        <w:t>sal</w:t>
      </w:r>
      <w:r>
        <w:t>, case C-168/01.</w:t>
      </w:r>
    </w:p>
  </w:footnote>
  <w:footnote w:id="28">
    <w:p w:rsidR="00DC4807" w:rsidRDefault="0005641F">
      <w:pPr>
        <w:pStyle w:val="FootnoteText"/>
        <w:rPr>
          <w:lang w:val="en-US"/>
        </w:rPr>
      </w:pPr>
      <w:r>
        <w:t>(</w:t>
      </w:r>
      <w:r>
        <w:rPr>
          <w:vertAlign w:val="superscript"/>
        </w:rPr>
        <w:footnoteRef/>
      </w:r>
      <w:r>
        <w:t>)</w:t>
      </w:r>
      <w:r>
        <w:tab/>
      </w:r>
      <w:r>
        <w:rPr>
          <w:lang w:val="en-US"/>
        </w:rPr>
        <w:t xml:space="preserve">Although recently some discussion has risen about the link to life expectancy, see De Beer, van Dalen and Henkens (2017). </w:t>
      </w:r>
    </w:p>
  </w:footnote>
  <w:footnote w:id="29">
    <w:p w:rsidR="00DC4807" w:rsidRDefault="0005641F">
      <w:pPr>
        <w:pStyle w:val="FootnoteText"/>
        <w:rPr>
          <w:lang w:val="en-US"/>
        </w:rPr>
      </w:pPr>
      <w:r>
        <w:t>(</w:t>
      </w:r>
      <w:r>
        <w:rPr>
          <w:vertAlign w:val="superscript"/>
        </w:rPr>
        <w:footnoteRef/>
      </w:r>
      <w:r>
        <w:t>)</w:t>
      </w:r>
      <w:r>
        <w:tab/>
        <w:t>While rendering the pension system less foreseeable for contributors compared to defined-benefit schemes,</w:t>
      </w:r>
      <w:r>
        <w:t xml:space="preserve"> defined-contribution systems imply greater transparency and limit the risk of significant transfers between generations. In addition, defined-contribution schemes are usually actuarially fair.</w:t>
      </w:r>
    </w:p>
  </w:footnote>
  <w:footnote w:id="30">
    <w:p w:rsidR="00DC4807" w:rsidRDefault="0005641F">
      <w:pPr>
        <w:pStyle w:val="FootnoteText"/>
        <w:rPr>
          <w:lang w:val="en-US"/>
        </w:rPr>
      </w:pPr>
      <w:r>
        <w:t>(</w:t>
      </w:r>
      <w:r>
        <w:rPr>
          <w:vertAlign w:val="superscript"/>
        </w:rPr>
        <w:footnoteRef/>
      </w:r>
      <w:r>
        <w:t>)</w:t>
      </w:r>
      <w:r>
        <w:tab/>
        <w:t xml:space="preserve">Current policy institutions limit the possibility for </w:t>
      </w:r>
      <w:r>
        <w:t>consumption smoothening over a person’s lifetime. The pressure on disposable income for those in the early years of working life comes from two sides: the housing market where households are pushed into buying a house, taking up a large mortgage and repayi</w:t>
      </w:r>
      <w:r>
        <w:t>ng on the principal, and from high pension contributions. This contrasts with the perspective at old age, where households on average have large pension incomes and little or no housing or child-related expenses.</w:t>
      </w:r>
    </w:p>
  </w:footnote>
  <w:footnote w:id="31">
    <w:p w:rsidR="00DC4807" w:rsidRDefault="0005641F">
      <w:pPr>
        <w:pStyle w:val="FootnoteText"/>
        <w:rPr>
          <w:lang w:val="en-US"/>
        </w:rPr>
      </w:pPr>
      <w:r>
        <w:t>(</w:t>
      </w:r>
      <w:r>
        <w:rPr>
          <w:vertAlign w:val="superscript"/>
        </w:rPr>
        <w:footnoteRef/>
      </w:r>
      <w:r>
        <w:t>)</w:t>
      </w:r>
      <w:r>
        <w:tab/>
        <w:t>Pension funds have allocated 17 % of th</w:t>
      </w:r>
      <w:r>
        <w:t xml:space="preserve">eir assets in the Netherlands (Q3-2017) and have a smaller home bias than other institutional investors. </w:t>
      </w:r>
    </w:p>
  </w:footnote>
  <w:footnote w:id="32">
    <w:p w:rsidR="00DC4807" w:rsidRDefault="0005641F">
      <w:pPr>
        <w:pStyle w:val="FootnoteText"/>
        <w:rPr>
          <w:rFonts w:ascii="Times" w:hAnsi="Times"/>
          <w:szCs w:val="16"/>
        </w:rPr>
      </w:pPr>
      <w:r>
        <w:t>(</w:t>
      </w:r>
      <w:r>
        <w:rPr>
          <w:vertAlign w:val="superscript"/>
        </w:rPr>
        <w:footnoteRef/>
      </w:r>
      <w:r>
        <w:t>)</w:t>
      </w:r>
      <w:r>
        <w:tab/>
        <w:t xml:space="preserve">Labour market slack is defined as the sum of the persons available to work but not seeking work; those seeking work but not immediately </w:t>
      </w:r>
      <w:r>
        <w:rPr>
          <w:rFonts w:ascii="Times" w:hAnsi="Times"/>
          <w:szCs w:val="16"/>
        </w:rPr>
        <w:t>available;</w:t>
      </w:r>
      <w:r>
        <w:rPr>
          <w:rFonts w:ascii="Times" w:hAnsi="Times"/>
          <w:szCs w:val="16"/>
        </w:rPr>
        <w:t xml:space="preserve"> and all involuntary part-time employed (see also EC, 2017g). </w:t>
      </w:r>
    </w:p>
  </w:footnote>
  <w:footnote w:id="33">
    <w:p w:rsidR="00DC4807" w:rsidRDefault="0005641F">
      <w:pPr>
        <w:pStyle w:val="FootnoteText"/>
      </w:pPr>
      <w:r>
        <w:t>(</w:t>
      </w:r>
      <w:r>
        <w:rPr>
          <w:vertAlign w:val="superscript"/>
        </w:rPr>
        <w:footnoteRef/>
      </w:r>
      <w:r>
        <w:t>)</w:t>
      </w:r>
      <w:r>
        <w:tab/>
        <w:t>Based on a shift-share analysis of the impact of the change in structure of jobs on wage growth between 2006 and 2014, using the Structure of Earnings Statistics.</w:t>
      </w:r>
    </w:p>
  </w:footnote>
  <w:footnote w:id="34">
    <w:p w:rsidR="00DC4807" w:rsidRDefault="0005641F">
      <w:pPr>
        <w:pStyle w:val="FootnoteText"/>
      </w:pPr>
      <w:r>
        <w:rPr>
          <w:rStyle w:val="FootnoteReference"/>
        </w:rPr>
        <w:footnoteRef/>
      </w:r>
      <w:r>
        <w:t xml:space="preserve"> The Social Scoreboard in</w:t>
      </w:r>
      <w:r>
        <w:t xml:space="preserve">cludes 14 headline indicators, of which 12 are currently used to compare Member States performance. The indicators "participants in active labour market policies per 100 persons wanting to work" and "compensation of employees per hour worked (in EUR)" are </w:t>
      </w:r>
      <w:r>
        <w:t>not used due to technical concerns by Member States. Possible alternatives will be discussed in the relevant Committees. Abbreviation: GDHI – gross disposable household income.</w:t>
      </w:r>
    </w:p>
  </w:footnote>
  <w:footnote w:id="35">
    <w:p w:rsidR="00DC4807" w:rsidRDefault="0005641F">
      <w:pPr>
        <w:pStyle w:val="FootnoteText"/>
      </w:pPr>
      <w:r>
        <w:t>(</w:t>
      </w:r>
      <w:r>
        <w:rPr>
          <w:vertAlign w:val="superscript"/>
        </w:rPr>
        <w:footnoteRef/>
      </w:r>
      <w:r>
        <w:t>)</w:t>
      </w:r>
      <w:r>
        <w:tab/>
        <w:t xml:space="preserve">There is no recent data on native born with a migrant background in the </w:t>
      </w:r>
      <w:r>
        <w:t>Netherlands from the European Labour Force Survey.</w:t>
      </w:r>
    </w:p>
  </w:footnote>
  <w:footnote w:id="36">
    <w:p w:rsidR="00DC4807" w:rsidRDefault="0005641F">
      <w:pPr>
        <w:pStyle w:val="FootnoteText"/>
      </w:pPr>
      <w:r>
        <w:t>(</w:t>
      </w:r>
      <w:r>
        <w:rPr>
          <w:vertAlign w:val="superscript"/>
        </w:rPr>
        <w:footnoteRef/>
      </w:r>
      <w:r>
        <w:t>)</w:t>
      </w:r>
      <w:r>
        <w:tab/>
        <w:t>At least one parent born in Africa, Asia (excl. Japan or Indonesia) or Latin America.</w:t>
      </w:r>
    </w:p>
  </w:footnote>
  <w:footnote w:id="37">
    <w:p w:rsidR="00DC4807" w:rsidRDefault="0005641F">
      <w:pPr>
        <w:pStyle w:val="FootnoteText"/>
      </w:pPr>
      <w:r>
        <w:t>(</w:t>
      </w:r>
      <w:r>
        <w:rPr>
          <w:vertAlign w:val="superscript"/>
        </w:rPr>
        <w:footnoteRef/>
      </w:r>
      <w:r>
        <w:t>)</w:t>
      </w:r>
      <w:r>
        <w:tab/>
        <w:t>See also the case study ‘Access to social protection for self-employed without employees in the Netherlands’ by</w:t>
      </w:r>
      <w:r>
        <w:t xml:space="preserve"> Regioplan.</w:t>
      </w:r>
    </w:p>
  </w:footnote>
  <w:footnote w:id="38">
    <w:p w:rsidR="00DC4807" w:rsidRDefault="0005641F">
      <w:pPr>
        <w:pStyle w:val="FootnoteText"/>
        <w:rPr>
          <w:sz w:val="20"/>
        </w:rPr>
      </w:pPr>
      <w:r>
        <w:t>(</w:t>
      </w:r>
      <w:r>
        <w:rPr>
          <w:vertAlign w:val="superscript"/>
        </w:rPr>
        <w:footnoteRef/>
      </w:r>
      <w:r>
        <w:t>)</w:t>
      </w:r>
      <w:r>
        <w:tab/>
        <w:t>According to the benchmarking exercise in the area of unemployment benefits and active labour market policies conducted within the EMCO Committee. See the draft Joint Employment Report 2018 for details.</w:t>
      </w:r>
    </w:p>
  </w:footnote>
  <w:footnote w:id="39">
    <w:p w:rsidR="00DC4807" w:rsidRDefault="0005641F">
      <w:pPr>
        <w:pStyle w:val="FootnoteText"/>
      </w:pPr>
      <w:r>
        <w:t>(</w:t>
      </w:r>
      <w:r>
        <w:rPr>
          <w:vertAlign w:val="superscript"/>
        </w:rPr>
        <w:footnoteRef/>
      </w:r>
      <w:r>
        <w:t>)</w:t>
      </w:r>
      <w:r>
        <w:tab/>
        <w:t>Adopted by the Council on 19 Dece</w:t>
      </w:r>
      <w:r>
        <w:t>mber 2016 (2016/C</w:t>
      </w:r>
      <w:r>
        <w:rPr>
          <w:sz w:val="20"/>
        </w:rPr>
        <w:t> </w:t>
      </w:r>
      <w:r>
        <w:t>484/01).</w:t>
      </w:r>
    </w:p>
  </w:footnote>
  <w:footnote w:id="40">
    <w:p w:rsidR="00DC4807" w:rsidRDefault="0005641F">
      <w:pPr>
        <w:pStyle w:val="FootnoteText"/>
      </w:pPr>
      <w:r>
        <w:t>(</w:t>
      </w:r>
      <w:r>
        <w:rPr>
          <w:vertAlign w:val="superscript"/>
        </w:rPr>
        <w:footnoteRef/>
      </w:r>
      <w:r>
        <w:t>)</w:t>
      </w:r>
      <w:r>
        <w:tab/>
        <w:t xml:space="preserve">Statistics Netherlands </w:t>
      </w:r>
      <w:sdt>
        <w:sdtPr>
          <w:id w:val="218329260"/>
          <w:citation/>
        </w:sdtPr>
        <w:sdtEndPr/>
        <w:sdtContent>
          <w:r>
            <w:fldChar w:fldCharType="begin"/>
          </w:r>
          <w:r>
            <w:instrText xml:space="preserve">CITATION Sta19 \n  \t  \l 1043 </w:instrText>
          </w:r>
          <w:r>
            <w:fldChar w:fldCharType="separate"/>
          </w:r>
          <w:r>
            <w:t>(2017)</w:t>
          </w:r>
          <w:r>
            <w:fldChar w:fldCharType="end"/>
          </w:r>
        </w:sdtContent>
      </w:sdt>
      <w:r>
        <w:t xml:space="preserve"> reports that one in four ICT firms had labour shortages in the second quarter of 2017 </w:t>
      </w:r>
    </w:p>
  </w:footnote>
  <w:footnote w:id="41">
    <w:p w:rsidR="00DC4807" w:rsidRDefault="0005641F">
      <w:pPr>
        <w:pStyle w:val="FootnoteText"/>
        <w:rPr>
          <w:lang w:val="en-US"/>
        </w:rPr>
      </w:pPr>
      <w:r>
        <w:t>(</w:t>
      </w:r>
      <w:r>
        <w:rPr>
          <w:vertAlign w:val="superscript"/>
        </w:rPr>
        <w:footnoteRef/>
      </w:r>
      <w:r>
        <w:t>)</w:t>
      </w:r>
      <w:r>
        <w:tab/>
        <w:t>Net pension savings involve the difference between the annual pay-ou</w:t>
      </w:r>
      <w:r>
        <w:t xml:space="preserve">t of pensions and pension contributions. This difference is visible in the pension fund sector accounts (other financial corporations) but is transferred to the household sector in the national accounts (‘correction for the change in net equity of pension </w:t>
      </w:r>
      <w:r>
        <w:t>funds’). Employers also pay pension contributions, implying that higher pension contributions lead to a decline in NFC net savings.</w:t>
      </w:r>
    </w:p>
  </w:footnote>
  <w:footnote w:id="42">
    <w:p w:rsidR="00DC4807" w:rsidRDefault="0005641F">
      <w:pPr>
        <w:pStyle w:val="FootnoteText"/>
        <w:rPr>
          <w:lang w:val="en-US"/>
        </w:rPr>
      </w:pPr>
      <w:r>
        <w:t>(</w:t>
      </w:r>
      <w:r>
        <w:rPr>
          <w:vertAlign w:val="superscript"/>
        </w:rPr>
        <w:footnoteRef/>
      </w:r>
      <w:r>
        <w:t>)</w:t>
      </w:r>
      <w:r>
        <w:tab/>
        <w:t>NFC gross savings consist of the operating surplus and other primary income such as capital income (dividends and intere</w:t>
      </w:r>
      <w:r>
        <w:t xml:space="preserve">st receipts), minus expenditure on interest, dividends paid, corporate income taxes and other secondary incomes. The operating surplus is gross value added less compensation of employees plus subsidies minus production taxes. </w:t>
      </w:r>
    </w:p>
  </w:footnote>
  <w:footnote w:id="43">
    <w:p w:rsidR="00DC4807" w:rsidRDefault="0005641F">
      <w:pPr>
        <w:pStyle w:val="FootnoteText"/>
        <w:rPr>
          <w:lang w:val="en-US"/>
        </w:rPr>
      </w:pPr>
      <w:r>
        <w:t>(</w:t>
      </w:r>
      <w:r>
        <w:rPr>
          <w:vertAlign w:val="superscript"/>
        </w:rPr>
        <w:footnoteRef/>
      </w:r>
      <w:r>
        <w:t>)</w:t>
      </w:r>
      <w:r>
        <w:tab/>
        <w:t>In 2005, energy company R</w:t>
      </w:r>
      <w:r>
        <w:t>oyal Dutch Shell moved its headquarters to the Netherlands ending its bi-country governance structure. Shell is one of the largest companies in the world with an annual income of EUR 212 billion in 2016, or 30 % of Dutch GDP. Received distributed income in</w:t>
      </w:r>
      <w:r>
        <w:t>creased from just below 21 % of the net operating surplus to 47 % in 2005. Eggelte et al. (2014) estimated, based on average net profits and dividend payout ratios, that Shell alone may have accounted for a NFC savings surplus of 1.5 % of GDP (Eggelte et a</w:t>
      </w:r>
      <w:r>
        <w:t>l., 2014). The volatility</w:t>
      </w:r>
      <w:r>
        <w:rPr>
          <w:lang w:val="en-US"/>
        </w:rPr>
        <w:t xml:space="preserve"> in net profits in 2015 and 2016 make it impossible to extrapolate this number. </w:t>
      </w:r>
    </w:p>
  </w:footnote>
  <w:footnote w:id="44">
    <w:p w:rsidR="00DC4807" w:rsidRDefault="0005641F">
      <w:pPr>
        <w:pStyle w:val="FootnoteText"/>
        <w:rPr>
          <w:lang w:val="en-US"/>
        </w:rPr>
      </w:pPr>
      <w:r>
        <w:t>(</w:t>
      </w:r>
      <w:r>
        <w:rPr>
          <w:vertAlign w:val="superscript"/>
        </w:rPr>
        <w:footnoteRef/>
      </w:r>
      <w:r>
        <w:t>)</w:t>
      </w:r>
      <w:r>
        <w:tab/>
        <w:t>The current account 'norm' benchmark is derived from regressions capturing the main fundamental determinants of the saving-investment balance (e.g</w:t>
      </w:r>
      <w:r>
        <w:t xml:space="preserve">. demographics, resources), as well as policy factors and global financial conditions. See also European Commission 2017k. Corresponding </w:t>
      </w:r>
      <w:r>
        <w:rPr>
          <w:lang w:val="en-US"/>
        </w:rPr>
        <w:t xml:space="preserve">IMF current account 'norm' estimates suggest a level of 5.5% of GDP for 2016. See IMF 2017. </w:t>
      </w:r>
    </w:p>
  </w:footnote>
  <w:footnote w:id="45">
    <w:p w:rsidR="00DC4807" w:rsidRDefault="0005641F">
      <w:pPr>
        <w:pStyle w:val="FootnoteText"/>
      </w:pPr>
      <w:r>
        <w:t>(</w:t>
      </w:r>
      <w:r>
        <w:rPr>
          <w:vertAlign w:val="superscript"/>
        </w:rPr>
        <w:footnoteRef/>
      </w:r>
      <w:r>
        <w:t>)</w:t>
      </w:r>
      <w:r>
        <w:tab/>
        <w:t>This is also illustrat</w:t>
      </w:r>
      <w:r>
        <w:t xml:space="preserve">ed by the high net operating surplus of the trading sector, see Graph </w:t>
      </w:r>
      <w:r>
        <w:fldChar w:fldCharType="begin"/>
      </w:r>
      <w:r>
        <w:instrText xml:space="preserve"> QUOTE "4.4.7"</w:instrText>
      </w:r>
      <w:r>
        <w:fldChar w:fldCharType="begin">
          <w:fldData xml:space="preserve">QwBSAE8AUwBTAFIARQBGAEUAUgBFAE4AQwBFACoARwBSAEEAUABIACoAOAA5AGMAMQBhADIAMQA3
AC0AMQA2ADQAMgAtADQAYgBkADQALQA4ADcAMgBjAC0AMgAwAGUAMwA2AGQANgAzADUAYwAyADkA
</w:fldData>
        </w:fldChar>
      </w:r>
      <w:r>
        <w:instrText xml:space="preserve"> ADDIN </w:instrText>
      </w:r>
      <w:r>
        <w:fldChar w:fldCharType="end"/>
      </w:r>
      <w:r>
        <w:instrText xml:space="preserve"> </w:instrText>
      </w:r>
      <w:r>
        <w:fldChar w:fldCharType="separate"/>
      </w:r>
      <w:r>
        <w:t>4.4.7</w:t>
      </w:r>
      <w:r>
        <w:fldChar w:fldCharType="end"/>
      </w:r>
      <w:r>
        <w:t>.</w:t>
      </w:r>
    </w:p>
  </w:footnote>
  <w:footnote w:id="46">
    <w:p w:rsidR="00DC4807" w:rsidRDefault="0005641F">
      <w:pPr>
        <w:pStyle w:val="FootnoteText"/>
        <w:rPr>
          <w:lang w:val="en-US"/>
        </w:rPr>
      </w:pPr>
      <w:r>
        <w:t>(</w:t>
      </w:r>
      <w:r>
        <w:rPr>
          <w:vertAlign w:val="superscript"/>
        </w:rPr>
        <w:footnoteRef/>
      </w:r>
      <w:r>
        <w:t>)</w:t>
      </w:r>
      <w:r>
        <w:tab/>
        <w:t>The persistent national savings surplus was already que</w:t>
      </w:r>
      <w:r>
        <w:t>stioned by Bovenberg (1991) and SER (1992). See Fransman (2014) for an extensive recent analysis.</w:t>
      </w:r>
    </w:p>
  </w:footnote>
  <w:footnote w:id="47">
    <w:p w:rsidR="00DC4807" w:rsidRDefault="0005641F">
      <w:pPr>
        <w:pStyle w:val="FootnoteText"/>
      </w:pPr>
      <w:r>
        <w:t>(</w:t>
      </w:r>
      <w:r>
        <w:rPr>
          <w:vertAlign w:val="superscript"/>
        </w:rPr>
        <w:footnoteRef/>
      </w:r>
      <w:r>
        <w:t>)</w:t>
      </w:r>
      <w:r>
        <w:tab/>
        <w:t>Slow digitisation and comparatively low entry level salaries for apprentices contribute to a low attractiveness of the sector and an ageing workforce.</w:t>
      </w:r>
    </w:p>
  </w:footnote>
  <w:footnote w:id="48">
    <w:p w:rsidR="00DC4807" w:rsidRDefault="0005641F">
      <w:pPr>
        <w:pStyle w:val="FootnoteText"/>
      </w:pPr>
      <w:r>
        <w:t>(</w:t>
      </w:r>
      <w:r>
        <w:rPr>
          <w:vertAlign w:val="superscript"/>
        </w:rPr>
        <w:footnoteRef/>
      </w:r>
      <w:r>
        <w:t>)</w:t>
      </w:r>
      <w:r>
        <w:tab/>
        <w:t>http://iri.jrc.ec.europa.eu/scoreboard17.html.</w:t>
      </w:r>
    </w:p>
  </w:footnote>
  <w:footnote w:id="49">
    <w:p w:rsidR="00DC4807" w:rsidRDefault="0005641F">
      <w:pPr>
        <w:pStyle w:val="FootnoteText"/>
      </w:pPr>
      <w:r>
        <w:t>(</w:t>
      </w:r>
      <w:r>
        <w:rPr>
          <w:vertAlign w:val="superscript"/>
        </w:rPr>
        <w:footnoteRef/>
      </w:r>
      <w:r>
        <w:t>)</w:t>
      </w:r>
      <w:r>
        <w:tab/>
        <w:t>The figure excludes Airbus, a company with headquarters in the Netherlands but with relatively little industrial activity in the country. Including this company, total investment of these top companies am</w:t>
      </w:r>
      <w:r>
        <w:t>ounts to 1.8 % of GDP.</w:t>
      </w:r>
    </w:p>
    <w:p w:rsidR="00DC4807" w:rsidRDefault="00DC4807">
      <w:pPr>
        <w:pStyle w:val="FootnoteText"/>
      </w:pPr>
    </w:p>
  </w:footnote>
  <w:footnote w:id="50">
    <w:p w:rsidR="00DC4807" w:rsidRDefault="0005641F">
      <w:pPr>
        <w:pStyle w:val="FootnoteText"/>
      </w:pPr>
      <w:r>
        <w:t>(</w:t>
      </w:r>
      <w:r>
        <w:rPr>
          <w:vertAlign w:val="superscript"/>
        </w:rPr>
        <w:footnoteRef/>
      </w:r>
      <w:r>
        <w:t>)</w:t>
      </w:r>
      <w:r>
        <w:tab/>
      </w:r>
      <w:hyperlink r:id="rId3" w:history="1">
        <w:r>
          <w:rPr>
            <w:rStyle w:val="Hyperlink"/>
          </w:rPr>
          <w:t>https://ec.europa.eu/environment/ecoap/scoreboard</w:t>
        </w:r>
      </w:hyperlink>
      <w:r>
        <w:t xml:space="preserve"> </w:t>
      </w:r>
    </w:p>
  </w:footnote>
  <w:footnote w:id="51">
    <w:p w:rsidR="00DC4807" w:rsidRDefault="0005641F">
      <w:pPr>
        <w:pStyle w:val="FootnoteText"/>
      </w:pPr>
      <w:r>
        <w:t>(</w:t>
      </w:r>
      <w:r>
        <w:rPr>
          <w:vertAlign w:val="superscript"/>
        </w:rPr>
        <w:footnoteRef/>
      </w:r>
      <w:r>
        <w:t>)</w:t>
      </w:r>
      <w:r>
        <w:tab/>
      </w:r>
      <w:r>
        <w:t xml:space="preserve">The following categories are used to assess progress in implementing the country-specific recommendations (CSRs): </w:t>
      </w:r>
    </w:p>
    <w:p w:rsidR="00DC4807" w:rsidRDefault="0005641F">
      <w:pPr>
        <w:pStyle w:val="FootnoteText"/>
      </w:pPr>
      <w:r>
        <w:rPr>
          <w:u w:val="single"/>
        </w:rPr>
        <w:t>No progress</w:t>
      </w:r>
      <w:r>
        <w:t>: The Member State has not credibly announced nor adopted any measures to address the CSR. This category covers a number of typica</w:t>
      </w:r>
      <w:r>
        <w:t xml:space="preserve">l situations to be interpreted on a case by case basis taking into account country-specific conditions. They include the following: </w:t>
      </w:r>
    </w:p>
    <w:p w:rsidR="00DC4807" w:rsidRDefault="0005641F">
      <w:pPr>
        <w:pStyle w:val="FootnoteText"/>
      </w:pPr>
      <w:r>
        <w:t>no legal, administrative, or budgetary measures have been announced</w:t>
      </w:r>
    </w:p>
    <w:p w:rsidR="00DC4807" w:rsidRDefault="0005641F">
      <w:pPr>
        <w:pStyle w:val="FootnoteText"/>
      </w:pPr>
      <w:r>
        <w:t>in the national reform programme,</w:t>
      </w:r>
    </w:p>
    <w:p w:rsidR="00DC4807" w:rsidRDefault="0005641F">
      <w:pPr>
        <w:pStyle w:val="FootnoteText"/>
      </w:pPr>
      <w:r>
        <w:t>in any other official</w:t>
      </w:r>
      <w:r>
        <w:t xml:space="preserve"> communication to the national Parliament/relevant parliamentary committees or the European Commission,</w:t>
      </w:r>
    </w:p>
    <w:p w:rsidR="00DC4807" w:rsidRDefault="0005641F">
      <w:pPr>
        <w:pStyle w:val="FootnoteText"/>
      </w:pPr>
      <w:r>
        <w:t>publicly (e.g. in a press statement or on the government's website);</w:t>
      </w:r>
    </w:p>
    <w:p w:rsidR="00DC4807" w:rsidRDefault="0005641F">
      <w:pPr>
        <w:pStyle w:val="FootnoteText"/>
      </w:pPr>
      <w:r>
        <w:t>no non-legislative acts have been presented by the governing or legislative body;</w:t>
      </w:r>
    </w:p>
    <w:p w:rsidR="00DC4807" w:rsidRDefault="0005641F">
      <w:pPr>
        <w:pStyle w:val="FootnoteText"/>
      </w:pPr>
      <w:r>
        <w:t>the Member State has taken initial steps in addressing the CSR, such as commissioning a study or setting up a study group to analyse possible measures to be taken (unless the CSR explicitly asks for orientations or exploratory actions). However, it has not</w:t>
      </w:r>
      <w:r>
        <w:t xml:space="preserve"> proposed any clearly-specified measure(s) to address the CSR.</w:t>
      </w:r>
    </w:p>
    <w:p w:rsidR="00DC4807" w:rsidRDefault="0005641F">
      <w:pPr>
        <w:pStyle w:val="FootnoteText"/>
      </w:pPr>
      <w:r>
        <w:rPr>
          <w:u w:val="single"/>
        </w:rPr>
        <w:t>Limited progress</w:t>
      </w:r>
      <w:r>
        <w:t xml:space="preserve">: The Member State has: </w:t>
      </w:r>
    </w:p>
    <w:p w:rsidR="00DC4807" w:rsidRDefault="0005641F">
      <w:pPr>
        <w:pStyle w:val="FootnoteText"/>
      </w:pPr>
      <w:r>
        <w:t>announced certain measures but these address the CSR only to a limited extent; and/or</w:t>
      </w:r>
    </w:p>
    <w:p w:rsidR="00DC4807" w:rsidRDefault="0005641F">
      <w:pPr>
        <w:pStyle w:val="FootnoteText"/>
      </w:pPr>
      <w:r>
        <w:t>presented legislative acts in the governing or legislative body bu</w:t>
      </w:r>
      <w:r>
        <w:t>t these have not been adopted yet and substantial further, non-legislative work is needed before the CSR is implemented;</w:t>
      </w:r>
    </w:p>
    <w:p w:rsidR="00DC4807" w:rsidRDefault="0005641F">
      <w:pPr>
        <w:pStyle w:val="FootnoteText"/>
      </w:pPr>
      <w:r>
        <w:t>presented non-legislative acts, but has not followed these up with the implementation needed to address the CSR.</w:t>
      </w:r>
    </w:p>
    <w:p w:rsidR="00DC4807" w:rsidRDefault="0005641F">
      <w:pPr>
        <w:pStyle w:val="FootnoteText"/>
      </w:pPr>
      <w:r>
        <w:rPr>
          <w:u w:val="single"/>
        </w:rPr>
        <w:t>Some progress</w:t>
      </w:r>
      <w:r>
        <w:t>: The Mem</w:t>
      </w:r>
      <w:r>
        <w:t xml:space="preserve">ber State has adopted measures </w:t>
      </w:r>
    </w:p>
    <w:p w:rsidR="00DC4807" w:rsidRDefault="0005641F">
      <w:pPr>
        <w:pStyle w:val="FootnoteText"/>
      </w:pPr>
      <w:r>
        <w:t xml:space="preserve">that partly address the CSR; and/or </w:t>
      </w:r>
    </w:p>
    <w:p w:rsidR="00DC4807" w:rsidRDefault="0005641F">
      <w:pPr>
        <w:pStyle w:val="FootnoteText"/>
      </w:pPr>
      <w:r>
        <w:t>that address the CSR, but a fair amount of work is still needed to fully address the CSR fully as only a few of the measures have been implemented. For instance, a measure or measures hav</w:t>
      </w:r>
      <w:r>
        <w:t xml:space="preserve">e been adopted by the national Parliament or by ministerial decision but no implementing decisions are in place. </w:t>
      </w:r>
    </w:p>
    <w:p w:rsidR="00DC4807" w:rsidRDefault="0005641F">
      <w:pPr>
        <w:pStyle w:val="FootnoteText"/>
      </w:pPr>
      <w:r>
        <w:rPr>
          <w:u w:val="single"/>
        </w:rPr>
        <w:t>Substantial progress</w:t>
      </w:r>
      <w:r>
        <w:t>: The Member State has adopted measures that go a long way towards addressing the CSR and most of them have been implement</w:t>
      </w:r>
      <w:r>
        <w:t xml:space="preserve">ed. </w:t>
      </w:r>
    </w:p>
    <w:p w:rsidR="00DC4807" w:rsidRDefault="0005641F">
      <w:pPr>
        <w:pStyle w:val="FootnoteText"/>
      </w:pPr>
      <w:r>
        <w:rPr>
          <w:u w:val="single"/>
        </w:rPr>
        <w:t>Full implementation</w:t>
      </w:r>
      <w:r>
        <w:t>: The Member State has implemented all measures needed to address the CSR appropriately.</w:t>
      </w:r>
    </w:p>
    <w:p w:rsidR="00DC4807" w:rsidRDefault="00DC4807">
      <w:pPr>
        <w:pStyle w:val="FootnoteText"/>
      </w:pPr>
    </w:p>
  </w:footnote>
  <w:footnote w:id="52">
    <w:p w:rsidR="00DC4807" w:rsidRDefault="0005641F">
      <w:pPr>
        <w:pStyle w:val="FootnoteText"/>
      </w:pPr>
      <w:r>
        <w:t>(</w:t>
      </w:r>
      <w:r>
        <w:rPr>
          <w:vertAlign w:val="superscript"/>
        </w:rPr>
        <w:footnoteRef/>
      </w:r>
      <w:r>
        <w:t>)</w:t>
      </w:r>
      <w:r>
        <w:tab/>
        <w:t>This overall assessment of CSR1 does not include an assessment of compliance with the Stability and Growth Pact.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41F" w:rsidRPr="0005641F" w:rsidRDefault="0005641F" w:rsidP="0005641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 xml:space="preserve">2. </w:t>
    </w:r>
    <w:r>
      <w:t>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2. Progress with country-specific recommendations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41F" w:rsidRPr="0005641F" w:rsidRDefault="0005641F" w:rsidP="0005641F">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2. Progress with country-specific recommendations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3. Summary of the main findings from the MIP in-depth review</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3. Summary of the main findings from the MIP in-depth review</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 xml:space="preserve">3. Summary of the main findings from </w:t>
    </w:r>
    <w:r>
      <w:t>the MIP in-depth review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41F" w:rsidRPr="0005641F" w:rsidRDefault="0005641F" w:rsidP="0005641F">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4.2. Financial sector</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4.3. Labour market, education and social policies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 xml:space="preserve">4.3. Labour market, education and </w:t>
    </w:r>
    <w:r>
      <w:t>social policies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4.3. Labour market, education and social policies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4.3. Labour market, education and social policies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4.4. Investment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4.4. Investment</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4.4. Investment</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4.5. Sectoral policies</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4.5. Sectoral policies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4.5. Sectoral policies</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A. Overview table</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B. MIP Scoreboard</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C. Standard tables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References</w:t>
    </w:r>
  </w:p>
  <w:p w:rsidR="00DC4807" w:rsidRDefault="00DC4807">
    <w:pPr>
      <w:pStyle w:val="HeaderSubtitleRight30"/>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05641F">
    <w:pPr>
      <w:pStyle w:val="HeaderTitleRight"/>
    </w:pPr>
    <w:r>
      <w:t>Executive summary</w:t>
    </w:r>
  </w:p>
  <w:p w:rsidR="00DC4807" w:rsidRDefault="00DC4807">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807" w:rsidRDefault="00DC48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FFFFFF89"/>
    <w:multiLevelType w:val="singleLevel"/>
    <w:tmpl w:val="3648CEB0"/>
    <w:lvl w:ilvl="0">
      <w:start w:val="1"/>
      <w:numFmt w:val="bullet"/>
      <w:lvlText w:val=""/>
      <w:lvlJc w:val="left"/>
      <w:pPr>
        <w:tabs>
          <w:tab w:val="num" w:pos="360"/>
        </w:tabs>
        <w:ind w:left="360" w:hanging="360"/>
      </w:pPr>
      <w:rPr>
        <w:rFonts w:ascii="Symbol" w:hAnsi="Symbol" w:hint="default"/>
      </w:rPr>
    </w:lvl>
  </w:abstractNum>
  <w:abstractNum w:abstractNumId="2">
    <w:nsid w:val="04A2589B"/>
    <w:multiLevelType w:val="multilevel"/>
    <w:tmpl w:val="0B1A53B4"/>
    <w:lvl w:ilvl="0">
      <w:start w:val="1"/>
      <w:numFmt w:val="decimal"/>
      <w:lvlText w:val="4.5.%1."/>
      <w:lvlJc w:val="left"/>
      <w:pPr>
        <w:tabs>
          <w:tab w:val="num" w:pos="567"/>
        </w:tabs>
        <w:ind w:left="567" w:hanging="567"/>
      </w:pPr>
    </w:lvl>
    <w:lvl w:ilvl="1">
      <w:start w:val="1"/>
      <w:numFmt w:val="decimal"/>
      <w:lvlText w:val="4.5.%1.%2."/>
      <w:lvlJc w:val="left"/>
      <w:pPr>
        <w:tabs>
          <w:tab w:val="num" w:pos="567"/>
        </w:tabs>
        <w:ind w:left="567" w:hanging="567"/>
      </w:pPr>
    </w:lvl>
    <w:lvl w:ilvl="2">
      <w:start w:val="1"/>
      <w:numFmt w:val="decimal"/>
      <w:lvlText w:val="4.5.%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5">
    <w:nsid w:val="4E3175A3"/>
    <w:multiLevelType w:val="hybridMultilevel"/>
    <w:tmpl w:val="B3F2C346"/>
    <w:lvl w:ilvl="0" w:tplc="3B06C748">
      <w:start w:val="1"/>
      <w:numFmt w:val="bullet"/>
      <w:lvlText w:val=""/>
      <w:lvlJc w:val="left"/>
      <w:pPr>
        <w:ind w:left="720" w:hanging="360"/>
      </w:pPr>
      <w:rPr>
        <w:rFonts w:ascii="Symbol" w:hAnsi="Symbol" w:hint="default"/>
        <w:color w:val="000000" w:themeColor="text1"/>
        <w:position w:val="-6"/>
        <w:sz w:val="20"/>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7">
    <w:nsid w:val="60F26547"/>
    <w:multiLevelType w:val="singleLevel"/>
    <w:tmpl w:val="00000000"/>
    <w:name w:val="Box Numbered List"/>
    <w:lvl w:ilvl="0">
      <w:start w:val="1"/>
      <w:numFmt w:val="decimal"/>
      <w:lvlRestart w:val="0"/>
      <w:pStyle w:val="BoxNumberedList"/>
      <w:lvlText w:val="%1."/>
      <w:lvlJc w:val="left"/>
      <w:pPr>
        <w:tabs>
          <w:tab w:val="num" w:pos="340"/>
        </w:tabs>
        <w:ind w:left="340" w:hanging="340"/>
      </w:pPr>
    </w:lvl>
  </w:abstractNum>
  <w:abstractNum w:abstractNumId="8">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4"/>
  </w:num>
  <w:num w:numId="2">
    <w:abstractNumId w:val="0"/>
    <w:lvlOverride w:ilvl="0">
      <w:startOverride w:val="1"/>
    </w:lvlOverride>
  </w:num>
  <w:num w:numId="3">
    <w:abstractNumId w:val="9"/>
    <w:lvlOverride w:ilvl="0">
      <w:startOverride w:val="1"/>
    </w:lvlOverride>
  </w:num>
  <w:num w:numId="4">
    <w:abstractNumId w:val="6"/>
  </w:num>
  <w:num w:numId="5">
    <w:abstractNumId w:val="9"/>
  </w:num>
  <w:num w:numId="6">
    <w:abstractNumId w:val="2"/>
  </w:num>
  <w:num w:numId="7">
    <w:abstractNumId w:val="4"/>
  </w:num>
  <w:num w:numId="8">
    <w:abstractNumId w:val="7"/>
  </w:num>
  <w:num w:numId="9">
    <w:abstractNumId w:val="1"/>
  </w:num>
  <w:num w:numId="1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hyphenationZone w:val="425"/>
  <w:characterSpacingControl w:val="doNotCompress"/>
  <w:hdrShapeDefaults>
    <o:shapedefaults v:ext="edit" spidmax="162817"/>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ACCOMPAGNANT.CP" w:val="Accompanying the document"/>
    <w:docVar w:name="LW_CORRIGENDUM" w:val="&lt;UNUSED&gt;"/>
    <w:docVar w:name="LW_COVERPAGE_EXISTS" w:val="True"/>
    <w:docVar w:name="LW_COVERPAGE_GUID" w:val="04029637-B36E-417E-847D-8D1C3469007B"/>
    <w:docVar w:name="LW_COVERPAGE_TYPE" w:val="1"/>
    <w:docVar w:name="LW_CROSSREFERENCE" w:val="{COM(2018) 120 final}_x000d_"/>
    <w:docVar w:name="LW_DocType" w:val="NORMAL"/>
    <w:docVar w:name="LW_EMISSION" w:val="7.3.2018"/>
    <w:docVar w:name="LW_EMISSION_ISODATE" w:val="2018-03-07"/>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2018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final"/>
    <w:docVar w:name="LW_REF.INST.NEW_TEXT" w:val="(2018) 21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untry Report The Netherlands 2018_x000b_Including an In-Depth Review on the prevention and correction of macroeconomic imbalances_x000b_"/>
    <w:docVar w:name="LW_TYPE.DOC.CP" w:val="COMMISSION STAFF WORKING DOCUMENT"/>
    <w:docVar w:name="LW_TYPEACTEPRINCIPAL.CP" w:val="COMMUNICATION FROM THE COMMISSION TO THE EUROPEAN PARLIAMENT, THE COUNCIL, THE EUROPEAN CENTRAL BANK AND THE EUROGROUP"/>
  </w:docVars>
  <w:rsids>
    <w:rsidRoot w:val="00DC4807"/>
    <w:rsid w:val="0005641F"/>
    <w:rsid w:val="00DC4807"/>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2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6" w:uiPriority="39"/>
    <w:lsdException w:name="toc 7" w:uiPriority="39"/>
    <w:lsdException w:name="footnote text" w:uiPriority="99"/>
    <w:lsdException w:name="header" w:uiPriority="99"/>
    <w:lsdException w:name="footer" w:uiPriority="99"/>
    <w:lsdException w:name="caption" w:semiHidden="1" w:uiPriority="35" w:unhideWhenUsed="1" w:qFormat="1"/>
    <w:lsdException w:name="footnote reference" w:uiPriority="99" w:qFormat="1"/>
    <w:lsdException w:name="List Bullet"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style>
  <w:style w:type="paragraph" w:styleId="TOC7">
    <w:name w:val="toc 7"/>
    <w:basedOn w:val="TOC5"/>
    <w:uiPriority w:val="39"/>
    <w:pPr>
      <w:keepNext/>
    </w:p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n,Plonk,o,f,C"/>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4"/>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EndnoteReference">
    <w:name w:val="endnote reference"/>
    <w:semiHidden/>
    <w:rPr>
      <w:vertAlign w:val="superscript"/>
    </w:r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color w:val="000000"/>
      <w:szCs w:val="24"/>
      <w:lang w:val="en-GB" w:eastAsia="en-US"/>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val="en-GB" w:eastAsia="en-US"/>
    </w:rPr>
  </w:style>
  <w:style w:type="character" w:customStyle="1" w:styleId="FootnoteTextChar">
    <w:name w:val="Footnote Text Char"/>
    <w:aliases w:val="Schriftart: 9 pt Char,Schriftart: 10 pt Char,Schriftart: 8 pt Char,WB-Fußnotentext Char1,WB-Fußnotentext Char Char Char,WB-Fußnotentext Char Char1,stile 1 Char,Footnote1 Char,Footnote2 Char,Footnote3 Char,Footnote4 Char,Footnote5 Char"/>
    <w:link w:val="FootnoteText"/>
    <w:uiPriority w:val="99"/>
    <w:rPr>
      <w:color w:val="000000"/>
      <w:sz w:val="16"/>
      <w:lang w:val="en-GB" w:eastAsia="en-US"/>
    </w:rPr>
  </w:style>
  <w:style w:type="character" w:customStyle="1" w:styleId="FooterChar">
    <w:name w:val="Footer Char"/>
    <w:link w:val="Footer"/>
    <w:uiPriority w:val="99"/>
    <w:rPr>
      <w:color w:val="000000"/>
      <w:szCs w:val="24"/>
      <w:lang w:val="en-GB"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val="en-GB" w:eastAsia="en-U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pPr>
      <w:spacing w:after="220" w:line="220" w:lineRule="atLeast"/>
      <w:ind w:right="85"/>
    </w:pPr>
    <w:rPr>
      <w:sz w:val="18"/>
    </w:rPr>
  </w:style>
  <w:style w:type="paragraph" w:customStyle="1" w:styleId="BoxTitle">
    <w:name w:val="Box Title"/>
    <w:basedOn w:val="Normal"/>
    <w:link w:val="BoxTitleChar"/>
    <w:pPr>
      <w:spacing w:after="220"/>
      <w:ind w:right="85"/>
      <w:jc w:val="center"/>
      <w:outlineLvl w:val="6"/>
    </w:pPr>
    <w:rPr>
      <w:rFonts w:ascii="Century Gothic" w:hAnsi="Century Gothic"/>
      <w:color w:val="333399"/>
      <w:sz w:val="18"/>
    </w:rPr>
  </w:style>
  <w:style w:type="paragraph" w:customStyle="1" w:styleId="BoxHeading">
    <w:name w:val="Box Heading"/>
    <w:basedOn w:val="BoxText"/>
    <w:next w:val="BoxText"/>
    <w:pPr>
      <w:keepNext/>
      <w:spacing w:before="80" w:after="140"/>
    </w:pPr>
    <w:rPr>
      <w:rFonts w:ascii="Century Gothic" w:hAnsi="Century Gothic"/>
      <w:b/>
      <w:color w:val="333399"/>
      <w:sz w:val="16"/>
    </w:rPr>
  </w:style>
  <w:style w:type="paragraph" w:styleId="Caption">
    <w:name w:val="caption"/>
    <w:basedOn w:val="Normal"/>
    <w:next w:val="Normal"/>
    <w:uiPriority w:val="35"/>
    <w:unhideWhenUsed/>
    <w:qFormat/>
    <w:pPr>
      <w:spacing w:after="200" w:line="240" w:lineRule="auto"/>
      <w:ind w:right="3"/>
    </w:pPr>
    <w:rPr>
      <w:rFonts w:eastAsia="Calibri"/>
      <w:b/>
      <w:bCs/>
      <w:color w:val="4F81BD" w:themeColor="accent1"/>
      <w:sz w:val="18"/>
      <w:szCs w:val="18"/>
    </w:rPr>
  </w:style>
  <w:style w:type="paragraph" w:customStyle="1" w:styleId="BoxNumberedList">
    <w:name w:val="Box Numbered List"/>
    <w:basedOn w:val="BoxText"/>
    <w:pPr>
      <w:numPr>
        <w:numId w:val="8"/>
      </w:numPr>
      <w:ind w:right="0"/>
    </w:pPr>
  </w:style>
  <w:style w:type="paragraph" w:customStyle="1" w:styleId="GraphTitleBox">
    <w:name w:val="Graph Title Box"/>
    <w:basedOn w:val="GraphTitle"/>
    <w:link w:val="GraphTitleBoxChar"/>
    <w:pPr>
      <w:spacing w:after="0"/>
      <w:ind w:left="737" w:right="79" w:hanging="737"/>
      <w:outlineLvl w:val="9"/>
    </w:pPr>
    <w:rPr>
      <w:i/>
    </w:rPr>
  </w:style>
  <w:style w:type="character" w:customStyle="1" w:styleId="BoxTitleChar">
    <w:name w:val="Box Title Char"/>
    <w:basedOn w:val="DefaultParagraphFont"/>
    <w:link w:val="BoxTitle"/>
    <w:rPr>
      <w:rFonts w:ascii="Century Gothic" w:hAnsi="Century Gothic"/>
      <w:color w:val="333399"/>
      <w:sz w:val="18"/>
      <w:szCs w:val="24"/>
      <w:lang w:val="en-GB" w:eastAsia="en-US"/>
    </w:rPr>
  </w:style>
  <w:style w:type="character" w:customStyle="1" w:styleId="GraphTitleBoxChar">
    <w:name w:val="Graph Title Box Char"/>
    <w:basedOn w:val="BoxTitleChar"/>
    <w:link w:val="GraphTitleBox"/>
    <w:rPr>
      <w:rFonts w:ascii="Century Gothic" w:hAnsi="Century Gothic"/>
      <w:i/>
      <w:color w:val="333399"/>
      <w:sz w:val="14"/>
      <w:szCs w:val="24"/>
      <w:lang w:val="en-GB" w:eastAsia="en-US"/>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6">
    <w:name w:val="Section Title Framed_6"/>
    <w:basedOn w:val="SectionTitle"/>
    <w:pPr>
      <w:framePr w:w="8505" w:h="1984" w:wrap="notBeside" w:vAnchor="page" w:hAnchor="text" w:y="710"/>
      <w:outlineLvl w:val="1"/>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10">
    <w:name w:val="Section Title Framed_10"/>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1">
    <w:name w:val="Section Title Framed_11"/>
    <w:basedOn w:val="SectionTitle"/>
    <w:pPr>
      <w:framePr w:w="8505" w:h="1984" w:wrap="notBeside" w:vAnchor="page" w:hAnchor="text" w:y="710"/>
      <w:outlineLvl w:val="1"/>
    </w:pPr>
  </w:style>
  <w:style w:type="paragraph" w:styleId="TOC8">
    <w:name w:val="toc 8"/>
    <w:basedOn w:val="TOC5"/>
    <w:next w:val="Normal"/>
    <w:autoRedefine/>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val="en-GB"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val="en-GB"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hAnsi="Century Gothic"/>
      <w:b/>
      <w:color w:val="000000"/>
      <w:sz w:val="32"/>
      <w:szCs w:val="24"/>
      <w:lang w:val="en-GB"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val="en-GB"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hAnsi="Century Gothic"/>
      <w:b/>
      <w:color w:val="000000"/>
      <w:sz w:val="32"/>
      <w:szCs w:val="24"/>
      <w:lang w:val="en-GB" w:eastAsia="en-US"/>
    </w:rPr>
  </w:style>
  <w:style w:type="character" w:styleId="FootnoteReference">
    <w:name w:val="footnote reference"/>
    <w:aliases w:val="Footnote Reference Number,Footnote Reference_LVL6,Footnote Reference_LVL61,Footnote Reference_LVL62,Footnote Reference_LVL63,Footnote Reference_LVL64,Footnote Reference_LVL65,C26 Footnote Number,Footnote symbol,Footnote,Char1,Ref,Cha"/>
    <w:basedOn w:val="DefaultParagraphFont"/>
    <w:uiPriority w:val="99"/>
    <w:qFormat/>
    <w:rPr>
      <w:vertAlign w:val="superscript"/>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pPr>
      <w:spacing w:line="240" w:lineRule="auto"/>
    </w:pPr>
    <w:rPr>
      <w:szCs w:val="20"/>
    </w:rPr>
  </w:style>
  <w:style w:type="character" w:customStyle="1" w:styleId="CommentTextChar">
    <w:name w:val="Comment Text Char"/>
    <w:basedOn w:val="DefaultParagraphFont"/>
    <w:link w:val="CommentText"/>
    <w:rPr>
      <w:color w:val="000000"/>
      <w:lang w:val="en-GB"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color w:val="000000"/>
      <w:lang w:val="en-GB" w:eastAsia="en-US"/>
    </w:rPr>
  </w:style>
  <w:style w:type="paragraph" w:styleId="ListParagraph">
    <w:name w:val="List Paragraph"/>
    <w:aliases w:val="Normal bullet 2,Bullet list,List Paragraph1,1st level - Bullet List Paragraph,Lettre d'introduction,Paragrafo elenco,List Paragraph11,Normal bullet 21,List Paragraph111,Bullet list1"/>
    <w:basedOn w:val="Normal"/>
    <w:link w:val="ListParagraphChar"/>
    <w:uiPriority w:val="1"/>
    <w:qFormat/>
    <w:pPr>
      <w:ind w:left="720"/>
      <w:contextualSpacing/>
    </w:pPr>
    <w:rPr>
      <w:bCs/>
      <w:szCs w:val="20"/>
      <w:lang w:eastAsia="en-GB"/>
    </w:rPr>
  </w:style>
  <w:style w:type="character" w:customStyle="1" w:styleId="ListParagraphChar">
    <w:name w:val="List Paragraph Char"/>
    <w:aliases w:val="Normal bullet 2 Char,Bullet list Char,List Paragraph1 Char,1st level - Bullet List Paragraph Char,Lettre d'introduction Char,Paragrafo elenco Char,List Paragraph11 Char,Normal bullet 21 Char,List Paragraph111 Char,Bullet list1 Char"/>
    <w:basedOn w:val="DefaultParagraphFont"/>
    <w:link w:val="ListParagraph"/>
    <w:uiPriority w:val="1"/>
    <w:rPr>
      <w:bCs/>
      <w:color w:val="000000"/>
      <w:lang w:val="en-GB" w:eastAsia="en-GB"/>
    </w:rPr>
  </w:style>
  <w:style w:type="paragraph" w:styleId="Revision">
    <w:name w:val="Revision"/>
    <w:hidden/>
    <w:uiPriority w:val="99"/>
    <w:semiHidden/>
    <w:rPr>
      <w:color w:val="000000"/>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6" w:uiPriority="39"/>
    <w:lsdException w:name="toc 7" w:uiPriority="39"/>
    <w:lsdException w:name="footnote text" w:uiPriority="99"/>
    <w:lsdException w:name="header" w:uiPriority="99"/>
    <w:lsdException w:name="footer" w:uiPriority="99"/>
    <w:lsdException w:name="caption" w:semiHidden="1" w:uiPriority="35" w:unhideWhenUsed="1" w:qFormat="1"/>
    <w:lsdException w:name="footnote reference" w:uiPriority="99" w:qFormat="1"/>
    <w:lsdException w:name="List Bullet"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style>
  <w:style w:type="paragraph" w:styleId="TOC7">
    <w:name w:val="toc 7"/>
    <w:basedOn w:val="TOC5"/>
    <w:uiPriority w:val="39"/>
    <w:pPr>
      <w:keepNext/>
    </w:p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n,Plonk,o,f,C"/>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4"/>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EndnoteReference">
    <w:name w:val="endnote reference"/>
    <w:semiHidden/>
    <w:rPr>
      <w:vertAlign w:val="superscript"/>
    </w:r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color w:val="000000"/>
      <w:szCs w:val="24"/>
      <w:lang w:val="en-GB" w:eastAsia="en-US"/>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val="en-GB" w:eastAsia="en-US"/>
    </w:rPr>
  </w:style>
  <w:style w:type="character" w:customStyle="1" w:styleId="FootnoteTextChar">
    <w:name w:val="Footnote Text Char"/>
    <w:aliases w:val="Schriftart: 9 pt Char,Schriftart: 10 pt Char,Schriftart: 8 pt Char,WB-Fußnotentext Char1,WB-Fußnotentext Char Char Char,WB-Fußnotentext Char Char1,stile 1 Char,Footnote1 Char,Footnote2 Char,Footnote3 Char,Footnote4 Char,Footnote5 Char"/>
    <w:link w:val="FootnoteText"/>
    <w:uiPriority w:val="99"/>
    <w:rPr>
      <w:color w:val="000000"/>
      <w:sz w:val="16"/>
      <w:lang w:val="en-GB" w:eastAsia="en-US"/>
    </w:rPr>
  </w:style>
  <w:style w:type="character" w:customStyle="1" w:styleId="FooterChar">
    <w:name w:val="Footer Char"/>
    <w:link w:val="Footer"/>
    <w:uiPriority w:val="99"/>
    <w:rPr>
      <w:color w:val="000000"/>
      <w:szCs w:val="24"/>
      <w:lang w:val="en-GB"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val="en-GB" w:eastAsia="en-U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pPr>
      <w:spacing w:after="220" w:line="220" w:lineRule="atLeast"/>
      <w:ind w:right="85"/>
    </w:pPr>
    <w:rPr>
      <w:sz w:val="18"/>
    </w:rPr>
  </w:style>
  <w:style w:type="paragraph" w:customStyle="1" w:styleId="BoxTitle">
    <w:name w:val="Box Title"/>
    <w:basedOn w:val="Normal"/>
    <w:link w:val="BoxTitleChar"/>
    <w:pPr>
      <w:spacing w:after="220"/>
      <w:ind w:right="85"/>
      <w:jc w:val="center"/>
      <w:outlineLvl w:val="6"/>
    </w:pPr>
    <w:rPr>
      <w:rFonts w:ascii="Century Gothic" w:hAnsi="Century Gothic"/>
      <w:color w:val="333399"/>
      <w:sz w:val="18"/>
    </w:rPr>
  </w:style>
  <w:style w:type="paragraph" w:customStyle="1" w:styleId="BoxHeading">
    <w:name w:val="Box Heading"/>
    <w:basedOn w:val="BoxText"/>
    <w:next w:val="BoxText"/>
    <w:pPr>
      <w:keepNext/>
      <w:spacing w:before="80" w:after="140"/>
    </w:pPr>
    <w:rPr>
      <w:rFonts w:ascii="Century Gothic" w:hAnsi="Century Gothic"/>
      <w:b/>
      <w:color w:val="333399"/>
      <w:sz w:val="16"/>
    </w:rPr>
  </w:style>
  <w:style w:type="paragraph" w:styleId="Caption">
    <w:name w:val="caption"/>
    <w:basedOn w:val="Normal"/>
    <w:next w:val="Normal"/>
    <w:uiPriority w:val="35"/>
    <w:unhideWhenUsed/>
    <w:qFormat/>
    <w:pPr>
      <w:spacing w:after="200" w:line="240" w:lineRule="auto"/>
      <w:ind w:right="3"/>
    </w:pPr>
    <w:rPr>
      <w:rFonts w:eastAsia="Calibri"/>
      <w:b/>
      <w:bCs/>
      <w:color w:val="4F81BD" w:themeColor="accent1"/>
      <w:sz w:val="18"/>
      <w:szCs w:val="18"/>
    </w:rPr>
  </w:style>
  <w:style w:type="paragraph" w:customStyle="1" w:styleId="BoxNumberedList">
    <w:name w:val="Box Numbered List"/>
    <w:basedOn w:val="BoxText"/>
    <w:pPr>
      <w:numPr>
        <w:numId w:val="8"/>
      </w:numPr>
      <w:ind w:right="0"/>
    </w:pPr>
  </w:style>
  <w:style w:type="paragraph" w:customStyle="1" w:styleId="GraphTitleBox">
    <w:name w:val="Graph Title Box"/>
    <w:basedOn w:val="GraphTitle"/>
    <w:link w:val="GraphTitleBoxChar"/>
    <w:pPr>
      <w:spacing w:after="0"/>
      <w:ind w:left="737" w:right="79" w:hanging="737"/>
      <w:outlineLvl w:val="9"/>
    </w:pPr>
    <w:rPr>
      <w:i/>
    </w:rPr>
  </w:style>
  <w:style w:type="character" w:customStyle="1" w:styleId="BoxTitleChar">
    <w:name w:val="Box Title Char"/>
    <w:basedOn w:val="DefaultParagraphFont"/>
    <w:link w:val="BoxTitle"/>
    <w:rPr>
      <w:rFonts w:ascii="Century Gothic" w:hAnsi="Century Gothic"/>
      <w:color w:val="333399"/>
      <w:sz w:val="18"/>
      <w:szCs w:val="24"/>
      <w:lang w:val="en-GB" w:eastAsia="en-US"/>
    </w:rPr>
  </w:style>
  <w:style w:type="character" w:customStyle="1" w:styleId="GraphTitleBoxChar">
    <w:name w:val="Graph Title Box Char"/>
    <w:basedOn w:val="BoxTitleChar"/>
    <w:link w:val="GraphTitleBox"/>
    <w:rPr>
      <w:rFonts w:ascii="Century Gothic" w:hAnsi="Century Gothic"/>
      <w:i/>
      <w:color w:val="333399"/>
      <w:sz w:val="14"/>
      <w:szCs w:val="24"/>
      <w:lang w:val="en-GB" w:eastAsia="en-US"/>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6">
    <w:name w:val="Section Title Framed_6"/>
    <w:basedOn w:val="SectionTitle"/>
    <w:pPr>
      <w:framePr w:w="8505" w:h="1984" w:wrap="notBeside" w:vAnchor="page" w:hAnchor="text" w:y="710"/>
      <w:outlineLvl w:val="1"/>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10">
    <w:name w:val="Section Title Framed_10"/>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1">
    <w:name w:val="Section Title Framed_11"/>
    <w:basedOn w:val="SectionTitle"/>
    <w:pPr>
      <w:framePr w:w="8505" w:h="1984" w:wrap="notBeside" w:vAnchor="page" w:hAnchor="text" w:y="710"/>
      <w:outlineLvl w:val="1"/>
    </w:pPr>
  </w:style>
  <w:style w:type="paragraph" w:styleId="TOC8">
    <w:name w:val="toc 8"/>
    <w:basedOn w:val="TOC5"/>
    <w:next w:val="Normal"/>
    <w:autoRedefine/>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val="en-GB"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val="en-GB"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hAnsi="Century Gothic"/>
      <w:b/>
      <w:color w:val="000000"/>
      <w:sz w:val="32"/>
      <w:szCs w:val="24"/>
      <w:lang w:val="en-GB"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val="en-GB"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hAnsi="Century Gothic"/>
      <w:b/>
      <w:color w:val="000000"/>
      <w:sz w:val="32"/>
      <w:szCs w:val="24"/>
      <w:lang w:val="en-GB" w:eastAsia="en-US"/>
    </w:rPr>
  </w:style>
  <w:style w:type="character" w:styleId="FootnoteReference">
    <w:name w:val="footnote reference"/>
    <w:aliases w:val="Footnote Reference Number,Footnote Reference_LVL6,Footnote Reference_LVL61,Footnote Reference_LVL62,Footnote Reference_LVL63,Footnote Reference_LVL64,Footnote Reference_LVL65,C26 Footnote Number,Footnote symbol,Footnote,Char1,Ref,Cha"/>
    <w:basedOn w:val="DefaultParagraphFont"/>
    <w:uiPriority w:val="99"/>
    <w:qFormat/>
    <w:rPr>
      <w:vertAlign w:val="superscript"/>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pPr>
      <w:spacing w:line="240" w:lineRule="auto"/>
    </w:pPr>
    <w:rPr>
      <w:szCs w:val="20"/>
    </w:rPr>
  </w:style>
  <w:style w:type="character" w:customStyle="1" w:styleId="CommentTextChar">
    <w:name w:val="Comment Text Char"/>
    <w:basedOn w:val="DefaultParagraphFont"/>
    <w:link w:val="CommentText"/>
    <w:rPr>
      <w:color w:val="000000"/>
      <w:lang w:val="en-GB"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color w:val="000000"/>
      <w:lang w:val="en-GB" w:eastAsia="en-US"/>
    </w:rPr>
  </w:style>
  <w:style w:type="paragraph" w:styleId="ListParagraph">
    <w:name w:val="List Paragraph"/>
    <w:aliases w:val="Normal bullet 2,Bullet list,List Paragraph1,1st level - Bullet List Paragraph,Lettre d'introduction,Paragrafo elenco,List Paragraph11,Normal bullet 21,List Paragraph111,Bullet list1"/>
    <w:basedOn w:val="Normal"/>
    <w:link w:val="ListParagraphChar"/>
    <w:uiPriority w:val="1"/>
    <w:qFormat/>
    <w:pPr>
      <w:ind w:left="720"/>
      <w:contextualSpacing/>
    </w:pPr>
    <w:rPr>
      <w:bCs/>
      <w:szCs w:val="20"/>
      <w:lang w:eastAsia="en-GB"/>
    </w:rPr>
  </w:style>
  <w:style w:type="character" w:customStyle="1" w:styleId="ListParagraphChar">
    <w:name w:val="List Paragraph Char"/>
    <w:aliases w:val="Normal bullet 2 Char,Bullet list Char,List Paragraph1 Char,1st level - Bullet List Paragraph Char,Lettre d'introduction Char,Paragrafo elenco Char,List Paragraph11 Char,Normal bullet 21 Char,List Paragraph111 Char,Bullet list1 Char"/>
    <w:basedOn w:val="DefaultParagraphFont"/>
    <w:link w:val="ListParagraph"/>
    <w:uiPriority w:val="1"/>
    <w:rPr>
      <w:bCs/>
      <w:color w:val="000000"/>
      <w:lang w:val="en-GB" w:eastAsia="en-GB"/>
    </w:rPr>
  </w:style>
  <w:style w:type="paragraph" w:styleId="Revision">
    <w:name w:val="Revision"/>
    <w:hidden/>
    <w:uiPriority w:val="99"/>
    <w:semiHidden/>
    <w:rPr>
      <w:color w:val="000000"/>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612667">
      <w:bodyDiv w:val="1"/>
      <w:marLeft w:val="0"/>
      <w:marRight w:val="0"/>
      <w:marTop w:val="0"/>
      <w:marBottom w:val="0"/>
      <w:divBdr>
        <w:top w:val="none" w:sz="0" w:space="0" w:color="auto"/>
        <w:left w:val="none" w:sz="0" w:space="0" w:color="auto"/>
        <w:bottom w:val="none" w:sz="0" w:space="0" w:color="auto"/>
        <w:right w:val="none" w:sz="0" w:space="0" w:color="auto"/>
      </w:divBdr>
    </w:div>
    <w:div w:id="1987010891">
      <w:bodyDiv w:val="1"/>
      <w:marLeft w:val="0"/>
      <w:marRight w:val="0"/>
      <w:marTop w:val="0"/>
      <w:marBottom w:val="0"/>
      <w:divBdr>
        <w:top w:val="none" w:sz="0" w:space="0" w:color="auto"/>
        <w:left w:val="none" w:sz="0" w:space="0" w:color="auto"/>
        <w:bottom w:val="none" w:sz="0" w:space="0" w:color="auto"/>
        <w:right w:val="none" w:sz="0" w:space="0" w:color="auto"/>
      </w:divBdr>
    </w:div>
    <w:div w:id="200365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1.emf"/><Relationship Id="rId21" Type="http://schemas.openxmlformats.org/officeDocument/2006/relationships/footer" Target="footer6.xml"/><Relationship Id="rId42" Type="http://schemas.openxmlformats.org/officeDocument/2006/relationships/footer" Target="footer12.xml"/><Relationship Id="rId63" Type="http://schemas.openxmlformats.org/officeDocument/2006/relationships/image" Target="media/image13.emf"/><Relationship Id="rId84" Type="http://schemas.openxmlformats.org/officeDocument/2006/relationships/image" Target="media/image16.emf"/><Relationship Id="rId138" Type="http://schemas.openxmlformats.org/officeDocument/2006/relationships/image" Target="media/image39.emf"/><Relationship Id="rId159" Type="http://schemas.openxmlformats.org/officeDocument/2006/relationships/header" Target="header50.xml"/><Relationship Id="rId170" Type="http://schemas.openxmlformats.org/officeDocument/2006/relationships/image" Target="media/image53.emf"/><Relationship Id="rId191" Type="http://schemas.openxmlformats.org/officeDocument/2006/relationships/header" Target="header63.xml"/><Relationship Id="rId205" Type="http://schemas.openxmlformats.org/officeDocument/2006/relationships/footer" Target="footer69.xml"/><Relationship Id="rId107" Type="http://schemas.openxmlformats.org/officeDocument/2006/relationships/header" Target="header36.xml"/><Relationship Id="rId11" Type="http://schemas.openxmlformats.org/officeDocument/2006/relationships/header" Target="header2.xml"/><Relationship Id="rId32" Type="http://schemas.openxmlformats.org/officeDocument/2006/relationships/image" Target="media/image6.emf"/><Relationship Id="rId53" Type="http://schemas.openxmlformats.org/officeDocument/2006/relationships/footer" Target="footer16.xml"/><Relationship Id="rId74" Type="http://schemas.openxmlformats.org/officeDocument/2006/relationships/footer" Target="footer25.xml"/><Relationship Id="rId128" Type="http://schemas.openxmlformats.org/officeDocument/2006/relationships/image" Target="media/image35.emf"/><Relationship Id="rId149" Type="http://schemas.openxmlformats.org/officeDocument/2006/relationships/image" Target="media/image50.emf"/><Relationship Id="rId5" Type="http://schemas.openxmlformats.org/officeDocument/2006/relationships/settings" Target="settings.xml"/><Relationship Id="rId95" Type="http://schemas.openxmlformats.org/officeDocument/2006/relationships/header" Target="header31.xml"/><Relationship Id="rId160" Type="http://schemas.openxmlformats.org/officeDocument/2006/relationships/footer" Target="footer49.xml"/><Relationship Id="rId181" Type="http://schemas.openxmlformats.org/officeDocument/2006/relationships/header" Target="header58.xml"/><Relationship Id="rId216" Type="http://schemas.openxmlformats.org/officeDocument/2006/relationships/header" Target="header72.xml"/><Relationship Id="rId211" Type="http://schemas.openxmlformats.org/officeDocument/2006/relationships/image" Target="media/image64.emf"/><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image" Target="media/image11.emf"/><Relationship Id="rId48" Type="http://schemas.openxmlformats.org/officeDocument/2006/relationships/footer" Target="footer14.xml"/><Relationship Id="rId64" Type="http://schemas.openxmlformats.org/officeDocument/2006/relationships/image" Target="media/image14.emf"/><Relationship Id="rId69" Type="http://schemas.openxmlformats.org/officeDocument/2006/relationships/header" Target="header24.xml"/><Relationship Id="rId113" Type="http://schemas.openxmlformats.org/officeDocument/2006/relationships/footer" Target="footer38.xml"/><Relationship Id="rId118" Type="http://schemas.openxmlformats.org/officeDocument/2006/relationships/image" Target="media/image32.emf"/><Relationship Id="rId134" Type="http://schemas.openxmlformats.org/officeDocument/2006/relationships/footer" Target="footer45.xml"/><Relationship Id="rId139" Type="http://schemas.openxmlformats.org/officeDocument/2006/relationships/image" Target="media/image40.emf"/><Relationship Id="rId80" Type="http://schemas.openxmlformats.org/officeDocument/2006/relationships/footer" Target="footer28.xml"/><Relationship Id="rId85" Type="http://schemas.openxmlformats.org/officeDocument/2006/relationships/image" Target="media/image17.emf"/><Relationship Id="rId150" Type="http://schemas.openxmlformats.org/officeDocument/2006/relationships/image" Target="media/image51.emf"/><Relationship Id="rId155" Type="http://schemas.openxmlformats.org/officeDocument/2006/relationships/header" Target="header48.xml"/><Relationship Id="rId171" Type="http://schemas.openxmlformats.org/officeDocument/2006/relationships/image" Target="media/image54.emf"/><Relationship Id="rId176" Type="http://schemas.openxmlformats.org/officeDocument/2006/relationships/header" Target="header56.xml"/><Relationship Id="rId192" Type="http://schemas.openxmlformats.org/officeDocument/2006/relationships/footer" Target="footer63.xml"/><Relationship Id="rId197" Type="http://schemas.openxmlformats.org/officeDocument/2006/relationships/header" Target="header66.xml"/><Relationship Id="rId206" Type="http://schemas.openxmlformats.org/officeDocument/2006/relationships/image" Target="media/image59.emf"/><Relationship Id="rId201" Type="http://schemas.openxmlformats.org/officeDocument/2006/relationships/header" Target="header68.xml"/><Relationship Id="rId222" Type="http://schemas.openxmlformats.org/officeDocument/2006/relationships/header" Target="header75.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7.emf"/><Relationship Id="rId38" Type="http://schemas.openxmlformats.org/officeDocument/2006/relationships/header" Target="header11.xml"/><Relationship Id="rId59" Type="http://schemas.openxmlformats.org/officeDocument/2006/relationships/footer" Target="footer19.xml"/><Relationship Id="rId103" Type="http://schemas.openxmlformats.org/officeDocument/2006/relationships/header" Target="header34.xml"/><Relationship Id="rId108" Type="http://schemas.openxmlformats.org/officeDocument/2006/relationships/footer" Target="footer36.xml"/><Relationship Id="rId124" Type="http://schemas.openxmlformats.org/officeDocument/2006/relationships/footer" Target="footer41.xml"/><Relationship Id="rId129" Type="http://schemas.openxmlformats.org/officeDocument/2006/relationships/header" Target="header43.xml"/><Relationship Id="rId54" Type="http://schemas.openxmlformats.org/officeDocument/2006/relationships/footer" Target="footer17.xml"/><Relationship Id="rId70" Type="http://schemas.openxmlformats.org/officeDocument/2006/relationships/footer" Target="footer24.xml"/><Relationship Id="rId75" Type="http://schemas.openxmlformats.org/officeDocument/2006/relationships/footer" Target="footer26.xml"/><Relationship Id="rId91" Type="http://schemas.openxmlformats.org/officeDocument/2006/relationships/image" Target="media/image23.emf"/><Relationship Id="rId96" Type="http://schemas.openxmlformats.org/officeDocument/2006/relationships/header" Target="header32.xml"/><Relationship Id="rId140" Type="http://schemas.openxmlformats.org/officeDocument/2006/relationships/image" Target="media/image41.emf"/><Relationship Id="rId145" Type="http://schemas.openxmlformats.org/officeDocument/2006/relationships/image" Target="media/image46.emf"/><Relationship Id="rId161" Type="http://schemas.openxmlformats.org/officeDocument/2006/relationships/footer" Target="footer50.xml"/><Relationship Id="rId166" Type="http://schemas.openxmlformats.org/officeDocument/2006/relationships/footer" Target="footer52.xml"/><Relationship Id="rId182" Type="http://schemas.openxmlformats.org/officeDocument/2006/relationships/header" Target="header59.xml"/><Relationship Id="rId187" Type="http://schemas.openxmlformats.org/officeDocument/2006/relationships/header" Target="header61.xml"/><Relationship Id="rId217" Type="http://schemas.openxmlformats.org/officeDocument/2006/relationships/footer" Target="footer72.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70.xml"/><Relationship Id="rId23" Type="http://schemas.openxmlformats.org/officeDocument/2006/relationships/header" Target="header8.xml"/><Relationship Id="rId28" Type="http://schemas.openxmlformats.org/officeDocument/2006/relationships/image" Target="media/image2.emf"/><Relationship Id="rId49" Type="http://schemas.openxmlformats.org/officeDocument/2006/relationships/header" Target="header15.xml"/><Relationship Id="rId114" Type="http://schemas.openxmlformats.org/officeDocument/2006/relationships/header" Target="header39.xml"/><Relationship Id="rId119" Type="http://schemas.openxmlformats.org/officeDocument/2006/relationships/image" Target="media/image33.emf"/><Relationship Id="rId44" Type="http://schemas.openxmlformats.org/officeDocument/2006/relationships/image" Target="media/image12.emf"/><Relationship Id="rId60" Type="http://schemas.openxmlformats.org/officeDocument/2006/relationships/footer" Target="footer20.xml"/><Relationship Id="rId65" Type="http://schemas.openxmlformats.org/officeDocument/2006/relationships/header" Target="header22.xml"/><Relationship Id="rId81" Type="http://schemas.openxmlformats.org/officeDocument/2006/relationships/footer" Target="footer29.xml"/><Relationship Id="rId86" Type="http://schemas.openxmlformats.org/officeDocument/2006/relationships/image" Target="media/image18.emf"/><Relationship Id="rId130" Type="http://schemas.openxmlformats.org/officeDocument/2006/relationships/header" Target="header44.xml"/><Relationship Id="rId135" Type="http://schemas.openxmlformats.org/officeDocument/2006/relationships/image" Target="media/image36.emf"/><Relationship Id="rId151" Type="http://schemas.openxmlformats.org/officeDocument/2006/relationships/header" Target="header46.xml"/><Relationship Id="rId156" Type="http://schemas.openxmlformats.org/officeDocument/2006/relationships/footer" Target="footer48.xml"/><Relationship Id="rId177" Type="http://schemas.openxmlformats.org/officeDocument/2006/relationships/footer" Target="footer55.xml"/><Relationship Id="rId198" Type="http://schemas.openxmlformats.org/officeDocument/2006/relationships/footer" Target="footer66.xml"/><Relationship Id="rId172" Type="http://schemas.openxmlformats.org/officeDocument/2006/relationships/image" Target="media/image55.emf"/><Relationship Id="rId193" Type="http://schemas.openxmlformats.org/officeDocument/2006/relationships/header" Target="header64.xml"/><Relationship Id="rId202" Type="http://schemas.openxmlformats.org/officeDocument/2006/relationships/footer" Target="footer67.xml"/><Relationship Id="rId207" Type="http://schemas.openxmlformats.org/officeDocument/2006/relationships/image" Target="media/image60.emf"/><Relationship Id="rId223" Type="http://schemas.openxmlformats.org/officeDocument/2006/relationships/footer" Target="footer75.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0.xml"/><Relationship Id="rId109" Type="http://schemas.openxmlformats.org/officeDocument/2006/relationships/image" Target="media/image29.emf"/><Relationship Id="rId34" Type="http://schemas.openxmlformats.org/officeDocument/2006/relationships/image" Target="media/image8.emf"/><Relationship Id="rId50" Type="http://schemas.openxmlformats.org/officeDocument/2006/relationships/footer" Target="footer15.xml"/><Relationship Id="rId55" Type="http://schemas.openxmlformats.org/officeDocument/2006/relationships/header" Target="header18.xml"/><Relationship Id="rId76" Type="http://schemas.openxmlformats.org/officeDocument/2006/relationships/header" Target="header27.xml"/><Relationship Id="rId97" Type="http://schemas.openxmlformats.org/officeDocument/2006/relationships/footer" Target="footer31.xml"/><Relationship Id="rId104" Type="http://schemas.openxmlformats.org/officeDocument/2006/relationships/header" Target="header35.xml"/><Relationship Id="rId120" Type="http://schemas.openxmlformats.org/officeDocument/2006/relationships/image" Target="media/image34.emf"/><Relationship Id="rId125" Type="http://schemas.openxmlformats.org/officeDocument/2006/relationships/header" Target="header42.xml"/><Relationship Id="rId141" Type="http://schemas.openxmlformats.org/officeDocument/2006/relationships/image" Target="media/image42.emf"/><Relationship Id="rId146" Type="http://schemas.openxmlformats.org/officeDocument/2006/relationships/image" Target="media/image47.emf"/><Relationship Id="rId167" Type="http://schemas.openxmlformats.org/officeDocument/2006/relationships/footer" Target="footer53.xml"/><Relationship Id="rId188" Type="http://schemas.openxmlformats.org/officeDocument/2006/relationships/header" Target="header62.xml"/><Relationship Id="rId7" Type="http://schemas.openxmlformats.org/officeDocument/2006/relationships/footnotes" Target="footnotes.xml"/><Relationship Id="rId71" Type="http://schemas.openxmlformats.org/officeDocument/2006/relationships/image" Target="media/image15.emf"/><Relationship Id="rId92" Type="http://schemas.openxmlformats.org/officeDocument/2006/relationships/image" Target="media/image24.emf"/><Relationship Id="rId162" Type="http://schemas.openxmlformats.org/officeDocument/2006/relationships/header" Target="header51.xml"/><Relationship Id="rId183" Type="http://schemas.openxmlformats.org/officeDocument/2006/relationships/footer" Target="footer58.xml"/><Relationship Id="rId213" Type="http://schemas.openxmlformats.org/officeDocument/2006/relationships/header" Target="header71.xml"/><Relationship Id="rId218" Type="http://schemas.openxmlformats.org/officeDocument/2006/relationships/header" Target="header73.xm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footer" Target="footer7.xml"/><Relationship Id="rId40" Type="http://schemas.openxmlformats.org/officeDocument/2006/relationships/footer" Target="footer11.xml"/><Relationship Id="rId45" Type="http://schemas.openxmlformats.org/officeDocument/2006/relationships/header" Target="header13.xml"/><Relationship Id="rId66" Type="http://schemas.openxmlformats.org/officeDocument/2006/relationships/header" Target="header23.xml"/><Relationship Id="rId87" Type="http://schemas.openxmlformats.org/officeDocument/2006/relationships/image" Target="media/image19.emf"/><Relationship Id="rId110" Type="http://schemas.openxmlformats.org/officeDocument/2006/relationships/header" Target="header37.xml"/><Relationship Id="rId115" Type="http://schemas.openxmlformats.org/officeDocument/2006/relationships/footer" Target="footer39.xml"/><Relationship Id="rId131" Type="http://schemas.openxmlformats.org/officeDocument/2006/relationships/footer" Target="footer43.xml"/><Relationship Id="rId136" Type="http://schemas.openxmlformats.org/officeDocument/2006/relationships/image" Target="media/image37.emf"/><Relationship Id="rId157" Type="http://schemas.openxmlformats.org/officeDocument/2006/relationships/image" Target="media/image52.emf"/><Relationship Id="rId178" Type="http://schemas.openxmlformats.org/officeDocument/2006/relationships/footer" Target="footer56.xml"/><Relationship Id="rId61" Type="http://schemas.openxmlformats.org/officeDocument/2006/relationships/header" Target="header21.xml"/><Relationship Id="rId82" Type="http://schemas.openxmlformats.org/officeDocument/2006/relationships/header" Target="header30.xml"/><Relationship Id="rId152" Type="http://schemas.openxmlformats.org/officeDocument/2006/relationships/header" Target="header47.xml"/><Relationship Id="rId173" Type="http://schemas.openxmlformats.org/officeDocument/2006/relationships/image" Target="media/image56.emf"/><Relationship Id="rId194" Type="http://schemas.openxmlformats.org/officeDocument/2006/relationships/header" Target="header65.xml"/><Relationship Id="rId199" Type="http://schemas.openxmlformats.org/officeDocument/2006/relationships/image" Target="media/image58.emf"/><Relationship Id="rId203" Type="http://schemas.openxmlformats.org/officeDocument/2006/relationships/footer" Target="footer68.xml"/><Relationship Id="rId208" Type="http://schemas.openxmlformats.org/officeDocument/2006/relationships/image" Target="media/image61.emf"/><Relationship Id="rId19" Type="http://schemas.openxmlformats.org/officeDocument/2006/relationships/footer" Target="footer5.xml"/><Relationship Id="rId224" Type="http://schemas.openxmlformats.org/officeDocument/2006/relationships/fontTable" Target="fontTable.xm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image" Target="media/image9.emf"/><Relationship Id="rId56" Type="http://schemas.openxmlformats.org/officeDocument/2006/relationships/footer" Target="footer18.xml"/><Relationship Id="rId77" Type="http://schemas.openxmlformats.org/officeDocument/2006/relationships/footer" Target="footer27.xml"/><Relationship Id="rId100" Type="http://schemas.openxmlformats.org/officeDocument/2006/relationships/footer" Target="footer33.xml"/><Relationship Id="rId105" Type="http://schemas.openxmlformats.org/officeDocument/2006/relationships/footer" Target="footer34.xml"/><Relationship Id="rId126" Type="http://schemas.openxmlformats.org/officeDocument/2006/relationships/footer" Target="footer42.xml"/><Relationship Id="rId147" Type="http://schemas.openxmlformats.org/officeDocument/2006/relationships/image" Target="media/image48.emf"/><Relationship Id="rId168" Type="http://schemas.openxmlformats.org/officeDocument/2006/relationships/header" Target="header54.xml"/><Relationship Id="rId8" Type="http://schemas.openxmlformats.org/officeDocument/2006/relationships/endnotes" Target="endnotes.xml"/><Relationship Id="rId51" Type="http://schemas.openxmlformats.org/officeDocument/2006/relationships/header" Target="header16.xml"/><Relationship Id="rId72" Type="http://schemas.openxmlformats.org/officeDocument/2006/relationships/header" Target="header25.xml"/><Relationship Id="rId93" Type="http://schemas.openxmlformats.org/officeDocument/2006/relationships/image" Target="media/image25.emf"/><Relationship Id="rId98" Type="http://schemas.openxmlformats.org/officeDocument/2006/relationships/footer" Target="footer32.xml"/><Relationship Id="rId121" Type="http://schemas.openxmlformats.org/officeDocument/2006/relationships/header" Target="header40.xml"/><Relationship Id="rId142" Type="http://schemas.openxmlformats.org/officeDocument/2006/relationships/image" Target="media/image43.emf"/><Relationship Id="rId163" Type="http://schemas.openxmlformats.org/officeDocument/2006/relationships/footer" Target="footer51.xml"/><Relationship Id="rId184" Type="http://schemas.openxmlformats.org/officeDocument/2006/relationships/footer" Target="footer59.xml"/><Relationship Id="rId189" Type="http://schemas.openxmlformats.org/officeDocument/2006/relationships/footer" Target="footer61.xml"/><Relationship Id="rId219" Type="http://schemas.openxmlformats.org/officeDocument/2006/relationships/header" Target="header74.xml"/><Relationship Id="rId3" Type="http://schemas.openxmlformats.org/officeDocument/2006/relationships/styles" Target="styles.xml"/><Relationship Id="rId214" Type="http://schemas.openxmlformats.org/officeDocument/2006/relationships/footer" Target="footer70.xml"/><Relationship Id="rId25" Type="http://schemas.openxmlformats.org/officeDocument/2006/relationships/footer" Target="footer8.xml"/><Relationship Id="rId46" Type="http://schemas.openxmlformats.org/officeDocument/2006/relationships/header" Target="header14.xml"/><Relationship Id="rId67" Type="http://schemas.openxmlformats.org/officeDocument/2006/relationships/footer" Target="footer22.xml"/><Relationship Id="rId116" Type="http://schemas.openxmlformats.org/officeDocument/2006/relationships/image" Target="media/image30.emf"/><Relationship Id="rId137" Type="http://schemas.openxmlformats.org/officeDocument/2006/relationships/image" Target="media/image38.emf"/><Relationship Id="rId158" Type="http://schemas.openxmlformats.org/officeDocument/2006/relationships/header" Target="header49.xml"/><Relationship Id="rId20" Type="http://schemas.openxmlformats.org/officeDocument/2006/relationships/header" Target="header6.xml"/><Relationship Id="rId41" Type="http://schemas.openxmlformats.org/officeDocument/2006/relationships/header" Target="header12.xml"/><Relationship Id="rId62" Type="http://schemas.openxmlformats.org/officeDocument/2006/relationships/footer" Target="footer21.xml"/><Relationship Id="rId83" Type="http://schemas.openxmlformats.org/officeDocument/2006/relationships/footer" Target="footer30.xml"/><Relationship Id="rId88" Type="http://schemas.openxmlformats.org/officeDocument/2006/relationships/image" Target="media/image20.emf"/><Relationship Id="rId111" Type="http://schemas.openxmlformats.org/officeDocument/2006/relationships/header" Target="header38.xml"/><Relationship Id="rId132" Type="http://schemas.openxmlformats.org/officeDocument/2006/relationships/footer" Target="footer44.xml"/><Relationship Id="rId153" Type="http://schemas.openxmlformats.org/officeDocument/2006/relationships/footer" Target="footer46.xml"/><Relationship Id="rId174" Type="http://schemas.openxmlformats.org/officeDocument/2006/relationships/image" Target="media/image57.emf"/><Relationship Id="rId179" Type="http://schemas.openxmlformats.org/officeDocument/2006/relationships/header" Target="header57.xml"/><Relationship Id="rId195" Type="http://schemas.openxmlformats.org/officeDocument/2006/relationships/footer" Target="footer64.xml"/><Relationship Id="rId209" Type="http://schemas.openxmlformats.org/officeDocument/2006/relationships/image" Target="media/image62.emf"/><Relationship Id="rId190" Type="http://schemas.openxmlformats.org/officeDocument/2006/relationships/footer" Target="footer62.xml"/><Relationship Id="rId204" Type="http://schemas.openxmlformats.org/officeDocument/2006/relationships/header" Target="header69.xml"/><Relationship Id="rId220" Type="http://schemas.openxmlformats.org/officeDocument/2006/relationships/footer" Target="footer73.xml"/><Relationship Id="rId225"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image" Target="media/image10.emf"/><Relationship Id="rId57" Type="http://schemas.openxmlformats.org/officeDocument/2006/relationships/header" Target="header19.xml"/><Relationship Id="rId106" Type="http://schemas.openxmlformats.org/officeDocument/2006/relationships/footer" Target="footer35.xml"/><Relationship Id="rId127" Type="http://schemas.openxmlformats.org/officeDocument/2006/relationships/chart" Target="charts/chart1.xml"/><Relationship Id="rId10" Type="http://schemas.openxmlformats.org/officeDocument/2006/relationships/header" Target="header1.xml"/><Relationship Id="rId31" Type="http://schemas.openxmlformats.org/officeDocument/2006/relationships/image" Target="media/image5.emf"/><Relationship Id="rId52" Type="http://schemas.openxmlformats.org/officeDocument/2006/relationships/header" Target="header17.xml"/><Relationship Id="rId73" Type="http://schemas.openxmlformats.org/officeDocument/2006/relationships/header" Target="header26.xml"/><Relationship Id="rId78" Type="http://schemas.openxmlformats.org/officeDocument/2006/relationships/header" Target="header28.xml"/><Relationship Id="rId94" Type="http://schemas.openxmlformats.org/officeDocument/2006/relationships/image" Target="media/image26.emf"/><Relationship Id="rId99" Type="http://schemas.openxmlformats.org/officeDocument/2006/relationships/header" Target="header33.xml"/><Relationship Id="rId101" Type="http://schemas.openxmlformats.org/officeDocument/2006/relationships/image" Target="media/image27.emf"/><Relationship Id="rId122" Type="http://schemas.openxmlformats.org/officeDocument/2006/relationships/header" Target="header41.xml"/><Relationship Id="rId143" Type="http://schemas.openxmlformats.org/officeDocument/2006/relationships/image" Target="media/image44.emf"/><Relationship Id="rId148" Type="http://schemas.openxmlformats.org/officeDocument/2006/relationships/image" Target="media/image49.emf"/><Relationship Id="rId164" Type="http://schemas.openxmlformats.org/officeDocument/2006/relationships/header" Target="header52.xml"/><Relationship Id="rId169" Type="http://schemas.openxmlformats.org/officeDocument/2006/relationships/footer" Target="footer54.xml"/><Relationship Id="rId185" Type="http://schemas.openxmlformats.org/officeDocument/2006/relationships/header" Target="header60.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footer" Target="footer57.xml"/><Relationship Id="rId210" Type="http://schemas.openxmlformats.org/officeDocument/2006/relationships/image" Target="media/image63.emf"/><Relationship Id="rId215" Type="http://schemas.openxmlformats.org/officeDocument/2006/relationships/footer" Target="footer71.xml"/><Relationship Id="rId26" Type="http://schemas.openxmlformats.org/officeDocument/2006/relationships/header" Target="header9.xml"/><Relationship Id="rId47" Type="http://schemas.openxmlformats.org/officeDocument/2006/relationships/footer" Target="footer13.xml"/><Relationship Id="rId68" Type="http://schemas.openxmlformats.org/officeDocument/2006/relationships/footer" Target="footer23.xml"/><Relationship Id="rId89" Type="http://schemas.openxmlformats.org/officeDocument/2006/relationships/image" Target="media/image21.emf"/><Relationship Id="rId112" Type="http://schemas.openxmlformats.org/officeDocument/2006/relationships/footer" Target="footer37.xml"/><Relationship Id="rId133" Type="http://schemas.openxmlformats.org/officeDocument/2006/relationships/header" Target="header45.xml"/><Relationship Id="rId154" Type="http://schemas.openxmlformats.org/officeDocument/2006/relationships/footer" Target="footer47.xml"/><Relationship Id="rId175" Type="http://schemas.openxmlformats.org/officeDocument/2006/relationships/header" Target="header55.xml"/><Relationship Id="rId196" Type="http://schemas.openxmlformats.org/officeDocument/2006/relationships/footer" Target="footer65.xml"/><Relationship Id="rId200" Type="http://schemas.openxmlformats.org/officeDocument/2006/relationships/header" Target="header67.xml"/><Relationship Id="rId16" Type="http://schemas.openxmlformats.org/officeDocument/2006/relationships/header" Target="header4.xml"/><Relationship Id="rId221" Type="http://schemas.openxmlformats.org/officeDocument/2006/relationships/footer" Target="footer74.xml"/><Relationship Id="rId37" Type="http://schemas.openxmlformats.org/officeDocument/2006/relationships/header" Target="header10.xml"/><Relationship Id="rId58" Type="http://schemas.openxmlformats.org/officeDocument/2006/relationships/header" Target="header20.xml"/><Relationship Id="rId79" Type="http://schemas.openxmlformats.org/officeDocument/2006/relationships/header" Target="header29.xml"/><Relationship Id="rId102" Type="http://schemas.openxmlformats.org/officeDocument/2006/relationships/image" Target="media/image28.emf"/><Relationship Id="rId123" Type="http://schemas.openxmlformats.org/officeDocument/2006/relationships/footer" Target="footer40.xml"/><Relationship Id="rId144" Type="http://schemas.openxmlformats.org/officeDocument/2006/relationships/image" Target="media/image45.emf"/><Relationship Id="rId90" Type="http://schemas.openxmlformats.org/officeDocument/2006/relationships/image" Target="media/image22.emf"/><Relationship Id="rId165" Type="http://schemas.openxmlformats.org/officeDocument/2006/relationships/header" Target="header53.xml"/><Relationship Id="rId186" Type="http://schemas.openxmlformats.org/officeDocument/2006/relationships/footer" Target="footer60.xml"/></Relationships>
</file>

<file path=word/_rels/endnotes.xml.rels><?xml version="1.0" encoding="UTF-8" standalone="yes"?>
<Relationships xmlns="http://schemas.openxmlformats.org/package/2006/relationships"><Relationship Id="rId1" Type="http://schemas.openxmlformats.org/officeDocument/2006/relationships/hyperlink" Target="http://ec.europa.eu/economy_finance/research/macroeconomic_models_en.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nvironment/ecoap/scoreboard" TargetMode="External"/><Relationship Id="rId2" Type="http://schemas.openxmlformats.org/officeDocument/2006/relationships/hyperlink" Target="https://zoek.officielebekendmakingen.nl/stb-2017-172.html" TargetMode="External"/><Relationship Id="rId1" Type="http://schemas.openxmlformats.org/officeDocument/2006/relationships/hyperlink" Target="http://www.rijksbegroting.nl/beleidsevaluaties/studiegroep-begrotingsruimt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net1.cec.eu.int\EMPL\A\A3\Projects%20and%20Reports\ANNUAL%20REVIEW\2017\Part%20II.%20Analytical%20Chapter\Data\Wage%20gap\Frequenci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720">
                <a:solidFill>
                  <a:schemeClr val="tx2"/>
                </a:solidFill>
              </a:rPr>
              <a:t>Graph 1: Share of temporary employees </a:t>
            </a:r>
            <a:br>
              <a:rPr lang="en-US" sz="720">
                <a:solidFill>
                  <a:schemeClr val="tx2"/>
                </a:solidFill>
              </a:rPr>
            </a:br>
            <a:r>
              <a:rPr lang="en-US" sz="720">
                <a:solidFill>
                  <a:schemeClr val="tx2"/>
                </a:solidFill>
              </a:rPr>
              <a:t>by wage quintile (2014)</a:t>
            </a:r>
          </a:p>
        </c:rich>
      </c:tx>
      <c:layout>
        <c:manualLayout>
          <c:xMode val="edge"/>
          <c:yMode val="edge"/>
          <c:x val="0.18886001442390873"/>
          <c:y val="0"/>
        </c:manualLayout>
      </c:layout>
      <c:overlay val="1"/>
    </c:title>
    <c:autoTitleDeleted val="0"/>
    <c:plotArea>
      <c:layout>
        <c:manualLayout>
          <c:layoutTarget val="inner"/>
          <c:xMode val="edge"/>
          <c:yMode val="edge"/>
          <c:x val="9.1015865538138424E-2"/>
          <c:y val="0.11111451152895281"/>
          <c:w val="0.81589820470043983"/>
          <c:h val="0.75439228490257493"/>
        </c:manualLayout>
      </c:layout>
      <c:barChart>
        <c:barDir val="bar"/>
        <c:grouping val="percentStacked"/>
        <c:varyColors val="0"/>
        <c:ser>
          <c:idx val="0"/>
          <c:order val="0"/>
          <c:tx>
            <c:strRef>
              <c:f>Temp!$B$1</c:f>
              <c:strCache>
                <c:ptCount val="1"/>
                <c:pt idx="0">
                  <c:v>Quintile 1</c:v>
                </c:pt>
              </c:strCache>
            </c:strRef>
          </c:tx>
          <c:spPr>
            <a:solidFill>
              <a:srgbClr val="92D050"/>
            </a:solidFill>
          </c:spPr>
          <c:invertIfNegative val="0"/>
          <c:cat>
            <c:strRef>
              <c:f>Temp!$A$2:$A$23</c:f>
              <c:strCache>
                <c:ptCount val="22"/>
                <c:pt idx="0">
                  <c:v>HU</c:v>
                </c:pt>
                <c:pt idx="1">
                  <c:v>LV</c:v>
                </c:pt>
                <c:pt idx="2">
                  <c:v>CY</c:v>
                </c:pt>
                <c:pt idx="3">
                  <c:v>EE</c:v>
                </c:pt>
                <c:pt idx="4">
                  <c:v>LT</c:v>
                </c:pt>
                <c:pt idx="5">
                  <c:v>MT</c:v>
                </c:pt>
                <c:pt idx="6">
                  <c:v>CZ</c:v>
                </c:pt>
                <c:pt idx="7">
                  <c:v>SI</c:v>
                </c:pt>
                <c:pt idx="8">
                  <c:v>SK</c:v>
                </c:pt>
                <c:pt idx="9">
                  <c:v>RO</c:v>
                </c:pt>
                <c:pt idx="10">
                  <c:v>PT</c:v>
                </c:pt>
                <c:pt idx="11">
                  <c:v>BG</c:v>
                </c:pt>
                <c:pt idx="12">
                  <c:v>ES</c:v>
                </c:pt>
                <c:pt idx="13">
                  <c:v>FR</c:v>
                </c:pt>
                <c:pt idx="14">
                  <c:v>DE</c:v>
                </c:pt>
                <c:pt idx="15">
                  <c:v>PL</c:v>
                </c:pt>
                <c:pt idx="16">
                  <c:v>FI</c:v>
                </c:pt>
                <c:pt idx="17">
                  <c:v>IT</c:v>
                </c:pt>
                <c:pt idx="18">
                  <c:v>UK</c:v>
                </c:pt>
                <c:pt idx="19">
                  <c:v>NL</c:v>
                </c:pt>
                <c:pt idx="20">
                  <c:v>BE</c:v>
                </c:pt>
                <c:pt idx="21">
                  <c:v>LU</c:v>
                </c:pt>
              </c:strCache>
            </c:strRef>
          </c:cat>
          <c:val>
            <c:numRef>
              <c:f>Temp!$B$2:$B$23</c:f>
              <c:numCache>
                <c:formatCode>0.0</c:formatCode>
                <c:ptCount val="22"/>
                <c:pt idx="0">
                  <c:v>15.24</c:v>
                </c:pt>
                <c:pt idx="1">
                  <c:v>17.72</c:v>
                </c:pt>
                <c:pt idx="2">
                  <c:v>18.05</c:v>
                </c:pt>
                <c:pt idx="3">
                  <c:v>18.420000000000002</c:v>
                </c:pt>
                <c:pt idx="4">
                  <c:v>19.34</c:v>
                </c:pt>
                <c:pt idx="5">
                  <c:v>20.23</c:v>
                </c:pt>
                <c:pt idx="6">
                  <c:v>22.18</c:v>
                </c:pt>
                <c:pt idx="7">
                  <c:v>22.28</c:v>
                </c:pt>
                <c:pt idx="8">
                  <c:v>22.71</c:v>
                </c:pt>
                <c:pt idx="9">
                  <c:v>23.54</c:v>
                </c:pt>
                <c:pt idx="10">
                  <c:v>26.7</c:v>
                </c:pt>
                <c:pt idx="11">
                  <c:v>27.36</c:v>
                </c:pt>
                <c:pt idx="12">
                  <c:v>27.44</c:v>
                </c:pt>
                <c:pt idx="13">
                  <c:v>28.53</c:v>
                </c:pt>
                <c:pt idx="14">
                  <c:v>28.623169504788166</c:v>
                </c:pt>
                <c:pt idx="15">
                  <c:v>31.06</c:v>
                </c:pt>
                <c:pt idx="16">
                  <c:v>34.76</c:v>
                </c:pt>
                <c:pt idx="17">
                  <c:v>35.35</c:v>
                </c:pt>
                <c:pt idx="18">
                  <c:v>35.409999999999997</c:v>
                </c:pt>
                <c:pt idx="19">
                  <c:v>36.5</c:v>
                </c:pt>
                <c:pt idx="20">
                  <c:v>37.33</c:v>
                </c:pt>
                <c:pt idx="21">
                  <c:v>51.07</c:v>
                </c:pt>
              </c:numCache>
            </c:numRef>
          </c:val>
        </c:ser>
        <c:ser>
          <c:idx val="1"/>
          <c:order val="1"/>
          <c:tx>
            <c:strRef>
              <c:f>Temp!$C$1</c:f>
              <c:strCache>
                <c:ptCount val="1"/>
                <c:pt idx="0">
                  <c:v>Quintile 2</c:v>
                </c:pt>
              </c:strCache>
            </c:strRef>
          </c:tx>
          <c:spPr>
            <a:solidFill>
              <a:srgbClr val="0070C0"/>
            </a:solidFill>
          </c:spPr>
          <c:invertIfNegative val="0"/>
          <c:cat>
            <c:strRef>
              <c:f>Temp!$A$2:$A$23</c:f>
              <c:strCache>
                <c:ptCount val="22"/>
                <c:pt idx="0">
                  <c:v>HU</c:v>
                </c:pt>
                <c:pt idx="1">
                  <c:v>LV</c:v>
                </c:pt>
                <c:pt idx="2">
                  <c:v>CY</c:v>
                </c:pt>
                <c:pt idx="3">
                  <c:v>EE</c:v>
                </c:pt>
                <c:pt idx="4">
                  <c:v>LT</c:v>
                </c:pt>
                <c:pt idx="5">
                  <c:v>MT</c:v>
                </c:pt>
                <c:pt idx="6">
                  <c:v>CZ</c:v>
                </c:pt>
                <c:pt idx="7">
                  <c:v>SI</c:v>
                </c:pt>
                <c:pt idx="8">
                  <c:v>SK</c:v>
                </c:pt>
                <c:pt idx="9">
                  <c:v>RO</c:v>
                </c:pt>
                <c:pt idx="10">
                  <c:v>PT</c:v>
                </c:pt>
                <c:pt idx="11">
                  <c:v>BG</c:v>
                </c:pt>
                <c:pt idx="12">
                  <c:v>ES</c:v>
                </c:pt>
                <c:pt idx="13">
                  <c:v>FR</c:v>
                </c:pt>
                <c:pt idx="14">
                  <c:v>DE</c:v>
                </c:pt>
                <c:pt idx="15">
                  <c:v>PL</c:v>
                </c:pt>
                <c:pt idx="16">
                  <c:v>FI</c:v>
                </c:pt>
                <c:pt idx="17">
                  <c:v>IT</c:v>
                </c:pt>
                <c:pt idx="18">
                  <c:v>UK</c:v>
                </c:pt>
                <c:pt idx="19">
                  <c:v>NL</c:v>
                </c:pt>
                <c:pt idx="20">
                  <c:v>BE</c:v>
                </c:pt>
                <c:pt idx="21">
                  <c:v>LU</c:v>
                </c:pt>
              </c:strCache>
            </c:strRef>
          </c:cat>
          <c:val>
            <c:numRef>
              <c:f>Temp!$C$2:$C$23</c:f>
              <c:numCache>
                <c:formatCode>0.0</c:formatCode>
                <c:ptCount val="22"/>
                <c:pt idx="0">
                  <c:v>22.69</c:v>
                </c:pt>
                <c:pt idx="1">
                  <c:v>16.77</c:v>
                </c:pt>
                <c:pt idx="2">
                  <c:v>23.61</c:v>
                </c:pt>
                <c:pt idx="3">
                  <c:v>16.45</c:v>
                </c:pt>
                <c:pt idx="4">
                  <c:v>23.74</c:v>
                </c:pt>
                <c:pt idx="5">
                  <c:v>18.86</c:v>
                </c:pt>
                <c:pt idx="6">
                  <c:v>26.12</c:v>
                </c:pt>
                <c:pt idx="7">
                  <c:v>24.05</c:v>
                </c:pt>
                <c:pt idx="8">
                  <c:v>24.25</c:v>
                </c:pt>
                <c:pt idx="9">
                  <c:v>22.25</c:v>
                </c:pt>
                <c:pt idx="10">
                  <c:v>27.68</c:v>
                </c:pt>
                <c:pt idx="11">
                  <c:v>18.170000000000002</c:v>
                </c:pt>
                <c:pt idx="12">
                  <c:v>22.88</c:v>
                </c:pt>
                <c:pt idx="13">
                  <c:v>15.77</c:v>
                </c:pt>
                <c:pt idx="14">
                  <c:v>32.336699333010394</c:v>
                </c:pt>
                <c:pt idx="15">
                  <c:v>27.89</c:v>
                </c:pt>
                <c:pt idx="16">
                  <c:v>20.89</c:v>
                </c:pt>
                <c:pt idx="17">
                  <c:v>22.64</c:v>
                </c:pt>
                <c:pt idx="18">
                  <c:v>24.64</c:v>
                </c:pt>
                <c:pt idx="19">
                  <c:v>24.15</c:v>
                </c:pt>
                <c:pt idx="20">
                  <c:v>20.23</c:v>
                </c:pt>
                <c:pt idx="21">
                  <c:v>29.28</c:v>
                </c:pt>
              </c:numCache>
            </c:numRef>
          </c:val>
        </c:ser>
        <c:ser>
          <c:idx val="2"/>
          <c:order val="2"/>
          <c:tx>
            <c:strRef>
              <c:f>Temp!$D$1</c:f>
              <c:strCache>
                <c:ptCount val="1"/>
                <c:pt idx="0">
                  <c:v>Quintile 3</c:v>
                </c:pt>
              </c:strCache>
            </c:strRef>
          </c:tx>
          <c:spPr>
            <a:solidFill>
              <a:srgbClr val="FFC000"/>
            </a:solidFill>
          </c:spPr>
          <c:invertIfNegative val="0"/>
          <c:cat>
            <c:strRef>
              <c:f>Temp!$A$2:$A$23</c:f>
              <c:strCache>
                <c:ptCount val="22"/>
                <c:pt idx="0">
                  <c:v>HU</c:v>
                </c:pt>
                <c:pt idx="1">
                  <c:v>LV</c:v>
                </c:pt>
                <c:pt idx="2">
                  <c:v>CY</c:v>
                </c:pt>
                <c:pt idx="3">
                  <c:v>EE</c:v>
                </c:pt>
                <c:pt idx="4">
                  <c:v>LT</c:v>
                </c:pt>
                <c:pt idx="5">
                  <c:v>MT</c:v>
                </c:pt>
                <c:pt idx="6">
                  <c:v>CZ</c:v>
                </c:pt>
                <c:pt idx="7">
                  <c:v>SI</c:v>
                </c:pt>
                <c:pt idx="8">
                  <c:v>SK</c:v>
                </c:pt>
                <c:pt idx="9">
                  <c:v>RO</c:v>
                </c:pt>
                <c:pt idx="10">
                  <c:v>PT</c:v>
                </c:pt>
                <c:pt idx="11">
                  <c:v>BG</c:v>
                </c:pt>
                <c:pt idx="12">
                  <c:v>ES</c:v>
                </c:pt>
                <c:pt idx="13">
                  <c:v>FR</c:v>
                </c:pt>
                <c:pt idx="14">
                  <c:v>DE</c:v>
                </c:pt>
                <c:pt idx="15">
                  <c:v>PL</c:v>
                </c:pt>
                <c:pt idx="16">
                  <c:v>FI</c:v>
                </c:pt>
                <c:pt idx="17">
                  <c:v>IT</c:v>
                </c:pt>
                <c:pt idx="18">
                  <c:v>UK</c:v>
                </c:pt>
                <c:pt idx="19">
                  <c:v>NL</c:v>
                </c:pt>
                <c:pt idx="20">
                  <c:v>BE</c:v>
                </c:pt>
                <c:pt idx="21">
                  <c:v>LU</c:v>
                </c:pt>
              </c:strCache>
            </c:strRef>
          </c:cat>
          <c:val>
            <c:numRef>
              <c:f>Temp!$D$2:$D$23</c:f>
              <c:numCache>
                <c:formatCode>0.0</c:formatCode>
                <c:ptCount val="22"/>
                <c:pt idx="0">
                  <c:v>25.83</c:v>
                </c:pt>
                <c:pt idx="1">
                  <c:v>18.73</c:v>
                </c:pt>
                <c:pt idx="2">
                  <c:v>26.91</c:v>
                </c:pt>
                <c:pt idx="3">
                  <c:v>20.11</c:v>
                </c:pt>
                <c:pt idx="4">
                  <c:v>22.98</c:v>
                </c:pt>
                <c:pt idx="5">
                  <c:v>20.04</c:v>
                </c:pt>
                <c:pt idx="6">
                  <c:v>24.56</c:v>
                </c:pt>
                <c:pt idx="7">
                  <c:v>24.45</c:v>
                </c:pt>
                <c:pt idx="8">
                  <c:v>19.850000000000001</c:v>
                </c:pt>
                <c:pt idx="9">
                  <c:v>18.690000000000001</c:v>
                </c:pt>
                <c:pt idx="10">
                  <c:v>23.64</c:v>
                </c:pt>
                <c:pt idx="11">
                  <c:v>20.8</c:v>
                </c:pt>
                <c:pt idx="12">
                  <c:v>20.62</c:v>
                </c:pt>
                <c:pt idx="13">
                  <c:v>14.48</c:v>
                </c:pt>
                <c:pt idx="14">
                  <c:v>18.683906546931475</c:v>
                </c:pt>
                <c:pt idx="15">
                  <c:v>18.66</c:v>
                </c:pt>
                <c:pt idx="16">
                  <c:v>16.87</c:v>
                </c:pt>
                <c:pt idx="17">
                  <c:v>16.03</c:v>
                </c:pt>
                <c:pt idx="18">
                  <c:v>15.23</c:v>
                </c:pt>
                <c:pt idx="19">
                  <c:v>17.68</c:v>
                </c:pt>
                <c:pt idx="20">
                  <c:v>14.18</c:v>
                </c:pt>
                <c:pt idx="21">
                  <c:v>10.71</c:v>
                </c:pt>
              </c:numCache>
            </c:numRef>
          </c:val>
        </c:ser>
        <c:ser>
          <c:idx val="3"/>
          <c:order val="3"/>
          <c:tx>
            <c:strRef>
              <c:f>Temp!$E$1</c:f>
              <c:strCache>
                <c:ptCount val="1"/>
                <c:pt idx="0">
                  <c:v>Quintile 4</c:v>
                </c:pt>
              </c:strCache>
            </c:strRef>
          </c:tx>
          <c:spPr>
            <a:solidFill>
              <a:srgbClr val="7030A0"/>
            </a:solidFill>
          </c:spPr>
          <c:invertIfNegative val="0"/>
          <c:cat>
            <c:strRef>
              <c:f>Temp!$A$2:$A$23</c:f>
              <c:strCache>
                <c:ptCount val="22"/>
                <c:pt idx="0">
                  <c:v>HU</c:v>
                </c:pt>
                <c:pt idx="1">
                  <c:v>LV</c:v>
                </c:pt>
                <c:pt idx="2">
                  <c:v>CY</c:v>
                </c:pt>
                <c:pt idx="3">
                  <c:v>EE</c:v>
                </c:pt>
                <c:pt idx="4">
                  <c:v>LT</c:v>
                </c:pt>
                <c:pt idx="5">
                  <c:v>MT</c:v>
                </c:pt>
                <c:pt idx="6">
                  <c:v>CZ</c:v>
                </c:pt>
                <c:pt idx="7">
                  <c:v>SI</c:v>
                </c:pt>
                <c:pt idx="8">
                  <c:v>SK</c:v>
                </c:pt>
                <c:pt idx="9">
                  <c:v>RO</c:v>
                </c:pt>
                <c:pt idx="10">
                  <c:v>PT</c:v>
                </c:pt>
                <c:pt idx="11">
                  <c:v>BG</c:v>
                </c:pt>
                <c:pt idx="12">
                  <c:v>ES</c:v>
                </c:pt>
                <c:pt idx="13">
                  <c:v>FR</c:v>
                </c:pt>
                <c:pt idx="14">
                  <c:v>DE</c:v>
                </c:pt>
                <c:pt idx="15">
                  <c:v>PL</c:v>
                </c:pt>
                <c:pt idx="16">
                  <c:v>FI</c:v>
                </c:pt>
                <c:pt idx="17">
                  <c:v>IT</c:v>
                </c:pt>
                <c:pt idx="18">
                  <c:v>UK</c:v>
                </c:pt>
                <c:pt idx="19">
                  <c:v>NL</c:v>
                </c:pt>
                <c:pt idx="20">
                  <c:v>BE</c:v>
                </c:pt>
                <c:pt idx="21">
                  <c:v>LU</c:v>
                </c:pt>
              </c:strCache>
            </c:strRef>
          </c:cat>
          <c:val>
            <c:numRef>
              <c:f>Temp!$E$2:$E$23</c:f>
              <c:numCache>
                <c:formatCode>0.0</c:formatCode>
                <c:ptCount val="22"/>
                <c:pt idx="0">
                  <c:v>23.7</c:v>
                </c:pt>
                <c:pt idx="1">
                  <c:v>19.260000000000002</c:v>
                </c:pt>
                <c:pt idx="2">
                  <c:v>15.46</c:v>
                </c:pt>
                <c:pt idx="3">
                  <c:v>17.670000000000002</c:v>
                </c:pt>
                <c:pt idx="4">
                  <c:v>19.53</c:v>
                </c:pt>
                <c:pt idx="5">
                  <c:v>21.5</c:v>
                </c:pt>
                <c:pt idx="6">
                  <c:v>17.18</c:v>
                </c:pt>
                <c:pt idx="7">
                  <c:v>16.95</c:v>
                </c:pt>
                <c:pt idx="8">
                  <c:v>17.93</c:v>
                </c:pt>
                <c:pt idx="9">
                  <c:v>12.98</c:v>
                </c:pt>
                <c:pt idx="10">
                  <c:v>16.350000000000001</c:v>
                </c:pt>
                <c:pt idx="11">
                  <c:v>17.96</c:v>
                </c:pt>
                <c:pt idx="12">
                  <c:v>17.72</c:v>
                </c:pt>
                <c:pt idx="13">
                  <c:v>14.92</c:v>
                </c:pt>
                <c:pt idx="14">
                  <c:v>13.004434176696353</c:v>
                </c:pt>
                <c:pt idx="15">
                  <c:v>13.74</c:v>
                </c:pt>
                <c:pt idx="16">
                  <c:v>14.16</c:v>
                </c:pt>
                <c:pt idx="17">
                  <c:v>10.91</c:v>
                </c:pt>
                <c:pt idx="18">
                  <c:v>13.44</c:v>
                </c:pt>
                <c:pt idx="19">
                  <c:v>12.21</c:v>
                </c:pt>
                <c:pt idx="20">
                  <c:v>15.05</c:v>
                </c:pt>
                <c:pt idx="21">
                  <c:v>5.62</c:v>
                </c:pt>
              </c:numCache>
            </c:numRef>
          </c:val>
        </c:ser>
        <c:ser>
          <c:idx val="4"/>
          <c:order val="4"/>
          <c:tx>
            <c:strRef>
              <c:f>Temp!$F$1</c:f>
              <c:strCache>
                <c:ptCount val="1"/>
                <c:pt idx="0">
                  <c:v>Quintile 5</c:v>
                </c:pt>
              </c:strCache>
            </c:strRef>
          </c:tx>
          <c:spPr>
            <a:solidFill>
              <a:srgbClr val="00B0F0"/>
            </a:solidFill>
          </c:spPr>
          <c:invertIfNegative val="0"/>
          <c:cat>
            <c:strRef>
              <c:f>Temp!$A$2:$A$23</c:f>
              <c:strCache>
                <c:ptCount val="22"/>
                <c:pt idx="0">
                  <c:v>HU</c:v>
                </c:pt>
                <c:pt idx="1">
                  <c:v>LV</c:v>
                </c:pt>
                <c:pt idx="2">
                  <c:v>CY</c:v>
                </c:pt>
                <c:pt idx="3">
                  <c:v>EE</c:v>
                </c:pt>
                <c:pt idx="4">
                  <c:v>LT</c:v>
                </c:pt>
                <c:pt idx="5">
                  <c:v>MT</c:v>
                </c:pt>
                <c:pt idx="6">
                  <c:v>CZ</c:v>
                </c:pt>
                <c:pt idx="7">
                  <c:v>SI</c:v>
                </c:pt>
                <c:pt idx="8">
                  <c:v>SK</c:v>
                </c:pt>
                <c:pt idx="9">
                  <c:v>RO</c:v>
                </c:pt>
                <c:pt idx="10">
                  <c:v>PT</c:v>
                </c:pt>
                <c:pt idx="11">
                  <c:v>BG</c:v>
                </c:pt>
                <c:pt idx="12">
                  <c:v>ES</c:v>
                </c:pt>
                <c:pt idx="13">
                  <c:v>FR</c:v>
                </c:pt>
                <c:pt idx="14">
                  <c:v>DE</c:v>
                </c:pt>
                <c:pt idx="15">
                  <c:v>PL</c:v>
                </c:pt>
                <c:pt idx="16">
                  <c:v>FI</c:v>
                </c:pt>
                <c:pt idx="17">
                  <c:v>IT</c:v>
                </c:pt>
                <c:pt idx="18">
                  <c:v>UK</c:v>
                </c:pt>
                <c:pt idx="19">
                  <c:v>NL</c:v>
                </c:pt>
                <c:pt idx="20">
                  <c:v>BE</c:v>
                </c:pt>
                <c:pt idx="21">
                  <c:v>LU</c:v>
                </c:pt>
              </c:strCache>
            </c:strRef>
          </c:cat>
          <c:val>
            <c:numRef>
              <c:f>Temp!$F$2:$F$23</c:f>
              <c:numCache>
                <c:formatCode>0.0</c:formatCode>
                <c:ptCount val="22"/>
                <c:pt idx="0">
                  <c:v>12.54</c:v>
                </c:pt>
                <c:pt idx="1">
                  <c:v>27.52</c:v>
                </c:pt>
                <c:pt idx="2">
                  <c:v>15.96</c:v>
                </c:pt>
                <c:pt idx="3">
                  <c:v>27.35</c:v>
                </c:pt>
                <c:pt idx="4">
                  <c:v>14.41</c:v>
                </c:pt>
                <c:pt idx="5">
                  <c:v>19.38</c:v>
                </c:pt>
                <c:pt idx="6">
                  <c:v>9.9600000000000009</c:v>
                </c:pt>
                <c:pt idx="7">
                  <c:v>12.26</c:v>
                </c:pt>
                <c:pt idx="8">
                  <c:v>15.26</c:v>
                </c:pt>
                <c:pt idx="9">
                  <c:v>22.54</c:v>
                </c:pt>
                <c:pt idx="10">
                  <c:v>5.63</c:v>
                </c:pt>
                <c:pt idx="11">
                  <c:v>15.71</c:v>
                </c:pt>
                <c:pt idx="12">
                  <c:v>11.34</c:v>
                </c:pt>
                <c:pt idx="13">
                  <c:v>26.3</c:v>
                </c:pt>
                <c:pt idx="14">
                  <c:v>7.3517904385736106</c:v>
                </c:pt>
                <c:pt idx="15">
                  <c:v>8.66</c:v>
                </c:pt>
                <c:pt idx="16">
                  <c:v>13.31</c:v>
                </c:pt>
                <c:pt idx="17">
                  <c:v>15.07</c:v>
                </c:pt>
                <c:pt idx="18">
                  <c:v>11.28</c:v>
                </c:pt>
                <c:pt idx="19">
                  <c:v>9.4499999999999993</c:v>
                </c:pt>
                <c:pt idx="20">
                  <c:v>13.21</c:v>
                </c:pt>
                <c:pt idx="21">
                  <c:v>3.32</c:v>
                </c:pt>
              </c:numCache>
            </c:numRef>
          </c:val>
        </c:ser>
        <c:dLbls>
          <c:showLegendKey val="0"/>
          <c:showVal val="0"/>
          <c:showCatName val="0"/>
          <c:showSerName val="0"/>
          <c:showPercent val="0"/>
          <c:showBubbleSize val="0"/>
        </c:dLbls>
        <c:gapWidth val="100"/>
        <c:overlap val="100"/>
        <c:axId val="95343744"/>
        <c:axId val="95345664"/>
      </c:barChart>
      <c:catAx>
        <c:axId val="95343744"/>
        <c:scaling>
          <c:orientation val="minMax"/>
        </c:scaling>
        <c:delete val="0"/>
        <c:axPos val="l"/>
        <c:numFmt formatCode="General" sourceLinked="0"/>
        <c:majorTickMark val="none"/>
        <c:minorTickMark val="none"/>
        <c:tickLblPos val="low"/>
        <c:spPr>
          <a:ln w="6350" cmpd="sng">
            <a:solidFill>
              <a:srgbClr val="000000"/>
            </a:solidFill>
            <a:prstDash val="solid"/>
          </a:ln>
        </c:spPr>
        <c:txPr>
          <a:bodyPr/>
          <a:lstStyle/>
          <a:p>
            <a:pPr>
              <a:defRPr sz="700"/>
            </a:pPr>
            <a:endParaRPr lang="en-US"/>
          </a:p>
        </c:txPr>
        <c:crossAx val="95345664"/>
        <c:crosses val="autoZero"/>
        <c:auto val="1"/>
        <c:lblAlgn val="ctr"/>
        <c:lblOffset val="100"/>
        <c:tickLblSkip val="1"/>
        <c:noMultiLvlLbl val="0"/>
      </c:catAx>
      <c:valAx>
        <c:axId val="95345664"/>
        <c:scaling>
          <c:orientation val="minMax"/>
        </c:scaling>
        <c:delete val="0"/>
        <c:axPos val="b"/>
        <c:numFmt formatCode="0%" sourceLinked="1"/>
        <c:majorTickMark val="in"/>
        <c:minorTickMark val="none"/>
        <c:tickLblPos val="nextTo"/>
        <c:spPr>
          <a:ln w="6350" cmpd="sng">
            <a:solidFill>
              <a:srgbClr val="000000"/>
            </a:solidFill>
            <a:prstDash val="solid"/>
          </a:ln>
        </c:spPr>
        <c:txPr>
          <a:bodyPr/>
          <a:lstStyle/>
          <a:p>
            <a:pPr>
              <a:defRPr sz="700"/>
            </a:pPr>
            <a:endParaRPr lang="en-US"/>
          </a:p>
        </c:txPr>
        <c:crossAx val="95343744"/>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ayout>
        <c:manualLayout>
          <c:xMode val="edge"/>
          <c:yMode val="edge"/>
          <c:x val="4.5524952907408177E-2"/>
          <c:y val="0.92487403602763185"/>
          <c:w val="0.89999987212546029"/>
          <c:h val="6.082136701376601E-2"/>
        </c:manualLayout>
      </c:layout>
      <c:overlay val="0"/>
      <c:txPr>
        <a:bodyPr/>
        <a:lstStyle/>
        <a:p>
          <a:pPr>
            <a:defRPr sz="700"/>
          </a:pPr>
          <a:endParaRPr lang="en-US"/>
        </a:p>
      </c:txPr>
    </c:legend>
    <c:plotVisOnly val="1"/>
    <c:dispBlanksAs val="gap"/>
    <c:showDLblsOverMax val="0"/>
  </c:chart>
  <c:spPr>
    <a:solidFill>
      <a:schemeClr val="bg1"/>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600">
          <a:latin typeface="Arial" panose="020B0604020202020204" pitchFamily="34" charset="0"/>
          <a:ea typeface="Times New Roman"/>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10341-AE20-4216-AC27-048378EDB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28798</Words>
  <Characters>158971</Characters>
  <Application>Microsoft Office Word</Application>
  <DocSecurity>0</DocSecurity>
  <Lines>4076</Lines>
  <Paragraphs>760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187009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20</cp:revision>
  <cp:lastPrinted>2018-02-26T13:16:00Z</cp:lastPrinted>
  <dcterms:created xsi:type="dcterms:W3CDTF">2018-03-05T15:51:00Z</dcterms:created>
  <dcterms:modified xsi:type="dcterms:W3CDTF">2018-03-06T18:03:00Z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